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6160" w:rsidRPr="008F486F" w:rsidP="00756160" w14:paraId="3E96BFF8" w14:textId="6C09AE31">
      <w:pPr>
        <w:spacing w:after="220"/>
      </w:pPr>
    </w:p>
    <w:p w:rsidR="00756160" w:rsidRPr="008F486F" w:rsidP="00756160" w14:paraId="384F5207" w14:textId="77777777">
      <w:pPr>
        <w:spacing w:after="220"/>
      </w:pPr>
      <w:r>
        <w:rPr>
          <w:noProof/>
        </w:rPr>
        <mc:AlternateContent>
          <mc:Choice Requires="wpg">
            <w:drawing>
              <wp:inline distT="0" distB="0" distL="0" distR="0">
                <wp:extent cx="5942330" cy="161290"/>
                <wp:effectExtent l="0" t="0" r="1270" b="43180"/>
                <wp:docPr id="171411639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942330" cy="161290"/>
                          <a:chOff x="0" y="0"/>
                          <a:chExt cx="59420" cy="1615"/>
                        </a:xfrm>
                      </wpg:grpSpPr>
                      <wps:wsp xmlns:wps="http://schemas.microsoft.com/office/word/2010/wordprocessingShape">
                        <wps:cNvPr id="618850259" name="Shape 3977"/>
                        <wps:cNvSpPr/>
                        <wps:spPr bwMode="auto">
                          <a:xfrm>
                            <a:off x="0" y="731"/>
                            <a:ext cx="59420" cy="610"/>
                          </a:xfrm>
                          <a:custGeom>
                            <a:avLst/>
                            <a:gdLst>
                              <a:gd name="T0" fmla="*/ 0 w 5942076"/>
                              <a:gd name="T1" fmla="*/ 0 h 60960"/>
                              <a:gd name="T2" fmla="*/ 59420 w 5942076"/>
                              <a:gd name="T3" fmla="*/ 0 h 60960"/>
                              <a:gd name="T4" fmla="*/ 59420 w 5942076"/>
                              <a:gd name="T5" fmla="*/ 610 h 60960"/>
                              <a:gd name="T6" fmla="*/ 0 w 5942076"/>
                              <a:gd name="T7" fmla="*/ 610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s:wsp xmlns:wps="http://schemas.microsoft.com/office/word/2010/wordprocessingShape">
                        <wps:cNvPr id="301025055" name="Shape 3978"/>
                        <wps:cNvSpPr/>
                        <wps:spPr bwMode="auto">
                          <a:xfrm>
                            <a:off x="0" y="0"/>
                            <a:ext cx="59420" cy="609"/>
                          </a:xfrm>
                          <a:custGeom>
                            <a:avLst/>
                            <a:gdLst>
                              <a:gd name="T0" fmla="*/ 0 w 5942076"/>
                              <a:gd name="T1" fmla="*/ 0 h 60960"/>
                              <a:gd name="T2" fmla="*/ 59420 w 5942076"/>
                              <a:gd name="T3" fmla="*/ 0 h 60960"/>
                              <a:gd name="T4" fmla="*/ 59420 w 5942076"/>
                              <a:gd name="T5" fmla="*/ 609 h 60960"/>
                              <a:gd name="T6" fmla="*/ 0 w 5942076"/>
                              <a:gd name="T7" fmla="*/ 609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s:wsp xmlns:wps="http://schemas.microsoft.com/office/word/2010/wordprocessingShape">
                        <wps:cNvPr id="1303562576" name="Rectangle 14"/>
                        <wps:cNvSpPr>
                          <a:spLocks noChangeArrowheads="1"/>
                        </wps:cNvSpPr>
                        <wps:spPr bwMode="auto">
                          <a:xfrm>
                            <a:off x="91" y="203"/>
                            <a:ext cx="467" cy="187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6160" w:rsidP="00756160" w14:textId="77777777">
                              <w:r>
                                <w:rPr>
                                  <w:sz w:val="20"/>
                                </w:rPr>
                                <w:t xml:space="preserve"> </w:t>
                              </w:r>
                            </w:p>
                          </w:txbxContent>
                        </wps:txbx>
                        <wps:bodyPr rot="0" vert="horz" wrap="square" lIns="0" tIns="0" rIns="0" bIns="0" anchor="t" anchorCtr="0" upright="1"/>
                      </wps:wsp>
                    </wpg:wgp>
                  </a:graphicData>
                </a:graphic>
              </wp:inline>
            </w:drawing>
          </mc:Choice>
          <mc:Fallback>
            <w:pict>
              <v:group id="Group 7" o:spid="_x0000_i1025" style="width:467.9pt;height:12.7pt;mso-position-horizontal-relative:char;mso-position-vertical-relative:line" coordsize="59420,1615">
                <v:shape id="Shape 3977" o:spid="_x0000_s1026" style="width:59420;height:610;mso-wrap-style:square;position:absolute;top:731;visibility:visible;v-text-anchor:top" coordsize="5942076,60960" path="m,l5942076,l5942076,60960l,60960,,e" fillcolor="black" stroked="f">
                  <v:stroke joinstyle="miter"/>
                  <v:path arrowok="t" o:connecttype="custom" o:connectlocs="0,0;594,0;594,6;0,6;0,0" o:connectangles="0,0,0,0,0" textboxrect="0,0,5942076,60960"/>
                </v:shape>
                <v:shape id="Shape 3978" o:spid="_x0000_s1027" style="width:59420;height:609;mso-wrap-style:square;position:absolute;visibility:visible;v-text-anchor:top" coordsize="5942076,60960" path="m,l5942076,l5942076,60960l,60960,,e" fillcolor="black" stroked="f">
                  <v:stroke joinstyle="miter"/>
                  <v:path arrowok="t" o:connecttype="custom" o:connectlocs="0,0;594,0;594,6;0,6;0,0" o:connectangles="0,0,0,0,0" textboxrect="0,0,5942076,60960"/>
                </v:shape>
                <v:rect id="Rectangle 14" o:spid="_x0000_s1028" style="width:467;height:1878;left:91;mso-wrap-style:square;position:absolute;top:203;visibility:visible;v-text-anchor:top" filled="f" stroked="f">
                  <v:textbox inset="0,0,0,0">
                    <w:txbxContent>
                      <w:p w:rsidR="00756160" w:rsidP="00756160" w14:paraId="3494992D" w14:textId="77777777">
                        <w:r>
                          <w:rPr>
                            <w:sz w:val="20"/>
                          </w:rPr>
                          <w:t xml:space="preserve"> </w:t>
                        </w:r>
                      </w:p>
                    </w:txbxContent>
                  </v:textbox>
                </v:rect>
                <w10:wrap type="none"/>
                <w10:anchorlock/>
              </v:group>
            </w:pict>
          </mc:Fallback>
        </mc:AlternateContent>
      </w:r>
    </w:p>
    <w:p w:rsidR="00756160" w:rsidRPr="008F486F" w:rsidP="5241E6F5" w14:paraId="560AB494" w14:textId="017E48DA">
      <w:pPr>
        <w:spacing w:after="220"/>
        <w:ind w:left="9"/>
        <w:rPr>
          <w:b/>
          <w:bCs/>
          <w:sz w:val="28"/>
          <w:szCs w:val="28"/>
        </w:rPr>
      </w:pPr>
      <w:r w:rsidRPr="5241E6F5">
        <w:rPr>
          <w:b/>
          <w:bCs/>
          <w:sz w:val="28"/>
          <w:szCs w:val="28"/>
        </w:rPr>
        <w:t>Draft Regulatory Analysis for the Proposed Rule—Regulatory Framework for Fusion Machines</w:t>
      </w:r>
    </w:p>
    <w:p w:rsidR="00756160" w:rsidRPr="008F486F" w:rsidP="00756160" w14:paraId="73BE6A07" w14:textId="77777777">
      <w:pPr>
        <w:spacing w:after="220"/>
        <w:ind w:left="9"/>
        <w:rPr>
          <w:b/>
        </w:rPr>
      </w:pPr>
      <w:r w:rsidRPr="008F486F">
        <w:rPr>
          <w:b/>
        </w:rPr>
        <w:t>Docket No. NRC-2023-0071</w:t>
      </w:r>
    </w:p>
    <w:p w:rsidR="00756160" w:rsidRPr="008F486F" w:rsidP="00756160" w14:paraId="6AF68DB2" w14:textId="77777777">
      <w:pPr>
        <w:spacing w:after="220"/>
        <w:ind w:left="9"/>
        <w:rPr>
          <w:b/>
        </w:rPr>
      </w:pPr>
      <w:r w:rsidRPr="008F486F">
        <w:rPr>
          <w:b/>
        </w:rPr>
        <w:t>[RIN Number 3150-AL00]</w:t>
      </w:r>
    </w:p>
    <w:p w:rsidR="00756160" w:rsidRPr="008F486F" w:rsidP="00756160" w14:paraId="0FA6C8F3" w14:textId="77777777">
      <w:pPr>
        <w:spacing w:after="220"/>
      </w:pPr>
      <w:r>
        <w:rPr>
          <w:noProof/>
        </w:rPr>
        <mc:AlternateContent>
          <mc:Choice Requires="wpg">
            <w:drawing>
              <wp:inline distT="0" distB="0" distL="0" distR="0">
                <wp:extent cx="5942330" cy="133985"/>
                <wp:effectExtent l="0" t="0" r="1270" b="2540"/>
                <wp:docPr id="588796411" name="Group 454985951"/>
                <wp:cNvGraphicFramePr/>
                <a:graphic xmlns:a="http://schemas.openxmlformats.org/drawingml/2006/main">
                  <a:graphicData uri="http://schemas.microsoft.com/office/word/2010/wordprocessingGroup">
                    <wpg:wgp xmlns:wpg="http://schemas.microsoft.com/office/word/2010/wordprocessingGroup">
                      <wpg:cNvGrpSpPr/>
                      <wpg:grpSpPr>
                        <a:xfrm>
                          <a:off x="0" y="0"/>
                          <a:ext cx="5942330" cy="133985"/>
                          <a:chOff x="0" y="0"/>
                          <a:chExt cx="59420" cy="1341"/>
                        </a:xfrm>
                      </wpg:grpSpPr>
                      <wps:wsp xmlns:wps="http://schemas.microsoft.com/office/word/2010/wordprocessingShape">
                        <wps:cNvPr id="2064879470" name="Shape 3979"/>
                        <wps:cNvSpPr/>
                        <wps:spPr bwMode="auto">
                          <a:xfrm>
                            <a:off x="0" y="0"/>
                            <a:ext cx="59420" cy="609"/>
                          </a:xfrm>
                          <a:custGeom>
                            <a:avLst/>
                            <a:gdLst>
                              <a:gd name="T0" fmla="*/ 0 w 5942076"/>
                              <a:gd name="T1" fmla="*/ 0 h 60960"/>
                              <a:gd name="T2" fmla="*/ 59420 w 5942076"/>
                              <a:gd name="T3" fmla="*/ 0 h 60960"/>
                              <a:gd name="T4" fmla="*/ 59420 w 5942076"/>
                              <a:gd name="T5" fmla="*/ 609 h 60960"/>
                              <a:gd name="T6" fmla="*/ 0 w 5942076"/>
                              <a:gd name="T7" fmla="*/ 609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s:wsp xmlns:wps="http://schemas.microsoft.com/office/word/2010/wordprocessingShape">
                        <wps:cNvPr id="1087594172" name="Shape 3980"/>
                        <wps:cNvSpPr/>
                        <wps:spPr bwMode="auto">
                          <a:xfrm>
                            <a:off x="0" y="731"/>
                            <a:ext cx="59420" cy="610"/>
                          </a:xfrm>
                          <a:custGeom>
                            <a:avLst/>
                            <a:gdLst>
                              <a:gd name="T0" fmla="*/ 0 w 5942076"/>
                              <a:gd name="T1" fmla="*/ 0 h 60960"/>
                              <a:gd name="T2" fmla="*/ 59420 w 5942076"/>
                              <a:gd name="T3" fmla="*/ 0 h 60960"/>
                              <a:gd name="T4" fmla="*/ 59420 w 5942076"/>
                              <a:gd name="T5" fmla="*/ 610 h 60960"/>
                              <a:gd name="T6" fmla="*/ 0 w 5942076"/>
                              <a:gd name="T7" fmla="*/ 610 h 60960"/>
                              <a:gd name="T8" fmla="*/ 0 w 5942076"/>
                              <a:gd name="T9" fmla="*/ 0 h 60960"/>
                              <a:gd name="T10" fmla="*/ 0 60000 65536"/>
                              <a:gd name="T11" fmla="*/ 0 60000 65536"/>
                              <a:gd name="T12" fmla="*/ 0 60000 65536"/>
                              <a:gd name="T13" fmla="*/ 0 60000 65536"/>
                              <a:gd name="T14" fmla="*/ 0 60000 65536"/>
                              <a:gd name="T15" fmla="*/ 0 w 5942076"/>
                              <a:gd name="T16" fmla="*/ 0 h 60960"/>
                              <a:gd name="T17" fmla="*/ 5942076 w 5942076"/>
                              <a:gd name="T18" fmla="*/ 60960 h 60960"/>
                            </a:gdLst>
                            <a:cxnLst>
                              <a:cxn ang="T10">
                                <a:pos x="T0" y="T1"/>
                              </a:cxn>
                              <a:cxn ang="T11">
                                <a:pos x="T2" y="T3"/>
                              </a:cxn>
                              <a:cxn ang="T12">
                                <a:pos x="T4" y="T5"/>
                              </a:cxn>
                              <a:cxn ang="T13">
                                <a:pos x="T6" y="T7"/>
                              </a:cxn>
                              <a:cxn ang="T14">
                                <a:pos x="T8" y="T9"/>
                              </a:cxn>
                            </a:cxnLst>
                            <a:rect l="T15" t="T16" r="T17" b="T18"/>
                            <a:pathLst>
                              <a:path fill="norm" h="60960" w="5942076" stroke="1">
                                <a:moveTo>
                                  <a:pt x="0" y="0"/>
                                </a:moveTo>
                                <a:lnTo>
                                  <a:pt x="5942076" y="0"/>
                                </a:lnTo>
                                <a:lnTo>
                                  <a:pt x="5942076" y="60960"/>
                                </a:lnTo>
                                <a:lnTo>
                                  <a:pt x="0" y="60960"/>
                                </a:lnTo>
                                <a:lnTo>
                                  <a:pt x="0" y="0"/>
                                </a:lnTo>
                              </a:path>
                            </a:pathLst>
                          </a:cu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wps:wsp>
                    </wpg:wgp>
                  </a:graphicData>
                </a:graphic>
              </wp:inline>
            </w:drawing>
          </mc:Choice>
          <mc:Fallback>
            <w:pict>
              <v:group id="Group 454985951" o:spid="_x0000_i1029" style="width:467.9pt;height:10.55pt;mso-position-horizontal-relative:char;mso-position-vertical-relative:line" coordsize="59420,1341">
                <v:shape id="Shape 3979" o:spid="_x0000_s1030" style="width:59420;height:609;mso-wrap-style:square;position:absolute;visibility:visible;v-text-anchor:top" coordsize="5942076,60960" path="m,l5942076,l5942076,60960l,60960,,e" fillcolor="black" stroked="f">
                  <v:stroke joinstyle="miter"/>
                  <v:path arrowok="t" o:connecttype="custom" o:connectlocs="0,0;594,0;594,6;0,6;0,0" o:connectangles="0,0,0,0,0" textboxrect="0,0,5942076,60960"/>
                </v:shape>
                <v:shape id="Shape 3980" o:spid="_x0000_s1031" style="width:59420;height:610;mso-wrap-style:square;position:absolute;top:731;visibility:visible;v-text-anchor:top" coordsize="5942076,60960" path="m,l5942076,l5942076,60960l,60960,,e" fillcolor="black" stroked="f">
                  <v:stroke joinstyle="miter"/>
                  <v:path arrowok="t" o:connecttype="custom" o:connectlocs="0,0;594,0;594,6;0,6;0,0" o:connectangles="0,0,0,0,0" textboxrect="0,0,5942076,60960"/>
                </v:shape>
                <w10:wrap type="none"/>
                <w10:anchorlock/>
              </v:group>
            </w:pict>
          </mc:Fallback>
        </mc:AlternateContent>
      </w:r>
    </w:p>
    <w:p w:rsidR="00756160" w:rsidRPr="008F486F" w:rsidP="00756160" w14:paraId="0C77B952" w14:textId="77777777">
      <w:pPr>
        <w:pStyle w:val="Default"/>
        <w:rPr>
          <w:sz w:val="22"/>
        </w:rPr>
      </w:pPr>
      <w:r w:rsidRPr="008F486F">
        <w:rPr>
          <w:b/>
          <w:sz w:val="22"/>
        </w:rPr>
        <w:t>U.S. Nuclear Regulatory Commission</w:t>
      </w:r>
    </w:p>
    <w:p w:rsidR="00756160" w:rsidRPr="008F486F" w:rsidP="00756160" w14:paraId="680D2440" w14:textId="77777777">
      <w:pPr>
        <w:pStyle w:val="Default"/>
        <w:rPr>
          <w:sz w:val="22"/>
        </w:rPr>
      </w:pPr>
      <w:r w:rsidRPr="008F486F">
        <w:rPr>
          <w:sz w:val="22"/>
        </w:rPr>
        <w:t>Office of Nuclear Material Safety and Safeguards</w:t>
      </w:r>
    </w:p>
    <w:p w:rsidR="00756160" w:rsidRPr="008F486F" w:rsidP="00756160" w14:paraId="5B34A48F" w14:textId="77777777">
      <w:pPr>
        <w:spacing w:after="220"/>
      </w:pPr>
      <w:r w:rsidRPr="008F486F">
        <w:t>Division of Rulemaking, Environmental, and Financial Support</w:t>
      </w:r>
    </w:p>
    <w:p w:rsidR="00756160" w:rsidRPr="008F486F" w:rsidP="00756160" w14:paraId="0D99DEB7" w14:textId="77777777">
      <w:pPr>
        <w:pStyle w:val="Default"/>
        <w:spacing w:after="220"/>
        <w:rPr>
          <w:sz w:val="22"/>
        </w:rPr>
      </w:pPr>
    </w:p>
    <w:p w:rsidR="00756160" w:rsidRPr="008F486F" w:rsidP="00756160" w14:paraId="6301C102" w14:textId="116737C4">
      <w:r>
        <w:t>February 2026</w:t>
      </w:r>
    </w:p>
    <w:p w:rsidR="00756160" w:rsidRPr="008F486F" w:rsidP="00756160" w14:paraId="55566236" w14:textId="77777777"/>
    <w:p w:rsidR="00756160" w:rsidRPr="008F486F" w:rsidP="00756160" w14:paraId="6E028E73" w14:textId="77777777"/>
    <w:p w:rsidR="00756160" w:rsidRPr="008F486F" w:rsidP="00756160" w14:paraId="731FD400" w14:textId="77777777"/>
    <w:p w:rsidR="00756160" w:rsidRPr="008F486F" w:rsidP="00756160" w14:paraId="2714F884" w14:textId="77777777"/>
    <w:p w:rsidR="00756160" w:rsidRPr="008F486F" w:rsidP="00756160" w14:paraId="6A8EA4CF" w14:textId="77777777"/>
    <w:p w:rsidR="00756160" w:rsidRPr="008F486F" w:rsidP="00756160" w14:paraId="7D5596A0" w14:textId="77777777">
      <w:pPr>
        <w:rPr>
          <w:sz w:val="32"/>
        </w:rPr>
      </w:pPr>
      <w:r w:rsidRPr="008F486F">
        <w:rPr>
          <w:noProof/>
        </w:rPr>
        <w:drawing>
          <wp:inline distT="0" distB="0" distL="0" distR="0">
            <wp:extent cx="1828800" cy="1828800"/>
            <wp:effectExtent l="0" t="0" r="0" b="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rsidR="00756160" w:rsidRPr="008F486F" w:rsidP="00756160" w14:paraId="57807AE0" w14:textId="77777777"/>
    <w:p w:rsidR="00756160" w:rsidRPr="008F486F" w:rsidP="00756160" w14:paraId="76F6BBDD" w14:textId="77777777"/>
    <w:p w:rsidR="00756160" w:rsidRPr="008F486F" w:rsidP="00756160" w14:paraId="7291FAFA" w14:textId="77777777"/>
    <w:p w:rsidR="00756160" w:rsidRPr="008F486F" w:rsidP="00756160" w14:paraId="65564606" w14:textId="77777777"/>
    <w:p w:rsidR="00756160" w:rsidRPr="008F486F" w:rsidP="00756160" w14:paraId="39C9421A" w14:textId="77777777"/>
    <w:p w:rsidR="00756160" w:rsidRPr="008F486F" w:rsidP="00756160" w14:paraId="78F9A4D3" w14:textId="77777777"/>
    <w:p w:rsidR="00756160" w:rsidRPr="008F486F" w:rsidP="00756160" w14:paraId="1C353A80" w14:textId="77777777"/>
    <w:p w:rsidR="00756160" w:rsidRPr="008F486F" w:rsidP="00756160" w14:paraId="4112001D" w14:textId="77777777">
      <w:pPr>
        <w:pStyle w:val="BodyText"/>
      </w:pPr>
    </w:p>
    <w:p w:rsidR="00756160" w:rsidRPr="008F486F" w:rsidP="00756160" w14:paraId="6A9B3A8A" w14:textId="77777777">
      <w:pPr>
        <w:pStyle w:val="BodyText"/>
      </w:pPr>
    </w:p>
    <w:p w:rsidR="00756160" w:rsidRPr="008F486F" w:rsidP="00756160" w14:paraId="6021B073" w14:textId="77777777">
      <w:pPr>
        <w:pStyle w:val="BodyText"/>
      </w:pPr>
    </w:p>
    <w:p w:rsidR="00756160" w:rsidRPr="008F486F" w:rsidP="00756160" w14:paraId="077B1056" w14:textId="77777777">
      <w:pPr>
        <w:pStyle w:val="BodyText"/>
      </w:pPr>
    </w:p>
    <w:p w:rsidR="00756160" w:rsidRPr="008F486F" w:rsidP="00756160" w14:paraId="172E5D94" w14:textId="77777777">
      <w:pPr>
        <w:pStyle w:val="BodyText"/>
      </w:pPr>
    </w:p>
    <w:p w:rsidR="00756160" w:rsidRPr="008F486F" w:rsidP="00756160" w14:paraId="68C8C24B" w14:textId="77777777">
      <w:pPr>
        <w:pStyle w:val="BodyText"/>
      </w:pPr>
    </w:p>
    <w:p w:rsidR="00756160" w:rsidRPr="008F486F" w:rsidP="00756160" w14:paraId="78D294AE" w14:textId="77777777">
      <w:pPr>
        <w:pStyle w:val="BodyText"/>
      </w:pPr>
    </w:p>
    <w:p w:rsidR="00756160" w:rsidRPr="008F486F" w:rsidP="00756160" w14:paraId="419EC475" w14:textId="77777777">
      <w:pPr>
        <w:pStyle w:val="BodyText"/>
      </w:pPr>
    </w:p>
    <w:p w:rsidR="00756160" w:rsidRPr="008F486F" w:rsidP="00756160" w14:paraId="02E3900E" w14:textId="77777777">
      <w:pPr>
        <w:pStyle w:val="BodyText"/>
      </w:pPr>
    </w:p>
    <w:p w:rsidR="00756160" w:rsidRPr="008F486F" w:rsidP="00756160" w14:paraId="6F1A0A80" w14:textId="77777777">
      <w:pPr>
        <w:pStyle w:val="BodyText"/>
      </w:pPr>
    </w:p>
    <w:p w:rsidR="00756160" w:rsidRPr="008F486F" w:rsidP="00756160" w14:paraId="5511D127" w14:textId="77777777">
      <w:pPr>
        <w:pStyle w:val="BodyText"/>
      </w:pPr>
    </w:p>
    <w:p w:rsidR="00756160" w:rsidRPr="008F486F" w:rsidP="00756160" w14:paraId="2791B14B" w14:textId="77777777">
      <w:pPr>
        <w:pStyle w:val="BodyText"/>
      </w:pPr>
    </w:p>
    <w:p w:rsidR="00756160" w:rsidRPr="008F486F" w:rsidP="00756160" w14:paraId="1B4B41D8" w14:textId="77777777">
      <w:pPr>
        <w:pStyle w:val="BodyText"/>
      </w:pPr>
    </w:p>
    <w:p w:rsidR="00756160" w:rsidRPr="008F486F" w:rsidP="00756160" w14:paraId="3129CCC4" w14:textId="77777777">
      <w:pPr>
        <w:pStyle w:val="BodyText"/>
      </w:pPr>
    </w:p>
    <w:p w:rsidR="00756160" w:rsidRPr="008F486F" w:rsidP="00756160" w14:paraId="2BA1581E" w14:textId="77777777">
      <w:pPr>
        <w:pStyle w:val="BodyText"/>
      </w:pPr>
    </w:p>
    <w:p w:rsidR="00756160" w:rsidRPr="008F486F" w:rsidP="00756160" w14:paraId="67BE335D" w14:textId="77777777">
      <w:pPr>
        <w:pStyle w:val="BodyText"/>
      </w:pPr>
    </w:p>
    <w:p w:rsidR="00756160" w:rsidRPr="008F486F" w:rsidP="00756160" w14:paraId="06C56708" w14:textId="77777777">
      <w:pPr>
        <w:pStyle w:val="BodyText"/>
      </w:pPr>
    </w:p>
    <w:p w:rsidR="00756160" w:rsidRPr="008F486F" w:rsidP="00756160" w14:paraId="5E0E5520" w14:textId="77777777">
      <w:pPr>
        <w:pStyle w:val="BodyText"/>
      </w:pPr>
    </w:p>
    <w:p w:rsidR="00756160" w:rsidP="00756160" w14:paraId="66E4A7CE" w14:textId="77777777">
      <w:pPr>
        <w:pStyle w:val="BodyText"/>
      </w:pPr>
    </w:p>
    <w:p w:rsidR="0083056B" w:rsidP="00756160" w14:paraId="6D067B5A" w14:textId="77777777">
      <w:pPr>
        <w:pStyle w:val="BodyText"/>
      </w:pPr>
    </w:p>
    <w:p w:rsidR="0083056B" w:rsidP="00756160" w14:paraId="2CB70CA7" w14:textId="77777777">
      <w:pPr>
        <w:pStyle w:val="BodyText"/>
      </w:pPr>
    </w:p>
    <w:p w:rsidR="0083056B" w:rsidP="00756160" w14:paraId="056D3E4F" w14:textId="77777777">
      <w:pPr>
        <w:pStyle w:val="BodyText"/>
      </w:pPr>
    </w:p>
    <w:p w:rsidR="0083056B" w:rsidP="00756160" w14:paraId="4AFC15CB" w14:textId="77777777">
      <w:pPr>
        <w:pStyle w:val="BodyText"/>
      </w:pPr>
    </w:p>
    <w:p w:rsidR="0083056B" w:rsidP="00756160" w14:paraId="43DCF652" w14:textId="77777777">
      <w:pPr>
        <w:pStyle w:val="BodyText"/>
      </w:pPr>
    </w:p>
    <w:p w:rsidR="0083056B" w:rsidP="00756160" w14:paraId="0EE27F02" w14:textId="77777777">
      <w:pPr>
        <w:pStyle w:val="BodyText"/>
      </w:pPr>
    </w:p>
    <w:p w:rsidR="0083056B" w:rsidP="00756160" w14:paraId="222F33B0" w14:textId="77777777">
      <w:pPr>
        <w:pStyle w:val="BodyText"/>
      </w:pPr>
    </w:p>
    <w:p w:rsidR="0083056B" w:rsidP="00756160" w14:paraId="07DEB71D" w14:textId="77777777">
      <w:pPr>
        <w:pStyle w:val="BodyText"/>
      </w:pPr>
    </w:p>
    <w:p w:rsidR="0083056B" w:rsidP="00756160" w14:paraId="062394A7" w14:textId="77777777">
      <w:pPr>
        <w:pStyle w:val="BodyText"/>
      </w:pPr>
    </w:p>
    <w:p w:rsidR="0083056B" w:rsidP="00756160" w14:paraId="1E0A783A" w14:textId="77777777">
      <w:pPr>
        <w:pStyle w:val="BodyText"/>
      </w:pPr>
    </w:p>
    <w:p w:rsidR="0083056B" w:rsidP="00756160" w14:paraId="12B30D55" w14:textId="77777777">
      <w:pPr>
        <w:pStyle w:val="BodyText"/>
      </w:pPr>
    </w:p>
    <w:p w:rsidR="00756160" w:rsidRPr="008F486F" w:rsidP="00756160" w14:paraId="7A133B8F" w14:textId="77777777">
      <w:pPr>
        <w:pStyle w:val="BodyText"/>
      </w:pPr>
    </w:p>
    <w:p w:rsidR="00756160" w:rsidRPr="008F486F" w:rsidP="00756160" w14:paraId="4EE0DA4E" w14:textId="77777777">
      <w:pPr>
        <w:pStyle w:val="BodyText"/>
        <w:jc w:val="center"/>
      </w:pPr>
      <w:r w:rsidRPr="008F486F">
        <w:t>[Page</w:t>
      </w:r>
      <w:r w:rsidRPr="008F486F">
        <w:rPr>
          <w:spacing w:val="-2"/>
        </w:rPr>
        <w:t xml:space="preserve"> </w:t>
      </w:r>
      <w:r w:rsidRPr="008F486F">
        <w:t>intentionally</w:t>
      </w:r>
      <w:r w:rsidRPr="008F486F">
        <w:rPr>
          <w:spacing w:val="-1"/>
        </w:rPr>
        <w:t xml:space="preserve"> </w:t>
      </w:r>
      <w:r w:rsidRPr="008F486F">
        <w:t>left</w:t>
      </w:r>
      <w:r w:rsidRPr="008F486F">
        <w:rPr>
          <w:spacing w:val="-2"/>
        </w:rPr>
        <w:t xml:space="preserve"> </w:t>
      </w:r>
      <w:r w:rsidRPr="008F486F">
        <w:t>blank.]</w:t>
      </w:r>
    </w:p>
    <w:p w:rsidR="00756160" w:rsidRPr="008F486F" w:rsidP="00756160" w14:paraId="2323B7D5" w14:textId="77777777"/>
    <w:p w:rsidR="00756160" w:rsidRPr="008F486F" w:rsidP="00756160" w14:paraId="2C502386" w14:textId="77777777">
      <w:pPr>
        <w:sectPr w:rsidSect="0075616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pPr>
    </w:p>
    <w:p w:rsidR="00756160" w:rsidRPr="008F486F" w:rsidP="00756160" w14:paraId="196F878D" w14:textId="77777777">
      <w:pPr>
        <w:pStyle w:val="Heading1"/>
      </w:pPr>
      <w:bookmarkStart w:id="0" w:name="_Toc79151702"/>
      <w:bookmarkStart w:id="1" w:name="_Toc176883964"/>
      <w:bookmarkStart w:id="2" w:name="_Toc222796487"/>
      <w:r w:rsidRPr="008F486F">
        <w:t>ABSTRACT</w:t>
      </w:r>
      <w:bookmarkEnd w:id="0"/>
      <w:bookmarkEnd w:id="1"/>
      <w:bookmarkEnd w:id="2"/>
    </w:p>
    <w:p w:rsidR="00756160" w:rsidRPr="008F486F" w:rsidP="00756160" w14:paraId="66AFE4B7" w14:textId="77777777"/>
    <w:p w:rsidR="00756160" w:rsidRPr="008F486F" w:rsidP="00756160" w14:paraId="04E63F0A" w14:textId="77777777">
      <w:pPr>
        <w:pStyle w:val="BodyText"/>
      </w:pPr>
      <w:r w:rsidRPr="008F486F">
        <w:t xml:space="preserve">The U.S. Nuclear Regulatory Commission (NRC) is proposing to amend its regulations to </w:t>
      </w:r>
      <w:r w:rsidRPr="008E2700" w:rsidR="008E2700">
        <w:t xml:space="preserve">augment the existing byproduct material </w:t>
      </w:r>
      <w:r w:rsidRPr="008F486F">
        <w:t xml:space="preserve">framework </w:t>
      </w:r>
      <w:r w:rsidRPr="00C64DBB" w:rsidR="00C64DBB">
        <w:t xml:space="preserve">to be inclusive of </w:t>
      </w:r>
      <w:r w:rsidRPr="008F486F">
        <w:t>fusion machines. The NRC is proposing requirements that are technology-inclusive to accommodate the wide variety of anticipated fusion machine designs across the National Materials Program. The NRC is also issuing for comment draft guidance for the implementation of this proposed rule, entitled NUREG-1556, Volume 22, “Consolidated Guidance About Materials Licenses: Program-Specific Guidance About Fusion Machine Licenses.” This document presents a draft regulatory analysis of the costs and benefits of the proposed rule requirements, “Regulatory Framework for Fusion Machines,” and the draft guidance relative to the baseline case (i.e., the No-Action alternative).</w:t>
      </w:r>
    </w:p>
    <w:p w:rsidR="00756160" w:rsidRPr="008F486F" w:rsidP="00756160" w14:paraId="100D0E18" w14:textId="77777777"/>
    <w:p w:rsidR="00756160" w:rsidRPr="008F486F" w:rsidP="00756160" w14:paraId="5FE26FAE" w14:textId="77777777">
      <w:pPr>
        <w:pStyle w:val="Heading1"/>
        <w:rPr>
          <w:sz w:val="22"/>
          <w:szCs w:val="22"/>
        </w:rPr>
        <w:sectPr w:rsidSect="00756160">
          <w:headerReference w:type="default" r:id="rId14"/>
          <w:footerReference w:type="default" r:id="rId15"/>
          <w:pgSz w:w="12240" w:h="15840"/>
          <w:pgMar w:top="1440" w:right="1440" w:bottom="1440" w:left="1440" w:header="0" w:footer="792" w:gutter="0"/>
          <w:pgNumType w:fmt="lowerRoman" w:start="1"/>
          <w:cols w:space="720"/>
          <w:docGrid w:linePitch="299"/>
        </w:sectPr>
      </w:pPr>
    </w:p>
    <w:bookmarkStart w:id="3" w:name="EXECUTIVE_SUMMARY" w:displacedByCustomXml="next"/>
    <w:bookmarkEnd w:id="3" w:displacedByCustomXml="next"/>
    <w:bookmarkStart w:id="4" w:name="_bookmark0" w:displacedByCustomXml="next"/>
    <w:bookmarkEnd w:id="4" w:displacedByCustomXml="next"/>
    <w:bookmarkStart w:id="5" w:name="_Toc464132241" w:displacedByCustomXml="next"/>
    <w:bookmarkStart w:id="6" w:name="_Toc464221271" w:displacedByCustomXml="next"/>
    <w:bookmarkStart w:id="7" w:name="_Toc495041691" w:displacedByCustomXml="next"/>
    <w:bookmarkStart w:id="8" w:name="_Toc79151705" w:displacedByCustomXml="next"/>
    <w:sdt>
      <w:sdtPr>
        <w:rPr>
          <w:rFonts w:ascii="Arial" w:eastAsia="Arial" w:hAnsi="Arial" w:cs="Arial"/>
          <w:color w:val="auto"/>
          <w:sz w:val="22"/>
          <w:szCs w:val="22"/>
        </w:rPr>
        <w:id w:val="395790606"/>
        <w:docPartObj>
          <w:docPartGallery w:val="Table of Contents"/>
          <w:docPartUnique/>
        </w:docPartObj>
      </w:sdtPr>
      <w:sdtEndPr>
        <w:rPr>
          <w:b/>
          <w:bCs/>
          <w:noProof/>
        </w:rPr>
      </w:sdtEndPr>
      <w:sdtContent>
        <w:sdt>
          <w:sdtPr>
            <w:rPr>
              <w:rFonts w:ascii="Arial" w:eastAsia="Arial" w:hAnsi="Arial" w:cs="Arial"/>
              <w:b/>
              <w:bCs/>
              <w:noProof/>
              <w:color w:val="auto"/>
              <w:sz w:val="22"/>
              <w:szCs w:val="22"/>
            </w:rPr>
            <w:id w:val="-2028469978"/>
            <w:docPartObj>
              <w:docPartGallery w:val="Table of Contents"/>
              <w:docPartUnique/>
            </w:docPartObj>
          </w:sdtPr>
          <w:sdtContent>
            <w:p w:rsidR="00756160" w:rsidRPr="008F486F" w:rsidP="00756160" w14:paraId="0CE35290" w14:textId="77777777">
              <w:pPr>
                <w:pStyle w:val="TOCHeading"/>
                <w:spacing w:before="0" w:line="240" w:lineRule="auto"/>
                <w:rPr>
                  <w:rFonts w:ascii="Arial" w:eastAsia="Arial" w:hAnsi="Arial" w:cs="Arial"/>
                  <w:b/>
                  <w:bCs/>
                  <w:noProof/>
                  <w:color w:val="auto"/>
                  <w:sz w:val="22"/>
                  <w:szCs w:val="22"/>
                </w:rPr>
              </w:pPr>
            </w:p>
            <w:sdt>
              <w:sdtPr>
                <w:rPr>
                  <w:rFonts w:ascii="Arial" w:eastAsia="Arial" w:hAnsi="Arial" w:cs="Arial"/>
                  <w:b/>
                  <w:bCs/>
                  <w:noProof/>
                  <w:color w:val="auto"/>
                  <w:sz w:val="22"/>
                  <w:szCs w:val="22"/>
                </w:rPr>
                <w:id w:val="1895538165"/>
                <w:docPartObj>
                  <w:docPartGallery w:val="Table of Contents"/>
                  <w:docPartUnique/>
                </w:docPartObj>
              </w:sdtPr>
              <w:sdtContent>
                <w:p w:rsidR="00756160" w:rsidRPr="008F486F" w:rsidP="00756160" w14:paraId="07E30474" w14:textId="77777777">
                  <w:pPr>
                    <w:pStyle w:val="TOCHeading"/>
                    <w:spacing w:before="0" w:line="240" w:lineRule="auto"/>
                    <w:rPr>
                      <w:rFonts w:ascii="Arial" w:hAnsi="Arial" w:cs="Arial"/>
                      <w:b/>
                      <w:bCs/>
                      <w:color w:val="auto"/>
                    </w:rPr>
                  </w:pPr>
                  <w:r w:rsidRPr="008F486F">
                    <w:rPr>
                      <w:rFonts w:ascii="Arial" w:hAnsi="Arial" w:cs="Arial"/>
                      <w:b/>
                      <w:bCs/>
                      <w:color w:val="auto"/>
                    </w:rPr>
                    <w:t>Contents</w:t>
                  </w:r>
                </w:p>
                <w:p w:rsidR="00756160" w:rsidRPr="008F486F" w:rsidP="00756160" w14:paraId="2B2E9B14" w14:textId="77777777">
                  <w:pPr>
                    <w:pStyle w:val="TOC1"/>
                    <w:rPr>
                      <w:noProof w:val="0"/>
                    </w:rPr>
                  </w:pPr>
                </w:p>
              </w:sdtContent>
            </w:sdt>
          </w:sdtContent>
        </w:sdt>
        <w:p w:rsidR="007373E6" w14:paraId="1D31C7ED" w14:textId="6DCD5721">
          <w:pPr>
            <w:pStyle w:val="TOC1"/>
            <w:rPr>
              <w:rFonts w:asciiTheme="minorHAnsi" w:eastAsiaTheme="minorEastAsia" w:hAnsiTheme="minorHAnsi" w:cstheme="minorBidi"/>
              <w:b w:val="0"/>
              <w:bCs w:val="0"/>
              <w:kern w:val="2"/>
              <w:sz w:val="24"/>
              <w:szCs w:val="24"/>
              <w14:ligatures w14:val="standardContextual"/>
            </w:rPr>
          </w:pPr>
          <w:r w:rsidRPr="008F486F">
            <w:rPr>
              <w:noProof w:val="0"/>
            </w:rPr>
            <w:fldChar w:fldCharType="begin"/>
          </w:r>
          <w:r w:rsidRPr="008F486F">
            <w:instrText xml:space="preserve"> TOC \o "1-3" \h \z \u </w:instrText>
          </w:r>
          <w:r w:rsidRPr="008F486F">
            <w:rPr>
              <w:noProof w:val="0"/>
            </w:rPr>
            <w:fldChar w:fldCharType="separate"/>
          </w:r>
          <w:hyperlink w:anchor="_Toc222796487" w:history="1">
            <w:r w:rsidRPr="001A6C03">
              <w:rPr>
                <w:rStyle w:val="Hyperlink"/>
              </w:rPr>
              <w:t>ABSTRACT</w:t>
            </w:r>
            <w:r>
              <w:rPr>
                <w:webHidden/>
              </w:rPr>
              <w:tab/>
            </w:r>
            <w:r>
              <w:rPr>
                <w:webHidden/>
              </w:rPr>
              <w:fldChar w:fldCharType="begin"/>
            </w:r>
            <w:r>
              <w:rPr>
                <w:webHidden/>
              </w:rPr>
              <w:instrText xml:space="preserve"> PAGEREF _Toc222796487 \h </w:instrText>
            </w:r>
            <w:r>
              <w:rPr>
                <w:webHidden/>
              </w:rPr>
              <w:fldChar w:fldCharType="separate"/>
            </w:r>
            <w:r>
              <w:rPr>
                <w:webHidden/>
              </w:rPr>
              <w:t>i</w:t>
            </w:r>
            <w:r>
              <w:rPr>
                <w:webHidden/>
              </w:rPr>
              <w:fldChar w:fldCharType="end"/>
            </w:r>
          </w:hyperlink>
        </w:p>
        <w:p w:rsidR="007373E6" w14:paraId="19CF893F" w14:textId="4E4D9859">
          <w:pPr>
            <w:pStyle w:val="TOC1"/>
            <w:rPr>
              <w:rFonts w:asciiTheme="minorHAnsi" w:eastAsiaTheme="minorEastAsia" w:hAnsiTheme="minorHAnsi" w:cstheme="minorBidi"/>
              <w:b w:val="0"/>
              <w:bCs w:val="0"/>
              <w:kern w:val="2"/>
              <w:sz w:val="24"/>
              <w:szCs w:val="24"/>
              <w14:ligatures w14:val="standardContextual"/>
            </w:rPr>
          </w:pPr>
          <w:hyperlink w:anchor="_Toc222796488" w:history="1">
            <w:r w:rsidRPr="001A6C03">
              <w:rPr>
                <w:rStyle w:val="Hyperlink"/>
              </w:rPr>
              <w:t>LIST OF FIGURES</w:t>
            </w:r>
            <w:r>
              <w:rPr>
                <w:webHidden/>
              </w:rPr>
              <w:tab/>
            </w:r>
            <w:r>
              <w:rPr>
                <w:webHidden/>
              </w:rPr>
              <w:fldChar w:fldCharType="begin"/>
            </w:r>
            <w:r>
              <w:rPr>
                <w:webHidden/>
              </w:rPr>
              <w:instrText xml:space="preserve"> PAGEREF _Toc222796488 \h </w:instrText>
            </w:r>
            <w:r>
              <w:rPr>
                <w:webHidden/>
              </w:rPr>
              <w:fldChar w:fldCharType="separate"/>
            </w:r>
            <w:r>
              <w:rPr>
                <w:webHidden/>
              </w:rPr>
              <w:t>iv</w:t>
            </w:r>
            <w:r>
              <w:rPr>
                <w:webHidden/>
              </w:rPr>
              <w:fldChar w:fldCharType="end"/>
            </w:r>
          </w:hyperlink>
        </w:p>
        <w:p w:rsidR="007373E6" w14:paraId="49D0E790" w14:textId="020C3AF9">
          <w:pPr>
            <w:pStyle w:val="TOC1"/>
            <w:rPr>
              <w:rFonts w:asciiTheme="minorHAnsi" w:eastAsiaTheme="minorEastAsia" w:hAnsiTheme="minorHAnsi" w:cstheme="minorBidi"/>
              <w:b w:val="0"/>
              <w:bCs w:val="0"/>
              <w:kern w:val="2"/>
              <w:sz w:val="24"/>
              <w:szCs w:val="24"/>
              <w14:ligatures w14:val="standardContextual"/>
            </w:rPr>
          </w:pPr>
          <w:hyperlink w:anchor="_Toc222796489" w:history="1">
            <w:r w:rsidRPr="001A6C03">
              <w:rPr>
                <w:rStyle w:val="Hyperlink"/>
              </w:rPr>
              <w:t>LIST OF TABLES</w:t>
            </w:r>
            <w:r>
              <w:rPr>
                <w:webHidden/>
              </w:rPr>
              <w:tab/>
            </w:r>
            <w:r>
              <w:rPr>
                <w:webHidden/>
              </w:rPr>
              <w:fldChar w:fldCharType="begin"/>
            </w:r>
            <w:r>
              <w:rPr>
                <w:webHidden/>
              </w:rPr>
              <w:instrText xml:space="preserve"> PAGEREF _Toc222796489 \h </w:instrText>
            </w:r>
            <w:r>
              <w:rPr>
                <w:webHidden/>
              </w:rPr>
              <w:fldChar w:fldCharType="separate"/>
            </w:r>
            <w:r>
              <w:rPr>
                <w:webHidden/>
              </w:rPr>
              <w:t>iv</w:t>
            </w:r>
            <w:r>
              <w:rPr>
                <w:webHidden/>
              </w:rPr>
              <w:fldChar w:fldCharType="end"/>
            </w:r>
          </w:hyperlink>
        </w:p>
        <w:p w:rsidR="007373E6" w14:paraId="6E50698F" w14:textId="4FA115DD">
          <w:pPr>
            <w:pStyle w:val="TOC1"/>
            <w:rPr>
              <w:rFonts w:asciiTheme="minorHAnsi" w:eastAsiaTheme="minorEastAsia" w:hAnsiTheme="minorHAnsi" w:cstheme="minorBidi"/>
              <w:b w:val="0"/>
              <w:bCs w:val="0"/>
              <w:kern w:val="2"/>
              <w:sz w:val="24"/>
              <w:szCs w:val="24"/>
              <w14:ligatures w14:val="standardContextual"/>
            </w:rPr>
          </w:pPr>
          <w:hyperlink w:anchor="_Toc222796490" w:history="1">
            <w:r w:rsidRPr="001A6C03">
              <w:rPr>
                <w:rStyle w:val="Hyperlink"/>
              </w:rPr>
              <w:t>ABBREVIATIONS AND ACRONYMS</w:t>
            </w:r>
            <w:r>
              <w:rPr>
                <w:webHidden/>
              </w:rPr>
              <w:tab/>
            </w:r>
            <w:r>
              <w:rPr>
                <w:webHidden/>
              </w:rPr>
              <w:fldChar w:fldCharType="begin"/>
            </w:r>
            <w:r>
              <w:rPr>
                <w:webHidden/>
              </w:rPr>
              <w:instrText xml:space="preserve"> PAGEREF _Toc222796490 \h </w:instrText>
            </w:r>
            <w:r>
              <w:rPr>
                <w:webHidden/>
              </w:rPr>
              <w:fldChar w:fldCharType="separate"/>
            </w:r>
            <w:r>
              <w:rPr>
                <w:webHidden/>
              </w:rPr>
              <w:t>v</w:t>
            </w:r>
            <w:r>
              <w:rPr>
                <w:webHidden/>
              </w:rPr>
              <w:fldChar w:fldCharType="end"/>
            </w:r>
          </w:hyperlink>
        </w:p>
        <w:p w:rsidR="007373E6" w14:paraId="1DEE8285" w14:textId="69A65CC5">
          <w:pPr>
            <w:pStyle w:val="TOC1"/>
            <w:rPr>
              <w:rFonts w:asciiTheme="minorHAnsi" w:eastAsiaTheme="minorEastAsia" w:hAnsiTheme="minorHAnsi" w:cstheme="minorBidi"/>
              <w:b w:val="0"/>
              <w:bCs w:val="0"/>
              <w:kern w:val="2"/>
              <w:sz w:val="24"/>
              <w:szCs w:val="24"/>
              <w14:ligatures w14:val="standardContextual"/>
            </w:rPr>
          </w:pPr>
          <w:hyperlink w:anchor="_Toc222796491" w:history="1">
            <w:r w:rsidRPr="001A6C03">
              <w:rPr>
                <w:rStyle w:val="Hyperlink"/>
              </w:rPr>
              <w:t>EXECUTIVE</w:t>
            </w:r>
            <w:r w:rsidRPr="001A6C03">
              <w:rPr>
                <w:rStyle w:val="Hyperlink"/>
                <w:spacing w:val="-12"/>
              </w:rPr>
              <w:t xml:space="preserve"> </w:t>
            </w:r>
            <w:r w:rsidRPr="001A6C03">
              <w:rPr>
                <w:rStyle w:val="Hyperlink"/>
              </w:rPr>
              <w:t>SUMMARY</w:t>
            </w:r>
            <w:r>
              <w:rPr>
                <w:webHidden/>
              </w:rPr>
              <w:tab/>
            </w:r>
            <w:r>
              <w:rPr>
                <w:webHidden/>
              </w:rPr>
              <w:fldChar w:fldCharType="begin"/>
            </w:r>
            <w:r>
              <w:rPr>
                <w:webHidden/>
              </w:rPr>
              <w:instrText xml:space="preserve"> PAGEREF _Toc222796491 \h </w:instrText>
            </w:r>
            <w:r>
              <w:rPr>
                <w:webHidden/>
              </w:rPr>
              <w:fldChar w:fldCharType="separate"/>
            </w:r>
            <w:r>
              <w:rPr>
                <w:webHidden/>
              </w:rPr>
              <w:t>vi</w:t>
            </w:r>
            <w:r>
              <w:rPr>
                <w:webHidden/>
              </w:rPr>
              <w:fldChar w:fldCharType="end"/>
            </w:r>
          </w:hyperlink>
        </w:p>
        <w:p w:rsidR="007373E6" w14:paraId="6211EDA0" w14:textId="311EB8AC">
          <w:pPr>
            <w:pStyle w:val="TOC1"/>
            <w:rPr>
              <w:rFonts w:asciiTheme="minorHAnsi" w:eastAsiaTheme="minorEastAsia" w:hAnsiTheme="minorHAnsi" w:cstheme="minorBidi"/>
              <w:b w:val="0"/>
              <w:bCs w:val="0"/>
              <w:kern w:val="2"/>
              <w:sz w:val="24"/>
              <w:szCs w:val="24"/>
              <w14:ligatures w14:val="standardContextual"/>
            </w:rPr>
          </w:pPr>
          <w:hyperlink w:anchor="_Toc222796492" w:history="1">
            <w:r w:rsidRPr="001A6C03">
              <w:rPr>
                <w:rStyle w:val="Hyperlink"/>
                <w:w w:val="99"/>
              </w:rPr>
              <w:t>1.0</w:t>
            </w:r>
            <w:r>
              <w:rPr>
                <w:rFonts w:asciiTheme="minorHAnsi" w:eastAsiaTheme="minorEastAsia" w:hAnsiTheme="minorHAnsi" w:cstheme="minorBidi"/>
                <w:b w:val="0"/>
                <w:bCs w:val="0"/>
                <w:kern w:val="2"/>
                <w:sz w:val="24"/>
                <w:szCs w:val="24"/>
                <w14:ligatures w14:val="standardContextual"/>
              </w:rPr>
              <w:tab/>
            </w:r>
            <w:r w:rsidRPr="001A6C03">
              <w:rPr>
                <w:rStyle w:val="Hyperlink"/>
              </w:rPr>
              <w:t>INTRODUCTION</w:t>
            </w:r>
            <w:r>
              <w:rPr>
                <w:webHidden/>
              </w:rPr>
              <w:tab/>
            </w:r>
            <w:r>
              <w:rPr>
                <w:webHidden/>
              </w:rPr>
              <w:fldChar w:fldCharType="begin"/>
            </w:r>
            <w:r>
              <w:rPr>
                <w:webHidden/>
              </w:rPr>
              <w:instrText xml:space="preserve"> PAGEREF _Toc222796492 \h </w:instrText>
            </w:r>
            <w:r>
              <w:rPr>
                <w:webHidden/>
              </w:rPr>
              <w:fldChar w:fldCharType="separate"/>
            </w:r>
            <w:r>
              <w:rPr>
                <w:webHidden/>
              </w:rPr>
              <w:t>1</w:t>
            </w:r>
            <w:r>
              <w:rPr>
                <w:webHidden/>
              </w:rPr>
              <w:fldChar w:fldCharType="end"/>
            </w:r>
          </w:hyperlink>
        </w:p>
        <w:p w:rsidR="007373E6" w14:paraId="64D5EDA3" w14:textId="3A9E5C69">
          <w:pPr>
            <w:pStyle w:val="TOC1"/>
            <w:rPr>
              <w:rFonts w:asciiTheme="minorHAnsi" w:eastAsiaTheme="minorEastAsia" w:hAnsiTheme="minorHAnsi" w:cstheme="minorBidi"/>
              <w:b w:val="0"/>
              <w:bCs w:val="0"/>
              <w:kern w:val="2"/>
              <w:sz w:val="24"/>
              <w:szCs w:val="24"/>
              <w14:ligatures w14:val="standardContextual"/>
            </w:rPr>
          </w:pPr>
          <w:hyperlink w:anchor="_Toc222796493" w:history="1">
            <w:r w:rsidRPr="001A6C03">
              <w:rPr>
                <w:rStyle w:val="Hyperlink"/>
              </w:rPr>
              <w:t>2.0</w:t>
            </w:r>
            <w:r>
              <w:rPr>
                <w:rFonts w:asciiTheme="minorHAnsi" w:eastAsiaTheme="minorEastAsia" w:hAnsiTheme="minorHAnsi" w:cstheme="minorBidi"/>
                <w:b w:val="0"/>
                <w:bCs w:val="0"/>
                <w:kern w:val="2"/>
                <w:sz w:val="24"/>
                <w:szCs w:val="24"/>
                <w14:ligatures w14:val="standardContextual"/>
              </w:rPr>
              <w:tab/>
            </w:r>
            <w:r w:rsidRPr="001A6C03">
              <w:rPr>
                <w:rStyle w:val="Hyperlink"/>
              </w:rPr>
              <w:t>STATEMENT OF THE PROBLEM AND OBJECTIVES</w:t>
            </w:r>
            <w:r>
              <w:rPr>
                <w:webHidden/>
              </w:rPr>
              <w:tab/>
            </w:r>
            <w:r>
              <w:rPr>
                <w:webHidden/>
              </w:rPr>
              <w:fldChar w:fldCharType="begin"/>
            </w:r>
            <w:r>
              <w:rPr>
                <w:webHidden/>
              </w:rPr>
              <w:instrText xml:space="preserve"> PAGEREF _Toc222796493 \h </w:instrText>
            </w:r>
            <w:r>
              <w:rPr>
                <w:webHidden/>
              </w:rPr>
              <w:fldChar w:fldCharType="separate"/>
            </w:r>
            <w:r>
              <w:rPr>
                <w:webHidden/>
              </w:rPr>
              <w:t>1</w:t>
            </w:r>
            <w:r>
              <w:rPr>
                <w:webHidden/>
              </w:rPr>
              <w:fldChar w:fldCharType="end"/>
            </w:r>
          </w:hyperlink>
        </w:p>
        <w:p w:rsidR="007373E6" w14:paraId="7E0A703C" w14:textId="47BE402B">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494" w:history="1">
            <w:r w:rsidRPr="001A6C03">
              <w:rPr>
                <w:rStyle w:val="Hyperlink"/>
                <w:noProof/>
              </w:rPr>
              <w:t>2.1</w:t>
            </w:r>
            <w:r>
              <w:rPr>
                <w:rFonts w:asciiTheme="minorHAnsi" w:eastAsiaTheme="minorEastAsia" w:hAnsiTheme="minorHAnsi" w:cstheme="minorBidi"/>
                <w:noProof/>
                <w:kern w:val="2"/>
                <w:sz w:val="24"/>
                <w:szCs w:val="24"/>
                <w14:ligatures w14:val="standardContextual"/>
              </w:rPr>
              <w:tab/>
            </w:r>
            <w:r w:rsidRPr="001A6C03">
              <w:rPr>
                <w:rStyle w:val="Hyperlink"/>
                <w:noProof/>
              </w:rPr>
              <w:t>Background</w:t>
            </w:r>
            <w:r>
              <w:rPr>
                <w:noProof/>
                <w:webHidden/>
              </w:rPr>
              <w:tab/>
            </w:r>
            <w:r>
              <w:rPr>
                <w:noProof/>
                <w:webHidden/>
              </w:rPr>
              <w:fldChar w:fldCharType="begin"/>
            </w:r>
            <w:r>
              <w:rPr>
                <w:noProof/>
                <w:webHidden/>
              </w:rPr>
              <w:instrText xml:space="preserve"> PAGEREF _Toc222796494 \h </w:instrText>
            </w:r>
            <w:r>
              <w:rPr>
                <w:noProof/>
                <w:webHidden/>
              </w:rPr>
              <w:fldChar w:fldCharType="separate"/>
            </w:r>
            <w:r>
              <w:rPr>
                <w:noProof/>
                <w:webHidden/>
              </w:rPr>
              <w:t>1</w:t>
            </w:r>
            <w:r>
              <w:rPr>
                <w:noProof/>
                <w:webHidden/>
              </w:rPr>
              <w:fldChar w:fldCharType="end"/>
            </w:r>
          </w:hyperlink>
        </w:p>
        <w:p w:rsidR="007373E6" w14:paraId="7180AED2" w14:textId="59391026">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495" w:history="1">
            <w:r w:rsidRPr="001A6C03">
              <w:rPr>
                <w:rStyle w:val="Hyperlink"/>
                <w:noProof/>
              </w:rPr>
              <w:t>2.2</w:t>
            </w:r>
            <w:r>
              <w:rPr>
                <w:rFonts w:asciiTheme="minorHAnsi" w:eastAsiaTheme="minorEastAsia" w:hAnsiTheme="minorHAnsi" w:cstheme="minorBidi"/>
                <w:noProof/>
                <w:kern w:val="2"/>
                <w:sz w:val="24"/>
                <w:szCs w:val="24"/>
                <w14:ligatures w14:val="standardContextual"/>
              </w:rPr>
              <w:tab/>
            </w:r>
            <w:r w:rsidRPr="001A6C03">
              <w:rPr>
                <w:rStyle w:val="Hyperlink"/>
                <w:noProof/>
              </w:rPr>
              <w:t>Statement of the Problem</w:t>
            </w:r>
            <w:r>
              <w:rPr>
                <w:noProof/>
                <w:webHidden/>
              </w:rPr>
              <w:tab/>
            </w:r>
            <w:r>
              <w:rPr>
                <w:noProof/>
                <w:webHidden/>
              </w:rPr>
              <w:fldChar w:fldCharType="begin"/>
            </w:r>
            <w:r>
              <w:rPr>
                <w:noProof/>
                <w:webHidden/>
              </w:rPr>
              <w:instrText xml:space="preserve"> PAGEREF _Toc222796495 \h </w:instrText>
            </w:r>
            <w:r>
              <w:rPr>
                <w:noProof/>
                <w:webHidden/>
              </w:rPr>
              <w:fldChar w:fldCharType="separate"/>
            </w:r>
            <w:r>
              <w:rPr>
                <w:noProof/>
                <w:webHidden/>
              </w:rPr>
              <w:t>1</w:t>
            </w:r>
            <w:r>
              <w:rPr>
                <w:noProof/>
                <w:webHidden/>
              </w:rPr>
              <w:fldChar w:fldCharType="end"/>
            </w:r>
          </w:hyperlink>
        </w:p>
        <w:p w:rsidR="007373E6" w14:paraId="70BFA665" w14:textId="514F6D09">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496" w:history="1">
            <w:r w:rsidRPr="001A6C03">
              <w:rPr>
                <w:rStyle w:val="Hyperlink"/>
                <w:noProof/>
              </w:rPr>
              <w:t>2.3</w:t>
            </w:r>
            <w:r>
              <w:rPr>
                <w:rFonts w:asciiTheme="minorHAnsi" w:eastAsiaTheme="minorEastAsia" w:hAnsiTheme="minorHAnsi" w:cstheme="minorBidi"/>
                <w:noProof/>
                <w:kern w:val="2"/>
                <w:sz w:val="24"/>
                <w:szCs w:val="24"/>
                <w14:ligatures w14:val="standardContextual"/>
              </w:rPr>
              <w:tab/>
            </w:r>
            <w:r w:rsidRPr="001A6C03">
              <w:rPr>
                <w:rStyle w:val="Hyperlink"/>
                <w:noProof/>
              </w:rPr>
              <w:t>Objectives</w:t>
            </w:r>
            <w:r>
              <w:rPr>
                <w:noProof/>
                <w:webHidden/>
              </w:rPr>
              <w:tab/>
            </w:r>
            <w:r>
              <w:rPr>
                <w:noProof/>
                <w:webHidden/>
              </w:rPr>
              <w:fldChar w:fldCharType="begin"/>
            </w:r>
            <w:r>
              <w:rPr>
                <w:noProof/>
                <w:webHidden/>
              </w:rPr>
              <w:instrText xml:space="preserve"> PAGEREF _Toc222796496 \h </w:instrText>
            </w:r>
            <w:r>
              <w:rPr>
                <w:noProof/>
                <w:webHidden/>
              </w:rPr>
              <w:fldChar w:fldCharType="separate"/>
            </w:r>
            <w:r>
              <w:rPr>
                <w:noProof/>
                <w:webHidden/>
              </w:rPr>
              <w:t>2</w:t>
            </w:r>
            <w:r>
              <w:rPr>
                <w:noProof/>
                <w:webHidden/>
              </w:rPr>
              <w:fldChar w:fldCharType="end"/>
            </w:r>
          </w:hyperlink>
        </w:p>
        <w:p w:rsidR="007373E6" w14:paraId="035F777E" w14:textId="56F7B2FC">
          <w:pPr>
            <w:pStyle w:val="TOC1"/>
            <w:rPr>
              <w:rFonts w:asciiTheme="minorHAnsi" w:eastAsiaTheme="minorEastAsia" w:hAnsiTheme="minorHAnsi" w:cstheme="minorBidi"/>
              <w:b w:val="0"/>
              <w:bCs w:val="0"/>
              <w:kern w:val="2"/>
              <w:sz w:val="24"/>
              <w:szCs w:val="24"/>
              <w14:ligatures w14:val="standardContextual"/>
            </w:rPr>
          </w:pPr>
          <w:hyperlink w:anchor="_Toc222796497" w:history="1">
            <w:r w:rsidRPr="001A6C03">
              <w:rPr>
                <w:rStyle w:val="Hyperlink"/>
              </w:rPr>
              <w:t>3.0</w:t>
            </w:r>
            <w:r>
              <w:rPr>
                <w:rFonts w:asciiTheme="minorHAnsi" w:eastAsiaTheme="minorEastAsia" w:hAnsiTheme="minorHAnsi" w:cstheme="minorBidi"/>
                <w:b w:val="0"/>
                <w:bCs w:val="0"/>
                <w:kern w:val="2"/>
                <w:sz w:val="24"/>
                <w:szCs w:val="24"/>
                <w14:ligatures w14:val="standardContextual"/>
              </w:rPr>
              <w:tab/>
            </w:r>
            <w:r w:rsidRPr="001A6C03">
              <w:rPr>
                <w:rStyle w:val="Hyperlink"/>
              </w:rPr>
              <w:t>IDENTIFICATION AND ANALYSIS OF ALTERNATIVES</w:t>
            </w:r>
            <w:r>
              <w:rPr>
                <w:webHidden/>
              </w:rPr>
              <w:tab/>
            </w:r>
            <w:r>
              <w:rPr>
                <w:webHidden/>
              </w:rPr>
              <w:fldChar w:fldCharType="begin"/>
            </w:r>
            <w:r>
              <w:rPr>
                <w:webHidden/>
              </w:rPr>
              <w:instrText xml:space="preserve"> PAGEREF _Toc222796497 \h </w:instrText>
            </w:r>
            <w:r>
              <w:rPr>
                <w:webHidden/>
              </w:rPr>
              <w:fldChar w:fldCharType="separate"/>
            </w:r>
            <w:r>
              <w:rPr>
                <w:webHidden/>
              </w:rPr>
              <w:t>3</w:t>
            </w:r>
            <w:r>
              <w:rPr>
                <w:webHidden/>
              </w:rPr>
              <w:fldChar w:fldCharType="end"/>
            </w:r>
          </w:hyperlink>
        </w:p>
        <w:p w:rsidR="007373E6" w14:paraId="0077C790" w14:textId="741079E0">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498" w:history="1">
            <w:r w:rsidRPr="001A6C03">
              <w:rPr>
                <w:rStyle w:val="Hyperlink"/>
                <w:noProof/>
              </w:rPr>
              <w:t>3.1</w:t>
            </w:r>
            <w:r>
              <w:rPr>
                <w:rFonts w:asciiTheme="minorHAnsi" w:eastAsiaTheme="minorEastAsia" w:hAnsiTheme="minorHAnsi" w:cstheme="minorBidi"/>
                <w:noProof/>
                <w:kern w:val="2"/>
                <w:sz w:val="24"/>
                <w:szCs w:val="24"/>
                <w14:ligatures w14:val="standardContextual"/>
              </w:rPr>
              <w:tab/>
            </w:r>
            <w:r w:rsidRPr="001A6C03">
              <w:rPr>
                <w:rStyle w:val="Hyperlink"/>
                <w:noProof/>
              </w:rPr>
              <w:t>Definitions</w:t>
            </w:r>
            <w:r>
              <w:rPr>
                <w:noProof/>
                <w:webHidden/>
              </w:rPr>
              <w:tab/>
            </w:r>
            <w:r>
              <w:rPr>
                <w:noProof/>
                <w:webHidden/>
              </w:rPr>
              <w:fldChar w:fldCharType="begin"/>
            </w:r>
            <w:r>
              <w:rPr>
                <w:noProof/>
                <w:webHidden/>
              </w:rPr>
              <w:instrText xml:space="preserve"> PAGEREF _Toc222796498 \h </w:instrText>
            </w:r>
            <w:r>
              <w:rPr>
                <w:noProof/>
                <w:webHidden/>
              </w:rPr>
              <w:fldChar w:fldCharType="separate"/>
            </w:r>
            <w:r>
              <w:rPr>
                <w:noProof/>
                <w:webHidden/>
              </w:rPr>
              <w:t>3</w:t>
            </w:r>
            <w:r>
              <w:rPr>
                <w:noProof/>
                <w:webHidden/>
              </w:rPr>
              <w:fldChar w:fldCharType="end"/>
            </w:r>
          </w:hyperlink>
        </w:p>
        <w:p w:rsidR="007373E6" w14:paraId="0E2F87ED" w14:textId="75E32CFE">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499" w:history="1">
            <w:r w:rsidRPr="001A6C03">
              <w:rPr>
                <w:rStyle w:val="Hyperlink"/>
                <w:noProof/>
              </w:rPr>
              <w:t>3.1.1</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Issue</w:t>
            </w:r>
            <w:r>
              <w:rPr>
                <w:noProof/>
                <w:webHidden/>
              </w:rPr>
              <w:tab/>
            </w:r>
            <w:r>
              <w:rPr>
                <w:noProof/>
                <w:webHidden/>
              </w:rPr>
              <w:fldChar w:fldCharType="begin"/>
            </w:r>
            <w:r>
              <w:rPr>
                <w:noProof/>
                <w:webHidden/>
              </w:rPr>
              <w:instrText xml:space="preserve"> PAGEREF _Toc222796499 \h </w:instrText>
            </w:r>
            <w:r>
              <w:rPr>
                <w:noProof/>
                <w:webHidden/>
              </w:rPr>
              <w:fldChar w:fldCharType="separate"/>
            </w:r>
            <w:r>
              <w:rPr>
                <w:noProof/>
                <w:webHidden/>
              </w:rPr>
              <w:t>3</w:t>
            </w:r>
            <w:r>
              <w:rPr>
                <w:noProof/>
                <w:webHidden/>
              </w:rPr>
              <w:fldChar w:fldCharType="end"/>
            </w:r>
          </w:hyperlink>
        </w:p>
        <w:p w:rsidR="007373E6" w14:paraId="507E53CF" w14:textId="2A672758">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00" w:history="1">
            <w:r w:rsidRPr="001A6C03">
              <w:rPr>
                <w:rStyle w:val="Hyperlink"/>
                <w:noProof/>
              </w:rPr>
              <w:t>3.1.2</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Alternatives</w:t>
            </w:r>
            <w:r>
              <w:rPr>
                <w:noProof/>
                <w:webHidden/>
              </w:rPr>
              <w:tab/>
            </w:r>
            <w:r>
              <w:rPr>
                <w:noProof/>
                <w:webHidden/>
              </w:rPr>
              <w:fldChar w:fldCharType="begin"/>
            </w:r>
            <w:r>
              <w:rPr>
                <w:noProof/>
                <w:webHidden/>
              </w:rPr>
              <w:instrText xml:space="preserve"> PAGEREF _Toc222796500 \h </w:instrText>
            </w:r>
            <w:r>
              <w:rPr>
                <w:noProof/>
                <w:webHidden/>
              </w:rPr>
              <w:fldChar w:fldCharType="separate"/>
            </w:r>
            <w:r>
              <w:rPr>
                <w:noProof/>
                <w:webHidden/>
              </w:rPr>
              <w:t>4</w:t>
            </w:r>
            <w:r>
              <w:rPr>
                <w:noProof/>
                <w:webHidden/>
              </w:rPr>
              <w:fldChar w:fldCharType="end"/>
            </w:r>
          </w:hyperlink>
        </w:p>
        <w:p w:rsidR="007373E6" w14:paraId="196200D5" w14:textId="5AABF2CC">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01" w:history="1">
            <w:r w:rsidRPr="001A6C03">
              <w:rPr>
                <w:rStyle w:val="Hyperlink"/>
                <w:noProof/>
              </w:rPr>
              <w:t>3.2</w:t>
            </w:r>
            <w:r>
              <w:rPr>
                <w:rFonts w:asciiTheme="minorHAnsi" w:eastAsiaTheme="minorEastAsia" w:hAnsiTheme="minorHAnsi" w:cstheme="minorBidi"/>
                <w:noProof/>
                <w:kern w:val="2"/>
                <w:sz w:val="24"/>
                <w:szCs w:val="24"/>
                <w14:ligatures w14:val="standardContextual"/>
              </w:rPr>
              <w:tab/>
            </w:r>
            <w:r w:rsidRPr="001A6C03">
              <w:rPr>
                <w:rStyle w:val="Hyperlink"/>
                <w:noProof/>
              </w:rPr>
              <w:t>Contents of Application</w:t>
            </w:r>
            <w:r>
              <w:rPr>
                <w:noProof/>
                <w:webHidden/>
              </w:rPr>
              <w:tab/>
            </w:r>
            <w:r>
              <w:rPr>
                <w:noProof/>
                <w:webHidden/>
              </w:rPr>
              <w:fldChar w:fldCharType="begin"/>
            </w:r>
            <w:r>
              <w:rPr>
                <w:noProof/>
                <w:webHidden/>
              </w:rPr>
              <w:instrText xml:space="preserve"> PAGEREF _Toc222796501 \h </w:instrText>
            </w:r>
            <w:r>
              <w:rPr>
                <w:noProof/>
                <w:webHidden/>
              </w:rPr>
              <w:fldChar w:fldCharType="separate"/>
            </w:r>
            <w:r>
              <w:rPr>
                <w:noProof/>
                <w:webHidden/>
              </w:rPr>
              <w:t>5</w:t>
            </w:r>
            <w:r>
              <w:rPr>
                <w:noProof/>
                <w:webHidden/>
              </w:rPr>
              <w:fldChar w:fldCharType="end"/>
            </w:r>
          </w:hyperlink>
        </w:p>
        <w:p w:rsidR="007373E6" w14:paraId="5FC6B841" w14:textId="1BB80622">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02" w:history="1">
            <w:r w:rsidRPr="001A6C03">
              <w:rPr>
                <w:rStyle w:val="Hyperlink"/>
                <w:noProof/>
              </w:rPr>
              <w:t>3.2.1</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Issue</w:t>
            </w:r>
            <w:r>
              <w:rPr>
                <w:noProof/>
                <w:webHidden/>
              </w:rPr>
              <w:tab/>
            </w:r>
            <w:r>
              <w:rPr>
                <w:noProof/>
                <w:webHidden/>
              </w:rPr>
              <w:fldChar w:fldCharType="begin"/>
            </w:r>
            <w:r>
              <w:rPr>
                <w:noProof/>
                <w:webHidden/>
              </w:rPr>
              <w:instrText xml:space="preserve"> PAGEREF _Toc222796502 \h </w:instrText>
            </w:r>
            <w:r>
              <w:rPr>
                <w:noProof/>
                <w:webHidden/>
              </w:rPr>
              <w:fldChar w:fldCharType="separate"/>
            </w:r>
            <w:r>
              <w:rPr>
                <w:noProof/>
                <w:webHidden/>
              </w:rPr>
              <w:t>5</w:t>
            </w:r>
            <w:r>
              <w:rPr>
                <w:noProof/>
                <w:webHidden/>
              </w:rPr>
              <w:fldChar w:fldCharType="end"/>
            </w:r>
          </w:hyperlink>
        </w:p>
        <w:p w:rsidR="007373E6" w14:paraId="65977D63" w14:textId="323982F3">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03" w:history="1">
            <w:r w:rsidRPr="001A6C03">
              <w:rPr>
                <w:rStyle w:val="Hyperlink"/>
                <w:noProof/>
              </w:rPr>
              <w:t>3.2.2</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Alternatives</w:t>
            </w:r>
            <w:r>
              <w:rPr>
                <w:noProof/>
                <w:webHidden/>
              </w:rPr>
              <w:tab/>
            </w:r>
            <w:r>
              <w:rPr>
                <w:noProof/>
                <w:webHidden/>
              </w:rPr>
              <w:fldChar w:fldCharType="begin"/>
            </w:r>
            <w:r>
              <w:rPr>
                <w:noProof/>
                <w:webHidden/>
              </w:rPr>
              <w:instrText xml:space="preserve"> PAGEREF _Toc222796503 \h </w:instrText>
            </w:r>
            <w:r>
              <w:rPr>
                <w:noProof/>
                <w:webHidden/>
              </w:rPr>
              <w:fldChar w:fldCharType="separate"/>
            </w:r>
            <w:r>
              <w:rPr>
                <w:noProof/>
                <w:webHidden/>
              </w:rPr>
              <w:t>6</w:t>
            </w:r>
            <w:r>
              <w:rPr>
                <w:noProof/>
                <w:webHidden/>
              </w:rPr>
              <w:fldChar w:fldCharType="end"/>
            </w:r>
          </w:hyperlink>
        </w:p>
        <w:p w:rsidR="007373E6" w14:paraId="7FB22EC1" w14:textId="2F104C7C">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04" w:history="1">
            <w:r w:rsidRPr="001A6C03">
              <w:rPr>
                <w:rStyle w:val="Hyperlink"/>
                <w:noProof/>
              </w:rPr>
              <w:t>3.3</w:t>
            </w:r>
            <w:r>
              <w:rPr>
                <w:rFonts w:asciiTheme="minorHAnsi" w:eastAsiaTheme="minorEastAsia" w:hAnsiTheme="minorHAnsi" w:cstheme="minorBidi"/>
                <w:noProof/>
                <w:kern w:val="2"/>
                <w:sz w:val="24"/>
                <w:szCs w:val="24"/>
                <w14:ligatures w14:val="standardContextual"/>
              </w:rPr>
              <w:tab/>
            </w:r>
            <w:r w:rsidRPr="001A6C03">
              <w:rPr>
                <w:rStyle w:val="Hyperlink"/>
                <w:noProof/>
              </w:rPr>
              <w:t>Environmental Report</w:t>
            </w:r>
            <w:r>
              <w:rPr>
                <w:noProof/>
                <w:webHidden/>
              </w:rPr>
              <w:tab/>
            </w:r>
            <w:r>
              <w:rPr>
                <w:noProof/>
                <w:webHidden/>
              </w:rPr>
              <w:fldChar w:fldCharType="begin"/>
            </w:r>
            <w:r>
              <w:rPr>
                <w:noProof/>
                <w:webHidden/>
              </w:rPr>
              <w:instrText xml:space="preserve"> PAGEREF _Toc222796504 \h </w:instrText>
            </w:r>
            <w:r>
              <w:rPr>
                <w:noProof/>
                <w:webHidden/>
              </w:rPr>
              <w:fldChar w:fldCharType="separate"/>
            </w:r>
            <w:r>
              <w:rPr>
                <w:noProof/>
                <w:webHidden/>
              </w:rPr>
              <w:t>7</w:t>
            </w:r>
            <w:r>
              <w:rPr>
                <w:noProof/>
                <w:webHidden/>
              </w:rPr>
              <w:fldChar w:fldCharType="end"/>
            </w:r>
          </w:hyperlink>
        </w:p>
        <w:p w:rsidR="007373E6" w14:paraId="71B8A29D" w14:textId="4D969200">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05" w:history="1">
            <w:r w:rsidRPr="001A6C03">
              <w:rPr>
                <w:rStyle w:val="Hyperlink"/>
                <w:noProof/>
              </w:rPr>
              <w:t>3.3.1</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Issue</w:t>
            </w:r>
            <w:r>
              <w:rPr>
                <w:noProof/>
                <w:webHidden/>
              </w:rPr>
              <w:tab/>
            </w:r>
            <w:r>
              <w:rPr>
                <w:noProof/>
                <w:webHidden/>
              </w:rPr>
              <w:fldChar w:fldCharType="begin"/>
            </w:r>
            <w:r>
              <w:rPr>
                <w:noProof/>
                <w:webHidden/>
              </w:rPr>
              <w:instrText xml:space="preserve"> PAGEREF _Toc222796505 \h </w:instrText>
            </w:r>
            <w:r>
              <w:rPr>
                <w:noProof/>
                <w:webHidden/>
              </w:rPr>
              <w:fldChar w:fldCharType="separate"/>
            </w:r>
            <w:r>
              <w:rPr>
                <w:noProof/>
                <w:webHidden/>
              </w:rPr>
              <w:t>7</w:t>
            </w:r>
            <w:r>
              <w:rPr>
                <w:noProof/>
                <w:webHidden/>
              </w:rPr>
              <w:fldChar w:fldCharType="end"/>
            </w:r>
          </w:hyperlink>
        </w:p>
        <w:p w:rsidR="007373E6" w14:paraId="53434EA8" w14:textId="5CC8217B">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06" w:history="1">
            <w:r w:rsidRPr="001A6C03">
              <w:rPr>
                <w:rStyle w:val="Hyperlink"/>
                <w:noProof/>
              </w:rPr>
              <w:t>3.3.2</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Alternatives</w:t>
            </w:r>
            <w:r>
              <w:rPr>
                <w:noProof/>
                <w:webHidden/>
              </w:rPr>
              <w:tab/>
            </w:r>
            <w:r>
              <w:rPr>
                <w:noProof/>
                <w:webHidden/>
              </w:rPr>
              <w:fldChar w:fldCharType="begin"/>
            </w:r>
            <w:r>
              <w:rPr>
                <w:noProof/>
                <w:webHidden/>
              </w:rPr>
              <w:instrText xml:space="preserve"> PAGEREF _Toc222796506 \h </w:instrText>
            </w:r>
            <w:r>
              <w:rPr>
                <w:noProof/>
                <w:webHidden/>
              </w:rPr>
              <w:fldChar w:fldCharType="separate"/>
            </w:r>
            <w:r>
              <w:rPr>
                <w:noProof/>
                <w:webHidden/>
              </w:rPr>
              <w:t>7</w:t>
            </w:r>
            <w:r>
              <w:rPr>
                <w:noProof/>
                <w:webHidden/>
              </w:rPr>
              <w:fldChar w:fldCharType="end"/>
            </w:r>
          </w:hyperlink>
        </w:p>
        <w:p w:rsidR="007373E6" w14:paraId="582D52FB" w14:textId="52A177DE">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07" w:history="1">
            <w:r w:rsidRPr="001A6C03">
              <w:rPr>
                <w:rStyle w:val="Hyperlink"/>
                <w:noProof/>
              </w:rPr>
              <w:t>3.4</w:t>
            </w:r>
            <w:r>
              <w:rPr>
                <w:rFonts w:asciiTheme="minorHAnsi" w:eastAsiaTheme="minorEastAsia" w:hAnsiTheme="minorHAnsi" w:cstheme="minorBidi"/>
                <w:noProof/>
                <w:kern w:val="2"/>
                <w:sz w:val="24"/>
                <w:szCs w:val="24"/>
                <w14:ligatures w14:val="standardContextual"/>
              </w:rPr>
              <w:tab/>
            </w:r>
            <w:r w:rsidRPr="001A6C03">
              <w:rPr>
                <w:rStyle w:val="Hyperlink"/>
                <w:noProof/>
              </w:rPr>
              <w:t>Waste Management</w:t>
            </w:r>
            <w:r>
              <w:rPr>
                <w:noProof/>
                <w:webHidden/>
              </w:rPr>
              <w:tab/>
            </w:r>
            <w:r>
              <w:rPr>
                <w:noProof/>
                <w:webHidden/>
              </w:rPr>
              <w:fldChar w:fldCharType="begin"/>
            </w:r>
            <w:r>
              <w:rPr>
                <w:noProof/>
                <w:webHidden/>
              </w:rPr>
              <w:instrText xml:space="preserve"> PAGEREF _Toc222796507 \h </w:instrText>
            </w:r>
            <w:r>
              <w:rPr>
                <w:noProof/>
                <w:webHidden/>
              </w:rPr>
              <w:fldChar w:fldCharType="separate"/>
            </w:r>
            <w:r>
              <w:rPr>
                <w:noProof/>
                <w:webHidden/>
              </w:rPr>
              <w:t>8</w:t>
            </w:r>
            <w:r>
              <w:rPr>
                <w:noProof/>
                <w:webHidden/>
              </w:rPr>
              <w:fldChar w:fldCharType="end"/>
            </w:r>
          </w:hyperlink>
        </w:p>
        <w:p w:rsidR="007373E6" w14:paraId="5DD539C1" w14:textId="345D0668">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08" w:history="1">
            <w:r w:rsidRPr="001A6C03">
              <w:rPr>
                <w:rStyle w:val="Hyperlink"/>
                <w:noProof/>
              </w:rPr>
              <w:t>3.4.1</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Issue</w:t>
            </w:r>
            <w:r>
              <w:rPr>
                <w:noProof/>
                <w:webHidden/>
              </w:rPr>
              <w:tab/>
            </w:r>
            <w:r>
              <w:rPr>
                <w:noProof/>
                <w:webHidden/>
              </w:rPr>
              <w:fldChar w:fldCharType="begin"/>
            </w:r>
            <w:r>
              <w:rPr>
                <w:noProof/>
                <w:webHidden/>
              </w:rPr>
              <w:instrText xml:space="preserve"> PAGEREF _Toc222796508 \h </w:instrText>
            </w:r>
            <w:r>
              <w:rPr>
                <w:noProof/>
                <w:webHidden/>
              </w:rPr>
              <w:fldChar w:fldCharType="separate"/>
            </w:r>
            <w:r>
              <w:rPr>
                <w:noProof/>
                <w:webHidden/>
              </w:rPr>
              <w:t>8</w:t>
            </w:r>
            <w:r>
              <w:rPr>
                <w:noProof/>
                <w:webHidden/>
              </w:rPr>
              <w:fldChar w:fldCharType="end"/>
            </w:r>
          </w:hyperlink>
        </w:p>
        <w:p w:rsidR="007373E6" w14:paraId="58158165" w14:textId="716AAE6E">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09" w:history="1">
            <w:r w:rsidRPr="001A6C03">
              <w:rPr>
                <w:rStyle w:val="Hyperlink"/>
                <w:noProof/>
              </w:rPr>
              <w:t>3.4.2</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Alternatives</w:t>
            </w:r>
            <w:r>
              <w:rPr>
                <w:noProof/>
                <w:webHidden/>
              </w:rPr>
              <w:tab/>
            </w:r>
            <w:r>
              <w:rPr>
                <w:noProof/>
                <w:webHidden/>
              </w:rPr>
              <w:fldChar w:fldCharType="begin"/>
            </w:r>
            <w:r>
              <w:rPr>
                <w:noProof/>
                <w:webHidden/>
              </w:rPr>
              <w:instrText xml:space="preserve"> PAGEREF _Toc222796509 \h </w:instrText>
            </w:r>
            <w:r>
              <w:rPr>
                <w:noProof/>
                <w:webHidden/>
              </w:rPr>
              <w:fldChar w:fldCharType="separate"/>
            </w:r>
            <w:r>
              <w:rPr>
                <w:noProof/>
                <w:webHidden/>
              </w:rPr>
              <w:t>9</w:t>
            </w:r>
            <w:r>
              <w:rPr>
                <w:noProof/>
                <w:webHidden/>
              </w:rPr>
              <w:fldChar w:fldCharType="end"/>
            </w:r>
          </w:hyperlink>
        </w:p>
        <w:p w:rsidR="007373E6" w14:paraId="4C11E931" w14:textId="765E4785">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10" w:history="1">
            <w:r w:rsidRPr="001A6C03">
              <w:rPr>
                <w:rStyle w:val="Hyperlink"/>
                <w:noProof/>
              </w:rPr>
              <w:t>3.5</w:t>
            </w:r>
            <w:r>
              <w:rPr>
                <w:rFonts w:asciiTheme="minorHAnsi" w:eastAsiaTheme="minorEastAsia" w:hAnsiTheme="minorHAnsi" w:cstheme="minorBidi"/>
                <w:noProof/>
                <w:kern w:val="2"/>
                <w:sz w:val="24"/>
                <w:szCs w:val="24"/>
                <w14:ligatures w14:val="standardContextual"/>
              </w:rPr>
              <w:tab/>
            </w:r>
            <w:r w:rsidRPr="001A6C03">
              <w:rPr>
                <w:rStyle w:val="Hyperlink"/>
                <w:noProof/>
              </w:rPr>
              <w:t>Reporting and Recordkeeping</w:t>
            </w:r>
            <w:r>
              <w:rPr>
                <w:noProof/>
                <w:webHidden/>
              </w:rPr>
              <w:tab/>
            </w:r>
            <w:r>
              <w:rPr>
                <w:noProof/>
                <w:webHidden/>
              </w:rPr>
              <w:fldChar w:fldCharType="begin"/>
            </w:r>
            <w:r>
              <w:rPr>
                <w:noProof/>
                <w:webHidden/>
              </w:rPr>
              <w:instrText xml:space="preserve"> PAGEREF _Toc222796510 \h </w:instrText>
            </w:r>
            <w:r>
              <w:rPr>
                <w:noProof/>
                <w:webHidden/>
              </w:rPr>
              <w:fldChar w:fldCharType="separate"/>
            </w:r>
            <w:r>
              <w:rPr>
                <w:noProof/>
                <w:webHidden/>
              </w:rPr>
              <w:t>10</w:t>
            </w:r>
            <w:r>
              <w:rPr>
                <w:noProof/>
                <w:webHidden/>
              </w:rPr>
              <w:fldChar w:fldCharType="end"/>
            </w:r>
          </w:hyperlink>
        </w:p>
        <w:p w:rsidR="007373E6" w14:paraId="662BCD0C" w14:textId="5A8EAFA6">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11" w:history="1">
            <w:r w:rsidRPr="001A6C03">
              <w:rPr>
                <w:rStyle w:val="Hyperlink"/>
                <w:noProof/>
              </w:rPr>
              <w:t>3.5.1</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Issue</w:t>
            </w:r>
            <w:r>
              <w:rPr>
                <w:noProof/>
                <w:webHidden/>
              </w:rPr>
              <w:tab/>
            </w:r>
            <w:r>
              <w:rPr>
                <w:noProof/>
                <w:webHidden/>
              </w:rPr>
              <w:fldChar w:fldCharType="begin"/>
            </w:r>
            <w:r>
              <w:rPr>
                <w:noProof/>
                <w:webHidden/>
              </w:rPr>
              <w:instrText xml:space="preserve"> PAGEREF _Toc222796511 \h </w:instrText>
            </w:r>
            <w:r>
              <w:rPr>
                <w:noProof/>
                <w:webHidden/>
              </w:rPr>
              <w:fldChar w:fldCharType="separate"/>
            </w:r>
            <w:r>
              <w:rPr>
                <w:noProof/>
                <w:webHidden/>
              </w:rPr>
              <w:t>10</w:t>
            </w:r>
            <w:r>
              <w:rPr>
                <w:noProof/>
                <w:webHidden/>
              </w:rPr>
              <w:fldChar w:fldCharType="end"/>
            </w:r>
          </w:hyperlink>
        </w:p>
        <w:p w:rsidR="007373E6" w14:paraId="396633CE" w14:textId="15C25D6A">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12" w:history="1">
            <w:r w:rsidRPr="001A6C03">
              <w:rPr>
                <w:rStyle w:val="Hyperlink"/>
                <w:noProof/>
              </w:rPr>
              <w:t>3.5.2</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Alternatives</w:t>
            </w:r>
            <w:r>
              <w:rPr>
                <w:noProof/>
                <w:webHidden/>
              </w:rPr>
              <w:tab/>
            </w:r>
            <w:r>
              <w:rPr>
                <w:noProof/>
                <w:webHidden/>
              </w:rPr>
              <w:fldChar w:fldCharType="begin"/>
            </w:r>
            <w:r>
              <w:rPr>
                <w:noProof/>
                <w:webHidden/>
              </w:rPr>
              <w:instrText xml:space="preserve"> PAGEREF _Toc222796512 \h </w:instrText>
            </w:r>
            <w:r>
              <w:rPr>
                <w:noProof/>
                <w:webHidden/>
              </w:rPr>
              <w:fldChar w:fldCharType="separate"/>
            </w:r>
            <w:r>
              <w:rPr>
                <w:noProof/>
                <w:webHidden/>
              </w:rPr>
              <w:t>10</w:t>
            </w:r>
            <w:r>
              <w:rPr>
                <w:noProof/>
                <w:webHidden/>
              </w:rPr>
              <w:fldChar w:fldCharType="end"/>
            </w:r>
          </w:hyperlink>
        </w:p>
        <w:p w:rsidR="007373E6" w14:paraId="20DE35A3" w14:textId="2CAB7C0D">
          <w:pPr>
            <w:pStyle w:val="TOC1"/>
            <w:rPr>
              <w:rFonts w:asciiTheme="minorHAnsi" w:eastAsiaTheme="minorEastAsia" w:hAnsiTheme="minorHAnsi" w:cstheme="minorBidi"/>
              <w:b w:val="0"/>
              <w:bCs w:val="0"/>
              <w:kern w:val="2"/>
              <w:sz w:val="24"/>
              <w:szCs w:val="24"/>
              <w14:ligatures w14:val="standardContextual"/>
            </w:rPr>
          </w:pPr>
          <w:hyperlink w:anchor="_Toc222796513" w:history="1">
            <w:r w:rsidRPr="001A6C03">
              <w:rPr>
                <w:rStyle w:val="Hyperlink"/>
              </w:rPr>
              <w:t>4.0</w:t>
            </w:r>
            <w:r>
              <w:rPr>
                <w:rFonts w:asciiTheme="minorHAnsi" w:eastAsiaTheme="minorEastAsia" w:hAnsiTheme="minorHAnsi" w:cstheme="minorBidi"/>
                <w:b w:val="0"/>
                <w:bCs w:val="0"/>
                <w:kern w:val="2"/>
                <w:sz w:val="24"/>
                <w:szCs w:val="24"/>
                <w14:ligatures w14:val="standardContextual"/>
              </w:rPr>
              <w:tab/>
            </w:r>
            <w:r w:rsidRPr="001A6C03">
              <w:rPr>
                <w:rStyle w:val="Hyperlink"/>
              </w:rPr>
              <w:t>EVALUATION OF BENEFIT AND COSTS</w:t>
            </w:r>
            <w:r>
              <w:rPr>
                <w:webHidden/>
              </w:rPr>
              <w:tab/>
            </w:r>
            <w:r>
              <w:rPr>
                <w:webHidden/>
              </w:rPr>
              <w:fldChar w:fldCharType="begin"/>
            </w:r>
            <w:r>
              <w:rPr>
                <w:webHidden/>
              </w:rPr>
              <w:instrText xml:space="preserve"> PAGEREF _Toc222796513 \h </w:instrText>
            </w:r>
            <w:r>
              <w:rPr>
                <w:webHidden/>
              </w:rPr>
              <w:fldChar w:fldCharType="separate"/>
            </w:r>
            <w:r>
              <w:rPr>
                <w:webHidden/>
              </w:rPr>
              <w:t>11</w:t>
            </w:r>
            <w:r>
              <w:rPr>
                <w:webHidden/>
              </w:rPr>
              <w:fldChar w:fldCharType="end"/>
            </w:r>
          </w:hyperlink>
        </w:p>
        <w:p w:rsidR="007373E6" w14:paraId="07BC72DA" w14:textId="538D7763">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14" w:history="1">
            <w:r w:rsidRPr="001A6C03">
              <w:rPr>
                <w:rStyle w:val="Hyperlink"/>
                <w:noProof/>
              </w:rPr>
              <w:t>4.1</w:t>
            </w:r>
            <w:r>
              <w:rPr>
                <w:rFonts w:asciiTheme="minorHAnsi" w:eastAsiaTheme="minorEastAsia" w:hAnsiTheme="minorHAnsi" w:cstheme="minorBidi"/>
                <w:noProof/>
                <w:kern w:val="2"/>
                <w:sz w:val="24"/>
                <w:szCs w:val="24"/>
                <w14:ligatures w14:val="standardContextual"/>
              </w:rPr>
              <w:tab/>
            </w:r>
            <w:r w:rsidRPr="001A6C03">
              <w:rPr>
                <w:rStyle w:val="Hyperlink"/>
                <w:noProof/>
              </w:rPr>
              <w:t>Identification of Affected Attributes</w:t>
            </w:r>
            <w:r>
              <w:rPr>
                <w:noProof/>
                <w:webHidden/>
              </w:rPr>
              <w:tab/>
            </w:r>
            <w:r>
              <w:rPr>
                <w:noProof/>
                <w:webHidden/>
              </w:rPr>
              <w:fldChar w:fldCharType="begin"/>
            </w:r>
            <w:r>
              <w:rPr>
                <w:noProof/>
                <w:webHidden/>
              </w:rPr>
              <w:instrText xml:space="preserve"> PAGEREF _Toc222796514 \h </w:instrText>
            </w:r>
            <w:r>
              <w:rPr>
                <w:noProof/>
                <w:webHidden/>
              </w:rPr>
              <w:fldChar w:fldCharType="separate"/>
            </w:r>
            <w:r>
              <w:rPr>
                <w:noProof/>
                <w:webHidden/>
              </w:rPr>
              <w:t>11</w:t>
            </w:r>
            <w:r>
              <w:rPr>
                <w:noProof/>
                <w:webHidden/>
              </w:rPr>
              <w:fldChar w:fldCharType="end"/>
            </w:r>
          </w:hyperlink>
        </w:p>
        <w:p w:rsidR="007373E6" w14:paraId="638ED75B" w14:textId="670FF0C0">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15" w:history="1">
            <w:r w:rsidRPr="001A6C03">
              <w:rPr>
                <w:rStyle w:val="Hyperlink"/>
                <w:noProof/>
              </w:rPr>
              <w:t>4.2</w:t>
            </w:r>
            <w:r>
              <w:rPr>
                <w:rFonts w:asciiTheme="minorHAnsi" w:eastAsiaTheme="minorEastAsia" w:hAnsiTheme="minorHAnsi" w:cstheme="minorBidi"/>
                <w:noProof/>
                <w:kern w:val="2"/>
                <w:sz w:val="24"/>
                <w:szCs w:val="24"/>
                <w14:ligatures w14:val="standardContextual"/>
              </w:rPr>
              <w:tab/>
            </w:r>
            <w:r w:rsidRPr="001A6C03">
              <w:rPr>
                <w:rStyle w:val="Hyperlink"/>
                <w:noProof/>
              </w:rPr>
              <w:t>Analytical Method</w:t>
            </w:r>
            <w:r>
              <w:rPr>
                <w:noProof/>
                <w:webHidden/>
              </w:rPr>
              <w:tab/>
            </w:r>
            <w:r>
              <w:rPr>
                <w:noProof/>
                <w:webHidden/>
              </w:rPr>
              <w:fldChar w:fldCharType="begin"/>
            </w:r>
            <w:r>
              <w:rPr>
                <w:noProof/>
                <w:webHidden/>
              </w:rPr>
              <w:instrText xml:space="preserve"> PAGEREF _Toc222796515 \h </w:instrText>
            </w:r>
            <w:r>
              <w:rPr>
                <w:noProof/>
                <w:webHidden/>
              </w:rPr>
              <w:fldChar w:fldCharType="separate"/>
            </w:r>
            <w:r>
              <w:rPr>
                <w:noProof/>
                <w:webHidden/>
              </w:rPr>
              <w:t>13</w:t>
            </w:r>
            <w:r>
              <w:rPr>
                <w:noProof/>
                <w:webHidden/>
              </w:rPr>
              <w:fldChar w:fldCharType="end"/>
            </w:r>
          </w:hyperlink>
        </w:p>
        <w:p w:rsidR="007373E6" w14:paraId="79E8A6CE" w14:textId="6C0A666A">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16" w:history="1">
            <w:r w:rsidRPr="001A6C03">
              <w:rPr>
                <w:rStyle w:val="Hyperlink"/>
                <w:noProof/>
              </w:rPr>
              <w:t>4.2.1</w:t>
            </w:r>
            <w:r>
              <w:rPr>
                <w:rFonts w:asciiTheme="minorHAnsi" w:eastAsiaTheme="minorEastAsia" w:hAnsiTheme="minorHAnsi" w:cstheme="minorBidi"/>
                <w:noProof/>
                <w:kern w:val="2"/>
                <w:sz w:val="24"/>
                <w:szCs w:val="24"/>
                <w14:ligatures w14:val="standardContextual"/>
              </w:rPr>
              <w:tab/>
            </w:r>
            <w:r w:rsidRPr="001A6C03">
              <w:rPr>
                <w:rStyle w:val="Hyperlink"/>
                <w:noProof/>
              </w:rPr>
              <w:t>Baseline for Analysis</w:t>
            </w:r>
            <w:r>
              <w:rPr>
                <w:noProof/>
                <w:webHidden/>
              </w:rPr>
              <w:tab/>
            </w:r>
            <w:r>
              <w:rPr>
                <w:noProof/>
                <w:webHidden/>
              </w:rPr>
              <w:fldChar w:fldCharType="begin"/>
            </w:r>
            <w:r>
              <w:rPr>
                <w:noProof/>
                <w:webHidden/>
              </w:rPr>
              <w:instrText xml:space="preserve"> PAGEREF _Toc222796516 \h </w:instrText>
            </w:r>
            <w:r>
              <w:rPr>
                <w:noProof/>
                <w:webHidden/>
              </w:rPr>
              <w:fldChar w:fldCharType="separate"/>
            </w:r>
            <w:r>
              <w:rPr>
                <w:noProof/>
                <w:webHidden/>
              </w:rPr>
              <w:t>14</w:t>
            </w:r>
            <w:r>
              <w:rPr>
                <w:noProof/>
                <w:webHidden/>
              </w:rPr>
              <w:fldChar w:fldCharType="end"/>
            </w:r>
          </w:hyperlink>
        </w:p>
        <w:p w:rsidR="007373E6" w14:paraId="6D542A7D" w14:textId="572C2493">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17" w:history="1">
            <w:r w:rsidRPr="001A6C03">
              <w:rPr>
                <w:rStyle w:val="Hyperlink"/>
                <w:noProof/>
              </w:rPr>
              <w:t>4.2.2</w:t>
            </w:r>
            <w:r>
              <w:rPr>
                <w:rFonts w:asciiTheme="minorHAnsi" w:eastAsiaTheme="minorEastAsia" w:hAnsiTheme="minorHAnsi" w:cstheme="minorBidi"/>
                <w:noProof/>
                <w:kern w:val="2"/>
                <w:sz w:val="24"/>
                <w:szCs w:val="24"/>
                <w14:ligatures w14:val="standardContextual"/>
              </w:rPr>
              <w:tab/>
            </w:r>
            <w:r w:rsidRPr="001A6C03">
              <w:rPr>
                <w:rStyle w:val="Hyperlink"/>
                <w:noProof/>
              </w:rPr>
              <w:t>Affected Entities</w:t>
            </w:r>
            <w:r>
              <w:rPr>
                <w:noProof/>
                <w:webHidden/>
              </w:rPr>
              <w:tab/>
            </w:r>
            <w:r>
              <w:rPr>
                <w:noProof/>
                <w:webHidden/>
              </w:rPr>
              <w:fldChar w:fldCharType="begin"/>
            </w:r>
            <w:r>
              <w:rPr>
                <w:noProof/>
                <w:webHidden/>
              </w:rPr>
              <w:instrText xml:space="preserve"> PAGEREF _Toc222796517 \h </w:instrText>
            </w:r>
            <w:r>
              <w:rPr>
                <w:noProof/>
                <w:webHidden/>
              </w:rPr>
              <w:fldChar w:fldCharType="separate"/>
            </w:r>
            <w:r>
              <w:rPr>
                <w:noProof/>
                <w:webHidden/>
              </w:rPr>
              <w:t>14</w:t>
            </w:r>
            <w:r>
              <w:rPr>
                <w:noProof/>
                <w:webHidden/>
              </w:rPr>
              <w:fldChar w:fldCharType="end"/>
            </w:r>
          </w:hyperlink>
        </w:p>
        <w:p w:rsidR="007373E6" w14:paraId="50EEEEC7" w14:textId="087DFC09">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18" w:history="1">
            <w:r w:rsidRPr="001A6C03">
              <w:rPr>
                <w:rStyle w:val="Hyperlink"/>
                <w:noProof/>
              </w:rPr>
              <w:t>4.2.3</w:t>
            </w:r>
            <w:r>
              <w:rPr>
                <w:rFonts w:asciiTheme="minorHAnsi" w:eastAsiaTheme="minorEastAsia" w:hAnsiTheme="minorHAnsi" w:cstheme="minorBidi"/>
                <w:noProof/>
                <w:kern w:val="2"/>
                <w:sz w:val="24"/>
                <w:szCs w:val="24"/>
                <w14:ligatures w14:val="standardContextual"/>
              </w:rPr>
              <w:tab/>
            </w:r>
            <w:r w:rsidRPr="001A6C03">
              <w:rPr>
                <w:rStyle w:val="Hyperlink"/>
                <w:noProof/>
              </w:rPr>
              <w:t>Fusion Machine Projection</w:t>
            </w:r>
            <w:r>
              <w:rPr>
                <w:noProof/>
                <w:webHidden/>
              </w:rPr>
              <w:tab/>
            </w:r>
            <w:r>
              <w:rPr>
                <w:noProof/>
                <w:webHidden/>
              </w:rPr>
              <w:fldChar w:fldCharType="begin"/>
            </w:r>
            <w:r>
              <w:rPr>
                <w:noProof/>
                <w:webHidden/>
              </w:rPr>
              <w:instrText xml:space="preserve"> PAGEREF _Toc222796518 \h </w:instrText>
            </w:r>
            <w:r>
              <w:rPr>
                <w:noProof/>
                <w:webHidden/>
              </w:rPr>
              <w:fldChar w:fldCharType="separate"/>
            </w:r>
            <w:r>
              <w:rPr>
                <w:noProof/>
                <w:webHidden/>
              </w:rPr>
              <w:t>15</w:t>
            </w:r>
            <w:r>
              <w:rPr>
                <w:noProof/>
                <w:webHidden/>
              </w:rPr>
              <w:fldChar w:fldCharType="end"/>
            </w:r>
          </w:hyperlink>
        </w:p>
        <w:p w:rsidR="007373E6" w14:paraId="794B1B63" w14:textId="372247A3">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19" w:history="1">
            <w:r w:rsidRPr="001A6C03">
              <w:rPr>
                <w:rStyle w:val="Hyperlink"/>
                <w:noProof/>
              </w:rPr>
              <w:t>4.3</w:t>
            </w:r>
            <w:r>
              <w:rPr>
                <w:rFonts w:asciiTheme="minorHAnsi" w:eastAsiaTheme="minorEastAsia" w:hAnsiTheme="minorHAnsi" w:cstheme="minorBidi"/>
                <w:noProof/>
                <w:kern w:val="2"/>
                <w:sz w:val="24"/>
                <w:szCs w:val="24"/>
                <w14:ligatures w14:val="standardContextual"/>
              </w:rPr>
              <w:tab/>
            </w:r>
            <w:r w:rsidRPr="001A6C03">
              <w:rPr>
                <w:rStyle w:val="Hyperlink"/>
                <w:noProof/>
              </w:rPr>
              <w:t>Cost and Benefit Calculations</w:t>
            </w:r>
            <w:r>
              <w:rPr>
                <w:noProof/>
                <w:webHidden/>
              </w:rPr>
              <w:tab/>
            </w:r>
            <w:r>
              <w:rPr>
                <w:noProof/>
                <w:webHidden/>
              </w:rPr>
              <w:fldChar w:fldCharType="begin"/>
            </w:r>
            <w:r>
              <w:rPr>
                <w:noProof/>
                <w:webHidden/>
              </w:rPr>
              <w:instrText xml:space="preserve"> PAGEREF _Toc222796519 \h </w:instrText>
            </w:r>
            <w:r>
              <w:rPr>
                <w:noProof/>
                <w:webHidden/>
              </w:rPr>
              <w:fldChar w:fldCharType="separate"/>
            </w:r>
            <w:r>
              <w:rPr>
                <w:noProof/>
                <w:webHidden/>
              </w:rPr>
              <w:t>17</w:t>
            </w:r>
            <w:r>
              <w:rPr>
                <w:noProof/>
                <w:webHidden/>
              </w:rPr>
              <w:fldChar w:fldCharType="end"/>
            </w:r>
          </w:hyperlink>
        </w:p>
        <w:p w:rsidR="007373E6" w14:paraId="51668FA9" w14:textId="105BE190">
          <w:pPr>
            <w:pStyle w:val="TOC1"/>
            <w:rPr>
              <w:rFonts w:asciiTheme="minorHAnsi" w:eastAsiaTheme="minorEastAsia" w:hAnsiTheme="minorHAnsi" w:cstheme="minorBidi"/>
              <w:b w:val="0"/>
              <w:bCs w:val="0"/>
              <w:kern w:val="2"/>
              <w:sz w:val="24"/>
              <w:szCs w:val="24"/>
              <w14:ligatures w14:val="standardContextual"/>
            </w:rPr>
          </w:pPr>
          <w:hyperlink w:anchor="_Toc222796520" w:history="1">
            <w:r w:rsidRPr="001A6C03">
              <w:rPr>
                <w:rStyle w:val="Hyperlink"/>
              </w:rPr>
              <w:t>5.0</w:t>
            </w:r>
            <w:r>
              <w:rPr>
                <w:rFonts w:asciiTheme="minorHAnsi" w:eastAsiaTheme="minorEastAsia" w:hAnsiTheme="minorHAnsi" w:cstheme="minorBidi"/>
                <w:b w:val="0"/>
                <w:bCs w:val="0"/>
                <w:kern w:val="2"/>
                <w:sz w:val="24"/>
                <w:szCs w:val="24"/>
                <w14:ligatures w14:val="standardContextual"/>
              </w:rPr>
              <w:tab/>
            </w:r>
            <w:r w:rsidRPr="001A6C03">
              <w:rPr>
                <w:rStyle w:val="Hyperlink"/>
              </w:rPr>
              <w:t>RESULTS</w:t>
            </w:r>
            <w:r>
              <w:rPr>
                <w:webHidden/>
              </w:rPr>
              <w:tab/>
            </w:r>
            <w:r>
              <w:rPr>
                <w:webHidden/>
              </w:rPr>
              <w:fldChar w:fldCharType="begin"/>
            </w:r>
            <w:r>
              <w:rPr>
                <w:webHidden/>
              </w:rPr>
              <w:instrText xml:space="preserve"> PAGEREF _Toc222796520 \h </w:instrText>
            </w:r>
            <w:r>
              <w:rPr>
                <w:webHidden/>
              </w:rPr>
              <w:fldChar w:fldCharType="separate"/>
            </w:r>
            <w:r>
              <w:rPr>
                <w:webHidden/>
              </w:rPr>
              <w:t>18</w:t>
            </w:r>
            <w:r>
              <w:rPr>
                <w:webHidden/>
              </w:rPr>
              <w:fldChar w:fldCharType="end"/>
            </w:r>
          </w:hyperlink>
        </w:p>
        <w:p w:rsidR="007373E6" w14:paraId="66A23968" w14:textId="1CFE81CD">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21" w:history="1">
            <w:r w:rsidRPr="001A6C03">
              <w:rPr>
                <w:rStyle w:val="Hyperlink"/>
                <w:noProof/>
              </w:rPr>
              <w:t>5.1</w:t>
            </w:r>
            <w:r>
              <w:rPr>
                <w:rFonts w:asciiTheme="minorHAnsi" w:eastAsiaTheme="minorEastAsia" w:hAnsiTheme="minorHAnsi" w:cstheme="minorBidi"/>
                <w:noProof/>
                <w:kern w:val="2"/>
                <w:sz w:val="24"/>
                <w:szCs w:val="24"/>
                <w14:ligatures w14:val="standardContextual"/>
              </w:rPr>
              <w:tab/>
            </w:r>
            <w:r w:rsidRPr="001A6C03">
              <w:rPr>
                <w:rStyle w:val="Hyperlink"/>
                <w:noProof/>
              </w:rPr>
              <w:t>Cost Impact on NRC and Agreement State Applicants for  Fusion Machine Licenses (Industry Operations)</w:t>
            </w:r>
            <w:r>
              <w:rPr>
                <w:noProof/>
                <w:webHidden/>
              </w:rPr>
              <w:tab/>
            </w:r>
            <w:r>
              <w:rPr>
                <w:noProof/>
                <w:webHidden/>
              </w:rPr>
              <w:fldChar w:fldCharType="begin"/>
            </w:r>
            <w:r>
              <w:rPr>
                <w:noProof/>
                <w:webHidden/>
              </w:rPr>
              <w:instrText xml:space="preserve"> PAGEREF _Toc222796521 \h </w:instrText>
            </w:r>
            <w:r>
              <w:rPr>
                <w:noProof/>
                <w:webHidden/>
              </w:rPr>
              <w:fldChar w:fldCharType="separate"/>
            </w:r>
            <w:r>
              <w:rPr>
                <w:noProof/>
                <w:webHidden/>
              </w:rPr>
              <w:t>18</w:t>
            </w:r>
            <w:r>
              <w:rPr>
                <w:noProof/>
                <w:webHidden/>
              </w:rPr>
              <w:fldChar w:fldCharType="end"/>
            </w:r>
          </w:hyperlink>
        </w:p>
        <w:p w:rsidR="007373E6" w14:paraId="78814403" w14:textId="580E143A">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22" w:history="1">
            <w:r w:rsidRPr="001A6C03">
              <w:rPr>
                <w:rStyle w:val="Hyperlink"/>
                <w:noProof/>
              </w:rPr>
              <w:t>5.2</w:t>
            </w:r>
            <w:r>
              <w:rPr>
                <w:rFonts w:asciiTheme="minorHAnsi" w:eastAsiaTheme="minorEastAsia" w:hAnsiTheme="minorHAnsi" w:cstheme="minorBidi"/>
                <w:noProof/>
                <w:kern w:val="2"/>
                <w:sz w:val="24"/>
                <w:szCs w:val="24"/>
                <w14:ligatures w14:val="standardContextual"/>
              </w:rPr>
              <w:tab/>
            </w:r>
            <w:r w:rsidRPr="001A6C03">
              <w:rPr>
                <w:rStyle w:val="Hyperlink"/>
                <w:noProof/>
              </w:rPr>
              <w:t>Cost Impact on the NRC</w:t>
            </w:r>
            <w:r>
              <w:rPr>
                <w:noProof/>
                <w:webHidden/>
              </w:rPr>
              <w:tab/>
            </w:r>
            <w:r>
              <w:rPr>
                <w:noProof/>
                <w:webHidden/>
              </w:rPr>
              <w:fldChar w:fldCharType="begin"/>
            </w:r>
            <w:r>
              <w:rPr>
                <w:noProof/>
                <w:webHidden/>
              </w:rPr>
              <w:instrText xml:space="preserve"> PAGEREF _Toc222796522 \h </w:instrText>
            </w:r>
            <w:r>
              <w:rPr>
                <w:noProof/>
                <w:webHidden/>
              </w:rPr>
              <w:fldChar w:fldCharType="separate"/>
            </w:r>
            <w:r>
              <w:rPr>
                <w:noProof/>
                <w:webHidden/>
              </w:rPr>
              <w:t>21</w:t>
            </w:r>
            <w:r>
              <w:rPr>
                <w:noProof/>
                <w:webHidden/>
              </w:rPr>
              <w:fldChar w:fldCharType="end"/>
            </w:r>
          </w:hyperlink>
        </w:p>
        <w:p w:rsidR="007373E6" w14:paraId="121B2340" w14:textId="1A55FB0A">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23" w:history="1">
            <w:r w:rsidRPr="001A6C03">
              <w:rPr>
                <w:rStyle w:val="Hyperlink"/>
                <w:noProof/>
              </w:rPr>
              <w:t>5.3</w:t>
            </w:r>
            <w:r>
              <w:rPr>
                <w:rFonts w:asciiTheme="minorHAnsi" w:eastAsiaTheme="minorEastAsia" w:hAnsiTheme="minorHAnsi" w:cstheme="minorBidi"/>
                <w:noProof/>
                <w:kern w:val="2"/>
                <w:sz w:val="24"/>
                <w:szCs w:val="24"/>
                <w14:ligatures w14:val="standardContextual"/>
              </w:rPr>
              <w:tab/>
            </w:r>
            <w:r w:rsidRPr="001A6C03">
              <w:rPr>
                <w:rStyle w:val="Hyperlink"/>
                <w:noProof/>
              </w:rPr>
              <w:t>Cost Impact on the Agreement States</w:t>
            </w:r>
            <w:r>
              <w:rPr>
                <w:noProof/>
                <w:webHidden/>
              </w:rPr>
              <w:tab/>
            </w:r>
            <w:r>
              <w:rPr>
                <w:noProof/>
                <w:webHidden/>
              </w:rPr>
              <w:fldChar w:fldCharType="begin"/>
            </w:r>
            <w:r>
              <w:rPr>
                <w:noProof/>
                <w:webHidden/>
              </w:rPr>
              <w:instrText xml:space="preserve"> PAGEREF _Toc222796523 \h </w:instrText>
            </w:r>
            <w:r>
              <w:rPr>
                <w:noProof/>
                <w:webHidden/>
              </w:rPr>
              <w:fldChar w:fldCharType="separate"/>
            </w:r>
            <w:r>
              <w:rPr>
                <w:noProof/>
                <w:webHidden/>
              </w:rPr>
              <w:t>23</w:t>
            </w:r>
            <w:r>
              <w:rPr>
                <w:noProof/>
                <w:webHidden/>
              </w:rPr>
              <w:fldChar w:fldCharType="end"/>
            </w:r>
          </w:hyperlink>
        </w:p>
        <w:p w:rsidR="007373E6" w14:paraId="362400FA" w14:textId="7B5CB2A5">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24" w:history="1">
            <w:r w:rsidRPr="001A6C03">
              <w:rPr>
                <w:rStyle w:val="Hyperlink"/>
                <w:noProof/>
              </w:rPr>
              <w:t>5.4</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Efficiency</w:t>
            </w:r>
            <w:r>
              <w:rPr>
                <w:noProof/>
                <w:webHidden/>
              </w:rPr>
              <w:tab/>
            </w:r>
            <w:r>
              <w:rPr>
                <w:noProof/>
                <w:webHidden/>
              </w:rPr>
              <w:fldChar w:fldCharType="begin"/>
            </w:r>
            <w:r>
              <w:rPr>
                <w:noProof/>
                <w:webHidden/>
              </w:rPr>
              <w:instrText xml:space="preserve"> PAGEREF _Toc222796524 \h </w:instrText>
            </w:r>
            <w:r>
              <w:rPr>
                <w:noProof/>
                <w:webHidden/>
              </w:rPr>
              <w:fldChar w:fldCharType="separate"/>
            </w:r>
            <w:r>
              <w:rPr>
                <w:noProof/>
                <w:webHidden/>
              </w:rPr>
              <w:t>26</w:t>
            </w:r>
            <w:r>
              <w:rPr>
                <w:noProof/>
                <w:webHidden/>
              </w:rPr>
              <w:fldChar w:fldCharType="end"/>
            </w:r>
          </w:hyperlink>
        </w:p>
        <w:p w:rsidR="007373E6" w14:paraId="1E464F8A" w14:textId="2B35A9F3">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25" w:history="1">
            <w:r w:rsidRPr="001A6C03">
              <w:rPr>
                <w:rStyle w:val="Hyperlink"/>
                <w:noProof/>
              </w:rPr>
              <w:t>5.5</w:t>
            </w:r>
            <w:r>
              <w:rPr>
                <w:rFonts w:asciiTheme="minorHAnsi" w:eastAsiaTheme="minorEastAsia" w:hAnsiTheme="minorHAnsi" w:cstheme="minorBidi"/>
                <w:noProof/>
                <w:kern w:val="2"/>
                <w:sz w:val="24"/>
                <w:szCs w:val="24"/>
                <w14:ligatures w14:val="standardContextual"/>
              </w:rPr>
              <w:tab/>
            </w:r>
            <w:r w:rsidRPr="001A6C03">
              <w:rPr>
                <w:rStyle w:val="Hyperlink"/>
                <w:noProof/>
              </w:rPr>
              <w:t>Increased Public Confidence</w:t>
            </w:r>
            <w:r>
              <w:rPr>
                <w:noProof/>
                <w:webHidden/>
              </w:rPr>
              <w:tab/>
            </w:r>
            <w:r>
              <w:rPr>
                <w:noProof/>
                <w:webHidden/>
              </w:rPr>
              <w:fldChar w:fldCharType="begin"/>
            </w:r>
            <w:r>
              <w:rPr>
                <w:noProof/>
                <w:webHidden/>
              </w:rPr>
              <w:instrText xml:space="preserve"> PAGEREF _Toc222796525 \h </w:instrText>
            </w:r>
            <w:r>
              <w:rPr>
                <w:noProof/>
                <w:webHidden/>
              </w:rPr>
              <w:fldChar w:fldCharType="separate"/>
            </w:r>
            <w:r>
              <w:rPr>
                <w:noProof/>
                <w:webHidden/>
              </w:rPr>
              <w:t>27</w:t>
            </w:r>
            <w:r>
              <w:rPr>
                <w:noProof/>
                <w:webHidden/>
              </w:rPr>
              <w:fldChar w:fldCharType="end"/>
            </w:r>
          </w:hyperlink>
        </w:p>
        <w:p w:rsidR="007373E6" w14:paraId="0A661703" w14:textId="69190D91">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26" w:history="1">
            <w:r w:rsidRPr="001A6C03">
              <w:rPr>
                <w:rStyle w:val="Hyperlink"/>
                <w:noProof/>
              </w:rPr>
              <w:t>5.6</w:t>
            </w:r>
            <w:r>
              <w:rPr>
                <w:rFonts w:asciiTheme="minorHAnsi" w:eastAsiaTheme="minorEastAsia" w:hAnsiTheme="minorHAnsi" w:cstheme="minorBidi"/>
                <w:noProof/>
                <w:kern w:val="2"/>
                <w:sz w:val="24"/>
                <w:szCs w:val="24"/>
                <w14:ligatures w14:val="standardContextual"/>
              </w:rPr>
              <w:tab/>
            </w:r>
            <w:r w:rsidRPr="001A6C03">
              <w:rPr>
                <w:rStyle w:val="Hyperlink"/>
                <w:noProof/>
              </w:rPr>
              <w:t>Uncertainty</w:t>
            </w:r>
            <w:r w:rsidRPr="001A6C03">
              <w:rPr>
                <w:rStyle w:val="Hyperlink"/>
                <w:noProof/>
                <w:spacing w:val="-10"/>
              </w:rPr>
              <w:t xml:space="preserve"> </w:t>
            </w:r>
            <w:r w:rsidRPr="001A6C03">
              <w:rPr>
                <w:rStyle w:val="Hyperlink"/>
                <w:noProof/>
              </w:rPr>
              <w:t>Analysis</w:t>
            </w:r>
            <w:r>
              <w:rPr>
                <w:noProof/>
                <w:webHidden/>
              </w:rPr>
              <w:tab/>
            </w:r>
            <w:r>
              <w:rPr>
                <w:noProof/>
                <w:webHidden/>
              </w:rPr>
              <w:fldChar w:fldCharType="begin"/>
            </w:r>
            <w:r>
              <w:rPr>
                <w:noProof/>
                <w:webHidden/>
              </w:rPr>
              <w:instrText xml:space="preserve"> PAGEREF _Toc222796526 \h </w:instrText>
            </w:r>
            <w:r>
              <w:rPr>
                <w:noProof/>
                <w:webHidden/>
              </w:rPr>
              <w:fldChar w:fldCharType="separate"/>
            </w:r>
            <w:r>
              <w:rPr>
                <w:noProof/>
                <w:webHidden/>
              </w:rPr>
              <w:t>27</w:t>
            </w:r>
            <w:r>
              <w:rPr>
                <w:noProof/>
                <w:webHidden/>
              </w:rPr>
              <w:fldChar w:fldCharType="end"/>
            </w:r>
          </w:hyperlink>
        </w:p>
        <w:p w:rsidR="007373E6" w14:paraId="098D7235" w14:textId="51CF5163">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27" w:history="1">
            <w:r w:rsidRPr="001A6C03">
              <w:rPr>
                <w:rStyle w:val="Hyperlink"/>
                <w:noProof/>
              </w:rPr>
              <w:t>5.6.1</w:t>
            </w:r>
            <w:r>
              <w:rPr>
                <w:rFonts w:asciiTheme="minorHAnsi" w:eastAsiaTheme="minorEastAsia" w:hAnsiTheme="minorHAnsi" w:cstheme="minorBidi"/>
                <w:noProof/>
                <w:kern w:val="2"/>
                <w:sz w:val="24"/>
                <w:szCs w:val="24"/>
                <w14:ligatures w14:val="standardContextual"/>
              </w:rPr>
              <w:tab/>
            </w:r>
            <w:r w:rsidRPr="001A6C03">
              <w:rPr>
                <w:rStyle w:val="Hyperlink"/>
                <w:noProof/>
              </w:rPr>
              <w:t>Uncertainty Analysis Assumptions</w:t>
            </w:r>
            <w:r>
              <w:rPr>
                <w:noProof/>
                <w:webHidden/>
              </w:rPr>
              <w:tab/>
            </w:r>
            <w:r>
              <w:rPr>
                <w:noProof/>
                <w:webHidden/>
              </w:rPr>
              <w:fldChar w:fldCharType="begin"/>
            </w:r>
            <w:r>
              <w:rPr>
                <w:noProof/>
                <w:webHidden/>
              </w:rPr>
              <w:instrText xml:space="preserve"> PAGEREF _Toc222796527 \h </w:instrText>
            </w:r>
            <w:r>
              <w:rPr>
                <w:noProof/>
                <w:webHidden/>
              </w:rPr>
              <w:fldChar w:fldCharType="separate"/>
            </w:r>
            <w:r>
              <w:rPr>
                <w:noProof/>
                <w:webHidden/>
              </w:rPr>
              <w:t>27</w:t>
            </w:r>
            <w:r>
              <w:rPr>
                <w:noProof/>
                <w:webHidden/>
              </w:rPr>
              <w:fldChar w:fldCharType="end"/>
            </w:r>
          </w:hyperlink>
        </w:p>
        <w:p w:rsidR="007373E6" w14:paraId="126323DD" w14:textId="4BF86EC1">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28" w:history="1">
            <w:r w:rsidRPr="001A6C03">
              <w:rPr>
                <w:rStyle w:val="Hyperlink"/>
                <w:noProof/>
              </w:rPr>
              <w:t>5.6.2</w:t>
            </w:r>
            <w:r>
              <w:rPr>
                <w:rFonts w:asciiTheme="minorHAnsi" w:eastAsiaTheme="minorEastAsia" w:hAnsiTheme="minorHAnsi" w:cstheme="minorBidi"/>
                <w:noProof/>
                <w:kern w:val="2"/>
                <w:sz w:val="24"/>
                <w:szCs w:val="24"/>
                <w14:ligatures w14:val="standardContextual"/>
              </w:rPr>
              <w:tab/>
            </w:r>
            <w:r w:rsidRPr="001A6C03">
              <w:rPr>
                <w:rStyle w:val="Hyperlink"/>
                <w:noProof/>
              </w:rPr>
              <w:t>Uncertainty Analysis Results</w:t>
            </w:r>
            <w:r>
              <w:rPr>
                <w:noProof/>
                <w:webHidden/>
              </w:rPr>
              <w:tab/>
            </w:r>
            <w:r>
              <w:rPr>
                <w:noProof/>
                <w:webHidden/>
              </w:rPr>
              <w:fldChar w:fldCharType="begin"/>
            </w:r>
            <w:r>
              <w:rPr>
                <w:noProof/>
                <w:webHidden/>
              </w:rPr>
              <w:instrText xml:space="preserve"> PAGEREF _Toc222796528 \h </w:instrText>
            </w:r>
            <w:r>
              <w:rPr>
                <w:noProof/>
                <w:webHidden/>
              </w:rPr>
              <w:fldChar w:fldCharType="separate"/>
            </w:r>
            <w:r>
              <w:rPr>
                <w:noProof/>
                <w:webHidden/>
              </w:rPr>
              <w:t>28</w:t>
            </w:r>
            <w:r>
              <w:rPr>
                <w:noProof/>
                <w:webHidden/>
              </w:rPr>
              <w:fldChar w:fldCharType="end"/>
            </w:r>
          </w:hyperlink>
        </w:p>
        <w:p w:rsidR="007373E6" w14:paraId="00638924" w14:textId="4CE91C6F">
          <w:pPr>
            <w:pStyle w:val="TOC3"/>
            <w:tabs>
              <w:tab w:val="left" w:pos="1928"/>
              <w:tab w:val="right" w:leader="dot" w:pos="9350"/>
            </w:tabs>
            <w:rPr>
              <w:rFonts w:asciiTheme="minorHAnsi" w:eastAsiaTheme="minorEastAsia" w:hAnsiTheme="minorHAnsi" w:cstheme="minorBidi"/>
              <w:noProof/>
              <w:kern w:val="2"/>
              <w:sz w:val="24"/>
              <w:szCs w:val="24"/>
              <w14:ligatures w14:val="standardContextual"/>
            </w:rPr>
          </w:pPr>
          <w:hyperlink w:anchor="_Toc222796529" w:history="1">
            <w:r w:rsidRPr="001A6C03">
              <w:rPr>
                <w:rStyle w:val="Hyperlink"/>
                <w:noProof/>
              </w:rPr>
              <w:t>5.6.3</w:t>
            </w:r>
            <w:r>
              <w:rPr>
                <w:rFonts w:asciiTheme="minorHAnsi" w:eastAsiaTheme="minorEastAsia" w:hAnsiTheme="minorHAnsi" w:cstheme="minorBidi"/>
                <w:noProof/>
                <w:kern w:val="2"/>
                <w:sz w:val="24"/>
                <w:szCs w:val="24"/>
                <w14:ligatures w14:val="standardContextual"/>
              </w:rPr>
              <w:tab/>
            </w:r>
            <w:r w:rsidRPr="001A6C03">
              <w:rPr>
                <w:rStyle w:val="Hyperlink"/>
                <w:noProof/>
              </w:rPr>
              <w:t>Sensitivity</w:t>
            </w:r>
            <w:r w:rsidRPr="001A6C03">
              <w:rPr>
                <w:rStyle w:val="Hyperlink"/>
                <w:noProof/>
                <w:spacing w:val="-10"/>
              </w:rPr>
              <w:t xml:space="preserve"> </w:t>
            </w:r>
            <w:r w:rsidRPr="001A6C03">
              <w:rPr>
                <w:rStyle w:val="Hyperlink"/>
                <w:noProof/>
              </w:rPr>
              <w:t>Analysis</w:t>
            </w:r>
            <w:r>
              <w:rPr>
                <w:noProof/>
                <w:webHidden/>
              </w:rPr>
              <w:tab/>
            </w:r>
            <w:r>
              <w:rPr>
                <w:noProof/>
                <w:webHidden/>
              </w:rPr>
              <w:fldChar w:fldCharType="begin"/>
            </w:r>
            <w:r>
              <w:rPr>
                <w:noProof/>
                <w:webHidden/>
              </w:rPr>
              <w:instrText xml:space="preserve"> PAGEREF _Toc222796529 \h </w:instrText>
            </w:r>
            <w:r>
              <w:rPr>
                <w:noProof/>
                <w:webHidden/>
              </w:rPr>
              <w:fldChar w:fldCharType="separate"/>
            </w:r>
            <w:r>
              <w:rPr>
                <w:noProof/>
                <w:webHidden/>
              </w:rPr>
              <w:t>30</w:t>
            </w:r>
            <w:r>
              <w:rPr>
                <w:noProof/>
                <w:webHidden/>
              </w:rPr>
              <w:fldChar w:fldCharType="end"/>
            </w:r>
          </w:hyperlink>
        </w:p>
        <w:p w:rsidR="007373E6" w14:paraId="0590D1DE" w14:textId="373195EE">
          <w:pPr>
            <w:pStyle w:val="TOC1"/>
            <w:rPr>
              <w:rFonts w:asciiTheme="minorHAnsi" w:eastAsiaTheme="minorEastAsia" w:hAnsiTheme="minorHAnsi" w:cstheme="minorBidi"/>
              <w:b w:val="0"/>
              <w:bCs w:val="0"/>
              <w:kern w:val="2"/>
              <w:sz w:val="24"/>
              <w:szCs w:val="24"/>
              <w14:ligatures w14:val="standardContextual"/>
            </w:rPr>
          </w:pPr>
          <w:hyperlink w:anchor="_Toc222796530" w:history="1">
            <w:r w:rsidRPr="001A6C03">
              <w:rPr>
                <w:rStyle w:val="Hyperlink"/>
              </w:rPr>
              <w:t>6.0</w:t>
            </w:r>
            <w:r>
              <w:rPr>
                <w:rFonts w:asciiTheme="minorHAnsi" w:eastAsiaTheme="minorEastAsia" w:hAnsiTheme="minorHAnsi" w:cstheme="minorBidi"/>
                <w:b w:val="0"/>
                <w:bCs w:val="0"/>
                <w:kern w:val="2"/>
                <w:sz w:val="24"/>
                <w:szCs w:val="24"/>
                <w14:ligatures w14:val="standardContextual"/>
              </w:rPr>
              <w:tab/>
            </w:r>
            <w:r w:rsidRPr="001A6C03">
              <w:rPr>
                <w:rStyle w:val="Hyperlink"/>
              </w:rPr>
              <w:t>OTHER IMPACTS AND REGULATORY CONSIDERATIONS</w:t>
            </w:r>
            <w:r>
              <w:rPr>
                <w:webHidden/>
              </w:rPr>
              <w:tab/>
            </w:r>
            <w:r>
              <w:rPr>
                <w:webHidden/>
              </w:rPr>
              <w:fldChar w:fldCharType="begin"/>
            </w:r>
            <w:r>
              <w:rPr>
                <w:webHidden/>
              </w:rPr>
              <w:instrText xml:space="preserve"> PAGEREF _Toc222796530 \h </w:instrText>
            </w:r>
            <w:r>
              <w:rPr>
                <w:webHidden/>
              </w:rPr>
              <w:fldChar w:fldCharType="separate"/>
            </w:r>
            <w:r>
              <w:rPr>
                <w:webHidden/>
              </w:rPr>
              <w:t>32</w:t>
            </w:r>
            <w:r>
              <w:rPr>
                <w:webHidden/>
              </w:rPr>
              <w:fldChar w:fldCharType="end"/>
            </w:r>
          </w:hyperlink>
        </w:p>
        <w:p w:rsidR="007373E6" w14:paraId="1FCFF670" w14:textId="4887ABF1">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31" w:history="1">
            <w:r w:rsidRPr="001A6C03">
              <w:rPr>
                <w:rStyle w:val="Hyperlink"/>
                <w:noProof/>
              </w:rPr>
              <w:t>6.1</w:t>
            </w:r>
            <w:r>
              <w:rPr>
                <w:rFonts w:asciiTheme="minorHAnsi" w:eastAsiaTheme="minorEastAsia" w:hAnsiTheme="minorHAnsi" w:cstheme="minorBidi"/>
                <w:noProof/>
                <w:kern w:val="2"/>
                <w:sz w:val="24"/>
                <w:szCs w:val="24"/>
                <w14:ligatures w14:val="standardContextual"/>
              </w:rPr>
              <w:tab/>
            </w:r>
            <w:r w:rsidRPr="001A6C03">
              <w:rPr>
                <w:rStyle w:val="Hyperlink"/>
                <w:noProof/>
              </w:rPr>
              <w:t>Regulatory Flexibility Act</w:t>
            </w:r>
            <w:r>
              <w:rPr>
                <w:noProof/>
                <w:webHidden/>
              </w:rPr>
              <w:tab/>
            </w:r>
            <w:r>
              <w:rPr>
                <w:noProof/>
                <w:webHidden/>
              </w:rPr>
              <w:fldChar w:fldCharType="begin"/>
            </w:r>
            <w:r>
              <w:rPr>
                <w:noProof/>
                <w:webHidden/>
              </w:rPr>
              <w:instrText xml:space="preserve"> PAGEREF _Toc222796531 \h </w:instrText>
            </w:r>
            <w:r>
              <w:rPr>
                <w:noProof/>
                <w:webHidden/>
              </w:rPr>
              <w:fldChar w:fldCharType="separate"/>
            </w:r>
            <w:r>
              <w:rPr>
                <w:noProof/>
                <w:webHidden/>
              </w:rPr>
              <w:t>32</w:t>
            </w:r>
            <w:r>
              <w:rPr>
                <w:noProof/>
                <w:webHidden/>
              </w:rPr>
              <w:fldChar w:fldCharType="end"/>
            </w:r>
          </w:hyperlink>
        </w:p>
        <w:p w:rsidR="007373E6" w14:paraId="082DDECC" w14:textId="713CCD08">
          <w:pPr>
            <w:pStyle w:val="TOC2"/>
            <w:tabs>
              <w:tab w:val="left" w:pos="1320"/>
              <w:tab w:val="right" w:leader="dot" w:pos="9350"/>
            </w:tabs>
            <w:rPr>
              <w:rFonts w:asciiTheme="minorHAnsi" w:eastAsiaTheme="minorEastAsia" w:hAnsiTheme="minorHAnsi" w:cstheme="minorBidi"/>
              <w:noProof/>
              <w:kern w:val="2"/>
              <w:sz w:val="24"/>
              <w:szCs w:val="24"/>
              <w14:ligatures w14:val="standardContextual"/>
            </w:rPr>
          </w:pPr>
          <w:hyperlink w:anchor="_Toc222796532" w:history="1">
            <w:r w:rsidRPr="001A6C03">
              <w:rPr>
                <w:rStyle w:val="Hyperlink"/>
                <w:noProof/>
              </w:rPr>
              <w:t>6.2</w:t>
            </w:r>
            <w:r>
              <w:rPr>
                <w:rFonts w:asciiTheme="minorHAnsi" w:eastAsiaTheme="minorEastAsia" w:hAnsiTheme="minorHAnsi" w:cstheme="minorBidi"/>
                <w:noProof/>
                <w:kern w:val="2"/>
                <w:sz w:val="24"/>
                <w:szCs w:val="24"/>
                <w14:ligatures w14:val="standardContextual"/>
              </w:rPr>
              <w:tab/>
            </w:r>
            <w:r w:rsidRPr="001A6C03">
              <w:rPr>
                <w:rStyle w:val="Hyperlink"/>
                <w:noProof/>
              </w:rPr>
              <w:t>Peer Review of Information Contained in this Regulatory Analysis</w:t>
            </w:r>
            <w:r>
              <w:rPr>
                <w:noProof/>
                <w:webHidden/>
              </w:rPr>
              <w:tab/>
            </w:r>
            <w:r>
              <w:rPr>
                <w:noProof/>
                <w:webHidden/>
              </w:rPr>
              <w:fldChar w:fldCharType="begin"/>
            </w:r>
            <w:r>
              <w:rPr>
                <w:noProof/>
                <w:webHidden/>
              </w:rPr>
              <w:instrText xml:space="preserve"> PAGEREF _Toc222796532 \h </w:instrText>
            </w:r>
            <w:r>
              <w:rPr>
                <w:noProof/>
                <w:webHidden/>
              </w:rPr>
              <w:fldChar w:fldCharType="separate"/>
            </w:r>
            <w:r>
              <w:rPr>
                <w:noProof/>
                <w:webHidden/>
              </w:rPr>
              <w:t>32</w:t>
            </w:r>
            <w:r>
              <w:rPr>
                <w:noProof/>
                <w:webHidden/>
              </w:rPr>
              <w:fldChar w:fldCharType="end"/>
            </w:r>
          </w:hyperlink>
        </w:p>
        <w:p w:rsidR="007373E6" w14:paraId="62C8FCEE" w14:textId="49014A01">
          <w:pPr>
            <w:pStyle w:val="TOC1"/>
            <w:rPr>
              <w:rFonts w:asciiTheme="minorHAnsi" w:eastAsiaTheme="minorEastAsia" w:hAnsiTheme="minorHAnsi" w:cstheme="minorBidi"/>
              <w:b w:val="0"/>
              <w:bCs w:val="0"/>
              <w:kern w:val="2"/>
              <w:sz w:val="24"/>
              <w:szCs w:val="24"/>
              <w14:ligatures w14:val="standardContextual"/>
            </w:rPr>
          </w:pPr>
          <w:hyperlink w:anchor="_Toc222796533" w:history="1">
            <w:r w:rsidRPr="001A6C03">
              <w:rPr>
                <w:rStyle w:val="Hyperlink"/>
              </w:rPr>
              <w:t>7.0</w:t>
            </w:r>
            <w:r>
              <w:rPr>
                <w:rFonts w:asciiTheme="minorHAnsi" w:eastAsiaTheme="minorEastAsia" w:hAnsiTheme="minorHAnsi" w:cstheme="minorBidi"/>
                <w:b w:val="0"/>
                <w:bCs w:val="0"/>
                <w:kern w:val="2"/>
                <w:sz w:val="24"/>
                <w:szCs w:val="24"/>
                <w14:ligatures w14:val="standardContextual"/>
              </w:rPr>
              <w:tab/>
            </w:r>
            <w:r w:rsidRPr="001A6C03">
              <w:rPr>
                <w:rStyle w:val="Hyperlink"/>
              </w:rPr>
              <w:t>CONCLUSION AND DECISION RATIONALE</w:t>
            </w:r>
            <w:r>
              <w:rPr>
                <w:webHidden/>
              </w:rPr>
              <w:tab/>
            </w:r>
            <w:r>
              <w:rPr>
                <w:webHidden/>
              </w:rPr>
              <w:fldChar w:fldCharType="begin"/>
            </w:r>
            <w:r>
              <w:rPr>
                <w:webHidden/>
              </w:rPr>
              <w:instrText xml:space="preserve"> PAGEREF _Toc222796533 \h </w:instrText>
            </w:r>
            <w:r>
              <w:rPr>
                <w:webHidden/>
              </w:rPr>
              <w:fldChar w:fldCharType="separate"/>
            </w:r>
            <w:r>
              <w:rPr>
                <w:webHidden/>
              </w:rPr>
              <w:t>32</w:t>
            </w:r>
            <w:r>
              <w:rPr>
                <w:webHidden/>
              </w:rPr>
              <w:fldChar w:fldCharType="end"/>
            </w:r>
          </w:hyperlink>
        </w:p>
        <w:p w:rsidR="007373E6" w14:paraId="539C1D39" w14:textId="5B9A7238">
          <w:pPr>
            <w:pStyle w:val="TOC1"/>
            <w:rPr>
              <w:rFonts w:asciiTheme="minorHAnsi" w:eastAsiaTheme="minorEastAsia" w:hAnsiTheme="minorHAnsi" w:cstheme="minorBidi"/>
              <w:b w:val="0"/>
              <w:bCs w:val="0"/>
              <w:kern w:val="2"/>
              <w:sz w:val="24"/>
              <w:szCs w:val="24"/>
              <w14:ligatures w14:val="standardContextual"/>
            </w:rPr>
          </w:pPr>
          <w:hyperlink w:anchor="_Toc222796534" w:history="1">
            <w:r w:rsidRPr="001A6C03">
              <w:rPr>
                <w:rStyle w:val="Hyperlink"/>
              </w:rPr>
              <w:t>8.0</w:t>
            </w:r>
            <w:r>
              <w:rPr>
                <w:rFonts w:asciiTheme="minorHAnsi" w:eastAsiaTheme="minorEastAsia" w:hAnsiTheme="minorHAnsi" w:cstheme="minorBidi"/>
                <w:b w:val="0"/>
                <w:bCs w:val="0"/>
                <w:kern w:val="2"/>
                <w:sz w:val="24"/>
                <w:szCs w:val="24"/>
                <w14:ligatures w14:val="standardContextual"/>
              </w:rPr>
              <w:tab/>
            </w:r>
            <w:r w:rsidRPr="001A6C03">
              <w:rPr>
                <w:rStyle w:val="Hyperlink"/>
              </w:rPr>
              <w:t>IMPLEMENTATION</w:t>
            </w:r>
            <w:r>
              <w:rPr>
                <w:webHidden/>
              </w:rPr>
              <w:tab/>
            </w:r>
            <w:r>
              <w:rPr>
                <w:webHidden/>
              </w:rPr>
              <w:fldChar w:fldCharType="begin"/>
            </w:r>
            <w:r>
              <w:rPr>
                <w:webHidden/>
              </w:rPr>
              <w:instrText xml:space="preserve"> PAGEREF _Toc222796534 \h </w:instrText>
            </w:r>
            <w:r>
              <w:rPr>
                <w:webHidden/>
              </w:rPr>
              <w:fldChar w:fldCharType="separate"/>
            </w:r>
            <w:r>
              <w:rPr>
                <w:webHidden/>
              </w:rPr>
              <w:t>33</w:t>
            </w:r>
            <w:r>
              <w:rPr>
                <w:webHidden/>
              </w:rPr>
              <w:fldChar w:fldCharType="end"/>
            </w:r>
          </w:hyperlink>
        </w:p>
        <w:p w:rsidR="007373E6" w14:paraId="271A054D" w14:textId="1E0A4F98">
          <w:pPr>
            <w:pStyle w:val="TOC1"/>
            <w:rPr>
              <w:rFonts w:asciiTheme="minorHAnsi" w:eastAsiaTheme="minorEastAsia" w:hAnsiTheme="minorHAnsi" w:cstheme="minorBidi"/>
              <w:b w:val="0"/>
              <w:bCs w:val="0"/>
              <w:kern w:val="2"/>
              <w:sz w:val="24"/>
              <w:szCs w:val="24"/>
              <w14:ligatures w14:val="standardContextual"/>
            </w:rPr>
          </w:pPr>
          <w:hyperlink w:anchor="_Toc222796535" w:history="1">
            <w:r w:rsidRPr="001A6C03">
              <w:rPr>
                <w:rStyle w:val="Hyperlink"/>
              </w:rPr>
              <w:t>9.0</w:t>
            </w:r>
            <w:r>
              <w:rPr>
                <w:rFonts w:asciiTheme="minorHAnsi" w:eastAsiaTheme="minorEastAsia" w:hAnsiTheme="minorHAnsi" w:cstheme="minorBidi"/>
                <w:b w:val="0"/>
                <w:bCs w:val="0"/>
                <w:kern w:val="2"/>
                <w:sz w:val="24"/>
                <w:szCs w:val="24"/>
                <w14:ligatures w14:val="standardContextual"/>
              </w:rPr>
              <w:tab/>
            </w:r>
            <w:r w:rsidRPr="001A6C03">
              <w:rPr>
                <w:rStyle w:val="Hyperlink"/>
              </w:rPr>
              <w:t>REFERENCES</w:t>
            </w:r>
            <w:r>
              <w:rPr>
                <w:webHidden/>
              </w:rPr>
              <w:tab/>
            </w:r>
            <w:r>
              <w:rPr>
                <w:webHidden/>
              </w:rPr>
              <w:fldChar w:fldCharType="begin"/>
            </w:r>
            <w:r>
              <w:rPr>
                <w:webHidden/>
              </w:rPr>
              <w:instrText xml:space="preserve"> PAGEREF _Toc222796535 \h </w:instrText>
            </w:r>
            <w:r>
              <w:rPr>
                <w:webHidden/>
              </w:rPr>
              <w:fldChar w:fldCharType="separate"/>
            </w:r>
            <w:r>
              <w:rPr>
                <w:webHidden/>
              </w:rPr>
              <w:t>34</w:t>
            </w:r>
            <w:r>
              <w:rPr>
                <w:webHidden/>
              </w:rPr>
              <w:fldChar w:fldCharType="end"/>
            </w:r>
          </w:hyperlink>
        </w:p>
        <w:p w:rsidR="007373E6" w14:paraId="2C4A1C89" w14:textId="0D02B430">
          <w:pPr>
            <w:pStyle w:val="TOC1"/>
            <w:rPr>
              <w:rFonts w:asciiTheme="minorHAnsi" w:eastAsiaTheme="minorEastAsia" w:hAnsiTheme="minorHAnsi" w:cstheme="minorBidi"/>
              <w:b w:val="0"/>
              <w:bCs w:val="0"/>
              <w:kern w:val="2"/>
              <w:sz w:val="24"/>
              <w:szCs w:val="24"/>
              <w14:ligatures w14:val="standardContextual"/>
            </w:rPr>
          </w:pPr>
          <w:hyperlink w:anchor="_Toc222796536" w:history="1">
            <w:r w:rsidRPr="001A6C03">
              <w:rPr>
                <w:rStyle w:val="Hyperlink"/>
              </w:rPr>
              <w:t>Appendix A Cost-Benefit Calculations</w:t>
            </w:r>
            <w:r>
              <w:rPr>
                <w:webHidden/>
              </w:rPr>
              <w:tab/>
              <w:t>A-</w:t>
            </w:r>
            <w:r>
              <w:rPr>
                <w:webHidden/>
              </w:rPr>
              <w:fldChar w:fldCharType="begin"/>
            </w:r>
            <w:r>
              <w:rPr>
                <w:webHidden/>
              </w:rPr>
              <w:instrText xml:space="preserve"> PAGEREF _Toc222796536 \h </w:instrText>
            </w:r>
            <w:r>
              <w:rPr>
                <w:webHidden/>
              </w:rPr>
              <w:fldChar w:fldCharType="separate"/>
            </w:r>
            <w:r>
              <w:rPr>
                <w:webHidden/>
              </w:rPr>
              <w:t>1</w:t>
            </w:r>
            <w:r>
              <w:rPr>
                <w:webHidden/>
              </w:rPr>
              <w:fldChar w:fldCharType="end"/>
            </w:r>
          </w:hyperlink>
        </w:p>
        <w:p w:rsidR="007373E6" w14:paraId="32358B23" w14:textId="26DB6188">
          <w:pPr>
            <w:pStyle w:val="TOC1"/>
            <w:rPr>
              <w:rFonts w:asciiTheme="minorHAnsi" w:eastAsiaTheme="minorEastAsia" w:hAnsiTheme="minorHAnsi" w:cstheme="minorBidi"/>
              <w:b w:val="0"/>
              <w:bCs w:val="0"/>
              <w:kern w:val="2"/>
              <w:sz w:val="24"/>
              <w:szCs w:val="24"/>
              <w14:ligatures w14:val="standardContextual"/>
            </w:rPr>
          </w:pPr>
          <w:hyperlink w:anchor="_Toc222796537" w:history="1">
            <w:r w:rsidRPr="001A6C03">
              <w:rPr>
                <w:rStyle w:val="Hyperlink"/>
              </w:rPr>
              <w:t>Appendix B Analysis Input Variables</w:t>
            </w:r>
            <w:r>
              <w:rPr>
                <w:webHidden/>
              </w:rPr>
              <w:tab/>
              <w:t>B-</w:t>
            </w:r>
            <w:r>
              <w:rPr>
                <w:webHidden/>
              </w:rPr>
              <w:fldChar w:fldCharType="begin"/>
            </w:r>
            <w:r>
              <w:rPr>
                <w:webHidden/>
              </w:rPr>
              <w:instrText xml:space="preserve"> PAGEREF _Toc222796537 \h </w:instrText>
            </w:r>
            <w:r>
              <w:rPr>
                <w:webHidden/>
              </w:rPr>
              <w:fldChar w:fldCharType="separate"/>
            </w:r>
            <w:r>
              <w:rPr>
                <w:webHidden/>
              </w:rPr>
              <w:t>1</w:t>
            </w:r>
            <w:r>
              <w:rPr>
                <w:webHidden/>
              </w:rPr>
              <w:fldChar w:fldCharType="end"/>
            </w:r>
          </w:hyperlink>
        </w:p>
        <w:p w:rsidR="00756160" w:rsidRPr="008F486F" w:rsidP="00756160" w14:paraId="07EDC669" w14:textId="4B278F9C">
          <w:r w:rsidRPr="008F486F">
            <w:rPr>
              <w:b/>
              <w:bCs/>
              <w:noProof/>
            </w:rPr>
            <w:fldChar w:fldCharType="end"/>
          </w:r>
        </w:p>
      </w:sdtContent>
    </w:sdt>
    <w:p w:rsidR="00756160" w:rsidRPr="008F486F" w:rsidP="00756160" w14:paraId="47E15621" w14:textId="77777777"/>
    <w:p w:rsidR="00756160" w:rsidRPr="008F486F" w:rsidP="00756160" w14:paraId="2AB1FB5E" w14:textId="77777777"/>
    <w:p w:rsidR="00756160" w:rsidRPr="008F486F" w:rsidP="00756160" w14:paraId="090514A7" w14:textId="77777777"/>
    <w:p w:rsidR="00756160" w:rsidRPr="008F486F" w:rsidP="00756160" w14:paraId="22F5F36E" w14:textId="77777777">
      <w:pPr>
        <w:widowControl w:val="0"/>
        <w:rPr>
          <w:b/>
          <w:bCs/>
          <w:sz w:val="28"/>
          <w:szCs w:val="28"/>
        </w:rPr>
      </w:pPr>
      <w:r w:rsidRPr="008F486F">
        <w:br w:type="page"/>
      </w:r>
    </w:p>
    <w:p w:rsidR="00756160" w:rsidRPr="008F486F" w:rsidP="00756160" w14:paraId="5088959B" w14:textId="77777777">
      <w:pPr>
        <w:pStyle w:val="Heading1"/>
      </w:pPr>
      <w:bookmarkStart w:id="9" w:name="_Toc164866141"/>
      <w:bookmarkStart w:id="10" w:name="_Toc176883965"/>
      <w:bookmarkStart w:id="11" w:name="_Toc222796488"/>
      <w:r w:rsidRPr="008F486F">
        <w:t>LIST OF FIGURES</w:t>
      </w:r>
      <w:bookmarkEnd w:id="9"/>
      <w:bookmarkEnd w:id="10"/>
      <w:bookmarkEnd w:id="11"/>
    </w:p>
    <w:p w:rsidR="00756160" w:rsidRPr="0014034C" w:rsidP="00756160" w14:paraId="22E04290" w14:textId="77777777"/>
    <w:p w:rsidR="0014034C" w:rsidRPr="0014034C" w14:paraId="3C1F23F0" w14:textId="1F690E8A">
      <w:pPr>
        <w:pStyle w:val="TableofFigures"/>
        <w:rPr>
          <w:rFonts w:asciiTheme="minorHAnsi" w:eastAsiaTheme="minorEastAsia" w:hAnsiTheme="minorHAnsi" w:cstheme="minorBidi"/>
          <w:kern w:val="2"/>
          <w:sz w:val="24"/>
          <w:szCs w:val="24"/>
          <w14:ligatures w14:val="standardContextual"/>
        </w:rPr>
      </w:pPr>
      <w:r w:rsidRPr="0014034C">
        <w:fldChar w:fldCharType="begin"/>
      </w:r>
      <w:r w:rsidRPr="0014034C">
        <w:instrText xml:space="preserve"> TOC \h \z \t "Caption" \c </w:instrText>
      </w:r>
      <w:r w:rsidRPr="0014034C">
        <w:fldChar w:fldCharType="separate"/>
      </w:r>
      <w:hyperlink w:anchor="_Toc222796220" w:history="1">
        <w:r w:rsidRPr="0014034C">
          <w:rPr>
            <w:rStyle w:val="Hyperlink"/>
          </w:rPr>
          <w:t xml:space="preserve">Figure 1 </w:t>
        </w:r>
        <w:r>
          <w:rPr>
            <w:rStyle w:val="Hyperlink"/>
          </w:rPr>
          <w:tab/>
        </w:r>
        <w:r w:rsidRPr="0014034C">
          <w:rPr>
            <w:rStyle w:val="Hyperlink"/>
          </w:rPr>
          <w:t>Scenarios for Fusion Machine Applications</w:t>
        </w:r>
        <w:r w:rsidRPr="0014034C">
          <w:rPr>
            <w:webHidden/>
          </w:rPr>
          <w:tab/>
        </w:r>
        <w:r w:rsidRPr="0014034C">
          <w:rPr>
            <w:webHidden/>
          </w:rPr>
          <w:fldChar w:fldCharType="begin"/>
        </w:r>
        <w:r w:rsidRPr="0014034C">
          <w:rPr>
            <w:webHidden/>
          </w:rPr>
          <w:instrText xml:space="preserve"> PAGEREF _Toc222796220 \h </w:instrText>
        </w:r>
        <w:r w:rsidRPr="0014034C">
          <w:rPr>
            <w:webHidden/>
          </w:rPr>
          <w:fldChar w:fldCharType="separate"/>
        </w:r>
        <w:r w:rsidR="007373E6">
          <w:rPr>
            <w:webHidden/>
          </w:rPr>
          <w:t>16</w:t>
        </w:r>
        <w:r w:rsidRPr="0014034C">
          <w:rPr>
            <w:webHidden/>
          </w:rPr>
          <w:fldChar w:fldCharType="end"/>
        </w:r>
      </w:hyperlink>
    </w:p>
    <w:p w:rsidR="0014034C" w:rsidRPr="0014034C" w14:paraId="11B28E66" w14:textId="1559EEE6">
      <w:pPr>
        <w:pStyle w:val="TableofFigures"/>
        <w:rPr>
          <w:rFonts w:asciiTheme="minorHAnsi" w:eastAsiaTheme="minorEastAsia" w:hAnsiTheme="minorHAnsi" w:cstheme="minorBidi"/>
          <w:kern w:val="2"/>
          <w:sz w:val="24"/>
          <w:szCs w:val="24"/>
          <w14:ligatures w14:val="standardContextual"/>
        </w:rPr>
      </w:pPr>
      <w:hyperlink w:anchor="_Toc222796221" w:history="1">
        <w:r w:rsidRPr="0014034C">
          <w:rPr>
            <w:rStyle w:val="Hyperlink"/>
          </w:rPr>
          <w:t xml:space="preserve">Figure 2 </w:t>
        </w:r>
        <w:r>
          <w:rPr>
            <w:rStyle w:val="Hyperlink"/>
          </w:rPr>
          <w:tab/>
        </w:r>
        <w:r w:rsidRPr="0014034C">
          <w:rPr>
            <w:rStyle w:val="Hyperlink"/>
          </w:rPr>
          <w:t>Industry-Averted Licensing Costs (7-percent Net Present Value)</w:t>
        </w:r>
        <w:r w:rsidRPr="0014034C">
          <w:rPr>
            <w:webHidden/>
          </w:rPr>
          <w:tab/>
        </w:r>
        <w:r w:rsidRPr="0014034C">
          <w:rPr>
            <w:webHidden/>
          </w:rPr>
          <w:fldChar w:fldCharType="begin"/>
        </w:r>
        <w:r w:rsidRPr="0014034C">
          <w:rPr>
            <w:webHidden/>
          </w:rPr>
          <w:instrText xml:space="preserve"> PAGEREF _Toc222796221 \h </w:instrText>
        </w:r>
        <w:r w:rsidRPr="0014034C">
          <w:rPr>
            <w:webHidden/>
          </w:rPr>
          <w:fldChar w:fldCharType="separate"/>
        </w:r>
        <w:r w:rsidR="007373E6">
          <w:rPr>
            <w:webHidden/>
          </w:rPr>
          <w:t>28</w:t>
        </w:r>
        <w:r w:rsidRPr="0014034C">
          <w:rPr>
            <w:webHidden/>
          </w:rPr>
          <w:fldChar w:fldCharType="end"/>
        </w:r>
      </w:hyperlink>
    </w:p>
    <w:p w:rsidR="0014034C" w:rsidRPr="0014034C" w14:paraId="0A0D9B3A" w14:textId="377CAF37">
      <w:pPr>
        <w:pStyle w:val="TableofFigures"/>
        <w:rPr>
          <w:rFonts w:asciiTheme="minorHAnsi" w:eastAsiaTheme="minorEastAsia" w:hAnsiTheme="minorHAnsi" w:cstheme="minorBidi"/>
          <w:kern w:val="2"/>
          <w:sz w:val="24"/>
          <w:szCs w:val="24"/>
          <w14:ligatures w14:val="standardContextual"/>
        </w:rPr>
      </w:pPr>
      <w:hyperlink w:anchor="_Toc222796222" w:history="1">
        <w:r w:rsidRPr="0014034C">
          <w:rPr>
            <w:rStyle w:val="Hyperlink"/>
          </w:rPr>
          <w:t xml:space="preserve">Figure 3 </w:t>
        </w:r>
        <w:r>
          <w:rPr>
            <w:rStyle w:val="Hyperlink"/>
          </w:rPr>
          <w:tab/>
        </w:r>
        <w:r w:rsidRPr="0014034C">
          <w:rPr>
            <w:rStyle w:val="Hyperlink"/>
          </w:rPr>
          <w:t>NRC Net Benefit (7-percent Net Present Value)</w:t>
        </w:r>
        <w:r w:rsidRPr="0014034C">
          <w:rPr>
            <w:webHidden/>
          </w:rPr>
          <w:tab/>
        </w:r>
        <w:r w:rsidRPr="0014034C">
          <w:rPr>
            <w:webHidden/>
          </w:rPr>
          <w:fldChar w:fldCharType="begin"/>
        </w:r>
        <w:r w:rsidRPr="0014034C">
          <w:rPr>
            <w:webHidden/>
          </w:rPr>
          <w:instrText xml:space="preserve"> PAGEREF _Toc222796222 \h </w:instrText>
        </w:r>
        <w:r w:rsidRPr="0014034C">
          <w:rPr>
            <w:webHidden/>
          </w:rPr>
          <w:fldChar w:fldCharType="separate"/>
        </w:r>
        <w:r w:rsidR="007373E6">
          <w:rPr>
            <w:webHidden/>
          </w:rPr>
          <w:t>29</w:t>
        </w:r>
        <w:r w:rsidRPr="0014034C">
          <w:rPr>
            <w:webHidden/>
          </w:rPr>
          <w:fldChar w:fldCharType="end"/>
        </w:r>
      </w:hyperlink>
    </w:p>
    <w:p w:rsidR="0014034C" w:rsidRPr="0014034C" w14:paraId="4708AE14" w14:textId="40D11D8D">
      <w:pPr>
        <w:pStyle w:val="TableofFigures"/>
        <w:rPr>
          <w:rFonts w:asciiTheme="minorHAnsi" w:eastAsiaTheme="minorEastAsia" w:hAnsiTheme="minorHAnsi" w:cstheme="minorBidi"/>
          <w:kern w:val="2"/>
          <w:sz w:val="24"/>
          <w:szCs w:val="24"/>
          <w14:ligatures w14:val="standardContextual"/>
        </w:rPr>
      </w:pPr>
      <w:hyperlink w:anchor="_Toc222796223" w:history="1">
        <w:r w:rsidRPr="0014034C">
          <w:rPr>
            <w:rStyle w:val="Hyperlink"/>
          </w:rPr>
          <w:t xml:space="preserve">Figure 4 </w:t>
        </w:r>
        <w:r>
          <w:rPr>
            <w:rStyle w:val="Hyperlink"/>
          </w:rPr>
          <w:tab/>
        </w:r>
        <w:r w:rsidRPr="0014034C">
          <w:rPr>
            <w:rStyle w:val="Hyperlink"/>
          </w:rPr>
          <w:t>Agreement State Net Benefit (7-percent Net Present Value)</w:t>
        </w:r>
        <w:r w:rsidRPr="0014034C">
          <w:rPr>
            <w:webHidden/>
          </w:rPr>
          <w:tab/>
        </w:r>
        <w:r w:rsidRPr="0014034C">
          <w:rPr>
            <w:webHidden/>
          </w:rPr>
          <w:fldChar w:fldCharType="begin"/>
        </w:r>
        <w:r w:rsidRPr="0014034C">
          <w:rPr>
            <w:webHidden/>
          </w:rPr>
          <w:instrText xml:space="preserve"> PAGEREF _Toc222796223 \h </w:instrText>
        </w:r>
        <w:r w:rsidRPr="0014034C">
          <w:rPr>
            <w:webHidden/>
          </w:rPr>
          <w:fldChar w:fldCharType="separate"/>
        </w:r>
        <w:r w:rsidR="007373E6">
          <w:rPr>
            <w:webHidden/>
          </w:rPr>
          <w:t>29</w:t>
        </w:r>
        <w:r w:rsidRPr="0014034C">
          <w:rPr>
            <w:webHidden/>
          </w:rPr>
          <w:fldChar w:fldCharType="end"/>
        </w:r>
      </w:hyperlink>
    </w:p>
    <w:p w:rsidR="0014034C" w:rsidRPr="0014034C" w14:paraId="330AFCF9" w14:textId="68F20620">
      <w:pPr>
        <w:pStyle w:val="TableofFigures"/>
        <w:rPr>
          <w:rFonts w:asciiTheme="minorHAnsi" w:eastAsiaTheme="minorEastAsia" w:hAnsiTheme="minorHAnsi" w:cstheme="minorBidi"/>
          <w:kern w:val="2"/>
          <w:sz w:val="24"/>
          <w:szCs w:val="24"/>
          <w14:ligatures w14:val="standardContextual"/>
        </w:rPr>
      </w:pPr>
      <w:hyperlink w:anchor="_Toc222796224" w:history="1">
        <w:r w:rsidRPr="0014034C">
          <w:rPr>
            <w:rStyle w:val="Hyperlink"/>
          </w:rPr>
          <w:t xml:space="preserve">Figure 5 </w:t>
        </w:r>
        <w:r>
          <w:rPr>
            <w:rStyle w:val="Hyperlink"/>
          </w:rPr>
          <w:tab/>
        </w:r>
        <w:r w:rsidRPr="0014034C">
          <w:rPr>
            <w:rStyle w:val="Hyperlink"/>
          </w:rPr>
          <w:t>Total Net Benefit (7-percent Net Present Value)</w:t>
        </w:r>
        <w:r w:rsidRPr="0014034C">
          <w:rPr>
            <w:webHidden/>
          </w:rPr>
          <w:tab/>
        </w:r>
        <w:r w:rsidRPr="0014034C">
          <w:rPr>
            <w:webHidden/>
          </w:rPr>
          <w:fldChar w:fldCharType="begin"/>
        </w:r>
        <w:r w:rsidRPr="0014034C">
          <w:rPr>
            <w:webHidden/>
          </w:rPr>
          <w:instrText xml:space="preserve"> PAGEREF _Toc222796224 \h </w:instrText>
        </w:r>
        <w:r w:rsidRPr="0014034C">
          <w:rPr>
            <w:webHidden/>
          </w:rPr>
          <w:fldChar w:fldCharType="separate"/>
        </w:r>
        <w:r w:rsidR="007373E6">
          <w:rPr>
            <w:webHidden/>
          </w:rPr>
          <w:t>30</w:t>
        </w:r>
        <w:r w:rsidRPr="0014034C">
          <w:rPr>
            <w:webHidden/>
          </w:rPr>
          <w:fldChar w:fldCharType="end"/>
        </w:r>
      </w:hyperlink>
    </w:p>
    <w:p w:rsidR="0014034C" w:rsidRPr="0014034C" w14:paraId="4797AFC7" w14:textId="1E26C625">
      <w:pPr>
        <w:pStyle w:val="TableofFigures"/>
        <w:rPr>
          <w:rFonts w:asciiTheme="minorHAnsi" w:eastAsiaTheme="minorEastAsia" w:hAnsiTheme="minorHAnsi" w:cstheme="minorBidi"/>
          <w:kern w:val="2"/>
          <w:sz w:val="24"/>
          <w:szCs w:val="24"/>
          <w14:ligatures w14:val="standardContextual"/>
        </w:rPr>
      </w:pPr>
      <w:hyperlink w:anchor="_Toc222796225" w:history="1">
        <w:r w:rsidRPr="0014034C">
          <w:rPr>
            <w:rStyle w:val="Hyperlink"/>
          </w:rPr>
          <w:t xml:space="preserve">Figure 6 </w:t>
        </w:r>
        <w:r>
          <w:rPr>
            <w:rStyle w:val="Hyperlink"/>
          </w:rPr>
          <w:tab/>
        </w:r>
        <w:r w:rsidRPr="0014034C">
          <w:rPr>
            <w:rStyle w:val="Hyperlink"/>
          </w:rPr>
          <w:t xml:space="preserve">Key Variables for Which Uncertainty Drives the Largest Impact on Costs  </w:t>
        </w:r>
        <w:r>
          <w:rPr>
            <w:rStyle w:val="Hyperlink"/>
          </w:rPr>
          <w:br/>
        </w:r>
        <w:r w:rsidRPr="0014034C">
          <w:rPr>
            <w:rStyle w:val="Hyperlink"/>
          </w:rPr>
          <w:t>(7-percent Net Present Value)</w:t>
        </w:r>
        <w:r w:rsidRPr="0014034C">
          <w:rPr>
            <w:webHidden/>
          </w:rPr>
          <w:tab/>
        </w:r>
        <w:r w:rsidRPr="0014034C">
          <w:rPr>
            <w:webHidden/>
          </w:rPr>
          <w:fldChar w:fldCharType="begin"/>
        </w:r>
        <w:r w:rsidRPr="0014034C">
          <w:rPr>
            <w:webHidden/>
          </w:rPr>
          <w:instrText xml:space="preserve"> PAGEREF _Toc222796225 \h </w:instrText>
        </w:r>
        <w:r w:rsidRPr="0014034C">
          <w:rPr>
            <w:webHidden/>
          </w:rPr>
          <w:fldChar w:fldCharType="separate"/>
        </w:r>
        <w:r w:rsidR="007373E6">
          <w:rPr>
            <w:webHidden/>
          </w:rPr>
          <w:t>31</w:t>
        </w:r>
        <w:r w:rsidRPr="0014034C">
          <w:rPr>
            <w:webHidden/>
          </w:rPr>
          <w:fldChar w:fldCharType="end"/>
        </w:r>
      </w:hyperlink>
    </w:p>
    <w:p w:rsidR="00756160" w:rsidRPr="008F486F" w:rsidP="00756160" w14:paraId="0BB12CC3" w14:textId="213F3E89">
      <w:r w:rsidRPr="0014034C">
        <w:fldChar w:fldCharType="end"/>
      </w:r>
    </w:p>
    <w:p w:rsidR="00756160" w:rsidRPr="008F486F" w:rsidP="00756160" w14:paraId="270EEF23" w14:textId="77777777"/>
    <w:p w:rsidR="00756160" w:rsidRPr="008F486F" w:rsidP="00756160" w14:paraId="02F8D155" w14:textId="77777777">
      <w:pPr>
        <w:pStyle w:val="Heading1"/>
      </w:pPr>
      <w:bookmarkStart w:id="12" w:name="_Toc164866142"/>
      <w:bookmarkStart w:id="13" w:name="_Toc176883966"/>
      <w:bookmarkStart w:id="14" w:name="_Toc222796489"/>
      <w:r w:rsidRPr="008F486F">
        <w:t>LIST OF TABLES</w:t>
      </w:r>
      <w:bookmarkEnd w:id="12"/>
      <w:bookmarkEnd w:id="13"/>
      <w:bookmarkEnd w:id="14"/>
    </w:p>
    <w:p w:rsidR="00317DD6" w14:paraId="39268B2E" w14:textId="2CEA9213">
      <w:pPr>
        <w:pStyle w:val="TableofFigures"/>
        <w:rPr>
          <w:rFonts w:asciiTheme="minorHAnsi" w:eastAsiaTheme="minorEastAsia" w:hAnsiTheme="minorHAnsi" w:cstheme="minorBidi"/>
          <w:kern w:val="2"/>
          <w:sz w:val="24"/>
          <w:szCs w:val="24"/>
          <w14:ligatures w14:val="standardContextual"/>
        </w:rPr>
      </w:pPr>
      <w:r w:rsidRPr="008F486F">
        <w:fldChar w:fldCharType="begin"/>
      </w:r>
      <w:r w:rsidRPr="008F486F">
        <w:instrText xml:space="preserve"> TOC \h \z \c "Table" </w:instrText>
      </w:r>
      <w:r w:rsidRPr="008F486F">
        <w:fldChar w:fldCharType="separate"/>
      </w:r>
      <w:hyperlink w:anchor="_Toc222796250" w:history="1">
        <w:r w:rsidRPr="004B358D">
          <w:rPr>
            <w:rStyle w:val="Hyperlink"/>
          </w:rPr>
          <w:t>Table ES-1</w:t>
        </w:r>
        <w:r>
          <w:rPr>
            <w:rFonts w:asciiTheme="minorHAnsi" w:eastAsiaTheme="minorEastAsia" w:hAnsiTheme="minorHAnsi" w:cstheme="minorBidi"/>
            <w:kern w:val="2"/>
            <w:sz w:val="24"/>
            <w:szCs w:val="24"/>
            <w14:ligatures w14:val="standardContextual"/>
          </w:rPr>
          <w:tab/>
        </w:r>
        <w:r w:rsidRPr="004B358D">
          <w:rPr>
            <w:rStyle w:val="Hyperlink"/>
          </w:rPr>
          <w:t>Total Benefits (Costs) of Proposed Rule (2023 dollars)*</w:t>
        </w:r>
        <w:r>
          <w:rPr>
            <w:webHidden/>
          </w:rPr>
          <w:tab/>
        </w:r>
        <w:r>
          <w:rPr>
            <w:webHidden/>
          </w:rPr>
          <w:fldChar w:fldCharType="begin"/>
        </w:r>
        <w:r>
          <w:rPr>
            <w:webHidden/>
          </w:rPr>
          <w:instrText xml:space="preserve"> PAGEREF _Toc222796250 \h </w:instrText>
        </w:r>
        <w:r>
          <w:rPr>
            <w:webHidden/>
          </w:rPr>
          <w:fldChar w:fldCharType="separate"/>
        </w:r>
        <w:r w:rsidR="007373E6">
          <w:rPr>
            <w:webHidden/>
          </w:rPr>
          <w:t>vii</w:t>
        </w:r>
        <w:r>
          <w:rPr>
            <w:webHidden/>
          </w:rPr>
          <w:fldChar w:fldCharType="end"/>
        </w:r>
      </w:hyperlink>
    </w:p>
    <w:p w:rsidR="00317DD6" w14:paraId="16B62D85" w14:textId="20F83C76">
      <w:pPr>
        <w:pStyle w:val="TableofFigures"/>
        <w:rPr>
          <w:rFonts w:asciiTheme="minorHAnsi" w:eastAsiaTheme="minorEastAsia" w:hAnsiTheme="minorHAnsi" w:cstheme="minorBidi"/>
          <w:kern w:val="2"/>
          <w:sz w:val="24"/>
          <w:szCs w:val="24"/>
          <w14:ligatures w14:val="standardContextual"/>
        </w:rPr>
      </w:pPr>
      <w:hyperlink w:anchor="_Toc222796251" w:history="1">
        <w:r w:rsidRPr="004B358D">
          <w:rPr>
            <w:rStyle w:val="Hyperlink"/>
          </w:rPr>
          <w:t>Table 1</w:t>
        </w:r>
        <w:r>
          <w:rPr>
            <w:rFonts w:asciiTheme="minorHAnsi" w:eastAsiaTheme="minorEastAsia" w:hAnsiTheme="minorHAnsi" w:cstheme="minorBidi"/>
            <w:kern w:val="2"/>
            <w:sz w:val="24"/>
            <w:szCs w:val="24"/>
            <w14:ligatures w14:val="standardContextual"/>
          </w:rPr>
          <w:tab/>
        </w:r>
        <w:r w:rsidRPr="004B358D">
          <w:rPr>
            <w:rStyle w:val="Hyperlink"/>
          </w:rPr>
          <w:t>Evaluation by Attribute</w:t>
        </w:r>
        <w:r>
          <w:rPr>
            <w:webHidden/>
          </w:rPr>
          <w:tab/>
        </w:r>
        <w:r>
          <w:rPr>
            <w:webHidden/>
          </w:rPr>
          <w:fldChar w:fldCharType="begin"/>
        </w:r>
        <w:r>
          <w:rPr>
            <w:webHidden/>
          </w:rPr>
          <w:instrText xml:space="preserve"> PAGEREF _Toc222796251 \h </w:instrText>
        </w:r>
        <w:r>
          <w:rPr>
            <w:webHidden/>
          </w:rPr>
          <w:fldChar w:fldCharType="separate"/>
        </w:r>
        <w:r w:rsidR="007373E6">
          <w:rPr>
            <w:webHidden/>
          </w:rPr>
          <w:t>12</w:t>
        </w:r>
        <w:r>
          <w:rPr>
            <w:webHidden/>
          </w:rPr>
          <w:fldChar w:fldCharType="end"/>
        </w:r>
      </w:hyperlink>
    </w:p>
    <w:p w:rsidR="00317DD6" w14:paraId="65FCF791" w14:textId="64EDE01A">
      <w:pPr>
        <w:pStyle w:val="TableofFigures"/>
        <w:rPr>
          <w:rFonts w:asciiTheme="minorHAnsi" w:eastAsiaTheme="minorEastAsia" w:hAnsiTheme="minorHAnsi" w:cstheme="minorBidi"/>
          <w:kern w:val="2"/>
          <w:sz w:val="24"/>
          <w:szCs w:val="24"/>
          <w14:ligatures w14:val="standardContextual"/>
        </w:rPr>
      </w:pPr>
      <w:hyperlink w:anchor="_Toc222796252" w:history="1">
        <w:r w:rsidRPr="004B358D">
          <w:rPr>
            <w:rStyle w:val="Hyperlink"/>
          </w:rPr>
          <w:t>Table 2</w:t>
        </w:r>
        <w:r>
          <w:rPr>
            <w:rFonts w:asciiTheme="minorHAnsi" w:eastAsiaTheme="minorEastAsia" w:hAnsiTheme="minorHAnsi" w:cstheme="minorBidi"/>
            <w:kern w:val="2"/>
            <w:sz w:val="24"/>
            <w:szCs w:val="24"/>
            <w14:ligatures w14:val="standardContextual"/>
          </w:rPr>
          <w:tab/>
        </w:r>
        <w:r w:rsidRPr="004B358D">
          <w:rPr>
            <w:rStyle w:val="Hyperlink"/>
          </w:rPr>
          <w:t>Monetized Benefit/Cost Summary for Alternatives 2 and 3</w:t>
        </w:r>
        <w:r>
          <w:rPr>
            <w:webHidden/>
          </w:rPr>
          <w:tab/>
        </w:r>
        <w:r>
          <w:rPr>
            <w:webHidden/>
          </w:rPr>
          <w:fldChar w:fldCharType="begin"/>
        </w:r>
        <w:r>
          <w:rPr>
            <w:webHidden/>
          </w:rPr>
          <w:instrText xml:space="preserve"> PAGEREF _Toc222796252 \h </w:instrText>
        </w:r>
        <w:r>
          <w:rPr>
            <w:webHidden/>
          </w:rPr>
          <w:fldChar w:fldCharType="separate"/>
        </w:r>
        <w:r w:rsidR="007373E6">
          <w:rPr>
            <w:webHidden/>
          </w:rPr>
          <w:t>18</w:t>
        </w:r>
        <w:r>
          <w:rPr>
            <w:webHidden/>
          </w:rPr>
          <w:fldChar w:fldCharType="end"/>
        </w:r>
      </w:hyperlink>
    </w:p>
    <w:p w:rsidR="00317DD6" w14:paraId="34B274FB" w14:textId="6C2FE838">
      <w:pPr>
        <w:pStyle w:val="TableofFigures"/>
        <w:rPr>
          <w:rFonts w:asciiTheme="minorHAnsi" w:eastAsiaTheme="minorEastAsia" w:hAnsiTheme="minorHAnsi" w:cstheme="minorBidi"/>
          <w:kern w:val="2"/>
          <w:sz w:val="24"/>
          <w:szCs w:val="24"/>
          <w14:ligatures w14:val="standardContextual"/>
        </w:rPr>
      </w:pPr>
      <w:hyperlink w:anchor="_Toc222796253" w:history="1">
        <w:r w:rsidRPr="004B358D">
          <w:rPr>
            <w:rStyle w:val="Hyperlink"/>
          </w:rPr>
          <w:t xml:space="preserve">Table 3   </w:t>
        </w:r>
        <w:r>
          <w:rPr>
            <w:rStyle w:val="Hyperlink"/>
          </w:rPr>
          <w:tab/>
        </w:r>
        <w:r w:rsidRPr="004B358D">
          <w:rPr>
            <w:rStyle w:val="Hyperlink"/>
          </w:rPr>
          <w:t>Applicant Benefits for Alternatives 2 and 3</w:t>
        </w:r>
        <w:r>
          <w:rPr>
            <w:webHidden/>
          </w:rPr>
          <w:tab/>
        </w:r>
        <w:r>
          <w:rPr>
            <w:webHidden/>
          </w:rPr>
          <w:fldChar w:fldCharType="begin"/>
        </w:r>
        <w:r>
          <w:rPr>
            <w:webHidden/>
          </w:rPr>
          <w:instrText xml:space="preserve"> PAGEREF _Toc222796253 \h </w:instrText>
        </w:r>
        <w:r>
          <w:rPr>
            <w:webHidden/>
          </w:rPr>
          <w:fldChar w:fldCharType="separate"/>
        </w:r>
        <w:r w:rsidR="007373E6">
          <w:rPr>
            <w:webHidden/>
          </w:rPr>
          <w:t>20</w:t>
        </w:r>
        <w:r>
          <w:rPr>
            <w:webHidden/>
          </w:rPr>
          <w:fldChar w:fldCharType="end"/>
        </w:r>
      </w:hyperlink>
    </w:p>
    <w:p w:rsidR="00317DD6" w14:paraId="3D3E8BF6" w14:textId="06370D86">
      <w:pPr>
        <w:pStyle w:val="TableofFigures"/>
        <w:rPr>
          <w:rFonts w:asciiTheme="minorHAnsi" w:eastAsiaTheme="minorEastAsia" w:hAnsiTheme="minorHAnsi" w:cstheme="minorBidi"/>
          <w:kern w:val="2"/>
          <w:sz w:val="24"/>
          <w:szCs w:val="24"/>
          <w14:ligatures w14:val="standardContextual"/>
        </w:rPr>
      </w:pPr>
      <w:hyperlink w:anchor="_Toc222796254" w:history="1">
        <w:r w:rsidRPr="004B358D">
          <w:rPr>
            <w:rStyle w:val="Hyperlink"/>
          </w:rPr>
          <w:t xml:space="preserve">Table 4   </w:t>
        </w:r>
        <w:r>
          <w:rPr>
            <w:rStyle w:val="Hyperlink"/>
          </w:rPr>
          <w:tab/>
        </w:r>
        <w:r w:rsidRPr="004B358D">
          <w:rPr>
            <w:rStyle w:val="Hyperlink"/>
          </w:rPr>
          <w:t>NRC Costs and Benefits for Alternative 2</w:t>
        </w:r>
        <w:r>
          <w:rPr>
            <w:webHidden/>
          </w:rPr>
          <w:tab/>
        </w:r>
        <w:r>
          <w:rPr>
            <w:webHidden/>
          </w:rPr>
          <w:fldChar w:fldCharType="begin"/>
        </w:r>
        <w:r>
          <w:rPr>
            <w:webHidden/>
          </w:rPr>
          <w:instrText xml:space="preserve"> PAGEREF _Toc222796254 \h </w:instrText>
        </w:r>
        <w:r>
          <w:rPr>
            <w:webHidden/>
          </w:rPr>
          <w:fldChar w:fldCharType="separate"/>
        </w:r>
        <w:r w:rsidR="007373E6">
          <w:rPr>
            <w:webHidden/>
          </w:rPr>
          <w:t>21</w:t>
        </w:r>
        <w:r>
          <w:rPr>
            <w:webHidden/>
          </w:rPr>
          <w:fldChar w:fldCharType="end"/>
        </w:r>
      </w:hyperlink>
    </w:p>
    <w:p w:rsidR="00317DD6" w14:paraId="238C40D9" w14:textId="0DF07C86">
      <w:pPr>
        <w:pStyle w:val="TableofFigures"/>
        <w:rPr>
          <w:rFonts w:asciiTheme="minorHAnsi" w:eastAsiaTheme="minorEastAsia" w:hAnsiTheme="minorHAnsi" w:cstheme="minorBidi"/>
          <w:kern w:val="2"/>
          <w:sz w:val="24"/>
          <w:szCs w:val="24"/>
          <w14:ligatures w14:val="standardContextual"/>
        </w:rPr>
      </w:pPr>
      <w:hyperlink w:anchor="_Toc222796255" w:history="1">
        <w:r w:rsidRPr="004B358D">
          <w:rPr>
            <w:rStyle w:val="Hyperlink"/>
          </w:rPr>
          <w:t xml:space="preserve">Table 5   </w:t>
        </w:r>
        <w:r>
          <w:rPr>
            <w:rStyle w:val="Hyperlink"/>
          </w:rPr>
          <w:tab/>
        </w:r>
        <w:r w:rsidRPr="004B358D">
          <w:rPr>
            <w:rStyle w:val="Hyperlink"/>
          </w:rPr>
          <w:t>NRC Costs and Benefits for Alternative 3</w:t>
        </w:r>
        <w:r>
          <w:rPr>
            <w:webHidden/>
          </w:rPr>
          <w:tab/>
        </w:r>
        <w:r>
          <w:rPr>
            <w:webHidden/>
          </w:rPr>
          <w:fldChar w:fldCharType="begin"/>
        </w:r>
        <w:r>
          <w:rPr>
            <w:webHidden/>
          </w:rPr>
          <w:instrText xml:space="preserve"> PAGEREF _Toc222796255 \h </w:instrText>
        </w:r>
        <w:r>
          <w:rPr>
            <w:webHidden/>
          </w:rPr>
          <w:fldChar w:fldCharType="separate"/>
        </w:r>
        <w:r w:rsidR="007373E6">
          <w:rPr>
            <w:webHidden/>
          </w:rPr>
          <w:t>22</w:t>
        </w:r>
        <w:r>
          <w:rPr>
            <w:webHidden/>
          </w:rPr>
          <w:fldChar w:fldCharType="end"/>
        </w:r>
      </w:hyperlink>
    </w:p>
    <w:p w:rsidR="00317DD6" w14:paraId="56A08E8F" w14:textId="55C96B8A">
      <w:pPr>
        <w:pStyle w:val="TableofFigures"/>
        <w:rPr>
          <w:rFonts w:asciiTheme="minorHAnsi" w:eastAsiaTheme="minorEastAsia" w:hAnsiTheme="minorHAnsi" w:cstheme="minorBidi"/>
          <w:kern w:val="2"/>
          <w:sz w:val="24"/>
          <w:szCs w:val="24"/>
          <w14:ligatures w14:val="standardContextual"/>
        </w:rPr>
      </w:pPr>
      <w:hyperlink w:anchor="_Toc222796256" w:history="1">
        <w:r w:rsidRPr="004B358D">
          <w:rPr>
            <w:rStyle w:val="Hyperlink"/>
          </w:rPr>
          <w:t xml:space="preserve">Table 6   </w:t>
        </w:r>
        <w:r>
          <w:rPr>
            <w:rStyle w:val="Hyperlink"/>
          </w:rPr>
          <w:tab/>
        </w:r>
        <w:r w:rsidRPr="004B358D">
          <w:rPr>
            <w:rStyle w:val="Hyperlink"/>
          </w:rPr>
          <w:t>Agreement State Costs and Benefits for Alternative 2</w:t>
        </w:r>
        <w:r>
          <w:rPr>
            <w:webHidden/>
          </w:rPr>
          <w:tab/>
        </w:r>
        <w:r>
          <w:rPr>
            <w:webHidden/>
          </w:rPr>
          <w:fldChar w:fldCharType="begin"/>
        </w:r>
        <w:r>
          <w:rPr>
            <w:webHidden/>
          </w:rPr>
          <w:instrText xml:space="preserve"> PAGEREF _Toc222796256 \h </w:instrText>
        </w:r>
        <w:r>
          <w:rPr>
            <w:webHidden/>
          </w:rPr>
          <w:fldChar w:fldCharType="separate"/>
        </w:r>
        <w:r w:rsidR="007373E6">
          <w:rPr>
            <w:webHidden/>
          </w:rPr>
          <w:t>24</w:t>
        </w:r>
        <w:r>
          <w:rPr>
            <w:webHidden/>
          </w:rPr>
          <w:fldChar w:fldCharType="end"/>
        </w:r>
      </w:hyperlink>
    </w:p>
    <w:p w:rsidR="00317DD6" w14:paraId="6889F9F6" w14:textId="535A9DF7">
      <w:pPr>
        <w:pStyle w:val="TableofFigures"/>
        <w:rPr>
          <w:rFonts w:asciiTheme="minorHAnsi" w:eastAsiaTheme="minorEastAsia" w:hAnsiTheme="minorHAnsi" w:cstheme="minorBidi"/>
          <w:kern w:val="2"/>
          <w:sz w:val="24"/>
          <w:szCs w:val="24"/>
          <w14:ligatures w14:val="standardContextual"/>
        </w:rPr>
      </w:pPr>
      <w:hyperlink w:anchor="_Toc222796257" w:history="1">
        <w:r w:rsidRPr="004B358D">
          <w:rPr>
            <w:rStyle w:val="Hyperlink"/>
          </w:rPr>
          <w:t xml:space="preserve">Table 7   </w:t>
        </w:r>
        <w:r>
          <w:rPr>
            <w:rStyle w:val="Hyperlink"/>
          </w:rPr>
          <w:tab/>
        </w:r>
        <w:r w:rsidRPr="004B358D">
          <w:rPr>
            <w:rStyle w:val="Hyperlink"/>
          </w:rPr>
          <w:t>Agreement State Costs and Benefits for Alternative 3</w:t>
        </w:r>
        <w:r>
          <w:rPr>
            <w:webHidden/>
          </w:rPr>
          <w:tab/>
        </w:r>
        <w:r>
          <w:rPr>
            <w:webHidden/>
          </w:rPr>
          <w:fldChar w:fldCharType="begin"/>
        </w:r>
        <w:r>
          <w:rPr>
            <w:webHidden/>
          </w:rPr>
          <w:instrText xml:space="preserve"> PAGEREF _Toc222796257 \h </w:instrText>
        </w:r>
        <w:r>
          <w:rPr>
            <w:webHidden/>
          </w:rPr>
          <w:fldChar w:fldCharType="separate"/>
        </w:r>
        <w:r w:rsidR="007373E6">
          <w:rPr>
            <w:webHidden/>
          </w:rPr>
          <w:t>25</w:t>
        </w:r>
        <w:r>
          <w:rPr>
            <w:webHidden/>
          </w:rPr>
          <w:fldChar w:fldCharType="end"/>
        </w:r>
      </w:hyperlink>
    </w:p>
    <w:p w:rsidR="00317DD6" w14:paraId="10472F6E" w14:textId="60E240C4">
      <w:pPr>
        <w:pStyle w:val="TableofFigures"/>
        <w:rPr>
          <w:rFonts w:asciiTheme="minorHAnsi" w:eastAsiaTheme="minorEastAsia" w:hAnsiTheme="minorHAnsi" w:cstheme="minorBidi"/>
          <w:kern w:val="2"/>
          <w:sz w:val="24"/>
          <w:szCs w:val="24"/>
          <w14:ligatures w14:val="standardContextual"/>
        </w:rPr>
      </w:pPr>
      <w:hyperlink w:anchor="_Toc222796258" w:history="1">
        <w:r w:rsidRPr="004B358D">
          <w:rPr>
            <w:rStyle w:val="Hyperlink"/>
          </w:rPr>
          <w:t>Table A</w:t>
        </w:r>
        <w:r w:rsidRPr="004B358D">
          <w:rPr>
            <w:rStyle w:val="Hyperlink"/>
          </w:rPr>
          <w:noBreakHyphen/>
          <w:t xml:space="preserve">1 </w:t>
        </w:r>
        <w:r>
          <w:rPr>
            <w:rFonts w:asciiTheme="minorHAnsi" w:eastAsiaTheme="minorEastAsia" w:hAnsiTheme="minorHAnsi" w:cstheme="minorBidi"/>
            <w:kern w:val="2"/>
            <w:sz w:val="24"/>
            <w:szCs w:val="24"/>
            <w14:ligatures w14:val="standardContextual"/>
          </w:rPr>
          <w:tab/>
        </w:r>
        <w:r w:rsidRPr="004B358D">
          <w:rPr>
            <w:rStyle w:val="Hyperlink"/>
          </w:rPr>
          <w:t>Projection of Fusion Machine Installations and Agreement State or NRC Regulation of the Machines</w:t>
        </w:r>
        <w:r>
          <w:rPr>
            <w:webHidden/>
          </w:rPr>
          <w:tab/>
          <w:t>A-</w:t>
        </w:r>
        <w:r>
          <w:rPr>
            <w:webHidden/>
          </w:rPr>
          <w:fldChar w:fldCharType="begin"/>
        </w:r>
        <w:r>
          <w:rPr>
            <w:webHidden/>
          </w:rPr>
          <w:instrText xml:space="preserve"> PAGEREF _Toc222796258 \h </w:instrText>
        </w:r>
        <w:r>
          <w:rPr>
            <w:webHidden/>
          </w:rPr>
          <w:fldChar w:fldCharType="separate"/>
        </w:r>
        <w:r w:rsidR="007373E6">
          <w:rPr>
            <w:webHidden/>
          </w:rPr>
          <w:t>1</w:t>
        </w:r>
        <w:r>
          <w:rPr>
            <w:webHidden/>
          </w:rPr>
          <w:fldChar w:fldCharType="end"/>
        </w:r>
      </w:hyperlink>
    </w:p>
    <w:p w:rsidR="00317DD6" w14:paraId="15F3595E" w14:textId="1B5D2E8A">
      <w:pPr>
        <w:pStyle w:val="TableofFigures"/>
        <w:rPr>
          <w:rFonts w:asciiTheme="minorHAnsi" w:eastAsiaTheme="minorEastAsia" w:hAnsiTheme="minorHAnsi" w:cstheme="minorBidi"/>
          <w:kern w:val="2"/>
          <w:sz w:val="24"/>
          <w:szCs w:val="24"/>
          <w14:ligatures w14:val="standardContextual"/>
        </w:rPr>
      </w:pPr>
      <w:hyperlink w:anchor="_Toc222796259" w:history="1">
        <w:r w:rsidRPr="004B358D">
          <w:rPr>
            <w:rStyle w:val="Hyperlink"/>
          </w:rPr>
          <w:t xml:space="preserve">Table A-2 </w:t>
        </w:r>
        <w:r>
          <w:rPr>
            <w:rFonts w:asciiTheme="minorHAnsi" w:eastAsiaTheme="minorEastAsia" w:hAnsiTheme="minorHAnsi" w:cstheme="minorBidi"/>
            <w:kern w:val="2"/>
            <w:sz w:val="24"/>
            <w:szCs w:val="24"/>
            <w14:ligatures w14:val="standardContextual"/>
          </w:rPr>
          <w:tab/>
        </w:r>
        <w:r w:rsidRPr="004B358D">
          <w:rPr>
            <w:rStyle w:val="Hyperlink"/>
          </w:rPr>
          <w:t>Alternative 1 Benefit and Costs by Year During Period of Analysis</w:t>
        </w:r>
        <w:r>
          <w:rPr>
            <w:webHidden/>
          </w:rPr>
          <w:tab/>
          <w:t>A-</w:t>
        </w:r>
        <w:r>
          <w:rPr>
            <w:webHidden/>
          </w:rPr>
          <w:fldChar w:fldCharType="begin"/>
        </w:r>
        <w:r>
          <w:rPr>
            <w:webHidden/>
          </w:rPr>
          <w:instrText xml:space="preserve"> PAGEREF _Toc222796259 \h </w:instrText>
        </w:r>
        <w:r>
          <w:rPr>
            <w:webHidden/>
          </w:rPr>
          <w:fldChar w:fldCharType="separate"/>
        </w:r>
        <w:r w:rsidR="007373E6">
          <w:rPr>
            <w:webHidden/>
          </w:rPr>
          <w:t>2</w:t>
        </w:r>
        <w:r>
          <w:rPr>
            <w:webHidden/>
          </w:rPr>
          <w:fldChar w:fldCharType="end"/>
        </w:r>
      </w:hyperlink>
    </w:p>
    <w:p w:rsidR="00317DD6" w14:paraId="33B82CC9" w14:textId="038D3010">
      <w:pPr>
        <w:pStyle w:val="TableofFigures"/>
        <w:rPr>
          <w:rFonts w:asciiTheme="minorHAnsi" w:eastAsiaTheme="minorEastAsia" w:hAnsiTheme="minorHAnsi" w:cstheme="minorBidi"/>
          <w:kern w:val="2"/>
          <w:sz w:val="24"/>
          <w:szCs w:val="24"/>
          <w14:ligatures w14:val="standardContextual"/>
        </w:rPr>
      </w:pPr>
      <w:hyperlink w:anchor="_Toc222796260" w:history="1">
        <w:r w:rsidRPr="004B358D">
          <w:rPr>
            <w:rStyle w:val="Hyperlink"/>
          </w:rPr>
          <w:t>Table B</w:t>
        </w:r>
        <w:r w:rsidRPr="004B358D">
          <w:rPr>
            <w:rStyle w:val="Hyperlink"/>
          </w:rPr>
          <w:noBreakHyphen/>
          <w:t xml:space="preserve">1 </w:t>
        </w:r>
        <w:r>
          <w:rPr>
            <w:rFonts w:asciiTheme="minorHAnsi" w:eastAsiaTheme="minorEastAsia" w:hAnsiTheme="minorHAnsi" w:cstheme="minorBidi"/>
            <w:kern w:val="2"/>
            <w:sz w:val="24"/>
            <w:szCs w:val="24"/>
            <w14:ligatures w14:val="standardContextual"/>
          </w:rPr>
          <w:tab/>
        </w:r>
        <w:r w:rsidRPr="004B358D">
          <w:rPr>
            <w:rStyle w:val="Hyperlink"/>
          </w:rPr>
          <w:t>Analysis Input Variables</w:t>
        </w:r>
        <w:r>
          <w:rPr>
            <w:webHidden/>
          </w:rPr>
          <w:tab/>
          <w:t>B-</w:t>
        </w:r>
        <w:r>
          <w:rPr>
            <w:webHidden/>
          </w:rPr>
          <w:fldChar w:fldCharType="begin"/>
        </w:r>
        <w:r>
          <w:rPr>
            <w:webHidden/>
          </w:rPr>
          <w:instrText xml:space="preserve"> PAGEREF _Toc222796260 \h </w:instrText>
        </w:r>
        <w:r>
          <w:rPr>
            <w:webHidden/>
          </w:rPr>
          <w:fldChar w:fldCharType="separate"/>
        </w:r>
        <w:r w:rsidR="007373E6">
          <w:rPr>
            <w:webHidden/>
          </w:rPr>
          <w:t>1</w:t>
        </w:r>
        <w:r>
          <w:rPr>
            <w:webHidden/>
          </w:rPr>
          <w:fldChar w:fldCharType="end"/>
        </w:r>
      </w:hyperlink>
    </w:p>
    <w:p w:rsidR="00756160" w:rsidRPr="008F486F" w:rsidP="00756160" w14:paraId="2F634F68" w14:textId="3B9AF95B">
      <w:pPr>
        <w:widowControl w:val="0"/>
        <w:rPr>
          <w:b/>
          <w:bCs/>
          <w:sz w:val="28"/>
          <w:szCs w:val="28"/>
        </w:rPr>
      </w:pPr>
      <w:r w:rsidRPr="008F486F">
        <w:fldChar w:fldCharType="end"/>
      </w:r>
      <w:r w:rsidRPr="008F486F">
        <w:br w:type="page"/>
      </w:r>
    </w:p>
    <w:p w:rsidR="00756160" w:rsidRPr="008F486F" w:rsidP="00756160" w14:paraId="0FEA192F" w14:textId="77777777">
      <w:pPr>
        <w:pStyle w:val="Heading1"/>
      </w:pPr>
      <w:bookmarkStart w:id="15" w:name="_Toc176883967"/>
      <w:bookmarkStart w:id="16" w:name="_Toc222796490"/>
      <w:bookmarkEnd w:id="8"/>
      <w:bookmarkEnd w:id="7"/>
      <w:bookmarkEnd w:id="6"/>
      <w:bookmarkEnd w:id="5"/>
      <w:r w:rsidRPr="008F486F">
        <w:t>ABBREVIATIONS AND ACRONYMS</w:t>
      </w:r>
      <w:bookmarkEnd w:id="15"/>
      <w:bookmarkEnd w:id="16"/>
    </w:p>
    <w:p w:rsidR="00756160" w:rsidRPr="008F486F" w:rsidP="00756160" w14:paraId="22D4CFBB" w14:textId="77777777">
      <w:pPr>
        <w:pStyle w:val="BodyText"/>
      </w:pPr>
    </w:p>
    <w:p w:rsidR="00756160" w:rsidRPr="008F486F" w:rsidP="00756160" w14:paraId="5932007D" w14:textId="77777777">
      <w:pPr>
        <w:pStyle w:val="BodyText"/>
        <w:ind w:left="1440" w:hanging="1440"/>
      </w:pPr>
      <w:r w:rsidRPr="008F486F">
        <w:t xml:space="preserve">ACRS </w:t>
      </w:r>
      <w:r w:rsidRPr="008F486F">
        <w:tab/>
        <w:t>Advisory Committee on Reactor Safety</w:t>
      </w:r>
    </w:p>
    <w:p w:rsidR="00756160" w:rsidRPr="008F486F" w:rsidP="00756160" w14:paraId="6E49A728" w14:textId="77777777">
      <w:pPr>
        <w:pStyle w:val="BodyText"/>
        <w:ind w:left="1440" w:hanging="1440"/>
      </w:pPr>
      <w:r w:rsidRPr="008F486F">
        <w:t>AEA</w:t>
      </w:r>
      <w:r w:rsidRPr="008F486F">
        <w:tab/>
        <w:t>Atomic</w:t>
      </w:r>
      <w:r w:rsidRPr="008F486F">
        <w:rPr>
          <w:spacing w:val="-1"/>
        </w:rPr>
        <w:t xml:space="preserve"> </w:t>
      </w:r>
      <w:r w:rsidRPr="008F486F">
        <w:t>Energy Act</w:t>
      </w:r>
      <w:r w:rsidRPr="008F486F">
        <w:rPr>
          <w:spacing w:val="-1"/>
        </w:rPr>
        <w:t xml:space="preserve"> </w:t>
      </w:r>
      <w:r w:rsidRPr="008F486F">
        <w:t>of 1954, as</w:t>
      </w:r>
      <w:r w:rsidRPr="008F486F">
        <w:rPr>
          <w:spacing w:val="-1"/>
        </w:rPr>
        <w:t xml:space="preserve"> </w:t>
      </w:r>
      <w:r w:rsidRPr="008F486F">
        <w:t>amended</w:t>
      </w:r>
    </w:p>
    <w:p w:rsidR="00756160" w:rsidRPr="008F486F" w:rsidP="00756160" w14:paraId="1A9E8B04" w14:textId="77777777">
      <w:pPr>
        <w:pStyle w:val="CommentText"/>
        <w:ind w:left="1440" w:hanging="1440"/>
        <w:rPr>
          <w:sz w:val="22"/>
          <w:szCs w:val="22"/>
        </w:rPr>
      </w:pPr>
      <w:r w:rsidRPr="008F486F">
        <w:rPr>
          <w:sz w:val="22"/>
          <w:szCs w:val="22"/>
        </w:rPr>
        <w:t>AP</w:t>
      </w:r>
      <w:r w:rsidRPr="008F486F">
        <w:rPr>
          <w:sz w:val="22"/>
          <w:szCs w:val="22"/>
        </w:rPr>
        <w:tab/>
        <w:t>Additional Protocol</w:t>
      </w:r>
    </w:p>
    <w:p w:rsidR="00756160" w:rsidRPr="008F486F" w:rsidP="00756160" w14:paraId="4F47D811" w14:textId="77777777">
      <w:pPr>
        <w:pStyle w:val="CommentText"/>
        <w:ind w:left="1440" w:hanging="1440"/>
        <w:rPr>
          <w:sz w:val="22"/>
          <w:szCs w:val="22"/>
        </w:rPr>
      </w:pPr>
      <w:r w:rsidRPr="008F486F">
        <w:rPr>
          <w:sz w:val="22"/>
          <w:szCs w:val="22"/>
        </w:rPr>
        <w:t>AS</w:t>
      </w:r>
      <w:r w:rsidRPr="008F486F">
        <w:rPr>
          <w:sz w:val="22"/>
        </w:rPr>
        <w:tab/>
      </w:r>
      <w:r w:rsidRPr="008F486F">
        <w:rPr>
          <w:sz w:val="22"/>
          <w:szCs w:val="22"/>
        </w:rPr>
        <w:t>Agreement State</w:t>
      </w:r>
    </w:p>
    <w:p w:rsidR="00756160" w:rsidRPr="008F486F" w:rsidP="00756160" w14:paraId="1238E62F" w14:textId="77777777">
      <w:pPr>
        <w:pStyle w:val="CommentText"/>
        <w:ind w:left="1440" w:hanging="1440"/>
        <w:rPr>
          <w:sz w:val="22"/>
          <w:szCs w:val="22"/>
        </w:rPr>
      </w:pPr>
    </w:p>
    <w:p w:rsidR="00756160" w:rsidRPr="008F486F" w:rsidP="00756160" w14:paraId="2BE36308" w14:textId="77777777">
      <w:pPr>
        <w:pStyle w:val="CommentText"/>
        <w:ind w:left="1440" w:hanging="1440"/>
        <w:rPr>
          <w:sz w:val="22"/>
          <w:szCs w:val="22"/>
        </w:rPr>
      </w:pPr>
      <w:r w:rsidRPr="008F486F">
        <w:rPr>
          <w:sz w:val="22"/>
          <w:szCs w:val="22"/>
        </w:rPr>
        <w:t>BLS</w:t>
      </w:r>
      <w:r w:rsidRPr="008F486F">
        <w:rPr>
          <w:sz w:val="22"/>
          <w:szCs w:val="22"/>
        </w:rPr>
        <w:tab/>
        <w:t>U.S. Bureau of Labor Statistics</w:t>
      </w:r>
    </w:p>
    <w:p w:rsidR="00756160" w:rsidRPr="008F486F" w:rsidP="00756160" w14:paraId="4D5AE819" w14:textId="77777777">
      <w:pPr>
        <w:pStyle w:val="CommentText"/>
        <w:ind w:left="1440" w:hanging="1440"/>
        <w:rPr>
          <w:sz w:val="22"/>
          <w:szCs w:val="22"/>
        </w:rPr>
      </w:pPr>
    </w:p>
    <w:p w:rsidR="00756160" w:rsidRPr="008F486F" w:rsidP="00756160" w14:paraId="3386D7C8" w14:textId="77777777">
      <w:pPr>
        <w:ind w:left="1440" w:hanging="1440"/>
      </w:pPr>
      <w:r w:rsidRPr="008F486F">
        <w:t>CCGT</w:t>
      </w:r>
      <w:r w:rsidRPr="008F486F">
        <w:tab/>
        <w:t>combined cycle gas turbine</w:t>
      </w:r>
    </w:p>
    <w:p w:rsidR="00756160" w:rsidRPr="008F486F" w:rsidP="00756160" w14:paraId="5710DF2F" w14:textId="77777777">
      <w:pPr>
        <w:ind w:left="1440" w:hanging="1440"/>
      </w:pPr>
      <w:r w:rsidRPr="008F486F">
        <w:t>CFR</w:t>
      </w:r>
      <w:r w:rsidRPr="008F486F">
        <w:tab/>
      </w:r>
      <w:r w:rsidRPr="008F486F">
        <w:rPr>
          <w:i/>
          <w:iCs/>
        </w:rPr>
        <w:t>Code</w:t>
      </w:r>
      <w:r w:rsidRPr="008F486F">
        <w:rPr>
          <w:i/>
          <w:iCs/>
          <w:spacing w:val="-2"/>
        </w:rPr>
        <w:t xml:space="preserve"> </w:t>
      </w:r>
      <w:r w:rsidRPr="008F486F">
        <w:rPr>
          <w:i/>
          <w:iCs/>
        </w:rPr>
        <w:t>of</w:t>
      </w:r>
      <w:r w:rsidRPr="008F486F">
        <w:rPr>
          <w:i/>
          <w:iCs/>
          <w:spacing w:val="-1"/>
        </w:rPr>
        <w:t xml:space="preserve"> </w:t>
      </w:r>
      <w:r w:rsidRPr="008F486F">
        <w:rPr>
          <w:i/>
          <w:iCs/>
        </w:rPr>
        <w:t>Federal</w:t>
      </w:r>
      <w:r w:rsidRPr="008F486F">
        <w:rPr>
          <w:i/>
          <w:iCs/>
          <w:spacing w:val="-1"/>
        </w:rPr>
        <w:t xml:space="preserve"> </w:t>
      </w:r>
      <w:r w:rsidRPr="008F486F">
        <w:rPr>
          <w:i/>
          <w:iCs/>
        </w:rPr>
        <w:t>Regulations</w:t>
      </w:r>
    </w:p>
    <w:p w:rsidR="00756160" w:rsidRPr="008F486F" w:rsidP="00756160" w14:paraId="3D4EEB83" w14:textId="77777777">
      <w:pPr>
        <w:pStyle w:val="BodyText"/>
        <w:ind w:left="1440" w:hanging="1440"/>
      </w:pPr>
    </w:p>
    <w:p w:rsidR="00756160" w:rsidRPr="008F486F" w:rsidP="00756160" w14:paraId="17ADC77A" w14:textId="77777777">
      <w:pPr>
        <w:pStyle w:val="BodyText"/>
        <w:ind w:left="1440" w:hanging="1440"/>
      </w:pPr>
      <w:r w:rsidRPr="008F486F">
        <w:t>DOC</w:t>
      </w:r>
      <w:r w:rsidRPr="008F486F">
        <w:tab/>
        <w:t>U.S. Department of Commerce</w:t>
      </w:r>
    </w:p>
    <w:p w:rsidR="00756160" w:rsidRPr="008F486F" w:rsidP="00756160" w14:paraId="00CA405B" w14:textId="77777777">
      <w:pPr>
        <w:pStyle w:val="BodyText"/>
        <w:ind w:left="1440" w:hanging="1440"/>
      </w:pPr>
      <w:r w:rsidRPr="008F486F">
        <w:t>DOE</w:t>
      </w:r>
      <w:r w:rsidRPr="008F486F">
        <w:tab/>
        <w:t>U.S. Department of Energy</w:t>
      </w:r>
    </w:p>
    <w:p w:rsidR="00756160" w:rsidRPr="008F486F" w:rsidP="00756160" w14:paraId="6A139CE7" w14:textId="77777777">
      <w:pPr>
        <w:pStyle w:val="BodyText"/>
        <w:ind w:left="1440" w:hanging="1440"/>
      </w:pPr>
    </w:p>
    <w:p w:rsidR="00756160" w:rsidRPr="008F486F" w:rsidP="00756160" w14:paraId="0D772C74" w14:textId="77777777">
      <w:pPr>
        <w:pStyle w:val="BodyText"/>
        <w:ind w:left="1440" w:hanging="1440"/>
      </w:pPr>
      <w:r w:rsidRPr="008F486F">
        <w:t>EPAct</w:t>
      </w:r>
      <w:r w:rsidRPr="008F486F">
        <w:tab/>
        <w:t>2005 Energy Policy Act</w:t>
      </w:r>
    </w:p>
    <w:p w:rsidR="00756160" w:rsidRPr="008F486F" w:rsidP="00756160" w14:paraId="2FF1179D" w14:textId="77777777">
      <w:pPr>
        <w:pStyle w:val="BodyText"/>
        <w:ind w:left="1440" w:hanging="1440"/>
      </w:pPr>
    </w:p>
    <w:p w:rsidR="00756160" w:rsidRPr="008F486F" w:rsidP="00756160" w14:paraId="4F23A1B9" w14:textId="77777777">
      <w:pPr>
        <w:pStyle w:val="BodyText"/>
        <w:ind w:left="1440" w:hanging="1440"/>
      </w:pPr>
      <w:r w:rsidRPr="008F486F">
        <w:t>FR</w:t>
      </w:r>
      <w:r w:rsidRPr="008F486F">
        <w:tab/>
      </w:r>
      <w:r w:rsidRPr="008F486F">
        <w:rPr>
          <w:i/>
          <w:iCs/>
        </w:rPr>
        <w:t>Federal Register</w:t>
      </w:r>
    </w:p>
    <w:p w:rsidR="00756160" w:rsidRPr="008F486F" w:rsidP="00756160" w14:paraId="25001F2F" w14:textId="77777777">
      <w:pPr>
        <w:pStyle w:val="BodyText"/>
        <w:ind w:left="1440" w:hanging="1440"/>
      </w:pPr>
      <w:r w:rsidRPr="008F486F">
        <w:t>FTE</w:t>
      </w:r>
      <w:r w:rsidRPr="008F486F">
        <w:tab/>
        <w:t>full-time</w:t>
      </w:r>
      <w:r w:rsidRPr="008F486F">
        <w:rPr>
          <w:spacing w:val="-2"/>
        </w:rPr>
        <w:t xml:space="preserve"> </w:t>
      </w:r>
      <w:r w:rsidRPr="008F486F">
        <w:t>equivalent</w:t>
      </w:r>
      <w:r w:rsidRPr="008F486F">
        <w:rPr>
          <w:spacing w:val="-1"/>
        </w:rPr>
        <w:t xml:space="preserve"> </w:t>
      </w:r>
      <w:r w:rsidRPr="008F486F">
        <w:t>(employee)</w:t>
      </w:r>
    </w:p>
    <w:p w:rsidR="00756160" w:rsidRPr="008F486F" w:rsidP="00756160" w14:paraId="10B913E9" w14:textId="77777777">
      <w:pPr>
        <w:pStyle w:val="BodyText"/>
        <w:ind w:left="1440" w:hanging="1440"/>
      </w:pPr>
    </w:p>
    <w:p w:rsidR="00756160" w:rsidRPr="008F486F" w:rsidP="00756160" w14:paraId="273D9036" w14:textId="77777777">
      <w:pPr>
        <w:pStyle w:val="BodyText"/>
        <w:ind w:left="1440" w:hanging="1440"/>
      </w:pPr>
      <w:r w:rsidRPr="008F486F">
        <w:t>IAEA</w:t>
      </w:r>
      <w:r w:rsidRPr="008F486F">
        <w:tab/>
        <w:t>International Atomic Energy Agency</w:t>
      </w:r>
    </w:p>
    <w:p w:rsidR="00756160" w:rsidRPr="008F486F" w:rsidP="00756160" w14:paraId="7FD234CA" w14:textId="77777777">
      <w:pPr>
        <w:pStyle w:val="BodyText"/>
        <w:ind w:left="1440" w:hanging="1440"/>
      </w:pPr>
    </w:p>
    <w:p w:rsidR="00756160" w:rsidRPr="008F486F" w:rsidP="00756160" w14:paraId="3E402D08" w14:textId="77777777">
      <w:pPr>
        <w:pStyle w:val="BodyText"/>
        <w:ind w:left="1440" w:hanging="1440"/>
      </w:pPr>
      <w:r w:rsidRPr="008F486F">
        <w:t>LLW</w:t>
      </w:r>
      <w:r w:rsidRPr="008F486F">
        <w:tab/>
        <w:t>low-level waste</w:t>
      </w:r>
    </w:p>
    <w:p w:rsidR="00756160" w:rsidRPr="008F486F" w:rsidP="00756160" w14:paraId="3F0C6B4A" w14:textId="77777777">
      <w:pPr>
        <w:pStyle w:val="BodyText"/>
        <w:ind w:left="1440" w:hanging="1440"/>
      </w:pPr>
    </w:p>
    <w:p w:rsidR="00756160" w:rsidRPr="008F486F" w:rsidP="00756160" w14:paraId="5A7CD87D" w14:textId="77777777">
      <w:pPr>
        <w:pStyle w:val="BodyText"/>
        <w:ind w:left="1440" w:hanging="1440"/>
      </w:pPr>
      <w:r w:rsidRPr="008F486F">
        <w:t xml:space="preserve">NEIMA </w:t>
      </w:r>
      <w:r w:rsidRPr="008F486F">
        <w:tab/>
        <w:t>Nuclear Energy Innovation and Modernization Act</w:t>
      </w:r>
    </w:p>
    <w:p w:rsidR="00756160" w:rsidRPr="008F486F" w:rsidP="00756160" w14:paraId="028A0EC0" w14:textId="77777777">
      <w:pPr>
        <w:pStyle w:val="BodyText"/>
        <w:ind w:left="1440" w:hanging="1440"/>
      </w:pPr>
      <w:r w:rsidRPr="008F486F">
        <w:t>NMP</w:t>
      </w:r>
      <w:r w:rsidRPr="008F486F">
        <w:tab/>
        <w:t>National Materials Program</w:t>
      </w:r>
    </w:p>
    <w:p w:rsidR="00756160" w:rsidRPr="008F486F" w:rsidP="00756160" w14:paraId="05649F57" w14:textId="77777777">
      <w:pPr>
        <w:pStyle w:val="BodyText"/>
        <w:ind w:left="1440" w:hanging="1440"/>
      </w:pPr>
      <w:r w:rsidRPr="008F486F">
        <w:t>NPT</w:t>
      </w:r>
      <w:r w:rsidRPr="008F486F">
        <w:tab/>
        <w:t xml:space="preserve">Treaty on the Non-Proliferation of Nuclear Weapons </w:t>
      </w:r>
    </w:p>
    <w:p w:rsidR="00756160" w:rsidRPr="008F486F" w:rsidP="00756160" w14:paraId="004179F2" w14:textId="77777777">
      <w:pPr>
        <w:pStyle w:val="BodyText"/>
        <w:ind w:left="1440" w:hanging="1440"/>
      </w:pPr>
      <w:r w:rsidRPr="008F486F">
        <w:t>NPV</w:t>
      </w:r>
      <w:r w:rsidRPr="008F486F">
        <w:tab/>
        <w:t>net</w:t>
      </w:r>
      <w:r w:rsidRPr="008F486F">
        <w:rPr>
          <w:spacing w:val="-1"/>
        </w:rPr>
        <w:t xml:space="preserve"> </w:t>
      </w:r>
      <w:r w:rsidRPr="008F486F">
        <w:t>present</w:t>
      </w:r>
      <w:r w:rsidRPr="008F486F">
        <w:rPr>
          <w:spacing w:val="-2"/>
        </w:rPr>
        <w:t xml:space="preserve"> </w:t>
      </w:r>
      <w:r w:rsidRPr="008F486F">
        <w:t>value</w:t>
      </w:r>
    </w:p>
    <w:p w:rsidR="00756160" w:rsidRPr="008F486F" w:rsidP="00756160" w14:paraId="6AEFD8E6" w14:textId="77777777">
      <w:pPr>
        <w:pStyle w:val="BodyText"/>
        <w:ind w:left="1440" w:hanging="1440"/>
      </w:pPr>
      <w:r w:rsidRPr="008F486F">
        <w:t>NRC</w:t>
      </w:r>
      <w:r w:rsidRPr="008F486F">
        <w:tab/>
        <w:t>U.S.</w:t>
      </w:r>
      <w:r w:rsidRPr="008F486F">
        <w:rPr>
          <w:spacing w:val="-3"/>
        </w:rPr>
        <w:t> </w:t>
      </w:r>
      <w:r w:rsidRPr="008F486F">
        <w:t>Nuclear</w:t>
      </w:r>
      <w:r w:rsidRPr="008F486F">
        <w:rPr>
          <w:spacing w:val="-2"/>
        </w:rPr>
        <w:t xml:space="preserve"> </w:t>
      </w:r>
      <w:r w:rsidRPr="008F486F">
        <w:t>Regulatory</w:t>
      </w:r>
      <w:r w:rsidRPr="008F486F">
        <w:rPr>
          <w:spacing w:val="-2"/>
        </w:rPr>
        <w:t xml:space="preserve"> </w:t>
      </w:r>
      <w:r w:rsidRPr="008F486F">
        <w:t>Commission</w:t>
      </w:r>
    </w:p>
    <w:p w:rsidR="00756160" w:rsidRPr="008F486F" w:rsidP="00756160" w14:paraId="0E60CFA5" w14:textId="77777777">
      <w:pPr>
        <w:pStyle w:val="BodyText"/>
        <w:ind w:left="1440" w:hanging="1440"/>
      </w:pPr>
      <w:r w:rsidRPr="008F486F">
        <w:t>NSG</w:t>
      </w:r>
      <w:r w:rsidRPr="008F486F">
        <w:tab/>
        <w:t>Nuclear Suppliers Group</w:t>
      </w:r>
    </w:p>
    <w:p w:rsidR="00756160" w:rsidRPr="008F486F" w:rsidP="00756160" w14:paraId="330AB10D" w14:textId="77777777">
      <w:pPr>
        <w:pStyle w:val="BodyText"/>
        <w:ind w:left="1440" w:hanging="1440"/>
      </w:pPr>
    </w:p>
    <w:p w:rsidR="00756160" w:rsidRPr="008F486F" w:rsidP="00756160" w14:paraId="3C371DD5" w14:textId="77777777">
      <w:pPr>
        <w:pStyle w:val="BodyText"/>
        <w:ind w:left="1440" w:hanging="1440"/>
      </w:pPr>
      <w:r w:rsidRPr="008F486F">
        <w:t xml:space="preserve">OEWS </w:t>
      </w:r>
      <w:r w:rsidRPr="008F486F">
        <w:tab/>
        <w:t>Occupational Employment and Wage Statistics</w:t>
      </w:r>
    </w:p>
    <w:p w:rsidR="00756160" w:rsidRPr="008F486F" w:rsidP="00756160" w14:paraId="2980539D" w14:textId="77777777">
      <w:pPr>
        <w:pStyle w:val="BodyText"/>
        <w:ind w:left="1440" w:hanging="1440"/>
      </w:pPr>
    </w:p>
    <w:p w:rsidR="00756160" w:rsidRPr="008F486F" w:rsidP="00756160" w14:paraId="3B1482B4" w14:textId="77777777">
      <w:pPr>
        <w:pStyle w:val="BodyText"/>
        <w:ind w:left="1440" w:hanging="1440"/>
      </w:pPr>
      <w:r w:rsidRPr="008F486F">
        <w:t>PERT</w:t>
      </w:r>
      <w:r w:rsidRPr="008F486F">
        <w:tab/>
        <w:t>program</w:t>
      </w:r>
      <w:r w:rsidRPr="008F486F">
        <w:rPr>
          <w:spacing w:val="-3"/>
        </w:rPr>
        <w:t xml:space="preserve"> </w:t>
      </w:r>
      <w:r w:rsidRPr="008F486F">
        <w:t>evaluation</w:t>
      </w:r>
      <w:r w:rsidRPr="008F486F">
        <w:rPr>
          <w:spacing w:val="-1"/>
        </w:rPr>
        <w:t xml:space="preserve"> </w:t>
      </w:r>
      <w:r w:rsidRPr="008F486F">
        <w:t>and</w:t>
      </w:r>
      <w:r w:rsidRPr="008F486F">
        <w:rPr>
          <w:spacing w:val="-2"/>
        </w:rPr>
        <w:t xml:space="preserve"> </w:t>
      </w:r>
      <w:r w:rsidRPr="008F486F">
        <w:t>review</w:t>
      </w:r>
      <w:r w:rsidRPr="008F486F">
        <w:rPr>
          <w:spacing w:val="-2"/>
        </w:rPr>
        <w:t xml:space="preserve"> </w:t>
      </w:r>
      <w:r w:rsidRPr="008F486F">
        <w:t>technique</w:t>
      </w:r>
    </w:p>
    <w:p w:rsidR="00756160" w:rsidRPr="008F486F" w:rsidP="00756160" w14:paraId="1CE716F9" w14:textId="77777777">
      <w:pPr>
        <w:pStyle w:val="BodyText"/>
        <w:ind w:left="1440" w:hanging="1440"/>
      </w:pPr>
    </w:p>
    <w:p w:rsidR="00756160" w:rsidRPr="008F486F" w:rsidP="00756160" w14:paraId="6869114A" w14:textId="77777777">
      <w:pPr>
        <w:pStyle w:val="BodyText"/>
        <w:ind w:left="1440" w:hanging="1440"/>
      </w:pPr>
      <w:r w:rsidRPr="008F486F">
        <w:t>SRM</w:t>
      </w:r>
      <w:r w:rsidRPr="008F486F">
        <w:tab/>
        <w:t>staff</w:t>
      </w:r>
      <w:r w:rsidRPr="008F486F">
        <w:rPr>
          <w:spacing w:val="-4"/>
        </w:rPr>
        <w:t xml:space="preserve"> </w:t>
      </w:r>
      <w:r w:rsidRPr="008F486F">
        <w:t>requirements</w:t>
      </w:r>
      <w:r w:rsidRPr="008F486F">
        <w:rPr>
          <w:spacing w:val="-4"/>
        </w:rPr>
        <w:t xml:space="preserve"> </w:t>
      </w:r>
      <w:r w:rsidRPr="008F486F">
        <w:t>memorandum</w:t>
      </w:r>
    </w:p>
    <w:p w:rsidR="00756160" w:rsidRPr="008F486F" w:rsidP="00756160" w14:paraId="21C944FD" w14:textId="77777777">
      <w:pPr>
        <w:pStyle w:val="BodyText"/>
      </w:pPr>
    </w:p>
    <w:p w:rsidR="00756160" w:rsidRPr="008F486F" w:rsidP="00756160" w14:paraId="4168501D" w14:textId="77777777">
      <w:r w:rsidRPr="008F486F">
        <w:br w:type="page"/>
      </w:r>
    </w:p>
    <w:p w:rsidR="00756160" w:rsidRPr="008F486F" w:rsidP="00756160" w14:paraId="59D636D5" w14:textId="77777777">
      <w:pPr>
        <w:pStyle w:val="Heading1"/>
      </w:pPr>
      <w:bookmarkStart w:id="17" w:name="_Toc176883968"/>
      <w:bookmarkStart w:id="18" w:name="_Toc222796491"/>
      <w:r w:rsidRPr="008F486F">
        <w:t>EXECUTIVE</w:t>
      </w:r>
      <w:r w:rsidRPr="008F486F">
        <w:rPr>
          <w:spacing w:val="-12"/>
        </w:rPr>
        <w:t xml:space="preserve"> </w:t>
      </w:r>
      <w:r w:rsidRPr="008F486F">
        <w:t>SUMMARY</w:t>
      </w:r>
      <w:bookmarkEnd w:id="17"/>
      <w:bookmarkEnd w:id="18"/>
    </w:p>
    <w:p w:rsidR="00756160" w:rsidRPr="008F486F" w:rsidP="00756160" w14:paraId="0A028277" w14:textId="77777777">
      <w:pPr>
        <w:pStyle w:val="BodyText"/>
      </w:pPr>
    </w:p>
    <w:p w:rsidR="00756160" w:rsidRPr="008F486F" w:rsidP="00756160" w14:paraId="1D53D717" w14:textId="77777777">
      <w:pPr>
        <w:pStyle w:val="BodyText"/>
      </w:pPr>
      <w:r w:rsidRPr="008F486F">
        <w:t xml:space="preserve">The U.S. Nuclear Regulatory Commission (NRC) is proposing to amend its regulations to </w:t>
      </w:r>
      <w:r w:rsidRPr="007D03E3" w:rsidR="007D03E3">
        <w:t xml:space="preserve">augment the existing byproduct material </w:t>
      </w:r>
      <w:r w:rsidRPr="008F486F">
        <w:t xml:space="preserve">framework </w:t>
      </w:r>
      <w:r w:rsidRPr="00C64DBB" w:rsidR="00C64DBB">
        <w:t xml:space="preserve">to be inclusive of </w:t>
      </w:r>
      <w:r w:rsidRPr="008F486F">
        <w:t>fusion machines. The NRC is proposing requirements that are technology-inclusive to accommodate the wide variety of anticipated fusion machine designs across the National Materials Program. The NRC is also issuing for comment draft guidance for the implementation of this rule, entitled NUREG-1556, Volume 22, “Consolidated Guidance About Materials Licenses: Program-Specific Guidance About Fusion Machine Licenses.” This document presents a draft regulatory analysis of the costs and benefits of the proposed requirements, “Regulatory Framework for Fusion Machines,” and the draft guidance relative to the baseline case (i.e., the No-Action alternative).</w:t>
      </w:r>
    </w:p>
    <w:p w:rsidR="00756160" w:rsidRPr="008F486F" w:rsidP="00756160" w14:paraId="346F4840" w14:textId="77777777">
      <w:pPr>
        <w:pStyle w:val="BodyText"/>
      </w:pPr>
    </w:p>
    <w:p w:rsidR="00756160" w:rsidRPr="008F486F" w:rsidP="00756160" w14:paraId="2C339040" w14:textId="77777777">
      <w:pPr>
        <w:pStyle w:val="BodyText"/>
      </w:pPr>
      <w:r w:rsidRPr="008F486F">
        <w:t xml:space="preserve">The NRC is </w:t>
      </w:r>
      <w:r w:rsidRPr="008F2656" w:rsidR="008F2656">
        <w:t xml:space="preserve">proposing </w:t>
      </w:r>
      <w:r w:rsidRPr="008F486F">
        <w:t xml:space="preserve">the revision of its byproduct material framework at Part 30 of Title 10 the </w:t>
      </w:r>
      <w:r w:rsidRPr="008F486F">
        <w:rPr>
          <w:i/>
        </w:rPr>
        <w:t>Code of Federal Regulations</w:t>
      </w:r>
      <w:r w:rsidRPr="008F486F">
        <w:t xml:space="preserve"> (10 CFR), “Rules of General Applicability to Domestic Licensing of Byproduct Material,” for the licensing and oversight of </w:t>
      </w:r>
      <w:r w:rsidRPr="00D5237E" w:rsidR="00D5237E">
        <w:t xml:space="preserve">the possession, use, and production of byproduct material associated with </w:t>
      </w:r>
      <w:r w:rsidRPr="008F486F">
        <w:t>fusion machines. The proposed amendments to 10 CFR Part 30 are primarily focused on definitions and the content of an application. Proposed amendments to 10 CFR Part 20, “Standards for Protection Against Radiation,” are focused on definitions and establishing a waste disposal site intruder assessment requirement, and proposed amendments to 10 CFR Part 51, “Environmental Protection Regulations for Domestic Licensing and Related Regulatory Functions,” are focused on a requirement to submit an environmental report.</w:t>
      </w:r>
      <w:r w:rsidR="002F708C">
        <w:t xml:space="preserve"> </w:t>
      </w:r>
      <w:r w:rsidRPr="002F708C" w:rsidR="002F708C">
        <w:t>In addition, the draft proposed rule includes changes to the definition of byproduct material in several other parts of the regulations (10 CFR parts 37, 50, 72, 110, 150, 170, and 171) as required by the ADVANCE Act</w:t>
      </w:r>
      <w:r>
        <w:rPr>
          <w:rStyle w:val="FootnoteReference"/>
        </w:rPr>
        <w:footnoteReference w:id="3"/>
      </w:r>
      <w:r w:rsidRPr="002F708C" w:rsidR="002F708C">
        <w:t>.</w:t>
      </w:r>
    </w:p>
    <w:p w:rsidR="00756160" w:rsidRPr="008F486F" w:rsidP="00756160" w14:paraId="5131A849" w14:textId="77777777">
      <w:pPr>
        <w:pStyle w:val="BodyText"/>
      </w:pPr>
    </w:p>
    <w:p w:rsidR="00756160" w:rsidRPr="008F486F" w:rsidP="00756160" w14:paraId="7911EBD5" w14:textId="77777777">
      <w:pPr>
        <w:pStyle w:val="BodyText"/>
      </w:pPr>
      <w:r w:rsidRPr="008F486F">
        <w:t>In 2019, the Nuclear Energy Innovation and Modernization Act (NEIMA) directed the NRC to develop the regulatory infrastructure to support the development and commercialization of advanced nuclear reactors, including both nuclear fission reactors and fusion machines</w:t>
      </w:r>
      <w:r>
        <w:rPr>
          <w:rStyle w:val="FootnoteReference"/>
        </w:rPr>
        <w:footnoteReference w:id="4"/>
      </w:r>
      <w:r w:rsidRPr="008F486F">
        <w:t xml:space="preserve">. Section 103 of NEIMA requires the NRC to “complete a rulemaking to establish a technology-inclusive regulatory framework for optional use by commercial advanced nuclear reactor applicants” by December 31, 2027. In response to NEIMA, and due to the continued development of fusion technologies, the Commission </w:t>
      </w:r>
      <w:r w:rsidRPr="008F486F" w:rsidR="006138A1">
        <w:t>in 2020</w:t>
      </w:r>
      <w:r w:rsidR="006138A1">
        <w:t xml:space="preserve"> </w:t>
      </w:r>
      <w:r w:rsidRPr="008F486F">
        <w:t>directed the NRC staff in SRM-SECY-20-0032 to “consider appropriate treatment of fusion reactor designs in our regulatory structure by developing options for Commission consideration on licensing and regulating fusion energy systems.”</w:t>
      </w:r>
    </w:p>
    <w:p w:rsidR="00756160" w:rsidRPr="008F486F" w:rsidP="00756160" w14:paraId="3F913920" w14:textId="77777777">
      <w:pPr>
        <w:pStyle w:val="BodyText"/>
      </w:pPr>
    </w:p>
    <w:p w:rsidR="00756160" w:rsidRPr="008F486F" w:rsidP="00756160" w14:paraId="41494615" w14:textId="77777777">
      <w:pPr>
        <w:pStyle w:val="BodyText"/>
      </w:pPr>
      <w:r w:rsidRPr="008F486F">
        <w:t xml:space="preserve">This proposed rule includes regulatory requirements for </w:t>
      </w:r>
      <w:r w:rsidRPr="00E2065A" w:rsidR="00E2065A">
        <w:t xml:space="preserve">the possession, use, and production of byproduct material associated with </w:t>
      </w:r>
      <w:r w:rsidRPr="008F486F">
        <w:t xml:space="preserve">near-term fusion machines that are consistent with existing requirements, to the extent practicable. The technology-inclusive and performance-based focus of this rulemaking would benefit the wide variety of anticipated fusion machine designs across the National Materials Program. In the context of this proposed rulemaking, the focus of licensing and oversight would be on </w:t>
      </w:r>
      <w:r w:rsidRPr="004E72E0" w:rsidR="004E72E0">
        <w:t xml:space="preserve">possession, use, and </w:t>
      </w:r>
      <w:r w:rsidRPr="008F486F">
        <w:t xml:space="preserve">production of radioactive materials associated with fusion machines, as well as activation products. </w:t>
      </w:r>
      <w:r w:rsidRPr="004D1429">
        <w:t xml:space="preserve">These regulations are intended to ensure consistency </w:t>
      </w:r>
      <w:r w:rsidRPr="004D1429" w:rsidR="00D24F06">
        <w:t>in</w:t>
      </w:r>
      <w:r w:rsidR="00D24F06">
        <w:t xml:space="preserve"> byproduct material</w:t>
      </w:r>
      <w:r w:rsidRPr="004D1429" w:rsidR="00D24F06">
        <w:t xml:space="preserve"> </w:t>
      </w:r>
      <w:r w:rsidRPr="004D1429">
        <w:t>licensing reviews</w:t>
      </w:r>
      <w:r w:rsidRPr="004D1429" w:rsidR="004D1429">
        <w:t xml:space="preserve"> associated with fusion machines</w:t>
      </w:r>
      <w:r w:rsidRPr="004D1429">
        <w:t>; promote an efficient licensing process</w:t>
      </w:r>
      <w:r w:rsidRPr="004D1429" w:rsidR="004D1429">
        <w:t xml:space="preserve"> associated with fusion machines</w:t>
      </w:r>
      <w:r w:rsidRPr="004D1429">
        <w:t xml:space="preserve">; address the safe and </w:t>
      </w:r>
      <w:r w:rsidRPr="004D1429">
        <w:t xml:space="preserve">secure use of radioactive materials </w:t>
      </w:r>
      <w:r w:rsidRPr="004D1429" w:rsidR="002018A1">
        <w:t>associated with fusion machines</w:t>
      </w:r>
      <w:r w:rsidRPr="004D1429">
        <w:t>; and support the principles of good regulation, including openness, clarity, and reliability.</w:t>
      </w:r>
    </w:p>
    <w:p w:rsidR="00756160" w:rsidRPr="008F486F" w:rsidP="00756160" w14:paraId="33127C14" w14:textId="77777777">
      <w:pPr>
        <w:pStyle w:val="BodyText"/>
      </w:pPr>
    </w:p>
    <w:p w:rsidR="00756160" w:rsidRPr="008F486F" w:rsidP="00756160" w14:paraId="672EED0C" w14:textId="0F4CDE59">
      <w:pPr>
        <w:pStyle w:val="BodyText"/>
      </w:pPr>
      <w:r w:rsidRPr="00CA6EB2">
        <w:t>The proposed rule would add technology-inclusive content-of-application requirements supportive of a performance-based approach to regulating the possession, use, and production of byproduct material associated with fusion machines</w:t>
      </w:r>
      <w:r>
        <w:t xml:space="preserve">. </w:t>
      </w:r>
      <w:r w:rsidRPr="008F486F" w:rsidR="000E74E9">
        <w:t>The major provisions of this proposed rule include the following:</w:t>
      </w:r>
    </w:p>
    <w:p w:rsidR="00756160" w:rsidRPr="008F486F" w:rsidP="00756160" w14:paraId="0E48C0C6" w14:textId="77777777">
      <w:pPr>
        <w:pStyle w:val="BodyText"/>
      </w:pPr>
    </w:p>
    <w:p w:rsidR="00756160" w:rsidRPr="008F486F" w:rsidP="00756160" w14:paraId="1818367C" w14:textId="77777777">
      <w:pPr>
        <w:pStyle w:val="BodyText"/>
        <w:numPr>
          <w:ilvl w:val="0"/>
          <w:numId w:val="24"/>
        </w:numPr>
        <w:ind w:left="648" w:hanging="288"/>
      </w:pPr>
      <w:r w:rsidRPr="008F486F">
        <w:t>Development of a regulatory framework for</w:t>
      </w:r>
      <w:r w:rsidRPr="005E6C93" w:rsidR="005E6C93">
        <w:t xml:space="preserve"> licensing the possession, use, and production of byproduct material associated with</w:t>
      </w:r>
      <w:r w:rsidRPr="008F486F">
        <w:t xml:space="preserve"> fusion machines under the existing 10 CFR Part 30 byproduct material framework. This framework would provide a systematic, risk-informed, performance-based approach to the licensing and oversight of </w:t>
      </w:r>
      <w:r w:rsidRPr="00E168C3" w:rsidR="00E168C3">
        <w:t xml:space="preserve">byproduct material associated with </w:t>
      </w:r>
      <w:r w:rsidR="00AB1ED7">
        <w:t>f</w:t>
      </w:r>
      <w:r w:rsidRPr="008F486F">
        <w:t xml:space="preserve">usion machines </w:t>
      </w:r>
      <w:r w:rsidRPr="008F486F" w:rsidR="00E15B3B">
        <w:t xml:space="preserve">and </w:t>
      </w:r>
      <w:r w:rsidR="00E15B3B">
        <w:t>its</w:t>
      </w:r>
      <w:r w:rsidRPr="008F486F" w:rsidR="00E15B3B">
        <w:t xml:space="preserve"> associated</w:t>
      </w:r>
      <w:r w:rsidRPr="008F486F">
        <w:t xml:space="preserve"> </w:t>
      </w:r>
      <w:r w:rsidRPr="00AB1ED7" w:rsidR="00AB1ED7">
        <w:t xml:space="preserve">radiological </w:t>
      </w:r>
      <w:r w:rsidRPr="008F486F">
        <w:t>hazards.</w:t>
      </w:r>
    </w:p>
    <w:p w:rsidR="00756160" w:rsidRPr="008F486F" w:rsidP="00756160" w14:paraId="73EF029E" w14:textId="77777777">
      <w:pPr>
        <w:pStyle w:val="BodyText"/>
        <w:numPr>
          <w:ilvl w:val="0"/>
          <w:numId w:val="24"/>
        </w:numPr>
        <w:ind w:left="648" w:hanging="288"/>
      </w:pPr>
      <w:r w:rsidRPr="008F486F">
        <w:t xml:space="preserve">Establishment of new proposed definitions, adopted from the Atomic Energy Act (AEA) of 1954, as amended by the ADVANCE Act of 2024, to establish the scope of regulatory requirements for </w:t>
      </w:r>
      <w:r w:rsidRPr="007C2DDF" w:rsidR="007C2DDF">
        <w:t xml:space="preserve">the possession, use, and production of byproduct material associated with </w:t>
      </w:r>
      <w:r w:rsidRPr="008F486F">
        <w:t>fusion machines and technology-inclusive content-of-application requirements supportive of a performance-based approach to regulation.</w:t>
      </w:r>
    </w:p>
    <w:p w:rsidR="00756160" w:rsidRPr="008F486F" w:rsidP="00756160" w14:paraId="334463DB" w14:textId="77777777">
      <w:pPr>
        <w:pStyle w:val="ListParagraph"/>
        <w:numPr>
          <w:ilvl w:val="0"/>
          <w:numId w:val="24"/>
        </w:numPr>
        <w:ind w:left="648" w:hanging="288"/>
      </w:pPr>
      <w:r w:rsidRPr="008F486F">
        <w:t xml:space="preserve">Other targeted changes to current </w:t>
      </w:r>
      <w:r w:rsidRPr="008F486F">
        <w:t>regulations that</w:t>
      </w:r>
      <w:r w:rsidRPr="008F486F">
        <w:t xml:space="preserve"> would ensure the applicability of current domestic licensing practices, and other updates necessary for the safe and secure use of radioactive materials </w:t>
      </w:r>
      <w:r w:rsidRPr="00E452A2" w:rsidR="00E452A2">
        <w:t xml:space="preserve">associated with </w:t>
      </w:r>
      <w:r w:rsidRPr="008F486F">
        <w:t>fusion machine</w:t>
      </w:r>
      <w:r w:rsidR="00E452A2">
        <w:t>s</w:t>
      </w:r>
      <w:r w:rsidRPr="008F486F">
        <w:t>.</w:t>
      </w:r>
    </w:p>
    <w:p w:rsidR="00756160" w:rsidRPr="008F486F" w:rsidP="00756160" w14:paraId="61B79728" w14:textId="77777777">
      <w:pPr>
        <w:pStyle w:val="BodyText"/>
      </w:pPr>
    </w:p>
    <w:p w:rsidR="00756160" w:rsidRPr="008F486F" w:rsidP="00756160" w14:paraId="5B2EC820" w14:textId="77777777">
      <w:pPr>
        <w:pStyle w:val="BodyText"/>
      </w:pPr>
      <w:r w:rsidRPr="008F486F">
        <w:t>This regulatory analysis discusses three alternatives</w:t>
      </w:r>
      <w:r>
        <w:t>—</w:t>
      </w:r>
      <w:r w:rsidRPr="008F486F">
        <w:t xml:space="preserve">Alternative 1, the no-action or status quo alternative, Alternative 2, pursuance of the proposed rule, and Alternative 3, which is to issue new guidance clarifying the application of existing regulations to </w:t>
      </w:r>
      <w:r w:rsidRPr="00BD687C" w:rsidR="00BD687C">
        <w:t>the possession, use, and production of byproduct material associated</w:t>
      </w:r>
      <w:r w:rsidR="00E379E2">
        <w:t xml:space="preserve"> with</w:t>
      </w:r>
      <w:r w:rsidRPr="00BD687C" w:rsidR="00BD687C">
        <w:t xml:space="preserve"> </w:t>
      </w:r>
      <w:r w:rsidRPr="008F486F">
        <w:t>fusion machines without changing the existing regulations. The regulatory analysis evaluates the costs and benefits of Alternative 2</w:t>
      </w:r>
      <w:r>
        <w:t>—</w:t>
      </w:r>
      <w:r w:rsidRPr="008F486F">
        <w:t>the proposed rule requirements and development of the associated guidance documents relative to Alternative 1</w:t>
      </w:r>
      <w:r>
        <w:t>—</w:t>
      </w:r>
      <w:r w:rsidRPr="008F486F">
        <w:t>the no-action alternative, and Alternative 3</w:t>
      </w:r>
      <w:r>
        <w:t>—</w:t>
      </w:r>
      <w:r w:rsidRPr="008F486F">
        <w:t>development of guidance documents relative to Alternative 1</w:t>
      </w:r>
      <w:r>
        <w:t>—</w:t>
      </w:r>
      <w:r w:rsidRPr="008F486F">
        <w:t xml:space="preserve">no action alternative. It </w:t>
      </w:r>
      <w:r w:rsidRPr="008F486F">
        <w:t>derives</w:t>
      </w:r>
      <w:r w:rsidRPr="008F486F">
        <w:t xml:space="preserve"> the key findings summarized in Table ES-1. Alternative 2 would result in net averted costs to the industry, Agreement States, and the NRC of approximately $1.</w:t>
      </w:r>
      <w:r>
        <w:t>38</w:t>
      </w:r>
      <w:r w:rsidRPr="008F486F">
        <w:t> million at the 7 percent discount rate (net present value (NPV)) and $3.</w:t>
      </w:r>
      <w:r>
        <w:t>25</w:t>
      </w:r>
      <w:r w:rsidRPr="008F486F">
        <w:t> million at the 3 percent</w:t>
      </w:r>
      <w:r w:rsidRPr="008F486F">
        <w:rPr>
          <w:spacing w:val="1"/>
        </w:rPr>
        <w:t xml:space="preserve"> </w:t>
      </w:r>
      <w:r w:rsidRPr="008F486F">
        <w:t>discount rate,</w:t>
      </w:r>
      <w:r w:rsidRPr="008F486F">
        <w:rPr>
          <w:spacing w:val="-1"/>
        </w:rPr>
        <w:t xml:space="preserve"> </w:t>
      </w:r>
      <w:r w:rsidRPr="008F486F">
        <w:t>making the</w:t>
      </w:r>
      <w:r w:rsidRPr="008F486F">
        <w:rPr>
          <w:spacing w:val="-1"/>
        </w:rPr>
        <w:t xml:space="preserve"> </w:t>
      </w:r>
      <w:r w:rsidRPr="008F486F">
        <w:t>overall proposed rule cost</w:t>
      </w:r>
      <w:r>
        <w:t xml:space="preserve"> </w:t>
      </w:r>
      <w:r w:rsidRPr="008F486F">
        <w:t>beneficial.</w:t>
      </w:r>
    </w:p>
    <w:p w:rsidR="00756160" w:rsidRPr="008F486F" w:rsidP="00756160" w14:paraId="2CC0515D" w14:textId="77777777">
      <w:pPr>
        <w:pStyle w:val="BodyText"/>
      </w:pPr>
    </w:p>
    <w:p w:rsidR="00756160" w:rsidRPr="008F486F" w:rsidP="00756160" w14:paraId="68FE192D" w14:textId="7D2D6A09">
      <w:pPr>
        <w:pStyle w:val="TableHeading"/>
        <w:rPr>
          <w:b w:val="0"/>
          <w:bCs w:val="0"/>
          <w:i/>
          <w:iCs/>
        </w:rPr>
      </w:pPr>
      <w:bookmarkStart w:id="19" w:name="_Toc171197458"/>
      <w:bookmarkStart w:id="20" w:name="_Toc177045599"/>
      <w:bookmarkStart w:id="21" w:name="_Toc222796250"/>
      <w:r w:rsidRPr="008F486F">
        <w:t>Table ES-</w:t>
      </w:r>
      <w:r w:rsidR="00B80CCF">
        <w:fldChar w:fldCharType="begin"/>
      </w:r>
      <w:r w:rsidR="00B80CCF">
        <w:instrText xml:space="preserve"> SEQ Table \* ARABIC </w:instrText>
      </w:r>
      <w:r w:rsidR="00B80CCF">
        <w:fldChar w:fldCharType="separate"/>
      </w:r>
      <w:r w:rsidRPr="008F486F">
        <w:rPr>
          <w:noProof/>
        </w:rPr>
        <w:t>1</w:t>
      </w:r>
      <w:r w:rsidR="00B80CCF">
        <w:rPr>
          <w:noProof/>
        </w:rPr>
        <w:fldChar w:fldCharType="end"/>
      </w:r>
      <w:r w:rsidRPr="008F486F">
        <w:tab/>
        <w:t>Total Benefits (Costs) of Proposed Rule</w:t>
      </w:r>
      <w:bookmarkEnd w:id="19"/>
      <w:bookmarkEnd w:id="20"/>
      <w:r w:rsidRPr="008F486F">
        <w:t xml:space="preserve"> (2023 </w:t>
      </w:r>
      <w:r w:rsidRPr="008F486F">
        <w:t>dollars)*</w:t>
      </w:r>
      <w:bookmarkEnd w:id="21"/>
    </w:p>
    <w:tbl>
      <w:tblPr>
        <w:tblW w:w="8470" w:type="dxa"/>
        <w:jc w:val="center"/>
        <w:tblLook w:val="04A0"/>
      </w:tblPr>
      <w:tblGrid>
        <w:gridCol w:w="2496"/>
        <w:gridCol w:w="2895"/>
        <w:gridCol w:w="3079"/>
      </w:tblGrid>
      <w:tr w14:paraId="16EEA74F" w14:textId="77777777">
        <w:tblPrEx>
          <w:tblW w:w="8470" w:type="dxa"/>
          <w:jc w:val="center"/>
          <w:tblLook w:val="04A0"/>
        </w:tblPrEx>
        <w:trPr>
          <w:trHeight w:val="276"/>
          <w:jc w:val="center"/>
        </w:trPr>
        <w:tc>
          <w:tcPr>
            <w:tcW w:w="2496" w:type="dxa"/>
            <w:tcBorders>
              <w:top w:val="single" w:sz="8" w:space="0" w:color="auto"/>
              <w:left w:val="nil"/>
              <w:bottom w:val="single" w:sz="8" w:space="0" w:color="auto"/>
              <w:right w:val="nil"/>
            </w:tcBorders>
            <w:vAlign w:val="center"/>
            <w:hideMark/>
          </w:tcPr>
          <w:p w:rsidR="00756160" w:rsidRPr="008F486F" w14:paraId="7718BC9E" w14:textId="77777777">
            <w:pPr>
              <w:autoSpaceDE/>
              <w:autoSpaceDN/>
              <w:jc w:val="center"/>
              <w:rPr>
                <w:rFonts w:eastAsia="Times New Roman"/>
                <w:b/>
                <w:bCs/>
                <w:color w:val="000000"/>
                <w:sz w:val="20"/>
                <w:szCs w:val="20"/>
              </w:rPr>
            </w:pPr>
          </w:p>
        </w:tc>
        <w:tc>
          <w:tcPr>
            <w:tcW w:w="2895" w:type="dxa"/>
            <w:tcBorders>
              <w:top w:val="single" w:sz="8" w:space="0" w:color="auto"/>
              <w:left w:val="nil"/>
              <w:bottom w:val="single" w:sz="8" w:space="0" w:color="auto"/>
              <w:right w:val="nil"/>
            </w:tcBorders>
            <w:hideMark/>
          </w:tcPr>
          <w:p w:rsidR="00756160" w:rsidRPr="008F486F" w14:paraId="0B090179" w14:textId="77777777">
            <w:pPr>
              <w:autoSpaceDE/>
              <w:autoSpaceDN/>
              <w:jc w:val="center"/>
              <w:rPr>
                <w:rFonts w:eastAsia="Times New Roman"/>
                <w:b/>
                <w:bCs/>
                <w:color w:val="000000"/>
                <w:sz w:val="20"/>
                <w:szCs w:val="20"/>
              </w:rPr>
            </w:pPr>
            <w:r w:rsidRPr="008F486F">
              <w:t>7% NPV</w:t>
            </w:r>
          </w:p>
        </w:tc>
        <w:tc>
          <w:tcPr>
            <w:tcW w:w="3079" w:type="dxa"/>
            <w:tcBorders>
              <w:top w:val="single" w:sz="8" w:space="0" w:color="auto"/>
              <w:left w:val="nil"/>
              <w:bottom w:val="single" w:sz="8" w:space="0" w:color="auto"/>
              <w:right w:val="nil"/>
            </w:tcBorders>
            <w:hideMark/>
          </w:tcPr>
          <w:p w:rsidR="00756160" w:rsidRPr="008F486F" w14:paraId="738A2D09" w14:textId="77777777">
            <w:pPr>
              <w:autoSpaceDE/>
              <w:autoSpaceDN/>
              <w:jc w:val="center"/>
              <w:rPr>
                <w:rFonts w:eastAsia="Times New Roman"/>
                <w:b/>
                <w:bCs/>
                <w:color w:val="000000"/>
                <w:sz w:val="20"/>
                <w:szCs w:val="20"/>
              </w:rPr>
            </w:pPr>
            <w:r w:rsidRPr="008F486F">
              <w:t>3% NPV</w:t>
            </w:r>
          </w:p>
        </w:tc>
      </w:tr>
      <w:tr w14:paraId="719DF8E8" w14:textId="77777777">
        <w:tblPrEx>
          <w:tblW w:w="8470" w:type="dxa"/>
          <w:jc w:val="center"/>
          <w:tblLook w:val="04A0"/>
        </w:tblPrEx>
        <w:trPr>
          <w:trHeight w:val="264"/>
          <w:jc w:val="center"/>
        </w:trPr>
        <w:tc>
          <w:tcPr>
            <w:tcW w:w="2496" w:type="dxa"/>
            <w:tcBorders>
              <w:top w:val="nil"/>
              <w:left w:val="nil"/>
              <w:bottom w:val="nil"/>
              <w:right w:val="nil"/>
            </w:tcBorders>
            <w:noWrap/>
            <w:vAlign w:val="center"/>
            <w:hideMark/>
          </w:tcPr>
          <w:p w:rsidR="00756160" w:rsidRPr="008F486F" w14:paraId="5C95510C" w14:textId="77777777">
            <w:pPr>
              <w:autoSpaceDE/>
              <w:autoSpaceDN/>
              <w:jc w:val="center"/>
              <w:rPr>
                <w:rFonts w:eastAsia="Times New Roman"/>
                <w:color w:val="000000"/>
                <w:sz w:val="20"/>
                <w:szCs w:val="20"/>
              </w:rPr>
            </w:pPr>
            <w:r w:rsidRPr="008F486F">
              <w:rPr>
                <w:rFonts w:eastAsia="Times New Roman"/>
                <w:color w:val="000000"/>
                <w:sz w:val="20"/>
                <w:szCs w:val="20"/>
              </w:rPr>
              <w:t>Industry Benefit</w:t>
            </w:r>
          </w:p>
        </w:tc>
        <w:tc>
          <w:tcPr>
            <w:tcW w:w="2895" w:type="dxa"/>
            <w:tcBorders>
              <w:top w:val="nil"/>
              <w:left w:val="nil"/>
              <w:bottom w:val="nil"/>
              <w:right w:val="nil"/>
            </w:tcBorders>
            <w:noWrap/>
            <w:hideMark/>
          </w:tcPr>
          <w:p w:rsidR="00756160" w:rsidRPr="008F486F" w14:paraId="675320E8" w14:textId="77777777">
            <w:pPr>
              <w:autoSpaceDE/>
              <w:autoSpaceDN/>
              <w:jc w:val="center"/>
              <w:rPr>
                <w:rFonts w:eastAsia="Times New Roman"/>
                <w:color w:val="000000"/>
                <w:sz w:val="20"/>
                <w:szCs w:val="20"/>
              </w:rPr>
            </w:pPr>
            <w:r w:rsidRPr="00742FBE">
              <w:t xml:space="preserve">$2,027,000 </w:t>
            </w:r>
          </w:p>
        </w:tc>
        <w:tc>
          <w:tcPr>
            <w:tcW w:w="3079" w:type="dxa"/>
            <w:tcBorders>
              <w:top w:val="nil"/>
              <w:left w:val="nil"/>
              <w:bottom w:val="nil"/>
              <w:right w:val="nil"/>
            </w:tcBorders>
            <w:noWrap/>
            <w:hideMark/>
          </w:tcPr>
          <w:p w:rsidR="00756160" w:rsidRPr="008F486F" w14:paraId="7B226587" w14:textId="77777777">
            <w:pPr>
              <w:autoSpaceDE/>
              <w:autoSpaceDN/>
              <w:jc w:val="center"/>
              <w:rPr>
                <w:rFonts w:eastAsia="Times New Roman"/>
                <w:color w:val="000000"/>
                <w:sz w:val="20"/>
                <w:szCs w:val="20"/>
              </w:rPr>
            </w:pPr>
            <w:r w:rsidRPr="00683849">
              <w:t xml:space="preserve">$4,077,000 </w:t>
            </w:r>
          </w:p>
        </w:tc>
      </w:tr>
      <w:tr w14:paraId="4A241E88" w14:textId="77777777">
        <w:tblPrEx>
          <w:tblW w:w="8470" w:type="dxa"/>
          <w:jc w:val="center"/>
          <w:tblLook w:val="04A0"/>
        </w:tblPrEx>
        <w:trPr>
          <w:trHeight w:val="264"/>
          <w:jc w:val="center"/>
        </w:trPr>
        <w:tc>
          <w:tcPr>
            <w:tcW w:w="2496" w:type="dxa"/>
            <w:tcBorders>
              <w:top w:val="nil"/>
              <w:left w:val="nil"/>
              <w:bottom w:val="nil"/>
              <w:right w:val="nil"/>
            </w:tcBorders>
            <w:noWrap/>
            <w:vAlign w:val="center"/>
          </w:tcPr>
          <w:p w:rsidR="00756160" w:rsidRPr="008F486F" w14:paraId="5462C8B4" w14:textId="77777777">
            <w:pPr>
              <w:autoSpaceDE/>
              <w:autoSpaceDN/>
              <w:jc w:val="center"/>
              <w:rPr>
                <w:rFonts w:eastAsia="Times New Roman"/>
                <w:color w:val="000000"/>
                <w:sz w:val="20"/>
                <w:szCs w:val="20"/>
              </w:rPr>
            </w:pPr>
            <w:r w:rsidRPr="008F486F">
              <w:rPr>
                <w:rFonts w:eastAsia="Times New Roman"/>
                <w:color w:val="000000"/>
                <w:sz w:val="20"/>
                <w:szCs w:val="20"/>
              </w:rPr>
              <w:t>Agreement State Benefit</w:t>
            </w:r>
          </w:p>
        </w:tc>
        <w:tc>
          <w:tcPr>
            <w:tcW w:w="2895" w:type="dxa"/>
            <w:tcBorders>
              <w:top w:val="nil"/>
              <w:left w:val="nil"/>
              <w:bottom w:val="nil"/>
              <w:right w:val="nil"/>
            </w:tcBorders>
            <w:noWrap/>
          </w:tcPr>
          <w:p w:rsidR="00756160" w:rsidRPr="008F486F" w14:paraId="6CBA74EF" w14:textId="77777777">
            <w:pPr>
              <w:autoSpaceDE/>
              <w:autoSpaceDN/>
              <w:jc w:val="center"/>
              <w:rPr>
                <w:rFonts w:eastAsia="Times New Roman"/>
                <w:color w:val="000000"/>
                <w:sz w:val="20"/>
                <w:szCs w:val="20"/>
              </w:rPr>
            </w:pPr>
            <w:r w:rsidRPr="00742FBE">
              <w:t xml:space="preserve">$177,000 </w:t>
            </w:r>
          </w:p>
        </w:tc>
        <w:tc>
          <w:tcPr>
            <w:tcW w:w="3079" w:type="dxa"/>
            <w:tcBorders>
              <w:top w:val="nil"/>
              <w:left w:val="nil"/>
              <w:bottom w:val="nil"/>
              <w:right w:val="nil"/>
            </w:tcBorders>
            <w:noWrap/>
          </w:tcPr>
          <w:p w:rsidR="00756160" w:rsidRPr="008F486F" w14:paraId="4824E2F8" w14:textId="77777777">
            <w:pPr>
              <w:autoSpaceDE/>
              <w:autoSpaceDN/>
              <w:jc w:val="center"/>
              <w:rPr>
                <w:rFonts w:eastAsia="Times New Roman"/>
                <w:color w:val="000000"/>
                <w:sz w:val="20"/>
                <w:szCs w:val="20"/>
              </w:rPr>
            </w:pPr>
            <w:r w:rsidRPr="00683849">
              <w:t xml:space="preserve">$356,000 </w:t>
            </w:r>
          </w:p>
        </w:tc>
      </w:tr>
      <w:tr w14:paraId="0242A2C6" w14:textId="77777777">
        <w:tblPrEx>
          <w:tblW w:w="8470" w:type="dxa"/>
          <w:jc w:val="center"/>
          <w:tblLook w:val="04A0"/>
        </w:tblPrEx>
        <w:trPr>
          <w:trHeight w:val="264"/>
          <w:jc w:val="center"/>
        </w:trPr>
        <w:tc>
          <w:tcPr>
            <w:tcW w:w="2496" w:type="dxa"/>
            <w:tcBorders>
              <w:top w:val="nil"/>
              <w:left w:val="nil"/>
              <w:bottom w:val="nil"/>
              <w:right w:val="nil"/>
            </w:tcBorders>
            <w:noWrap/>
            <w:vAlign w:val="center"/>
            <w:hideMark/>
          </w:tcPr>
          <w:p w:rsidR="00756160" w:rsidRPr="008F486F" w14:paraId="66B42A76" w14:textId="77777777">
            <w:pPr>
              <w:autoSpaceDE/>
              <w:autoSpaceDN/>
              <w:jc w:val="center"/>
              <w:rPr>
                <w:rFonts w:eastAsia="Times New Roman"/>
                <w:color w:val="000000"/>
                <w:sz w:val="20"/>
                <w:szCs w:val="20"/>
              </w:rPr>
            </w:pPr>
            <w:r w:rsidRPr="008F486F">
              <w:rPr>
                <w:rFonts w:eastAsia="Times New Roman"/>
                <w:color w:val="000000"/>
                <w:sz w:val="20"/>
                <w:szCs w:val="20"/>
              </w:rPr>
              <w:t>NRC Benefit</w:t>
            </w:r>
          </w:p>
        </w:tc>
        <w:tc>
          <w:tcPr>
            <w:tcW w:w="2895" w:type="dxa"/>
            <w:tcBorders>
              <w:top w:val="nil"/>
              <w:left w:val="nil"/>
              <w:bottom w:val="nil"/>
              <w:right w:val="nil"/>
            </w:tcBorders>
            <w:noWrap/>
            <w:hideMark/>
          </w:tcPr>
          <w:p w:rsidR="00756160" w:rsidRPr="008F486F" w14:paraId="28CDCFA7" w14:textId="77777777">
            <w:pPr>
              <w:autoSpaceDE/>
              <w:autoSpaceDN/>
              <w:jc w:val="center"/>
              <w:rPr>
                <w:rFonts w:eastAsia="Times New Roman"/>
                <w:color w:val="000000"/>
                <w:sz w:val="20"/>
                <w:szCs w:val="20"/>
              </w:rPr>
            </w:pPr>
            <w:r w:rsidRPr="00742FBE">
              <w:t xml:space="preserve">$34,000 </w:t>
            </w:r>
          </w:p>
        </w:tc>
        <w:tc>
          <w:tcPr>
            <w:tcW w:w="3079" w:type="dxa"/>
            <w:tcBorders>
              <w:top w:val="nil"/>
              <w:left w:val="nil"/>
              <w:bottom w:val="nil"/>
              <w:right w:val="nil"/>
            </w:tcBorders>
            <w:noWrap/>
            <w:hideMark/>
          </w:tcPr>
          <w:p w:rsidR="00756160" w:rsidRPr="008F486F" w14:paraId="7AA40AE3" w14:textId="77777777">
            <w:pPr>
              <w:autoSpaceDE/>
              <w:autoSpaceDN/>
              <w:jc w:val="center"/>
              <w:rPr>
                <w:rFonts w:eastAsia="Times New Roman"/>
                <w:color w:val="000000"/>
                <w:sz w:val="20"/>
                <w:szCs w:val="20"/>
              </w:rPr>
            </w:pPr>
            <w:r w:rsidRPr="00683849">
              <w:t xml:space="preserve">$70,000 </w:t>
            </w:r>
          </w:p>
        </w:tc>
      </w:tr>
      <w:tr w14:paraId="2AC0369E" w14:textId="77777777">
        <w:tblPrEx>
          <w:tblW w:w="8470" w:type="dxa"/>
          <w:jc w:val="center"/>
          <w:tblLook w:val="04A0"/>
        </w:tblPrEx>
        <w:trPr>
          <w:trHeight w:val="264"/>
          <w:jc w:val="center"/>
        </w:trPr>
        <w:tc>
          <w:tcPr>
            <w:tcW w:w="2496" w:type="dxa"/>
            <w:tcBorders>
              <w:top w:val="nil"/>
              <w:left w:val="nil"/>
              <w:bottom w:val="nil"/>
              <w:right w:val="nil"/>
            </w:tcBorders>
            <w:noWrap/>
            <w:vAlign w:val="center"/>
            <w:hideMark/>
          </w:tcPr>
          <w:p w:rsidR="00756160" w:rsidRPr="008F486F" w14:paraId="516B4698" w14:textId="77777777">
            <w:pPr>
              <w:autoSpaceDE/>
              <w:autoSpaceDN/>
              <w:jc w:val="center"/>
              <w:rPr>
                <w:rFonts w:eastAsia="Times New Roman"/>
                <w:b/>
                <w:bCs/>
                <w:color w:val="000000"/>
                <w:sz w:val="20"/>
                <w:szCs w:val="20"/>
              </w:rPr>
            </w:pPr>
            <w:r w:rsidRPr="008F486F">
              <w:rPr>
                <w:rFonts w:eastAsia="Times New Roman"/>
                <w:b/>
                <w:bCs/>
                <w:color w:val="000000"/>
                <w:sz w:val="20"/>
                <w:szCs w:val="20"/>
              </w:rPr>
              <w:t>Total Benefit</w:t>
            </w:r>
          </w:p>
        </w:tc>
        <w:tc>
          <w:tcPr>
            <w:tcW w:w="2895" w:type="dxa"/>
            <w:tcBorders>
              <w:top w:val="nil"/>
              <w:left w:val="nil"/>
              <w:bottom w:val="nil"/>
              <w:right w:val="nil"/>
            </w:tcBorders>
            <w:noWrap/>
            <w:hideMark/>
          </w:tcPr>
          <w:p w:rsidR="00756160" w:rsidRPr="00F169C2" w14:paraId="1B8005B2" w14:textId="77777777">
            <w:pPr>
              <w:autoSpaceDE/>
              <w:autoSpaceDN/>
              <w:jc w:val="center"/>
              <w:rPr>
                <w:rFonts w:eastAsia="Times New Roman"/>
                <w:b/>
                <w:bCs/>
                <w:color w:val="000000"/>
                <w:sz w:val="20"/>
                <w:szCs w:val="20"/>
              </w:rPr>
            </w:pPr>
            <w:r w:rsidRPr="007E5E6A">
              <w:rPr>
                <w:b/>
                <w:bCs/>
              </w:rPr>
              <w:t xml:space="preserve">$2,239,000 </w:t>
            </w:r>
          </w:p>
        </w:tc>
        <w:tc>
          <w:tcPr>
            <w:tcW w:w="3079" w:type="dxa"/>
            <w:tcBorders>
              <w:top w:val="nil"/>
              <w:left w:val="nil"/>
              <w:bottom w:val="nil"/>
              <w:right w:val="nil"/>
            </w:tcBorders>
            <w:noWrap/>
            <w:hideMark/>
          </w:tcPr>
          <w:p w:rsidR="00756160" w:rsidRPr="00F169C2" w14:paraId="19674B4B" w14:textId="77777777">
            <w:pPr>
              <w:autoSpaceDE/>
              <w:autoSpaceDN/>
              <w:jc w:val="center"/>
              <w:rPr>
                <w:rFonts w:eastAsia="Times New Roman"/>
                <w:b/>
                <w:bCs/>
                <w:color w:val="000000"/>
                <w:sz w:val="20"/>
                <w:szCs w:val="20"/>
              </w:rPr>
            </w:pPr>
            <w:r w:rsidRPr="007E5E6A">
              <w:rPr>
                <w:b/>
                <w:bCs/>
              </w:rPr>
              <w:t xml:space="preserve">$4,503,000 </w:t>
            </w:r>
          </w:p>
        </w:tc>
      </w:tr>
      <w:tr w14:paraId="67DC19AE" w14:textId="77777777">
        <w:tblPrEx>
          <w:tblW w:w="8470" w:type="dxa"/>
          <w:jc w:val="center"/>
          <w:tblLook w:val="04A0"/>
        </w:tblPrEx>
        <w:trPr>
          <w:trHeight w:val="264"/>
          <w:jc w:val="center"/>
        </w:trPr>
        <w:tc>
          <w:tcPr>
            <w:tcW w:w="2496" w:type="dxa"/>
            <w:tcBorders>
              <w:top w:val="nil"/>
              <w:left w:val="nil"/>
              <w:bottom w:val="nil"/>
              <w:right w:val="nil"/>
            </w:tcBorders>
            <w:noWrap/>
            <w:vAlign w:val="center"/>
            <w:hideMark/>
          </w:tcPr>
          <w:p w:rsidR="00756160" w:rsidRPr="008F486F" w14:paraId="2AFC11FC" w14:textId="77777777">
            <w:pPr>
              <w:autoSpaceDE/>
              <w:autoSpaceDN/>
              <w:jc w:val="center"/>
              <w:rPr>
                <w:rFonts w:eastAsia="Times New Roman"/>
                <w:color w:val="000000"/>
                <w:sz w:val="20"/>
                <w:szCs w:val="20"/>
              </w:rPr>
            </w:pPr>
            <w:r w:rsidRPr="008F486F">
              <w:rPr>
                <w:rFonts w:eastAsia="Times New Roman"/>
                <w:color w:val="000000"/>
                <w:sz w:val="20"/>
                <w:szCs w:val="20"/>
              </w:rPr>
              <w:t>Agreement State Cost</w:t>
            </w:r>
          </w:p>
        </w:tc>
        <w:tc>
          <w:tcPr>
            <w:tcW w:w="2895" w:type="dxa"/>
            <w:tcBorders>
              <w:top w:val="nil"/>
              <w:left w:val="nil"/>
              <w:bottom w:val="nil"/>
              <w:right w:val="nil"/>
            </w:tcBorders>
            <w:noWrap/>
            <w:hideMark/>
          </w:tcPr>
          <w:p w:rsidR="00756160" w:rsidRPr="008F486F" w14:paraId="234AA812" w14:textId="77777777">
            <w:pPr>
              <w:autoSpaceDE/>
              <w:autoSpaceDN/>
              <w:jc w:val="center"/>
              <w:rPr>
                <w:rFonts w:eastAsia="Times New Roman"/>
                <w:color w:val="000000"/>
                <w:sz w:val="20"/>
                <w:szCs w:val="20"/>
              </w:rPr>
            </w:pPr>
            <w:r w:rsidRPr="00237DA1">
              <w:t>($544,000)</w:t>
            </w:r>
          </w:p>
        </w:tc>
        <w:tc>
          <w:tcPr>
            <w:tcW w:w="3079" w:type="dxa"/>
            <w:tcBorders>
              <w:top w:val="nil"/>
              <w:left w:val="nil"/>
              <w:bottom w:val="nil"/>
              <w:right w:val="nil"/>
            </w:tcBorders>
            <w:noWrap/>
            <w:hideMark/>
          </w:tcPr>
          <w:p w:rsidR="00756160" w:rsidRPr="008F486F" w14:paraId="021E84DF" w14:textId="77777777">
            <w:pPr>
              <w:autoSpaceDE/>
              <w:autoSpaceDN/>
              <w:jc w:val="center"/>
              <w:rPr>
                <w:rFonts w:eastAsia="Times New Roman"/>
                <w:color w:val="000000"/>
                <w:sz w:val="20"/>
                <w:szCs w:val="20"/>
              </w:rPr>
            </w:pPr>
            <w:r w:rsidRPr="00237DA1">
              <w:t>($919,000)</w:t>
            </w:r>
          </w:p>
        </w:tc>
      </w:tr>
      <w:tr w14:paraId="7751889B" w14:textId="77777777">
        <w:tblPrEx>
          <w:tblW w:w="8470" w:type="dxa"/>
          <w:jc w:val="center"/>
          <w:tblLook w:val="04A0"/>
        </w:tblPrEx>
        <w:trPr>
          <w:trHeight w:val="264"/>
          <w:jc w:val="center"/>
        </w:trPr>
        <w:tc>
          <w:tcPr>
            <w:tcW w:w="2496" w:type="dxa"/>
            <w:tcBorders>
              <w:top w:val="nil"/>
              <w:left w:val="nil"/>
              <w:bottom w:val="nil"/>
              <w:right w:val="nil"/>
            </w:tcBorders>
            <w:noWrap/>
            <w:vAlign w:val="center"/>
            <w:hideMark/>
          </w:tcPr>
          <w:p w:rsidR="00756160" w:rsidRPr="008F486F" w14:paraId="01D20AAC" w14:textId="77777777">
            <w:pPr>
              <w:autoSpaceDE/>
              <w:autoSpaceDN/>
              <w:jc w:val="center"/>
              <w:rPr>
                <w:rFonts w:eastAsia="Times New Roman"/>
                <w:color w:val="000000"/>
                <w:sz w:val="20"/>
                <w:szCs w:val="20"/>
              </w:rPr>
            </w:pPr>
            <w:r w:rsidRPr="008F486F">
              <w:rPr>
                <w:rFonts w:eastAsia="Times New Roman"/>
                <w:color w:val="000000"/>
                <w:sz w:val="20"/>
                <w:szCs w:val="20"/>
              </w:rPr>
              <w:t>NRC Cost</w:t>
            </w:r>
          </w:p>
        </w:tc>
        <w:tc>
          <w:tcPr>
            <w:tcW w:w="2895" w:type="dxa"/>
            <w:tcBorders>
              <w:top w:val="nil"/>
              <w:left w:val="nil"/>
              <w:bottom w:val="nil"/>
              <w:right w:val="nil"/>
            </w:tcBorders>
            <w:noWrap/>
            <w:hideMark/>
          </w:tcPr>
          <w:p w:rsidR="00756160" w:rsidRPr="008F486F" w14:paraId="71F02686" w14:textId="77777777">
            <w:pPr>
              <w:autoSpaceDE/>
              <w:autoSpaceDN/>
              <w:jc w:val="center"/>
              <w:rPr>
                <w:rFonts w:eastAsia="Times New Roman"/>
                <w:color w:val="000000"/>
                <w:sz w:val="20"/>
                <w:szCs w:val="20"/>
              </w:rPr>
            </w:pPr>
            <w:r w:rsidRPr="00237DA1">
              <w:t>($314,000)</w:t>
            </w:r>
          </w:p>
        </w:tc>
        <w:tc>
          <w:tcPr>
            <w:tcW w:w="3079" w:type="dxa"/>
            <w:tcBorders>
              <w:top w:val="nil"/>
              <w:left w:val="nil"/>
              <w:bottom w:val="nil"/>
              <w:right w:val="nil"/>
            </w:tcBorders>
            <w:noWrap/>
            <w:hideMark/>
          </w:tcPr>
          <w:p w:rsidR="00756160" w:rsidRPr="008F486F" w14:paraId="2502CBCF" w14:textId="77777777">
            <w:pPr>
              <w:autoSpaceDE/>
              <w:autoSpaceDN/>
              <w:jc w:val="center"/>
              <w:rPr>
                <w:rFonts w:eastAsia="Times New Roman"/>
                <w:color w:val="000000"/>
                <w:sz w:val="20"/>
                <w:szCs w:val="20"/>
              </w:rPr>
            </w:pPr>
            <w:r w:rsidRPr="00237DA1">
              <w:t>($338,000)</w:t>
            </w:r>
          </w:p>
        </w:tc>
      </w:tr>
      <w:tr w14:paraId="2F1BBF55" w14:textId="77777777">
        <w:tblPrEx>
          <w:tblW w:w="8470" w:type="dxa"/>
          <w:jc w:val="center"/>
          <w:tblLook w:val="04A0"/>
        </w:tblPrEx>
        <w:trPr>
          <w:trHeight w:val="276"/>
          <w:jc w:val="center"/>
        </w:trPr>
        <w:tc>
          <w:tcPr>
            <w:tcW w:w="2496" w:type="dxa"/>
            <w:tcBorders>
              <w:top w:val="nil"/>
              <w:left w:val="nil"/>
              <w:bottom w:val="single" w:sz="8" w:space="0" w:color="auto"/>
              <w:right w:val="nil"/>
            </w:tcBorders>
            <w:noWrap/>
            <w:vAlign w:val="center"/>
            <w:hideMark/>
          </w:tcPr>
          <w:p w:rsidR="00756160" w:rsidRPr="008F486F" w14:paraId="0DF29C4C" w14:textId="77777777">
            <w:pPr>
              <w:autoSpaceDE/>
              <w:autoSpaceDN/>
              <w:jc w:val="center"/>
              <w:rPr>
                <w:rFonts w:eastAsia="Times New Roman"/>
                <w:b/>
                <w:bCs/>
                <w:color w:val="000000"/>
                <w:sz w:val="20"/>
                <w:szCs w:val="20"/>
              </w:rPr>
            </w:pPr>
            <w:r w:rsidRPr="008F486F">
              <w:rPr>
                <w:rFonts w:eastAsia="Times New Roman"/>
                <w:b/>
                <w:bCs/>
                <w:color w:val="000000"/>
                <w:sz w:val="20"/>
                <w:szCs w:val="20"/>
              </w:rPr>
              <w:t>Total Cost</w:t>
            </w:r>
          </w:p>
        </w:tc>
        <w:tc>
          <w:tcPr>
            <w:tcW w:w="2895" w:type="dxa"/>
            <w:tcBorders>
              <w:top w:val="nil"/>
              <w:left w:val="nil"/>
              <w:bottom w:val="single" w:sz="8" w:space="0" w:color="auto"/>
              <w:right w:val="nil"/>
            </w:tcBorders>
            <w:noWrap/>
            <w:hideMark/>
          </w:tcPr>
          <w:p w:rsidR="00756160" w:rsidRPr="00F169C2" w14:paraId="2F62B7FF" w14:textId="77777777">
            <w:pPr>
              <w:autoSpaceDE/>
              <w:autoSpaceDN/>
              <w:jc w:val="center"/>
              <w:rPr>
                <w:rFonts w:eastAsia="Times New Roman"/>
                <w:b/>
                <w:bCs/>
                <w:color w:val="000000"/>
                <w:sz w:val="20"/>
                <w:szCs w:val="20"/>
              </w:rPr>
            </w:pPr>
            <w:r w:rsidRPr="007E5E6A">
              <w:rPr>
                <w:b/>
                <w:bCs/>
              </w:rPr>
              <w:t>($858,000)</w:t>
            </w:r>
          </w:p>
        </w:tc>
        <w:tc>
          <w:tcPr>
            <w:tcW w:w="3079" w:type="dxa"/>
            <w:tcBorders>
              <w:top w:val="nil"/>
              <w:left w:val="nil"/>
              <w:bottom w:val="single" w:sz="8" w:space="0" w:color="auto"/>
              <w:right w:val="nil"/>
            </w:tcBorders>
            <w:noWrap/>
            <w:hideMark/>
          </w:tcPr>
          <w:p w:rsidR="00756160" w:rsidRPr="00F169C2" w14:paraId="793987CD" w14:textId="77777777">
            <w:pPr>
              <w:autoSpaceDE/>
              <w:autoSpaceDN/>
              <w:jc w:val="center"/>
              <w:rPr>
                <w:rFonts w:eastAsia="Times New Roman"/>
                <w:b/>
                <w:bCs/>
                <w:color w:val="000000"/>
                <w:sz w:val="20"/>
                <w:szCs w:val="20"/>
              </w:rPr>
            </w:pPr>
            <w:r w:rsidRPr="007E5E6A">
              <w:rPr>
                <w:b/>
                <w:bCs/>
              </w:rPr>
              <w:t>($1,257,000)</w:t>
            </w:r>
          </w:p>
        </w:tc>
      </w:tr>
      <w:tr w14:paraId="48B52EBD" w14:textId="77777777">
        <w:tblPrEx>
          <w:tblW w:w="8470" w:type="dxa"/>
          <w:jc w:val="center"/>
          <w:tblLook w:val="04A0"/>
        </w:tblPrEx>
        <w:trPr>
          <w:trHeight w:val="540"/>
          <w:jc w:val="center"/>
        </w:trPr>
        <w:tc>
          <w:tcPr>
            <w:tcW w:w="2496" w:type="dxa"/>
            <w:tcBorders>
              <w:top w:val="single" w:sz="8" w:space="0" w:color="auto"/>
              <w:left w:val="nil"/>
              <w:bottom w:val="single" w:sz="4" w:space="0" w:color="auto"/>
              <w:right w:val="nil"/>
            </w:tcBorders>
            <w:vAlign w:val="center"/>
            <w:hideMark/>
          </w:tcPr>
          <w:p w:rsidR="00756160" w:rsidRPr="008F486F" w14:paraId="5687DD18" w14:textId="77777777">
            <w:pPr>
              <w:autoSpaceDE/>
              <w:autoSpaceDN/>
              <w:jc w:val="center"/>
              <w:rPr>
                <w:rFonts w:eastAsia="Times New Roman"/>
                <w:b/>
                <w:bCs/>
                <w:color w:val="000000"/>
                <w:sz w:val="20"/>
                <w:szCs w:val="20"/>
              </w:rPr>
            </w:pPr>
            <w:r w:rsidRPr="008F486F">
              <w:rPr>
                <w:rFonts w:eastAsia="Times New Roman"/>
                <w:b/>
                <w:bCs/>
                <w:color w:val="000000"/>
                <w:sz w:val="20"/>
                <w:szCs w:val="20"/>
              </w:rPr>
              <w:t>Net Benefit (Cost)</w:t>
            </w:r>
          </w:p>
        </w:tc>
        <w:tc>
          <w:tcPr>
            <w:tcW w:w="2895" w:type="dxa"/>
            <w:tcBorders>
              <w:top w:val="single" w:sz="8" w:space="0" w:color="auto"/>
              <w:left w:val="nil"/>
              <w:bottom w:val="single" w:sz="4" w:space="0" w:color="auto"/>
              <w:right w:val="nil"/>
            </w:tcBorders>
            <w:vAlign w:val="center"/>
            <w:hideMark/>
          </w:tcPr>
          <w:p w:rsidR="00756160" w:rsidRPr="00F169C2" w14:paraId="3539CAEB" w14:textId="77777777">
            <w:pPr>
              <w:autoSpaceDE/>
              <w:autoSpaceDN/>
              <w:jc w:val="center"/>
              <w:rPr>
                <w:rFonts w:eastAsia="Times New Roman"/>
                <w:b/>
                <w:bCs/>
                <w:color w:val="000000"/>
                <w:sz w:val="20"/>
                <w:szCs w:val="20"/>
              </w:rPr>
            </w:pPr>
            <w:r w:rsidRPr="007E5E6A">
              <w:rPr>
                <w:b/>
                <w:bCs/>
              </w:rPr>
              <w:t xml:space="preserve">$1,381,000 </w:t>
            </w:r>
          </w:p>
        </w:tc>
        <w:tc>
          <w:tcPr>
            <w:tcW w:w="3079" w:type="dxa"/>
            <w:tcBorders>
              <w:top w:val="single" w:sz="8" w:space="0" w:color="auto"/>
              <w:left w:val="nil"/>
              <w:bottom w:val="single" w:sz="4" w:space="0" w:color="auto"/>
              <w:right w:val="nil"/>
            </w:tcBorders>
            <w:vAlign w:val="center"/>
            <w:hideMark/>
          </w:tcPr>
          <w:p w:rsidR="00756160" w:rsidRPr="00F169C2" w14:paraId="052A741D" w14:textId="77777777">
            <w:pPr>
              <w:autoSpaceDE/>
              <w:autoSpaceDN/>
              <w:jc w:val="center"/>
              <w:rPr>
                <w:rFonts w:eastAsia="Times New Roman"/>
                <w:b/>
                <w:bCs/>
                <w:color w:val="000000"/>
                <w:sz w:val="20"/>
                <w:szCs w:val="20"/>
              </w:rPr>
            </w:pPr>
            <w:r w:rsidRPr="007E5E6A">
              <w:rPr>
                <w:b/>
                <w:bCs/>
              </w:rPr>
              <w:t xml:space="preserve">$3,246,000 </w:t>
            </w:r>
          </w:p>
        </w:tc>
      </w:tr>
      <w:tr w14:paraId="3F196E17" w14:textId="77777777">
        <w:tblPrEx>
          <w:tblW w:w="8470" w:type="dxa"/>
          <w:jc w:val="center"/>
          <w:tblLook w:val="04A0"/>
        </w:tblPrEx>
        <w:trPr>
          <w:trHeight w:val="540"/>
          <w:jc w:val="center"/>
        </w:trPr>
        <w:tc>
          <w:tcPr>
            <w:tcW w:w="8470" w:type="dxa"/>
            <w:gridSpan w:val="3"/>
            <w:tcBorders>
              <w:top w:val="single" w:sz="4" w:space="0" w:color="auto"/>
              <w:left w:val="nil"/>
              <w:right w:val="nil"/>
            </w:tcBorders>
          </w:tcPr>
          <w:p w:rsidR="00756160" w:rsidRPr="008F486F" w14:paraId="69CED6F5" w14:textId="77777777">
            <w:pPr>
              <w:autoSpaceDE/>
              <w:autoSpaceDN/>
            </w:pPr>
            <w:r w:rsidRPr="008F486F">
              <w:rPr>
                <w:rFonts w:eastAsia="Times New Roman"/>
                <w:color w:val="000000"/>
                <w:sz w:val="20"/>
                <w:szCs w:val="20"/>
              </w:rPr>
              <w:t>*Values rounded to the nearest thousand dollars. Rounded values may not sum to rounded totals.</w:t>
            </w:r>
          </w:p>
        </w:tc>
      </w:tr>
    </w:tbl>
    <w:p w:rsidR="00756160" w:rsidRPr="008F486F" w:rsidP="00756160" w14:paraId="4DA13036" w14:textId="77777777"/>
    <w:p w:rsidR="00756160" w:rsidRPr="008F486F" w:rsidP="00756160" w14:paraId="529B2A5F" w14:textId="77777777">
      <w:pPr>
        <w:widowControl w:val="0"/>
      </w:pPr>
    </w:p>
    <w:p w:rsidR="00756160" w:rsidRPr="008F486F" w:rsidP="00756160" w14:paraId="25B565EA" w14:textId="77777777">
      <w:pPr>
        <w:pStyle w:val="BodyText"/>
        <w:sectPr w:rsidSect="00756160">
          <w:headerReference w:type="default" r:id="rId16"/>
          <w:pgSz w:w="12240" w:h="15840"/>
          <w:pgMar w:top="1440" w:right="1440" w:bottom="1440" w:left="1440" w:header="0" w:footer="791" w:gutter="0"/>
          <w:pgNumType w:fmt="lowerRoman"/>
          <w:cols w:space="720"/>
          <w:docGrid w:linePitch="299"/>
        </w:sectPr>
      </w:pPr>
    </w:p>
    <w:p w:rsidR="00756160" w:rsidRPr="008F486F" w:rsidP="00756160" w14:paraId="3B138EF6" w14:textId="77777777">
      <w:pPr>
        <w:pStyle w:val="BodyText"/>
      </w:pPr>
    </w:p>
    <w:p w:rsidR="00756160" w:rsidRPr="008F486F" w:rsidP="00756160" w14:paraId="78603BBF" w14:textId="77777777">
      <w:pPr>
        <w:pStyle w:val="BodyText"/>
      </w:pPr>
    </w:p>
    <w:p w:rsidR="00756160" w:rsidRPr="008F486F" w:rsidP="00756160" w14:paraId="1EE0FA10" w14:textId="77777777">
      <w:pPr>
        <w:pStyle w:val="BodyText"/>
      </w:pPr>
    </w:p>
    <w:p w:rsidR="00756160" w:rsidRPr="008F486F" w:rsidP="00756160" w14:paraId="37E5EC0A" w14:textId="77777777">
      <w:pPr>
        <w:pStyle w:val="BodyText"/>
      </w:pPr>
    </w:p>
    <w:p w:rsidR="00756160" w:rsidRPr="008F486F" w:rsidP="00756160" w14:paraId="0A9D0644" w14:textId="77777777">
      <w:pPr>
        <w:pStyle w:val="BodyText"/>
      </w:pPr>
    </w:p>
    <w:p w:rsidR="00756160" w:rsidRPr="008F486F" w:rsidP="00756160" w14:paraId="45060EE2" w14:textId="77777777">
      <w:pPr>
        <w:pStyle w:val="BodyText"/>
      </w:pPr>
    </w:p>
    <w:p w:rsidR="00756160" w:rsidRPr="008F486F" w:rsidP="00756160" w14:paraId="1475C613" w14:textId="77777777">
      <w:pPr>
        <w:pStyle w:val="BodyText"/>
      </w:pPr>
    </w:p>
    <w:p w:rsidR="00756160" w:rsidRPr="008F486F" w:rsidP="00756160" w14:paraId="053C95CE" w14:textId="77777777">
      <w:pPr>
        <w:pStyle w:val="BodyText"/>
      </w:pPr>
    </w:p>
    <w:p w:rsidR="00756160" w:rsidRPr="008F486F" w:rsidP="00756160" w14:paraId="004BBD95" w14:textId="77777777">
      <w:pPr>
        <w:pStyle w:val="BodyText"/>
      </w:pPr>
    </w:p>
    <w:p w:rsidR="00756160" w:rsidRPr="008F486F" w:rsidP="00756160" w14:paraId="74B4A404" w14:textId="77777777">
      <w:pPr>
        <w:pStyle w:val="BodyText"/>
      </w:pPr>
    </w:p>
    <w:p w:rsidR="00756160" w:rsidRPr="008F486F" w:rsidP="00756160" w14:paraId="510511B5" w14:textId="77777777">
      <w:pPr>
        <w:pStyle w:val="BodyText"/>
      </w:pPr>
    </w:p>
    <w:p w:rsidR="00756160" w:rsidRPr="008F486F" w:rsidP="00756160" w14:paraId="4A853654" w14:textId="77777777">
      <w:pPr>
        <w:pStyle w:val="BodyText"/>
      </w:pPr>
    </w:p>
    <w:p w:rsidR="00756160" w:rsidRPr="008F486F" w:rsidP="00756160" w14:paraId="73820BBB" w14:textId="77777777">
      <w:pPr>
        <w:pStyle w:val="BodyText"/>
      </w:pPr>
    </w:p>
    <w:p w:rsidR="00756160" w:rsidRPr="008F486F" w:rsidP="00756160" w14:paraId="5F08EF41" w14:textId="77777777">
      <w:pPr>
        <w:pStyle w:val="BodyText"/>
      </w:pPr>
    </w:p>
    <w:p w:rsidR="00756160" w:rsidRPr="008F486F" w:rsidP="00756160" w14:paraId="74CF8739" w14:textId="77777777">
      <w:pPr>
        <w:pStyle w:val="BodyText"/>
      </w:pPr>
    </w:p>
    <w:p w:rsidR="00756160" w:rsidRPr="008F486F" w:rsidP="00756160" w14:paraId="58838426" w14:textId="77777777">
      <w:pPr>
        <w:pStyle w:val="BodyText"/>
      </w:pPr>
    </w:p>
    <w:p w:rsidR="00756160" w:rsidRPr="008F486F" w:rsidP="00756160" w14:paraId="48719C1E" w14:textId="77777777">
      <w:pPr>
        <w:pStyle w:val="BodyText"/>
      </w:pPr>
    </w:p>
    <w:p w:rsidR="00756160" w:rsidRPr="008F486F" w:rsidP="00756160" w14:paraId="497EFD78" w14:textId="77777777">
      <w:pPr>
        <w:pStyle w:val="BodyText"/>
      </w:pPr>
    </w:p>
    <w:p w:rsidR="00756160" w:rsidRPr="008F486F" w:rsidP="00756160" w14:paraId="27CEC4E1" w14:textId="77777777">
      <w:pPr>
        <w:pStyle w:val="BodyText"/>
      </w:pPr>
    </w:p>
    <w:p w:rsidR="00756160" w:rsidRPr="008F486F" w:rsidP="00756160" w14:paraId="4263AEE0" w14:textId="77777777">
      <w:pPr>
        <w:pStyle w:val="BodyText"/>
      </w:pPr>
    </w:p>
    <w:p w:rsidR="00756160" w:rsidRPr="008F486F" w:rsidP="00756160" w14:paraId="053897A1" w14:textId="77777777">
      <w:pPr>
        <w:pStyle w:val="BodyText"/>
        <w:jc w:val="center"/>
      </w:pPr>
      <w:bookmarkStart w:id="22" w:name="ACRONYMS_AND_INITIALISMS"/>
      <w:bookmarkStart w:id="23" w:name="_bookmark1"/>
      <w:bookmarkEnd w:id="22"/>
      <w:bookmarkEnd w:id="23"/>
      <w:r w:rsidRPr="008F486F">
        <w:t>[Page</w:t>
      </w:r>
      <w:r w:rsidRPr="008F486F">
        <w:rPr>
          <w:spacing w:val="-2"/>
        </w:rPr>
        <w:t xml:space="preserve"> </w:t>
      </w:r>
      <w:r w:rsidRPr="008F486F">
        <w:t>intentionally</w:t>
      </w:r>
      <w:r w:rsidRPr="008F486F">
        <w:rPr>
          <w:spacing w:val="-1"/>
        </w:rPr>
        <w:t xml:space="preserve"> </w:t>
      </w:r>
      <w:r w:rsidRPr="008F486F">
        <w:t>left</w:t>
      </w:r>
      <w:r w:rsidRPr="008F486F">
        <w:rPr>
          <w:spacing w:val="-2"/>
        </w:rPr>
        <w:t xml:space="preserve"> </w:t>
      </w:r>
      <w:r w:rsidRPr="008F486F">
        <w:t>blank.]</w:t>
      </w:r>
    </w:p>
    <w:p w:rsidR="00756160" w:rsidRPr="008F486F" w:rsidP="00756160" w14:paraId="671D9D34" w14:textId="77777777"/>
    <w:p w:rsidR="00756160" w:rsidRPr="008F486F" w:rsidP="00756160" w14:paraId="7624CA0D" w14:textId="77777777">
      <w:pPr>
        <w:sectPr w:rsidSect="00756160">
          <w:headerReference w:type="default" r:id="rId17"/>
          <w:pgSz w:w="12240" w:h="15840"/>
          <w:pgMar w:top="1440" w:right="1440" w:bottom="1440" w:left="1440" w:header="0" w:footer="791" w:gutter="0"/>
          <w:pgNumType w:fmt="lowerRoman"/>
          <w:cols w:space="720"/>
          <w:docGrid w:linePitch="299"/>
        </w:sectPr>
      </w:pPr>
    </w:p>
    <w:p w:rsidR="00756160" w:rsidRPr="008F486F" w:rsidP="00756160" w14:paraId="7C683FB8" w14:textId="77777777">
      <w:pPr>
        <w:pStyle w:val="Heading1"/>
        <w:numPr>
          <w:ilvl w:val="1"/>
          <w:numId w:val="4"/>
        </w:numPr>
        <w:ind w:left="0" w:firstLine="0"/>
        <w:jc w:val="left"/>
      </w:pPr>
      <w:bookmarkStart w:id="24" w:name="1.0_INTRODUCTION"/>
      <w:bookmarkStart w:id="25" w:name="_bookmark2"/>
      <w:bookmarkStart w:id="26" w:name="_Toc176883969"/>
      <w:bookmarkStart w:id="27" w:name="_Toc222796492"/>
      <w:bookmarkEnd w:id="24"/>
      <w:bookmarkEnd w:id="25"/>
      <w:r w:rsidRPr="008F486F">
        <w:t>INTRODUCTION</w:t>
      </w:r>
      <w:bookmarkEnd w:id="26"/>
      <w:bookmarkEnd w:id="27"/>
    </w:p>
    <w:p w:rsidR="00756160" w:rsidRPr="008F486F" w:rsidP="00756160" w14:paraId="46615E5E" w14:textId="77777777"/>
    <w:p w:rsidR="00756160" w:rsidRPr="008F486F" w:rsidP="00756160" w14:paraId="206E24FA" w14:textId="6CD2D9C1">
      <w:r w:rsidRPr="008F486F">
        <w:t xml:space="preserve">The U.S. Nuclear Regulatory Commission (NRC) is proposing to amend its regulations to </w:t>
      </w:r>
      <w:r w:rsidRPr="00370E7E" w:rsidR="00370E7E">
        <w:t xml:space="preserve">augment the existing byproduct material </w:t>
      </w:r>
      <w:r w:rsidRPr="008F486F">
        <w:t xml:space="preserve">framework </w:t>
      </w:r>
      <w:r w:rsidRPr="005436EE" w:rsidR="005436EE">
        <w:t xml:space="preserve">to be inclusive of </w:t>
      </w:r>
      <w:r w:rsidRPr="008F486F">
        <w:t>fusion machines. The NRC is also proposing new guidance, NUREG</w:t>
      </w:r>
      <w:r w:rsidRPr="008F486F">
        <w:noBreakHyphen/>
        <w:t>1556, Volume 22, “Consolidated Guidance About Materials Licenses: Program</w:t>
      </w:r>
      <w:r w:rsidRPr="008F486F">
        <w:noBreakHyphen/>
        <w:t xml:space="preserve">Specific Guidance About Fusion Machine Licenses,” for implementation of this proposed rule. </w:t>
      </w:r>
      <w:r w:rsidRPr="00130BA8" w:rsidR="00130BA8">
        <w:t>The proposed rule would add technology-inclusive content-of-application requirements supportive of a performance-based approach to regulating the possession, use, and production of byproduct material associated with fusion machines</w:t>
      </w:r>
      <w:r w:rsidR="00130BA8">
        <w:t xml:space="preserve">. </w:t>
      </w:r>
      <w:r w:rsidRPr="008F486F">
        <w:t>This document presents a draft regulatory analysis of the costs and benefits of the proposed requirements, “Regulatory Framework for Fusion Machines,” and the draft guidance relative to the baseline case (i.e., the no-action alternative). The document also presents an analysis of an alternative in which a guidance is issued, but no changes are made to the regulations.</w:t>
      </w:r>
    </w:p>
    <w:p w:rsidR="00756160" w:rsidRPr="008F486F" w:rsidP="00756160" w14:paraId="3C8D42B8" w14:textId="77777777"/>
    <w:p w:rsidR="00756160" w:rsidRPr="008F486F" w:rsidP="00756160" w14:paraId="124553A7" w14:textId="77777777">
      <w:pPr>
        <w:pStyle w:val="Heading1"/>
        <w:numPr>
          <w:ilvl w:val="1"/>
          <w:numId w:val="6"/>
        </w:numPr>
        <w:ind w:left="720" w:hanging="720"/>
      </w:pPr>
      <w:bookmarkStart w:id="28" w:name="_Toc176883970"/>
      <w:bookmarkStart w:id="29" w:name="_Toc222796493"/>
      <w:r w:rsidRPr="008F486F">
        <w:t>STATEMENT OF THE PROBLEM AND OBJECTIVES</w:t>
      </w:r>
      <w:bookmarkEnd w:id="28"/>
      <w:bookmarkEnd w:id="29"/>
    </w:p>
    <w:p w:rsidR="00756160" w:rsidRPr="008F486F" w:rsidP="00756160" w14:paraId="08A6FA19" w14:textId="77777777"/>
    <w:p w:rsidR="00756160" w:rsidRPr="008F486F" w:rsidP="00756160" w14:paraId="08D54F0D" w14:textId="77777777">
      <w:pPr>
        <w:pStyle w:val="Heading2"/>
        <w:numPr>
          <w:ilvl w:val="1"/>
          <w:numId w:val="6"/>
        </w:numPr>
        <w:ind w:left="720" w:hanging="720"/>
      </w:pPr>
      <w:bookmarkStart w:id="30" w:name="1.1_Background"/>
      <w:bookmarkStart w:id="31" w:name="_bookmark3"/>
      <w:bookmarkStart w:id="32" w:name="_Toc176883971"/>
      <w:bookmarkStart w:id="33" w:name="_Toc222796494"/>
      <w:bookmarkEnd w:id="30"/>
      <w:bookmarkEnd w:id="31"/>
      <w:r w:rsidRPr="008F486F">
        <w:t>Background</w:t>
      </w:r>
      <w:bookmarkEnd w:id="32"/>
      <w:bookmarkEnd w:id="33"/>
    </w:p>
    <w:p w:rsidR="00756160" w:rsidRPr="008F486F" w:rsidP="00756160" w14:paraId="7A466183" w14:textId="77777777"/>
    <w:p w:rsidR="00756160" w:rsidRPr="008F486F" w:rsidP="00756160" w14:paraId="7917DCD7" w14:textId="77777777">
      <w:r w:rsidRPr="008F486F">
        <w:t xml:space="preserve">In 2019, the Nuclear Energy Innovation and Modernization Act (NEIMA) directed the NRC to develop the regulatory infrastructure to support the development and commercialization of advanced nuclear reactors, including both nuclear fission reactors and fusion machines. Section 103 of NEIMA requires the NRC to “complete a rulemaking to establish a technology-inclusive, regulatory framework for optional use by commercial advanced nuclear reactor applicants” by December 31, 2027. In response to NEIMA, and due to the continued development of fusion technologies, the Commission </w:t>
      </w:r>
      <w:r w:rsidRPr="008F486F" w:rsidR="005436EE">
        <w:t>in 2020</w:t>
      </w:r>
      <w:r w:rsidR="005436EE">
        <w:t xml:space="preserve"> </w:t>
      </w:r>
      <w:r w:rsidRPr="008F486F">
        <w:t>directed the NRC staff in SRM-SECY-20-0032 to “consider appropriate treatment of fusion reactor designs in our regulatory structure by developing options for Commission consideration on licensing and regulating fusion energy systems.”</w:t>
      </w:r>
    </w:p>
    <w:p w:rsidR="00756160" w:rsidRPr="008F486F" w:rsidP="00756160" w14:paraId="238026DB" w14:textId="77777777"/>
    <w:p w:rsidR="00756160" w:rsidRPr="008F486F" w:rsidP="00756160" w14:paraId="065F780E" w14:textId="77777777">
      <w:r w:rsidRPr="008F486F">
        <w:t xml:space="preserve">In Title 10 of the </w:t>
      </w:r>
      <w:r w:rsidRPr="008F486F">
        <w:rPr>
          <w:i/>
          <w:iCs/>
        </w:rPr>
        <w:t>Code of Federal Regulations</w:t>
      </w:r>
      <w:r w:rsidRPr="008F486F">
        <w:t xml:space="preserve"> (10 CFR) Part 30, “Rules of General Applicability to Domestic Licensing of Byproduct Material,” and associated regulations, including, but not limited to, 10 CFR Part 20, “Standards for Protection Against Radiation,” and 10 CFR Parts 31 through 37</w:t>
      </w:r>
      <w:r>
        <w:t>,</w:t>
      </w:r>
      <w:r w:rsidRPr="008F486F">
        <w:t xml:space="preserve"> and 10 CFR Part 39, the NRC provides a framework for licensing a wide variety of uses for byproduct material. The byproduct material regulations, along with the guidance in NUREG-</w:t>
      </w:r>
      <w:r w:rsidRPr="008F486F">
        <w:noBreakHyphen/>
        <w:t>1556, are scalable; provide a comprehensive list of technical and regulatory areas that require licensing; and have been used to regulate the potential</w:t>
      </w:r>
      <w:r w:rsidRPr="003C1E80">
        <w:t xml:space="preserve"> </w:t>
      </w:r>
      <w:r w:rsidRPr="00D14330" w:rsidR="003A6673">
        <w:t>radiological</w:t>
      </w:r>
      <w:r w:rsidRPr="003A6673">
        <w:t xml:space="preserve"> </w:t>
      </w:r>
      <w:r w:rsidRPr="008F486F">
        <w:t xml:space="preserve">hazards and risks from an extensive spectrum of uses of byproduct material, from low risk (e.g., portable gauges) to higher risk (e.g., panoramic irradiators). The regulations include specific programmatic requirements, such as those related to financial assurance and emergency planning, applicable for licensing larger quantities of byproduct material, as are expected for fusion machines. </w:t>
      </w:r>
      <w:r w:rsidRPr="00D14330">
        <w:t xml:space="preserve">The NRC’s byproduct material framework would provide a technology-inclusive framework for the licensing and oversight of </w:t>
      </w:r>
      <w:r w:rsidRPr="003A3C62" w:rsidR="003A3C62">
        <w:t>the possession, use, and production of byproduct material associated with</w:t>
      </w:r>
      <w:r w:rsidRPr="00D14330" w:rsidR="003A3C62">
        <w:t xml:space="preserve"> </w:t>
      </w:r>
      <w:r w:rsidRPr="00D14330">
        <w:t>the broad array of fusion machines currently under development and anticipated across the National Materials Program (NMP).</w:t>
      </w:r>
    </w:p>
    <w:p w:rsidR="00756160" w:rsidRPr="008F486F" w:rsidP="00756160" w14:paraId="178D520F" w14:textId="77777777"/>
    <w:p w:rsidR="00756160" w:rsidRPr="008F486F" w:rsidP="00756160" w14:paraId="2391B9EE" w14:textId="64BD79EE">
      <w:pPr>
        <w:pStyle w:val="Heading2"/>
        <w:keepNext/>
        <w:numPr>
          <w:ilvl w:val="1"/>
          <w:numId w:val="6"/>
        </w:numPr>
        <w:ind w:left="720" w:hanging="720"/>
      </w:pPr>
      <w:bookmarkStart w:id="34" w:name="_Toc176883972"/>
      <w:bookmarkStart w:id="35" w:name="_Toc222796495"/>
      <w:r w:rsidRPr="008F486F">
        <w:t>Statement of the Problem</w:t>
      </w:r>
      <w:bookmarkEnd w:id="34"/>
      <w:bookmarkEnd w:id="35"/>
    </w:p>
    <w:p w:rsidR="00756160" w:rsidRPr="008F486F" w:rsidP="00756160" w14:paraId="2896A6F2" w14:textId="77777777">
      <w:pPr>
        <w:keepNext/>
      </w:pPr>
    </w:p>
    <w:p w:rsidR="00B312C7" w:rsidP="00756160" w14:paraId="5D347BF1" w14:textId="399F292B">
      <w:r>
        <w:t xml:space="preserve">In the absence of any </w:t>
      </w:r>
      <w:r>
        <w:t xml:space="preserve">regulation,  </w:t>
      </w:r>
      <w:r w:rsidR="00C637D0">
        <w:t>companies</w:t>
      </w:r>
      <w:r w:rsidR="00C637D0">
        <w:t xml:space="preserve"> </w:t>
      </w:r>
      <w:r w:rsidR="00027FE0">
        <w:t>possessing</w:t>
      </w:r>
      <w:r w:rsidR="003E0FDD">
        <w:t xml:space="preserve"> radiological materials </w:t>
      </w:r>
      <w:r>
        <w:t xml:space="preserve">would have a strong profit incentive to handle radiological materials and dispose of waste radiological products in manners that pose health hazards, damage </w:t>
      </w:r>
      <w:r>
        <w:t>property</w:t>
      </w:r>
      <w:r>
        <w:t xml:space="preserve"> and pose security risks. </w:t>
      </w:r>
      <w:r w:rsidR="00965652">
        <w:t xml:space="preserve">Costly </w:t>
      </w:r>
      <w:r w:rsidR="00A11C86">
        <w:t>methods of sufficiently securing materials</w:t>
      </w:r>
      <w:r w:rsidR="00CC722A">
        <w:t xml:space="preserve"> would </w:t>
      </w:r>
      <w:r w:rsidR="00CC722A">
        <w:t>be avoided</w:t>
      </w:r>
      <w:r w:rsidR="00CC722A">
        <w:t xml:space="preserve"> because </w:t>
      </w:r>
      <w:r w:rsidR="00C637D0">
        <w:t>companies</w:t>
      </w:r>
      <w:r w:rsidR="00CC722A">
        <w:t xml:space="preserve"> would not bear the full </w:t>
      </w:r>
      <w:r w:rsidR="00655796">
        <w:t>consequences of the risks</w:t>
      </w:r>
      <w:r w:rsidR="0066722F">
        <w:t>, thus a socially inefficient level</w:t>
      </w:r>
      <w:r w:rsidR="007831EB">
        <w:t xml:space="preserve"> of security would </w:t>
      </w:r>
      <w:r w:rsidR="007831EB">
        <w:t>be provided</w:t>
      </w:r>
      <w:r w:rsidR="007831EB">
        <w:t xml:space="preserve"> </w:t>
      </w:r>
      <w:r w:rsidR="00152213">
        <w:t>in the absence of restriction</w:t>
      </w:r>
      <w:r w:rsidR="00827CFC">
        <w:t>s</w:t>
      </w:r>
      <w:r w:rsidR="00655796">
        <w:t xml:space="preserve">. </w:t>
      </w:r>
      <w:r w:rsidR="00827CFC">
        <w:t>The market failure</w:t>
      </w:r>
      <w:r w:rsidR="00991872">
        <w:t xml:space="preserve"> for radiological waste disposal is more severe</w:t>
      </w:r>
      <w:r w:rsidR="003F293E">
        <w:t xml:space="preserve"> than for other materials</w:t>
      </w:r>
      <w:r w:rsidR="00991872">
        <w:t>, because the</w:t>
      </w:r>
      <w:r w:rsidR="00567C4A">
        <w:t xml:space="preserve"> materials often have no value and do not interrupt operations if disposed of improperly</w:t>
      </w:r>
      <w:r w:rsidR="4195AC41">
        <w:t xml:space="preserve"> at lower cost</w:t>
      </w:r>
      <w:r w:rsidR="00567C4A">
        <w:t>.</w:t>
      </w:r>
      <w:r w:rsidR="00827CFC">
        <w:t xml:space="preserve"> </w:t>
      </w:r>
      <w:r>
        <w:t>The changes in the tort liability process needed for adequate protection would be more onerous than the existing regulatory oversight process.</w:t>
      </w:r>
      <w:r w:rsidR="00787FA6">
        <w:t xml:space="preserve"> </w:t>
      </w:r>
      <w:r w:rsidR="005B103D">
        <w:t xml:space="preserve">Insufficient </w:t>
      </w:r>
      <w:r w:rsidR="002E66DE">
        <w:t xml:space="preserve">financial resources to </w:t>
      </w:r>
      <w:r w:rsidR="009A4DB8">
        <w:t>compensate for</w:t>
      </w:r>
      <w:r w:rsidR="002E66DE">
        <w:t xml:space="preserve"> damages in the case of a </w:t>
      </w:r>
      <w:r w:rsidR="0058572B">
        <w:t>high consequence incident</w:t>
      </w:r>
      <w:r w:rsidR="009D5F5B">
        <w:t xml:space="preserve"> would result in </w:t>
      </w:r>
      <w:r w:rsidR="00C637D0">
        <w:t>companies</w:t>
      </w:r>
      <w:r w:rsidR="009D5F5B">
        <w:t xml:space="preserve"> facing</w:t>
      </w:r>
      <w:r w:rsidR="00E12BA8">
        <w:t xml:space="preserve"> </w:t>
      </w:r>
      <w:r w:rsidR="00461CDF">
        <w:t xml:space="preserve">responsibility for </w:t>
      </w:r>
      <w:r w:rsidR="00E12BA8">
        <w:t xml:space="preserve">only a </w:t>
      </w:r>
      <w:r w:rsidR="00E12BA8">
        <w:t>portion</w:t>
      </w:r>
      <w:r w:rsidR="00E12BA8">
        <w:t xml:space="preserve"> of </w:t>
      </w:r>
      <w:r w:rsidR="005D4D09">
        <w:t xml:space="preserve">highly costly incidents, and thus without incentive to provide the socially </w:t>
      </w:r>
      <w:r w:rsidR="005D4D09">
        <w:t>optimal</w:t>
      </w:r>
      <w:r w:rsidR="005D4D09">
        <w:t xml:space="preserve"> level of safety and security.</w:t>
      </w:r>
      <w:r w:rsidR="009A4DB8">
        <w:t xml:space="preserve"> </w:t>
      </w:r>
      <w:r w:rsidR="00A027F6">
        <w:t>Financial assurance for larger liabilities</w:t>
      </w:r>
      <w:r w:rsidR="003D7512">
        <w:t xml:space="preserve"> is onerous to assess and secure and would not be </w:t>
      </w:r>
      <w:r w:rsidR="00D8199D">
        <w:t>enforced by free market activity.</w:t>
      </w:r>
      <w:r w:rsidR="00461CDF">
        <w:t xml:space="preserve"> </w:t>
      </w:r>
      <w:r w:rsidR="00EE0860">
        <w:t>Additional problems with tort liability providing a socially efficient level of security include</w:t>
      </w:r>
      <w:r w:rsidR="00240DE0">
        <w:t xml:space="preserve"> t</w:t>
      </w:r>
      <w:r w:rsidR="00787FA6">
        <w:t>he deniability of</w:t>
      </w:r>
      <w:r w:rsidR="00A62B17">
        <w:t xml:space="preserve"> the cause of damages</w:t>
      </w:r>
      <w:r w:rsidR="008A7172">
        <w:t xml:space="preserve"> (e.g., long-term health consequences</w:t>
      </w:r>
      <w:r w:rsidR="00952318">
        <w:t xml:space="preserve"> due to undocumented exposures)</w:t>
      </w:r>
      <w:r w:rsidR="00A62B17">
        <w:t xml:space="preserve">, </w:t>
      </w:r>
      <w:r w:rsidR="005B103D">
        <w:t xml:space="preserve">the </w:t>
      </w:r>
      <w:r w:rsidR="00240DE0">
        <w:t xml:space="preserve">uncertain </w:t>
      </w:r>
      <w:r w:rsidR="005B103D">
        <w:t xml:space="preserve">value </w:t>
      </w:r>
      <w:r w:rsidR="00240DE0">
        <w:t>of national security breaches</w:t>
      </w:r>
      <w:r w:rsidR="007139A7">
        <w:t>, and</w:t>
      </w:r>
      <w:r w:rsidR="00C82C37">
        <w:t xml:space="preserve"> the </w:t>
      </w:r>
      <w:r w:rsidR="003138BC">
        <w:t xml:space="preserve">development </w:t>
      </w:r>
      <w:r w:rsidR="00C82C37">
        <w:t xml:space="preserve">path dependence </w:t>
      </w:r>
      <w:r w:rsidR="003138BC">
        <w:t>of real property</w:t>
      </w:r>
      <w:r w:rsidR="00942ED7">
        <w:t xml:space="preserve"> that cannot be </w:t>
      </w:r>
      <w:r w:rsidR="00CD71D7">
        <w:t xml:space="preserve">economically decontaminated. </w:t>
      </w:r>
    </w:p>
    <w:p w:rsidR="00E50C68" w:rsidP="00756160" w14:paraId="32340219" w14:textId="77777777"/>
    <w:p w:rsidR="00756160" w:rsidRPr="008F486F" w:rsidP="00756160" w14:paraId="368F5055" w14:textId="29FB1F61">
      <w:r>
        <w:t xml:space="preserve">This rulemaking </w:t>
      </w:r>
      <w:r w:rsidR="00C637D0">
        <w:t>would</w:t>
      </w:r>
      <w:r>
        <w:t xml:space="preserve"> not change the </w:t>
      </w:r>
      <w:r w:rsidR="00C6424D">
        <w:t>regulatory approach used</w:t>
      </w:r>
      <w:r w:rsidR="008A0DB2">
        <w:t xml:space="preserve"> to correct for</w:t>
      </w:r>
      <w:r>
        <w:t xml:space="preserve"> these market</w:t>
      </w:r>
      <w:r w:rsidR="00247E49">
        <w:t xml:space="preserve"> </w:t>
      </w:r>
      <w:r w:rsidR="00247E49">
        <w:t>failures</w:t>
      </w:r>
      <w:r w:rsidR="008A0DB2">
        <w:t>, but</w:t>
      </w:r>
      <w:r w:rsidR="008A0DB2">
        <w:t xml:space="preserve"> rather clarifies</w:t>
      </w:r>
      <w:r w:rsidR="00635C09">
        <w:t xml:space="preserve"> how</w:t>
      </w:r>
      <w:r w:rsidR="00247E49">
        <w:t xml:space="preserve"> </w:t>
      </w:r>
      <w:r w:rsidR="00635C09">
        <w:t xml:space="preserve">existing regulations </w:t>
      </w:r>
      <w:r w:rsidR="00C637D0">
        <w:t xml:space="preserve">that prevent </w:t>
      </w:r>
      <w:r w:rsidR="00C637D0">
        <w:t>these market</w:t>
      </w:r>
      <w:r w:rsidR="00C637D0">
        <w:t xml:space="preserve"> failures would </w:t>
      </w:r>
      <w:r w:rsidR="00635C09">
        <w:t>apply</w:t>
      </w:r>
      <w:r w:rsidR="00AC078D">
        <w:t xml:space="preserve"> to fusion machines. </w:t>
      </w:r>
      <w:r w:rsidRPr="008F486F" w:rsidR="000E74E9">
        <w:t xml:space="preserve">The staff anticipates that the quantities of radiological materials associated with fusion machine operation would require a license under existing regulations. However, the regulations were written without specific consideration of fusion machine characteristics and licensing needs. Rulemaking would ensure a transparent, systematic, risk-informed approach to the licensing and regulation of </w:t>
      </w:r>
      <w:r w:rsidRPr="00BD687C" w:rsidR="00BD687C">
        <w:t xml:space="preserve">byproduct material associated </w:t>
      </w:r>
      <w:r w:rsidR="00E379E2">
        <w:t xml:space="preserve">with </w:t>
      </w:r>
      <w:r w:rsidRPr="008F486F" w:rsidR="000E74E9">
        <w:t xml:space="preserve">fusion machines and </w:t>
      </w:r>
      <w:r w:rsidR="005521DE">
        <w:t>its</w:t>
      </w:r>
      <w:r w:rsidRPr="008F486F" w:rsidR="005521DE">
        <w:t xml:space="preserve"> </w:t>
      </w:r>
      <w:r w:rsidRPr="008F486F" w:rsidR="000E74E9">
        <w:t xml:space="preserve">associated </w:t>
      </w:r>
      <w:r w:rsidR="003A6673">
        <w:t xml:space="preserve">radiological </w:t>
      </w:r>
      <w:r w:rsidRPr="008F486F" w:rsidR="000E74E9">
        <w:t>hazards.</w:t>
      </w:r>
    </w:p>
    <w:p w:rsidR="00756160" w:rsidRPr="008F486F" w:rsidP="00756160" w14:paraId="33098C1F" w14:textId="77777777"/>
    <w:p w:rsidR="00756160" w:rsidRPr="008F486F" w:rsidP="00756160" w14:paraId="1051406E" w14:textId="77777777">
      <w:r w:rsidRPr="008F486F">
        <w:t>In the proposed rule, the NRC staff describes definitions to establish the scope of regulatory requirements for</w:t>
      </w:r>
      <w:r w:rsidRPr="00BD687C" w:rsidR="00BD687C">
        <w:t xml:space="preserve"> the possession, use, and production of byproduct material associated</w:t>
      </w:r>
      <w:r w:rsidRPr="008F486F">
        <w:t xml:space="preserve"> </w:t>
      </w:r>
      <w:r w:rsidR="00E379E2">
        <w:t xml:space="preserve">with </w:t>
      </w:r>
      <w:r w:rsidRPr="008F486F">
        <w:t xml:space="preserve">fusion machines and technology-inclusive content-of-application requirements supportive of a performance-based approach to regulation. Other targeted augmentations of current regulations </w:t>
      </w:r>
      <w:r w:rsidRPr="005700A5">
        <w:t>and guidance would ensure that information required for a license is based on the quantity,</w:t>
      </w:r>
      <w:r w:rsidRPr="008F486F">
        <w:t xml:space="preserve"> form, and use of byproduct material, and address applicability of current domestic licensing practices, and other updates necessary for the safe and secure use of radioactive materials used to produce fusion energy.</w:t>
      </w:r>
    </w:p>
    <w:p w:rsidR="00756160" w:rsidRPr="008F486F" w:rsidP="00756160" w14:paraId="18217429" w14:textId="77777777"/>
    <w:p w:rsidR="00756160" w:rsidRPr="008F486F" w:rsidP="00756160" w14:paraId="56720536" w14:textId="77777777">
      <w:r w:rsidRPr="008F486F">
        <w:t>Rulemaking and associated guidance would allow for the timely alignment of fusion</w:t>
      </w:r>
      <w:r w:rsidR="00C2186F">
        <w:t>-</w:t>
      </w:r>
      <w:r w:rsidRPr="008F486F">
        <w:t>machine</w:t>
      </w:r>
      <w:r w:rsidR="00C2186F">
        <w:t>-</w:t>
      </w:r>
      <w:r w:rsidRPr="00C2186F" w:rsidR="005700A5">
        <w:t>related</w:t>
      </w:r>
      <w:r w:rsidRPr="008F486F">
        <w:t xml:space="preserve"> licensing and regulation across the NRC and Agreement States, as part of the NMP, to provide near-term regulatory predictability for developers, regulators, and the public.</w:t>
      </w:r>
    </w:p>
    <w:p w:rsidR="00756160" w:rsidRPr="008F486F" w:rsidP="00756160" w14:paraId="6F3ECAEC" w14:textId="77777777"/>
    <w:p w:rsidR="00756160" w:rsidRPr="008F486F" w:rsidP="00756160" w14:paraId="56FBA590" w14:textId="77777777">
      <w:r w:rsidRPr="008F486F">
        <w:t>The purpose of this draft regulatory analysis is to provide decision-makers with an analysis of costs and benefits to support informed decision-making for the purpose of improved regulation of fusion devices.</w:t>
      </w:r>
    </w:p>
    <w:p w:rsidR="00756160" w:rsidRPr="008F486F" w:rsidP="00756160" w14:paraId="0F0B5976" w14:textId="77777777"/>
    <w:p w:rsidR="00756160" w:rsidRPr="008F486F" w:rsidP="00756160" w14:paraId="4173B6AB" w14:textId="77777777">
      <w:pPr>
        <w:pStyle w:val="Heading2"/>
        <w:numPr>
          <w:ilvl w:val="1"/>
          <w:numId w:val="6"/>
        </w:numPr>
        <w:ind w:left="720" w:hanging="720"/>
      </w:pPr>
      <w:bookmarkStart w:id="36" w:name="_Toc176883973"/>
      <w:bookmarkStart w:id="37" w:name="_Toc222796496"/>
      <w:r w:rsidRPr="008F486F">
        <w:t>Objectives</w:t>
      </w:r>
      <w:bookmarkEnd w:id="36"/>
      <w:bookmarkEnd w:id="37"/>
    </w:p>
    <w:p w:rsidR="00756160" w:rsidRPr="008F486F" w:rsidP="00756160" w14:paraId="0F339DCF" w14:textId="77777777"/>
    <w:p w:rsidR="00756160" w:rsidRPr="008F486F" w:rsidP="00756160" w14:paraId="4A39BFF4" w14:textId="77777777">
      <w:r w:rsidRPr="008F486F">
        <w:t xml:space="preserve">The Commission has directed the NRC staff to develop a limited-scope rule to license and regulate </w:t>
      </w:r>
      <w:r w:rsidRPr="00BD687C" w:rsidR="00BD687C">
        <w:t xml:space="preserve">the possession, use, and production of byproduct material associated </w:t>
      </w:r>
      <w:r w:rsidR="00E379E2">
        <w:t xml:space="preserve">with </w:t>
      </w:r>
      <w:r w:rsidRPr="008F486F">
        <w:t>fusion machines under the NRC’s byproduct material framework contained in 10 CFR Part 30 and associated regulations. In developing the rule, the NRC staff should consider the existence of fusion machines that already have been licensed and are being regulated by the Agreement States, as well as those that may be licensed before the completion of the rulemaking.</w:t>
      </w:r>
    </w:p>
    <w:p w:rsidR="00756160" w:rsidRPr="008F486F" w:rsidP="00756160" w14:paraId="2485BE7F" w14:textId="77777777"/>
    <w:p w:rsidR="00756160" w:rsidRPr="008F486F" w:rsidP="00756160" w14:paraId="39E9D339" w14:textId="77777777">
      <w:pPr>
        <w:pStyle w:val="Heading1"/>
        <w:ind w:hanging="768"/>
      </w:pPr>
      <w:bookmarkStart w:id="38" w:name="_Toc176883974"/>
      <w:bookmarkStart w:id="39" w:name="_Toc222796497"/>
      <w:r w:rsidRPr="008F486F">
        <w:t>3.0</w:t>
      </w:r>
      <w:r w:rsidRPr="008F486F">
        <w:tab/>
        <w:t>IDENTIFICATION AND ANALYSIS OF ALTERNATIVES</w:t>
      </w:r>
      <w:bookmarkEnd w:id="38"/>
      <w:bookmarkEnd w:id="39"/>
    </w:p>
    <w:p w:rsidR="00756160" w:rsidRPr="008F486F" w:rsidP="00756160" w14:paraId="5A58F750" w14:textId="77777777"/>
    <w:p w:rsidR="00756160" w:rsidRPr="008F486F" w:rsidP="00756160" w14:paraId="2214AE74" w14:textId="77777777">
      <w:r w:rsidRPr="008F486F">
        <w:t>The NRC considered the following three approaches to address the regulatory problem identified in section 2.2:</w:t>
      </w:r>
    </w:p>
    <w:p w:rsidR="00756160" w:rsidRPr="008F486F" w:rsidP="00756160" w14:paraId="0E754B52" w14:textId="77777777"/>
    <w:p w:rsidR="00756160" w:rsidRPr="008F486F" w:rsidP="00756160" w14:paraId="44D73E96" w14:textId="77777777">
      <w:pPr>
        <w:pStyle w:val="ListParagraph"/>
        <w:numPr>
          <w:ilvl w:val="0"/>
          <w:numId w:val="11"/>
        </w:numPr>
        <w:ind w:hanging="720"/>
      </w:pPr>
      <w:r w:rsidRPr="008F486F">
        <w:t>Alternative 1: No Action</w:t>
      </w:r>
    </w:p>
    <w:p w:rsidR="00756160" w:rsidRPr="008F486F" w:rsidP="00756160" w14:paraId="1088EA5E" w14:textId="77777777">
      <w:pPr>
        <w:pStyle w:val="ListParagraph"/>
        <w:numPr>
          <w:ilvl w:val="0"/>
          <w:numId w:val="11"/>
        </w:numPr>
        <w:ind w:hanging="720"/>
      </w:pPr>
      <w:r w:rsidRPr="008F486F">
        <w:t>Alternative 2: Rulemaking and Associated Guidance</w:t>
      </w:r>
    </w:p>
    <w:p w:rsidR="00756160" w:rsidRPr="008F486F" w:rsidP="00756160" w14:paraId="6F93E4DF" w14:textId="77777777">
      <w:pPr>
        <w:pStyle w:val="ListParagraph"/>
        <w:numPr>
          <w:ilvl w:val="0"/>
          <w:numId w:val="11"/>
        </w:numPr>
        <w:ind w:hanging="720"/>
      </w:pPr>
      <w:r w:rsidRPr="008F486F">
        <w:t>Alternative 3: Issue New Guidance (to clarify existing regulations without rulemaking)</w:t>
      </w:r>
    </w:p>
    <w:p w:rsidR="00756160" w:rsidRPr="008F486F" w:rsidP="00756160" w14:paraId="17C03F38" w14:textId="77777777"/>
    <w:p w:rsidR="00756160" w:rsidRPr="008F486F" w:rsidP="00756160" w14:paraId="4545F2BA" w14:textId="77777777">
      <w:r w:rsidRPr="008F486F">
        <w:t xml:space="preserve">Alternative 1 is the no action alternative. Under this alternative, NRC would not amend regulatory language or issue guidance to clarify the application of the current regulations to fusion machines. Under Alternative 2, NRC would amend the regulatory language for the purposes of fusion machines and to reflect the ADVANCE Act; in addition, regulatory guidance would be issued to clarify the application of the regulations, as amended. Under Alternative 3, the existing regulations are unchanged, and a regulatory guide is issued to clarify the application of the existing </w:t>
      </w:r>
      <w:r w:rsidRPr="00EF5B42">
        <w:t xml:space="preserve">regulations to </w:t>
      </w:r>
      <w:r w:rsidRPr="00EF5B42" w:rsidR="00EF5B42">
        <w:t xml:space="preserve">the possession, use, and production of byproduct material associated with </w:t>
      </w:r>
      <w:r w:rsidRPr="00EF5B42">
        <w:t>fusion machines.</w:t>
      </w:r>
    </w:p>
    <w:p w:rsidR="00756160" w:rsidRPr="008F486F" w:rsidP="00756160" w14:paraId="277DA9EE" w14:textId="77777777"/>
    <w:p w:rsidR="00756160" w:rsidRPr="008F486F" w:rsidP="00756160" w14:paraId="1AECD991" w14:textId="538129B5">
      <w:r w:rsidRPr="008F486F">
        <w:t xml:space="preserve">Alternative 2 is the recommended alternative. This approach changes the regulatory language to clarify how current provisions </w:t>
      </w:r>
      <w:r w:rsidRPr="008F486F">
        <w:t>would apply</w:t>
      </w:r>
      <w:r w:rsidRPr="008F486F">
        <w:t xml:space="preserve"> to </w:t>
      </w:r>
      <w:r w:rsidRPr="00BD687C" w:rsidR="00BD687C">
        <w:t xml:space="preserve">the possession, use, and production of byproduct material associated </w:t>
      </w:r>
      <w:r w:rsidR="00EF5B42">
        <w:t>with</w:t>
      </w:r>
      <w:r w:rsidRPr="00BD687C" w:rsidR="00BD687C">
        <w:t xml:space="preserve"> </w:t>
      </w:r>
      <w:r w:rsidRPr="008F486F">
        <w:t xml:space="preserve">fusion machines. Rulemaking would ensure a systematic, risk-informed performance-based approach to the licensing and regulation of </w:t>
      </w:r>
      <w:r w:rsidRPr="00826F54" w:rsidR="00826F54">
        <w:t xml:space="preserve">byproduct material associated </w:t>
      </w:r>
      <w:r w:rsidR="00EF5B42">
        <w:t>with</w:t>
      </w:r>
      <w:r w:rsidRPr="00826F54" w:rsidR="00826F54">
        <w:t xml:space="preserve"> </w:t>
      </w:r>
      <w:r w:rsidRPr="008F486F">
        <w:t xml:space="preserve">fusion machines and </w:t>
      </w:r>
      <w:r w:rsidR="005521DE">
        <w:t>its</w:t>
      </w:r>
      <w:r w:rsidRPr="008F486F" w:rsidR="005521DE">
        <w:t xml:space="preserve"> </w:t>
      </w:r>
      <w:r w:rsidRPr="008F486F">
        <w:t xml:space="preserve">associated </w:t>
      </w:r>
      <w:r w:rsidR="003A6673">
        <w:t xml:space="preserve">radiological </w:t>
      </w:r>
      <w:r w:rsidRPr="008F486F">
        <w:t xml:space="preserve">hazards. In this rulemaking, the NRC would define terms and develop definitions to </w:t>
      </w:r>
      <w:r w:rsidRPr="008F486F">
        <w:t>establish</w:t>
      </w:r>
      <w:r w:rsidRPr="008F486F">
        <w:t xml:space="preserve"> the scope of regulatory requirements for fusion machines, address waste management, and develop technology</w:t>
      </w:r>
      <w:r>
        <w:t>-</w:t>
      </w:r>
      <w:r w:rsidRPr="008F486F">
        <w:t xml:space="preserve">inclusive </w:t>
      </w:r>
      <w:r w:rsidRPr="008F486F">
        <w:t>content-</w:t>
      </w:r>
      <w:r w:rsidRPr="008F486F">
        <w:t>of-application requirements supportive of a risk-informed performance-based approach to regulation. Other targeted augmentations of current regulations and guidance would ensure that information required for a license is based on the quantity, form, and use of byproduct material, address applicability of current domestic licensing practices, and implement other updates necessary for the safe and secure use of radioactive materials to produce fusion energy.</w:t>
      </w:r>
    </w:p>
    <w:p w:rsidR="00756160" w:rsidRPr="008F486F" w:rsidP="00756160" w14:paraId="0B635BCE" w14:textId="77777777"/>
    <w:p w:rsidR="00756160" w:rsidRPr="008F486F" w:rsidP="00756160" w14:paraId="7DC5B64A" w14:textId="77777777">
      <w:r w:rsidRPr="008F486F">
        <w:t xml:space="preserve">Alternative 3 would impose no new requirements. Under Alternative 3, NRC would only issue new fusion machine guidance. This approach would not provide the same level of clarity and transparency as amending NRC’s regulations, and this approach could lead to inconsistent application of the requirements across the NMP. The qualitative impact of reduced clarity under Alternative 3 would raise labor costs in applying the regulations; therefore, Alternative 3 is not </w:t>
      </w:r>
      <w:r>
        <w:t>recommended.</w:t>
      </w:r>
    </w:p>
    <w:p w:rsidR="00756160" w:rsidRPr="008F486F" w:rsidP="00756160" w14:paraId="24EF2786" w14:textId="77777777"/>
    <w:p w:rsidR="00756160" w:rsidRPr="008F486F" w:rsidP="00756160" w14:paraId="05CC163A" w14:textId="77777777">
      <w:pPr>
        <w:pStyle w:val="Heading2"/>
        <w:keepNext/>
        <w:ind w:left="0" w:firstLine="0"/>
      </w:pPr>
      <w:bookmarkStart w:id="40" w:name="_Toc176883975"/>
      <w:bookmarkStart w:id="41" w:name="_Toc222796498"/>
      <w:r w:rsidRPr="008F486F">
        <w:rPr>
          <w:u w:val="none"/>
        </w:rPr>
        <w:t>3.1</w:t>
      </w:r>
      <w:r w:rsidRPr="008F486F">
        <w:rPr>
          <w:u w:val="none"/>
        </w:rPr>
        <w:tab/>
      </w:r>
      <w:r w:rsidRPr="008F486F">
        <w:t>Definitions</w:t>
      </w:r>
      <w:bookmarkEnd w:id="40"/>
      <w:bookmarkEnd w:id="41"/>
    </w:p>
    <w:p w:rsidR="00756160" w:rsidRPr="008F486F" w:rsidP="00756160" w14:paraId="017D5AAF" w14:textId="77777777">
      <w:pPr>
        <w:keepNext/>
      </w:pPr>
    </w:p>
    <w:p w:rsidR="00756160" w:rsidRPr="008F486F" w:rsidP="00756160" w14:paraId="410C941C" w14:textId="77777777">
      <w:pPr>
        <w:pStyle w:val="Heading3"/>
        <w:keepNext/>
      </w:pPr>
      <w:bookmarkStart w:id="42" w:name="_Toc176883976"/>
      <w:bookmarkStart w:id="43" w:name="_Toc222796499"/>
      <w:bookmarkStart w:id="44" w:name="_Hlk57904314"/>
      <w:r w:rsidRPr="008F486F">
        <w:t>3.1.1</w:t>
      </w:r>
      <w:r w:rsidRPr="008F486F">
        <w:tab/>
        <w:t>Regulatory Issue</w:t>
      </w:r>
      <w:bookmarkEnd w:id="42"/>
      <w:bookmarkEnd w:id="43"/>
      <w:r w:rsidRPr="008F486F">
        <w:t xml:space="preserve"> </w:t>
      </w:r>
    </w:p>
    <w:p w:rsidR="00756160" w:rsidRPr="008F486F" w:rsidP="00756160" w14:paraId="1A9ADA48" w14:textId="77777777">
      <w:pPr>
        <w:pStyle w:val="BodyText"/>
        <w:keepNext/>
      </w:pPr>
    </w:p>
    <w:p w:rsidR="00756160" w:rsidRPr="008F486F" w:rsidP="00756160" w14:paraId="41B4AE82" w14:textId="77777777">
      <w:pPr>
        <w:pStyle w:val="BodyText"/>
        <w:keepNext/>
      </w:pPr>
      <w:r w:rsidRPr="008F486F">
        <w:t xml:space="preserve">The proposed rule would add a new definition for “fusion machine” in </w:t>
      </w:r>
      <w:r w:rsidRPr="001C0D88">
        <w:t>10 CFR 20.1003 and 30.4; revise the definition of “particle accelerator” in 10 CFR 20.1003, 30.4, and 110.2; and revise the definition of “byproduct material” in 10 CFR 20.1003, 30.4, 37.5, 50.2, 72.3, 110.2, 150.3, 170.3, and 171.5, which all are titled “Definitions</w:t>
      </w:r>
      <w:r w:rsidRPr="008F486F">
        <w:t>.”</w:t>
      </w:r>
    </w:p>
    <w:p w:rsidR="00756160" w:rsidRPr="008F486F" w:rsidP="00756160" w14:paraId="4B978D77" w14:textId="77777777">
      <w:pPr>
        <w:pStyle w:val="BodyText"/>
      </w:pPr>
    </w:p>
    <w:p w:rsidR="00756160" w:rsidRPr="008F486F" w:rsidP="00756160" w14:paraId="101AD8B6" w14:textId="6F3BEFAC">
      <w:pPr>
        <w:pStyle w:val="BodyText"/>
      </w:pPr>
      <w:r w:rsidRPr="008F486F">
        <w:t xml:space="preserve">The term “fusion machine” </w:t>
      </w:r>
      <w:r w:rsidRPr="008F486F">
        <w:t>was added</w:t>
      </w:r>
      <w:r w:rsidRPr="008F486F">
        <w:t xml:space="preserve"> to </w:t>
      </w:r>
      <w:r w:rsidRPr="00F82132">
        <w:t>s</w:t>
      </w:r>
      <w:r w:rsidRPr="008F486F">
        <w:t xml:space="preserve">ection 11 of the AEA and “byproduct material” </w:t>
      </w:r>
      <w:r w:rsidRPr="008F486F">
        <w:t>was amended</w:t>
      </w:r>
      <w:r w:rsidRPr="008F486F">
        <w:t xml:space="preserve"> in section 11e.(3)(B)</w:t>
      </w:r>
      <w:r w:rsidR="00685C02">
        <w:t xml:space="preserve"> by </w:t>
      </w:r>
      <w:r w:rsidRPr="008F486F" w:rsidR="00685C02">
        <w:t>the ADVANCE Act of 2024</w:t>
      </w:r>
      <w:r w:rsidRPr="008F486F">
        <w:t xml:space="preserve">. The amended definition of </w:t>
      </w:r>
      <w:r w:rsidRPr="008F486F">
        <w:t>“byproduct material” is now “any material that (</w:t>
      </w:r>
      <w:r w:rsidRPr="008F486F">
        <w:t>i</w:t>
      </w:r>
      <w:r w:rsidRPr="008F486F">
        <w:t>) has been made radioactive by use of a particle accelerator, including by use of a fusion machine; and (ii) if made radioactive by use of a particle accelerator that is not a fusion machine, is produced, extracted, or converted after extraction, before, on, or after August 8, 2005, for use for a commercial, medical, or research activity.”</w:t>
      </w:r>
    </w:p>
    <w:p w:rsidR="00756160" w:rsidRPr="008F486F" w:rsidP="00756160" w14:paraId="70F886B8" w14:textId="77777777">
      <w:pPr>
        <w:pStyle w:val="BodyText"/>
      </w:pPr>
    </w:p>
    <w:p w:rsidR="00083D49" w:rsidP="00756160" w14:paraId="0955416D" w14:textId="0F387501">
      <w:pPr>
        <w:pStyle w:val="BodyText"/>
      </w:pPr>
      <w:r>
        <w:t>T</w:t>
      </w:r>
      <w:r w:rsidRPr="0019121A">
        <w:t>he AEA’s amended definition creates criteria for determining whether radioactive material produced through use of a particle accelerator is byproduct material under AEA Section</w:t>
      </w:r>
      <w:r w:rsidR="000E5F11">
        <w:t> </w:t>
      </w:r>
      <w:r w:rsidRPr="0019121A">
        <w:t xml:space="preserve">11e.(3)(B): one set of criteria for fusion machines, and another set for particle accelerators that are not fusion machines. </w:t>
      </w:r>
    </w:p>
    <w:p w:rsidR="00083D49" w:rsidP="00756160" w14:paraId="26BB9A63" w14:textId="77777777">
      <w:pPr>
        <w:pStyle w:val="BodyText"/>
      </w:pPr>
    </w:p>
    <w:p w:rsidR="00756160" w:rsidRPr="008F486F" w:rsidP="00367972" w14:paraId="061E8CC1" w14:textId="77777777">
      <w:pPr>
        <w:pStyle w:val="BodyText"/>
      </w:pPr>
      <w:r w:rsidRPr="008F486F">
        <w:t xml:space="preserve">The ADVANCE Act also amended NEIMA to </w:t>
      </w:r>
      <w:r w:rsidRPr="00EB5502" w:rsidR="00033A46">
        <w:rPr>
          <w:rFonts w:eastAsia="Calibri"/>
          <w:bCs/>
        </w:rPr>
        <w:t>change “fusion reactor”</w:t>
      </w:r>
      <w:r w:rsidRPr="008F486F">
        <w:t xml:space="preserve"> to “fusion machine” and points to the fusion machine definition under the ADVANCE Act. Given the diversity of fusion processes and designs currently under consideration, the new definition provides the flexibility to be incorporated into NRC’s 10 CFR Part 30 framework in a technology-inclusive manner. The proposed regulatory framework </w:t>
      </w:r>
      <w:r w:rsidR="00D05395">
        <w:t>would</w:t>
      </w:r>
      <w:r w:rsidRPr="008F486F" w:rsidR="00D05395">
        <w:t xml:space="preserve"> </w:t>
      </w:r>
      <w:r w:rsidR="00367972">
        <w:t>provide</w:t>
      </w:r>
      <w:r w:rsidRPr="008F486F">
        <w:t xml:space="preserve"> a risk-informed approach to protecting workers, the public, and the environment from the </w:t>
      </w:r>
      <w:r w:rsidR="00367972">
        <w:t xml:space="preserve">possession, use, and production of byproduct </w:t>
      </w:r>
      <w:r w:rsidRPr="008F486F">
        <w:t xml:space="preserve">material </w:t>
      </w:r>
      <w:r w:rsidR="00A71A03">
        <w:t>associated with fusion machines</w:t>
      </w:r>
      <w:r w:rsidRPr="008F486F">
        <w:t>.</w:t>
      </w:r>
    </w:p>
    <w:p w:rsidR="00756160" w:rsidRPr="008F486F" w:rsidP="00756160" w14:paraId="5D0A71D9" w14:textId="77777777">
      <w:pPr>
        <w:pStyle w:val="BodyText"/>
      </w:pPr>
    </w:p>
    <w:p w:rsidR="00756160" w:rsidRPr="008F486F" w:rsidP="00756160" w14:paraId="74BE7256" w14:textId="77777777">
      <w:pPr>
        <w:pStyle w:val="BodyText"/>
      </w:pPr>
      <w:r>
        <w:t xml:space="preserve">The NRC’s existing regulations and </w:t>
      </w:r>
      <w:r w:rsidRPr="009725FA">
        <w:t xml:space="preserve">guidance (i.e., NUREG-1556, </w:t>
      </w:r>
      <w:r w:rsidRPr="009725FA" w:rsidR="00280AA4">
        <w:t>Volume</w:t>
      </w:r>
      <w:r w:rsidRPr="009725FA">
        <w:t xml:space="preserve"> 21, “</w:t>
      </w:r>
      <w:r w:rsidRPr="009725FA" w:rsidR="009725FA">
        <w:t xml:space="preserve">Consolidated Guidance About Materials Licenses: </w:t>
      </w:r>
      <w:r w:rsidRPr="009725FA">
        <w:t>Program-Specific Guidance About Possession Licenses for Production of Radioactive Material Using</w:t>
      </w:r>
      <w:r w:rsidRPr="007627EA">
        <w:t xml:space="preserve"> an Accelerator</w:t>
      </w:r>
      <w:r>
        <w:t xml:space="preserve">”) provide for the licensing of particle accelerators. </w:t>
      </w:r>
      <w:r w:rsidR="00367972">
        <w:t>C</w:t>
      </w:r>
      <w:r w:rsidRPr="00C37F38">
        <w:t>onsistent with t</w:t>
      </w:r>
      <w:r>
        <w:t xml:space="preserve">he </w:t>
      </w:r>
      <w:r w:rsidRPr="00C37F38">
        <w:t>distinction in the AEA</w:t>
      </w:r>
      <w:r>
        <w:t xml:space="preserve"> between</w:t>
      </w:r>
      <w:r w:rsidRPr="00331616" w:rsidR="00331616">
        <w:t xml:space="preserve"> byproduct material produced by</w:t>
      </w:r>
      <w:r>
        <w:t xml:space="preserve"> fusion machines and other particle accelerators</w:t>
      </w:r>
      <w:r w:rsidRPr="00C37F38">
        <w:t xml:space="preserve">, the </w:t>
      </w:r>
      <w:r>
        <w:t>NRC’s</w:t>
      </w:r>
      <w:r w:rsidRPr="00C37F38">
        <w:t xml:space="preserve"> proposed definitions would </w:t>
      </w:r>
      <w:r w:rsidR="00331616">
        <w:t>consider</w:t>
      </w:r>
      <w:r w:rsidRPr="00C37F38" w:rsidR="00331616">
        <w:t xml:space="preserve"> </w:t>
      </w:r>
      <w:r w:rsidRPr="00C37F38">
        <w:t xml:space="preserve">fusion machines </w:t>
      </w:r>
      <w:r w:rsidRPr="007F066B" w:rsidR="007F066B">
        <w:t xml:space="preserve">as a subset of </w:t>
      </w:r>
      <w:r w:rsidRPr="00C37F38">
        <w:t xml:space="preserve">particle accelerators. </w:t>
      </w:r>
      <w:r>
        <w:t>This approach would</w:t>
      </w:r>
      <w:r w:rsidRPr="00C37F38">
        <w:t xml:space="preserve"> affirmatively establish that existing guidance for particle accelerators would not apply to fusion machines.</w:t>
      </w:r>
      <w:r>
        <w:t xml:space="preserve"> </w:t>
      </w:r>
    </w:p>
    <w:p w:rsidR="00756160" w:rsidRPr="008F486F" w:rsidP="00756160" w14:paraId="49354BA5" w14:textId="77777777">
      <w:pPr>
        <w:pStyle w:val="BodyText"/>
      </w:pPr>
    </w:p>
    <w:p w:rsidR="00756160" w:rsidRPr="008F486F" w:rsidP="00756160" w14:paraId="1CA3E344" w14:textId="220CD103">
      <w:pPr>
        <w:pStyle w:val="Heading3"/>
      </w:pPr>
      <w:bookmarkStart w:id="45" w:name="_Toc176883977"/>
      <w:bookmarkStart w:id="46" w:name="_Toc222796500"/>
      <w:r w:rsidRPr="008F486F">
        <w:t>3.1.2</w:t>
      </w:r>
      <w:r w:rsidRPr="008F486F">
        <w:tab/>
        <w:t>Regulatory Alternatives</w:t>
      </w:r>
      <w:bookmarkEnd w:id="45"/>
      <w:bookmarkEnd w:id="46"/>
    </w:p>
    <w:p w:rsidR="00756160" w:rsidRPr="008F486F" w:rsidP="00756160" w14:paraId="565277E0" w14:textId="77777777">
      <w:pPr>
        <w:pStyle w:val="BodyText"/>
      </w:pPr>
    </w:p>
    <w:p w:rsidR="00756160" w:rsidRPr="007E5E6A" w:rsidP="00756160" w14:paraId="34CDB3DA" w14:textId="2D081EE9">
      <w:pPr>
        <w:pStyle w:val="BodyText"/>
        <w:rPr>
          <w:i/>
          <w:iCs/>
        </w:rPr>
      </w:pPr>
      <w:r w:rsidRPr="007E5E6A">
        <w:rPr>
          <w:i/>
          <w:iCs/>
        </w:rPr>
        <w:t xml:space="preserve">Alternative 1: No Action </w:t>
      </w:r>
    </w:p>
    <w:p w:rsidR="00756160" w:rsidRPr="008F486F" w:rsidP="00756160" w14:paraId="5279861D" w14:textId="77777777">
      <w:pPr>
        <w:pStyle w:val="BodyText"/>
      </w:pPr>
    </w:p>
    <w:p w:rsidR="00756160" w:rsidRPr="008F486F" w:rsidP="00756160" w14:paraId="1B1AF129" w14:textId="77777777">
      <w:pPr>
        <w:pStyle w:val="BodyText"/>
      </w:pPr>
      <w:r w:rsidRPr="008F486F">
        <w:t xml:space="preserve">The NRC would regulate </w:t>
      </w:r>
      <w:r w:rsidRPr="00826F54" w:rsidR="00826F54">
        <w:t xml:space="preserve">the possession, use, and production of byproduct material associated </w:t>
      </w:r>
      <w:r w:rsidRPr="00D14330" w:rsidR="00EF5B42">
        <w:t>with</w:t>
      </w:r>
      <w:r w:rsidRPr="00826F54" w:rsidR="00826F54">
        <w:t xml:space="preserve"> </w:t>
      </w:r>
      <w:r w:rsidRPr="008F486F">
        <w:t>fusion machines under existing regulations for particle accelerators.</w:t>
      </w:r>
    </w:p>
    <w:p w:rsidR="00756160" w:rsidRPr="008F486F" w:rsidP="00756160" w14:paraId="73A27793" w14:textId="77777777">
      <w:pPr>
        <w:pStyle w:val="BodyText"/>
      </w:pPr>
      <w:r w:rsidRPr="008F486F">
        <w:t>In reviewing each fusion machine application on a case-by-case basis, the NRC and Agreement States would need to evaluate the applicability of the current regulatory definitions in conjunction with the amended statute. Based on these evaluations, the NRC or Agreement States may need to develop specific license conditions, exemptions, or orders.</w:t>
      </w:r>
    </w:p>
    <w:p w:rsidR="00756160" w:rsidRPr="008F486F" w:rsidP="00756160" w14:paraId="3AD23FC2" w14:textId="77777777">
      <w:pPr>
        <w:pStyle w:val="BodyText"/>
      </w:pPr>
    </w:p>
    <w:p w:rsidR="00756160" w:rsidRPr="007E5E6A" w:rsidP="00756160" w14:paraId="2EE4CAF9" w14:textId="77777777">
      <w:pPr>
        <w:pStyle w:val="BodyText"/>
        <w:keepNext/>
        <w:rPr>
          <w:i/>
          <w:iCs/>
        </w:rPr>
      </w:pPr>
      <w:r w:rsidRPr="007E5E6A">
        <w:rPr>
          <w:i/>
          <w:iCs/>
        </w:rPr>
        <w:t>Alternative 2: Rulemaking and Associated Guidance</w:t>
      </w:r>
    </w:p>
    <w:p w:rsidR="00756160" w:rsidRPr="008F486F" w:rsidP="00756160" w14:paraId="1A4B6F9A" w14:textId="77777777">
      <w:pPr>
        <w:pStyle w:val="BodyText"/>
        <w:keepNext/>
      </w:pPr>
    </w:p>
    <w:bookmarkEnd w:id="44"/>
    <w:p w:rsidR="00756160" w:rsidRPr="008F486F" w:rsidP="00756160" w14:paraId="5B0522D0" w14:textId="77777777">
      <w:pPr>
        <w:pStyle w:val="BodyText"/>
      </w:pPr>
      <w:r w:rsidRPr="008F486F">
        <w:t xml:space="preserve">The proposed new definition of “fusion machine” and updated definitions for “particle accelerator” and “byproduct material” would enhance regulatory clarity and predictability by explicitly defining radioactive material generated by the operation of a fusion machine as byproduct material, to reflect the AEA’s amended definitions of byproduct material. The proposed application requirements and revisions to reporting and inspection requirements would provide regulatory certainty for </w:t>
      </w:r>
      <w:r w:rsidRPr="00D14330">
        <w:t>applicants</w:t>
      </w:r>
      <w:r w:rsidR="00997596">
        <w:t xml:space="preserve"> for </w:t>
      </w:r>
      <w:r w:rsidR="00997596">
        <w:rPr>
          <w:iCs/>
        </w:rPr>
        <w:t>the possession, use, and production of byproduct material associated with</w:t>
      </w:r>
      <w:r w:rsidRPr="00D14330" w:rsidR="00997596">
        <w:t xml:space="preserve"> fusion machine</w:t>
      </w:r>
      <w:r w:rsidR="00997596">
        <w:t>s</w:t>
      </w:r>
      <w:r w:rsidRPr="008F486F">
        <w:t>. The proposed revision to waste disposal requirements in 10 CFR Part 20 would ensure consistency and alignment with the disposal of some novel waste types and radionuclides generated by fusion machines.</w:t>
      </w:r>
    </w:p>
    <w:p w:rsidR="00756160" w:rsidRPr="008F486F" w:rsidP="00756160" w14:paraId="6F15646B" w14:textId="77777777">
      <w:pPr>
        <w:pStyle w:val="BodyText"/>
      </w:pPr>
    </w:p>
    <w:p w:rsidR="00756160" w:rsidRPr="007E5E6A" w:rsidP="00756160" w14:paraId="22BA5B6D" w14:textId="77777777">
      <w:pPr>
        <w:pStyle w:val="BodyText"/>
        <w:keepNext/>
        <w:rPr>
          <w:i/>
          <w:iCs/>
        </w:rPr>
      </w:pPr>
      <w:r w:rsidRPr="007E5E6A">
        <w:rPr>
          <w:i/>
          <w:iCs/>
        </w:rPr>
        <w:t>Alternative 3: Issue New Guidance (to clarify existing regulations without rulemaking)</w:t>
      </w:r>
    </w:p>
    <w:p w:rsidR="00756160" w:rsidRPr="008F486F" w:rsidP="00756160" w14:paraId="6252367E" w14:textId="77777777">
      <w:pPr>
        <w:pStyle w:val="BodyText"/>
        <w:keepNext/>
      </w:pPr>
    </w:p>
    <w:p w:rsidR="00756160" w:rsidRPr="008F486F" w:rsidP="00756160" w14:paraId="07016E12" w14:textId="77777777">
      <w:pPr>
        <w:pStyle w:val="BodyText"/>
      </w:pPr>
      <w:r w:rsidRPr="008F486F">
        <w:t xml:space="preserve">Guidance would clarify how the existing regulations and definitions apply to fusion machines. Guidance alone would provide less clarity and regulatory consistency compared to Alternative 2. </w:t>
      </w:r>
      <w:r w:rsidRPr="008F486F">
        <w:t>Similar to</w:t>
      </w:r>
      <w:r w:rsidRPr="008F486F">
        <w:t xml:space="preserve"> Alternative 1, in some cases, the NRC and Agreement States would need to evaluate the applicability of the current regulatory definitions in conjunction with the amended statute on a case-by-case basis. Based on those evaluations, in some cases the NRC or Agreement States may need to develop specific license conditions, exemptions, or orders.</w:t>
      </w:r>
    </w:p>
    <w:p w:rsidR="00756160" w:rsidRPr="008F486F" w:rsidP="00756160" w14:paraId="5CE86A66" w14:textId="77777777">
      <w:pPr>
        <w:pStyle w:val="BodyText"/>
      </w:pPr>
    </w:p>
    <w:p w:rsidR="00756160" w:rsidRPr="008F486F" w:rsidP="00756160" w14:paraId="5B46BE4B" w14:textId="77777777">
      <w:pPr>
        <w:pStyle w:val="Heading2"/>
        <w:keepNext/>
        <w:ind w:left="0" w:firstLine="0"/>
      </w:pPr>
      <w:bookmarkStart w:id="47" w:name="_Toc176883978"/>
      <w:bookmarkStart w:id="48" w:name="_Toc222796501"/>
      <w:r w:rsidRPr="00D14330">
        <w:rPr>
          <w:u w:val="none"/>
        </w:rPr>
        <w:t>3.2</w:t>
      </w:r>
      <w:r w:rsidRPr="00D14330">
        <w:rPr>
          <w:u w:val="none"/>
        </w:rPr>
        <w:tab/>
      </w:r>
      <w:r w:rsidRPr="00D14330">
        <w:t>Contents of Application</w:t>
      </w:r>
      <w:bookmarkEnd w:id="47"/>
      <w:bookmarkEnd w:id="48"/>
    </w:p>
    <w:p w:rsidR="00756160" w:rsidRPr="008F486F" w:rsidP="00756160" w14:paraId="43FF2B06" w14:textId="77777777">
      <w:pPr>
        <w:pStyle w:val="BodyText"/>
        <w:keepNext/>
      </w:pPr>
    </w:p>
    <w:p w:rsidR="00756160" w:rsidRPr="008F486F" w:rsidP="00756160" w14:paraId="2F224E9C" w14:textId="77777777">
      <w:pPr>
        <w:pStyle w:val="Heading3"/>
      </w:pPr>
      <w:bookmarkStart w:id="49" w:name="_Toc176883979"/>
      <w:bookmarkStart w:id="50" w:name="_Toc222796502"/>
      <w:r w:rsidRPr="008F486F">
        <w:t>3.2.1</w:t>
      </w:r>
      <w:r w:rsidRPr="008F486F">
        <w:tab/>
        <w:t>Regulatory Issue</w:t>
      </w:r>
      <w:bookmarkEnd w:id="49"/>
      <w:bookmarkEnd w:id="50"/>
    </w:p>
    <w:p w:rsidR="00756160" w:rsidRPr="008F486F" w:rsidP="00756160" w14:paraId="522E90CF" w14:textId="77777777">
      <w:pPr>
        <w:pStyle w:val="BodyText"/>
      </w:pPr>
    </w:p>
    <w:p w:rsidR="00756160" w:rsidRPr="008F486F" w:rsidP="00756160" w14:paraId="5F7642BE" w14:textId="77777777">
      <w:pPr>
        <w:pStyle w:val="BodyText"/>
      </w:pPr>
      <w:r w:rsidRPr="008F486F">
        <w:t xml:space="preserve">The proposed rule would add new requirements under 10 CFR 30.32(k), 10 CFR 30.33(a)(6), and 10 CFR 51.60(b)(1)(viii) that are specific to the application requirements for </w:t>
      </w:r>
      <w:bookmarkStart w:id="51" w:name="_Hlk200477647"/>
      <w:r w:rsidRPr="00826F54" w:rsidR="00826F54">
        <w:t xml:space="preserve">the possession, use, and production of byproduct material associated </w:t>
      </w:r>
      <w:r w:rsidR="00826F54">
        <w:t xml:space="preserve">with </w:t>
      </w:r>
      <w:bookmarkEnd w:id="51"/>
      <w:r w:rsidRPr="008F486F">
        <w:t xml:space="preserve">a fusion </w:t>
      </w:r>
      <w:r w:rsidRPr="008F486F">
        <w:rPr>
          <w:bCs/>
        </w:rPr>
        <w:t>machine</w:t>
      </w:r>
      <w:r w:rsidRPr="008F486F">
        <w:t xml:space="preserve">. The proposed rule would provide conforming changes to existing byproduct material requirements to address specific attributes of fusion </w:t>
      </w:r>
      <w:r w:rsidRPr="008F486F">
        <w:rPr>
          <w:bCs/>
        </w:rPr>
        <w:t>machine</w:t>
      </w:r>
      <w:r w:rsidRPr="008F486F">
        <w:t xml:space="preserve">s under 10 CFR 20.2008, “Disposal of certain byproduct material”; </w:t>
      </w:r>
      <w:r w:rsidRPr="001C0D88">
        <w:t>10 CFR 30.51, “Records,” paragraphs (a) and (a)(1); and 10 CFR 30.52, “Inspections,” paragraph (a).</w:t>
      </w:r>
    </w:p>
    <w:p w:rsidR="00756160" w:rsidRPr="008F486F" w:rsidP="00756160" w14:paraId="56EB624A" w14:textId="77777777">
      <w:pPr>
        <w:pStyle w:val="BodyText"/>
      </w:pPr>
    </w:p>
    <w:p w:rsidR="00756160" w:rsidRPr="008F486F" w:rsidP="00756160" w14:paraId="1F26A6F9" w14:textId="6D04B9BC">
      <w:pPr>
        <w:pStyle w:val="BodyText"/>
      </w:pPr>
      <w:r w:rsidRPr="008F486F">
        <w:t xml:space="preserve">The proposed rule would add technology-inclusive content-of-application requirements supportive of a performance-based approach to regulating </w:t>
      </w:r>
      <w:r w:rsidRPr="00826F54" w:rsidR="00E379E2">
        <w:t xml:space="preserve">the possession, use, and production of byproduct material associated </w:t>
      </w:r>
      <w:r w:rsidR="00E379E2">
        <w:t xml:space="preserve">with </w:t>
      </w:r>
      <w:r w:rsidRPr="008F486F">
        <w:t xml:space="preserve">fusion machines. The content of application section would provide </w:t>
      </w:r>
      <w:r w:rsidRPr="00D14330">
        <w:t xml:space="preserve">the requirements for licensing </w:t>
      </w:r>
      <w:r w:rsidRPr="00E379E2" w:rsidR="00E379E2">
        <w:t>the possession, use, and production of byproduct material associated with</w:t>
      </w:r>
      <w:r w:rsidRPr="00D14330">
        <w:t xml:space="preserve"> a fusion machine</w:t>
      </w:r>
      <w:r w:rsidRPr="008F486F">
        <w:t xml:space="preserve"> that would be supplemented by the current general regulatory requirements and the terms and conditions of licenses already contained in 10 CFR 30.32, “Application for specific licenses”; 10 CFR 30.33, “General requirements for issuance of specific licenses”; and 10 CFR 30.34, “Terms and conditions of licenses.” In addition to the content-of-application section, NRC would make other conforming changes specific to fusion</w:t>
      </w:r>
      <w:r w:rsidR="00B62C29">
        <w:t>-</w:t>
      </w:r>
      <w:r w:rsidRPr="008F486F">
        <w:t>machine</w:t>
      </w:r>
      <w:r w:rsidR="00B62C29">
        <w:t>-produced byproduct material</w:t>
      </w:r>
      <w:r w:rsidRPr="008F486F">
        <w:t>.</w:t>
      </w:r>
    </w:p>
    <w:p w:rsidR="00756160" w:rsidRPr="008F486F" w:rsidP="00756160" w14:paraId="28E05C20" w14:textId="77777777">
      <w:pPr>
        <w:pStyle w:val="BodyText"/>
      </w:pPr>
    </w:p>
    <w:p w:rsidR="00756160" w:rsidRPr="008F486F" w:rsidP="00756160" w14:paraId="423AFDE8" w14:textId="77777777">
      <w:pPr>
        <w:pStyle w:val="BodyText"/>
      </w:pPr>
      <w:r w:rsidRPr="008F486F">
        <w:t xml:space="preserve">The proposed content-of-application section in 10 CFR 30.32(k) would require that an applicant for </w:t>
      </w:r>
      <w:r w:rsidRPr="00826F54" w:rsidR="00591EDA">
        <w:t xml:space="preserve">the possession, use, and production of byproduct material associated </w:t>
      </w:r>
      <w:r w:rsidR="00591EDA">
        <w:t>with</w:t>
      </w:r>
      <w:r w:rsidRPr="008F486F" w:rsidR="00591EDA">
        <w:t xml:space="preserve"> </w:t>
      </w:r>
      <w:r w:rsidRPr="008F486F">
        <w:t xml:space="preserve">a fusion machine provide a general description of the fusion machine, summarize the operating and emergency procedures related to radiation safety, and describe the applicant’s radiation safety organizational structure, training program for fusion machines and radiation protection, inspection and maintenance program, and methodology for maintaining a radioactive material inventory. The summary of the procedures important to radiation protection also would require that the applicant describe (1) the radiation protection measures to be employed for </w:t>
      </w:r>
      <w:r w:rsidR="00CA1A4B">
        <w:t>byproduct material</w:t>
      </w:r>
      <w:r w:rsidRPr="008F486F">
        <w:t xml:space="preserve">, including all interlocks, access control systems, shielding, and radiation monitors; (2) the </w:t>
      </w:r>
      <w:r w:rsidR="005A3A97">
        <w:t xml:space="preserve">byproduct </w:t>
      </w:r>
      <w:r w:rsidRPr="008F486F">
        <w:t>material handling systems procedures and inventory control procedures; and (3) any other components or systems used to control radiation and radioactive material.</w:t>
      </w:r>
    </w:p>
    <w:p w:rsidR="00756160" w:rsidRPr="008F486F" w:rsidP="00756160" w14:paraId="6C2B95A7" w14:textId="77777777">
      <w:pPr>
        <w:pStyle w:val="BodyText"/>
      </w:pPr>
    </w:p>
    <w:p w:rsidR="00756160" w:rsidRPr="008F486F" w:rsidP="00756160" w14:paraId="5F1928D8" w14:textId="77777777">
      <w:pPr>
        <w:pStyle w:val="BodyText"/>
      </w:pPr>
      <w:r w:rsidRPr="008F486F">
        <w:t xml:space="preserve">The contents of application discussion for fusion machines would also give an applicant an alternative to describing the fusion machine relative to radiation safety, as required in </w:t>
      </w:r>
      <w:r w:rsidRPr="008F486F">
        <w:br/>
        <w:t>10 CFR 30.32(k)(2)(</w:t>
      </w:r>
      <w:r w:rsidRPr="008F486F">
        <w:t>i</w:t>
      </w:r>
      <w:r w:rsidRPr="008F486F">
        <w:t>)–(iii). The alternative pathway would require the applicant to describe the fusion machine relevant to radiation safety and explain how it can ensure that the fusion machine would be operated safely. This technology-inclusive approach to licensing recognizes the diversity of fusion machine designs being considered now and in the near-term future.</w:t>
      </w:r>
    </w:p>
    <w:p w:rsidR="00756160" w:rsidRPr="008F486F" w:rsidP="00756160" w14:paraId="6340C600" w14:textId="77777777">
      <w:pPr>
        <w:pStyle w:val="BodyText"/>
      </w:pPr>
    </w:p>
    <w:p w:rsidR="00756160" w:rsidRPr="008F486F" w:rsidP="00756160" w14:paraId="46F8DE8B" w14:textId="77777777">
      <w:pPr>
        <w:pStyle w:val="BodyText"/>
      </w:pPr>
      <w:r w:rsidRPr="008F486F">
        <w:rPr>
          <w:rFonts w:eastAsia="Calibri"/>
        </w:rPr>
        <w:t xml:space="preserve">A proposed new section would be added to </w:t>
      </w:r>
      <w:r w:rsidRPr="008F486F">
        <w:t>10 CFR 30.33(a)(6) to specifically provide the general requirement for approving a</w:t>
      </w:r>
      <w:r w:rsidR="0053650F">
        <w:t xml:space="preserve"> license </w:t>
      </w:r>
      <w:r w:rsidRPr="008F486F">
        <w:t xml:space="preserve">application for </w:t>
      </w:r>
      <w:r w:rsidRPr="00F6195E" w:rsidR="00F6195E">
        <w:t xml:space="preserve">the possession, use, and production of byproduct material associated with </w:t>
      </w:r>
      <w:r w:rsidRPr="008F486F">
        <w:t>a fusion machine.</w:t>
      </w:r>
    </w:p>
    <w:p w:rsidR="00756160" w:rsidRPr="008F486F" w:rsidP="00756160" w14:paraId="547E4D97" w14:textId="77777777">
      <w:pPr>
        <w:pStyle w:val="BodyText"/>
      </w:pPr>
      <w:r w:rsidRPr="008F486F">
        <w:br/>
        <w:t xml:space="preserve">A proposed new section would be added to 10 CFR 51.60(b)(1)(iii) to require an environmental report for the construction and operation of a fusion machine </w:t>
      </w:r>
      <w:r w:rsidRPr="00D14330" w:rsidR="005E5F6A">
        <w:t>unless a categorical exclusion applies</w:t>
      </w:r>
      <w:r w:rsidRPr="00D14330">
        <w:t>.</w:t>
      </w:r>
      <w:r w:rsidRPr="008F486F">
        <w:t xml:space="preserve"> </w:t>
      </w:r>
      <w:r w:rsidRPr="008F486F">
        <w:rPr>
          <w:rFonts w:eastAsia="Calibri"/>
        </w:rPr>
        <w:t xml:space="preserve">The scope of the environmental report would be expected to be discussed during preapplication discussions </w:t>
      </w:r>
      <w:r w:rsidRPr="008F486F">
        <w:t>described in 10 CFR 30.32(k)(2)(iv)(B).</w:t>
      </w:r>
    </w:p>
    <w:p w:rsidR="00756160" w:rsidRPr="008F486F" w:rsidP="00756160" w14:paraId="0C73848F" w14:textId="77777777">
      <w:pPr>
        <w:pStyle w:val="BodyText"/>
      </w:pPr>
    </w:p>
    <w:p w:rsidR="00756160" w:rsidRPr="008F486F" w:rsidP="00756160" w14:paraId="46B1083D" w14:textId="77777777">
      <w:pPr>
        <w:pStyle w:val="BodyText"/>
      </w:pPr>
      <w:r w:rsidRPr="008F486F">
        <w:t xml:space="preserve">Licensed material as described in paragraphs (3) and (4) of the definition of byproduct material in 10 CFR 20.1003 is not defined as low-level radioactive waste. </w:t>
      </w:r>
      <w:r w:rsidRPr="008F486F">
        <w:rPr>
          <w:rFonts w:eastAsia="Calibri"/>
        </w:rPr>
        <w:t xml:space="preserve">Given that accelerators and fusion machines both produce </w:t>
      </w:r>
      <w:r w:rsidR="001356E4">
        <w:rPr>
          <w:rFonts w:eastAsia="Calibri"/>
        </w:rPr>
        <w:t>radioactive</w:t>
      </w:r>
      <w:r w:rsidRPr="008F486F" w:rsidR="001356E4">
        <w:rPr>
          <w:rFonts w:eastAsia="Calibri"/>
        </w:rPr>
        <w:t xml:space="preserve"> </w:t>
      </w:r>
      <w:r w:rsidRPr="008F486F">
        <w:rPr>
          <w:rFonts w:eastAsia="Calibri"/>
        </w:rPr>
        <w:t xml:space="preserve">material, the NRC is proposing to include new language in paragraph (a) to </w:t>
      </w:r>
      <w:r w:rsidRPr="008F486F">
        <w:t xml:space="preserve">10 CFR 20.2008 to allow certain waste from fusion machines to </w:t>
      </w:r>
      <w:r w:rsidRPr="008F486F">
        <w:t>be disposed</w:t>
      </w:r>
      <w:r w:rsidRPr="008F486F">
        <w:t xml:space="preserve"> in a low-level waste (LLW) disposal facility. The NRC does not propose any changes to </w:t>
      </w:r>
      <w:r>
        <w:t>10 CFR</w:t>
      </w:r>
      <w:r w:rsidRPr="008F486F">
        <w:t xml:space="preserve"> 20.2006 or </w:t>
      </w:r>
      <w:r>
        <w:t>A</w:t>
      </w:r>
      <w:r w:rsidRPr="008F486F">
        <w:t xml:space="preserve">ppendix G to 10 CFR Part 20 because the language is sufficiently general to apply to fusion machines without modification. The NRC would add </w:t>
      </w:r>
      <w:r>
        <w:t>10 CFR</w:t>
      </w:r>
      <w:r w:rsidRPr="008F486F">
        <w:t xml:space="preserve"> 20.2008 to the list of approved information collections in </w:t>
      </w:r>
      <w:r>
        <w:t>10 CFR</w:t>
      </w:r>
      <w:r w:rsidRPr="008F486F">
        <w:t> 20.1009.</w:t>
      </w:r>
    </w:p>
    <w:p w:rsidR="00756160" w:rsidRPr="008F486F" w:rsidP="00756160" w14:paraId="1095DF09" w14:textId="77777777">
      <w:pPr>
        <w:pStyle w:val="BodyText"/>
      </w:pPr>
    </w:p>
    <w:p w:rsidR="00756160" w:rsidRPr="008F486F" w:rsidP="00756160" w14:paraId="609A0BB3" w14:textId="77777777">
      <w:pPr>
        <w:pStyle w:val="BodyText"/>
      </w:pPr>
      <w:r w:rsidRPr="008F486F">
        <w:t xml:space="preserve">The NRC is proposing to amend </w:t>
      </w:r>
      <w:r w:rsidRPr="008959BA">
        <w:t>10 CFR 30.51(a) and (a)(1) and 10 CFR 30</w:t>
      </w:r>
      <w:r w:rsidRPr="008F486F">
        <w:t>.52(a) to include the production of byproduct material. Some fusion machine designs will produce tritium as fuel by the capture of neutrons in lithium in breeding beds adjacent to the vacuum vessel where the fusion reactions take place.</w:t>
      </w:r>
    </w:p>
    <w:p w:rsidR="00756160" w:rsidRPr="008F486F" w:rsidP="00756160" w14:paraId="10BFAB0C" w14:textId="77777777">
      <w:pPr>
        <w:pStyle w:val="BodyText"/>
      </w:pPr>
    </w:p>
    <w:p w:rsidR="00756160" w:rsidRPr="008F486F" w:rsidP="00756160" w14:paraId="241196BF" w14:textId="77777777">
      <w:pPr>
        <w:pStyle w:val="Heading3"/>
      </w:pPr>
      <w:bookmarkStart w:id="52" w:name="_Toc176883980"/>
      <w:bookmarkStart w:id="53" w:name="_Toc222796503"/>
      <w:r w:rsidRPr="008F486F">
        <w:t>3.2.2</w:t>
      </w:r>
      <w:r w:rsidRPr="008F486F">
        <w:tab/>
        <w:t>Regulatory Alternatives</w:t>
      </w:r>
      <w:bookmarkEnd w:id="52"/>
      <w:bookmarkEnd w:id="53"/>
    </w:p>
    <w:p w:rsidR="00756160" w:rsidRPr="008F486F" w:rsidP="00756160" w14:paraId="51D0D761" w14:textId="77777777">
      <w:pPr>
        <w:pStyle w:val="BodyText"/>
      </w:pPr>
    </w:p>
    <w:p w:rsidR="00756160" w:rsidRPr="007E5E6A" w:rsidP="00756160" w14:paraId="53E394B4" w14:textId="77777777">
      <w:pPr>
        <w:pStyle w:val="BodyText"/>
        <w:rPr>
          <w:i/>
          <w:iCs/>
        </w:rPr>
      </w:pPr>
      <w:r w:rsidRPr="007E5E6A">
        <w:rPr>
          <w:i/>
          <w:iCs/>
        </w:rPr>
        <w:t xml:space="preserve">Alternative 1: No Action </w:t>
      </w:r>
    </w:p>
    <w:p w:rsidR="00756160" w:rsidRPr="008F486F" w:rsidP="00756160" w14:paraId="5CCCAFE1" w14:textId="77777777">
      <w:pPr>
        <w:pStyle w:val="BodyText"/>
      </w:pPr>
    </w:p>
    <w:p w:rsidR="00756160" w:rsidRPr="008F486F" w:rsidP="00756160" w14:paraId="3384398F" w14:textId="69565309">
      <w:pPr>
        <w:pStyle w:val="BodyText"/>
      </w:pPr>
      <w:r w:rsidRPr="008F486F">
        <w:t xml:space="preserve">The application requirements would be less clear without the new and amended sections. Applicants and licensees would expend resources interpreting the existing regulations for application to their new technologies and would increase risk of misinterpreting the requirements. Similarly, Agreement States and the NRC would expend more effort in processing license applications. The </w:t>
      </w:r>
      <w:r w:rsidRPr="008F486F">
        <w:t>additional</w:t>
      </w:r>
      <w:r w:rsidRPr="008F486F">
        <w:t xml:space="preserve"> effort would be due to both lack of clarity in how the regulations apply and due to the added effort in processing applications </w:t>
      </w:r>
      <w:r w:rsidRPr="008F486F">
        <w:t>submitted</w:t>
      </w:r>
      <w:r w:rsidRPr="008F486F">
        <w:t xml:space="preserve"> under less clear requirements.</w:t>
      </w:r>
    </w:p>
    <w:p w:rsidR="00756160" w:rsidRPr="008F486F" w:rsidP="00756160" w14:paraId="72A0EF39" w14:textId="77777777">
      <w:pPr>
        <w:pStyle w:val="BodyText"/>
      </w:pPr>
    </w:p>
    <w:p w:rsidR="00756160" w:rsidRPr="007E5E6A" w:rsidP="00756160" w14:paraId="23065A77" w14:textId="77777777">
      <w:pPr>
        <w:pStyle w:val="BodyText"/>
        <w:keepNext/>
        <w:keepLines/>
        <w:rPr>
          <w:i/>
          <w:iCs/>
        </w:rPr>
      </w:pPr>
      <w:r w:rsidRPr="007E5E6A">
        <w:rPr>
          <w:i/>
          <w:iCs/>
        </w:rPr>
        <w:t>Alternative 2: Rulemaking and Associated Guidance</w:t>
      </w:r>
    </w:p>
    <w:p w:rsidR="00756160" w:rsidRPr="008F486F" w:rsidP="00756160" w14:paraId="45C94B57" w14:textId="77777777">
      <w:pPr>
        <w:pStyle w:val="BodyText"/>
        <w:keepNext/>
        <w:keepLines/>
      </w:pPr>
    </w:p>
    <w:p w:rsidR="00756160" w:rsidRPr="008F486F" w:rsidP="00756160" w14:paraId="565C26B7" w14:textId="77777777">
      <w:pPr>
        <w:pStyle w:val="BodyText"/>
      </w:pPr>
      <w:r w:rsidRPr="008F486F">
        <w:t>The new and amended regulations would clarify the application of existing regulations to the new technology, which would increase clarity and transparency, and reduce resources needed to interpret and apply existing regulations.</w:t>
      </w:r>
    </w:p>
    <w:p w:rsidR="00756160" w:rsidRPr="008F486F" w:rsidP="00756160" w14:paraId="284619B7" w14:textId="77777777">
      <w:pPr>
        <w:pStyle w:val="BodyText"/>
      </w:pPr>
    </w:p>
    <w:p w:rsidR="00756160" w:rsidRPr="007E5E6A" w:rsidP="00756160" w14:paraId="24555627" w14:textId="77777777">
      <w:pPr>
        <w:pStyle w:val="BodyText"/>
        <w:rPr>
          <w:i/>
          <w:iCs/>
        </w:rPr>
      </w:pPr>
      <w:r w:rsidRPr="007E5E6A">
        <w:rPr>
          <w:i/>
          <w:iCs/>
        </w:rPr>
        <w:t>Alternative 3: Issue New Guidance (to clarify existing regulations without rulemaking)</w:t>
      </w:r>
    </w:p>
    <w:p w:rsidR="00756160" w:rsidRPr="008F486F" w:rsidP="00756160" w14:paraId="78D6D362" w14:textId="77777777">
      <w:pPr>
        <w:pStyle w:val="BodyText"/>
      </w:pPr>
    </w:p>
    <w:p w:rsidR="00756160" w:rsidRPr="008F486F" w:rsidP="00756160" w14:paraId="64783FCD" w14:textId="77777777">
      <w:pPr>
        <w:pStyle w:val="BodyText"/>
      </w:pPr>
      <w:r w:rsidRPr="008F486F">
        <w:t>Guidance would clarify how the existing regulations apply to fusion machines, but with reduced benefits when compared to the preferred alternative. This is due to the lack of fusion</w:t>
      </w:r>
      <w:r w:rsidR="00B62C29">
        <w:t>-</w:t>
      </w:r>
      <w:r w:rsidRPr="008F486F">
        <w:t>machine</w:t>
      </w:r>
      <w:r w:rsidR="00B62C29">
        <w:t>-</w:t>
      </w:r>
      <w:r w:rsidRPr="008F486F">
        <w:t>specific language in the regulations. Guidance alone would provide less clarity and regulatory consistency across the NMP.</w:t>
      </w:r>
    </w:p>
    <w:p w:rsidR="00756160" w:rsidRPr="008F486F" w:rsidP="00756160" w14:paraId="74347635" w14:textId="77777777">
      <w:pPr>
        <w:pStyle w:val="BodyText"/>
      </w:pPr>
    </w:p>
    <w:p w:rsidR="00756160" w:rsidRPr="008F486F" w:rsidP="00756160" w14:paraId="1BA7CE2F" w14:textId="77777777">
      <w:pPr>
        <w:pStyle w:val="Heading2"/>
        <w:keepNext/>
        <w:keepLines/>
        <w:ind w:left="0" w:firstLine="0"/>
        <w:rPr>
          <w:u w:val="none"/>
        </w:rPr>
      </w:pPr>
      <w:bookmarkStart w:id="54" w:name="_Toc176883987"/>
      <w:bookmarkStart w:id="55" w:name="_Toc222796504"/>
      <w:r w:rsidRPr="008F486F">
        <w:rPr>
          <w:u w:val="none"/>
        </w:rPr>
        <w:t>3.3</w:t>
      </w:r>
      <w:r w:rsidRPr="008F486F">
        <w:rPr>
          <w:u w:val="none"/>
        </w:rPr>
        <w:tab/>
        <w:t xml:space="preserve">Environmental </w:t>
      </w:r>
      <w:bookmarkEnd w:id="54"/>
      <w:r w:rsidRPr="008F486F">
        <w:rPr>
          <w:u w:val="none"/>
        </w:rPr>
        <w:t>Report</w:t>
      </w:r>
      <w:bookmarkEnd w:id="55"/>
    </w:p>
    <w:p w:rsidR="00756160" w:rsidRPr="008F486F" w:rsidP="00756160" w14:paraId="0F9DAF87" w14:textId="77777777">
      <w:pPr>
        <w:pStyle w:val="BodyText"/>
        <w:keepNext/>
        <w:keepLines/>
      </w:pPr>
    </w:p>
    <w:p w:rsidR="00756160" w:rsidRPr="008F486F" w:rsidP="00756160" w14:paraId="2F638857" w14:textId="77777777">
      <w:pPr>
        <w:pStyle w:val="Heading3"/>
        <w:keepNext/>
        <w:keepLines/>
      </w:pPr>
      <w:bookmarkStart w:id="56" w:name="_Toc176883988"/>
      <w:bookmarkStart w:id="57" w:name="_Toc222796505"/>
      <w:r w:rsidRPr="008F486F">
        <w:t>3.3.1</w:t>
      </w:r>
      <w:r w:rsidRPr="008F486F">
        <w:tab/>
        <w:t>Regulatory Issue</w:t>
      </w:r>
      <w:bookmarkEnd w:id="56"/>
      <w:bookmarkEnd w:id="57"/>
    </w:p>
    <w:p w:rsidR="00756160" w:rsidRPr="008F486F" w:rsidP="00756160" w14:paraId="18723139" w14:textId="77777777">
      <w:pPr>
        <w:pStyle w:val="BodyText"/>
        <w:keepNext/>
      </w:pPr>
    </w:p>
    <w:p w:rsidR="00756160" w:rsidRPr="008F486F" w:rsidP="00756160" w14:paraId="6FD71359" w14:textId="2B96A790">
      <w:pPr>
        <w:pStyle w:val="BodyText"/>
        <w:keepNext/>
      </w:pPr>
      <w:r w:rsidRPr="008F486F">
        <w:t xml:space="preserve">Under the proposed 10 CFR 51.60(b)(1)(viii) the applicant would be required to include an environmental report unless a categorical exclusion applies. Requiring an applicant to develop an environmental report would enable the NRC to fully assess the environmental impacts of </w:t>
      </w:r>
      <w:r w:rsidRPr="008F486F">
        <w:t>these novel</w:t>
      </w:r>
      <w:r w:rsidRPr="008F486F">
        <w:t xml:space="preserve"> and evolving fusion designs.</w:t>
      </w:r>
    </w:p>
    <w:p w:rsidR="00756160" w:rsidRPr="008F486F" w:rsidP="00756160" w14:paraId="290E2DA7" w14:textId="77777777">
      <w:pPr>
        <w:pStyle w:val="BodyText"/>
      </w:pPr>
    </w:p>
    <w:p w:rsidR="00756160" w:rsidRPr="008F486F" w:rsidP="00756160" w14:paraId="1FFA1DF0" w14:textId="182649DB">
      <w:pPr>
        <w:pStyle w:val="BodyText"/>
      </w:pPr>
      <w:r w:rsidRPr="008F486F">
        <w:t>The NRC would review the environmental report with each application per the regulations in 10</w:t>
      </w:r>
      <w:r w:rsidR="00AA05F2">
        <w:t> </w:t>
      </w:r>
      <w:r w:rsidRPr="008F486F">
        <w:t xml:space="preserve">CFR Part 51. The NRC will prepare an environmental assessment (EA) under </w:t>
      </w:r>
      <w:r>
        <w:t xml:space="preserve">10 CFR </w:t>
      </w:r>
      <w:r w:rsidRPr="00BA165A">
        <w:t>51.</w:t>
      </w:r>
      <w:r w:rsidRPr="008F486F">
        <w:t xml:space="preserve">21 unless an environmental impact statement (EIS) is required pursuant to </w:t>
      </w:r>
      <w:r>
        <w:t xml:space="preserve">10 CFR </w:t>
      </w:r>
      <w:r w:rsidRPr="008F486F">
        <w:t xml:space="preserve">51.20(b) or </w:t>
      </w:r>
      <w:r w:rsidR="005E5F6A">
        <w:t>a</w:t>
      </w:r>
      <w:r w:rsidRPr="008F486F" w:rsidR="005E5F6A">
        <w:t xml:space="preserve"> </w:t>
      </w:r>
      <w:r w:rsidRPr="005E5F6A">
        <w:t>categorical exclusion applies</w:t>
      </w:r>
      <w:r w:rsidRPr="008F486F">
        <w:t xml:space="preserve">. Upon completion of the EA, the NRC will either prepare a finding of no significant impact (FONSI) as permitted by </w:t>
      </w:r>
      <w:r>
        <w:t xml:space="preserve">10 CFR </w:t>
      </w:r>
      <w:r w:rsidRPr="008F486F">
        <w:t xml:space="preserve">51.31(a), or an EIS under </w:t>
      </w:r>
      <w:r>
        <w:t>10</w:t>
      </w:r>
      <w:r w:rsidR="00AA05F2">
        <w:t> </w:t>
      </w:r>
      <w:r>
        <w:t>CFR</w:t>
      </w:r>
      <w:r w:rsidR="00AA05F2">
        <w:t> </w:t>
      </w:r>
      <w:r w:rsidRPr="008F486F">
        <w:t>51.20.</w:t>
      </w:r>
    </w:p>
    <w:p w:rsidR="00756160" w:rsidRPr="008F486F" w:rsidP="00756160" w14:paraId="595B317D" w14:textId="77777777">
      <w:pPr>
        <w:pStyle w:val="BodyText"/>
      </w:pPr>
    </w:p>
    <w:p w:rsidR="00756160" w:rsidRPr="008F486F" w:rsidP="00756160" w14:paraId="1A86762F" w14:textId="1960CD8A">
      <w:pPr>
        <w:pStyle w:val="BodyText"/>
      </w:pPr>
      <w:r w:rsidRPr="008F486F">
        <w:t xml:space="preserve">Although 10 CFR Part 51 is not </w:t>
      </w:r>
      <w:r w:rsidRPr="008F486F">
        <w:t>required</w:t>
      </w:r>
      <w:r w:rsidRPr="008F486F">
        <w:t xml:space="preserve"> as a matter of compatibility for Agreement States, several Agreement States have environmental requirements that are </w:t>
      </w:r>
      <w:r w:rsidRPr="008F486F">
        <w:t>similar to</w:t>
      </w:r>
      <w:r w:rsidRPr="008F486F">
        <w:t xml:space="preserve"> the requirements in the National Environmental Policy Act (NEPA). </w:t>
      </w:r>
      <w:r w:rsidRPr="00D14330" w:rsidR="00D14330">
        <w:t>A</w:t>
      </w:r>
      <w:r w:rsidR="00D14330">
        <w:t>n</w:t>
      </w:r>
      <w:r w:rsidRPr="00D14330" w:rsidR="00D14330">
        <w:t xml:space="preserve"> applicant for a license to </w:t>
      </w:r>
      <w:r w:rsidRPr="00D14330" w:rsidR="00D14330">
        <w:t>possess</w:t>
      </w:r>
      <w:r w:rsidRPr="00D14330" w:rsidR="00D14330">
        <w:t>, use, and produce byproduct material associated with a fusion machine</w:t>
      </w:r>
      <w:r w:rsidRPr="00241220">
        <w:t xml:space="preserve"> in an</w:t>
      </w:r>
      <w:r w:rsidRPr="008F486F">
        <w:t xml:space="preserve"> Agreement State would </w:t>
      </w:r>
      <w:r w:rsidRPr="008F486F">
        <w:t>be required</w:t>
      </w:r>
      <w:r w:rsidRPr="008F486F">
        <w:t xml:space="preserve"> to </w:t>
      </w:r>
      <w:r w:rsidRPr="008F486F">
        <w:t>comply with</w:t>
      </w:r>
      <w:r w:rsidRPr="008F486F">
        <w:t xml:space="preserve"> applicable </w:t>
      </w:r>
      <w:r w:rsidR="00D12307">
        <w:t>S</w:t>
      </w:r>
      <w:r w:rsidRPr="008F486F">
        <w:t>tate environmental requirements.</w:t>
      </w:r>
    </w:p>
    <w:p w:rsidR="00756160" w:rsidRPr="008F486F" w:rsidP="00756160" w14:paraId="3370A086" w14:textId="77777777">
      <w:pPr>
        <w:pStyle w:val="BodyText"/>
      </w:pPr>
    </w:p>
    <w:p w:rsidR="00756160" w:rsidRPr="008F486F" w:rsidP="00756160" w14:paraId="02CAF80B" w14:textId="77777777">
      <w:pPr>
        <w:pStyle w:val="BodyText"/>
      </w:pPr>
      <w:r w:rsidRPr="008F486F">
        <w:t xml:space="preserve">An environmental report would not be required in situations where a categorical exclusion is appropriate as specified by </w:t>
      </w:r>
      <w:r>
        <w:t>10 CFR</w:t>
      </w:r>
      <w:r w:rsidRPr="008F486F">
        <w:t xml:space="preserve"> 51.22. Namely, the action belongs to a category of actions which the Commission, by rule or regulation, has declared to be a categorical exclusion from having to prepare an environmental report, after first finding that the category of actions does not individually or cumulatively have a significant effect on the human environment.</w:t>
      </w:r>
    </w:p>
    <w:p w:rsidR="00756160" w:rsidRPr="008F486F" w:rsidP="00756160" w14:paraId="3F9A7CC9" w14:textId="77777777">
      <w:pPr>
        <w:pStyle w:val="BodyText"/>
      </w:pPr>
    </w:p>
    <w:p w:rsidR="00756160" w:rsidRPr="008F486F" w:rsidP="00756160" w14:paraId="24B20D1B" w14:textId="0CF71712">
      <w:pPr>
        <w:pStyle w:val="BodyText"/>
      </w:pPr>
      <w:r w:rsidRPr="00427D09">
        <w:t>A</w:t>
      </w:r>
      <w:r w:rsidRPr="00427D09" w:rsidR="00A978C7">
        <w:t>n</w:t>
      </w:r>
      <w:r w:rsidRPr="008F486F">
        <w:t xml:space="preserve"> </w:t>
      </w:r>
      <w:r w:rsidRPr="00427D09">
        <w:t>applicant</w:t>
      </w:r>
      <w:r w:rsidRPr="008F486F">
        <w:t xml:space="preserve"> </w:t>
      </w:r>
      <w:r w:rsidRPr="00427D09" w:rsidR="00AF0A90">
        <w:t xml:space="preserve">for a license </w:t>
      </w:r>
      <w:r w:rsidRPr="00427D09" w:rsidR="00A978C7">
        <w:t xml:space="preserve">to possess, use, and produce byproduct material associated with a fusion machine </w:t>
      </w:r>
      <w:r w:rsidRPr="008F486F">
        <w:t>may apply the guidance in NUREG-1748, “Environmental Review Guidance for Licensing Actions Associated with NMSS Programs,” in preparing their environmental-related submittals to the NRC whether to support an EIS, EA, or a categorical exclusion. Under</w:t>
      </w:r>
      <w:r>
        <w:t>10</w:t>
      </w:r>
      <w:r w:rsidR="0073168C">
        <w:t> </w:t>
      </w:r>
      <w:r>
        <w:t>CFR</w:t>
      </w:r>
      <w:r w:rsidR="0073168C">
        <w:t> </w:t>
      </w:r>
      <w:r w:rsidRPr="008F486F">
        <w:t xml:space="preserve">51.40, a </w:t>
      </w:r>
      <w:r w:rsidRPr="00427D09">
        <w:t>prospective applicant</w:t>
      </w:r>
      <w:r w:rsidRPr="008F486F">
        <w:t xml:space="preserve"> </w:t>
      </w:r>
      <w:r w:rsidR="00427D09">
        <w:t>to possess, use, and produce byproduct material associated with a fusion machine</w:t>
      </w:r>
      <w:r w:rsidRPr="008F486F">
        <w:t xml:space="preserve"> is encouraged to confer with the NRC staff to discuss the guidance in NUREG-1748 as early as possible in its planning process before submitting environmental information or filing an environmental report.</w:t>
      </w:r>
    </w:p>
    <w:p w:rsidR="00756160" w:rsidRPr="008F486F" w:rsidP="00756160" w14:paraId="5DAD865F" w14:textId="77777777">
      <w:pPr>
        <w:pStyle w:val="BodyText"/>
      </w:pPr>
    </w:p>
    <w:p w:rsidR="00756160" w:rsidRPr="008F486F" w:rsidP="00756160" w14:paraId="6508C1E0" w14:textId="77777777">
      <w:pPr>
        <w:pStyle w:val="Heading3"/>
        <w:keepNext/>
        <w:keepLines/>
      </w:pPr>
      <w:bookmarkStart w:id="58" w:name="_Toc176883989"/>
      <w:bookmarkStart w:id="59" w:name="_Toc222796506"/>
      <w:r w:rsidRPr="008F486F">
        <w:t>3.3.2</w:t>
      </w:r>
      <w:r w:rsidRPr="008F486F">
        <w:tab/>
        <w:t>Regulatory Alternatives</w:t>
      </w:r>
      <w:bookmarkEnd w:id="58"/>
      <w:bookmarkEnd w:id="59"/>
    </w:p>
    <w:p w:rsidR="00756160" w:rsidRPr="008F486F" w:rsidP="00756160" w14:paraId="1C02A6A3" w14:textId="77777777">
      <w:pPr>
        <w:keepNext/>
        <w:keepLines/>
      </w:pPr>
    </w:p>
    <w:p w:rsidR="00756160" w:rsidRPr="007E5E6A" w:rsidP="00756160" w14:paraId="2CBF8326" w14:textId="77777777">
      <w:pPr>
        <w:keepNext/>
        <w:keepLines/>
        <w:rPr>
          <w:i/>
          <w:iCs/>
        </w:rPr>
      </w:pPr>
      <w:r w:rsidRPr="007E5E6A">
        <w:rPr>
          <w:i/>
          <w:iCs/>
        </w:rPr>
        <w:t>Alternative 1: No Action</w:t>
      </w:r>
    </w:p>
    <w:p w:rsidR="00756160" w:rsidRPr="008F486F" w:rsidP="00756160" w14:paraId="4A170AAB" w14:textId="77777777">
      <w:pPr>
        <w:pStyle w:val="BodyText"/>
        <w:keepNext/>
        <w:keepLines/>
      </w:pPr>
    </w:p>
    <w:p w:rsidR="00756160" w:rsidRPr="008F486F" w:rsidP="00756160" w14:paraId="71010EFF" w14:textId="77777777">
      <w:pPr>
        <w:pStyle w:val="BodyText"/>
      </w:pPr>
      <w:r w:rsidRPr="008F486F">
        <w:t>This</w:t>
      </w:r>
      <w:r w:rsidRPr="008F486F">
        <w:rPr>
          <w:spacing w:val="-2"/>
        </w:rPr>
        <w:t xml:space="preserve"> </w:t>
      </w:r>
      <w:r w:rsidRPr="008F486F">
        <w:t>alternative</w:t>
      </w:r>
      <w:r w:rsidRPr="008F486F">
        <w:rPr>
          <w:spacing w:val="-2"/>
        </w:rPr>
        <w:t xml:space="preserve"> </w:t>
      </w:r>
      <w:r w:rsidRPr="008F486F">
        <w:t>would</w:t>
      </w:r>
      <w:r w:rsidRPr="008F486F">
        <w:rPr>
          <w:spacing w:val="-2"/>
        </w:rPr>
        <w:t xml:space="preserve"> </w:t>
      </w:r>
      <w:r w:rsidRPr="008F486F">
        <w:t>maintain</w:t>
      </w:r>
      <w:r w:rsidRPr="008F486F">
        <w:rPr>
          <w:spacing w:val="-1"/>
        </w:rPr>
        <w:t xml:space="preserve"> </w:t>
      </w:r>
      <w:r w:rsidRPr="008F486F">
        <w:t>the</w:t>
      </w:r>
      <w:r w:rsidRPr="008F486F">
        <w:rPr>
          <w:spacing w:val="-2"/>
        </w:rPr>
        <w:t xml:space="preserve"> </w:t>
      </w:r>
      <w:r w:rsidRPr="008F486F">
        <w:t>current</w:t>
      </w:r>
      <w:r w:rsidRPr="008F486F">
        <w:rPr>
          <w:spacing w:val="-2"/>
        </w:rPr>
        <w:t xml:space="preserve"> </w:t>
      </w:r>
      <w:r w:rsidRPr="008F486F">
        <w:t>regulatory</w:t>
      </w:r>
      <w:r w:rsidRPr="008F486F">
        <w:rPr>
          <w:spacing w:val="-2"/>
        </w:rPr>
        <w:t xml:space="preserve"> </w:t>
      </w:r>
      <w:r w:rsidRPr="008F486F">
        <w:t>framework with no rule language or guidance specifying how environmental reports are to be completed for fusion machines.</w:t>
      </w:r>
    </w:p>
    <w:p w:rsidR="00756160" w:rsidRPr="008F486F" w:rsidP="00756160" w14:paraId="50A93469" w14:textId="77777777">
      <w:pPr>
        <w:pStyle w:val="BodyText"/>
      </w:pPr>
    </w:p>
    <w:p w:rsidR="00756160" w:rsidRPr="007E5E6A" w:rsidP="00756160" w14:paraId="064C9004" w14:textId="77777777">
      <w:pPr>
        <w:pStyle w:val="BodyText"/>
        <w:keepNext/>
        <w:rPr>
          <w:i/>
          <w:iCs/>
        </w:rPr>
      </w:pPr>
      <w:r w:rsidRPr="007E5E6A">
        <w:rPr>
          <w:i/>
          <w:iCs/>
        </w:rPr>
        <w:t>Alternative 2: Rulemaking and Associated Guidance</w:t>
      </w:r>
    </w:p>
    <w:p w:rsidR="00756160" w:rsidRPr="008F486F" w:rsidP="00756160" w14:paraId="423DA432" w14:textId="77777777">
      <w:pPr>
        <w:pStyle w:val="BodyText"/>
        <w:keepNext/>
      </w:pPr>
    </w:p>
    <w:p w:rsidR="00756160" w:rsidRPr="008F486F" w:rsidP="00756160" w14:paraId="51D0FB96" w14:textId="77777777">
      <w:pPr>
        <w:pStyle w:val="BodyText"/>
      </w:pPr>
      <w:bookmarkStart w:id="60" w:name="_Hlk175240131"/>
      <w:r w:rsidRPr="008F486F">
        <w:t>This alternative would update the regulatory language and issue guidance to clarify how environmental reports must be completed for fusion machines.</w:t>
      </w:r>
    </w:p>
    <w:bookmarkEnd w:id="60"/>
    <w:p w:rsidR="00756160" w:rsidRPr="008F486F" w:rsidP="00756160" w14:paraId="59509922" w14:textId="77777777">
      <w:pPr>
        <w:pStyle w:val="BodyText"/>
      </w:pPr>
    </w:p>
    <w:p w:rsidR="00756160" w:rsidRPr="007E5E6A" w:rsidP="00756160" w14:paraId="040F9FEC" w14:textId="77777777">
      <w:pPr>
        <w:pStyle w:val="BodyText"/>
        <w:keepNext/>
        <w:rPr>
          <w:i/>
          <w:iCs/>
        </w:rPr>
      </w:pPr>
      <w:r w:rsidRPr="007E5E6A">
        <w:rPr>
          <w:i/>
          <w:iCs/>
        </w:rPr>
        <w:t>Alternative 3: Issue New Guidance (to clarify existing regulations without rulemaking)</w:t>
      </w:r>
    </w:p>
    <w:p w:rsidR="00756160" w:rsidRPr="008F486F" w:rsidP="00756160" w14:paraId="6676C9CB" w14:textId="77777777">
      <w:pPr>
        <w:pStyle w:val="BodyText"/>
        <w:keepNext/>
      </w:pPr>
    </w:p>
    <w:p w:rsidR="00756160" w:rsidRPr="008F486F" w:rsidP="00756160" w14:paraId="76285F43" w14:textId="77777777">
      <w:pPr>
        <w:pStyle w:val="BodyText"/>
        <w:keepNext/>
      </w:pPr>
      <w:r w:rsidRPr="008F486F">
        <w:t>Guidance would clarify how the existing regulations apply to the preparation of environmental reports for fusion machines. Guidance alone would provide less clarity and regulatory consistency across the NMP.</w:t>
      </w:r>
    </w:p>
    <w:p w:rsidR="00756160" w:rsidRPr="008F486F" w:rsidP="00756160" w14:paraId="05DB8A79" w14:textId="77777777">
      <w:pPr>
        <w:pStyle w:val="BodyText"/>
      </w:pPr>
    </w:p>
    <w:p w:rsidR="00756160" w:rsidRPr="008F486F" w:rsidP="00756160" w14:paraId="525C049F" w14:textId="77777777">
      <w:pPr>
        <w:pStyle w:val="Heading2"/>
        <w:keepNext/>
        <w:ind w:left="0" w:firstLine="0"/>
        <w:rPr>
          <w:u w:val="none"/>
        </w:rPr>
      </w:pPr>
      <w:bookmarkStart w:id="61" w:name="_Toc176883996"/>
      <w:bookmarkStart w:id="62" w:name="_Toc222796507"/>
      <w:r w:rsidRPr="008F486F">
        <w:rPr>
          <w:u w:val="none"/>
        </w:rPr>
        <w:t>3.4</w:t>
      </w:r>
      <w:r w:rsidRPr="008F486F">
        <w:rPr>
          <w:u w:val="none"/>
        </w:rPr>
        <w:tab/>
        <w:t>Waste Management</w:t>
      </w:r>
      <w:bookmarkEnd w:id="61"/>
      <w:bookmarkEnd w:id="62"/>
    </w:p>
    <w:p w:rsidR="00756160" w:rsidRPr="008F486F" w:rsidP="00756160" w14:paraId="2F2A183C" w14:textId="77777777">
      <w:pPr>
        <w:keepNext/>
      </w:pPr>
    </w:p>
    <w:p w:rsidR="00756160" w:rsidRPr="008F486F" w:rsidP="00756160" w14:paraId="7CF092C8" w14:textId="77777777">
      <w:pPr>
        <w:pStyle w:val="Heading3"/>
        <w:keepNext/>
      </w:pPr>
      <w:bookmarkStart w:id="63" w:name="_Toc176883997"/>
      <w:bookmarkStart w:id="64" w:name="_Toc222796508"/>
      <w:bookmarkStart w:id="65" w:name="_Ref83988072"/>
      <w:r w:rsidRPr="008F486F">
        <w:t>3.4.1</w:t>
      </w:r>
      <w:r w:rsidRPr="008F486F">
        <w:tab/>
        <w:t>Regulatory Issue</w:t>
      </w:r>
      <w:bookmarkEnd w:id="63"/>
      <w:bookmarkEnd w:id="64"/>
    </w:p>
    <w:p w:rsidR="00756160" w:rsidRPr="008F486F" w:rsidP="00756160" w14:paraId="343BEC75" w14:textId="77777777">
      <w:pPr>
        <w:keepNext/>
      </w:pPr>
    </w:p>
    <w:bookmarkEnd w:id="65"/>
    <w:p w:rsidR="00756160" w:rsidRPr="008F486F" w:rsidP="00756160" w14:paraId="79EB0A42" w14:textId="77777777">
      <w:r w:rsidRPr="008F486F">
        <w:t xml:space="preserve">The NRC’s regulations governing waste management requirements under 10 CFR Part 20 are proposed to be amended to apply </w:t>
      </w:r>
      <w:r w:rsidR="00241220">
        <w:t xml:space="preserve">specifically </w:t>
      </w:r>
      <w:r w:rsidRPr="008F486F">
        <w:t>to fusion machine</w:t>
      </w:r>
      <w:r w:rsidR="00241220">
        <w:t xml:space="preserve"> facilitie</w:t>
      </w:r>
      <w:r w:rsidRPr="008F486F">
        <w:t>s and their expected associated radioactive waste. The scope of this discussion includes aspects of 10 CFR Part 20 and 10 CFR Part 61 related to the handling and disposal of radioactive waste generated by fusion machines. The NRC determined that fusion machine waste is adequately addressed by the existing regulations related to land disposal of radioactive waste (i.e., 10 CFR Part 61) with a proposed change to 10 CFR Part 20.</w:t>
      </w:r>
    </w:p>
    <w:p w:rsidR="00756160" w:rsidRPr="008F486F" w:rsidP="00756160" w14:paraId="48F58A4D" w14:textId="77777777"/>
    <w:p w:rsidR="00756160" w:rsidRPr="008F486F" w:rsidP="00756160" w14:paraId="0EC77D6C" w14:textId="55544B52">
      <w:r w:rsidRPr="008F486F">
        <w:t>The 2005 Energy Policy Act (</w:t>
      </w:r>
      <w:r w:rsidRPr="008F486F">
        <w:t>EPAct</w:t>
      </w:r>
      <w:r w:rsidRPr="008F486F">
        <w:t xml:space="preserve">) expanded NRC jurisdiction to include certain materials made radioactive by a particle accelerator. The NRC’s 2007 final rule made conforming changes to </w:t>
      </w:r>
      <w:r>
        <w:t xml:space="preserve">10 CFR </w:t>
      </w:r>
      <w:r w:rsidRPr="008F486F">
        <w:t xml:space="preserve">20.2008(a), providing disposal requirements for byproduct material as defined in sections 11e.(3) and (4) of the AEA. Further, the definition of waste in </w:t>
      </w:r>
      <w:r>
        <w:t>10 CFR</w:t>
      </w:r>
      <w:r w:rsidRPr="008F486F">
        <w:t xml:space="preserve"> 61.2, which excludes material produced by an accelerator, does not prevent disposal of accelerator-produced waste with </w:t>
      </w:r>
      <w:r w:rsidRPr="008F486F">
        <w:t>a LLW</w:t>
      </w:r>
      <w:r w:rsidRPr="008F486F">
        <w:t xml:space="preserve"> disposal facility. The ADVANCE Act of 2024 amended section</w:t>
      </w:r>
      <w:r w:rsidR="00D86E3D">
        <w:t> </w:t>
      </w:r>
      <w:r w:rsidRPr="008F486F">
        <w:t xml:space="preserve">11e.(3) of the AEA to ensure all radioactive material generated by fusion machines is </w:t>
      </w:r>
      <w:r w:rsidR="0064530F">
        <w:t xml:space="preserve">defined as </w:t>
      </w:r>
      <w:r w:rsidRPr="008F486F">
        <w:t>byproduct material. Therefore, the NRC determined that the existing NRC regulations under 10</w:t>
      </w:r>
      <w:r w:rsidR="00D86E3D">
        <w:t> </w:t>
      </w:r>
      <w:r w:rsidRPr="008F486F">
        <w:t>CFR Part 61 for land disposal of radioactive waste could apply to waste generated by fusion machines.</w:t>
      </w:r>
    </w:p>
    <w:p w:rsidR="00756160" w:rsidRPr="008F486F" w:rsidP="00756160" w14:paraId="16235CB9" w14:textId="77777777"/>
    <w:p w:rsidR="00756160" w:rsidRPr="008F486F" w:rsidP="00756160" w14:paraId="65A8D96E" w14:textId="77777777">
      <w:r w:rsidRPr="008F486F">
        <w:t xml:space="preserve">Similarly, </w:t>
      </w:r>
      <w:r>
        <w:t>10 CFR</w:t>
      </w:r>
      <w:r w:rsidRPr="008F486F">
        <w:t xml:space="preserve"> 20.2008(b) states that accelerator waste can be disposed of at a Federal or State solid or hazardous waste disposal facility authorized to dispose of such material. In general, the NRC evaluates whether NRC-licensed material can be sent to a solid or hazardous waste disposal facility for disposal on a case-by-case basis under </w:t>
      </w:r>
      <w:r>
        <w:t>10 CFR</w:t>
      </w:r>
      <w:r w:rsidRPr="008F486F">
        <w:t xml:space="preserve"> 20.2002, “Method for obtaining approval of proposed disposal procedures.” For either disposal with LLW or disposal under </w:t>
      </w:r>
      <w:r>
        <w:t xml:space="preserve">10 CFR </w:t>
      </w:r>
      <w:r w:rsidRPr="008F486F">
        <w:t>20.2002, existing NRC regulations allow NRC-licensed</w:t>
      </w:r>
      <w:r>
        <w:t>,</w:t>
      </w:r>
      <w:r w:rsidRPr="008F486F">
        <w:t xml:space="preserve"> accelerator-produced material to be sent for disposal with other types of waste if additional applicable requirements are met. Those requirements may include approvals from State and other Federal agencies.</w:t>
      </w:r>
    </w:p>
    <w:p w:rsidR="00756160" w:rsidRPr="008F486F" w:rsidP="00756160" w14:paraId="19AA41F5" w14:textId="77777777"/>
    <w:p w:rsidR="00756160" w:rsidRPr="008F486F" w:rsidP="00CF26BC" w14:paraId="33B1042F" w14:textId="0BF41616">
      <w:r w:rsidRPr="008F486F">
        <w:t xml:space="preserve">Several stakeholders have expressed concern that the </w:t>
      </w:r>
      <w:r>
        <w:t>10 CFR</w:t>
      </w:r>
      <w:r w:rsidRPr="008F486F">
        <w:t xml:space="preserve"> 61.55 waste classification tables may fail to address risk significant radionuclides in fusion machine waste because those tables were based on expected waste streams in the early 1980s. The Advisory Committee on Reactor Safety (ACRS) proposed, in </w:t>
      </w:r>
      <w:r w:rsidR="0064530F">
        <w:t>its</w:t>
      </w:r>
      <w:r w:rsidRPr="008F486F" w:rsidR="0064530F">
        <w:t xml:space="preserve"> </w:t>
      </w:r>
      <w:r w:rsidRPr="008F486F">
        <w:t xml:space="preserve">letter dated October 21, 2022 (ADAMS Accession No. ML22290A177), that the NRC consider revising the </w:t>
      </w:r>
      <w:r>
        <w:t>10 CFR</w:t>
      </w:r>
      <w:r w:rsidRPr="008F486F">
        <w:t xml:space="preserve"> 61.55 waste classification tables to address radionuclides generated by fusion machines. The NRC understands the concern that fusion machines could create significant inventories of activation products</w:t>
      </w:r>
      <w:r>
        <w:rPr>
          <w:rStyle w:val="FootnoteReference"/>
        </w:rPr>
        <w:footnoteReference w:id="5"/>
      </w:r>
      <w:r w:rsidRPr="008F486F">
        <w:t xml:space="preserve"> that are not included in the waste classification tables (e.g., see SECY-23-0001). However, this rule </w:t>
      </w:r>
      <w:r w:rsidRPr="008F486F">
        <w:t xml:space="preserve">does not propose to revise those tables because sufficient information is not yet available to </w:t>
      </w:r>
      <w:r w:rsidRPr="008F486F">
        <w:t>determine</w:t>
      </w:r>
      <w:r w:rsidRPr="008F486F">
        <w:t xml:space="preserve"> which </w:t>
      </w:r>
      <w:r w:rsidRPr="008F486F">
        <w:t>radionuclides</w:t>
      </w:r>
      <w:r w:rsidRPr="008F486F">
        <w:t xml:space="preserve"> will drive the risk significance of fusion machine generated waste. As described by the ACRS, the activation products formed by fusion machines will depend on the structural materials used in the systems and their impurities. Because many of those materials have not yet been selected or developed, the identity, quantities, and concentrations of the potential activation products in those materials are not yet known. In a staff requirements memorandum (SRM) responding to the NRC staff’s plan to revise 10</w:t>
      </w:r>
      <w:r>
        <w:t> </w:t>
      </w:r>
      <w:r w:rsidRPr="008F486F">
        <w:t>CFR</w:t>
      </w:r>
      <w:r w:rsidR="00D86E3D">
        <w:t> </w:t>
      </w:r>
      <w:r w:rsidRPr="008F486F">
        <w:t xml:space="preserve">Part 61 (SRM-SECY-08-0147), the Commission directed the NRC staff to consider changing the waste classification tables after the completion of the integrated low-level radioactive waste disposal rulemaking for 10 CFR Part 61. The NRC staff </w:t>
      </w:r>
      <w:r w:rsidRPr="008F486F">
        <w:t>plans</w:t>
      </w:r>
      <w:r w:rsidRPr="008F486F">
        <w:t xml:space="preserve"> to consider the radionuclides in fusion machine waste during that process. In addition, the NRC is proposing a change to 10</w:t>
      </w:r>
      <w:r>
        <w:t> </w:t>
      </w:r>
      <w:r w:rsidRPr="008F486F">
        <w:t xml:space="preserve">CFR Part 20 that would address issues related to the </w:t>
      </w:r>
      <w:r>
        <w:t>10 CFR</w:t>
      </w:r>
      <w:r w:rsidRPr="008F486F">
        <w:t xml:space="preserve"> 61.55 waste classification tables with a requirement for site-specific analyses in some circumstances, as described below.</w:t>
      </w:r>
    </w:p>
    <w:p w:rsidR="00756160" w:rsidRPr="008F486F" w:rsidP="00756160" w14:paraId="28FA510C" w14:textId="77777777"/>
    <w:p w:rsidR="00756160" w:rsidRPr="008F486F" w:rsidP="00756160" w14:paraId="26040843" w14:textId="77777777">
      <w:r w:rsidRPr="008F486F">
        <w:t xml:space="preserve">A key safety concern associated with land disposal of waste from fusion machines is the protection of individuals who might inadvertently intrude into LLW. This protection is typically demonstrated by compliance with technical requirements that are based in part on LLW classification. Therefore, to ensure intruder protection </w:t>
      </w:r>
      <w:r w:rsidRPr="008F486F">
        <w:t>at this time</w:t>
      </w:r>
      <w:r w:rsidRPr="008F486F">
        <w:t xml:space="preserve">, the NRC proposes to require </w:t>
      </w:r>
      <w:r w:rsidRPr="0064530F">
        <w:t>that licensees</w:t>
      </w:r>
      <w:r w:rsidRPr="008F486F">
        <w:t xml:space="preserve"> with novel wastes or radionuclide concentrations </w:t>
      </w:r>
      <w:r w:rsidR="0064530F">
        <w:t xml:space="preserve">from fusion machines </w:t>
      </w:r>
      <w:r w:rsidRPr="008F486F">
        <w:t xml:space="preserve">use disposal sites that have completed a site-specific intrusion assessment for such waste material. </w:t>
      </w:r>
      <w:r w:rsidRPr="008F486F">
        <w:rPr>
          <w:iCs/>
        </w:rPr>
        <w:t xml:space="preserve">The NRC proposes to allow disposal of novel waste types without a site-specific intrusion assessment for waste with physical, chemical, and radiological characteristics that can be shown to be consistent with an appropriate waste classification description in </w:t>
      </w:r>
      <w:r>
        <w:rPr>
          <w:iCs/>
        </w:rPr>
        <w:t>10</w:t>
      </w:r>
      <w:r>
        <w:t xml:space="preserve"> CFR</w:t>
      </w:r>
      <w:r>
        <w:rPr>
          <w:iCs/>
        </w:rPr>
        <w:t> 61.7, “Concepts.”</w:t>
      </w:r>
    </w:p>
    <w:p w:rsidR="00756160" w:rsidRPr="008F486F" w:rsidP="00756160" w14:paraId="03BDB016" w14:textId="77777777"/>
    <w:p w:rsidR="00756160" w:rsidRPr="008F486F" w:rsidP="00756160" w14:paraId="1F18E2E2" w14:textId="50BFD55C">
      <w:r w:rsidRPr="008F486F">
        <w:t xml:space="preserve">To establish that requirement, the NRC proposes as part of this rulemaking to amend </w:t>
      </w:r>
      <w:r>
        <w:t>10</w:t>
      </w:r>
      <w:r w:rsidR="00D86E3D">
        <w:t> </w:t>
      </w:r>
      <w:r>
        <w:t>CFR</w:t>
      </w:r>
      <w:r w:rsidR="00D86E3D">
        <w:t> </w:t>
      </w:r>
      <w:r w:rsidRPr="008F486F">
        <w:t xml:space="preserve">20.2008 to add new language to paragraph (a) that is specific to the disposal requirements for waste from a fusion machine. The new text would require that fusion machine waste that would be disposed of as low-level waste under 10 CFR Part 61 either be accompanied by an analysis showing the waste is manifested and labeled for disposal consistent with the description of the applicable waste class in </w:t>
      </w:r>
      <w:r>
        <w:t xml:space="preserve">10 CFR </w:t>
      </w:r>
      <w:r w:rsidRPr="008F486F">
        <w:t xml:space="preserve">61.7 or be disposed of at a disposal site that has completed a site-specific intrusion assessment. Draft NUREG-1556, Volume 22, includes guidance on waste types and </w:t>
      </w:r>
      <w:r w:rsidRPr="008F486F">
        <w:t>radionuclide</w:t>
      </w:r>
      <w:r w:rsidRPr="008F486F">
        <w:rPr>
          <w:iCs/>
        </w:rPr>
        <w:t xml:space="preserve"> </w:t>
      </w:r>
      <w:r w:rsidRPr="008F486F">
        <w:t xml:space="preserve">concentrations the NRC staff has previously analyzed under the waste classification descriptions in </w:t>
      </w:r>
      <w:r>
        <w:t>10 CFR</w:t>
      </w:r>
      <w:r w:rsidRPr="008F486F">
        <w:t> 61.7.</w:t>
      </w:r>
      <w:r w:rsidRPr="008F486F">
        <w:rPr>
          <w:iCs/>
        </w:rPr>
        <w:t xml:space="preserve"> If a site-specific intrusion assessment will be relied on, </w:t>
      </w:r>
      <w:r w:rsidRPr="008F486F">
        <w:t>the assessment should demonstrate the projected dose to an individual who inadvertently intrudes into the waste at the facility will be less than 0.5 rem (5 mSv) per year. That dose limit is consistent with the dose limit used to develop the LLW classification tables in 10 CFR Part 61, which the NRC selected based on safety, costs, disposal efficiency, and the potential for increased disposal of waste containing long-lived radionuclides that could increase the hazard for long time periods (see NUREG-0945).</w:t>
      </w:r>
    </w:p>
    <w:p w:rsidR="00756160" w:rsidRPr="008F486F" w:rsidP="00756160" w14:paraId="18C4B5FF" w14:textId="77777777"/>
    <w:p w:rsidR="00756160" w:rsidRPr="008F486F" w:rsidP="00756160" w14:paraId="4D86AC76" w14:textId="77777777">
      <w:pPr>
        <w:pStyle w:val="Heading3"/>
        <w:keepNext/>
      </w:pPr>
      <w:bookmarkStart w:id="66" w:name="_Toc176883998"/>
      <w:bookmarkStart w:id="67" w:name="_Toc222796509"/>
      <w:r w:rsidRPr="008F486F">
        <w:t>3.4.2</w:t>
      </w:r>
      <w:r w:rsidRPr="008F486F">
        <w:tab/>
        <w:t>Regulatory Alternatives</w:t>
      </w:r>
      <w:bookmarkEnd w:id="66"/>
      <w:bookmarkEnd w:id="67"/>
    </w:p>
    <w:p w:rsidR="00756160" w:rsidRPr="008F486F" w:rsidP="00756160" w14:paraId="429306E1" w14:textId="77777777">
      <w:pPr>
        <w:keepNext/>
      </w:pPr>
    </w:p>
    <w:p w:rsidR="00756160" w:rsidRPr="007E5E6A" w:rsidP="00756160" w14:paraId="1D7BC1AD" w14:textId="77777777">
      <w:pPr>
        <w:keepNext/>
        <w:rPr>
          <w:i/>
          <w:iCs/>
        </w:rPr>
      </w:pPr>
      <w:r w:rsidRPr="007E5E6A">
        <w:rPr>
          <w:i/>
          <w:iCs/>
        </w:rPr>
        <w:t>Alternative 1: No Action</w:t>
      </w:r>
    </w:p>
    <w:p w:rsidR="00756160" w:rsidRPr="008F486F" w:rsidP="00756160" w14:paraId="2FC1DED1" w14:textId="77777777">
      <w:pPr>
        <w:pStyle w:val="BodyText"/>
        <w:keepNext/>
      </w:pPr>
    </w:p>
    <w:p w:rsidR="00756160" w:rsidRPr="008F486F" w:rsidP="00756160" w14:paraId="3B8DD104" w14:textId="77777777">
      <w:pPr>
        <w:pStyle w:val="BodyText"/>
        <w:keepNext/>
      </w:pPr>
      <w:r w:rsidRPr="008F486F">
        <w:t>This</w:t>
      </w:r>
      <w:r w:rsidRPr="008F486F">
        <w:rPr>
          <w:spacing w:val="-2"/>
        </w:rPr>
        <w:t xml:space="preserve"> </w:t>
      </w:r>
      <w:r w:rsidRPr="008F486F">
        <w:t>alternative</w:t>
      </w:r>
      <w:r w:rsidRPr="008F486F">
        <w:rPr>
          <w:spacing w:val="-2"/>
        </w:rPr>
        <w:t xml:space="preserve"> </w:t>
      </w:r>
      <w:r w:rsidRPr="008F486F">
        <w:t>would</w:t>
      </w:r>
      <w:r w:rsidRPr="008F486F">
        <w:rPr>
          <w:spacing w:val="-2"/>
        </w:rPr>
        <w:t xml:space="preserve"> </w:t>
      </w:r>
      <w:r w:rsidRPr="008F486F">
        <w:t>maintain</w:t>
      </w:r>
      <w:r w:rsidRPr="008F486F">
        <w:rPr>
          <w:spacing w:val="-1"/>
        </w:rPr>
        <w:t xml:space="preserve"> </w:t>
      </w:r>
      <w:r w:rsidRPr="008F486F">
        <w:t>the</w:t>
      </w:r>
      <w:r w:rsidRPr="008F486F">
        <w:rPr>
          <w:spacing w:val="-2"/>
        </w:rPr>
        <w:t xml:space="preserve"> </w:t>
      </w:r>
      <w:r w:rsidRPr="008F486F">
        <w:t>current</w:t>
      </w:r>
      <w:r w:rsidRPr="008F486F">
        <w:rPr>
          <w:spacing w:val="-2"/>
        </w:rPr>
        <w:t xml:space="preserve"> </w:t>
      </w:r>
      <w:r w:rsidRPr="008F486F">
        <w:t>regulatory</w:t>
      </w:r>
      <w:r w:rsidRPr="008F486F">
        <w:rPr>
          <w:spacing w:val="-2"/>
        </w:rPr>
        <w:t xml:space="preserve"> </w:t>
      </w:r>
      <w:r w:rsidRPr="008F486F">
        <w:t>framework. Due to the potential novelty of the waste produced by fusion machines, this likely would require custom license conditions to ensure appropriate disposal.</w:t>
      </w:r>
    </w:p>
    <w:p w:rsidR="00756160" w:rsidRPr="008F486F" w:rsidP="00756160" w14:paraId="4A985F2B" w14:textId="77777777">
      <w:pPr>
        <w:pStyle w:val="BodyText"/>
      </w:pPr>
    </w:p>
    <w:p w:rsidR="00756160" w:rsidRPr="007E5E6A" w:rsidP="00756160" w14:paraId="5287D0DB" w14:textId="77777777">
      <w:pPr>
        <w:pStyle w:val="BodyText"/>
        <w:keepNext/>
        <w:rPr>
          <w:i/>
          <w:iCs/>
        </w:rPr>
      </w:pPr>
      <w:r w:rsidRPr="007E5E6A">
        <w:rPr>
          <w:i/>
          <w:iCs/>
        </w:rPr>
        <w:t>Alternative 2: Rulemaking and Associated Guidance</w:t>
      </w:r>
    </w:p>
    <w:p w:rsidR="00756160" w:rsidRPr="008F486F" w:rsidP="00756160" w14:paraId="3F645267" w14:textId="77777777">
      <w:pPr>
        <w:pStyle w:val="BodyText"/>
        <w:keepNext/>
      </w:pPr>
    </w:p>
    <w:p w:rsidR="00756160" w:rsidRPr="008F486F" w:rsidP="00756160" w14:paraId="06BA0207" w14:textId="77777777">
      <w:pPr>
        <w:pStyle w:val="BodyText"/>
      </w:pPr>
      <w:r w:rsidRPr="008F486F">
        <w:t xml:space="preserve">This alternative would issue guidance and amend 10 CFR Part 20 to require either (1) an analysis showing that the waste is manifested and labeled for disposal consistent with the description of the applicable waste classification in </w:t>
      </w:r>
      <w:r>
        <w:t>10 CFR</w:t>
      </w:r>
      <w:r w:rsidRPr="008F486F">
        <w:t> 61.7, “Concepts,” based on the physical, chemical, and radiological characteristics of the waste, or (2) that the waste be disposed of in a facility that has completed a site-specific intrusion assessment.</w:t>
      </w:r>
    </w:p>
    <w:p w:rsidR="00756160" w:rsidRPr="008F486F" w:rsidP="00756160" w14:paraId="28EC7A65" w14:textId="77777777">
      <w:pPr>
        <w:pStyle w:val="BodyText"/>
      </w:pPr>
    </w:p>
    <w:p w:rsidR="00756160" w:rsidRPr="007E5E6A" w:rsidP="00756160" w14:paraId="132042D8" w14:textId="77777777">
      <w:pPr>
        <w:pStyle w:val="BodyText"/>
        <w:rPr>
          <w:i/>
          <w:iCs/>
        </w:rPr>
      </w:pPr>
      <w:r w:rsidRPr="007E5E6A">
        <w:rPr>
          <w:i/>
          <w:iCs/>
        </w:rPr>
        <w:t>Alternative 3: Issue New Guidance (to clarify existing regulations without rulemaking)</w:t>
      </w:r>
    </w:p>
    <w:p w:rsidR="00756160" w:rsidRPr="008F486F" w:rsidP="00756160" w14:paraId="57B11D40" w14:textId="77777777">
      <w:pPr>
        <w:pStyle w:val="BodyText"/>
      </w:pPr>
    </w:p>
    <w:p w:rsidR="00756160" w:rsidRPr="008F486F" w:rsidP="00756160" w14:paraId="40BC16B6" w14:textId="77777777">
      <w:pPr>
        <w:pStyle w:val="BodyText"/>
      </w:pPr>
      <w:r w:rsidRPr="008F486F">
        <w:t>Guidance would provide standard license conditions for disposal of fusion waste under existing regulations, but custom license conditions and exemptions may still be needed for some applications. The guidance would provide some clarity to the complex approach but would not avert the added effort for waste disposal in the absence of a rule change.</w:t>
      </w:r>
    </w:p>
    <w:p w:rsidR="00756160" w:rsidRPr="008F486F" w:rsidP="00756160" w14:paraId="0AC024A1" w14:textId="77777777"/>
    <w:p w:rsidR="00756160" w:rsidRPr="008F486F" w:rsidP="00756160" w14:paraId="0849E62B" w14:textId="77777777">
      <w:pPr>
        <w:pStyle w:val="Heading2"/>
        <w:ind w:left="0" w:firstLine="0"/>
        <w:rPr>
          <w:u w:val="none"/>
        </w:rPr>
      </w:pPr>
      <w:bookmarkStart w:id="68" w:name="_Toc176883999"/>
      <w:bookmarkStart w:id="69" w:name="_Toc222796510"/>
      <w:r w:rsidRPr="008F486F">
        <w:rPr>
          <w:u w:val="none"/>
        </w:rPr>
        <w:t>3.5</w:t>
      </w:r>
      <w:r w:rsidRPr="008F486F">
        <w:rPr>
          <w:u w:val="none"/>
        </w:rPr>
        <w:tab/>
        <w:t>Reporting and Recordkeeping</w:t>
      </w:r>
      <w:bookmarkEnd w:id="68"/>
      <w:bookmarkEnd w:id="69"/>
    </w:p>
    <w:p w:rsidR="00756160" w:rsidRPr="008F486F" w:rsidP="00756160" w14:paraId="160FC382" w14:textId="77777777"/>
    <w:p w:rsidR="00756160" w:rsidRPr="008F486F" w:rsidP="00756160" w14:paraId="75CC1B6E" w14:textId="77777777">
      <w:pPr>
        <w:pStyle w:val="Heading3"/>
      </w:pPr>
      <w:bookmarkStart w:id="70" w:name="_Toc176884000"/>
      <w:bookmarkStart w:id="71" w:name="_Toc222796511"/>
      <w:r w:rsidRPr="008F486F">
        <w:t>3.5.1</w:t>
      </w:r>
      <w:r w:rsidRPr="008F486F">
        <w:tab/>
        <w:t>Regulatory Issue</w:t>
      </w:r>
      <w:bookmarkEnd w:id="70"/>
      <w:bookmarkEnd w:id="71"/>
    </w:p>
    <w:p w:rsidR="00756160" w:rsidRPr="008F486F" w:rsidP="00756160" w14:paraId="3245368F" w14:textId="77777777"/>
    <w:p w:rsidR="00756160" w:rsidRPr="008F486F" w:rsidP="00756160" w14:paraId="244ADF7F" w14:textId="77777777">
      <w:r w:rsidRPr="008F486F">
        <w:t xml:space="preserve">The NRC is proposing to amend its regulations governing reporting and recordkeeping </w:t>
      </w:r>
      <w:r w:rsidR="0064530F">
        <w:t xml:space="preserve">requirements </w:t>
      </w:r>
      <w:r w:rsidRPr="008F486F">
        <w:t xml:space="preserve">under 10 CFR 30.51, “Records,” to cover </w:t>
      </w:r>
      <w:r w:rsidRPr="00C2186F" w:rsidR="00C2186F">
        <w:t xml:space="preserve">licensees authorized for the possession, use, and production of byproduct material associated with </w:t>
      </w:r>
      <w:r w:rsidRPr="008F486F">
        <w:t>fusion machines by adding “production of” tritium and activation products for the necessary reports, analyses, submittals, inspection documentation, and other required documentation for a fusion machine. A detailed discussion on accountability, including inventory, production, use, decay, and consumption is included in the draft guidance, NUREG-1556, Volume 22.</w:t>
      </w:r>
    </w:p>
    <w:p w:rsidR="00756160" w:rsidRPr="008F486F" w:rsidP="00756160" w14:paraId="676CD2EA" w14:textId="77777777"/>
    <w:p w:rsidR="00756160" w:rsidRPr="008F486F" w:rsidP="00756160" w14:paraId="54E45BA9" w14:textId="77777777">
      <w:pPr>
        <w:pStyle w:val="Heading3"/>
      </w:pPr>
      <w:bookmarkStart w:id="72" w:name="_Toc176884001"/>
      <w:bookmarkStart w:id="73" w:name="_Toc222796512"/>
      <w:r w:rsidRPr="008F486F">
        <w:t>3.5.2</w:t>
      </w:r>
      <w:r w:rsidRPr="008F486F">
        <w:tab/>
        <w:t>Regulatory Alternatives</w:t>
      </w:r>
      <w:bookmarkEnd w:id="72"/>
      <w:bookmarkEnd w:id="73"/>
    </w:p>
    <w:p w:rsidR="00756160" w:rsidRPr="008F486F" w:rsidP="00756160" w14:paraId="579D3783" w14:textId="77777777"/>
    <w:p w:rsidR="00756160" w:rsidRPr="00B5493D" w:rsidP="00756160" w14:paraId="4567839E" w14:textId="77777777">
      <w:pPr>
        <w:rPr>
          <w:i/>
          <w:iCs/>
        </w:rPr>
      </w:pPr>
      <w:r w:rsidRPr="00B5493D">
        <w:rPr>
          <w:i/>
          <w:iCs/>
        </w:rPr>
        <w:t>Alternative 1: No Action</w:t>
      </w:r>
    </w:p>
    <w:p w:rsidR="00756160" w:rsidRPr="008F486F" w:rsidP="00756160" w14:paraId="2F3114DF" w14:textId="77777777">
      <w:pPr>
        <w:pStyle w:val="BodyText"/>
      </w:pPr>
    </w:p>
    <w:p w:rsidR="00756160" w:rsidRPr="008F486F" w:rsidP="00756160" w14:paraId="08FA8C00" w14:textId="77777777">
      <w:pPr>
        <w:pStyle w:val="BodyText"/>
      </w:pPr>
      <w:r w:rsidRPr="008F486F">
        <w:t>This</w:t>
      </w:r>
      <w:r w:rsidRPr="008F486F">
        <w:rPr>
          <w:spacing w:val="-2"/>
        </w:rPr>
        <w:t xml:space="preserve"> </w:t>
      </w:r>
      <w:r w:rsidRPr="008F486F">
        <w:t>alternative</w:t>
      </w:r>
      <w:r w:rsidRPr="008F486F">
        <w:rPr>
          <w:spacing w:val="-2"/>
        </w:rPr>
        <w:t xml:space="preserve"> </w:t>
      </w:r>
      <w:r w:rsidRPr="008F486F">
        <w:t>would</w:t>
      </w:r>
      <w:r w:rsidRPr="008F486F">
        <w:rPr>
          <w:spacing w:val="-2"/>
        </w:rPr>
        <w:t xml:space="preserve"> </w:t>
      </w:r>
      <w:r w:rsidRPr="008F486F">
        <w:t>maintain</w:t>
      </w:r>
      <w:r w:rsidRPr="008F486F">
        <w:rPr>
          <w:spacing w:val="-1"/>
        </w:rPr>
        <w:t xml:space="preserve"> </w:t>
      </w:r>
      <w:r w:rsidRPr="008F486F">
        <w:t>the</w:t>
      </w:r>
      <w:r w:rsidRPr="008F486F">
        <w:rPr>
          <w:spacing w:val="-2"/>
        </w:rPr>
        <w:t xml:space="preserve"> </w:t>
      </w:r>
      <w:r w:rsidRPr="008F486F">
        <w:t>current</w:t>
      </w:r>
      <w:r w:rsidRPr="008F486F">
        <w:rPr>
          <w:spacing w:val="-2"/>
        </w:rPr>
        <w:t xml:space="preserve"> </w:t>
      </w:r>
      <w:r w:rsidRPr="008F486F">
        <w:t>regulatory</w:t>
      </w:r>
      <w:r w:rsidRPr="008F486F">
        <w:rPr>
          <w:spacing w:val="-2"/>
        </w:rPr>
        <w:t xml:space="preserve"> </w:t>
      </w:r>
      <w:r w:rsidRPr="008F486F">
        <w:t>framework.</w:t>
      </w:r>
    </w:p>
    <w:p w:rsidR="00756160" w:rsidRPr="008F486F" w:rsidP="00756160" w14:paraId="0ED99F70" w14:textId="77777777">
      <w:pPr>
        <w:pStyle w:val="BodyText"/>
      </w:pPr>
    </w:p>
    <w:p w:rsidR="00756160" w:rsidRPr="00B5493D" w:rsidP="00756160" w14:paraId="4DC65172" w14:textId="77777777">
      <w:pPr>
        <w:pStyle w:val="BodyText"/>
        <w:keepNext/>
        <w:rPr>
          <w:i/>
          <w:iCs/>
        </w:rPr>
      </w:pPr>
      <w:r w:rsidRPr="00B5493D">
        <w:rPr>
          <w:i/>
          <w:iCs/>
        </w:rPr>
        <w:t>Alternative 2: Rulemaking and Associated Guidance</w:t>
      </w:r>
    </w:p>
    <w:p w:rsidR="00756160" w:rsidRPr="008F486F" w:rsidP="00756160" w14:paraId="4C2F6060" w14:textId="77777777">
      <w:pPr>
        <w:pStyle w:val="BodyText"/>
        <w:keepNext/>
      </w:pPr>
    </w:p>
    <w:p w:rsidR="00756160" w:rsidRPr="008F486F" w:rsidP="00756160" w14:paraId="5091142C" w14:textId="77777777">
      <w:pPr>
        <w:pStyle w:val="BodyText"/>
      </w:pPr>
      <w:r w:rsidRPr="008F486F">
        <w:t>This alternative would amend regulatory language and issue guidance to clarify how radiological materials used and activated by fusion machines must be analyzed, reported, and documented.</w:t>
      </w:r>
    </w:p>
    <w:p w:rsidR="00756160" w:rsidRPr="008F486F" w:rsidP="00756160" w14:paraId="68BFB8E5" w14:textId="77777777">
      <w:pPr>
        <w:pStyle w:val="BodyText"/>
      </w:pPr>
    </w:p>
    <w:p w:rsidR="00756160" w:rsidRPr="00B5493D" w:rsidP="00756160" w14:paraId="1E250C06" w14:textId="77777777">
      <w:pPr>
        <w:pStyle w:val="BodyText"/>
        <w:keepNext/>
        <w:keepLines/>
        <w:rPr>
          <w:i/>
          <w:iCs/>
        </w:rPr>
      </w:pPr>
      <w:r w:rsidRPr="00B5493D">
        <w:rPr>
          <w:i/>
          <w:iCs/>
        </w:rPr>
        <w:t>Alternative 3: Issue New Guidance (to clarify existing regulations without rulemaking)</w:t>
      </w:r>
    </w:p>
    <w:p w:rsidR="00756160" w:rsidRPr="008F486F" w:rsidP="00756160" w14:paraId="0E4B0C10" w14:textId="77777777">
      <w:pPr>
        <w:pStyle w:val="BodyText"/>
        <w:keepNext/>
        <w:keepLines/>
      </w:pPr>
    </w:p>
    <w:p w:rsidR="00756160" w:rsidRPr="008F486F" w:rsidP="00756160" w14:paraId="701A7908" w14:textId="77777777">
      <w:pPr>
        <w:pStyle w:val="BodyText"/>
      </w:pPr>
      <w:r w:rsidRPr="008F486F">
        <w:t>Guidance would clarify how, under existing regulations, radiological materials used and activated by fusion machines would be analyzed, reported, and documented. Guidance alone would provide less clarity and regulatory consistency across the NMP.</w:t>
      </w:r>
    </w:p>
    <w:p w:rsidR="00756160" w:rsidRPr="008F486F" w:rsidP="00756160" w14:paraId="42A22317" w14:textId="77777777"/>
    <w:p w:rsidR="00756160" w:rsidRPr="008F486F" w:rsidP="007373E6" w14:paraId="6128F482" w14:textId="77777777">
      <w:pPr>
        <w:pStyle w:val="Heading1"/>
        <w:keepNext/>
        <w:keepLines/>
      </w:pPr>
      <w:bookmarkStart w:id="74" w:name="3.3.3_Implementation_Issues"/>
      <w:bookmarkStart w:id="75" w:name="4.0_ESTIMATES_OF_COSTS_AND_SAVINGS"/>
      <w:bookmarkStart w:id="76" w:name="_bookmark15"/>
      <w:bookmarkStart w:id="77" w:name="_Toc176884005"/>
      <w:bookmarkStart w:id="78" w:name="_Toc222796513"/>
      <w:bookmarkEnd w:id="74"/>
      <w:bookmarkEnd w:id="75"/>
      <w:bookmarkEnd w:id="76"/>
      <w:r w:rsidRPr="008F486F">
        <w:t>4.0</w:t>
      </w:r>
      <w:r w:rsidRPr="008F486F">
        <w:tab/>
        <w:t>EVALUATION OF BENEFIT AND COSTS</w:t>
      </w:r>
      <w:bookmarkEnd w:id="77"/>
      <w:bookmarkEnd w:id="78"/>
    </w:p>
    <w:p w:rsidR="00756160" w:rsidRPr="008F486F" w:rsidP="007373E6" w14:paraId="7B39002E" w14:textId="77777777">
      <w:pPr>
        <w:pStyle w:val="BodyText"/>
        <w:keepNext/>
        <w:keepLines/>
      </w:pPr>
    </w:p>
    <w:p w:rsidR="00756160" w:rsidRPr="008F486F" w:rsidP="007373E6" w14:paraId="54C8E690" w14:textId="77777777">
      <w:pPr>
        <w:pStyle w:val="BodyText"/>
        <w:keepLines/>
      </w:pPr>
      <w:r w:rsidRPr="008F486F">
        <w:t>This section examines the benefits and costs estimated to result from conducting rulemaking and developing the accompanying guidance (Alternative 2), and developing new guidance alone (Alternative 3), when compared to Alternative 1 (No Action). Section 4.1 identifies attributes expected to be affected by the rulemaking. Section 4.2 describes how the NRC staff analyzed the benefit and costs.</w:t>
      </w:r>
    </w:p>
    <w:p w:rsidR="00756160" w:rsidRPr="008F486F" w:rsidP="00756160" w14:paraId="3A41F3E9" w14:textId="77777777">
      <w:pPr>
        <w:pStyle w:val="BodyText"/>
      </w:pPr>
    </w:p>
    <w:p w:rsidR="00756160" w:rsidRPr="008F486F" w:rsidP="00756160" w14:paraId="0F370412" w14:textId="77777777">
      <w:pPr>
        <w:pStyle w:val="Heading2"/>
        <w:ind w:left="936"/>
        <w:rPr>
          <w:u w:val="none"/>
        </w:rPr>
      </w:pPr>
      <w:bookmarkStart w:id="79" w:name="_Toc176884006"/>
      <w:bookmarkStart w:id="80" w:name="_Toc222796514"/>
      <w:r w:rsidRPr="008F486F">
        <w:rPr>
          <w:u w:val="none"/>
        </w:rPr>
        <w:t>4.1</w:t>
      </w:r>
      <w:r w:rsidRPr="008F486F">
        <w:rPr>
          <w:u w:val="none"/>
        </w:rPr>
        <w:tab/>
        <w:t>Identification of Affected Attributes</w:t>
      </w:r>
      <w:bookmarkEnd w:id="79"/>
      <w:bookmarkEnd w:id="80"/>
    </w:p>
    <w:p w:rsidR="00756160" w:rsidRPr="008F486F" w:rsidP="00756160" w14:paraId="4CA3D286" w14:textId="77777777"/>
    <w:p w:rsidR="00756160" w:rsidRPr="008F486F" w:rsidP="00756160" w14:paraId="43D02A0F" w14:textId="77777777">
      <w:pPr>
        <w:numPr>
          <w:ilvl w:val="12"/>
          <w:numId w:val="0"/>
        </w:numPr>
        <w:tabs>
          <w:tab w:val="left" w:pos="721"/>
        </w:tabs>
      </w:pPr>
      <w:r w:rsidRPr="008F486F">
        <w:t>This section identifies the factors within the public and private sectors that the regulatory alternatives discussed in section 3.0 are expected to affect. These factors are classified as attributes using the list in chapter 5 of NUREG/BR</w:t>
      </w:r>
      <w:r w:rsidRPr="008F486F">
        <w:noBreakHyphen/>
        <w:t>0058, “Regulatory Analysis Guidelines of the U.S. Nuclear Regulatory Commission.” Each of the following attributes is quantified when possible and an uncertainty analysis is performed to report benefit and cost estimate confidence levels and to identify those variables that most affect the differences in the results distribution:</w:t>
      </w:r>
    </w:p>
    <w:p w:rsidR="00756160" w:rsidRPr="008F486F" w:rsidP="00756160" w14:paraId="23EA50F3" w14:textId="77777777"/>
    <w:p w:rsidR="00756160" w:rsidRPr="008F486F" w:rsidP="00756160" w14:paraId="6F304966" w14:textId="77777777">
      <w:pPr>
        <w:pStyle w:val="ListParagraph"/>
        <w:numPr>
          <w:ilvl w:val="0"/>
          <w:numId w:val="22"/>
        </w:numPr>
        <w:ind w:hanging="720"/>
      </w:pPr>
      <w:r w:rsidRPr="008F486F">
        <w:rPr>
          <w:u w:val="single"/>
        </w:rPr>
        <w:t>Industry Operation</w:t>
      </w:r>
      <w:r w:rsidRPr="008F486F">
        <w:t xml:space="preserve">. This attribute accounts for the projected net economic effect caused by routine and recurring activities required by the proposed guidance or regulation changes. Activities currently performed but that would no longer be </w:t>
      </w:r>
      <w:r w:rsidRPr="008F486F">
        <w:t>required</w:t>
      </w:r>
      <w:r w:rsidRPr="008F486F">
        <w:t xml:space="preserve"> if the alternative </w:t>
      </w:r>
      <w:r w:rsidRPr="008F486F">
        <w:t>is implemented</w:t>
      </w:r>
      <w:r w:rsidRPr="008F486F">
        <w:t xml:space="preserve"> </w:t>
      </w:r>
      <w:r w:rsidRPr="008F486F">
        <w:t>are treated</w:t>
      </w:r>
      <w:r w:rsidRPr="008F486F">
        <w:t xml:space="preserve"> as averted costs.</w:t>
      </w:r>
    </w:p>
    <w:p w:rsidR="00756160" w:rsidRPr="008F486F" w:rsidP="00756160" w14:paraId="2A7CC711" w14:textId="77777777">
      <w:pPr>
        <w:pStyle w:val="ListParagraph"/>
        <w:ind w:left="720" w:firstLine="0"/>
      </w:pPr>
    </w:p>
    <w:p w:rsidR="00756160" w:rsidRPr="008F486F" w:rsidP="00756160" w14:paraId="0FED9824" w14:textId="77777777">
      <w:pPr>
        <w:pStyle w:val="ListParagraph"/>
        <w:numPr>
          <w:ilvl w:val="0"/>
          <w:numId w:val="22"/>
        </w:numPr>
        <w:ind w:hanging="720"/>
      </w:pPr>
      <w:r w:rsidRPr="008F486F">
        <w:rPr>
          <w:u w:val="single"/>
        </w:rPr>
        <w:t>NRC Implementation</w:t>
      </w:r>
      <w:r w:rsidRPr="008F486F">
        <w:t>. This attribute accounts for the projected net economic effect on the NRC if the rule is applied. It includes NRC implementation costs and potential savings relative to those expected under the regulatory baseline.</w:t>
      </w:r>
    </w:p>
    <w:p w:rsidR="00756160" w:rsidRPr="008F486F" w:rsidP="00756160" w14:paraId="28F26310" w14:textId="77777777"/>
    <w:p w:rsidR="00756160" w:rsidRPr="008F486F" w:rsidP="00756160" w14:paraId="75CF2950" w14:textId="77777777">
      <w:pPr>
        <w:pStyle w:val="ListParagraph"/>
        <w:numPr>
          <w:ilvl w:val="0"/>
          <w:numId w:val="22"/>
        </w:numPr>
        <w:ind w:hanging="720"/>
      </w:pPr>
      <w:r w:rsidRPr="008F486F">
        <w:rPr>
          <w:u w:val="single"/>
        </w:rPr>
        <w:t>NRC Operation</w:t>
      </w:r>
      <w:r>
        <w:t>. T</w:t>
      </w:r>
      <w:r w:rsidRPr="008F486F">
        <w:t>his attribute measures the projected net economic effect on the NRC after the proposed action is implemented. The NRC would incur costs for additional inspection, evaluation, or enforcement activities. Additional costs above the status quo are taken to be negative; cost savings are taken to be positive. As with industry operation costs, NRC operation costs generally occur over long periods of time and are sensitive to the assumed discount factor.</w:t>
      </w:r>
    </w:p>
    <w:p w:rsidR="00756160" w:rsidRPr="008F486F" w:rsidP="00756160" w14:paraId="2770CD5D" w14:textId="77777777">
      <w:pPr>
        <w:ind w:hanging="720"/>
      </w:pPr>
    </w:p>
    <w:p w:rsidR="00756160" w:rsidRPr="008F486F" w:rsidP="00756160" w14:paraId="2D832075" w14:textId="77777777">
      <w:pPr>
        <w:pStyle w:val="ListParagraph"/>
        <w:numPr>
          <w:ilvl w:val="0"/>
          <w:numId w:val="22"/>
        </w:numPr>
        <w:ind w:hanging="720"/>
      </w:pPr>
      <w:r w:rsidRPr="00B5493D">
        <w:rPr>
          <w:u w:val="single"/>
        </w:rPr>
        <w:t>Other Government Entities</w:t>
      </w:r>
      <w:r>
        <w:t>. T</w:t>
      </w:r>
      <w:r w:rsidRPr="008F486F">
        <w:t>his attribute measures the net economic effect of the proposed action on the Federal Government (other than the NRC) and State and local governments resulting from the action’s implementation or operation. Additional costs above the status quo are taken to be negative; cost savings are taken to be positive.</w:t>
      </w:r>
      <w:r>
        <w:t xml:space="preserve"> </w:t>
      </w:r>
      <w:r w:rsidRPr="008F486F">
        <w:t>The government entities may seek to recover costs for services from the licensee; any recovered costs should not be subtracted from the cost to the government units.</w:t>
      </w:r>
    </w:p>
    <w:p w:rsidR="00756160" w:rsidRPr="008F486F" w:rsidP="00756160" w14:paraId="1A8100C6" w14:textId="77777777"/>
    <w:p w:rsidR="00756160" w:rsidRPr="008F486F" w:rsidP="00756160" w14:paraId="62075E5B" w14:textId="77777777">
      <w:pPr>
        <w:pStyle w:val="ListParagraph"/>
        <w:keepLines/>
        <w:numPr>
          <w:ilvl w:val="0"/>
          <w:numId w:val="22"/>
        </w:numPr>
        <w:ind w:hanging="720"/>
      </w:pPr>
      <w:r w:rsidRPr="008F486F">
        <w:rPr>
          <w:u w:val="single"/>
        </w:rPr>
        <w:t>Regulatory Efficiency</w:t>
      </w:r>
      <w:r w:rsidRPr="008F486F">
        <w:t>. This attribute attempts to measure regulatory and compliance improvements resulting from the proposed action. These may include changes in industry reporting requirements and the NRC’s review efforts. This attribute is qualitative in nature. Efficiency actions that are quantifiable are addressed under other attributes.</w:t>
      </w:r>
    </w:p>
    <w:p w:rsidR="00756160" w:rsidRPr="008F486F" w:rsidP="00756160" w14:paraId="4FBBAC43" w14:textId="77777777">
      <w:pPr>
        <w:ind w:hanging="720"/>
      </w:pPr>
    </w:p>
    <w:p w:rsidR="00756160" w:rsidRPr="008F486F" w:rsidP="00756160" w14:paraId="6DCC730F" w14:textId="5E33E524">
      <w:pPr>
        <w:pStyle w:val="ListParagraph"/>
        <w:numPr>
          <w:ilvl w:val="0"/>
          <w:numId w:val="22"/>
        </w:numPr>
        <w:ind w:hanging="720"/>
      </w:pPr>
      <w:r w:rsidRPr="008F486F">
        <w:rPr>
          <w:u w:val="single"/>
        </w:rPr>
        <w:t>Increased Public Confidence</w:t>
      </w:r>
      <w:r w:rsidRPr="008F486F">
        <w:t>. This attribute attempts to measure the change in public confidence in the NRC’s ability to improve its regulations, adapt to regulatory needs identified by stakeholders, offer opportunities for stakeholders to provide input to the changes to the fusion machine licensing process, and maintain the NRC’s role as an effective industry regulator. This attribute is qualitative in nature.</w:t>
      </w:r>
    </w:p>
    <w:p w:rsidR="00756160" w:rsidRPr="008F486F" w:rsidP="00756160" w14:paraId="5766F5CB" w14:textId="77777777"/>
    <w:p w:rsidR="00756160" w:rsidRPr="008F486F" w:rsidP="00756160" w14:paraId="23F04397" w14:textId="77777777">
      <w:pPr>
        <w:pStyle w:val="TableHeading"/>
        <w:rPr>
          <w:b w:val="0"/>
        </w:rPr>
      </w:pPr>
      <w:r w:rsidRPr="008F486F">
        <w:rPr>
          <w:b w:val="0"/>
          <w:bCs w:val="0"/>
        </w:rPr>
        <w:t>The above</w:t>
      </w:r>
      <w:r w:rsidRPr="008F486F">
        <w:rPr>
          <w:b w:val="0"/>
        </w:rPr>
        <w:t xml:space="preserve"> attributes are incorporated into the analysis </w:t>
      </w:r>
      <w:r w:rsidRPr="008F486F">
        <w:rPr>
          <w:b w:val="0"/>
          <w:bCs w:val="0"/>
        </w:rPr>
        <w:t xml:space="preserve">in section 5.0, </w:t>
      </w:r>
      <w:r w:rsidRPr="008F486F">
        <w:rPr>
          <w:b w:val="0"/>
        </w:rPr>
        <w:t xml:space="preserve">as </w:t>
      </w:r>
      <w:r w:rsidRPr="008F486F">
        <w:rPr>
          <w:b w:val="0"/>
          <w:bCs w:val="0"/>
        </w:rPr>
        <w:t>shown</w:t>
      </w:r>
      <w:r w:rsidRPr="008F486F">
        <w:rPr>
          <w:b w:val="0"/>
        </w:rPr>
        <w:t xml:space="preserve"> in Table 1.</w:t>
      </w:r>
    </w:p>
    <w:p w:rsidR="00756160" w:rsidRPr="008F486F" w:rsidP="00CF26BC" w14:paraId="535DBF56" w14:textId="77777777">
      <w:pPr>
        <w:pStyle w:val="TableHeading"/>
        <w:keepLines/>
        <w:ind w:left="1267" w:hanging="1267"/>
      </w:pPr>
      <w:bookmarkStart w:id="81" w:name="_Toc177045600"/>
      <w:bookmarkStart w:id="82" w:name="_Toc222796251"/>
      <w:r w:rsidRPr="008F486F">
        <w:t>Table 1</w:t>
      </w:r>
      <w:r>
        <w:tab/>
      </w:r>
      <w:r w:rsidR="00B80CCF">
        <w:fldChar w:fldCharType="begin"/>
      </w:r>
      <w:r w:rsidR="00B80CCF">
        <w:instrText xml:space="preserve"> SEQ Table \* ARABIC </w:instrText>
      </w:r>
      <w:r w:rsidR="00B80CCF">
        <w:fldChar w:fldCharType="separate"/>
      </w:r>
      <w:r w:rsidR="00B80CCF">
        <w:fldChar w:fldCharType="end"/>
      </w:r>
      <w:r w:rsidRPr="008F486F">
        <w:t>Evaluation by Attribute</w:t>
      </w:r>
      <w:bookmarkEnd w:id="81"/>
      <w:bookmarkEnd w:id="82"/>
    </w:p>
    <w:tbl>
      <w:tblPr>
        <w:tblStyle w:val="TableGrid"/>
        <w:tblW w:w="0" w:type="auto"/>
        <w:tblLook w:val="04A0"/>
      </w:tblPr>
      <w:tblGrid>
        <w:gridCol w:w="3595"/>
        <w:gridCol w:w="3510"/>
      </w:tblGrid>
      <w:tr w14:paraId="4882A266" w14:textId="77777777">
        <w:tblPrEx>
          <w:tblW w:w="0" w:type="auto"/>
          <w:tblLook w:val="04A0"/>
        </w:tblPrEx>
        <w:tc>
          <w:tcPr>
            <w:tcW w:w="3595" w:type="dxa"/>
          </w:tcPr>
          <w:p w:rsidR="00756160" w:rsidRPr="008F486F" w:rsidP="00CF26BC" w14:paraId="4E822B05" w14:textId="77777777">
            <w:pPr>
              <w:keepNext/>
              <w:keepLines/>
              <w:rPr>
                <w:b/>
                <w:u w:val="single"/>
              </w:rPr>
            </w:pPr>
            <w:r w:rsidRPr="008F486F">
              <w:rPr>
                <w:b/>
                <w:u w:val="single"/>
              </w:rPr>
              <w:t>Attribute</w:t>
            </w:r>
          </w:p>
        </w:tc>
        <w:tc>
          <w:tcPr>
            <w:tcW w:w="3510" w:type="dxa"/>
          </w:tcPr>
          <w:p w:rsidR="00756160" w:rsidRPr="00D61390" w:rsidP="00CF26BC" w14:paraId="72B9446B" w14:textId="77777777">
            <w:pPr>
              <w:keepNext/>
              <w:keepLines/>
              <w:rPr>
                <w:b/>
                <w:u w:val="single"/>
              </w:rPr>
            </w:pPr>
            <w:r w:rsidRPr="00D61390">
              <w:rPr>
                <w:b/>
                <w:u w:val="single"/>
              </w:rPr>
              <w:t>Location of Analysis</w:t>
            </w:r>
          </w:p>
        </w:tc>
      </w:tr>
      <w:tr w14:paraId="7741A6AD" w14:textId="77777777">
        <w:tblPrEx>
          <w:tblW w:w="0" w:type="auto"/>
          <w:tblLook w:val="04A0"/>
        </w:tblPrEx>
        <w:tc>
          <w:tcPr>
            <w:tcW w:w="3595" w:type="dxa"/>
          </w:tcPr>
          <w:p w:rsidR="00756160" w:rsidRPr="008F486F" w14:paraId="569D01B0" w14:textId="77777777">
            <w:r w:rsidRPr="008F486F">
              <w:t>Industry Operation</w:t>
            </w:r>
          </w:p>
        </w:tc>
        <w:tc>
          <w:tcPr>
            <w:tcW w:w="3510" w:type="dxa"/>
          </w:tcPr>
          <w:p w:rsidR="00756160" w:rsidRPr="008F486F" w:rsidP="00CF26BC" w14:paraId="6056A696" w14:textId="77777777">
            <w:pPr>
              <w:keepNext/>
              <w:keepLines/>
            </w:pPr>
            <w:r w:rsidRPr="008F486F">
              <w:t>Section 5.1</w:t>
            </w:r>
          </w:p>
        </w:tc>
      </w:tr>
      <w:tr w14:paraId="78A0FB05" w14:textId="77777777">
        <w:tblPrEx>
          <w:tblW w:w="0" w:type="auto"/>
          <w:tblLook w:val="04A0"/>
        </w:tblPrEx>
        <w:tc>
          <w:tcPr>
            <w:tcW w:w="3595" w:type="dxa"/>
          </w:tcPr>
          <w:p w:rsidR="00756160" w:rsidRPr="008F486F" w14:paraId="2CA4210D" w14:textId="77777777">
            <w:r w:rsidRPr="008F486F">
              <w:t>NRC Implementation</w:t>
            </w:r>
          </w:p>
        </w:tc>
        <w:tc>
          <w:tcPr>
            <w:tcW w:w="3510" w:type="dxa"/>
          </w:tcPr>
          <w:p w:rsidR="00756160" w:rsidRPr="008F486F" w:rsidP="00CF26BC" w14:paraId="2F94C046" w14:textId="77777777">
            <w:pPr>
              <w:keepNext/>
              <w:keepLines/>
            </w:pPr>
            <w:r w:rsidRPr="008F486F">
              <w:t>Section 5.2</w:t>
            </w:r>
          </w:p>
        </w:tc>
      </w:tr>
      <w:tr w14:paraId="1A005B61" w14:textId="77777777">
        <w:tblPrEx>
          <w:tblW w:w="0" w:type="auto"/>
          <w:tblLook w:val="04A0"/>
        </w:tblPrEx>
        <w:tc>
          <w:tcPr>
            <w:tcW w:w="3595" w:type="dxa"/>
          </w:tcPr>
          <w:p w:rsidR="00756160" w:rsidRPr="008F486F" w14:paraId="52CAD47E" w14:textId="77777777">
            <w:r w:rsidRPr="008F486F">
              <w:t>NRC Operation</w:t>
            </w:r>
          </w:p>
        </w:tc>
        <w:tc>
          <w:tcPr>
            <w:tcW w:w="3510" w:type="dxa"/>
          </w:tcPr>
          <w:p w:rsidR="00756160" w:rsidRPr="008F486F" w:rsidP="00CF26BC" w14:paraId="4A46D258" w14:textId="77777777">
            <w:pPr>
              <w:keepNext/>
              <w:keepLines/>
            </w:pPr>
            <w:r w:rsidRPr="008F486F">
              <w:t>Section 5.2</w:t>
            </w:r>
          </w:p>
        </w:tc>
      </w:tr>
      <w:tr w14:paraId="2E613B20" w14:textId="77777777">
        <w:tblPrEx>
          <w:tblW w:w="0" w:type="auto"/>
          <w:tblLook w:val="04A0"/>
        </w:tblPrEx>
        <w:tc>
          <w:tcPr>
            <w:tcW w:w="3595" w:type="dxa"/>
          </w:tcPr>
          <w:p w:rsidR="00756160" w:rsidRPr="008F486F" w14:paraId="1ABE50D0" w14:textId="77777777">
            <w:r w:rsidRPr="008F486F">
              <w:t>Other Government Entities</w:t>
            </w:r>
          </w:p>
        </w:tc>
        <w:tc>
          <w:tcPr>
            <w:tcW w:w="3510" w:type="dxa"/>
          </w:tcPr>
          <w:p w:rsidR="00756160" w:rsidRPr="008F486F" w:rsidP="00CF26BC" w14:paraId="122EF45C" w14:textId="77777777">
            <w:pPr>
              <w:keepNext/>
              <w:keepLines/>
            </w:pPr>
            <w:r w:rsidRPr="008F486F">
              <w:t>Section 5.3</w:t>
            </w:r>
          </w:p>
        </w:tc>
      </w:tr>
      <w:tr w14:paraId="07AE3710" w14:textId="77777777">
        <w:tblPrEx>
          <w:tblW w:w="0" w:type="auto"/>
          <w:tblLook w:val="04A0"/>
        </w:tblPrEx>
        <w:tc>
          <w:tcPr>
            <w:tcW w:w="3595" w:type="dxa"/>
          </w:tcPr>
          <w:p w:rsidR="00756160" w:rsidRPr="008F486F" w14:paraId="6325FBF6" w14:textId="77777777">
            <w:r w:rsidRPr="008F486F">
              <w:t>Regulatory Efficiency</w:t>
            </w:r>
          </w:p>
        </w:tc>
        <w:tc>
          <w:tcPr>
            <w:tcW w:w="3510" w:type="dxa"/>
          </w:tcPr>
          <w:p w:rsidR="00756160" w:rsidRPr="008F486F" w:rsidP="00CF26BC" w14:paraId="433FF531" w14:textId="77777777">
            <w:pPr>
              <w:keepNext/>
              <w:keepLines/>
            </w:pPr>
            <w:r w:rsidRPr="008F486F">
              <w:t>Section 5.4</w:t>
            </w:r>
          </w:p>
        </w:tc>
      </w:tr>
      <w:tr w14:paraId="43E6D4C4" w14:textId="77777777">
        <w:tblPrEx>
          <w:tblW w:w="0" w:type="auto"/>
          <w:tblLook w:val="04A0"/>
        </w:tblPrEx>
        <w:tc>
          <w:tcPr>
            <w:tcW w:w="3595" w:type="dxa"/>
          </w:tcPr>
          <w:p w:rsidR="00756160" w:rsidRPr="008F486F" w14:paraId="4183279F" w14:textId="77777777">
            <w:r w:rsidRPr="008F486F">
              <w:t>Increased Public Confidence</w:t>
            </w:r>
          </w:p>
        </w:tc>
        <w:tc>
          <w:tcPr>
            <w:tcW w:w="3510" w:type="dxa"/>
          </w:tcPr>
          <w:p w:rsidR="00756160" w:rsidRPr="008F486F" w:rsidP="00CF26BC" w14:paraId="5F93CB30" w14:textId="77777777">
            <w:pPr>
              <w:keepNext/>
              <w:keepLines/>
            </w:pPr>
            <w:r w:rsidRPr="008F486F">
              <w:t>Section 5.5</w:t>
            </w:r>
          </w:p>
        </w:tc>
      </w:tr>
    </w:tbl>
    <w:p w:rsidR="00756160" w:rsidP="00756160" w14:paraId="097D455D" w14:textId="77777777"/>
    <w:p w:rsidR="00153A9C" w:rsidRPr="008F486F" w:rsidP="1BF8265F" w14:paraId="71013EDE" w14:textId="37C7BC2F">
      <w:pPr>
        <w:tabs>
          <w:tab w:val="left" w:pos="721"/>
        </w:tabs>
      </w:pPr>
      <w:r>
        <w:t xml:space="preserve">Additional attributes listed below were considered and </w:t>
      </w:r>
      <w:r w:rsidR="007F079F">
        <w:t xml:space="preserve">found to not be significantly affected by the rulemaking. </w:t>
      </w:r>
      <w:r w:rsidR="00DE0A84">
        <w:t xml:space="preserve">The </w:t>
      </w:r>
      <w:r w:rsidR="00FB1C3F">
        <w:t>main effect of the rulemaking is to clarify</w:t>
      </w:r>
      <w:r w:rsidR="00773473">
        <w:t xml:space="preserve"> requirements that currently apply t</w:t>
      </w:r>
      <w:r w:rsidR="005023B1">
        <w:t xml:space="preserve">o fusion machine </w:t>
      </w:r>
      <w:r w:rsidR="34B1523A">
        <w:t>licensee</w:t>
      </w:r>
      <w:r w:rsidR="00632C6F">
        <w:t>s</w:t>
      </w:r>
      <w:r w:rsidR="005023B1">
        <w:t>, thus safety</w:t>
      </w:r>
      <w:r w:rsidR="00D66068">
        <w:t xml:space="preserve">, </w:t>
      </w:r>
      <w:r w:rsidR="001C696E">
        <w:t xml:space="preserve">security, and environmental protection </w:t>
      </w:r>
      <w:r w:rsidR="00012B91">
        <w:t xml:space="preserve">provided by the regulations </w:t>
      </w:r>
      <w:r w:rsidR="00012B91">
        <w:t>is expected</w:t>
      </w:r>
      <w:r w:rsidR="00012B91">
        <w:t xml:space="preserve"> to remain unchanged. </w:t>
      </w:r>
      <w:r w:rsidR="007905C6">
        <w:t>The value of</w:t>
      </w:r>
      <w:r w:rsidR="001707E6">
        <w:t xml:space="preserve"> p</w:t>
      </w:r>
      <w:r w:rsidR="00480DE0">
        <w:t>o</w:t>
      </w:r>
      <w:r w:rsidR="001707E6">
        <w:t xml:space="preserve">wer production innovation and other </w:t>
      </w:r>
      <w:r w:rsidR="00480DE0">
        <w:t xml:space="preserve">technological </w:t>
      </w:r>
      <w:r w:rsidR="00533F09">
        <w:t>innovations stemming from fusion machine development and deployment</w:t>
      </w:r>
      <w:r w:rsidR="00707E1F">
        <w:t xml:space="preserve"> could be significant, however the rulemaking is not expected</w:t>
      </w:r>
      <w:r w:rsidR="00DF1E68">
        <w:t xml:space="preserve"> to significantly change </w:t>
      </w:r>
      <w:r w:rsidR="00D6439D">
        <w:t>the development</w:t>
      </w:r>
      <w:r w:rsidR="003F480B">
        <w:t xml:space="preserve"> and deployment of fusion machines. </w:t>
      </w:r>
      <w:r w:rsidR="00D20BA2">
        <w:t xml:space="preserve">Existing </w:t>
      </w:r>
      <w:r w:rsidR="003F480B">
        <w:t>NRC regulation</w:t>
      </w:r>
      <w:r w:rsidR="00D20BA2">
        <w:t>s do</w:t>
      </w:r>
      <w:r w:rsidR="00BD6B06">
        <w:t xml:space="preserve"> not </w:t>
      </w:r>
      <w:r w:rsidR="00D20BA2">
        <w:t xml:space="preserve">pose </w:t>
      </w:r>
      <w:r w:rsidR="00BD6B06">
        <w:t>a barrier to fusion machine</w:t>
      </w:r>
      <w:r w:rsidR="00D20BA2">
        <w:t xml:space="preserve"> development</w:t>
      </w:r>
      <w:r w:rsidR="00D27737">
        <w:t>. Any impediment is in the</w:t>
      </w:r>
      <w:r w:rsidR="00D20BA2">
        <w:t xml:space="preserve"> </w:t>
      </w:r>
      <w:r w:rsidR="00D27737">
        <w:t>l</w:t>
      </w:r>
      <w:r w:rsidR="00D91F37">
        <w:t>ack of clarity about how</w:t>
      </w:r>
      <w:r w:rsidR="00743B85">
        <w:t xml:space="preserve"> existing regulations apply to fusion machines</w:t>
      </w:r>
      <w:r w:rsidR="005730F5">
        <w:t>, which would impose the cost</w:t>
      </w:r>
      <w:r w:rsidR="00517D6E">
        <w:t>s quantified as an industry operation effect</w:t>
      </w:r>
      <w:r w:rsidR="00013A59">
        <w:t xml:space="preserve">, which are minor compared to </w:t>
      </w:r>
      <w:r w:rsidR="00B22F12">
        <w:t>other fusion machine development and deployment costs, thus not constituting a barrier</w:t>
      </w:r>
      <w:r w:rsidR="00184D0F">
        <w:t>. These additional attributes are not further analyzed</w:t>
      </w:r>
      <w:r w:rsidRPr="008F486F">
        <w:t>:</w:t>
      </w:r>
    </w:p>
    <w:p w:rsidR="00153A9C" w:rsidRPr="008F486F" w:rsidP="00153A9C" w14:paraId="57D5B678" w14:textId="77777777"/>
    <w:p w:rsidR="00153A9C" w:rsidRPr="008F486F" w:rsidP="00153A9C" w14:paraId="3CC6021F" w14:textId="0DE76ED9">
      <w:pPr>
        <w:pStyle w:val="ListParagraph"/>
        <w:numPr>
          <w:ilvl w:val="0"/>
          <w:numId w:val="22"/>
        </w:numPr>
        <w:ind w:hanging="720"/>
      </w:pPr>
      <w:r w:rsidRPr="00AA449C">
        <w:rPr>
          <w:u w:val="single"/>
        </w:rPr>
        <w:t>Public Health (Accident)</w:t>
      </w:r>
      <w:r w:rsidRPr="008F486F">
        <w:t xml:space="preserve">. </w:t>
      </w:r>
      <w:r w:rsidRPr="00DB2961" w:rsidR="00DB2961">
        <w:t>This attribute measures expected changes in radiation exposures to the public due to changes in accident frequencies or accident consequences associated with the proposed action.</w:t>
      </w:r>
      <w:r w:rsidR="00DB2961">
        <w:t xml:space="preserve"> </w:t>
      </w:r>
      <w:r w:rsidR="000C026E">
        <w:t xml:space="preserve">The </w:t>
      </w:r>
      <w:r w:rsidRPr="000C026E" w:rsidR="000C026E">
        <w:t xml:space="preserve">proposed </w:t>
      </w:r>
      <w:r w:rsidR="003313C7">
        <w:t>rule</w:t>
      </w:r>
      <w:r w:rsidRPr="000C026E" w:rsidR="000C026E">
        <w:t xml:space="preserve"> </w:t>
      </w:r>
      <w:r w:rsidR="000C026E">
        <w:t>is not expected</w:t>
      </w:r>
      <w:r w:rsidR="00B97F95">
        <w:t xml:space="preserve"> to change</w:t>
      </w:r>
      <w:r w:rsidRPr="000C026E" w:rsidR="000C026E">
        <w:t xml:space="preserve"> public exposure due to potential accidents</w:t>
      </w:r>
      <w:r w:rsidR="00B97F95">
        <w:t xml:space="preserve"> because the </w:t>
      </w:r>
      <w:r w:rsidR="00E23C12">
        <w:t>actions required</w:t>
      </w:r>
      <w:r w:rsidR="00B70032">
        <w:t xml:space="preserve"> to obtain needed licenses </w:t>
      </w:r>
      <w:r w:rsidR="00F56C15">
        <w:t xml:space="preserve">that avoid accidents </w:t>
      </w:r>
      <w:r w:rsidR="00B70032">
        <w:t>are unchanged from the existing regulations</w:t>
      </w:r>
      <w:r w:rsidRPr="000C026E" w:rsidR="000C026E">
        <w:t>.</w:t>
      </w:r>
    </w:p>
    <w:p w:rsidR="00153A9C" w:rsidRPr="008F486F" w:rsidP="00153A9C" w14:paraId="134C21A7" w14:textId="77777777">
      <w:pPr>
        <w:pStyle w:val="ListParagraph"/>
        <w:ind w:left="720" w:firstLine="0"/>
      </w:pPr>
    </w:p>
    <w:p w:rsidR="001D05FF" w:rsidRPr="008F486F" w:rsidP="001D05FF" w14:paraId="3A4EC438" w14:textId="7AF5F925">
      <w:pPr>
        <w:pStyle w:val="ListParagraph"/>
        <w:numPr>
          <w:ilvl w:val="0"/>
          <w:numId w:val="22"/>
        </w:numPr>
        <w:ind w:hanging="720"/>
      </w:pPr>
      <w:r w:rsidRPr="00F56C15">
        <w:rPr>
          <w:u w:val="single"/>
        </w:rPr>
        <w:t>Public Health (Routine)</w:t>
      </w:r>
      <w:r w:rsidRPr="008F486F">
        <w:t xml:space="preserve">. </w:t>
      </w:r>
      <w:r w:rsidRPr="00DB2961">
        <w:t xml:space="preserve">This attribute </w:t>
      </w:r>
      <w:r>
        <w:t>a</w:t>
      </w:r>
      <w:r w:rsidRPr="00F56C15">
        <w:t xml:space="preserve">ccounts for changes in radiation exposures to the public during normal facility operations (i.e., </w:t>
      </w:r>
      <w:r w:rsidRPr="00F56C15">
        <w:t>nonaccident</w:t>
      </w:r>
      <w:r w:rsidRPr="00F56C15">
        <w:t xml:space="preserve"> situations)</w:t>
      </w:r>
      <w:r w:rsidRPr="00DB2961">
        <w:t>.</w:t>
      </w:r>
      <w:r>
        <w:t xml:space="preserve"> The </w:t>
      </w:r>
      <w:r w:rsidRPr="000C026E">
        <w:t xml:space="preserve">proposed </w:t>
      </w:r>
      <w:r w:rsidR="003313C7">
        <w:t>rule</w:t>
      </w:r>
      <w:r w:rsidRPr="000C026E">
        <w:t xml:space="preserve"> </w:t>
      </w:r>
      <w:r>
        <w:t>is not expected to change</w:t>
      </w:r>
      <w:r w:rsidRPr="000C026E">
        <w:t xml:space="preserve"> </w:t>
      </w:r>
      <w:r>
        <w:t xml:space="preserve">routine </w:t>
      </w:r>
      <w:r w:rsidRPr="000C026E">
        <w:t xml:space="preserve">public exposure </w:t>
      </w:r>
      <w:r>
        <w:t xml:space="preserve">because the actions required to obtain needed licenses </w:t>
      </w:r>
      <w:r>
        <w:t xml:space="preserve">that avoid routine exposure </w:t>
      </w:r>
      <w:r>
        <w:t>are unchanged from the existing regulations</w:t>
      </w:r>
      <w:r w:rsidRPr="000C026E">
        <w:t>.</w:t>
      </w:r>
    </w:p>
    <w:p w:rsidR="001D05FF" w:rsidRPr="008F486F" w:rsidP="001D05FF" w14:paraId="7ACA74CD" w14:textId="77777777">
      <w:pPr>
        <w:pStyle w:val="ListParagraph"/>
        <w:ind w:left="720" w:firstLine="0"/>
      </w:pPr>
    </w:p>
    <w:p w:rsidR="001D05FF" w:rsidRPr="008F486F" w:rsidP="001D05FF" w14:paraId="41F92523" w14:textId="6B4AE59D">
      <w:pPr>
        <w:pStyle w:val="ListParagraph"/>
        <w:numPr>
          <w:ilvl w:val="0"/>
          <w:numId w:val="22"/>
        </w:numPr>
        <w:ind w:hanging="720"/>
      </w:pPr>
      <w:r w:rsidRPr="002C0898">
        <w:rPr>
          <w:u w:val="single"/>
        </w:rPr>
        <w:t>Occupational Health (Accident)</w:t>
      </w:r>
      <w:r w:rsidRPr="008F486F">
        <w:t xml:space="preserve">. </w:t>
      </w:r>
      <w:r w:rsidRPr="00DB2961">
        <w:t xml:space="preserve">This attribute </w:t>
      </w:r>
      <w:r w:rsidRPr="00A50B79" w:rsidR="00A50B79">
        <w:t xml:space="preserve">accounts for the health effects, both immediate and long-term, associated with site workers (i.e., both plant personnel and external workers </w:t>
      </w:r>
      <w:r w:rsidRPr="00A50B79" w:rsidR="00A50B79">
        <w:t>assisting</w:t>
      </w:r>
      <w:r w:rsidRPr="00A50B79" w:rsidR="00A50B79">
        <w:t xml:space="preserve"> at the plant in response to the accident) </w:t>
      </w:r>
      <w:r w:rsidRPr="00A50B79" w:rsidR="00A50B79">
        <w:t>as a result of</w:t>
      </w:r>
      <w:r w:rsidRPr="00A50B79" w:rsidR="00A50B79">
        <w:t xml:space="preserve"> changes in accident frequency or accident mitigation</w:t>
      </w:r>
      <w:r w:rsidRPr="00DB2961">
        <w:t>.</w:t>
      </w:r>
      <w:r>
        <w:t xml:space="preserve"> The </w:t>
      </w:r>
      <w:r w:rsidRPr="000C026E">
        <w:t xml:space="preserve">proposed </w:t>
      </w:r>
      <w:r w:rsidR="003313C7">
        <w:t>rule</w:t>
      </w:r>
      <w:r w:rsidRPr="000C026E">
        <w:t xml:space="preserve"> </w:t>
      </w:r>
      <w:r>
        <w:t>is not expected to change</w:t>
      </w:r>
      <w:r w:rsidRPr="000C026E">
        <w:t xml:space="preserve"> </w:t>
      </w:r>
      <w:r w:rsidR="00556505">
        <w:t>worker</w:t>
      </w:r>
      <w:r w:rsidRPr="000C026E">
        <w:t xml:space="preserve"> exposure due to potential accidents</w:t>
      </w:r>
      <w:r>
        <w:t xml:space="preserve"> because the actions required to obtain needed licenses </w:t>
      </w:r>
      <w:r w:rsidR="00E668C6">
        <w:t xml:space="preserve">that avoid accidents </w:t>
      </w:r>
      <w:r>
        <w:t>are unchanged from the existing regulations</w:t>
      </w:r>
      <w:r w:rsidRPr="000C026E">
        <w:t>.</w:t>
      </w:r>
    </w:p>
    <w:p w:rsidR="001D05FF" w:rsidRPr="008F486F" w:rsidP="001D05FF" w14:paraId="0E127E65" w14:textId="77777777">
      <w:pPr>
        <w:pStyle w:val="ListParagraph"/>
        <w:ind w:left="720" w:firstLine="0"/>
      </w:pPr>
    </w:p>
    <w:p w:rsidR="001D05FF" w:rsidRPr="008F486F" w:rsidP="001D05FF" w14:paraId="6EE57859" w14:textId="4F8A2F06">
      <w:pPr>
        <w:pStyle w:val="ListParagraph"/>
        <w:numPr>
          <w:ilvl w:val="0"/>
          <w:numId w:val="22"/>
        </w:numPr>
        <w:ind w:hanging="720"/>
      </w:pPr>
      <w:r w:rsidRPr="00712AEC">
        <w:rPr>
          <w:u w:val="single"/>
        </w:rPr>
        <w:t>Occupational Health (Routine</w:t>
      </w:r>
      <w:r>
        <w:rPr>
          <w:u w:val="single"/>
        </w:rPr>
        <w:t>)</w:t>
      </w:r>
      <w:r w:rsidRPr="008F486F">
        <w:t xml:space="preserve">. </w:t>
      </w:r>
      <w:r w:rsidRPr="00DB2961">
        <w:t xml:space="preserve">This attribute </w:t>
      </w:r>
      <w:r w:rsidRPr="00A24362" w:rsidR="00A24362">
        <w:t xml:space="preserve">accounts for radiological exposures to workers during normal facility operations (i.e., </w:t>
      </w:r>
      <w:r w:rsidRPr="00A24362" w:rsidR="00A24362">
        <w:t>nonaccident</w:t>
      </w:r>
      <w:r w:rsidRPr="00A24362" w:rsidR="00A24362">
        <w:t xml:space="preserve"> situations)</w:t>
      </w:r>
      <w:r w:rsidRPr="00DB2961">
        <w:t>.</w:t>
      </w:r>
      <w:r>
        <w:t xml:space="preserve"> The </w:t>
      </w:r>
      <w:r w:rsidRPr="000C026E">
        <w:t xml:space="preserve">proposed </w:t>
      </w:r>
      <w:r w:rsidR="00E668C6">
        <w:t>rule</w:t>
      </w:r>
      <w:r w:rsidRPr="000C026E">
        <w:t xml:space="preserve"> </w:t>
      </w:r>
      <w:r>
        <w:t>is not expected to change</w:t>
      </w:r>
      <w:r w:rsidRPr="000C026E">
        <w:t xml:space="preserve"> </w:t>
      </w:r>
      <w:r w:rsidR="004A3148">
        <w:t>routine worker</w:t>
      </w:r>
      <w:r w:rsidRPr="000C026E">
        <w:t xml:space="preserve"> exposure </w:t>
      </w:r>
      <w:r w:rsidRPr="004A3148" w:rsidR="004A3148">
        <w:t xml:space="preserve">because the actions required to </w:t>
      </w:r>
      <w:r w:rsidRPr="004A3148" w:rsidR="004A3148">
        <w:t xml:space="preserve">obtain needed licenses that avoid routine </w:t>
      </w:r>
      <w:r w:rsidR="005122C6">
        <w:t xml:space="preserve">worker </w:t>
      </w:r>
      <w:r w:rsidRPr="004A3148" w:rsidR="004A3148">
        <w:t>exposure are unchanged from the existing regulations</w:t>
      </w:r>
      <w:r w:rsidRPr="000C026E">
        <w:t>.</w:t>
      </w:r>
    </w:p>
    <w:p w:rsidR="001D05FF" w:rsidRPr="008F486F" w:rsidP="001D05FF" w14:paraId="7446E8D6" w14:textId="77777777">
      <w:pPr>
        <w:pStyle w:val="ListParagraph"/>
        <w:ind w:left="720" w:firstLine="0"/>
      </w:pPr>
    </w:p>
    <w:p w:rsidR="001D05FF" w:rsidRPr="008F486F" w:rsidP="001D05FF" w14:paraId="6AB12D75" w14:textId="1773ACF7">
      <w:pPr>
        <w:pStyle w:val="ListParagraph"/>
        <w:numPr>
          <w:ilvl w:val="0"/>
          <w:numId w:val="22"/>
        </w:numPr>
        <w:ind w:hanging="720"/>
      </w:pPr>
      <w:r w:rsidRPr="00DE0E41">
        <w:rPr>
          <w:u w:val="single"/>
        </w:rPr>
        <w:t>Economic Consequences (Offsite Property)</w:t>
      </w:r>
      <w:r w:rsidRPr="008F486F">
        <w:t xml:space="preserve">. </w:t>
      </w:r>
      <w:r w:rsidRPr="00DB2961">
        <w:t xml:space="preserve">This attribute </w:t>
      </w:r>
      <w:r w:rsidR="00902860">
        <w:t xml:space="preserve">measures </w:t>
      </w:r>
      <w:r w:rsidRPr="00902860" w:rsidR="00902860">
        <w:t>the expected total effects on offsite property resulting from the proposed action</w:t>
      </w:r>
      <w:r w:rsidRPr="00DB2961">
        <w:t>.</w:t>
      </w:r>
      <w:r>
        <w:t xml:space="preserve"> The </w:t>
      </w:r>
      <w:r w:rsidRPr="000C026E">
        <w:t xml:space="preserve">proposed </w:t>
      </w:r>
      <w:r w:rsidR="00902860">
        <w:t>rule</w:t>
      </w:r>
      <w:r w:rsidRPr="000C026E">
        <w:t xml:space="preserve"> </w:t>
      </w:r>
      <w:r>
        <w:t>is not expected to change</w:t>
      </w:r>
      <w:r w:rsidRPr="000C026E">
        <w:t xml:space="preserve"> </w:t>
      </w:r>
      <w:r w:rsidR="00902860">
        <w:t>offsite property value</w:t>
      </w:r>
      <w:r>
        <w:t xml:space="preserve"> because the actions required to obtain needed licenses are unchanged from the existing regulations</w:t>
      </w:r>
      <w:r w:rsidR="00432A2E">
        <w:t xml:space="preserve"> an</w:t>
      </w:r>
      <w:r w:rsidR="00DB7E56">
        <w:t>d</w:t>
      </w:r>
      <w:r w:rsidR="00432A2E">
        <w:t xml:space="preserve"> thus will </w:t>
      </w:r>
      <w:r w:rsidR="00DB7E56">
        <w:t>not</w:t>
      </w:r>
      <w:r w:rsidR="00432A2E">
        <w:t xml:space="preserve"> </w:t>
      </w:r>
      <w:r w:rsidR="00DB7E56">
        <w:t>offsite property values differently from</w:t>
      </w:r>
      <w:r w:rsidR="007C30BB">
        <w:t xml:space="preserve"> existing regulations</w:t>
      </w:r>
      <w:r w:rsidRPr="000C026E">
        <w:t>.</w:t>
      </w:r>
    </w:p>
    <w:p w:rsidR="006F335B" w:rsidRPr="008F486F" w:rsidP="006F335B" w14:paraId="67D28C0E" w14:textId="77777777">
      <w:pPr>
        <w:pStyle w:val="ListParagraph"/>
        <w:ind w:left="720" w:firstLine="0"/>
      </w:pPr>
    </w:p>
    <w:p w:rsidR="006F335B" w:rsidRPr="008F486F" w:rsidP="006F335B" w14:paraId="72DC8EAE" w14:textId="5E9C20B5">
      <w:pPr>
        <w:pStyle w:val="ListParagraph"/>
        <w:numPr>
          <w:ilvl w:val="0"/>
          <w:numId w:val="22"/>
        </w:numPr>
        <w:ind w:hanging="720"/>
      </w:pPr>
      <w:r w:rsidRPr="00B273F5">
        <w:rPr>
          <w:u w:val="single"/>
        </w:rPr>
        <w:t>Onsite Property</w:t>
      </w:r>
      <w:r w:rsidRPr="008F486F">
        <w:t xml:space="preserve">. </w:t>
      </w:r>
      <w:r w:rsidRPr="00DB2961">
        <w:t xml:space="preserve">This attribute </w:t>
      </w:r>
      <w:r>
        <w:t xml:space="preserve">measures </w:t>
      </w:r>
      <w:r w:rsidRPr="007F79E2" w:rsidR="007F79E2">
        <w:t>all consequences of an accident that arise within the facility’s boundaries–an area controlled by the licensee</w:t>
      </w:r>
      <w:r w:rsidRPr="00DB2961">
        <w:t>.</w:t>
      </w:r>
      <w:r>
        <w:t xml:space="preserve"> The </w:t>
      </w:r>
      <w:r w:rsidRPr="000C026E">
        <w:t xml:space="preserve">proposed </w:t>
      </w:r>
      <w:r>
        <w:t>rule</w:t>
      </w:r>
      <w:r w:rsidRPr="000C026E">
        <w:t xml:space="preserve"> </w:t>
      </w:r>
      <w:r>
        <w:t xml:space="preserve">is not expected to </w:t>
      </w:r>
      <w:r w:rsidR="000B2B5D">
        <w:t>affect the number or severity of accidents that cause onsite property damage</w:t>
      </w:r>
      <w:r>
        <w:t xml:space="preserve"> because the actions</w:t>
      </w:r>
      <w:r w:rsidR="009415A6">
        <w:t xml:space="preserve"> affect</w:t>
      </w:r>
      <w:r w:rsidR="00314930">
        <w:t>ing</w:t>
      </w:r>
      <w:r w:rsidR="009415A6">
        <w:t xml:space="preserve"> accidents </w:t>
      </w:r>
      <w:r w:rsidR="00314930">
        <w:t xml:space="preserve">that are </w:t>
      </w:r>
      <w:r>
        <w:t>required to obtain needed licenses are unchanged from the existing regulations</w:t>
      </w:r>
      <w:r w:rsidRPr="000C026E">
        <w:t>.</w:t>
      </w:r>
    </w:p>
    <w:p w:rsidR="006F335B" w:rsidRPr="008F486F" w:rsidP="006F335B" w14:paraId="125AA106" w14:textId="77777777">
      <w:pPr>
        <w:pStyle w:val="ListParagraph"/>
        <w:ind w:left="720" w:firstLine="0"/>
      </w:pPr>
    </w:p>
    <w:p w:rsidR="006F335B" w:rsidRPr="008F486F" w:rsidP="006F335B" w14:paraId="0C5CCB80" w14:textId="6D063167">
      <w:pPr>
        <w:pStyle w:val="ListParagraph"/>
        <w:numPr>
          <w:ilvl w:val="0"/>
          <w:numId w:val="22"/>
        </w:numPr>
        <w:ind w:hanging="720"/>
      </w:pPr>
      <w:r w:rsidRPr="00C431C3">
        <w:rPr>
          <w:u w:val="single"/>
        </w:rPr>
        <w:t>Industry Implementation</w:t>
      </w:r>
      <w:r w:rsidRPr="008F486F">
        <w:t xml:space="preserve">. </w:t>
      </w:r>
      <w:r w:rsidRPr="00DB2961">
        <w:t xml:space="preserve">This attribute </w:t>
      </w:r>
      <w:r w:rsidRPr="008617B7" w:rsidR="008617B7">
        <w:t>accounts for the projected net economic effect on the affected licensees to install or implement mandated changes</w:t>
      </w:r>
      <w:r w:rsidRPr="00DB2961">
        <w:t>.</w:t>
      </w:r>
      <w:r>
        <w:t xml:space="preserve"> The </w:t>
      </w:r>
      <w:r w:rsidRPr="000C026E">
        <w:t xml:space="preserve">proposed </w:t>
      </w:r>
      <w:r>
        <w:t>rule</w:t>
      </w:r>
      <w:r w:rsidRPr="000C026E">
        <w:t xml:space="preserve"> </w:t>
      </w:r>
      <w:r w:rsidR="000D5153">
        <w:t>doe</w:t>
      </w:r>
      <w:r>
        <w:t xml:space="preserve">s </w:t>
      </w:r>
      <w:r w:rsidR="009062D1">
        <w:t>impose a change</w:t>
      </w:r>
      <w:r w:rsidR="00F67B29">
        <w:t xml:space="preserve"> on </w:t>
      </w:r>
      <w:r w:rsidR="00AE7445">
        <w:t xml:space="preserve">the </w:t>
      </w:r>
      <w:r w:rsidR="00F67B29">
        <w:t>industry that would require implementation activities</w:t>
      </w:r>
      <w:r w:rsidRPr="000C026E">
        <w:t>.</w:t>
      </w:r>
      <w:r w:rsidR="00314FB1">
        <w:t xml:space="preserve"> The proposed rule clarifies </w:t>
      </w:r>
      <w:r w:rsidR="001F5E1E">
        <w:t xml:space="preserve">industry </w:t>
      </w:r>
      <w:r w:rsidR="006E44AA">
        <w:t>activities that would need to be implemented in the absence of the proposed rule</w:t>
      </w:r>
      <w:r w:rsidR="00446D16">
        <w:t xml:space="preserve"> also.</w:t>
      </w:r>
    </w:p>
    <w:p w:rsidR="006F335B" w:rsidRPr="008F486F" w:rsidP="006F335B" w14:paraId="5EF79283" w14:textId="77777777">
      <w:pPr>
        <w:pStyle w:val="ListParagraph"/>
        <w:ind w:left="720" w:firstLine="0"/>
      </w:pPr>
    </w:p>
    <w:p w:rsidR="006F335B" w:rsidRPr="008F486F" w:rsidP="006F335B" w14:paraId="43604B41" w14:textId="52BE651D">
      <w:pPr>
        <w:pStyle w:val="ListParagraph"/>
        <w:numPr>
          <w:ilvl w:val="0"/>
          <w:numId w:val="22"/>
        </w:numPr>
        <w:ind w:hanging="720"/>
      </w:pPr>
      <w:r w:rsidRPr="00E1599F">
        <w:rPr>
          <w:u w:val="single"/>
        </w:rPr>
        <w:t>Improvements in Knowledge</w:t>
      </w:r>
      <w:r w:rsidRPr="008F486F">
        <w:t xml:space="preserve">. </w:t>
      </w:r>
      <w:r w:rsidRPr="00DB2961">
        <w:t xml:space="preserve">This attribute </w:t>
      </w:r>
      <w:r w:rsidRPr="00B2797C" w:rsidR="00B2797C">
        <w:t>accounts for the potential value of new information, especially from assessments of the safety of licensee activities.</w:t>
      </w:r>
      <w:r>
        <w:t xml:space="preserve"> The </w:t>
      </w:r>
      <w:r w:rsidRPr="000C026E">
        <w:t xml:space="preserve">proposed </w:t>
      </w:r>
      <w:r>
        <w:t>rule</w:t>
      </w:r>
      <w:r w:rsidRPr="000C026E">
        <w:t xml:space="preserve"> </w:t>
      </w:r>
      <w:r>
        <w:t>is not expected to change</w:t>
      </w:r>
      <w:r w:rsidR="004E7034">
        <w:t xml:space="preserve"> </w:t>
      </w:r>
      <w:r w:rsidR="00FB2F24">
        <w:t>improvement in knowledge</w:t>
      </w:r>
      <w:r>
        <w:t xml:space="preserve"> because the actions required to obtain needed licenses are unchanged from the existing regulations</w:t>
      </w:r>
      <w:r w:rsidRPr="000C026E">
        <w:t>.</w:t>
      </w:r>
    </w:p>
    <w:p w:rsidR="00667956" w:rsidRPr="008F486F" w:rsidP="00756160" w14:paraId="5CFCAE7F" w14:textId="77777777"/>
    <w:p w:rsidR="00756160" w:rsidRPr="008F486F" w:rsidP="00756160" w14:paraId="25DAB251" w14:textId="77777777">
      <w:pPr>
        <w:pStyle w:val="Heading2"/>
        <w:ind w:left="936"/>
        <w:rPr>
          <w:u w:val="none"/>
        </w:rPr>
      </w:pPr>
      <w:bookmarkStart w:id="83" w:name="_Toc176884007"/>
      <w:bookmarkStart w:id="84" w:name="_Toc222796515"/>
      <w:r w:rsidRPr="008F486F">
        <w:rPr>
          <w:u w:val="none"/>
        </w:rPr>
        <w:t>4.2</w:t>
      </w:r>
      <w:r w:rsidRPr="008F486F">
        <w:rPr>
          <w:u w:val="none"/>
        </w:rPr>
        <w:tab/>
        <w:t>Analytical Method</w:t>
      </w:r>
      <w:bookmarkEnd w:id="83"/>
      <w:bookmarkEnd w:id="84"/>
    </w:p>
    <w:p w:rsidR="00756160" w:rsidRPr="008F486F" w:rsidP="00756160" w14:paraId="51F78360" w14:textId="77777777">
      <w:pPr>
        <w:pStyle w:val="BodyText"/>
      </w:pPr>
    </w:p>
    <w:p w:rsidR="00756160" w:rsidRPr="008F486F" w:rsidP="00756160" w14:paraId="1F77CB53" w14:textId="77777777">
      <w:pPr>
        <w:pStyle w:val="BodyText"/>
      </w:pPr>
      <w:r w:rsidRPr="008F486F">
        <w:t>This section describes the process used to evaluate benefits and costs associated with the identified alternatives. The benefits include any desirable changes in affected attributes (e.g., monetary savings, improved safety, improved security) while the costs include any undesirable changes in affected attributes (e.g., monetary costs, increased exposures).</w:t>
      </w:r>
    </w:p>
    <w:p w:rsidR="00756160" w:rsidRPr="008F486F" w:rsidP="00756160" w14:paraId="51BFF3A3" w14:textId="77777777">
      <w:pPr>
        <w:pStyle w:val="BodyText"/>
      </w:pPr>
    </w:p>
    <w:p w:rsidR="00756160" w:rsidRPr="008F486F" w:rsidP="00756160" w14:paraId="4BF28ECE" w14:textId="77777777">
      <w:pPr>
        <w:pStyle w:val="BodyText"/>
      </w:pPr>
      <w:r w:rsidRPr="008F486F">
        <w:t>Of the affected attributes discussed in section 4.1, the following attributes could be evaluated on a quantitative basis: industry operation, NRC implementation, NRC operation, and Other Government Entities. Quantitative analysis requires a baseline characterization of the affected universe, including the characterization of factors such as the number of affected entities, the nature of the activities being conducted, and the types of machines and procedures that licensees implement or would no longer implement if the final rule alternative is chosen.</w:t>
      </w:r>
    </w:p>
    <w:p w:rsidR="00756160" w:rsidRPr="008F486F" w:rsidP="00756160" w14:paraId="335D3F77" w14:textId="77777777">
      <w:pPr>
        <w:pStyle w:val="BodyText"/>
        <w:rPr>
          <w:highlight w:val="yellow"/>
        </w:rPr>
      </w:pPr>
    </w:p>
    <w:p w:rsidR="00756160" w:rsidRPr="008F486F" w:rsidP="00756160" w14:paraId="1B588EC6" w14:textId="77777777">
      <w:pPr>
        <w:pStyle w:val="BodyText"/>
      </w:pPr>
      <w:r w:rsidRPr="008F486F">
        <w:t>The analysis relies on nonquantitative techniques for other considerations (which include regulatory efficiency and increased public confidence). Nonquantitative techniques are used because monetizing the full impact of each attribute is not possible or practical.</w:t>
      </w:r>
    </w:p>
    <w:p w:rsidR="00756160" w:rsidRPr="008F486F" w:rsidP="00756160" w14:paraId="2F6A13E7" w14:textId="77777777">
      <w:pPr>
        <w:pStyle w:val="BodyText"/>
      </w:pPr>
    </w:p>
    <w:p w:rsidR="00756160" w:rsidRPr="008F486F" w:rsidP="00756160" w14:paraId="138A53D2" w14:textId="77777777">
      <w:pPr>
        <w:pStyle w:val="BodyText"/>
      </w:pPr>
      <w:r w:rsidRPr="008F486F">
        <w:t>To estimate the costs associated with the evaluated alternative, the NRC staff used a work breakdown approach to deconstruct the activities for each requirement. For each required activity, the NRC staff further subdivided the work across labor categories (e.g., manager, worker). To develop cost estimates, the NRC staff determined the necessary level of effort for each required activity and labor rates for personnel performing these activities.</w:t>
      </w:r>
    </w:p>
    <w:p w:rsidR="00756160" w:rsidRPr="008F486F" w:rsidP="00756160" w14:paraId="3CBE5D08" w14:textId="77777777">
      <w:pPr>
        <w:pStyle w:val="BodyText"/>
      </w:pPr>
    </w:p>
    <w:p w:rsidR="00756160" w:rsidRPr="008F486F" w:rsidP="00756160" w14:paraId="6E03C928" w14:textId="77777777">
      <w:pPr>
        <w:pStyle w:val="BodyText"/>
      </w:pPr>
      <w:r w:rsidRPr="008F486F">
        <w:t>The NRC staff gathered data to develop levels of effort and unit cost estimates. The staff applied several cost estimation methods in this analysis and used professional knowledge and judgment to estimate some of the costs and benefits. Additionally, it used an engineering buildup method, solicitation of input, and extrapolation techniques to estimate costs and benefits. The engineering buildup method used a step-by-step, bottom-up description of task requirements and estimated resources for labor, materials, and other direct costs to arrive at a total cost. The NRC staff also consulted subject matter experts within the agency to develop inputs used in the analysis by, for example, collecting industry wage data, the cost for specimen testing, and other inputs.</w:t>
      </w:r>
    </w:p>
    <w:p w:rsidR="00756160" w:rsidRPr="008F486F" w:rsidP="00756160" w14:paraId="2248E7CA" w14:textId="77777777">
      <w:pPr>
        <w:pStyle w:val="BodyText"/>
      </w:pPr>
    </w:p>
    <w:p w:rsidR="00756160" w:rsidRPr="007545EB" w:rsidP="00756160" w14:paraId="61F0E55B" w14:textId="77777777">
      <w:pPr>
        <w:pStyle w:val="BodyText"/>
        <w:rPr>
          <w:spacing w:val="2"/>
        </w:rPr>
      </w:pPr>
      <w:r w:rsidRPr="007545EB">
        <w:rPr>
          <w:spacing w:val="2"/>
        </w:rPr>
        <w:t>The NRC staff uses analogy to estimate some cost activities, relying on past or current costs to estimate the future cost of similar activities. However, for steps for which the staff has no data, the staff estimated the level of effort based on similar steps in the process for which data are available.</w:t>
      </w:r>
    </w:p>
    <w:p w:rsidR="00756160" w:rsidRPr="007545EB" w:rsidP="00756160" w14:paraId="719BBE01" w14:textId="77777777">
      <w:pPr>
        <w:pStyle w:val="BodyText"/>
        <w:rPr>
          <w:spacing w:val="2"/>
        </w:rPr>
      </w:pPr>
    </w:p>
    <w:p w:rsidR="00756160" w:rsidRPr="007545EB" w:rsidP="00756160" w14:paraId="7ED5266B" w14:textId="77777777">
      <w:pPr>
        <w:pStyle w:val="BodyText"/>
        <w:rPr>
          <w:spacing w:val="2"/>
        </w:rPr>
      </w:pPr>
      <w:r w:rsidRPr="007545EB">
        <w:rPr>
          <w:spacing w:val="2"/>
        </w:rPr>
        <w:t xml:space="preserve">To evaluate the effect of uncertainty </w:t>
      </w:r>
      <w:r w:rsidRPr="007545EB">
        <w:rPr>
          <w:spacing w:val="2"/>
        </w:rPr>
        <w:t>in</w:t>
      </w:r>
      <w:r w:rsidRPr="007545EB">
        <w:rPr>
          <w:spacing w:val="2"/>
        </w:rPr>
        <w:t xml:space="preserve"> the model, the NRC staff employed a Monte Carlo simulation, which is an approach to uncertainty analysis in which input variables </w:t>
      </w:r>
      <w:r w:rsidRPr="007545EB">
        <w:rPr>
          <w:spacing w:val="2"/>
        </w:rPr>
        <w:t>are expressed</w:t>
      </w:r>
      <w:r w:rsidRPr="007545EB">
        <w:rPr>
          <w:spacing w:val="2"/>
        </w:rPr>
        <w:t xml:space="preserve"> as distributions. The simulation was run 10,000 times, and values were chosen at random from the distributions of the input variables provided in section 5.6 of this document. The result is a distribution of values for the output variable of interest. The Monte Carlo simulation makes it possible to determine the input variables that have the greatest effect on the value of the output variable. Section 5.6 gives a detailed description of the Monte Carlo simulation methods and the results.</w:t>
      </w:r>
    </w:p>
    <w:p w:rsidR="00756160" w:rsidRPr="008F486F" w:rsidP="00756160" w14:paraId="522FD307" w14:textId="77777777">
      <w:pPr>
        <w:pStyle w:val="BodyText"/>
      </w:pPr>
    </w:p>
    <w:p w:rsidR="00756160" w:rsidRPr="008F486F" w:rsidP="00756160" w14:paraId="0FBF8CA3" w14:textId="77777777">
      <w:pPr>
        <w:pStyle w:val="Heading3"/>
      </w:pPr>
      <w:bookmarkStart w:id="85" w:name="_Toc176884008"/>
      <w:bookmarkStart w:id="86" w:name="_Toc222796516"/>
      <w:r w:rsidRPr="008F486F">
        <w:t>4.2.1</w:t>
      </w:r>
      <w:r w:rsidRPr="008F486F">
        <w:tab/>
        <w:t>Baseline for Analysis</w:t>
      </w:r>
      <w:bookmarkEnd w:id="85"/>
      <w:bookmarkEnd w:id="86"/>
    </w:p>
    <w:p w:rsidR="00756160" w:rsidRPr="008F486F" w:rsidP="00756160" w14:paraId="4282FB91" w14:textId="77777777">
      <w:pPr>
        <w:pStyle w:val="BodyText"/>
      </w:pPr>
    </w:p>
    <w:p w:rsidR="00756160" w:rsidRPr="008F486F" w:rsidP="00756160" w14:paraId="35F9C5EA" w14:textId="77777777">
      <w:pPr>
        <w:pStyle w:val="BodyText"/>
      </w:pPr>
      <w:r w:rsidRPr="008F486F">
        <w:t>This regulatory analysis measures the incremental impacts of the alternatives for conducting rulemaking and associated guidance (Alternative 2) and issuing new guidance alone (Alternative 3) relative to a baseline that reflects the anticipated behavior if the NRC undertakes no other regulatory action (Alternative 1: No Action). As part of the regulatory baseline used in this analysis, the NRC staff assumes licensee compliance with existing NRC or Agreement State regulations. Section 5.0 presents the estimated incremental costs and benefits of the rule relative to this baseline.</w:t>
      </w:r>
    </w:p>
    <w:p w:rsidR="00756160" w:rsidRPr="008F486F" w:rsidP="00756160" w14:paraId="4A2A6C7C" w14:textId="77777777">
      <w:pPr>
        <w:pStyle w:val="BodyText"/>
      </w:pPr>
    </w:p>
    <w:p w:rsidR="00756160" w:rsidRPr="008F486F" w:rsidP="00756160" w14:paraId="5890C004" w14:textId="77777777">
      <w:pPr>
        <w:pStyle w:val="Heading3"/>
        <w:keepNext/>
        <w:numPr>
          <w:ilvl w:val="2"/>
          <w:numId w:val="21"/>
        </w:numPr>
      </w:pPr>
      <w:bookmarkStart w:id="87" w:name="_Toc176884009"/>
      <w:bookmarkStart w:id="88" w:name="_Toc222796517"/>
      <w:r w:rsidRPr="008F486F">
        <w:t>Affected Entities</w:t>
      </w:r>
      <w:bookmarkEnd w:id="87"/>
      <w:bookmarkEnd w:id="88"/>
    </w:p>
    <w:p w:rsidR="00756160" w:rsidRPr="008F486F" w:rsidP="00756160" w14:paraId="442333AB" w14:textId="77777777">
      <w:pPr>
        <w:pStyle w:val="BodyText"/>
        <w:keepNext/>
      </w:pPr>
    </w:p>
    <w:p w:rsidR="00756160" w:rsidRPr="008F486F" w:rsidP="00756160" w14:paraId="1581F546" w14:textId="77777777">
      <w:pPr>
        <w:pStyle w:val="BodyText"/>
      </w:pPr>
      <w:r w:rsidRPr="008F486F">
        <w:t>For use in this analysis, the NRC staff identified licensees</w:t>
      </w:r>
      <w:r w:rsidR="00D245F1">
        <w:t>,</w:t>
      </w:r>
      <w:r w:rsidRPr="008F486F">
        <w:t xml:space="preserve"> </w:t>
      </w:r>
      <w:r w:rsidR="00D245F1">
        <w:t>that possess, use,</w:t>
      </w:r>
      <w:r w:rsidRPr="008F486F">
        <w:t xml:space="preserve"> and </w:t>
      </w:r>
      <w:r w:rsidR="00D245F1">
        <w:t>produce byproduct material associated with a fusion machine,</w:t>
      </w:r>
      <w:r w:rsidRPr="008F486F" w:rsidR="00D245F1">
        <w:t xml:space="preserve"> </w:t>
      </w:r>
      <w:r w:rsidRPr="008F486F">
        <w:t>and Agreement State regulators as the two affected entities. No materials licensees are currently operating fusion machines as defined in the proposed rule.</w:t>
      </w:r>
      <w:r>
        <w:rPr>
          <w:rStyle w:val="FootnoteReference"/>
        </w:rPr>
        <w:footnoteReference w:id="6"/>
      </w:r>
      <w:r w:rsidRPr="008F486F">
        <w:t xml:space="preserve"> </w:t>
      </w:r>
      <w:r w:rsidRPr="00DB3D5C">
        <w:t>If the proposed rule goes into effect, when a potential licensee anticipates construction and operation of a fusion machine, it would need to comply with the provisions of the revised rules, to receive the required materials handling certifications. The licensees will either comply directly with NRC regulations or with Agreement State regulations. If regulatory language is changed, Agreement States would revise their regulations for consistency with the final rule.</w:t>
      </w:r>
      <w:r w:rsidRPr="008F486F">
        <w:t xml:space="preserve"> Likewise, the Agreement States’ implementation of their revised regulations would be expected to be consistent and compatible with the NRC guidance issued with the final rule.</w:t>
      </w:r>
    </w:p>
    <w:p w:rsidR="00756160" w:rsidRPr="008F486F" w:rsidP="00756160" w14:paraId="35AB4337" w14:textId="77777777">
      <w:pPr>
        <w:pStyle w:val="BodyText"/>
      </w:pPr>
    </w:p>
    <w:p w:rsidR="00756160" w:rsidRPr="008F486F" w:rsidP="00756160" w14:paraId="063E6515" w14:textId="77777777">
      <w:pPr>
        <w:pStyle w:val="Heading3"/>
        <w:keepNext/>
        <w:numPr>
          <w:ilvl w:val="2"/>
          <w:numId w:val="21"/>
        </w:numPr>
      </w:pPr>
      <w:bookmarkStart w:id="89" w:name="_Toc176884010"/>
      <w:bookmarkStart w:id="90" w:name="_Toc222796518"/>
      <w:r w:rsidRPr="008F486F">
        <w:t>Fusion Machine Projection</w:t>
      </w:r>
      <w:bookmarkEnd w:id="89"/>
      <w:bookmarkEnd w:id="90"/>
    </w:p>
    <w:p w:rsidR="00756160" w:rsidRPr="008F486F" w:rsidP="00756160" w14:paraId="22B890C6" w14:textId="77777777">
      <w:pPr>
        <w:pStyle w:val="BodyText"/>
        <w:keepNext/>
      </w:pPr>
    </w:p>
    <w:p w:rsidR="00AC55D5" w:rsidP="00756160" w14:paraId="2449E9D4" w14:textId="100B1340">
      <w:pPr>
        <w:pStyle w:val="BodyText"/>
      </w:pPr>
      <w:r w:rsidRPr="008F486F">
        <w:t>The future development of a fusion machine industry is highly speculative beyond the handful of companies with plans of at least moderate levels of certainty to build fusion machines for commercial use. To construct a stochastic projection of fusion machine deployment, the NRC established bounds within which the industry is expected to develop.</w:t>
      </w:r>
      <w:r w:rsidR="00730F11">
        <w:t xml:space="preserve"> </w:t>
      </w:r>
      <w:r w:rsidR="005252B8">
        <w:t xml:space="preserve">The </w:t>
      </w:r>
      <w:r w:rsidR="00E66AC3">
        <w:t xml:space="preserve">research </w:t>
      </w:r>
      <w:r w:rsidR="00E66AC3">
        <w:t>for</w:t>
      </w:r>
      <w:r w:rsidR="00E66AC3">
        <w:t xml:space="preserve"> this </w:t>
      </w:r>
      <w:r w:rsidR="005252B8">
        <w:t xml:space="preserve">technology has been </w:t>
      </w:r>
      <w:r w:rsidR="00497CCF">
        <w:t>an international effort since the 1940</w:t>
      </w:r>
      <w:r w:rsidR="004B60B1">
        <w:t>s with</w:t>
      </w:r>
      <w:r w:rsidR="004949BC">
        <w:t xml:space="preserve"> solutions to</w:t>
      </w:r>
      <w:r w:rsidR="005E1FE7">
        <w:t xml:space="preserve"> technological issues that have prevented commercial application</w:t>
      </w:r>
      <w:r w:rsidR="00426639">
        <w:t xml:space="preserve"> only recently</w:t>
      </w:r>
      <w:r w:rsidR="00EC60E0">
        <w:t>, potentially</w:t>
      </w:r>
      <w:r w:rsidR="00426639">
        <w:t xml:space="preserve"> within</w:t>
      </w:r>
      <w:r w:rsidR="00EC60E0">
        <w:t xml:space="preserve"> reach.</w:t>
      </w:r>
      <w:r w:rsidR="00DA28C0">
        <w:t xml:space="preserve"> </w:t>
      </w:r>
      <w:r w:rsidR="00584A63">
        <w:t xml:space="preserve">In the U.S. fusion research </w:t>
      </w:r>
      <w:r w:rsidR="00584A63">
        <w:t>is largely funded</w:t>
      </w:r>
      <w:r w:rsidR="006C37A9">
        <w:t xml:space="preserve"> by the Department of Energy (DOE) including the DOE</w:t>
      </w:r>
      <w:r w:rsidR="00584B2B">
        <w:t xml:space="preserve"> Office of Fusion </w:t>
      </w:r>
      <w:r w:rsidR="00243F29">
        <w:t xml:space="preserve">Energy </w:t>
      </w:r>
      <w:r w:rsidR="00584B2B">
        <w:t>Sc</w:t>
      </w:r>
      <w:r w:rsidR="00140ECB">
        <w:t>iences. The DOE funding also</w:t>
      </w:r>
      <w:r w:rsidR="00EF379C">
        <w:t xml:space="preserve"> </w:t>
      </w:r>
      <w:r w:rsidR="00BE3665">
        <w:t>supports public private partnerships</w:t>
      </w:r>
      <w:r w:rsidR="00F7378A">
        <w:t xml:space="preserve"> with eight companies</w:t>
      </w:r>
      <w:r w:rsidR="00E22DBA">
        <w:t xml:space="preserve"> building </w:t>
      </w:r>
      <w:r w:rsidR="00D57569">
        <w:t>fusion pilot plants</w:t>
      </w:r>
      <w:r w:rsidR="00D57569">
        <w:t xml:space="preserve">. </w:t>
      </w:r>
      <w:r w:rsidR="005252B8">
        <w:t xml:space="preserve"> </w:t>
      </w:r>
      <w:r w:rsidRPr="008F486F">
        <w:t xml:space="preserve"> </w:t>
      </w:r>
    </w:p>
    <w:p w:rsidR="00AC55D5" w:rsidP="00756160" w14:paraId="5EE18CC2" w14:textId="77777777">
      <w:pPr>
        <w:pStyle w:val="BodyText"/>
      </w:pPr>
    </w:p>
    <w:p w:rsidR="00C34C23" w:rsidRPr="007373E6" w:rsidP="00756160" w14:paraId="10CE6D6C" w14:textId="77777777">
      <w:pPr>
        <w:pStyle w:val="BodyText"/>
        <w:rPr>
          <w:spacing w:val="-4"/>
        </w:rPr>
      </w:pPr>
      <w:r w:rsidRPr="007373E6">
        <w:rPr>
          <w:spacing w:val="-4"/>
        </w:rPr>
        <w:t xml:space="preserve">The lower bound would be a scenario in which no technological approaches become profitable for commercial application, so no fusion machines are licensed beyond those currently announced. </w:t>
      </w:r>
      <w:r w:rsidRPr="007373E6" w:rsidR="003E5204">
        <w:rPr>
          <w:spacing w:val="-4"/>
        </w:rPr>
        <w:t>Significant technological</w:t>
      </w:r>
      <w:r w:rsidRPr="007373E6" w:rsidR="00E81B2A">
        <w:rPr>
          <w:spacing w:val="-4"/>
        </w:rPr>
        <w:t xml:space="preserve"> </w:t>
      </w:r>
      <w:r w:rsidRPr="007373E6" w:rsidR="00DB3BFB">
        <w:rPr>
          <w:spacing w:val="-4"/>
        </w:rPr>
        <w:t xml:space="preserve">barriers to </w:t>
      </w:r>
      <w:r w:rsidRPr="007373E6" w:rsidR="00315F9F">
        <w:rPr>
          <w:spacing w:val="-4"/>
        </w:rPr>
        <w:t xml:space="preserve">sufficiently </w:t>
      </w:r>
      <w:r w:rsidRPr="007373E6" w:rsidR="00495333">
        <w:rPr>
          <w:spacing w:val="-4"/>
        </w:rPr>
        <w:t>positive energy gain</w:t>
      </w:r>
      <w:r w:rsidRPr="007373E6" w:rsidR="00315F9F">
        <w:rPr>
          <w:spacing w:val="-4"/>
        </w:rPr>
        <w:t xml:space="preserve"> for commercial fusion machines</w:t>
      </w:r>
      <w:r w:rsidRPr="007373E6" w:rsidR="00DB203C">
        <w:rPr>
          <w:spacing w:val="-4"/>
        </w:rPr>
        <w:t xml:space="preserve"> </w:t>
      </w:r>
      <w:r w:rsidRPr="007373E6" w:rsidR="004E6B65">
        <w:rPr>
          <w:spacing w:val="-4"/>
        </w:rPr>
        <w:t>remain to be proven</w:t>
      </w:r>
      <w:r w:rsidRPr="007373E6" w:rsidR="00315F9F">
        <w:rPr>
          <w:spacing w:val="-4"/>
        </w:rPr>
        <w:t>, primarily related to sufficient confinement of the fusion plasma</w:t>
      </w:r>
      <w:r w:rsidRPr="007373E6" w:rsidR="00F03ECB">
        <w:rPr>
          <w:spacing w:val="-4"/>
        </w:rPr>
        <w:t xml:space="preserve">. </w:t>
      </w:r>
      <w:r w:rsidRPr="007373E6" w:rsidR="00296244">
        <w:rPr>
          <w:spacing w:val="-4"/>
        </w:rPr>
        <w:t xml:space="preserve">After technologies with </w:t>
      </w:r>
      <w:r w:rsidRPr="007373E6" w:rsidR="005C33B7">
        <w:rPr>
          <w:spacing w:val="-4"/>
        </w:rPr>
        <w:t>positive energy gain are demonstrated, questions remain about the costs of building</w:t>
      </w:r>
      <w:r w:rsidRPr="007373E6" w:rsidR="00A143AF">
        <w:rPr>
          <w:spacing w:val="-4"/>
        </w:rPr>
        <w:t>,</w:t>
      </w:r>
      <w:r w:rsidRPr="007373E6" w:rsidR="005C33B7">
        <w:rPr>
          <w:spacing w:val="-4"/>
        </w:rPr>
        <w:t xml:space="preserve"> operating</w:t>
      </w:r>
      <w:r w:rsidRPr="007373E6" w:rsidR="00A143AF">
        <w:rPr>
          <w:spacing w:val="-4"/>
        </w:rPr>
        <w:t>, and the operating life of</w:t>
      </w:r>
      <w:r w:rsidRPr="007373E6" w:rsidR="005C33B7">
        <w:rPr>
          <w:spacing w:val="-4"/>
        </w:rPr>
        <w:t xml:space="preserve"> the machines</w:t>
      </w:r>
      <w:r w:rsidRPr="007373E6" w:rsidR="005E5ED6">
        <w:rPr>
          <w:spacing w:val="-4"/>
        </w:rPr>
        <w:t xml:space="preserve">, which must be known to assess whether the machines </w:t>
      </w:r>
      <w:r w:rsidRPr="007373E6" w:rsidR="00A17F7F">
        <w:rPr>
          <w:spacing w:val="-4"/>
        </w:rPr>
        <w:t>can be profitably operated</w:t>
      </w:r>
      <w:r w:rsidRPr="007373E6" w:rsidR="00BC72D4">
        <w:rPr>
          <w:spacing w:val="-4"/>
        </w:rPr>
        <w:t xml:space="preserve"> at the wholesale prices for </w:t>
      </w:r>
      <w:r w:rsidRPr="007373E6" w:rsidR="00014DEC">
        <w:rPr>
          <w:spacing w:val="-4"/>
        </w:rPr>
        <w:t xml:space="preserve">grid power, or in narrower niches. </w:t>
      </w:r>
      <w:r w:rsidRPr="007373E6" w:rsidR="002D17AB">
        <w:rPr>
          <w:spacing w:val="-4"/>
        </w:rPr>
        <w:t>Because it is possible</w:t>
      </w:r>
      <w:r w:rsidRPr="007373E6" w:rsidR="0026779D">
        <w:rPr>
          <w:spacing w:val="-4"/>
        </w:rPr>
        <w:t xml:space="preserve"> that no fusion machine approach is found to be commercially viable, a lower bound of n</w:t>
      </w:r>
      <w:r w:rsidRPr="007373E6">
        <w:rPr>
          <w:spacing w:val="-4"/>
        </w:rPr>
        <w:t>o machines beyond those currently announced is possible.</w:t>
      </w:r>
      <w:r w:rsidRPr="007373E6" w:rsidR="005C33B7">
        <w:rPr>
          <w:spacing w:val="-4"/>
        </w:rPr>
        <w:t xml:space="preserve"> </w:t>
      </w:r>
    </w:p>
    <w:p w:rsidR="00C34C23" w:rsidP="00756160" w14:paraId="08E73BA2" w14:textId="77777777">
      <w:pPr>
        <w:pStyle w:val="BodyText"/>
      </w:pPr>
    </w:p>
    <w:p w:rsidR="007157B2" w:rsidP="00756160" w14:paraId="73A81E01" w14:textId="41EA9102">
      <w:pPr>
        <w:pStyle w:val="BodyText"/>
      </w:pPr>
      <w:r w:rsidRPr="008F486F">
        <w:t>The upper bound is one in which the technology is highly profitable as an electrical power generation source.</w:t>
      </w:r>
      <w:r w:rsidR="00EC3154">
        <w:t xml:space="preserve"> The upper bound</w:t>
      </w:r>
      <w:r w:rsidR="00050E18">
        <w:t xml:space="preserve"> scenario is one in which at least one of the technological </w:t>
      </w:r>
      <w:r w:rsidR="009A6455">
        <w:t>approaches provides positive energy gain</w:t>
      </w:r>
      <w:r w:rsidR="003B1925">
        <w:t xml:space="preserve">, the marginal cost of </w:t>
      </w:r>
      <w:r w:rsidR="00B64AA0">
        <w:t>producing power is lower than</w:t>
      </w:r>
      <w:r w:rsidR="007A59AC">
        <w:t xml:space="preserve"> the wholesale price </w:t>
      </w:r>
      <w:r w:rsidR="005A322C">
        <w:t>paid to grid power suppliers, and the profitability is high enough to</w:t>
      </w:r>
      <w:r w:rsidR="005A4968">
        <w:t xml:space="preserve"> justify investment in fusion machines</w:t>
      </w:r>
      <w:r w:rsidR="008E5C2F">
        <w:t xml:space="preserve"> without</w:t>
      </w:r>
      <w:r w:rsidR="00214401">
        <w:t xml:space="preserve"> subsidies</w:t>
      </w:r>
      <w:r w:rsidR="00CA09C4">
        <w:t xml:space="preserve"> provided to initiate the technology. </w:t>
      </w:r>
      <w:r w:rsidR="00F51D6B">
        <w:t>The upper bound scenario also envisions fusion machines</w:t>
      </w:r>
      <w:r w:rsidR="005F121A">
        <w:t xml:space="preserve"> of a scale small enough to be geographically distributed </w:t>
      </w:r>
      <w:r w:rsidR="0002038C">
        <w:t>near power consumers</w:t>
      </w:r>
      <w:r w:rsidR="00941DB4">
        <w:t xml:space="preserve">. </w:t>
      </w:r>
      <w:r w:rsidR="00AD7E1F">
        <w:t xml:space="preserve">Larger fusion plants of 1 to 1.5 </w:t>
      </w:r>
      <w:r w:rsidR="00FB66E7">
        <w:t xml:space="preserve">GW size </w:t>
      </w:r>
      <w:r w:rsidR="004B356B">
        <w:t>could prove necessary for</w:t>
      </w:r>
      <w:r w:rsidR="00436BAE">
        <w:t xml:space="preserve"> commercial viability, in which case many fewer machines would be </w:t>
      </w:r>
      <w:r w:rsidR="000F0867">
        <w:t xml:space="preserve">deployed, and the projection would be below the upper bound. However, </w:t>
      </w:r>
      <w:r w:rsidR="00FE0695">
        <w:t>if smaller fusion machine power plants</w:t>
      </w:r>
      <w:r w:rsidR="00AD41A2">
        <w:t xml:space="preserve"> that are </w:t>
      </w:r>
      <w:r w:rsidR="00530A92">
        <w:t>not substantially less cost efficient are possible</w:t>
      </w:r>
      <w:r w:rsidR="004337E2">
        <w:t xml:space="preserve">, then the reduction in transmission costs, </w:t>
      </w:r>
      <w:r w:rsidR="000E3E1C">
        <w:t>the reduction in transmission infrastructure expansion needs, and the ability to</w:t>
      </w:r>
      <w:r w:rsidR="00261645">
        <w:t xml:space="preserve"> replace retired power plants without investing in new</w:t>
      </w:r>
      <w:r w:rsidR="00547A7D">
        <w:t xml:space="preserve"> grid connections, would </w:t>
      </w:r>
      <w:r w:rsidR="00E440FA">
        <w:t>make the upper bound plausible.</w:t>
      </w:r>
      <w:r w:rsidRPr="008F486F">
        <w:t xml:space="preserve"> The NRC based the dynamics of the geographic spread of fusion machines for electrical power generation on the construction of natural gas fired combined cycle gas turbine (CCGT) plants, which </w:t>
      </w:r>
      <w:r w:rsidRPr="008F486F">
        <w:t>were quickly adopted</w:t>
      </w:r>
      <w:r w:rsidRPr="008F486F">
        <w:t xml:space="preserve"> when found to be a profitable alternative.</w:t>
      </w:r>
      <w:r w:rsidR="005B32CD">
        <w:t xml:space="preserve"> CCGT</w:t>
      </w:r>
      <w:r w:rsidR="00DD69DC">
        <w:t xml:space="preserve"> technology</w:t>
      </w:r>
      <w:r w:rsidR="00C90223">
        <w:t xml:space="preserve"> adoption</w:t>
      </w:r>
      <w:r w:rsidR="006C44F7">
        <w:t>,</w:t>
      </w:r>
      <w:r w:rsidR="00DD69DC">
        <w:t xml:space="preserve"> </w:t>
      </w:r>
      <w:r w:rsidR="009510F3">
        <w:t>like</w:t>
      </w:r>
      <w:r w:rsidR="00BF2F59">
        <w:t xml:space="preserve"> the </w:t>
      </w:r>
      <w:r w:rsidR="00361AD8">
        <w:t>rapid</w:t>
      </w:r>
      <w:r w:rsidR="00413FFB">
        <w:t xml:space="preserve"> adoption of fusion machines scenario,</w:t>
      </w:r>
      <w:r w:rsidR="008573D8">
        <w:t xml:space="preserve"> </w:t>
      </w:r>
      <w:r w:rsidR="007941A2">
        <w:t xml:space="preserve">was </w:t>
      </w:r>
      <w:r w:rsidR="008573D8">
        <w:t>driven</w:t>
      </w:r>
      <w:r w:rsidR="008573D8">
        <w:t xml:space="preserve"> by</w:t>
      </w:r>
      <w:r w:rsidR="009150C8">
        <w:t xml:space="preserve"> </w:t>
      </w:r>
      <w:r w:rsidR="002A7740">
        <w:t>the</w:t>
      </w:r>
      <w:r w:rsidR="009150C8">
        <w:t xml:space="preserve"> </w:t>
      </w:r>
      <w:r w:rsidR="002A7740">
        <w:t>efficiency</w:t>
      </w:r>
      <w:r w:rsidRPr="008F486F">
        <w:t xml:space="preserve"> </w:t>
      </w:r>
      <w:r w:rsidR="002A7740">
        <w:t xml:space="preserve">of </w:t>
      </w:r>
      <w:r w:rsidR="009510F3">
        <w:t xml:space="preserve">the </w:t>
      </w:r>
      <w:r w:rsidR="002A7740">
        <w:t>technological</w:t>
      </w:r>
      <w:r w:rsidR="002A7740">
        <w:t xml:space="preserve"> developments</w:t>
      </w:r>
      <w:r w:rsidR="00D74604">
        <w:t xml:space="preserve">, and </w:t>
      </w:r>
      <w:r w:rsidR="00D74604">
        <w:t>demonstrate</w:t>
      </w:r>
      <w:r w:rsidR="001D7BED">
        <w:t>d</w:t>
      </w:r>
      <w:r w:rsidR="001D7BED">
        <w:t xml:space="preserve"> that</w:t>
      </w:r>
      <w:r w:rsidR="00D74604">
        <w:t xml:space="preserve"> </w:t>
      </w:r>
      <w:r w:rsidR="00F97607">
        <w:t xml:space="preserve">a </w:t>
      </w:r>
      <w:r w:rsidR="00D74604">
        <w:t xml:space="preserve">rapid </w:t>
      </w:r>
      <w:r w:rsidR="00F97607">
        <w:t>rate of adoption</w:t>
      </w:r>
      <w:r w:rsidR="00FD72C8">
        <w:t xml:space="preserve"> was possible</w:t>
      </w:r>
      <w:r w:rsidR="00361AD8">
        <w:t>.</w:t>
      </w:r>
      <w:r w:rsidR="007F1F7F">
        <w:t xml:space="preserve"> </w:t>
      </w:r>
      <w:r w:rsidR="00361AD8">
        <w:t>This</w:t>
      </w:r>
      <w:r w:rsidR="007F1F7F">
        <w:t xml:space="preserve"> </w:t>
      </w:r>
      <w:r w:rsidR="00361AD8">
        <w:t>rapid fusion adoption scenario</w:t>
      </w:r>
      <w:r w:rsidR="00185DE8">
        <w:t xml:space="preserve"> will be</w:t>
      </w:r>
      <w:r w:rsidR="007F1F7F">
        <w:t xml:space="preserve"> possible </w:t>
      </w:r>
      <w:r w:rsidR="00F14CC1">
        <w:t xml:space="preserve">if fusion machines prove to have </w:t>
      </w:r>
      <w:r w:rsidR="00352B4A">
        <w:t>profitability advantages over</w:t>
      </w:r>
      <w:r w:rsidR="005D4E8A">
        <w:t xml:space="preserve"> competing power grid sources</w:t>
      </w:r>
      <w:r w:rsidR="008D5D4F">
        <w:t xml:space="preserve"> that </w:t>
      </w:r>
      <w:r w:rsidR="0006234F">
        <w:t>are</w:t>
      </w:r>
      <w:r w:rsidR="008D5D4F">
        <w:t xml:space="preserve"> comparable to </w:t>
      </w:r>
      <w:r w:rsidR="00E6469F">
        <w:t xml:space="preserve">the </w:t>
      </w:r>
      <w:r w:rsidR="008D5D4F">
        <w:t xml:space="preserve">CCGT power generation </w:t>
      </w:r>
      <w:r w:rsidR="00DB217D">
        <w:t xml:space="preserve">profitability advantage </w:t>
      </w:r>
      <w:r w:rsidR="008D5D4F">
        <w:t>over the</w:t>
      </w:r>
      <w:r w:rsidR="00C921D1">
        <w:t xml:space="preserve"> competing</w:t>
      </w:r>
      <w:r w:rsidR="00B26DAD">
        <w:t xml:space="preserve"> technology</w:t>
      </w:r>
      <w:r w:rsidR="00C921D1">
        <w:t>, largely coal fired power plants</w:t>
      </w:r>
      <w:r w:rsidR="00DD04D1">
        <w:t xml:space="preserve">, that CCGT replaced </w:t>
      </w:r>
      <w:r w:rsidR="003B27DB">
        <w:t>for new generation capacity</w:t>
      </w:r>
      <w:r w:rsidR="00AC2B26">
        <w:t xml:space="preserve"> </w:t>
      </w:r>
      <w:r w:rsidR="00134C9F">
        <w:t xml:space="preserve">and retired </w:t>
      </w:r>
      <w:r w:rsidR="00EC1C88">
        <w:t>generation capacity</w:t>
      </w:r>
      <w:r w:rsidR="00DD04D1">
        <w:t xml:space="preserve">. </w:t>
      </w:r>
      <w:r w:rsidR="00100A84">
        <w:t>Any projection of fusion plant deployments is speculative</w:t>
      </w:r>
      <w:r w:rsidR="00FF6B1F">
        <w:t>, given the current state of the technology</w:t>
      </w:r>
      <w:r w:rsidR="00772EC9">
        <w:t>, so this upper bound is intended to provide a plausible</w:t>
      </w:r>
      <w:r w:rsidR="008F5841">
        <w:t xml:space="preserve"> projection</w:t>
      </w:r>
      <w:r w:rsidR="00315167">
        <w:t xml:space="preserve"> to assess the range of benefits </w:t>
      </w:r>
      <w:r w:rsidR="007F1454">
        <w:t>provided by the proposed rule despite the</w:t>
      </w:r>
      <w:r w:rsidR="00C778AF">
        <w:t xml:space="preserve"> substantial uncertainty of the future of this technology.</w:t>
      </w:r>
    </w:p>
    <w:p w:rsidR="007157B2" w:rsidP="00756160" w14:paraId="1419FBA2" w14:textId="77777777">
      <w:pPr>
        <w:pStyle w:val="BodyText"/>
      </w:pPr>
    </w:p>
    <w:p w:rsidR="00756160" w:rsidRPr="008F486F" w:rsidP="00756160" w14:paraId="1D96D3F9" w14:textId="5EC9E07D">
      <w:pPr>
        <w:pStyle w:val="BodyText"/>
      </w:pPr>
      <w:r w:rsidRPr="008F486F">
        <w:t xml:space="preserve">Between these bounds are </w:t>
      </w:r>
      <w:r w:rsidR="00D41005">
        <w:t>many scenarios</w:t>
      </w:r>
      <w:r w:rsidR="00273ABA">
        <w:t>, including larger fusion power plants</w:t>
      </w:r>
      <w:r w:rsidR="00757ABC">
        <w:t xml:space="preserve">, of which fewer are required to </w:t>
      </w:r>
      <w:r w:rsidR="00521243">
        <w:t xml:space="preserve">meet demand at the marginal cost the machines provide power, </w:t>
      </w:r>
      <w:r w:rsidR="001F5975">
        <w:t>a</w:t>
      </w:r>
      <w:r w:rsidR="00521243">
        <w:t xml:space="preserve"> conservative</w:t>
      </w:r>
      <w:r w:rsidR="00D04D0C">
        <w:t xml:space="preserve"> best </w:t>
      </w:r>
      <w:r w:rsidR="00943EB1">
        <w:t>projection was specified for the PERT</w:t>
      </w:r>
      <w:r w:rsidR="009B2F69">
        <w:t xml:space="preserve"> distribution, which assumed a </w:t>
      </w:r>
      <w:r w:rsidRPr="008F486F">
        <w:t xml:space="preserve">slower adoption for </w:t>
      </w:r>
      <w:r w:rsidRPr="008F486F">
        <w:t>electrical generation, due to technologies being more marginally profitable compared to alternatives, and fusion machines that employ other than grid-connected electrical power generation, which the NRC expects would be a smaller volume use.</w:t>
      </w:r>
      <w:r w:rsidR="009B2F69">
        <w:t xml:space="preserve"> The NRC invites comment</w:t>
      </w:r>
      <w:r w:rsidR="00314121">
        <w:t>s about these projection assumptions</w:t>
      </w:r>
      <w:r w:rsidR="00162AEC">
        <w:t xml:space="preserve"> for use in updating and improving this analysis.</w:t>
      </w:r>
    </w:p>
    <w:p w:rsidR="00756160" w:rsidRPr="008F486F" w:rsidP="00756160" w14:paraId="3E4EBB58" w14:textId="77777777">
      <w:pPr>
        <w:pStyle w:val="BodyText"/>
      </w:pPr>
    </w:p>
    <w:p w:rsidR="00756160" w:rsidRPr="008F486F" w:rsidP="00756160" w14:paraId="6D75E82C" w14:textId="11DE95CE">
      <w:pPr>
        <w:pStyle w:val="BodyText"/>
      </w:pPr>
      <w:r w:rsidRPr="00EE5862">
        <w:rPr>
          <w:spacing w:val="-4"/>
        </w:rPr>
        <w:t xml:space="preserve">Appendix B lists the parameters of the stochastic model of fusion machine adoption. Each State has an upper bound or high estimate for fusion machines at the end of the period of analysis based on the electrical utility sector CCGT plants operating in the State (EIA, 2023). The lower bound or low estimate is based on the </w:t>
      </w:r>
      <w:r w:rsidRPr="00EE5862">
        <w:rPr>
          <w:spacing w:val="-4"/>
        </w:rPr>
        <w:t>anticipated</w:t>
      </w:r>
      <w:r w:rsidRPr="00EE5862">
        <w:rPr>
          <w:spacing w:val="-4"/>
        </w:rPr>
        <w:t xml:space="preserve"> near-term number of expected fusion machines. The best estimate is biased toward the low estimate because of the risk of failure of a newly emerging technology. The projection grows slowly for the first 5 years of the projection and then increases log-linearly to the cumulative number of machines in each State at the end of the period of analysis. This projection excludes any licenses granted prior to implementation of the rule.</w:t>
      </w:r>
      <w:r w:rsidRPr="008F486F">
        <w:br/>
      </w:r>
      <w:r w:rsidRPr="008F486F">
        <w:br/>
        <w:t xml:space="preserve">Using this projection, the projected year that the first fusion machine is established in an Agreement State is the year in which the Agreement </w:t>
      </w:r>
      <w:r w:rsidRPr="0079260C">
        <w:t>State would be expected</w:t>
      </w:r>
      <w:r w:rsidRPr="008F486F">
        <w:t xml:space="preserve"> to establish regulations and guidance consistent with the NRC’s revised regulations. As shown in figure 1, the mean estimate for the end of the analysis period in 2045 is 14</w:t>
      </w:r>
      <w:r>
        <w:t>7</w:t>
      </w:r>
      <w:r w:rsidRPr="008F486F">
        <w:t xml:space="preserve"> fusion machines, but the number could be as few as 5 and as many as 882. The cumulative number of fusion machines </w:t>
      </w:r>
      <w:r w:rsidRPr="008F486F">
        <w:t>is projected</w:t>
      </w:r>
      <w:r w:rsidRPr="008F486F">
        <w:t xml:space="preserve"> to grow slowly at first, from none in 2026 to five in 2031, before increasing exponentially if some of the technologies </w:t>
      </w:r>
      <w:r w:rsidRPr="008F486F">
        <w:t>are found</w:t>
      </w:r>
      <w:r w:rsidRPr="008F486F">
        <w:t xml:space="preserve"> to be commercially competitive. For the low estimate, no more fusion machines are built after the first five are not found to be commercially viable, while in the high estimate, the cumulative number of fusion machines increases to 882, the total number of electrical utility sector CCGT plants operating in the United States currently.</w:t>
      </w:r>
    </w:p>
    <w:p w:rsidR="00756160" w:rsidRPr="008F486F" w:rsidP="00756160" w14:paraId="5F58CB94" w14:textId="77777777">
      <w:pPr>
        <w:pStyle w:val="BodyText"/>
      </w:pPr>
    </w:p>
    <w:p w:rsidR="00756160" w:rsidRPr="008F486F" w:rsidP="00756160" w14:paraId="6C86E6AC" w14:textId="77777777">
      <w:pPr>
        <w:pStyle w:val="BodyText"/>
      </w:pPr>
      <w:r w:rsidRPr="008F486F">
        <w:rPr>
          <w:noProof/>
        </w:rPr>
        <w:drawing>
          <wp:inline distT="0" distB="0" distL="0" distR="0">
            <wp:extent cx="4659488" cy="3383280"/>
            <wp:effectExtent l="0" t="0" r="8255" b="7620"/>
            <wp:docPr id="1390438229"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438229" name="Picture 2" descr="Chart&#10;&#10;Description automatically generated with medium confidence"/>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59488" cy="3383280"/>
                    </a:xfrm>
                    <a:prstGeom prst="rect">
                      <a:avLst/>
                    </a:prstGeom>
                    <a:noFill/>
                  </pic:spPr>
                </pic:pic>
              </a:graphicData>
            </a:graphic>
          </wp:inline>
        </w:drawing>
      </w:r>
    </w:p>
    <w:p w:rsidR="00756160" w:rsidRPr="008F486F" w:rsidP="00756160" w14:paraId="0E4C42A2" w14:textId="77777777">
      <w:pPr>
        <w:pStyle w:val="Caption"/>
        <w:rPr>
          <w:b/>
          <w:bCs/>
          <w:i w:val="0"/>
          <w:iCs w:val="0"/>
          <w:color w:val="000000" w:themeColor="text1"/>
          <w:sz w:val="22"/>
          <w:szCs w:val="22"/>
        </w:rPr>
      </w:pPr>
      <w:bookmarkStart w:id="91" w:name="_Toc175229406"/>
      <w:bookmarkStart w:id="92" w:name="_Toc177538198"/>
      <w:bookmarkStart w:id="93" w:name="_Toc222796220"/>
      <w:r w:rsidRPr="008F486F">
        <w:rPr>
          <w:b/>
          <w:bCs/>
          <w:i w:val="0"/>
          <w:iCs w:val="0"/>
          <w:color w:val="000000" w:themeColor="text1"/>
          <w:sz w:val="22"/>
          <w:szCs w:val="22"/>
        </w:rPr>
        <w:t xml:space="preserve">Figure 1 Scenarios for Fusion Machine </w:t>
      </w:r>
      <w:bookmarkEnd w:id="91"/>
      <w:r w:rsidRPr="008F486F">
        <w:rPr>
          <w:b/>
          <w:bCs/>
          <w:i w:val="0"/>
          <w:iCs w:val="0"/>
          <w:color w:val="000000" w:themeColor="text1"/>
          <w:sz w:val="22"/>
          <w:szCs w:val="22"/>
        </w:rPr>
        <w:t>Applications</w:t>
      </w:r>
      <w:bookmarkEnd w:id="92"/>
      <w:bookmarkEnd w:id="93"/>
    </w:p>
    <w:p w:rsidR="00756160" w:rsidRPr="008F486F" w:rsidP="00756160" w14:paraId="1EA4F4EE" w14:textId="77777777">
      <w:pPr>
        <w:pStyle w:val="BodyText"/>
      </w:pPr>
      <w:r w:rsidRPr="008F486F">
        <w:br/>
        <w:t xml:space="preserve">These bounding estimates are parameters in the stochastic model of fusion machine adoption that is further described in appendix B. The stochastic model provides the basis for uncertainty </w:t>
      </w:r>
      <w:r w:rsidRPr="008F486F">
        <w:t>calculations. The point estimate calculations reported in this analysis are based on the mean estimate derived from the State distribution, for which the cumulative number of fusion machines grows to 14</w:t>
      </w:r>
      <w:r>
        <w:t>7</w:t>
      </w:r>
      <w:r w:rsidRPr="008F486F">
        <w:t xml:space="preserve"> in 2045.</w:t>
      </w:r>
      <w:r w:rsidRPr="008F486F">
        <w:br/>
      </w:r>
    </w:p>
    <w:p w:rsidR="00756160" w:rsidRPr="008F486F" w:rsidP="00756160" w14:paraId="39550B27" w14:textId="77777777">
      <w:pPr>
        <w:pStyle w:val="Heading2"/>
        <w:ind w:left="936"/>
        <w:rPr>
          <w:u w:val="none"/>
        </w:rPr>
      </w:pPr>
      <w:bookmarkStart w:id="94" w:name="_Toc176884011"/>
      <w:bookmarkStart w:id="95" w:name="_Toc222796519"/>
      <w:r w:rsidRPr="008F486F">
        <w:rPr>
          <w:u w:val="none"/>
        </w:rPr>
        <w:t>4.3</w:t>
      </w:r>
      <w:r w:rsidRPr="008F486F">
        <w:rPr>
          <w:u w:val="none"/>
        </w:rPr>
        <w:tab/>
        <w:t>Cost and Benefit Calculations</w:t>
      </w:r>
      <w:bookmarkEnd w:id="94"/>
      <w:bookmarkEnd w:id="95"/>
    </w:p>
    <w:p w:rsidR="00756160" w:rsidRPr="008F486F" w:rsidP="00756160" w14:paraId="0E99B5F5" w14:textId="77777777">
      <w:pPr>
        <w:pStyle w:val="BodyText"/>
      </w:pPr>
    </w:p>
    <w:p w:rsidR="00756160" w:rsidRPr="00853C7A" w:rsidP="00756160" w14:paraId="39E622DD" w14:textId="6AFF76DF">
      <w:pPr>
        <w:pStyle w:val="BodyText"/>
        <w:rPr>
          <w:spacing w:val="-4"/>
        </w:rPr>
      </w:pPr>
      <w:r w:rsidRPr="00853C7A">
        <w:rPr>
          <w:spacing w:val="-4"/>
        </w:rPr>
        <w:t xml:space="preserve">This section presents the process for, and results of, evaluating the costs and benefits expected to occur from the proposed rule and associated guidance development (Alternative 2), and development of new guidance alone (Alternative 3), </w:t>
      </w:r>
      <w:r w:rsidRPr="00853C7A">
        <w:rPr>
          <w:spacing w:val="-4"/>
        </w:rPr>
        <w:t>relative</w:t>
      </w:r>
      <w:r w:rsidRPr="00853C7A">
        <w:rPr>
          <w:spacing w:val="-4"/>
        </w:rPr>
        <w:t xml:space="preserve"> to the regulatory baseline (Alternative 1). All costs and benefits are monetized, when possible. The total costs and benefits </w:t>
      </w:r>
      <w:r w:rsidRPr="00853C7A">
        <w:rPr>
          <w:spacing w:val="-4"/>
        </w:rPr>
        <w:t>are then summed</w:t>
      </w:r>
      <w:r w:rsidRPr="00853C7A">
        <w:rPr>
          <w:spacing w:val="-4"/>
        </w:rPr>
        <w:t xml:space="preserve"> to </w:t>
      </w:r>
      <w:r w:rsidRPr="00853C7A">
        <w:rPr>
          <w:spacing w:val="-4"/>
        </w:rPr>
        <w:t>determine</w:t>
      </w:r>
      <w:r w:rsidRPr="00853C7A">
        <w:rPr>
          <w:spacing w:val="-4"/>
        </w:rPr>
        <w:t xml:space="preserve"> whether the difference between the costs and benefits results in a positive benefit. Some benefits are described qualitatively because meaningful quantification is not possible. The values in tables throughout this document may appear to have summation errors, but this is due to rounding within the cost model.</w:t>
      </w:r>
    </w:p>
    <w:p w:rsidR="00756160" w:rsidRPr="00853C7A" w:rsidP="00756160" w14:paraId="4CD44E3A" w14:textId="77777777">
      <w:pPr>
        <w:pStyle w:val="BodyText"/>
        <w:rPr>
          <w:spacing w:val="-4"/>
        </w:rPr>
      </w:pPr>
    </w:p>
    <w:p w:rsidR="00756160" w:rsidRPr="00853C7A" w:rsidP="00756160" w14:paraId="07C9EE07" w14:textId="77777777">
      <w:pPr>
        <w:pStyle w:val="BodyText"/>
        <w:spacing w:after="220"/>
        <w:rPr>
          <w:spacing w:val="-4"/>
        </w:rPr>
      </w:pPr>
      <w:r w:rsidRPr="00853C7A">
        <w:rPr>
          <w:spacing w:val="-4"/>
        </w:rPr>
        <w:t>The sign conventions used in this analysis are that all favorable consequences for the alternative are positive and all adverse consequences for the alternative are negative. Negative values are shown using parentheses (e.g., negative $500 is displayed as ($500)). The NRC used a 20-year analysis horizon after implementation of the final rule, assumed to be 2026 to 2045 for the purposes of this analysis.</w:t>
      </w:r>
    </w:p>
    <w:p w:rsidR="00756160" w:rsidRPr="00853C7A" w:rsidP="00756160" w14:paraId="68BD25AF" w14:textId="77777777">
      <w:pPr>
        <w:pStyle w:val="BodyText"/>
        <w:keepNext/>
        <w:keepLines/>
        <w:rPr>
          <w:spacing w:val="-4"/>
        </w:rPr>
      </w:pPr>
      <w:r w:rsidRPr="00853C7A">
        <w:rPr>
          <w:spacing w:val="-4"/>
        </w:rPr>
        <w:t>This analysis describes the incremental impacts of each alternative relative to a baseline that reflects anticipated behavior if the NRC does not undertake regulatory or nonregulatory action. The regulatory analysis assumes full compliance with existing NRC requirements, including current regulations and relevant orders. This is consistent with NUREG/BR-0058, draft Revision 5, which states that “in evaluating a new requirement, the staff should assume that all existing NRC and Agreement State requirements have been implemented.”</w:t>
      </w:r>
    </w:p>
    <w:p w:rsidR="00756160" w:rsidRPr="00853C7A" w:rsidP="00756160" w14:paraId="3B5B8BAF" w14:textId="77777777">
      <w:pPr>
        <w:pStyle w:val="BodyText"/>
        <w:rPr>
          <w:spacing w:val="-4"/>
        </w:rPr>
      </w:pPr>
    </w:p>
    <w:p w:rsidR="00756160" w:rsidRPr="00853C7A" w:rsidP="00756160" w14:paraId="420A7BA3" w14:textId="77777777">
      <w:pPr>
        <w:pStyle w:val="BodyText"/>
        <w:rPr>
          <w:spacing w:val="-4"/>
        </w:rPr>
      </w:pPr>
      <w:r w:rsidRPr="00853C7A">
        <w:rPr>
          <w:spacing w:val="-4"/>
        </w:rPr>
        <w:t xml:space="preserve">The staff used best available information regarding the number and type of future fusion machine applicants. The staff considered factors such as trends in new applications (i.e., research and development fusion machines in Agreement States), known potential </w:t>
      </w:r>
      <w:r w:rsidR="00A32B91">
        <w:rPr>
          <w:spacing w:val="-4"/>
        </w:rPr>
        <w:t xml:space="preserve">license </w:t>
      </w:r>
      <w:r w:rsidRPr="00853C7A">
        <w:rPr>
          <w:spacing w:val="-4"/>
        </w:rPr>
        <w:t xml:space="preserve">applications </w:t>
      </w:r>
      <w:r w:rsidRPr="00A32B91" w:rsidR="00A32B91">
        <w:rPr>
          <w:spacing w:val="-4"/>
        </w:rPr>
        <w:t>associated with fusion machine</w:t>
      </w:r>
      <w:r w:rsidRPr="00853C7A">
        <w:rPr>
          <w:spacing w:val="-4"/>
        </w:rPr>
        <w:t xml:space="preserve"> (currently all within Agreement States), and the types of fusion machines involved. The staff used a combination of those factors in </w:t>
      </w:r>
      <w:r w:rsidRPr="00853C7A">
        <w:rPr>
          <w:spacing w:val="-4"/>
        </w:rPr>
        <w:t>determining</w:t>
      </w:r>
      <w:r w:rsidRPr="00853C7A">
        <w:rPr>
          <w:spacing w:val="-4"/>
        </w:rPr>
        <w:t xml:space="preserve"> the future </w:t>
      </w:r>
      <w:r w:rsidRPr="00853C7A">
        <w:rPr>
          <w:spacing w:val="-4"/>
        </w:rPr>
        <w:t>licensees</w:t>
      </w:r>
      <w:r w:rsidRPr="00853C7A">
        <w:rPr>
          <w:spacing w:val="-4"/>
        </w:rPr>
        <w:t xml:space="preserve"> or applicants for each cost estimate. The NRC continues to engage with potential applicants regarding their licensing plans.</w:t>
      </w:r>
    </w:p>
    <w:p w:rsidR="00756160" w:rsidRPr="00853C7A" w:rsidP="00756160" w14:paraId="2735E57F" w14:textId="77777777">
      <w:pPr>
        <w:pStyle w:val="BodyText"/>
        <w:rPr>
          <w:spacing w:val="-4"/>
        </w:rPr>
      </w:pPr>
    </w:p>
    <w:p w:rsidR="00756160" w:rsidRPr="00853C7A" w:rsidP="00756160" w14:paraId="59B20556" w14:textId="77777777">
      <w:pPr>
        <w:pStyle w:val="BodyText"/>
        <w:rPr>
          <w:spacing w:val="-4"/>
        </w:rPr>
      </w:pPr>
      <w:r w:rsidRPr="00853C7A">
        <w:rPr>
          <w:spacing w:val="-4"/>
        </w:rPr>
        <w:t>Industry labor rates are based on 2023 U.S. Bureau of Labor Statistics (BLS) data. The current NRC labor rate of $152 per hour was used throughout this analysis. The base year for discounting is 2023, as is the price level for all calculations.</w:t>
      </w:r>
    </w:p>
    <w:p w:rsidR="00756160" w:rsidRPr="00853C7A" w:rsidP="00756160" w14:paraId="1D83AA08" w14:textId="77777777">
      <w:pPr>
        <w:rPr>
          <w:spacing w:val="-4"/>
        </w:rPr>
      </w:pPr>
    </w:p>
    <w:p w:rsidR="00756160" w:rsidRPr="00853C7A" w:rsidP="00756160" w14:paraId="5F1EBD10" w14:textId="0F1A562C">
      <w:pPr>
        <w:rPr>
          <w:spacing w:val="-4"/>
        </w:rPr>
      </w:pPr>
      <w:r w:rsidRPr="00853C7A">
        <w:rPr>
          <w:spacing w:val="-4"/>
        </w:rPr>
        <w:t xml:space="preserve">The provisions of the proposed rule would add new requirements and clarify some existing requirements to license and oversee </w:t>
      </w:r>
      <w:r w:rsidRPr="00F6195E" w:rsidR="00F6195E">
        <w:rPr>
          <w:spacing w:val="-4"/>
        </w:rPr>
        <w:t xml:space="preserve">the possession, use, and production of byproduct material associated with </w:t>
      </w:r>
      <w:r w:rsidRPr="00853C7A">
        <w:rPr>
          <w:spacing w:val="-4"/>
        </w:rPr>
        <w:t xml:space="preserve">fusion machines. For the industry, the proposed rule would provide cost savings due to the reduced likelihood of needing to seek clarification of regulatory requirements. Both the NRC and Agreement States would incur upfront rulemaking costs but would </w:t>
      </w:r>
      <w:r w:rsidRPr="00853C7A">
        <w:rPr>
          <w:spacing w:val="-4"/>
        </w:rPr>
        <w:t>benefit</w:t>
      </w:r>
      <w:r w:rsidRPr="00853C7A">
        <w:rPr>
          <w:spacing w:val="-4"/>
        </w:rPr>
        <w:t xml:space="preserve"> from the lower costs of administering the regulations due to the clarity of the regulations applied to fusion machines. </w:t>
      </w:r>
    </w:p>
    <w:p w:rsidR="00756160" w:rsidRPr="008F486F" w:rsidP="00756160" w14:paraId="3947E595" w14:textId="77777777"/>
    <w:p w:rsidR="00756160" w:rsidRPr="008F486F" w:rsidP="00756160" w14:paraId="163F45A5" w14:textId="77777777">
      <w:pPr>
        <w:pStyle w:val="Heading1"/>
        <w:keepNext/>
      </w:pPr>
      <w:bookmarkStart w:id="96" w:name="_Toc176884012"/>
      <w:bookmarkStart w:id="97" w:name="_Toc222796520"/>
      <w:r w:rsidRPr="008F486F">
        <w:t>5.0</w:t>
      </w:r>
      <w:r w:rsidRPr="008F486F">
        <w:tab/>
        <w:t>RESULTS</w:t>
      </w:r>
      <w:bookmarkEnd w:id="96"/>
      <w:bookmarkEnd w:id="97"/>
    </w:p>
    <w:p w:rsidR="00756160" w:rsidRPr="008F486F" w:rsidP="00756160" w14:paraId="145F8D7B" w14:textId="77777777">
      <w:pPr>
        <w:pStyle w:val="BodyText"/>
        <w:keepNext/>
      </w:pPr>
    </w:p>
    <w:p w:rsidR="00756160" w:rsidRPr="008F486F" w:rsidP="00756160" w14:paraId="30C3668D" w14:textId="3FD84EFD">
      <w:pPr>
        <w:pStyle w:val="BodyText"/>
      </w:pPr>
      <w:r w:rsidRPr="008F486F">
        <w:t xml:space="preserve">As summarized in Table 2, </w:t>
      </w:r>
      <w:r w:rsidRPr="008F486F">
        <w:t>relative</w:t>
      </w:r>
      <w:r w:rsidRPr="008F486F">
        <w:t xml:space="preserve"> to the no action alternative (Alternative 1), the proposed rulemaking (Alternative 2) results in quantifiable net </w:t>
      </w:r>
      <w:r w:rsidRPr="00CD3D85">
        <w:t>benefits of approximately $1.38 </w:t>
      </w:r>
      <w:r w:rsidRPr="00CD3D85">
        <w:t>million</w:t>
      </w:r>
      <w:r w:rsidRPr="00CD3D85">
        <w:t xml:space="preserve"> assuming a 7 percent discount rate or $3.25 million assuming a 3 percent discount rate. For the guidance-only alternative (Alternative 3), the quantifiable net benefits </w:t>
      </w:r>
      <w:r w:rsidRPr="00CD3D85">
        <w:t>are estimated</w:t>
      </w:r>
      <w:r w:rsidRPr="00CD3D85">
        <w:t xml:space="preserve"> to be $2.03 </w:t>
      </w:r>
      <w:r w:rsidRPr="00CD3D85">
        <w:t>million</w:t>
      </w:r>
      <w:r w:rsidRPr="00CD3D85">
        <w:t xml:space="preserve"> assuming a 7 percent discount rate or $4.22 </w:t>
      </w:r>
      <w:r w:rsidRPr="00CD3D85">
        <w:t>million</w:t>
      </w:r>
      <w:r w:rsidRPr="00CD3D85">
        <w:t xml:space="preserve"> assuming a 3 percent discount rate. These calculations are described further in the following</w:t>
      </w:r>
      <w:r w:rsidRPr="008F486F">
        <w:t xml:space="preserve"> sections.</w:t>
      </w:r>
      <w:r w:rsidR="00A94AFB">
        <w:t xml:space="preserve"> Note that</w:t>
      </w:r>
      <w:r w:rsidR="00DE2930">
        <w:t xml:space="preserve"> </w:t>
      </w:r>
      <w:r w:rsidR="00DE2930">
        <w:t>all of</w:t>
      </w:r>
      <w:r w:rsidR="00DE2930">
        <w:t xml:space="preserve"> the benefits </w:t>
      </w:r>
      <w:r w:rsidR="00F879D0">
        <w:t>quantified for the proposed rule are due to averted costs, so the</w:t>
      </w:r>
      <w:r w:rsidR="006718EC">
        <w:t xml:space="preserve"> positive net benefits quantified are also net cost savings</w:t>
      </w:r>
      <w:r w:rsidR="00585118">
        <w:t>, thus the rule imposes negative costs</w:t>
      </w:r>
      <w:r w:rsidR="006718EC">
        <w:t>.</w:t>
      </w:r>
    </w:p>
    <w:p w:rsidR="00756160" w:rsidRPr="008F486F" w:rsidP="00756160" w14:paraId="5341F1E8" w14:textId="77777777">
      <w:pPr>
        <w:pStyle w:val="BodyText"/>
      </w:pPr>
    </w:p>
    <w:p w:rsidR="00756160" w:rsidRPr="001C6B95" w:rsidP="00756160" w14:paraId="23EA4473" w14:textId="77777777">
      <w:pPr>
        <w:pStyle w:val="TableHeading"/>
      </w:pPr>
      <w:bookmarkStart w:id="98" w:name="_Toc177045601"/>
      <w:bookmarkStart w:id="99" w:name="_Toc222796252"/>
      <w:r>
        <w:t>Table 2</w:t>
      </w:r>
      <w:r>
        <w:tab/>
      </w:r>
      <w:r w:rsidR="00B80CCF">
        <w:fldChar w:fldCharType="begin"/>
      </w:r>
      <w:r w:rsidR="00B80CCF">
        <w:instrText xml:space="preserve"> SEQ Table \* ARABIC </w:instrText>
      </w:r>
      <w:r w:rsidR="00B80CCF">
        <w:fldChar w:fldCharType="separate"/>
      </w:r>
      <w:r w:rsidR="00B80CCF">
        <w:fldChar w:fldCharType="end"/>
      </w:r>
      <w:r>
        <w:t>Monetized Benefit/Cost Summary for Alternatives 2 and 3</w:t>
      </w:r>
      <w:bookmarkEnd w:id="98"/>
      <w:bookmarkEnd w:id="99"/>
    </w:p>
    <w:tbl>
      <w:tblPr>
        <w:tblW w:w="0" w:type="auto"/>
        <w:tblLook w:val="04A0"/>
      </w:tblPr>
      <w:tblGrid>
        <w:gridCol w:w="1881"/>
        <w:gridCol w:w="1437"/>
        <w:gridCol w:w="2237"/>
        <w:gridCol w:w="1761"/>
        <w:gridCol w:w="2034"/>
      </w:tblGrid>
      <w:tr w14:paraId="54BF2FD1" w14:textId="77777777">
        <w:tblPrEx>
          <w:tblW w:w="0" w:type="auto"/>
          <w:tblLook w:val="04A0"/>
        </w:tblPrEx>
        <w:trPr>
          <w:trHeight w:val="280"/>
        </w:trPr>
        <w:tc>
          <w:tcPr>
            <w:tcW w:w="256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160" w:rsidRPr="008F486F" w14:paraId="6D50AA38" w14:textId="77777777">
            <w:pPr>
              <w:autoSpaceDE/>
              <w:autoSpaceDN/>
              <w:jc w:val="center"/>
              <w:rPr>
                <w:rFonts w:eastAsia="Times New Roman"/>
                <w:b/>
                <w:bCs/>
                <w:color w:val="000000"/>
                <w:sz w:val="20"/>
                <w:szCs w:val="20"/>
              </w:rPr>
            </w:pPr>
            <w:r w:rsidRPr="008F486F">
              <w:rPr>
                <w:rFonts w:eastAsia="Times New Roman"/>
                <w:b/>
                <w:bCs/>
                <w:color w:val="000000"/>
                <w:sz w:val="20"/>
                <w:szCs w:val="20"/>
              </w:rPr>
              <w:t>Description</w:t>
            </w:r>
          </w:p>
        </w:tc>
        <w:tc>
          <w:tcPr>
            <w:tcW w:w="10159" w:type="dxa"/>
            <w:gridSpan w:val="4"/>
            <w:tcBorders>
              <w:top w:val="single" w:sz="4" w:space="0" w:color="auto"/>
              <w:left w:val="nil"/>
              <w:bottom w:val="single" w:sz="4" w:space="0" w:color="auto"/>
              <w:right w:val="single" w:sz="4" w:space="0" w:color="auto"/>
            </w:tcBorders>
            <w:shd w:val="clear" w:color="000000" w:fill="D9D9D9"/>
            <w:vAlign w:val="center"/>
            <w:hideMark/>
          </w:tcPr>
          <w:p w:rsidR="00756160" w:rsidRPr="008F486F" w14:paraId="4A9F1A42" w14:textId="77777777">
            <w:pPr>
              <w:autoSpaceDE/>
              <w:autoSpaceDN/>
              <w:jc w:val="center"/>
              <w:rPr>
                <w:rFonts w:eastAsia="Times New Roman"/>
                <w:b/>
                <w:bCs/>
                <w:sz w:val="20"/>
                <w:szCs w:val="20"/>
              </w:rPr>
            </w:pPr>
            <w:r w:rsidRPr="008F486F">
              <w:rPr>
                <w:rFonts w:eastAsia="Times New Roman"/>
                <w:b/>
                <w:bCs/>
                <w:sz w:val="20"/>
                <w:szCs w:val="20"/>
              </w:rPr>
              <w:t>Net Benefits (Costs) (2023 dollars)*</w:t>
            </w:r>
          </w:p>
        </w:tc>
      </w:tr>
      <w:tr w14:paraId="37476F54" w14:textId="77777777">
        <w:tblPrEx>
          <w:tblW w:w="0" w:type="auto"/>
          <w:tblLook w:val="04A0"/>
        </w:tblPrEx>
        <w:trPr>
          <w:trHeight w:val="49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459A3699" w14:textId="77777777">
            <w:pPr>
              <w:autoSpaceDE/>
              <w:autoSpaceDN/>
              <w:rPr>
                <w:rFonts w:eastAsia="Times New Roman"/>
                <w:b/>
                <w:bCs/>
                <w:color w:val="000000"/>
                <w:sz w:val="20"/>
                <w:szCs w:val="20"/>
              </w:rPr>
            </w:pPr>
          </w:p>
        </w:tc>
        <w:tc>
          <w:tcPr>
            <w:tcW w:w="4995" w:type="dxa"/>
            <w:gridSpan w:val="2"/>
            <w:tcBorders>
              <w:top w:val="single" w:sz="4" w:space="0" w:color="auto"/>
              <w:left w:val="nil"/>
              <w:bottom w:val="single" w:sz="4" w:space="0" w:color="auto"/>
              <w:right w:val="single" w:sz="4" w:space="0" w:color="auto"/>
            </w:tcBorders>
            <w:shd w:val="clear" w:color="000000" w:fill="D9D9D9"/>
            <w:vAlign w:val="bottom"/>
            <w:hideMark/>
          </w:tcPr>
          <w:p w:rsidR="00756160" w:rsidRPr="008F486F" w14:paraId="482D64F9" w14:textId="77777777">
            <w:pPr>
              <w:autoSpaceDE/>
              <w:autoSpaceDN/>
              <w:jc w:val="center"/>
              <w:rPr>
                <w:rFonts w:eastAsia="Times New Roman"/>
                <w:b/>
                <w:bCs/>
                <w:sz w:val="20"/>
                <w:szCs w:val="20"/>
              </w:rPr>
            </w:pPr>
            <w:r w:rsidRPr="008F486F">
              <w:rPr>
                <w:rFonts w:eastAsia="Times New Roman"/>
                <w:b/>
                <w:bCs/>
                <w:sz w:val="20"/>
                <w:szCs w:val="20"/>
              </w:rPr>
              <w:t>Alternative 2: Rulemaking and Guidance</w:t>
            </w:r>
          </w:p>
        </w:tc>
        <w:tc>
          <w:tcPr>
            <w:tcW w:w="5164" w:type="dxa"/>
            <w:gridSpan w:val="2"/>
            <w:tcBorders>
              <w:top w:val="single" w:sz="4" w:space="0" w:color="auto"/>
              <w:left w:val="nil"/>
              <w:bottom w:val="single" w:sz="4" w:space="0" w:color="auto"/>
              <w:right w:val="single" w:sz="4" w:space="0" w:color="auto"/>
            </w:tcBorders>
            <w:shd w:val="clear" w:color="000000" w:fill="D9D9D9"/>
            <w:vAlign w:val="center"/>
            <w:hideMark/>
          </w:tcPr>
          <w:p w:rsidR="00756160" w:rsidRPr="008F486F" w14:paraId="108772AF" w14:textId="00689FA5">
            <w:pPr>
              <w:autoSpaceDE/>
              <w:autoSpaceDN/>
              <w:jc w:val="center"/>
              <w:rPr>
                <w:rFonts w:eastAsia="Times New Roman"/>
                <w:b/>
                <w:bCs/>
                <w:sz w:val="20"/>
                <w:szCs w:val="20"/>
              </w:rPr>
            </w:pPr>
            <w:r w:rsidRPr="008F486F">
              <w:rPr>
                <w:rFonts w:eastAsia="Times New Roman"/>
                <w:b/>
                <w:bCs/>
                <w:sz w:val="20"/>
                <w:szCs w:val="20"/>
              </w:rPr>
              <w:t>Alternative 3: Guidance Only</w:t>
            </w:r>
          </w:p>
        </w:tc>
      </w:tr>
      <w:tr w14:paraId="64894AB5" w14:textId="77777777">
        <w:tblPrEx>
          <w:tblW w:w="0" w:type="auto"/>
          <w:tblLook w:val="04A0"/>
        </w:tblPrEx>
        <w:trPr>
          <w:trHeight w:val="280"/>
        </w:trPr>
        <w:tc>
          <w:tcPr>
            <w:tcW w:w="2560"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4A86B57E" w14:textId="77777777">
            <w:pPr>
              <w:autoSpaceDE/>
              <w:autoSpaceDN/>
              <w:rPr>
                <w:rFonts w:eastAsia="Times New Roman"/>
                <w:b/>
                <w:bCs/>
                <w:color w:val="000000"/>
                <w:sz w:val="20"/>
                <w:szCs w:val="20"/>
              </w:rPr>
            </w:pPr>
          </w:p>
        </w:tc>
        <w:tc>
          <w:tcPr>
            <w:tcW w:w="1935" w:type="dxa"/>
            <w:tcBorders>
              <w:top w:val="nil"/>
              <w:left w:val="nil"/>
              <w:bottom w:val="single" w:sz="4" w:space="0" w:color="auto"/>
              <w:right w:val="single" w:sz="4" w:space="0" w:color="auto"/>
            </w:tcBorders>
            <w:shd w:val="clear" w:color="000000" w:fill="D9D9D9"/>
            <w:vAlign w:val="bottom"/>
            <w:hideMark/>
          </w:tcPr>
          <w:p w:rsidR="00756160" w:rsidRPr="008F486F" w14:paraId="2CED83A8" w14:textId="77777777">
            <w:pPr>
              <w:autoSpaceDE/>
              <w:autoSpaceDN/>
              <w:jc w:val="center"/>
              <w:rPr>
                <w:rFonts w:eastAsia="Times New Roman"/>
                <w:b/>
                <w:bCs/>
                <w:color w:val="000000"/>
                <w:sz w:val="20"/>
                <w:szCs w:val="20"/>
              </w:rPr>
            </w:pPr>
            <w:r w:rsidRPr="008F486F">
              <w:rPr>
                <w:rFonts w:eastAsia="Times New Roman"/>
                <w:b/>
                <w:bCs/>
                <w:color w:val="000000"/>
                <w:sz w:val="20"/>
                <w:szCs w:val="20"/>
              </w:rPr>
              <w:t>7% NPV</w:t>
            </w:r>
          </w:p>
        </w:tc>
        <w:tc>
          <w:tcPr>
            <w:tcW w:w="3060" w:type="dxa"/>
            <w:tcBorders>
              <w:top w:val="nil"/>
              <w:left w:val="nil"/>
              <w:bottom w:val="single" w:sz="4" w:space="0" w:color="auto"/>
              <w:right w:val="single" w:sz="4" w:space="0" w:color="auto"/>
            </w:tcBorders>
            <w:shd w:val="clear" w:color="000000" w:fill="D9D9D9"/>
            <w:vAlign w:val="bottom"/>
            <w:hideMark/>
          </w:tcPr>
          <w:p w:rsidR="00756160" w:rsidRPr="008F486F" w14:paraId="2EE0988D" w14:textId="77777777">
            <w:pPr>
              <w:autoSpaceDE/>
              <w:autoSpaceDN/>
              <w:jc w:val="center"/>
              <w:rPr>
                <w:rFonts w:eastAsia="Times New Roman"/>
                <w:b/>
                <w:bCs/>
                <w:color w:val="000000"/>
                <w:sz w:val="20"/>
                <w:szCs w:val="20"/>
              </w:rPr>
            </w:pPr>
            <w:r w:rsidRPr="008F486F">
              <w:rPr>
                <w:rFonts w:eastAsia="Times New Roman"/>
                <w:b/>
                <w:bCs/>
                <w:color w:val="000000"/>
                <w:sz w:val="20"/>
                <w:szCs w:val="20"/>
              </w:rPr>
              <w:t>3% NPV</w:t>
            </w:r>
          </w:p>
        </w:tc>
        <w:tc>
          <w:tcPr>
            <w:tcW w:w="2390" w:type="dxa"/>
            <w:tcBorders>
              <w:top w:val="nil"/>
              <w:left w:val="nil"/>
              <w:bottom w:val="single" w:sz="4" w:space="0" w:color="auto"/>
              <w:right w:val="single" w:sz="4" w:space="0" w:color="auto"/>
            </w:tcBorders>
            <w:shd w:val="clear" w:color="000000" w:fill="D9D9D9"/>
            <w:vAlign w:val="center"/>
            <w:hideMark/>
          </w:tcPr>
          <w:p w:rsidR="00756160" w:rsidRPr="008F486F" w14:paraId="79492EDD" w14:textId="77777777">
            <w:pPr>
              <w:autoSpaceDE/>
              <w:autoSpaceDN/>
              <w:jc w:val="center"/>
              <w:rPr>
                <w:rFonts w:eastAsia="Times New Roman"/>
                <w:b/>
                <w:bCs/>
                <w:color w:val="000000"/>
                <w:sz w:val="20"/>
                <w:szCs w:val="20"/>
              </w:rPr>
            </w:pPr>
            <w:r w:rsidRPr="008F486F">
              <w:rPr>
                <w:rFonts w:eastAsia="Times New Roman"/>
                <w:b/>
                <w:bCs/>
                <w:color w:val="000000"/>
                <w:sz w:val="20"/>
                <w:szCs w:val="20"/>
              </w:rPr>
              <w:t>7% NPV</w:t>
            </w:r>
          </w:p>
        </w:tc>
        <w:tc>
          <w:tcPr>
            <w:tcW w:w="2774" w:type="dxa"/>
            <w:tcBorders>
              <w:top w:val="nil"/>
              <w:left w:val="nil"/>
              <w:bottom w:val="single" w:sz="4" w:space="0" w:color="auto"/>
              <w:right w:val="single" w:sz="4" w:space="0" w:color="auto"/>
            </w:tcBorders>
            <w:shd w:val="clear" w:color="000000" w:fill="D9D9D9"/>
            <w:vAlign w:val="center"/>
            <w:hideMark/>
          </w:tcPr>
          <w:p w:rsidR="00756160" w:rsidRPr="008F486F" w14:paraId="0797C5BB" w14:textId="77777777">
            <w:pPr>
              <w:autoSpaceDE/>
              <w:autoSpaceDN/>
              <w:jc w:val="center"/>
              <w:rPr>
                <w:rFonts w:eastAsia="Times New Roman"/>
                <w:b/>
                <w:bCs/>
                <w:color w:val="000000"/>
                <w:sz w:val="20"/>
                <w:szCs w:val="20"/>
              </w:rPr>
            </w:pPr>
            <w:r w:rsidRPr="008F486F">
              <w:rPr>
                <w:rFonts w:eastAsia="Times New Roman"/>
                <w:b/>
                <w:bCs/>
                <w:color w:val="000000"/>
                <w:sz w:val="20"/>
                <w:szCs w:val="20"/>
              </w:rPr>
              <w:t>3% NPV</w:t>
            </w:r>
          </w:p>
        </w:tc>
      </w:tr>
      <w:tr w14:paraId="77480370"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noWrap/>
            <w:vAlign w:val="center"/>
            <w:hideMark/>
          </w:tcPr>
          <w:p w:rsidR="00756160" w:rsidRPr="008F486F" w14:paraId="0203EF4E" w14:textId="48C11F42">
            <w:pPr>
              <w:autoSpaceDE/>
              <w:autoSpaceDN/>
              <w:rPr>
                <w:rFonts w:eastAsia="Times New Roman"/>
                <w:b/>
                <w:bCs/>
                <w:color w:val="000000"/>
                <w:sz w:val="20"/>
                <w:szCs w:val="20"/>
              </w:rPr>
            </w:pPr>
            <w:r w:rsidRPr="008F486F">
              <w:rPr>
                <w:rFonts w:eastAsia="Times New Roman"/>
                <w:b/>
                <w:bCs/>
                <w:color w:val="000000"/>
                <w:sz w:val="20"/>
                <w:szCs w:val="20"/>
              </w:rPr>
              <w:t>Averted Costs</w:t>
            </w:r>
          </w:p>
        </w:tc>
        <w:tc>
          <w:tcPr>
            <w:tcW w:w="1935" w:type="dxa"/>
            <w:tcBorders>
              <w:top w:val="nil"/>
              <w:left w:val="nil"/>
              <w:bottom w:val="single" w:sz="4" w:space="0" w:color="auto"/>
              <w:right w:val="single" w:sz="4" w:space="0" w:color="auto"/>
            </w:tcBorders>
            <w:vAlign w:val="center"/>
            <w:hideMark/>
          </w:tcPr>
          <w:p w:rsidR="00756160" w:rsidRPr="008F486F" w14:paraId="6C0025E0" w14:textId="77777777">
            <w:pPr>
              <w:autoSpaceDE/>
              <w:autoSpaceDN/>
              <w:rPr>
                <w:rFonts w:eastAsia="Times New Roman"/>
                <w:b/>
                <w:bCs/>
                <w:color w:val="000000"/>
                <w:sz w:val="20"/>
                <w:szCs w:val="20"/>
              </w:rPr>
            </w:pPr>
          </w:p>
        </w:tc>
        <w:tc>
          <w:tcPr>
            <w:tcW w:w="3060" w:type="dxa"/>
            <w:tcBorders>
              <w:top w:val="nil"/>
              <w:left w:val="nil"/>
              <w:bottom w:val="single" w:sz="4" w:space="0" w:color="auto"/>
              <w:right w:val="single" w:sz="4" w:space="0" w:color="auto"/>
            </w:tcBorders>
            <w:vAlign w:val="center"/>
            <w:hideMark/>
          </w:tcPr>
          <w:p w:rsidR="00756160" w:rsidRPr="008F486F" w14:paraId="5CB9F877" w14:textId="77777777">
            <w:pPr>
              <w:autoSpaceDE/>
              <w:autoSpaceDN/>
              <w:rPr>
                <w:rFonts w:eastAsia="Times New Roman"/>
                <w:b/>
                <w:bCs/>
                <w:color w:val="000000"/>
                <w:sz w:val="20"/>
                <w:szCs w:val="20"/>
              </w:rPr>
            </w:pPr>
          </w:p>
        </w:tc>
        <w:tc>
          <w:tcPr>
            <w:tcW w:w="2390" w:type="dxa"/>
            <w:tcBorders>
              <w:top w:val="nil"/>
              <w:left w:val="nil"/>
              <w:bottom w:val="single" w:sz="4" w:space="0" w:color="auto"/>
              <w:right w:val="single" w:sz="4" w:space="0" w:color="auto"/>
            </w:tcBorders>
            <w:vAlign w:val="center"/>
            <w:hideMark/>
          </w:tcPr>
          <w:p w:rsidR="00756160" w:rsidRPr="008F486F" w14:paraId="657DC1F9" w14:textId="77777777">
            <w:pPr>
              <w:autoSpaceDE/>
              <w:autoSpaceDN/>
              <w:rPr>
                <w:rFonts w:eastAsia="Times New Roman"/>
                <w:b/>
                <w:bCs/>
                <w:color w:val="000000"/>
                <w:sz w:val="20"/>
                <w:szCs w:val="20"/>
              </w:rPr>
            </w:pPr>
          </w:p>
        </w:tc>
        <w:tc>
          <w:tcPr>
            <w:tcW w:w="2774" w:type="dxa"/>
            <w:tcBorders>
              <w:top w:val="nil"/>
              <w:left w:val="nil"/>
              <w:bottom w:val="single" w:sz="4" w:space="0" w:color="auto"/>
              <w:right w:val="single" w:sz="4" w:space="0" w:color="auto"/>
            </w:tcBorders>
            <w:vAlign w:val="center"/>
            <w:hideMark/>
          </w:tcPr>
          <w:p w:rsidR="00756160" w:rsidRPr="008F486F" w14:paraId="24875802" w14:textId="77777777">
            <w:pPr>
              <w:autoSpaceDE/>
              <w:autoSpaceDN/>
              <w:rPr>
                <w:rFonts w:eastAsia="Times New Roman"/>
                <w:b/>
                <w:bCs/>
                <w:color w:val="000000"/>
                <w:sz w:val="20"/>
                <w:szCs w:val="20"/>
              </w:rPr>
            </w:pPr>
          </w:p>
        </w:tc>
      </w:tr>
      <w:tr w14:paraId="293DF046"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noWrap/>
            <w:vAlign w:val="bottom"/>
            <w:hideMark/>
          </w:tcPr>
          <w:p w:rsidR="00756160" w:rsidRPr="008F486F" w14:paraId="20B8E12A" w14:textId="77777777">
            <w:pPr>
              <w:autoSpaceDE/>
              <w:autoSpaceDN/>
              <w:jc w:val="right"/>
              <w:rPr>
                <w:rFonts w:eastAsia="Times New Roman"/>
                <w:color w:val="000000"/>
                <w:sz w:val="20"/>
                <w:szCs w:val="20"/>
              </w:rPr>
            </w:pPr>
            <w:r w:rsidRPr="008F486F">
              <w:rPr>
                <w:rFonts w:eastAsia="Times New Roman"/>
                <w:color w:val="000000"/>
                <w:sz w:val="20"/>
                <w:szCs w:val="20"/>
              </w:rPr>
              <w:t>Industry Benefit</w:t>
            </w:r>
          </w:p>
        </w:tc>
        <w:tc>
          <w:tcPr>
            <w:tcW w:w="1935" w:type="dxa"/>
            <w:tcBorders>
              <w:top w:val="nil"/>
              <w:left w:val="nil"/>
              <w:bottom w:val="single" w:sz="4" w:space="0" w:color="auto"/>
              <w:right w:val="single" w:sz="4" w:space="0" w:color="auto"/>
            </w:tcBorders>
            <w:noWrap/>
            <w:vAlign w:val="bottom"/>
            <w:hideMark/>
          </w:tcPr>
          <w:p w:rsidR="00756160" w:rsidRPr="007E5E6A" w14:paraId="6FA2DD4D" w14:textId="77777777">
            <w:pPr>
              <w:autoSpaceDE/>
              <w:autoSpaceDN/>
              <w:jc w:val="right"/>
              <w:rPr>
                <w:rFonts w:eastAsia="Times New Roman"/>
                <w:color w:val="000000"/>
                <w:sz w:val="20"/>
                <w:szCs w:val="20"/>
              </w:rPr>
            </w:pPr>
            <w:r w:rsidRPr="007E5E6A">
              <w:rPr>
                <w:sz w:val="20"/>
                <w:szCs w:val="20"/>
              </w:rPr>
              <w:t>$2,027,000</w:t>
            </w:r>
          </w:p>
        </w:tc>
        <w:tc>
          <w:tcPr>
            <w:tcW w:w="3060" w:type="dxa"/>
            <w:tcBorders>
              <w:top w:val="nil"/>
              <w:left w:val="nil"/>
              <w:bottom w:val="single" w:sz="4" w:space="0" w:color="auto"/>
              <w:right w:val="single" w:sz="4" w:space="0" w:color="auto"/>
            </w:tcBorders>
            <w:noWrap/>
            <w:vAlign w:val="bottom"/>
            <w:hideMark/>
          </w:tcPr>
          <w:p w:rsidR="00756160" w:rsidRPr="007E5E6A" w14:paraId="5610B308" w14:textId="77777777">
            <w:pPr>
              <w:autoSpaceDE/>
              <w:autoSpaceDN/>
              <w:jc w:val="right"/>
              <w:rPr>
                <w:rFonts w:eastAsia="Times New Roman"/>
                <w:color w:val="000000"/>
                <w:sz w:val="20"/>
                <w:szCs w:val="20"/>
              </w:rPr>
            </w:pPr>
            <w:r w:rsidRPr="007E5E6A">
              <w:rPr>
                <w:sz w:val="20"/>
                <w:szCs w:val="20"/>
              </w:rPr>
              <w:t xml:space="preserve">$4,077,000 </w:t>
            </w:r>
          </w:p>
        </w:tc>
        <w:tc>
          <w:tcPr>
            <w:tcW w:w="2390" w:type="dxa"/>
            <w:tcBorders>
              <w:top w:val="nil"/>
              <w:left w:val="nil"/>
              <w:bottom w:val="single" w:sz="4" w:space="0" w:color="auto"/>
              <w:right w:val="single" w:sz="4" w:space="0" w:color="auto"/>
            </w:tcBorders>
            <w:noWrap/>
            <w:vAlign w:val="bottom"/>
            <w:hideMark/>
          </w:tcPr>
          <w:p w:rsidR="00756160" w:rsidRPr="007E5E6A" w14:paraId="59B10EA6" w14:textId="77777777">
            <w:pPr>
              <w:autoSpaceDE/>
              <w:autoSpaceDN/>
              <w:jc w:val="right"/>
              <w:rPr>
                <w:rFonts w:eastAsia="Times New Roman"/>
                <w:color w:val="000000"/>
                <w:sz w:val="20"/>
                <w:szCs w:val="20"/>
              </w:rPr>
            </w:pPr>
            <w:r w:rsidRPr="007E5E6A">
              <w:rPr>
                <w:sz w:val="20"/>
                <w:szCs w:val="20"/>
              </w:rPr>
              <w:t xml:space="preserve">$2,027,000 </w:t>
            </w:r>
          </w:p>
        </w:tc>
        <w:tc>
          <w:tcPr>
            <w:tcW w:w="2774" w:type="dxa"/>
            <w:tcBorders>
              <w:top w:val="nil"/>
              <w:left w:val="nil"/>
              <w:bottom w:val="single" w:sz="4" w:space="0" w:color="auto"/>
              <w:right w:val="single" w:sz="4" w:space="0" w:color="auto"/>
            </w:tcBorders>
            <w:noWrap/>
            <w:vAlign w:val="bottom"/>
            <w:hideMark/>
          </w:tcPr>
          <w:p w:rsidR="00756160" w:rsidRPr="007E5E6A" w14:paraId="788BE0D9" w14:textId="77777777">
            <w:pPr>
              <w:autoSpaceDE/>
              <w:autoSpaceDN/>
              <w:jc w:val="right"/>
              <w:rPr>
                <w:rFonts w:eastAsia="Times New Roman"/>
                <w:color w:val="000000"/>
                <w:sz w:val="20"/>
                <w:szCs w:val="20"/>
              </w:rPr>
            </w:pPr>
            <w:r w:rsidRPr="007E5E6A">
              <w:rPr>
                <w:sz w:val="20"/>
                <w:szCs w:val="20"/>
              </w:rPr>
              <w:t xml:space="preserve">$4,077,000 </w:t>
            </w:r>
          </w:p>
        </w:tc>
      </w:tr>
      <w:tr w14:paraId="0D319034"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noWrap/>
            <w:vAlign w:val="bottom"/>
            <w:hideMark/>
          </w:tcPr>
          <w:p w:rsidR="00756160" w:rsidRPr="005A5718" w14:paraId="4837889E" w14:textId="77777777">
            <w:pPr>
              <w:autoSpaceDE/>
              <w:autoSpaceDN/>
              <w:jc w:val="right"/>
              <w:rPr>
                <w:rFonts w:eastAsia="Times New Roman"/>
                <w:color w:val="000000"/>
                <w:sz w:val="20"/>
                <w:szCs w:val="20"/>
              </w:rPr>
            </w:pPr>
            <w:r w:rsidRPr="005A5718">
              <w:rPr>
                <w:rFonts w:eastAsia="Times New Roman"/>
                <w:color w:val="000000"/>
                <w:sz w:val="20"/>
                <w:szCs w:val="20"/>
              </w:rPr>
              <w:t>Agreement States Benefit</w:t>
            </w:r>
          </w:p>
        </w:tc>
        <w:tc>
          <w:tcPr>
            <w:tcW w:w="1935" w:type="dxa"/>
            <w:tcBorders>
              <w:top w:val="nil"/>
              <w:left w:val="nil"/>
              <w:bottom w:val="single" w:sz="4" w:space="0" w:color="auto"/>
              <w:right w:val="single" w:sz="4" w:space="0" w:color="auto"/>
            </w:tcBorders>
            <w:noWrap/>
            <w:vAlign w:val="bottom"/>
            <w:hideMark/>
          </w:tcPr>
          <w:p w:rsidR="00756160" w:rsidRPr="005A5718" w14:paraId="1580F16A" w14:textId="77777777">
            <w:pPr>
              <w:autoSpaceDE/>
              <w:autoSpaceDN/>
              <w:jc w:val="right"/>
              <w:rPr>
                <w:rFonts w:eastAsia="Times New Roman"/>
                <w:color w:val="000000"/>
                <w:sz w:val="20"/>
                <w:szCs w:val="20"/>
              </w:rPr>
            </w:pPr>
            <w:r w:rsidRPr="005A5718">
              <w:rPr>
                <w:sz w:val="20"/>
                <w:szCs w:val="20"/>
              </w:rPr>
              <w:t>$177,000</w:t>
            </w:r>
          </w:p>
        </w:tc>
        <w:tc>
          <w:tcPr>
            <w:tcW w:w="3060" w:type="dxa"/>
            <w:tcBorders>
              <w:top w:val="nil"/>
              <w:left w:val="nil"/>
              <w:bottom w:val="single" w:sz="4" w:space="0" w:color="auto"/>
              <w:right w:val="single" w:sz="4" w:space="0" w:color="auto"/>
            </w:tcBorders>
            <w:noWrap/>
            <w:vAlign w:val="bottom"/>
            <w:hideMark/>
          </w:tcPr>
          <w:p w:rsidR="00756160" w:rsidRPr="005A5718" w14:paraId="0EBA2516" w14:textId="77777777">
            <w:pPr>
              <w:autoSpaceDE/>
              <w:autoSpaceDN/>
              <w:jc w:val="right"/>
              <w:rPr>
                <w:rFonts w:eastAsia="Times New Roman"/>
                <w:color w:val="000000"/>
                <w:sz w:val="20"/>
                <w:szCs w:val="20"/>
              </w:rPr>
            </w:pPr>
            <w:r w:rsidRPr="005A5718">
              <w:rPr>
                <w:sz w:val="20"/>
                <w:szCs w:val="20"/>
              </w:rPr>
              <w:t xml:space="preserve">$356,000 </w:t>
            </w:r>
          </w:p>
        </w:tc>
        <w:tc>
          <w:tcPr>
            <w:tcW w:w="2390" w:type="dxa"/>
            <w:tcBorders>
              <w:top w:val="nil"/>
              <w:left w:val="nil"/>
              <w:bottom w:val="single" w:sz="4" w:space="0" w:color="auto"/>
              <w:right w:val="single" w:sz="4" w:space="0" w:color="auto"/>
            </w:tcBorders>
            <w:noWrap/>
            <w:vAlign w:val="bottom"/>
            <w:hideMark/>
          </w:tcPr>
          <w:p w:rsidR="00756160" w:rsidRPr="005A5718" w14:paraId="162D6B9A" w14:textId="77777777">
            <w:pPr>
              <w:autoSpaceDE/>
              <w:autoSpaceDN/>
              <w:jc w:val="right"/>
              <w:rPr>
                <w:rFonts w:eastAsia="Times New Roman"/>
                <w:color w:val="000000"/>
                <w:sz w:val="20"/>
                <w:szCs w:val="20"/>
              </w:rPr>
            </w:pPr>
            <w:r w:rsidRPr="005A5718">
              <w:rPr>
                <w:sz w:val="20"/>
                <w:szCs w:val="20"/>
              </w:rPr>
              <w:t xml:space="preserve">$177,000 </w:t>
            </w:r>
          </w:p>
        </w:tc>
        <w:tc>
          <w:tcPr>
            <w:tcW w:w="2774" w:type="dxa"/>
            <w:tcBorders>
              <w:top w:val="nil"/>
              <w:left w:val="nil"/>
              <w:bottom w:val="single" w:sz="4" w:space="0" w:color="auto"/>
              <w:right w:val="single" w:sz="4" w:space="0" w:color="auto"/>
            </w:tcBorders>
            <w:noWrap/>
            <w:vAlign w:val="bottom"/>
            <w:hideMark/>
          </w:tcPr>
          <w:p w:rsidR="00756160" w:rsidRPr="005A5718" w14:paraId="6785A5AB" w14:textId="77777777">
            <w:pPr>
              <w:autoSpaceDE/>
              <w:autoSpaceDN/>
              <w:jc w:val="right"/>
              <w:rPr>
                <w:rFonts w:eastAsia="Times New Roman"/>
                <w:color w:val="000000"/>
                <w:sz w:val="20"/>
                <w:szCs w:val="20"/>
              </w:rPr>
            </w:pPr>
            <w:r w:rsidRPr="005A5718">
              <w:rPr>
                <w:sz w:val="20"/>
                <w:szCs w:val="20"/>
              </w:rPr>
              <w:t xml:space="preserve">$356,000 </w:t>
            </w:r>
          </w:p>
        </w:tc>
      </w:tr>
      <w:tr w14:paraId="29A56709"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noWrap/>
            <w:vAlign w:val="bottom"/>
            <w:hideMark/>
          </w:tcPr>
          <w:p w:rsidR="00756160" w:rsidRPr="005A5718" w14:paraId="4175D0C4" w14:textId="77777777">
            <w:pPr>
              <w:autoSpaceDE/>
              <w:autoSpaceDN/>
              <w:jc w:val="right"/>
              <w:rPr>
                <w:rFonts w:eastAsia="Times New Roman"/>
                <w:color w:val="000000"/>
                <w:sz w:val="20"/>
                <w:szCs w:val="20"/>
              </w:rPr>
            </w:pPr>
            <w:r w:rsidRPr="005A5718">
              <w:rPr>
                <w:rFonts w:eastAsia="Times New Roman"/>
                <w:color w:val="000000"/>
                <w:sz w:val="20"/>
                <w:szCs w:val="20"/>
              </w:rPr>
              <w:t xml:space="preserve">NRC Benefit </w:t>
            </w:r>
          </w:p>
        </w:tc>
        <w:tc>
          <w:tcPr>
            <w:tcW w:w="1935" w:type="dxa"/>
            <w:tcBorders>
              <w:top w:val="nil"/>
              <w:left w:val="nil"/>
              <w:bottom w:val="single" w:sz="4" w:space="0" w:color="auto"/>
              <w:right w:val="single" w:sz="4" w:space="0" w:color="auto"/>
            </w:tcBorders>
            <w:noWrap/>
            <w:vAlign w:val="bottom"/>
            <w:hideMark/>
          </w:tcPr>
          <w:p w:rsidR="00756160" w:rsidRPr="005A5718" w14:paraId="5FD6B9AE" w14:textId="77777777">
            <w:pPr>
              <w:autoSpaceDE/>
              <w:autoSpaceDN/>
              <w:jc w:val="right"/>
              <w:rPr>
                <w:rFonts w:eastAsia="Times New Roman"/>
                <w:color w:val="000000"/>
                <w:sz w:val="20"/>
                <w:szCs w:val="20"/>
              </w:rPr>
            </w:pPr>
            <w:r w:rsidRPr="005A5718">
              <w:rPr>
                <w:sz w:val="20"/>
                <w:szCs w:val="20"/>
              </w:rPr>
              <w:t>$34,000</w:t>
            </w:r>
          </w:p>
        </w:tc>
        <w:tc>
          <w:tcPr>
            <w:tcW w:w="3060" w:type="dxa"/>
            <w:tcBorders>
              <w:top w:val="nil"/>
              <w:left w:val="nil"/>
              <w:bottom w:val="single" w:sz="4" w:space="0" w:color="auto"/>
              <w:right w:val="single" w:sz="4" w:space="0" w:color="auto"/>
            </w:tcBorders>
            <w:noWrap/>
            <w:vAlign w:val="bottom"/>
            <w:hideMark/>
          </w:tcPr>
          <w:p w:rsidR="00756160" w:rsidRPr="005A5718" w14:paraId="4B9E372E" w14:textId="77777777">
            <w:pPr>
              <w:autoSpaceDE/>
              <w:autoSpaceDN/>
              <w:jc w:val="right"/>
              <w:rPr>
                <w:rFonts w:eastAsia="Times New Roman"/>
                <w:color w:val="000000"/>
                <w:sz w:val="20"/>
                <w:szCs w:val="20"/>
              </w:rPr>
            </w:pPr>
            <w:r w:rsidRPr="005A5718">
              <w:rPr>
                <w:sz w:val="20"/>
                <w:szCs w:val="20"/>
              </w:rPr>
              <w:t xml:space="preserve">$70,000 </w:t>
            </w:r>
          </w:p>
        </w:tc>
        <w:tc>
          <w:tcPr>
            <w:tcW w:w="2390" w:type="dxa"/>
            <w:tcBorders>
              <w:top w:val="nil"/>
              <w:left w:val="nil"/>
              <w:bottom w:val="single" w:sz="4" w:space="0" w:color="auto"/>
              <w:right w:val="single" w:sz="4" w:space="0" w:color="auto"/>
            </w:tcBorders>
            <w:noWrap/>
            <w:vAlign w:val="bottom"/>
            <w:hideMark/>
          </w:tcPr>
          <w:p w:rsidR="00756160" w:rsidRPr="005A5718" w14:paraId="0FB7B9EE" w14:textId="77777777">
            <w:pPr>
              <w:autoSpaceDE/>
              <w:autoSpaceDN/>
              <w:jc w:val="right"/>
              <w:rPr>
                <w:rFonts w:eastAsia="Times New Roman"/>
                <w:color w:val="000000"/>
                <w:sz w:val="20"/>
                <w:szCs w:val="20"/>
              </w:rPr>
            </w:pPr>
            <w:r w:rsidRPr="005A5718">
              <w:rPr>
                <w:sz w:val="20"/>
                <w:szCs w:val="20"/>
              </w:rPr>
              <w:t xml:space="preserve">$34,000 </w:t>
            </w:r>
          </w:p>
        </w:tc>
        <w:tc>
          <w:tcPr>
            <w:tcW w:w="2774" w:type="dxa"/>
            <w:tcBorders>
              <w:top w:val="nil"/>
              <w:left w:val="nil"/>
              <w:bottom w:val="single" w:sz="4" w:space="0" w:color="auto"/>
              <w:right w:val="single" w:sz="4" w:space="0" w:color="auto"/>
            </w:tcBorders>
            <w:noWrap/>
            <w:vAlign w:val="bottom"/>
            <w:hideMark/>
          </w:tcPr>
          <w:p w:rsidR="00756160" w:rsidRPr="005A5718" w14:paraId="16648740" w14:textId="77777777">
            <w:pPr>
              <w:autoSpaceDE/>
              <w:autoSpaceDN/>
              <w:jc w:val="right"/>
              <w:rPr>
                <w:rFonts w:eastAsia="Times New Roman"/>
                <w:color w:val="000000"/>
                <w:sz w:val="20"/>
                <w:szCs w:val="20"/>
              </w:rPr>
            </w:pPr>
            <w:r w:rsidRPr="005A5718">
              <w:rPr>
                <w:sz w:val="20"/>
                <w:szCs w:val="20"/>
              </w:rPr>
              <w:t xml:space="preserve">$70,000 </w:t>
            </w:r>
          </w:p>
        </w:tc>
      </w:tr>
      <w:tr w14:paraId="63FAEB16" w14:textId="77777777">
        <w:tblPrEx>
          <w:tblW w:w="0" w:type="auto"/>
          <w:tblLook w:val="04A0"/>
        </w:tblPrEx>
        <w:trPr>
          <w:trHeight w:val="280"/>
        </w:trPr>
        <w:tc>
          <w:tcPr>
            <w:tcW w:w="2560" w:type="dxa"/>
            <w:tcBorders>
              <w:top w:val="nil"/>
              <w:left w:val="single" w:sz="4" w:space="0" w:color="auto"/>
              <w:bottom w:val="single" w:sz="4" w:space="0" w:color="auto"/>
              <w:right w:val="nil"/>
            </w:tcBorders>
            <w:noWrap/>
            <w:vAlign w:val="bottom"/>
            <w:hideMark/>
          </w:tcPr>
          <w:p w:rsidR="00756160" w:rsidRPr="005A5718" w14:paraId="496E945E" w14:textId="77777777">
            <w:pPr>
              <w:autoSpaceDE/>
              <w:autoSpaceDN/>
              <w:jc w:val="right"/>
              <w:rPr>
                <w:rFonts w:eastAsia="Times New Roman"/>
                <w:b/>
                <w:bCs/>
                <w:color w:val="000000"/>
                <w:sz w:val="20"/>
                <w:szCs w:val="20"/>
              </w:rPr>
            </w:pPr>
            <w:r w:rsidRPr="005A5718">
              <w:rPr>
                <w:rFonts w:eastAsia="Times New Roman"/>
                <w:b/>
                <w:bCs/>
                <w:color w:val="000000"/>
                <w:sz w:val="20"/>
                <w:szCs w:val="20"/>
              </w:rPr>
              <w:t>Total Benefit</w:t>
            </w:r>
          </w:p>
        </w:tc>
        <w:tc>
          <w:tcPr>
            <w:tcW w:w="1935" w:type="dxa"/>
            <w:tcBorders>
              <w:top w:val="nil"/>
              <w:left w:val="single" w:sz="4" w:space="0" w:color="auto"/>
              <w:bottom w:val="single" w:sz="4" w:space="0" w:color="auto"/>
              <w:right w:val="single" w:sz="4" w:space="0" w:color="auto"/>
            </w:tcBorders>
            <w:noWrap/>
            <w:vAlign w:val="bottom"/>
            <w:hideMark/>
          </w:tcPr>
          <w:p w:rsidR="00756160" w:rsidRPr="005A5718" w14:paraId="323EBAA8" w14:textId="77777777">
            <w:pPr>
              <w:autoSpaceDE/>
              <w:autoSpaceDN/>
              <w:jc w:val="right"/>
              <w:rPr>
                <w:rFonts w:eastAsia="Times New Roman"/>
                <w:color w:val="000000"/>
                <w:sz w:val="20"/>
                <w:szCs w:val="20"/>
              </w:rPr>
            </w:pPr>
            <w:r w:rsidRPr="005A5718">
              <w:rPr>
                <w:sz w:val="20"/>
                <w:szCs w:val="20"/>
              </w:rPr>
              <w:t>$2,239,000</w:t>
            </w:r>
          </w:p>
        </w:tc>
        <w:tc>
          <w:tcPr>
            <w:tcW w:w="3060" w:type="dxa"/>
            <w:tcBorders>
              <w:top w:val="nil"/>
              <w:left w:val="nil"/>
              <w:bottom w:val="single" w:sz="4" w:space="0" w:color="auto"/>
              <w:right w:val="single" w:sz="4" w:space="0" w:color="auto"/>
            </w:tcBorders>
            <w:noWrap/>
            <w:vAlign w:val="bottom"/>
            <w:hideMark/>
          </w:tcPr>
          <w:p w:rsidR="00756160" w:rsidRPr="005A5718" w14:paraId="2B8B9713" w14:textId="77777777">
            <w:pPr>
              <w:autoSpaceDE/>
              <w:autoSpaceDN/>
              <w:jc w:val="right"/>
              <w:rPr>
                <w:rFonts w:eastAsia="Times New Roman"/>
                <w:color w:val="000000"/>
                <w:sz w:val="20"/>
                <w:szCs w:val="20"/>
              </w:rPr>
            </w:pPr>
            <w:r w:rsidRPr="005A5718">
              <w:rPr>
                <w:sz w:val="20"/>
                <w:szCs w:val="20"/>
              </w:rPr>
              <w:t xml:space="preserve">$4,503,000 </w:t>
            </w:r>
          </w:p>
        </w:tc>
        <w:tc>
          <w:tcPr>
            <w:tcW w:w="2390" w:type="dxa"/>
            <w:tcBorders>
              <w:top w:val="nil"/>
              <w:left w:val="nil"/>
              <w:bottom w:val="single" w:sz="4" w:space="0" w:color="auto"/>
              <w:right w:val="single" w:sz="4" w:space="0" w:color="auto"/>
            </w:tcBorders>
            <w:noWrap/>
            <w:vAlign w:val="bottom"/>
            <w:hideMark/>
          </w:tcPr>
          <w:p w:rsidR="00756160" w:rsidRPr="005A5718" w14:paraId="252F77CA" w14:textId="77777777">
            <w:pPr>
              <w:autoSpaceDE/>
              <w:autoSpaceDN/>
              <w:jc w:val="right"/>
              <w:rPr>
                <w:rFonts w:eastAsia="Times New Roman"/>
                <w:color w:val="000000"/>
                <w:sz w:val="20"/>
                <w:szCs w:val="20"/>
              </w:rPr>
            </w:pPr>
            <w:r w:rsidRPr="005A5718">
              <w:rPr>
                <w:sz w:val="20"/>
                <w:szCs w:val="20"/>
              </w:rPr>
              <w:t xml:space="preserve">$2,239,000 </w:t>
            </w:r>
          </w:p>
        </w:tc>
        <w:tc>
          <w:tcPr>
            <w:tcW w:w="2774" w:type="dxa"/>
            <w:tcBorders>
              <w:top w:val="nil"/>
              <w:left w:val="nil"/>
              <w:bottom w:val="single" w:sz="4" w:space="0" w:color="auto"/>
              <w:right w:val="single" w:sz="4" w:space="0" w:color="auto"/>
            </w:tcBorders>
            <w:noWrap/>
            <w:vAlign w:val="bottom"/>
            <w:hideMark/>
          </w:tcPr>
          <w:p w:rsidR="00756160" w:rsidRPr="005A5718" w14:paraId="29134997" w14:textId="77777777">
            <w:pPr>
              <w:autoSpaceDE/>
              <w:autoSpaceDN/>
              <w:jc w:val="right"/>
              <w:rPr>
                <w:rFonts w:eastAsia="Times New Roman"/>
                <w:color w:val="000000"/>
                <w:sz w:val="20"/>
                <w:szCs w:val="20"/>
              </w:rPr>
            </w:pPr>
            <w:r w:rsidRPr="005A5718">
              <w:rPr>
                <w:sz w:val="20"/>
                <w:szCs w:val="20"/>
              </w:rPr>
              <w:t xml:space="preserve">$4,503,000 </w:t>
            </w:r>
          </w:p>
        </w:tc>
      </w:tr>
      <w:tr w14:paraId="458F7FEA"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noWrap/>
            <w:vAlign w:val="center"/>
            <w:hideMark/>
          </w:tcPr>
          <w:p w:rsidR="00756160" w:rsidRPr="005A5718" w14:paraId="2C19A4E7" w14:textId="77777777">
            <w:pPr>
              <w:autoSpaceDE/>
              <w:autoSpaceDN/>
              <w:rPr>
                <w:rFonts w:eastAsia="Times New Roman"/>
                <w:b/>
                <w:bCs/>
                <w:color w:val="000000"/>
                <w:sz w:val="20"/>
                <w:szCs w:val="20"/>
              </w:rPr>
            </w:pPr>
            <w:r w:rsidRPr="005A5718">
              <w:rPr>
                <w:rFonts w:eastAsia="Times New Roman"/>
                <w:b/>
                <w:bCs/>
                <w:color w:val="000000"/>
                <w:sz w:val="20"/>
                <w:szCs w:val="20"/>
              </w:rPr>
              <w:t>Implementation Costs</w:t>
            </w:r>
          </w:p>
        </w:tc>
        <w:tc>
          <w:tcPr>
            <w:tcW w:w="1935" w:type="dxa"/>
            <w:tcBorders>
              <w:top w:val="nil"/>
              <w:left w:val="nil"/>
              <w:bottom w:val="single" w:sz="4" w:space="0" w:color="auto"/>
              <w:right w:val="single" w:sz="4" w:space="0" w:color="auto"/>
            </w:tcBorders>
            <w:noWrap/>
            <w:vAlign w:val="bottom"/>
            <w:hideMark/>
          </w:tcPr>
          <w:p w:rsidR="00756160" w:rsidRPr="005A5718" w14:paraId="6ED7F9B2" w14:textId="77777777">
            <w:pPr>
              <w:autoSpaceDE/>
              <w:autoSpaceDN/>
              <w:jc w:val="right"/>
              <w:rPr>
                <w:rFonts w:eastAsia="Times New Roman"/>
                <w:color w:val="000000"/>
                <w:sz w:val="20"/>
                <w:szCs w:val="20"/>
              </w:rPr>
            </w:pPr>
          </w:p>
        </w:tc>
        <w:tc>
          <w:tcPr>
            <w:tcW w:w="3060" w:type="dxa"/>
            <w:tcBorders>
              <w:top w:val="nil"/>
              <w:left w:val="nil"/>
              <w:bottom w:val="single" w:sz="4" w:space="0" w:color="auto"/>
              <w:right w:val="single" w:sz="4" w:space="0" w:color="auto"/>
            </w:tcBorders>
            <w:noWrap/>
            <w:vAlign w:val="bottom"/>
            <w:hideMark/>
          </w:tcPr>
          <w:p w:rsidR="00756160" w:rsidRPr="005A5718" w14:paraId="6E932250" w14:textId="77777777">
            <w:pPr>
              <w:autoSpaceDE/>
              <w:autoSpaceDN/>
              <w:jc w:val="right"/>
              <w:rPr>
                <w:rFonts w:eastAsia="Times New Roman"/>
                <w:color w:val="000000"/>
                <w:sz w:val="20"/>
                <w:szCs w:val="20"/>
              </w:rPr>
            </w:pPr>
          </w:p>
        </w:tc>
        <w:tc>
          <w:tcPr>
            <w:tcW w:w="2390" w:type="dxa"/>
            <w:tcBorders>
              <w:top w:val="nil"/>
              <w:left w:val="nil"/>
              <w:bottom w:val="single" w:sz="4" w:space="0" w:color="auto"/>
              <w:right w:val="single" w:sz="4" w:space="0" w:color="auto"/>
            </w:tcBorders>
            <w:noWrap/>
            <w:vAlign w:val="bottom"/>
            <w:hideMark/>
          </w:tcPr>
          <w:p w:rsidR="00756160" w:rsidRPr="005A5718" w14:paraId="1D98529F" w14:textId="77777777">
            <w:pPr>
              <w:autoSpaceDE/>
              <w:autoSpaceDN/>
              <w:jc w:val="right"/>
              <w:rPr>
                <w:rFonts w:eastAsia="Times New Roman"/>
                <w:color w:val="000000"/>
                <w:sz w:val="20"/>
                <w:szCs w:val="20"/>
              </w:rPr>
            </w:pPr>
          </w:p>
        </w:tc>
        <w:tc>
          <w:tcPr>
            <w:tcW w:w="2774" w:type="dxa"/>
            <w:tcBorders>
              <w:top w:val="nil"/>
              <w:left w:val="nil"/>
              <w:bottom w:val="single" w:sz="4" w:space="0" w:color="auto"/>
              <w:right w:val="single" w:sz="4" w:space="0" w:color="auto"/>
            </w:tcBorders>
            <w:noWrap/>
            <w:vAlign w:val="bottom"/>
            <w:hideMark/>
          </w:tcPr>
          <w:p w:rsidR="00756160" w:rsidRPr="005A5718" w14:paraId="77A66577" w14:textId="77777777">
            <w:pPr>
              <w:autoSpaceDE/>
              <w:autoSpaceDN/>
              <w:jc w:val="right"/>
              <w:rPr>
                <w:rFonts w:eastAsia="Times New Roman"/>
                <w:color w:val="000000"/>
                <w:sz w:val="20"/>
                <w:szCs w:val="20"/>
              </w:rPr>
            </w:pPr>
          </w:p>
        </w:tc>
      </w:tr>
      <w:tr w14:paraId="0BAF0BA7" w14:textId="77777777">
        <w:tblPrEx>
          <w:tblW w:w="0" w:type="auto"/>
          <w:tblLook w:val="04A0"/>
        </w:tblPrEx>
        <w:trPr>
          <w:trHeight w:val="280"/>
        </w:trPr>
        <w:tc>
          <w:tcPr>
            <w:tcW w:w="2560" w:type="dxa"/>
            <w:tcBorders>
              <w:top w:val="single" w:sz="4" w:space="0" w:color="auto"/>
              <w:left w:val="single" w:sz="4" w:space="0" w:color="auto"/>
              <w:bottom w:val="single" w:sz="4" w:space="0" w:color="auto"/>
              <w:right w:val="single" w:sz="4" w:space="0" w:color="auto"/>
            </w:tcBorders>
            <w:noWrap/>
            <w:vAlign w:val="bottom"/>
            <w:hideMark/>
          </w:tcPr>
          <w:p w:rsidR="00756160" w:rsidRPr="005A5718" w14:paraId="2D2B0D40" w14:textId="77777777">
            <w:pPr>
              <w:autoSpaceDE/>
              <w:autoSpaceDN/>
              <w:jc w:val="right"/>
              <w:rPr>
                <w:rFonts w:eastAsia="Times New Roman"/>
                <w:color w:val="000000"/>
                <w:sz w:val="20"/>
                <w:szCs w:val="20"/>
              </w:rPr>
            </w:pPr>
            <w:r w:rsidRPr="005A5718">
              <w:rPr>
                <w:rFonts w:eastAsia="Times New Roman"/>
                <w:color w:val="000000"/>
                <w:sz w:val="20"/>
                <w:szCs w:val="20"/>
              </w:rPr>
              <w:t>Agreement States Cost</w:t>
            </w:r>
          </w:p>
        </w:tc>
        <w:tc>
          <w:tcPr>
            <w:tcW w:w="1935" w:type="dxa"/>
            <w:tcBorders>
              <w:top w:val="single" w:sz="4" w:space="0" w:color="auto"/>
              <w:left w:val="nil"/>
              <w:bottom w:val="single" w:sz="4" w:space="0" w:color="auto"/>
              <w:right w:val="single" w:sz="4" w:space="0" w:color="auto"/>
            </w:tcBorders>
            <w:noWrap/>
            <w:vAlign w:val="bottom"/>
            <w:hideMark/>
          </w:tcPr>
          <w:p w:rsidR="00756160" w:rsidRPr="005A5718" w14:paraId="67A81089" w14:textId="77777777">
            <w:pPr>
              <w:autoSpaceDE/>
              <w:autoSpaceDN/>
              <w:jc w:val="right"/>
              <w:rPr>
                <w:rFonts w:eastAsia="Times New Roman"/>
                <w:color w:val="000000"/>
                <w:sz w:val="20"/>
                <w:szCs w:val="20"/>
              </w:rPr>
            </w:pPr>
            <w:r w:rsidRPr="005A5718">
              <w:rPr>
                <w:sz w:val="20"/>
                <w:szCs w:val="20"/>
              </w:rPr>
              <w:t>($544,000)</w:t>
            </w:r>
          </w:p>
        </w:tc>
        <w:tc>
          <w:tcPr>
            <w:tcW w:w="3060" w:type="dxa"/>
            <w:tcBorders>
              <w:top w:val="single" w:sz="4" w:space="0" w:color="auto"/>
              <w:left w:val="nil"/>
              <w:bottom w:val="single" w:sz="4" w:space="0" w:color="auto"/>
              <w:right w:val="single" w:sz="4" w:space="0" w:color="auto"/>
            </w:tcBorders>
            <w:noWrap/>
            <w:vAlign w:val="bottom"/>
            <w:hideMark/>
          </w:tcPr>
          <w:p w:rsidR="00756160" w:rsidRPr="005A5718" w14:paraId="358F5221" w14:textId="77777777">
            <w:pPr>
              <w:autoSpaceDE/>
              <w:autoSpaceDN/>
              <w:jc w:val="right"/>
              <w:rPr>
                <w:rFonts w:eastAsia="Times New Roman"/>
                <w:color w:val="000000"/>
                <w:sz w:val="20"/>
                <w:szCs w:val="20"/>
              </w:rPr>
            </w:pPr>
            <w:r w:rsidRPr="005A5718">
              <w:rPr>
                <w:sz w:val="20"/>
                <w:szCs w:val="20"/>
              </w:rPr>
              <w:t>($919,000)</w:t>
            </w:r>
          </w:p>
        </w:tc>
        <w:tc>
          <w:tcPr>
            <w:tcW w:w="2390" w:type="dxa"/>
            <w:tcBorders>
              <w:top w:val="single" w:sz="4" w:space="0" w:color="auto"/>
              <w:left w:val="nil"/>
              <w:bottom w:val="single" w:sz="4" w:space="0" w:color="auto"/>
              <w:right w:val="single" w:sz="4" w:space="0" w:color="auto"/>
            </w:tcBorders>
            <w:noWrap/>
            <w:vAlign w:val="bottom"/>
            <w:hideMark/>
          </w:tcPr>
          <w:p w:rsidR="00756160" w:rsidRPr="005A5718" w14:paraId="564E8737" w14:textId="77777777">
            <w:pPr>
              <w:autoSpaceDE/>
              <w:autoSpaceDN/>
              <w:jc w:val="right"/>
              <w:rPr>
                <w:rFonts w:eastAsia="Times New Roman"/>
                <w:color w:val="000000"/>
                <w:sz w:val="20"/>
                <w:szCs w:val="20"/>
              </w:rPr>
            </w:pPr>
            <w:r w:rsidRPr="005A5718">
              <w:rPr>
                <w:sz w:val="20"/>
                <w:szCs w:val="20"/>
              </w:rPr>
              <w:t>($105,000)</w:t>
            </w:r>
          </w:p>
        </w:tc>
        <w:tc>
          <w:tcPr>
            <w:tcW w:w="2774" w:type="dxa"/>
            <w:tcBorders>
              <w:top w:val="single" w:sz="4" w:space="0" w:color="auto"/>
              <w:left w:val="nil"/>
              <w:bottom w:val="single" w:sz="4" w:space="0" w:color="auto"/>
              <w:right w:val="single" w:sz="4" w:space="0" w:color="auto"/>
            </w:tcBorders>
            <w:noWrap/>
            <w:vAlign w:val="bottom"/>
            <w:hideMark/>
          </w:tcPr>
          <w:p w:rsidR="00756160" w:rsidRPr="005A5718" w14:paraId="1DA630E9" w14:textId="77777777">
            <w:pPr>
              <w:autoSpaceDE/>
              <w:autoSpaceDN/>
              <w:jc w:val="right"/>
              <w:rPr>
                <w:rFonts w:eastAsia="Times New Roman"/>
                <w:color w:val="000000"/>
                <w:sz w:val="20"/>
                <w:szCs w:val="20"/>
              </w:rPr>
            </w:pPr>
            <w:r w:rsidRPr="005A5718">
              <w:rPr>
                <w:sz w:val="20"/>
                <w:szCs w:val="20"/>
              </w:rPr>
              <w:t>($178,000)</w:t>
            </w:r>
          </w:p>
        </w:tc>
      </w:tr>
      <w:tr w14:paraId="37D893FE" w14:textId="77777777">
        <w:tblPrEx>
          <w:tblW w:w="0" w:type="auto"/>
          <w:tblLook w:val="04A0"/>
        </w:tblPrEx>
        <w:trPr>
          <w:trHeight w:val="280"/>
        </w:trPr>
        <w:tc>
          <w:tcPr>
            <w:tcW w:w="2560" w:type="dxa"/>
            <w:tcBorders>
              <w:top w:val="nil"/>
              <w:left w:val="single" w:sz="4" w:space="0" w:color="auto"/>
              <w:bottom w:val="single" w:sz="4" w:space="0" w:color="auto"/>
              <w:right w:val="single" w:sz="4" w:space="0" w:color="auto"/>
            </w:tcBorders>
            <w:noWrap/>
            <w:vAlign w:val="bottom"/>
            <w:hideMark/>
          </w:tcPr>
          <w:p w:rsidR="00756160" w:rsidRPr="005A5718" w14:paraId="555EB133" w14:textId="77777777">
            <w:pPr>
              <w:autoSpaceDE/>
              <w:autoSpaceDN/>
              <w:jc w:val="right"/>
              <w:rPr>
                <w:rFonts w:eastAsia="Times New Roman"/>
                <w:color w:val="000000"/>
                <w:sz w:val="20"/>
                <w:szCs w:val="20"/>
              </w:rPr>
            </w:pPr>
            <w:r w:rsidRPr="005A5718">
              <w:rPr>
                <w:rFonts w:eastAsia="Times New Roman"/>
                <w:color w:val="000000"/>
                <w:sz w:val="20"/>
                <w:szCs w:val="20"/>
              </w:rPr>
              <w:t>NRC Cost</w:t>
            </w:r>
          </w:p>
        </w:tc>
        <w:tc>
          <w:tcPr>
            <w:tcW w:w="1935" w:type="dxa"/>
            <w:tcBorders>
              <w:top w:val="nil"/>
              <w:left w:val="nil"/>
              <w:bottom w:val="single" w:sz="4" w:space="0" w:color="auto"/>
              <w:right w:val="single" w:sz="4" w:space="0" w:color="auto"/>
            </w:tcBorders>
            <w:noWrap/>
            <w:vAlign w:val="bottom"/>
            <w:hideMark/>
          </w:tcPr>
          <w:p w:rsidR="00756160" w:rsidRPr="005A5718" w14:paraId="2CC0DFD3" w14:textId="77777777">
            <w:pPr>
              <w:autoSpaceDE/>
              <w:autoSpaceDN/>
              <w:jc w:val="right"/>
              <w:rPr>
                <w:rFonts w:eastAsia="Times New Roman"/>
                <w:color w:val="000000"/>
                <w:sz w:val="20"/>
                <w:szCs w:val="20"/>
              </w:rPr>
            </w:pPr>
            <w:r w:rsidRPr="005A5718">
              <w:rPr>
                <w:sz w:val="20"/>
                <w:szCs w:val="20"/>
              </w:rPr>
              <w:t>($314,000)</w:t>
            </w:r>
          </w:p>
        </w:tc>
        <w:tc>
          <w:tcPr>
            <w:tcW w:w="3060" w:type="dxa"/>
            <w:tcBorders>
              <w:top w:val="nil"/>
              <w:left w:val="nil"/>
              <w:bottom w:val="single" w:sz="4" w:space="0" w:color="auto"/>
              <w:right w:val="single" w:sz="4" w:space="0" w:color="auto"/>
            </w:tcBorders>
            <w:noWrap/>
            <w:vAlign w:val="bottom"/>
            <w:hideMark/>
          </w:tcPr>
          <w:p w:rsidR="00756160" w:rsidRPr="005A5718" w14:paraId="7E576383" w14:textId="77777777">
            <w:pPr>
              <w:autoSpaceDE/>
              <w:autoSpaceDN/>
              <w:jc w:val="right"/>
              <w:rPr>
                <w:rFonts w:eastAsia="Times New Roman"/>
                <w:color w:val="000000"/>
                <w:sz w:val="20"/>
                <w:szCs w:val="20"/>
              </w:rPr>
            </w:pPr>
            <w:r w:rsidRPr="005A5718">
              <w:rPr>
                <w:sz w:val="20"/>
                <w:szCs w:val="20"/>
              </w:rPr>
              <w:t>($338,000)</w:t>
            </w:r>
          </w:p>
        </w:tc>
        <w:tc>
          <w:tcPr>
            <w:tcW w:w="2390" w:type="dxa"/>
            <w:tcBorders>
              <w:top w:val="nil"/>
              <w:left w:val="nil"/>
              <w:bottom w:val="single" w:sz="4" w:space="0" w:color="auto"/>
              <w:right w:val="single" w:sz="4" w:space="0" w:color="auto"/>
            </w:tcBorders>
            <w:noWrap/>
            <w:vAlign w:val="bottom"/>
            <w:hideMark/>
          </w:tcPr>
          <w:p w:rsidR="00756160" w:rsidRPr="005A5718" w14:paraId="79918BD4" w14:textId="77777777">
            <w:pPr>
              <w:autoSpaceDE/>
              <w:autoSpaceDN/>
              <w:jc w:val="right"/>
              <w:rPr>
                <w:rFonts w:eastAsia="Times New Roman"/>
                <w:color w:val="000000"/>
                <w:sz w:val="20"/>
                <w:szCs w:val="20"/>
              </w:rPr>
            </w:pPr>
            <w:r w:rsidRPr="005A5718">
              <w:rPr>
                <w:sz w:val="20"/>
                <w:szCs w:val="20"/>
              </w:rPr>
              <w:t>($102,000)</w:t>
            </w:r>
          </w:p>
        </w:tc>
        <w:tc>
          <w:tcPr>
            <w:tcW w:w="2774" w:type="dxa"/>
            <w:tcBorders>
              <w:top w:val="nil"/>
              <w:left w:val="nil"/>
              <w:bottom w:val="single" w:sz="4" w:space="0" w:color="auto"/>
              <w:right w:val="single" w:sz="4" w:space="0" w:color="auto"/>
            </w:tcBorders>
            <w:noWrap/>
            <w:vAlign w:val="bottom"/>
            <w:hideMark/>
          </w:tcPr>
          <w:p w:rsidR="00756160" w:rsidRPr="005A5718" w14:paraId="5FAE2BF1" w14:textId="77777777">
            <w:pPr>
              <w:autoSpaceDE/>
              <w:autoSpaceDN/>
              <w:jc w:val="right"/>
              <w:rPr>
                <w:rFonts w:eastAsia="Times New Roman"/>
                <w:color w:val="000000"/>
                <w:sz w:val="20"/>
                <w:szCs w:val="20"/>
              </w:rPr>
            </w:pPr>
            <w:r w:rsidRPr="005A5718">
              <w:rPr>
                <w:sz w:val="20"/>
                <w:szCs w:val="20"/>
              </w:rPr>
              <w:t>($110,000)</w:t>
            </w:r>
          </w:p>
        </w:tc>
      </w:tr>
      <w:tr w14:paraId="0986F312" w14:textId="77777777">
        <w:tblPrEx>
          <w:tblW w:w="0" w:type="auto"/>
          <w:tblLook w:val="04A0"/>
        </w:tblPrEx>
        <w:trPr>
          <w:trHeight w:val="280"/>
        </w:trPr>
        <w:tc>
          <w:tcPr>
            <w:tcW w:w="2560" w:type="dxa"/>
            <w:tcBorders>
              <w:top w:val="nil"/>
              <w:left w:val="single" w:sz="4" w:space="0" w:color="auto"/>
              <w:bottom w:val="single" w:sz="4" w:space="0" w:color="auto"/>
              <w:right w:val="nil"/>
            </w:tcBorders>
            <w:noWrap/>
            <w:vAlign w:val="bottom"/>
            <w:hideMark/>
          </w:tcPr>
          <w:p w:rsidR="00756160" w:rsidRPr="005A5718" w14:paraId="0AB25024" w14:textId="77777777">
            <w:pPr>
              <w:autoSpaceDE/>
              <w:autoSpaceDN/>
              <w:jc w:val="right"/>
              <w:rPr>
                <w:rFonts w:eastAsia="Times New Roman"/>
                <w:b/>
                <w:bCs/>
                <w:color w:val="000000"/>
                <w:sz w:val="20"/>
                <w:szCs w:val="20"/>
              </w:rPr>
            </w:pPr>
            <w:r w:rsidRPr="005A5718">
              <w:rPr>
                <w:rFonts w:eastAsia="Times New Roman"/>
                <w:b/>
                <w:bCs/>
                <w:color w:val="000000"/>
                <w:sz w:val="20"/>
                <w:szCs w:val="20"/>
              </w:rPr>
              <w:t>Total Cost</w:t>
            </w:r>
          </w:p>
        </w:tc>
        <w:tc>
          <w:tcPr>
            <w:tcW w:w="1935" w:type="dxa"/>
            <w:tcBorders>
              <w:top w:val="nil"/>
              <w:left w:val="single" w:sz="4" w:space="0" w:color="auto"/>
              <w:bottom w:val="single" w:sz="4" w:space="0" w:color="auto"/>
              <w:right w:val="single" w:sz="4" w:space="0" w:color="auto"/>
            </w:tcBorders>
            <w:noWrap/>
            <w:vAlign w:val="bottom"/>
            <w:hideMark/>
          </w:tcPr>
          <w:p w:rsidR="00756160" w:rsidRPr="005A5718" w14:paraId="75B938E3" w14:textId="77777777">
            <w:pPr>
              <w:autoSpaceDE/>
              <w:autoSpaceDN/>
              <w:jc w:val="right"/>
              <w:rPr>
                <w:rFonts w:eastAsia="Times New Roman"/>
                <w:color w:val="000000"/>
                <w:sz w:val="20"/>
                <w:szCs w:val="20"/>
              </w:rPr>
            </w:pPr>
            <w:r w:rsidRPr="005A5718">
              <w:rPr>
                <w:sz w:val="20"/>
                <w:szCs w:val="20"/>
              </w:rPr>
              <w:t>($858,000)</w:t>
            </w:r>
          </w:p>
        </w:tc>
        <w:tc>
          <w:tcPr>
            <w:tcW w:w="3060" w:type="dxa"/>
            <w:tcBorders>
              <w:top w:val="nil"/>
              <w:left w:val="nil"/>
              <w:bottom w:val="single" w:sz="4" w:space="0" w:color="auto"/>
              <w:right w:val="single" w:sz="4" w:space="0" w:color="auto"/>
            </w:tcBorders>
            <w:noWrap/>
            <w:vAlign w:val="bottom"/>
            <w:hideMark/>
          </w:tcPr>
          <w:p w:rsidR="00756160" w:rsidRPr="005A5718" w14:paraId="5DC84510" w14:textId="77777777">
            <w:pPr>
              <w:autoSpaceDE/>
              <w:autoSpaceDN/>
              <w:jc w:val="right"/>
              <w:rPr>
                <w:rFonts w:eastAsia="Times New Roman"/>
                <w:color w:val="000000"/>
                <w:sz w:val="20"/>
                <w:szCs w:val="20"/>
              </w:rPr>
            </w:pPr>
            <w:r w:rsidRPr="005A5718">
              <w:rPr>
                <w:sz w:val="20"/>
                <w:szCs w:val="20"/>
              </w:rPr>
              <w:t>($1,257,000)</w:t>
            </w:r>
          </w:p>
        </w:tc>
        <w:tc>
          <w:tcPr>
            <w:tcW w:w="2390" w:type="dxa"/>
            <w:tcBorders>
              <w:top w:val="nil"/>
              <w:left w:val="nil"/>
              <w:bottom w:val="single" w:sz="4" w:space="0" w:color="auto"/>
              <w:right w:val="single" w:sz="4" w:space="0" w:color="auto"/>
            </w:tcBorders>
            <w:noWrap/>
            <w:vAlign w:val="bottom"/>
            <w:hideMark/>
          </w:tcPr>
          <w:p w:rsidR="00756160" w:rsidRPr="005A5718" w14:paraId="670E6687" w14:textId="77777777">
            <w:pPr>
              <w:autoSpaceDE/>
              <w:autoSpaceDN/>
              <w:jc w:val="right"/>
              <w:rPr>
                <w:rFonts w:eastAsia="Times New Roman"/>
                <w:color w:val="000000"/>
                <w:sz w:val="20"/>
                <w:szCs w:val="20"/>
              </w:rPr>
            </w:pPr>
            <w:r w:rsidRPr="005A5718">
              <w:rPr>
                <w:sz w:val="20"/>
                <w:szCs w:val="20"/>
              </w:rPr>
              <w:t>($207,000)</w:t>
            </w:r>
          </w:p>
        </w:tc>
        <w:tc>
          <w:tcPr>
            <w:tcW w:w="2774" w:type="dxa"/>
            <w:tcBorders>
              <w:top w:val="nil"/>
              <w:left w:val="nil"/>
              <w:bottom w:val="single" w:sz="4" w:space="0" w:color="auto"/>
              <w:right w:val="single" w:sz="4" w:space="0" w:color="auto"/>
            </w:tcBorders>
            <w:noWrap/>
            <w:vAlign w:val="bottom"/>
            <w:hideMark/>
          </w:tcPr>
          <w:p w:rsidR="00756160" w:rsidRPr="005A5718" w14:paraId="2E804294" w14:textId="77777777">
            <w:pPr>
              <w:autoSpaceDE/>
              <w:autoSpaceDN/>
              <w:jc w:val="right"/>
              <w:rPr>
                <w:rFonts w:eastAsia="Times New Roman"/>
                <w:color w:val="000000"/>
                <w:sz w:val="20"/>
                <w:szCs w:val="20"/>
              </w:rPr>
            </w:pPr>
            <w:r w:rsidRPr="005A5718">
              <w:rPr>
                <w:sz w:val="20"/>
                <w:szCs w:val="20"/>
              </w:rPr>
              <w:t>($288,000)</w:t>
            </w:r>
          </w:p>
        </w:tc>
      </w:tr>
      <w:tr w14:paraId="5F1D826B" w14:textId="77777777">
        <w:tblPrEx>
          <w:tblW w:w="0" w:type="auto"/>
          <w:tblLook w:val="04A0"/>
        </w:tblPrEx>
        <w:trPr>
          <w:trHeight w:val="280"/>
        </w:trPr>
        <w:tc>
          <w:tcPr>
            <w:tcW w:w="2560" w:type="dxa"/>
            <w:tcBorders>
              <w:top w:val="nil"/>
              <w:left w:val="single" w:sz="4" w:space="0" w:color="auto"/>
              <w:bottom w:val="single" w:sz="4" w:space="0" w:color="auto"/>
              <w:right w:val="nil"/>
            </w:tcBorders>
            <w:noWrap/>
            <w:vAlign w:val="bottom"/>
            <w:hideMark/>
          </w:tcPr>
          <w:p w:rsidR="00756160" w:rsidRPr="005A5718" w14:paraId="1927C213" w14:textId="33D90829">
            <w:pPr>
              <w:autoSpaceDE/>
              <w:autoSpaceDN/>
              <w:jc w:val="right"/>
              <w:rPr>
                <w:rFonts w:eastAsia="Times New Roman"/>
                <w:b/>
                <w:bCs/>
                <w:color w:val="000000"/>
                <w:sz w:val="20"/>
                <w:szCs w:val="20"/>
              </w:rPr>
            </w:pPr>
            <w:r w:rsidRPr="005A5718">
              <w:rPr>
                <w:rFonts w:eastAsia="Times New Roman"/>
                <w:b/>
                <w:bCs/>
                <w:color w:val="000000"/>
                <w:sz w:val="20"/>
                <w:szCs w:val="20"/>
              </w:rPr>
              <w:t>Net Benefit (Cost)</w:t>
            </w:r>
          </w:p>
        </w:tc>
        <w:tc>
          <w:tcPr>
            <w:tcW w:w="1935" w:type="dxa"/>
            <w:tcBorders>
              <w:top w:val="nil"/>
              <w:left w:val="single" w:sz="4" w:space="0" w:color="auto"/>
              <w:bottom w:val="single" w:sz="4" w:space="0" w:color="auto"/>
              <w:right w:val="single" w:sz="4" w:space="0" w:color="auto"/>
            </w:tcBorders>
            <w:noWrap/>
            <w:hideMark/>
          </w:tcPr>
          <w:p w:rsidR="00756160" w:rsidRPr="005A5718" w14:paraId="254CFFC9" w14:textId="77777777">
            <w:pPr>
              <w:autoSpaceDE/>
              <w:autoSpaceDN/>
              <w:rPr>
                <w:rFonts w:eastAsia="Times New Roman"/>
                <w:color w:val="000000"/>
                <w:sz w:val="20"/>
                <w:szCs w:val="20"/>
              </w:rPr>
            </w:pPr>
            <w:r w:rsidRPr="005A5718">
              <w:rPr>
                <w:sz w:val="20"/>
                <w:szCs w:val="20"/>
              </w:rPr>
              <w:t>$1,381,000</w:t>
            </w:r>
          </w:p>
        </w:tc>
        <w:tc>
          <w:tcPr>
            <w:tcW w:w="3060" w:type="dxa"/>
            <w:tcBorders>
              <w:top w:val="nil"/>
              <w:left w:val="nil"/>
              <w:bottom w:val="single" w:sz="4" w:space="0" w:color="auto"/>
              <w:right w:val="single" w:sz="4" w:space="0" w:color="auto"/>
            </w:tcBorders>
            <w:noWrap/>
            <w:hideMark/>
          </w:tcPr>
          <w:p w:rsidR="00756160" w:rsidRPr="005A5718" w14:paraId="15FD944B" w14:textId="77777777">
            <w:pPr>
              <w:autoSpaceDE/>
              <w:autoSpaceDN/>
              <w:rPr>
                <w:rFonts w:eastAsia="Times New Roman"/>
                <w:color w:val="000000"/>
                <w:sz w:val="20"/>
                <w:szCs w:val="20"/>
              </w:rPr>
            </w:pPr>
            <w:r w:rsidRPr="005A5718">
              <w:rPr>
                <w:sz w:val="20"/>
                <w:szCs w:val="20"/>
              </w:rPr>
              <w:t xml:space="preserve">$3,246,000 </w:t>
            </w:r>
          </w:p>
        </w:tc>
        <w:tc>
          <w:tcPr>
            <w:tcW w:w="2390" w:type="dxa"/>
            <w:tcBorders>
              <w:top w:val="nil"/>
              <w:left w:val="nil"/>
              <w:bottom w:val="single" w:sz="4" w:space="0" w:color="auto"/>
              <w:right w:val="single" w:sz="4" w:space="0" w:color="auto"/>
            </w:tcBorders>
            <w:noWrap/>
            <w:hideMark/>
          </w:tcPr>
          <w:p w:rsidR="00756160" w:rsidRPr="005A5718" w14:paraId="3C2EC5A8" w14:textId="77777777">
            <w:pPr>
              <w:autoSpaceDE/>
              <w:autoSpaceDN/>
              <w:rPr>
                <w:rFonts w:eastAsia="Times New Roman"/>
                <w:color w:val="000000"/>
                <w:sz w:val="20"/>
                <w:szCs w:val="20"/>
              </w:rPr>
            </w:pPr>
            <w:r w:rsidRPr="005A5718">
              <w:rPr>
                <w:sz w:val="20"/>
                <w:szCs w:val="20"/>
              </w:rPr>
              <w:t xml:space="preserve">$2,032,000 </w:t>
            </w:r>
          </w:p>
        </w:tc>
        <w:tc>
          <w:tcPr>
            <w:tcW w:w="2774" w:type="dxa"/>
            <w:tcBorders>
              <w:top w:val="nil"/>
              <w:left w:val="nil"/>
              <w:bottom w:val="single" w:sz="4" w:space="0" w:color="auto"/>
              <w:right w:val="single" w:sz="4" w:space="0" w:color="auto"/>
            </w:tcBorders>
            <w:noWrap/>
            <w:hideMark/>
          </w:tcPr>
          <w:p w:rsidR="00756160" w:rsidRPr="005A5718" w14:paraId="696191A6" w14:textId="77777777">
            <w:pPr>
              <w:autoSpaceDE/>
              <w:autoSpaceDN/>
              <w:rPr>
                <w:rFonts w:eastAsia="Times New Roman"/>
                <w:color w:val="000000"/>
                <w:sz w:val="20"/>
                <w:szCs w:val="20"/>
              </w:rPr>
            </w:pPr>
            <w:r w:rsidRPr="005A5718">
              <w:rPr>
                <w:sz w:val="20"/>
                <w:szCs w:val="20"/>
              </w:rPr>
              <w:t xml:space="preserve">$4,215,000 </w:t>
            </w:r>
          </w:p>
        </w:tc>
      </w:tr>
      <w:tr w14:paraId="32CA6A21" w14:textId="77777777">
        <w:tblPrEx>
          <w:tblW w:w="0" w:type="auto"/>
          <w:tblLook w:val="04A0"/>
        </w:tblPrEx>
        <w:trPr>
          <w:trHeight w:val="280"/>
        </w:trPr>
        <w:tc>
          <w:tcPr>
            <w:tcW w:w="12719" w:type="dxa"/>
            <w:gridSpan w:val="5"/>
            <w:tcBorders>
              <w:top w:val="single" w:sz="4" w:space="0" w:color="auto"/>
            </w:tcBorders>
            <w:noWrap/>
          </w:tcPr>
          <w:p w:rsidR="00756160" w:rsidRPr="005A5718" w14:paraId="0A21190B" w14:textId="77777777">
            <w:pPr>
              <w:autoSpaceDE/>
              <w:autoSpaceDN/>
              <w:rPr>
                <w:rFonts w:eastAsia="Times New Roman"/>
                <w:color w:val="000000"/>
              </w:rPr>
            </w:pPr>
            <w:r w:rsidRPr="005A5718">
              <w:rPr>
                <w:rFonts w:eastAsia="Times New Roman"/>
                <w:color w:val="000000"/>
                <w:sz w:val="20"/>
                <w:szCs w:val="20"/>
              </w:rPr>
              <w:t>*Values rounded to the nearest thousand dollars. Rounded values may not sum to rounded totals.</w:t>
            </w:r>
          </w:p>
        </w:tc>
      </w:tr>
    </w:tbl>
    <w:p w:rsidR="00756160" w:rsidRPr="005A5718" w:rsidP="00756160" w14:paraId="1A563122" w14:textId="77777777">
      <w:pPr>
        <w:pStyle w:val="BodyText"/>
      </w:pPr>
    </w:p>
    <w:p w:rsidR="00756160" w:rsidRPr="008F486F" w:rsidP="00756160" w14:paraId="77A7A137" w14:textId="77777777">
      <w:pPr>
        <w:pStyle w:val="Heading2"/>
        <w:ind w:left="936"/>
        <w:rPr>
          <w:u w:val="none"/>
        </w:rPr>
      </w:pPr>
      <w:bookmarkStart w:id="100" w:name="4.1_Cost_Impact_on_Reactor_Licensees"/>
      <w:bookmarkStart w:id="101" w:name="_bookmark16"/>
      <w:bookmarkStart w:id="102" w:name="_Toc176884013"/>
      <w:bookmarkStart w:id="103" w:name="_Toc222796521"/>
      <w:bookmarkEnd w:id="100"/>
      <w:bookmarkEnd w:id="101"/>
      <w:r w:rsidRPr="005A5718">
        <w:rPr>
          <w:u w:val="none"/>
        </w:rPr>
        <w:t>5.1</w:t>
      </w:r>
      <w:r w:rsidRPr="005A5718">
        <w:rPr>
          <w:u w:val="none"/>
        </w:rPr>
        <w:tab/>
        <w:t>Cost Impact on NRC and Agreement</w:t>
      </w:r>
      <w:r w:rsidRPr="008F486F">
        <w:rPr>
          <w:u w:val="none"/>
        </w:rPr>
        <w:t xml:space="preserve"> State Applicants for </w:t>
      </w:r>
      <w:r>
        <w:rPr>
          <w:u w:val="none"/>
        </w:rPr>
        <w:br/>
      </w:r>
      <w:r w:rsidRPr="008F486F">
        <w:rPr>
          <w:u w:val="none"/>
        </w:rPr>
        <w:t>Fusion Machine Licenses</w:t>
      </w:r>
      <w:bookmarkEnd w:id="102"/>
      <w:r w:rsidRPr="008F486F">
        <w:rPr>
          <w:u w:val="none"/>
        </w:rPr>
        <w:t xml:space="preserve"> (Industry Operations)</w:t>
      </w:r>
      <w:bookmarkEnd w:id="103"/>
    </w:p>
    <w:p w:rsidR="00756160" w:rsidRPr="008F486F" w:rsidP="00756160" w14:paraId="74E0C033" w14:textId="77777777">
      <w:pPr>
        <w:pStyle w:val="BodyText"/>
      </w:pPr>
    </w:p>
    <w:p w:rsidR="00756160" w:rsidRPr="008F486F" w:rsidP="00756160" w14:paraId="6D3A633B" w14:textId="183ABDB4">
      <w:pPr>
        <w:pStyle w:val="BodyText"/>
      </w:pPr>
      <w:r w:rsidRPr="008F486F">
        <w:t>The NRC goal in amending these regulations is to ensure that fusion machine operations with radiological materials do not pose unreasonable risks to public health and safety, the common defense and security, or the environment. The staff found that the provisions in the existing regulations for radiological materials were adequate to accomplish this goal, if augmented by appropriate license conditions (e.g., for disposal of fusion machine waste in a low-level waste disposal facility); however, staff also found that the goal would be better achieved if those existing regulations were clarified to clearly specify applicability to fusion machine operations. For the industry, the clarified regulations have benefits in the form of lower costs and reduced likelihood of needing to seek clarification of regulatory requirements.</w:t>
      </w:r>
      <w:r w:rsidRPr="008F486F">
        <w:br/>
      </w:r>
      <w:r w:rsidRPr="008F486F">
        <w:br/>
      </w:r>
      <w:r w:rsidRPr="00CD3B1A">
        <w:rPr>
          <w:spacing w:val="4"/>
        </w:rPr>
        <w:t xml:space="preserve">Because the existing </w:t>
      </w:r>
      <w:r>
        <w:t xml:space="preserve">requirements </w:t>
      </w:r>
      <w:r w:rsidRPr="00CD3B1A">
        <w:rPr>
          <w:spacing w:val="4"/>
        </w:rPr>
        <w:t xml:space="preserve">and proposed regulations have the same fundamental requirements, the cost or benefit of complying with a resulting license would not change. However, because the clarity of the regulations would </w:t>
      </w:r>
      <w:r w:rsidRPr="00CD3B1A">
        <w:rPr>
          <w:spacing w:val="4"/>
        </w:rPr>
        <w:t>be improved</w:t>
      </w:r>
      <w:r w:rsidRPr="00CD3B1A">
        <w:rPr>
          <w:spacing w:val="4"/>
        </w:rPr>
        <w:t xml:space="preserve">, the effort </w:t>
      </w:r>
      <w:r w:rsidRPr="00CD3B1A">
        <w:rPr>
          <w:spacing w:val="4"/>
        </w:rPr>
        <w:t>of applying</w:t>
      </w:r>
      <w:r w:rsidRPr="00CD3B1A">
        <w:rPr>
          <w:spacing w:val="4"/>
        </w:rPr>
        <w:t xml:space="preserve"> for a license </w:t>
      </w:r>
      <w:r w:rsidRPr="00CD3B1A">
        <w:rPr>
          <w:spacing w:val="4"/>
        </w:rPr>
        <w:t>is reduced</w:t>
      </w:r>
      <w:r w:rsidRPr="00CD3B1A">
        <w:rPr>
          <w:spacing w:val="4"/>
        </w:rPr>
        <w:t xml:space="preserve">. Because the proposed fusion machine regulations provide a </w:t>
      </w:r>
      <w:r w:rsidRPr="00CD3B1A">
        <w:rPr>
          <w:spacing w:val="4"/>
        </w:rPr>
        <w:t>technology</w:t>
      </w:r>
      <w:r w:rsidRPr="00CD3B1A" w:rsidR="2FE22594">
        <w:rPr>
          <w:spacing w:val="4"/>
        </w:rPr>
        <w:t xml:space="preserve"> </w:t>
      </w:r>
      <w:r w:rsidRPr="00CD3B1A">
        <w:rPr>
          <w:spacing w:val="4"/>
        </w:rPr>
        <w:noBreakHyphen/>
      </w:r>
      <w:r>
        <w:t xml:space="preserve">inclusive </w:t>
      </w:r>
      <w:r w:rsidRPr="00CD3B1A">
        <w:rPr>
          <w:spacing w:val="4"/>
        </w:rPr>
        <w:t xml:space="preserve">regulatory framework, the effort avoided by industry (due to the clarity provided by </w:t>
      </w:r>
      <w:r>
        <w:t xml:space="preserve">this </w:t>
      </w:r>
      <w:r w:rsidRPr="00CD3B1A">
        <w:rPr>
          <w:spacing w:val="4"/>
        </w:rPr>
        <w:t>rule) will depend on the novelty and complexity of the application</w:t>
      </w:r>
      <w:r w:rsidRPr="008F486F">
        <w:t>.</w:t>
      </w:r>
    </w:p>
    <w:p w:rsidR="00756160" w:rsidRPr="008F486F" w:rsidP="00756160" w14:paraId="73FDAE44" w14:textId="77777777">
      <w:pPr>
        <w:pStyle w:val="BodyText"/>
      </w:pPr>
    </w:p>
    <w:p w:rsidR="00756160" w:rsidRPr="008F486F" w:rsidP="00756160" w14:paraId="66134CD4" w14:textId="77777777">
      <w:pPr>
        <w:pStyle w:val="BodyText"/>
      </w:pPr>
      <w:r w:rsidRPr="008F486F">
        <w:t>Uncertainty in both the state of fusion machine technology and the structure of the fusion machine industry affects the estimates of effort avoided. The industrial structure will be related to technology and marketable products of the fusion machines. The range of unknown conditions is the context for estimating the average hours of effort averted for each projected fusion machine licensed during the period of analysis.</w:t>
      </w:r>
    </w:p>
    <w:p w:rsidR="00756160" w:rsidRPr="008F486F" w:rsidP="00756160" w14:paraId="0D775109" w14:textId="77777777">
      <w:pPr>
        <w:pStyle w:val="BodyText"/>
      </w:pPr>
    </w:p>
    <w:p w:rsidR="00756160" w:rsidRPr="008F486F" w:rsidP="00756160" w14:paraId="356C8EF3" w14:textId="367E10CF">
      <w:pPr>
        <w:pStyle w:val="BodyText"/>
      </w:pPr>
      <w:r>
        <w:t>The NRC estimates that the average fusion machine applicant will avert 484 hours of effort by increased clarity of requirements for license applications and regulatory compliance with the distribution defined in appendix B (Industry Operations: h</w:t>
      </w:r>
      <w:r w:rsidRPr="4EBE36D9">
        <w:rPr>
          <w:color w:val="000000" w:themeColor="text1"/>
        </w:rPr>
        <w:t>ours saved for each licensing action due to clarified regulations)</w:t>
      </w:r>
      <w:r>
        <w:t xml:space="preserve">. </w:t>
      </w:r>
      <w:r w:rsidR="4392E218">
        <w:t xml:space="preserve">The NRC invites comments that can be used to improve this estimate. </w:t>
      </w:r>
      <w:r>
        <w:t>Due to information limitations, the NRC’s monetized estimate of this savings is calculated to be the same for Alternative 2 as for Alternative 3. However, the NRC expects that cost savings would be lower for Alternative 3 by an undetermined amount, due to added effort required for exemptions and license conditions under this alternative. An applicant would expend added effort and may experience licensing delays if exemptions and additional license conditions are needed compared to Alternative 2. To determine the total averted licensing costs, NRC used the total number of expected applications for both NRC and Agreements States as included in Table 3.</w:t>
      </w:r>
    </w:p>
    <w:p w:rsidR="00756160" w:rsidRPr="008F486F" w:rsidP="00756160" w14:paraId="20B4E176" w14:textId="77777777">
      <w:pPr>
        <w:pStyle w:val="BodyText"/>
      </w:pPr>
    </w:p>
    <w:p w:rsidR="00756160" w:rsidRPr="00853C7A" w:rsidP="00756160" w14:paraId="563A35E5" w14:textId="77777777">
      <w:pPr>
        <w:pStyle w:val="BodyText"/>
        <w:rPr>
          <w:spacing w:val="2"/>
        </w:rPr>
      </w:pPr>
      <w:r w:rsidRPr="00853C7A">
        <w:rPr>
          <w:spacing w:val="2"/>
        </w:rPr>
        <w:t>Wages for the industry effort (as shown in appendix B) are estimated from the latest BLS Occupational Employment and Wage Statistics (OEWS) survey data (2022). Mean, 25th percentile, and 75th percentile wage data for occupation categories in the Nuclear Electric Power Generation sector are used to calculate a weighted average. The weighted average is deflated to the 2023 price level using the Gross Domestic Product: Implicit Price Deflator from the U.S. Bureau of Economic Analysis for 2024. This wage rate is then loaded with employment costs by dividing by the fraction of employer costs that wages constitute for private industry workers (70.6 percent) from the Employer Costs for Employee Compensation, a dataset derived from the BLS National Compensation Survey for 2023 to calculate an applicant labor rate of $100.</w:t>
      </w:r>
      <w:r w:rsidRPr="00853C7A">
        <w:rPr>
          <w:spacing w:val="2"/>
        </w:rPr>
        <w:br/>
      </w:r>
    </w:p>
    <w:p w:rsidR="00756160" w:rsidRPr="008F486F" w:rsidP="00756160" w14:paraId="12327DB7" w14:textId="2AFCCF0D">
      <w:pPr>
        <w:pStyle w:val="TableHeading"/>
        <w:keepLines/>
      </w:pPr>
      <w:bookmarkStart w:id="104" w:name="_Toc177045602"/>
      <w:bookmarkStart w:id="105" w:name="_Toc222796253"/>
      <w:r w:rsidRPr="008F486F">
        <w:t xml:space="preserve">Table 3 </w:t>
      </w:r>
      <w:r w:rsidR="00B80CCF">
        <w:fldChar w:fldCharType="begin"/>
      </w:r>
      <w:r w:rsidR="00B80CCF">
        <w:instrText xml:space="preserve"> SEQ Table \* ARABIC </w:instrText>
      </w:r>
      <w:r w:rsidR="00B80CCF">
        <w:fldChar w:fldCharType="separate"/>
      </w:r>
      <w:r w:rsidR="00B80CCF">
        <w:fldChar w:fldCharType="end"/>
      </w:r>
      <w:r w:rsidRPr="008F486F">
        <w:t xml:space="preserve">  Applicant Benefits for Alternatives 2 and 3</w:t>
      </w:r>
      <w:bookmarkEnd w:id="104"/>
      <w:bookmarkEnd w:id="105"/>
    </w:p>
    <w:tbl>
      <w:tblPr>
        <w:tblW w:w="5755" w:type="dxa"/>
        <w:tblLook w:val="04A0"/>
      </w:tblPr>
      <w:tblGrid>
        <w:gridCol w:w="930"/>
        <w:gridCol w:w="1590"/>
        <w:gridCol w:w="1350"/>
        <w:gridCol w:w="1885"/>
      </w:tblGrid>
      <w:tr w14:paraId="263C4450" w14:textId="77777777" w:rsidTr="004D0D14">
        <w:tblPrEx>
          <w:tblW w:w="5755" w:type="dxa"/>
          <w:tblLook w:val="04A0"/>
        </w:tblPrEx>
        <w:trPr>
          <w:trHeight w:val="233"/>
          <w:tblHeader/>
        </w:trPr>
        <w:tc>
          <w:tcPr>
            <w:tcW w:w="9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56160" w:rsidRPr="00AC0028" w14:paraId="360DA20F" w14:textId="77777777">
            <w:pPr>
              <w:keepNext/>
              <w:keepLines/>
              <w:autoSpaceDE/>
              <w:autoSpaceDN/>
              <w:jc w:val="center"/>
              <w:rPr>
                <w:rFonts w:eastAsia="Times New Roman"/>
                <w:b/>
                <w:bCs/>
                <w:sz w:val="20"/>
                <w:szCs w:val="20"/>
              </w:rPr>
            </w:pPr>
            <w:r w:rsidRPr="00AC0028">
              <w:rPr>
                <w:rFonts w:eastAsia="Times New Roman"/>
                <w:b/>
                <w:bCs/>
                <w:sz w:val="20"/>
                <w:szCs w:val="20"/>
              </w:rPr>
              <w:t>Year</w:t>
            </w:r>
          </w:p>
        </w:tc>
        <w:tc>
          <w:tcPr>
            <w:tcW w:w="1590" w:type="dxa"/>
            <w:vMerge w:val="restart"/>
            <w:tcBorders>
              <w:top w:val="single" w:sz="4" w:space="0" w:color="auto"/>
              <w:left w:val="single" w:sz="4" w:space="0" w:color="auto"/>
              <w:bottom w:val="single" w:sz="4" w:space="0" w:color="000000" w:themeColor="text1"/>
              <w:right w:val="single" w:sz="4" w:space="0" w:color="auto"/>
            </w:tcBorders>
            <w:shd w:val="clear" w:color="auto" w:fill="FFFFFF" w:themeFill="background1"/>
            <w:vAlign w:val="center"/>
            <w:hideMark/>
          </w:tcPr>
          <w:p w:rsidR="00756160" w:rsidRPr="00AC0028" w14:paraId="440EE55A" w14:textId="60C19DA6">
            <w:pPr>
              <w:keepNext/>
              <w:keepLines/>
              <w:autoSpaceDE/>
              <w:autoSpaceDN/>
              <w:jc w:val="center"/>
              <w:rPr>
                <w:rFonts w:eastAsia="Times New Roman"/>
                <w:b/>
                <w:bCs/>
                <w:sz w:val="20"/>
                <w:szCs w:val="20"/>
              </w:rPr>
            </w:pPr>
            <w:r w:rsidRPr="00AC0028">
              <w:rPr>
                <w:rFonts w:eastAsia="Times New Roman"/>
                <w:b/>
                <w:bCs/>
                <w:sz w:val="20"/>
                <w:szCs w:val="20"/>
              </w:rPr>
              <w:t>Applications</w:t>
            </w:r>
            <w:r w:rsidR="00826B8E">
              <w:rPr>
                <w:rFonts w:eastAsia="Times New Roman"/>
                <w:b/>
                <w:bCs/>
                <w:sz w:val="20"/>
                <w:szCs w:val="20"/>
              </w:rPr>
              <w:t>**</w:t>
            </w:r>
          </w:p>
        </w:tc>
        <w:tc>
          <w:tcPr>
            <w:tcW w:w="3235" w:type="dxa"/>
            <w:gridSpan w:val="2"/>
            <w:tcBorders>
              <w:top w:val="single" w:sz="4" w:space="0" w:color="auto"/>
              <w:left w:val="nil"/>
              <w:bottom w:val="single" w:sz="4" w:space="0" w:color="auto"/>
              <w:right w:val="single" w:sz="4" w:space="0" w:color="auto"/>
            </w:tcBorders>
            <w:vAlign w:val="bottom"/>
            <w:hideMark/>
          </w:tcPr>
          <w:p w:rsidR="00756160" w:rsidRPr="00AC0028" w14:paraId="0A81879D" w14:textId="77777777">
            <w:pPr>
              <w:keepNext/>
              <w:keepLines/>
              <w:autoSpaceDE/>
              <w:autoSpaceDN/>
              <w:jc w:val="center"/>
              <w:rPr>
                <w:rFonts w:eastAsia="Times New Roman"/>
                <w:b/>
                <w:bCs/>
                <w:color w:val="000000"/>
                <w:sz w:val="20"/>
                <w:szCs w:val="20"/>
              </w:rPr>
            </w:pPr>
            <w:r w:rsidRPr="00AC0028">
              <w:rPr>
                <w:rFonts w:eastAsia="Times New Roman"/>
                <w:b/>
                <w:bCs/>
                <w:color w:val="000000"/>
                <w:sz w:val="20"/>
                <w:szCs w:val="20"/>
              </w:rPr>
              <w:t>Averted Licensing Costs*</w:t>
            </w:r>
          </w:p>
        </w:tc>
      </w:tr>
      <w:tr w14:paraId="7020BEAB" w14:textId="77777777" w:rsidTr="004D0D14">
        <w:tblPrEx>
          <w:tblW w:w="5755" w:type="dxa"/>
          <w:tblLook w:val="04A0"/>
        </w:tblPrEx>
        <w:trPr>
          <w:trHeight w:val="96"/>
          <w:tblHeader/>
        </w:trPr>
        <w:tc>
          <w:tcPr>
            <w:tcW w:w="930" w:type="dxa"/>
            <w:vMerge/>
            <w:vAlign w:val="center"/>
            <w:hideMark/>
          </w:tcPr>
          <w:p w:rsidR="00756160" w:rsidRPr="00AC0028" w14:paraId="71158654" w14:textId="77777777">
            <w:pPr>
              <w:keepNext/>
              <w:keepLines/>
              <w:autoSpaceDE/>
              <w:autoSpaceDN/>
              <w:rPr>
                <w:rFonts w:eastAsia="Times New Roman"/>
                <w:b/>
                <w:bCs/>
                <w:sz w:val="20"/>
                <w:szCs w:val="20"/>
              </w:rPr>
            </w:pPr>
          </w:p>
        </w:tc>
        <w:tc>
          <w:tcPr>
            <w:tcW w:w="1590" w:type="dxa"/>
            <w:vMerge/>
            <w:vAlign w:val="center"/>
            <w:hideMark/>
          </w:tcPr>
          <w:p w:rsidR="00756160" w:rsidRPr="00AC0028" w14:paraId="61CF397A" w14:textId="77777777">
            <w:pPr>
              <w:keepNext/>
              <w:keepLines/>
              <w:autoSpaceDE/>
              <w:autoSpaceDN/>
              <w:rPr>
                <w:rFonts w:eastAsia="Times New Roman"/>
                <w:b/>
                <w:bCs/>
                <w:sz w:val="20"/>
                <w:szCs w:val="20"/>
              </w:rPr>
            </w:pPr>
          </w:p>
        </w:tc>
        <w:tc>
          <w:tcPr>
            <w:tcW w:w="1350" w:type="dxa"/>
            <w:tcBorders>
              <w:top w:val="nil"/>
              <w:left w:val="nil"/>
              <w:bottom w:val="single" w:sz="4" w:space="0" w:color="auto"/>
              <w:right w:val="single" w:sz="4" w:space="0" w:color="auto"/>
            </w:tcBorders>
            <w:vAlign w:val="bottom"/>
            <w:hideMark/>
          </w:tcPr>
          <w:p w:rsidR="00756160" w:rsidRPr="00AC0028" w14:paraId="65DCEBFD" w14:textId="77777777">
            <w:pPr>
              <w:keepNext/>
              <w:keepLines/>
              <w:autoSpaceDE/>
              <w:autoSpaceDN/>
              <w:jc w:val="center"/>
              <w:rPr>
                <w:rFonts w:eastAsia="Times New Roman"/>
                <w:b/>
                <w:bCs/>
                <w:color w:val="000000"/>
                <w:sz w:val="20"/>
                <w:szCs w:val="20"/>
              </w:rPr>
            </w:pPr>
            <w:r w:rsidRPr="00AC0028">
              <w:rPr>
                <w:rFonts w:eastAsia="Times New Roman"/>
                <w:b/>
                <w:bCs/>
                <w:color w:val="000000"/>
                <w:sz w:val="20"/>
                <w:szCs w:val="20"/>
              </w:rPr>
              <w:t>Hours</w:t>
            </w:r>
          </w:p>
        </w:tc>
        <w:tc>
          <w:tcPr>
            <w:tcW w:w="1885" w:type="dxa"/>
            <w:tcBorders>
              <w:top w:val="nil"/>
              <w:left w:val="nil"/>
              <w:bottom w:val="single" w:sz="4" w:space="0" w:color="auto"/>
              <w:right w:val="single" w:sz="4" w:space="0" w:color="auto"/>
            </w:tcBorders>
            <w:vAlign w:val="bottom"/>
            <w:hideMark/>
          </w:tcPr>
          <w:p w:rsidR="00756160" w:rsidRPr="00AC0028" w14:paraId="67562D9D" w14:textId="77777777">
            <w:pPr>
              <w:keepNext/>
              <w:keepLines/>
              <w:autoSpaceDE/>
              <w:autoSpaceDN/>
              <w:jc w:val="center"/>
              <w:rPr>
                <w:rFonts w:eastAsia="Times New Roman"/>
                <w:b/>
                <w:bCs/>
                <w:color w:val="000000"/>
                <w:sz w:val="20"/>
                <w:szCs w:val="20"/>
              </w:rPr>
            </w:pPr>
            <w:r w:rsidRPr="00AC0028">
              <w:rPr>
                <w:rFonts w:eastAsia="Times New Roman"/>
                <w:b/>
                <w:bCs/>
                <w:color w:val="000000"/>
                <w:sz w:val="20"/>
                <w:szCs w:val="20"/>
              </w:rPr>
              <w:t>Net Benefits (Costs)</w:t>
            </w:r>
          </w:p>
        </w:tc>
      </w:tr>
      <w:tr w14:paraId="0A91E3CD"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333F8FC5"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2026</w:t>
            </w:r>
          </w:p>
        </w:tc>
        <w:tc>
          <w:tcPr>
            <w:tcW w:w="1590" w:type="dxa"/>
            <w:tcBorders>
              <w:top w:val="nil"/>
              <w:left w:val="nil"/>
              <w:bottom w:val="single" w:sz="4" w:space="0" w:color="auto"/>
              <w:right w:val="single" w:sz="4" w:space="0" w:color="auto"/>
            </w:tcBorders>
            <w:noWrap/>
            <w:vAlign w:val="bottom"/>
            <w:hideMark/>
          </w:tcPr>
          <w:p w:rsidR="00756160" w:rsidRPr="006F30DB" w14:paraId="287B56E7" w14:textId="77777777">
            <w:pPr>
              <w:keepNext/>
              <w:keepLines/>
              <w:autoSpaceDE/>
              <w:autoSpaceDN/>
              <w:jc w:val="right"/>
              <w:rPr>
                <w:rFonts w:eastAsia="Times New Roman"/>
                <w:color w:val="000000"/>
                <w:sz w:val="20"/>
                <w:szCs w:val="20"/>
              </w:rPr>
            </w:pPr>
            <w:r w:rsidRPr="007E5E6A">
              <w:rPr>
                <w:sz w:val="20"/>
                <w:szCs w:val="20"/>
              </w:rPr>
              <w:t>0</w:t>
            </w:r>
          </w:p>
        </w:tc>
        <w:tc>
          <w:tcPr>
            <w:tcW w:w="1350" w:type="dxa"/>
            <w:tcBorders>
              <w:top w:val="nil"/>
              <w:left w:val="nil"/>
              <w:bottom w:val="single" w:sz="4" w:space="0" w:color="auto"/>
              <w:right w:val="single" w:sz="4" w:space="0" w:color="auto"/>
            </w:tcBorders>
            <w:noWrap/>
            <w:vAlign w:val="bottom"/>
            <w:hideMark/>
          </w:tcPr>
          <w:p w:rsidR="00756160" w:rsidRPr="006F30DB" w14:paraId="1EC1A9B2" w14:textId="77777777">
            <w:pPr>
              <w:keepNext/>
              <w:keepLines/>
              <w:autoSpaceDE/>
              <w:autoSpaceDN/>
              <w:jc w:val="center"/>
              <w:rPr>
                <w:rFonts w:eastAsia="Times New Roman"/>
                <w:color w:val="000000"/>
                <w:sz w:val="20"/>
                <w:szCs w:val="20"/>
              </w:rPr>
            </w:pPr>
            <w:r w:rsidRPr="007E5E6A">
              <w:rPr>
                <w:sz w:val="20"/>
                <w:szCs w:val="20"/>
              </w:rPr>
              <w:t xml:space="preserve">-   </w:t>
            </w:r>
          </w:p>
        </w:tc>
        <w:tc>
          <w:tcPr>
            <w:tcW w:w="1885" w:type="dxa"/>
            <w:tcBorders>
              <w:top w:val="nil"/>
              <w:left w:val="nil"/>
              <w:bottom w:val="single" w:sz="4" w:space="0" w:color="auto"/>
              <w:right w:val="single" w:sz="4" w:space="0" w:color="auto"/>
            </w:tcBorders>
            <w:vAlign w:val="bottom"/>
            <w:hideMark/>
          </w:tcPr>
          <w:p w:rsidR="00756160" w:rsidRPr="006F30DB" w14:paraId="0697D9F9" w14:textId="77777777">
            <w:pPr>
              <w:keepNext/>
              <w:keepLines/>
              <w:autoSpaceDE/>
              <w:autoSpaceDN/>
              <w:jc w:val="right"/>
              <w:rPr>
                <w:rFonts w:eastAsia="Times New Roman"/>
                <w:color w:val="000000"/>
                <w:sz w:val="20"/>
                <w:szCs w:val="20"/>
              </w:rPr>
            </w:pPr>
            <w:r w:rsidRPr="007E5E6A">
              <w:rPr>
                <w:sz w:val="20"/>
                <w:szCs w:val="20"/>
              </w:rPr>
              <w:t xml:space="preserve">$0 </w:t>
            </w:r>
          </w:p>
        </w:tc>
      </w:tr>
      <w:tr w14:paraId="650F33B3"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19DCE7BF"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2027</w:t>
            </w:r>
          </w:p>
        </w:tc>
        <w:tc>
          <w:tcPr>
            <w:tcW w:w="1590" w:type="dxa"/>
            <w:tcBorders>
              <w:top w:val="nil"/>
              <w:left w:val="nil"/>
              <w:bottom w:val="single" w:sz="4" w:space="0" w:color="auto"/>
              <w:right w:val="single" w:sz="4" w:space="0" w:color="auto"/>
            </w:tcBorders>
            <w:noWrap/>
            <w:vAlign w:val="bottom"/>
            <w:hideMark/>
          </w:tcPr>
          <w:p w:rsidR="00756160" w:rsidRPr="006F30DB" w14:paraId="4AB34DAC" w14:textId="77777777">
            <w:pPr>
              <w:keepNext/>
              <w:keepLines/>
              <w:autoSpaceDE/>
              <w:autoSpaceDN/>
              <w:jc w:val="right"/>
              <w:rPr>
                <w:rFonts w:eastAsia="Times New Roman"/>
                <w:color w:val="000000"/>
                <w:sz w:val="20"/>
                <w:szCs w:val="20"/>
              </w:rPr>
            </w:pPr>
            <w:r w:rsidRPr="007E5E6A">
              <w:rPr>
                <w:sz w:val="20"/>
                <w:szCs w:val="20"/>
              </w:rPr>
              <w:t>1</w:t>
            </w:r>
          </w:p>
        </w:tc>
        <w:tc>
          <w:tcPr>
            <w:tcW w:w="1350" w:type="dxa"/>
            <w:tcBorders>
              <w:top w:val="nil"/>
              <w:left w:val="nil"/>
              <w:bottom w:val="single" w:sz="4" w:space="0" w:color="auto"/>
              <w:right w:val="single" w:sz="4" w:space="0" w:color="auto"/>
            </w:tcBorders>
            <w:noWrap/>
            <w:vAlign w:val="bottom"/>
            <w:hideMark/>
          </w:tcPr>
          <w:p w:rsidR="00756160" w:rsidRPr="006F30DB" w14:paraId="5BB79DAB"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1885" w:type="dxa"/>
            <w:tcBorders>
              <w:top w:val="nil"/>
              <w:left w:val="nil"/>
              <w:bottom w:val="single" w:sz="4" w:space="0" w:color="auto"/>
              <w:right w:val="single" w:sz="4" w:space="0" w:color="auto"/>
            </w:tcBorders>
            <w:vAlign w:val="bottom"/>
            <w:hideMark/>
          </w:tcPr>
          <w:p w:rsidR="00756160" w:rsidRPr="006F30DB" w14:paraId="2E288F53"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7E5D8BC0"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133F3DFC"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2028</w:t>
            </w:r>
          </w:p>
        </w:tc>
        <w:tc>
          <w:tcPr>
            <w:tcW w:w="1590" w:type="dxa"/>
            <w:tcBorders>
              <w:top w:val="nil"/>
              <w:left w:val="nil"/>
              <w:bottom w:val="single" w:sz="4" w:space="0" w:color="auto"/>
              <w:right w:val="single" w:sz="4" w:space="0" w:color="auto"/>
            </w:tcBorders>
            <w:noWrap/>
            <w:vAlign w:val="bottom"/>
            <w:hideMark/>
          </w:tcPr>
          <w:p w:rsidR="00756160" w:rsidRPr="006F30DB" w14:paraId="7C39ABDC" w14:textId="77777777">
            <w:pPr>
              <w:keepNext/>
              <w:keepLines/>
              <w:autoSpaceDE/>
              <w:autoSpaceDN/>
              <w:jc w:val="right"/>
              <w:rPr>
                <w:rFonts w:eastAsia="Times New Roman"/>
                <w:color w:val="000000"/>
                <w:sz w:val="20"/>
                <w:szCs w:val="20"/>
              </w:rPr>
            </w:pPr>
            <w:r w:rsidRPr="007E5E6A">
              <w:rPr>
                <w:sz w:val="20"/>
                <w:szCs w:val="20"/>
              </w:rPr>
              <w:t>1</w:t>
            </w:r>
          </w:p>
        </w:tc>
        <w:tc>
          <w:tcPr>
            <w:tcW w:w="1350" w:type="dxa"/>
            <w:tcBorders>
              <w:top w:val="nil"/>
              <w:left w:val="nil"/>
              <w:bottom w:val="single" w:sz="4" w:space="0" w:color="auto"/>
              <w:right w:val="single" w:sz="4" w:space="0" w:color="auto"/>
            </w:tcBorders>
            <w:noWrap/>
            <w:vAlign w:val="bottom"/>
            <w:hideMark/>
          </w:tcPr>
          <w:p w:rsidR="00756160" w:rsidRPr="006F30DB" w14:paraId="4B83036B"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1885" w:type="dxa"/>
            <w:tcBorders>
              <w:top w:val="nil"/>
              <w:left w:val="nil"/>
              <w:bottom w:val="single" w:sz="4" w:space="0" w:color="auto"/>
              <w:right w:val="single" w:sz="4" w:space="0" w:color="auto"/>
            </w:tcBorders>
            <w:vAlign w:val="bottom"/>
            <w:hideMark/>
          </w:tcPr>
          <w:p w:rsidR="00756160" w:rsidRPr="006F30DB" w14:paraId="7C26FA4E"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23474B33"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65C74A0C"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2029</w:t>
            </w:r>
          </w:p>
        </w:tc>
        <w:tc>
          <w:tcPr>
            <w:tcW w:w="1590" w:type="dxa"/>
            <w:tcBorders>
              <w:top w:val="nil"/>
              <w:left w:val="nil"/>
              <w:bottom w:val="single" w:sz="4" w:space="0" w:color="auto"/>
              <w:right w:val="single" w:sz="4" w:space="0" w:color="auto"/>
            </w:tcBorders>
            <w:noWrap/>
            <w:vAlign w:val="bottom"/>
            <w:hideMark/>
          </w:tcPr>
          <w:p w:rsidR="00756160" w:rsidRPr="006F30DB" w14:paraId="29708D98" w14:textId="77777777">
            <w:pPr>
              <w:keepNext/>
              <w:keepLines/>
              <w:autoSpaceDE/>
              <w:autoSpaceDN/>
              <w:jc w:val="right"/>
              <w:rPr>
                <w:rFonts w:eastAsia="Times New Roman"/>
                <w:color w:val="000000"/>
                <w:sz w:val="20"/>
                <w:szCs w:val="20"/>
              </w:rPr>
            </w:pPr>
            <w:r w:rsidRPr="007E5E6A">
              <w:rPr>
                <w:sz w:val="20"/>
                <w:szCs w:val="20"/>
              </w:rPr>
              <w:t>1</w:t>
            </w:r>
          </w:p>
        </w:tc>
        <w:tc>
          <w:tcPr>
            <w:tcW w:w="1350" w:type="dxa"/>
            <w:tcBorders>
              <w:top w:val="nil"/>
              <w:left w:val="nil"/>
              <w:bottom w:val="single" w:sz="4" w:space="0" w:color="auto"/>
              <w:right w:val="single" w:sz="4" w:space="0" w:color="auto"/>
            </w:tcBorders>
            <w:noWrap/>
            <w:vAlign w:val="bottom"/>
            <w:hideMark/>
          </w:tcPr>
          <w:p w:rsidR="00756160" w:rsidRPr="006F30DB" w14:paraId="5DF4D4E3"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1885" w:type="dxa"/>
            <w:tcBorders>
              <w:top w:val="nil"/>
              <w:left w:val="nil"/>
              <w:bottom w:val="single" w:sz="4" w:space="0" w:color="auto"/>
              <w:right w:val="single" w:sz="4" w:space="0" w:color="auto"/>
            </w:tcBorders>
            <w:vAlign w:val="bottom"/>
            <w:hideMark/>
          </w:tcPr>
          <w:p w:rsidR="00756160" w:rsidRPr="006F30DB" w14:paraId="1497EC0C"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534EE228"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011C97E8"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2030</w:t>
            </w:r>
          </w:p>
        </w:tc>
        <w:tc>
          <w:tcPr>
            <w:tcW w:w="1590" w:type="dxa"/>
            <w:tcBorders>
              <w:top w:val="nil"/>
              <w:left w:val="nil"/>
              <w:bottom w:val="single" w:sz="4" w:space="0" w:color="auto"/>
              <w:right w:val="single" w:sz="4" w:space="0" w:color="auto"/>
            </w:tcBorders>
            <w:noWrap/>
            <w:vAlign w:val="bottom"/>
            <w:hideMark/>
          </w:tcPr>
          <w:p w:rsidR="00756160" w:rsidRPr="006F30DB" w14:paraId="40FC517C" w14:textId="77777777">
            <w:pPr>
              <w:keepNext/>
              <w:keepLines/>
              <w:autoSpaceDE/>
              <w:autoSpaceDN/>
              <w:jc w:val="right"/>
              <w:rPr>
                <w:rFonts w:eastAsia="Times New Roman"/>
                <w:color w:val="000000"/>
                <w:sz w:val="20"/>
                <w:szCs w:val="20"/>
              </w:rPr>
            </w:pPr>
            <w:r w:rsidRPr="007E5E6A">
              <w:rPr>
                <w:sz w:val="20"/>
                <w:szCs w:val="20"/>
              </w:rPr>
              <w:t>1</w:t>
            </w:r>
          </w:p>
        </w:tc>
        <w:tc>
          <w:tcPr>
            <w:tcW w:w="1350" w:type="dxa"/>
            <w:tcBorders>
              <w:top w:val="nil"/>
              <w:left w:val="nil"/>
              <w:bottom w:val="single" w:sz="4" w:space="0" w:color="auto"/>
              <w:right w:val="single" w:sz="4" w:space="0" w:color="auto"/>
            </w:tcBorders>
            <w:noWrap/>
            <w:vAlign w:val="bottom"/>
            <w:hideMark/>
          </w:tcPr>
          <w:p w:rsidR="00756160" w:rsidRPr="006F30DB" w14:paraId="2ACED05A"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1885" w:type="dxa"/>
            <w:tcBorders>
              <w:top w:val="nil"/>
              <w:left w:val="nil"/>
              <w:bottom w:val="single" w:sz="4" w:space="0" w:color="auto"/>
              <w:right w:val="single" w:sz="4" w:space="0" w:color="auto"/>
            </w:tcBorders>
            <w:vAlign w:val="bottom"/>
            <w:hideMark/>
          </w:tcPr>
          <w:p w:rsidR="00756160" w:rsidRPr="006F30DB" w14:paraId="5B1BC484"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673EF55F"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1446E915"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2031</w:t>
            </w:r>
          </w:p>
        </w:tc>
        <w:tc>
          <w:tcPr>
            <w:tcW w:w="1590" w:type="dxa"/>
            <w:tcBorders>
              <w:top w:val="nil"/>
              <w:left w:val="nil"/>
              <w:bottom w:val="single" w:sz="4" w:space="0" w:color="auto"/>
              <w:right w:val="single" w:sz="4" w:space="0" w:color="auto"/>
            </w:tcBorders>
            <w:noWrap/>
            <w:vAlign w:val="bottom"/>
            <w:hideMark/>
          </w:tcPr>
          <w:p w:rsidR="00756160" w:rsidRPr="006F30DB" w14:paraId="7F688837" w14:textId="77777777">
            <w:pPr>
              <w:keepNext/>
              <w:keepLines/>
              <w:autoSpaceDE/>
              <w:autoSpaceDN/>
              <w:jc w:val="right"/>
              <w:rPr>
                <w:rFonts w:eastAsia="Times New Roman"/>
                <w:color w:val="000000"/>
                <w:sz w:val="20"/>
                <w:szCs w:val="20"/>
              </w:rPr>
            </w:pPr>
            <w:r w:rsidRPr="007E5E6A">
              <w:rPr>
                <w:sz w:val="20"/>
                <w:szCs w:val="20"/>
              </w:rPr>
              <w:t>1</w:t>
            </w:r>
          </w:p>
        </w:tc>
        <w:tc>
          <w:tcPr>
            <w:tcW w:w="1350" w:type="dxa"/>
            <w:tcBorders>
              <w:top w:val="nil"/>
              <w:left w:val="nil"/>
              <w:bottom w:val="single" w:sz="4" w:space="0" w:color="auto"/>
              <w:right w:val="single" w:sz="4" w:space="0" w:color="auto"/>
            </w:tcBorders>
            <w:noWrap/>
            <w:vAlign w:val="bottom"/>
            <w:hideMark/>
          </w:tcPr>
          <w:p w:rsidR="00756160" w:rsidRPr="006F30DB" w14:paraId="683EB205" w14:textId="77777777">
            <w:pPr>
              <w:keepNext/>
              <w:keepLines/>
              <w:autoSpaceDE/>
              <w:autoSpaceDN/>
              <w:jc w:val="right"/>
              <w:rPr>
                <w:rFonts w:eastAsia="Times New Roman"/>
                <w:color w:val="000000"/>
                <w:sz w:val="20"/>
                <w:szCs w:val="20"/>
              </w:rPr>
            </w:pPr>
            <w:r w:rsidRPr="007E5E6A">
              <w:rPr>
                <w:sz w:val="20"/>
                <w:szCs w:val="20"/>
              </w:rPr>
              <w:t xml:space="preserve"> 484 </w:t>
            </w:r>
          </w:p>
        </w:tc>
        <w:tc>
          <w:tcPr>
            <w:tcW w:w="1885" w:type="dxa"/>
            <w:tcBorders>
              <w:top w:val="nil"/>
              <w:left w:val="nil"/>
              <w:bottom w:val="single" w:sz="4" w:space="0" w:color="auto"/>
              <w:right w:val="single" w:sz="4" w:space="0" w:color="auto"/>
            </w:tcBorders>
            <w:vAlign w:val="bottom"/>
            <w:hideMark/>
          </w:tcPr>
          <w:p w:rsidR="00756160" w:rsidRPr="006F30DB" w14:paraId="48405663" w14:textId="77777777">
            <w:pPr>
              <w:keepNext/>
              <w:keepLines/>
              <w:autoSpaceDE/>
              <w:autoSpaceDN/>
              <w:jc w:val="right"/>
              <w:rPr>
                <w:rFonts w:eastAsia="Times New Roman"/>
                <w:color w:val="000000"/>
                <w:sz w:val="20"/>
                <w:szCs w:val="20"/>
              </w:rPr>
            </w:pPr>
            <w:r w:rsidRPr="007E5E6A">
              <w:rPr>
                <w:sz w:val="20"/>
                <w:szCs w:val="20"/>
              </w:rPr>
              <w:t xml:space="preserve">$48,452 </w:t>
            </w:r>
          </w:p>
        </w:tc>
      </w:tr>
      <w:tr w14:paraId="062A9E33"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75581C71"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2032</w:t>
            </w:r>
          </w:p>
        </w:tc>
        <w:tc>
          <w:tcPr>
            <w:tcW w:w="1590" w:type="dxa"/>
            <w:tcBorders>
              <w:top w:val="nil"/>
              <w:left w:val="nil"/>
              <w:bottom w:val="single" w:sz="4" w:space="0" w:color="auto"/>
              <w:right w:val="single" w:sz="4" w:space="0" w:color="auto"/>
            </w:tcBorders>
            <w:noWrap/>
            <w:vAlign w:val="bottom"/>
            <w:hideMark/>
          </w:tcPr>
          <w:p w:rsidR="00756160" w:rsidRPr="006F30DB" w14:paraId="50482093" w14:textId="77777777">
            <w:pPr>
              <w:keepNext/>
              <w:keepLines/>
              <w:autoSpaceDE/>
              <w:autoSpaceDN/>
              <w:jc w:val="right"/>
              <w:rPr>
                <w:rFonts w:eastAsia="Times New Roman"/>
                <w:color w:val="000000"/>
                <w:sz w:val="20"/>
                <w:szCs w:val="20"/>
              </w:rPr>
            </w:pPr>
            <w:r w:rsidRPr="007E5E6A">
              <w:rPr>
                <w:sz w:val="20"/>
                <w:szCs w:val="20"/>
              </w:rPr>
              <w:t>0</w:t>
            </w:r>
          </w:p>
        </w:tc>
        <w:tc>
          <w:tcPr>
            <w:tcW w:w="1350" w:type="dxa"/>
            <w:tcBorders>
              <w:top w:val="nil"/>
              <w:left w:val="nil"/>
              <w:bottom w:val="single" w:sz="4" w:space="0" w:color="auto"/>
              <w:right w:val="single" w:sz="4" w:space="0" w:color="auto"/>
            </w:tcBorders>
            <w:noWrap/>
            <w:vAlign w:val="bottom"/>
            <w:hideMark/>
          </w:tcPr>
          <w:p w:rsidR="00756160" w:rsidRPr="006F30DB" w14:paraId="7A167540" w14:textId="77777777">
            <w:pPr>
              <w:keepNext/>
              <w:keepLines/>
              <w:autoSpaceDE/>
              <w:autoSpaceDN/>
              <w:jc w:val="center"/>
              <w:rPr>
                <w:rFonts w:eastAsia="Times New Roman"/>
                <w:color w:val="000000"/>
                <w:sz w:val="20"/>
                <w:szCs w:val="20"/>
              </w:rPr>
            </w:pPr>
            <w:r w:rsidRPr="007E5E6A">
              <w:rPr>
                <w:sz w:val="20"/>
                <w:szCs w:val="20"/>
              </w:rPr>
              <w:t xml:space="preserve">-   </w:t>
            </w:r>
          </w:p>
        </w:tc>
        <w:tc>
          <w:tcPr>
            <w:tcW w:w="1885" w:type="dxa"/>
            <w:tcBorders>
              <w:top w:val="nil"/>
              <w:left w:val="nil"/>
              <w:bottom w:val="single" w:sz="4" w:space="0" w:color="auto"/>
              <w:right w:val="single" w:sz="4" w:space="0" w:color="auto"/>
            </w:tcBorders>
            <w:vAlign w:val="bottom"/>
            <w:hideMark/>
          </w:tcPr>
          <w:p w:rsidR="00756160" w:rsidRPr="006F30DB" w14:paraId="4A9D0DE3" w14:textId="77777777">
            <w:pPr>
              <w:keepNext/>
              <w:keepLines/>
              <w:autoSpaceDE/>
              <w:autoSpaceDN/>
              <w:jc w:val="right"/>
              <w:rPr>
                <w:rFonts w:eastAsia="Times New Roman"/>
                <w:color w:val="000000"/>
                <w:sz w:val="20"/>
                <w:szCs w:val="20"/>
              </w:rPr>
            </w:pPr>
            <w:r w:rsidRPr="007E5E6A">
              <w:rPr>
                <w:sz w:val="20"/>
                <w:szCs w:val="20"/>
              </w:rPr>
              <w:t xml:space="preserve">$0 </w:t>
            </w:r>
          </w:p>
        </w:tc>
      </w:tr>
      <w:tr w14:paraId="03AB5B9D"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2C03D11D"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2033</w:t>
            </w:r>
          </w:p>
        </w:tc>
        <w:tc>
          <w:tcPr>
            <w:tcW w:w="1590" w:type="dxa"/>
            <w:tcBorders>
              <w:top w:val="nil"/>
              <w:left w:val="nil"/>
              <w:bottom w:val="single" w:sz="4" w:space="0" w:color="auto"/>
              <w:right w:val="single" w:sz="4" w:space="0" w:color="auto"/>
            </w:tcBorders>
            <w:noWrap/>
            <w:vAlign w:val="bottom"/>
            <w:hideMark/>
          </w:tcPr>
          <w:p w:rsidR="00756160" w:rsidRPr="006F30DB" w14:paraId="2979FD0F" w14:textId="77777777">
            <w:pPr>
              <w:keepNext/>
              <w:keepLines/>
              <w:autoSpaceDE/>
              <w:autoSpaceDN/>
              <w:jc w:val="right"/>
              <w:rPr>
                <w:rFonts w:eastAsia="Times New Roman"/>
                <w:color w:val="000000"/>
                <w:sz w:val="20"/>
                <w:szCs w:val="20"/>
              </w:rPr>
            </w:pPr>
            <w:r w:rsidRPr="007E5E6A">
              <w:rPr>
                <w:sz w:val="20"/>
                <w:szCs w:val="20"/>
              </w:rPr>
              <w:t>0</w:t>
            </w:r>
          </w:p>
        </w:tc>
        <w:tc>
          <w:tcPr>
            <w:tcW w:w="1350" w:type="dxa"/>
            <w:tcBorders>
              <w:top w:val="nil"/>
              <w:left w:val="nil"/>
              <w:bottom w:val="single" w:sz="4" w:space="0" w:color="auto"/>
              <w:right w:val="single" w:sz="4" w:space="0" w:color="auto"/>
            </w:tcBorders>
            <w:noWrap/>
            <w:vAlign w:val="bottom"/>
            <w:hideMark/>
          </w:tcPr>
          <w:p w:rsidR="00756160" w:rsidRPr="006F30DB" w14:paraId="47EDF2C7" w14:textId="77777777">
            <w:pPr>
              <w:keepNext/>
              <w:keepLines/>
              <w:autoSpaceDE/>
              <w:autoSpaceDN/>
              <w:jc w:val="center"/>
              <w:rPr>
                <w:rFonts w:eastAsia="Times New Roman"/>
                <w:color w:val="000000"/>
                <w:sz w:val="20"/>
                <w:szCs w:val="20"/>
              </w:rPr>
            </w:pPr>
            <w:r w:rsidRPr="007E5E6A">
              <w:rPr>
                <w:sz w:val="20"/>
                <w:szCs w:val="20"/>
              </w:rPr>
              <w:t xml:space="preserve">-   </w:t>
            </w:r>
          </w:p>
        </w:tc>
        <w:tc>
          <w:tcPr>
            <w:tcW w:w="1885" w:type="dxa"/>
            <w:tcBorders>
              <w:top w:val="nil"/>
              <w:left w:val="nil"/>
              <w:bottom w:val="single" w:sz="4" w:space="0" w:color="auto"/>
              <w:right w:val="single" w:sz="4" w:space="0" w:color="auto"/>
            </w:tcBorders>
            <w:vAlign w:val="bottom"/>
            <w:hideMark/>
          </w:tcPr>
          <w:p w:rsidR="00756160" w:rsidRPr="006F30DB" w14:paraId="0E879D54" w14:textId="77777777">
            <w:pPr>
              <w:keepNext/>
              <w:keepLines/>
              <w:autoSpaceDE/>
              <w:autoSpaceDN/>
              <w:jc w:val="right"/>
              <w:rPr>
                <w:rFonts w:eastAsia="Times New Roman"/>
                <w:color w:val="000000"/>
                <w:sz w:val="20"/>
                <w:szCs w:val="20"/>
              </w:rPr>
            </w:pPr>
            <w:r w:rsidRPr="007E5E6A">
              <w:rPr>
                <w:sz w:val="20"/>
                <w:szCs w:val="20"/>
              </w:rPr>
              <w:t xml:space="preserve">$0 </w:t>
            </w:r>
          </w:p>
        </w:tc>
      </w:tr>
      <w:tr w14:paraId="007E6066"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5FE63D12"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2034</w:t>
            </w:r>
          </w:p>
        </w:tc>
        <w:tc>
          <w:tcPr>
            <w:tcW w:w="1590" w:type="dxa"/>
            <w:tcBorders>
              <w:top w:val="nil"/>
              <w:left w:val="nil"/>
              <w:bottom w:val="single" w:sz="4" w:space="0" w:color="auto"/>
              <w:right w:val="single" w:sz="4" w:space="0" w:color="auto"/>
            </w:tcBorders>
            <w:noWrap/>
            <w:vAlign w:val="bottom"/>
            <w:hideMark/>
          </w:tcPr>
          <w:p w:rsidR="00756160" w:rsidRPr="006F30DB" w14:paraId="1EC1CDBB" w14:textId="77777777">
            <w:pPr>
              <w:keepNext/>
              <w:keepLines/>
              <w:autoSpaceDE/>
              <w:autoSpaceDN/>
              <w:jc w:val="right"/>
              <w:rPr>
                <w:rFonts w:eastAsia="Times New Roman"/>
                <w:color w:val="000000"/>
                <w:sz w:val="20"/>
                <w:szCs w:val="20"/>
              </w:rPr>
            </w:pPr>
            <w:r w:rsidRPr="007E5E6A">
              <w:rPr>
                <w:sz w:val="20"/>
                <w:szCs w:val="20"/>
              </w:rPr>
              <w:t>2</w:t>
            </w:r>
          </w:p>
        </w:tc>
        <w:tc>
          <w:tcPr>
            <w:tcW w:w="1350" w:type="dxa"/>
            <w:tcBorders>
              <w:top w:val="nil"/>
              <w:left w:val="nil"/>
              <w:bottom w:val="single" w:sz="4" w:space="0" w:color="auto"/>
              <w:right w:val="single" w:sz="4" w:space="0" w:color="auto"/>
            </w:tcBorders>
            <w:noWrap/>
            <w:vAlign w:val="bottom"/>
            <w:hideMark/>
          </w:tcPr>
          <w:p w:rsidR="00756160" w:rsidRPr="006F30DB" w14:paraId="0BFE51E2" w14:textId="77777777">
            <w:pPr>
              <w:keepNext/>
              <w:keepLines/>
              <w:autoSpaceDE/>
              <w:autoSpaceDN/>
              <w:jc w:val="right"/>
              <w:rPr>
                <w:rFonts w:eastAsia="Times New Roman"/>
                <w:color w:val="000000"/>
                <w:sz w:val="20"/>
                <w:szCs w:val="20"/>
              </w:rPr>
            </w:pPr>
            <w:r w:rsidRPr="007E5E6A">
              <w:rPr>
                <w:sz w:val="20"/>
                <w:szCs w:val="20"/>
              </w:rPr>
              <w:t xml:space="preserve"> 968 </w:t>
            </w:r>
          </w:p>
        </w:tc>
        <w:tc>
          <w:tcPr>
            <w:tcW w:w="1885" w:type="dxa"/>
            <w:tcBorders>
              <w:top w:val="nil"/>
              <w:left w:val="nil"/>
              <w:bottom w:val="single" w:sz="4" w:space="0" w:color="auto"/>
              <w:right w:val="single" w:sz="4" w:space="0" w:color="auto"/>
            </w:tcBorders>
            <w:vAlign w:val="bottom"/>
            <w:hideMark/>
          </w:tcPr>
          <w:p w:rsidR="00756160" w:rsidRPr="006F30DB" w14:paraId="36980180" w14:textId="77777777">
            <w:pPr>
              <w:keepNext/>
              <w:keepLines/>
              <w:autoSpaceDE/>
              <w:autoSpaceDN/>
              <w:jc w:val="right"/>
              <w:rPr>
                <w:rFonts w:eastAsia="Times New Roman"/>
                <w:color w:val="000000"/>
                <w:sz w:val="20"/>
                <w:szCs w:val="20"/>
              </w:rPr>
            </w:pPr>
            <w:r w:rsidRPr="007E5E6A">
              <w:rPr>
                <w:sz w:val="20"/>
                <w:szCs w:val="20"/>
              </w:rPr>
              <w:t xml:space="preserve">$96,905 </w:t>
            </w:r>
          </w:p>
        </w:tc>
      </w:tr>
      <w:tr w14:paraId="11C77902"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0B44D4D1"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2035</w:t>
            </w:r>
          </w:p>
        </w:tc>
        <w:tc>
          <w:tcPr>
            <w:tcW w:w="1590" w:type="dxa"/>
            <w:tcBorders>
              <w:top w:val="nil"/>
              <w:left w:val="nil"/>
              <w:bottom w:val="single" w:sz="4" w:space="0" w:color="auto"/>
              <w:right w:val="single" w:sz="4" w:space="0" w:color="auto"/>
            </w:tcBorders>
            <w:noWrap/>
            <w:vAlign w:val="bottom"/>
            <w:hideMark/>
          </w:tcPr>
          <w:p w:rsidR="00756160" w:rsidRPr="006F30DB" w14:paraId="6AA50C66" w14:textId="77777777">
            <w:pPr>
              <w:keepNext/>
              <w:keepLines/>
              <w:autoSpaceDE/>
              <w:autoSpaceDN/>
              <w:jc w:val="right"/>
              <w:rPr>
                <w:rFonts w:eastAsia="Times New Roman"/>
                <w:color w:val="000000"/>
                <w:sz w:val="20"/>
                <w:szCs w:val="20"/>
              </w:rPr>
            </w:pPr>
            <w:r w:rsidRPr="007E5E6A">
              <w:rPr>
                <w:sz w:val="20"/>
                <w:szCs w:val="20"/>
              </w:rPr>
              <w:t>2</w:t>
            </w:r>
          </w:p>
        </w:tc>
        <w:tc>
          <w:tcPr>
            <w:tcW w:w="1350" w:type="dxa"/>
            <w:tcBorders>
              <w:top w:val="nil"/>
              <w:left w:val="nil"/>
              <w:bottom w:val="single" w:sz="4" w:space="0" w:color="auto"/>
              <w:right w:val="single" w:sz="4" w:space="0" w:color="auto"/>
            </w:tcBorders>
            <w:noWrap/>
            <w:vAlign w:val="bottom"/>
            <w:hideMark/>
          </w:tcPr>
          <w:p w:rsidR="00756160" w:rsidRPr="006F30DB" w14:paraId="58D98C6B" w14:textId="77777777">
            <w:pPr>
              <w:keepNext/>
              <w:keepLines/>
              <w:autoSpaceDE/>
              <w:autoSpaceDN/>
              <w:jc w:val="right"/>
              <w:rPr>
                <w:rFonts w:eastAsia="Times New Roman"/>
                <w:color w:val="000000"/>
                <w:sz w:val="20"/>
                <w:szCs w:val="20"/>
              </w:rPr>
            </w:pPr>
            <w:r w:rsidRPr="007E5E6A">
              <w:rPr>
                <w:sz w:val="20"/>
                <w:szCs w:val="20"/>
              </w:rPr>
              <w:t xml:space="preserve"> 968 </w:t>
            </w:r>
          </w:p>
        </w:tc>
        <w:tc>
          <w:tcPr>
            <w:tcW w:w="1885" w:type="dxa"/>
            <w:tcBorders>
              <w:top w:val="nil"/>
              <w:left w:val="nil"/>
              <w:bottom w:val="single" w:sz="4" w:space="0" w:color="auto"/>
              <w:right w:val="single" w:sz="4" w:space="0" w:color="auto"/>
            </w:tcBorders>
            <w:vAlign w:val="bottom"/>
            <w:hideMark/>
          </w:tcPr>
          <w:p w:rsidR="00756160" w:rsidRPr="006F30DB" w14:paraId="2CECC17C" w14:textId="77777777">
            <w:pPr>
              <w:keepNext/>
              <w:keepLines/>
              <w:autoSpaceDE/>
              <w:autoSpaceDN/>
              <w:jc w:val="right"/>
              <w:rPr>
                <w:rFonts w:eastAsia="Times New Roman"/>
                <w:color w:val="000000"/>
                <w:sz w:val="20"/>
                <w:szCs w:val="20"/>
              </w:rPr>
            </w:pPr>
            <w:r w:rsidRPr="007E5E6A">
              <w:rPr>
                <w:sz w:val="20"/>
                <w:szCs w:val="20"/>
              </w:rPr>
              <w:t xml:space="preserve">$96,905 </w:t>
            </w:r>
          </w:p>
        </w:tc>
      </w:tr>
      <w:tr w14:paraId="50734DBC"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2C79F5BA"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2036</w:t>
            </w:r>
          </w:p>
        </w:tc>
        <w:tc>
          <w:tcPr>
            <w:tcW w:w="1590" w:type="dxa"/>
            <w:tcBorders>
              <w:top w:val="nil"/>
              <w:left w:val="nil"/>
              <w:bottom w:val="single" w:sz="4" w:space="0" w:color="auto"/>
              <w:right w:val="single" w:sz="4" w:space="0" w:color="auto"/>
            </w:tcBorders>
            <w:noWrap/>
            <w:vAlign w:val="bottom"/>
            <w:hideMark/>
          </w:tcPr>
          <w:p w:rsidR="00756160" w:rsidRPr="006F30DB" w14:paraId="5DD4BCA8" w14:textId="77777777">
            <w:pPr>
              <w:keepNext/>
              <w:keepLines/>
              <w:autoSpaceDE/>
              <w:autoSpaceDN/>
              <w:jc w:val="right"/>
              <w:rPr>
                <w:rFonts w:eastAsia="Times New Roman"/>
                <w:color w:val="000000"/>
                <w:sz w:val="20"/>
                <w:szCs w:val="20"/>
              </w:rPr>
            </w:pPr>
            <w:r w:rsidRPr="007E5E6A">
              <w:rPr>
                <w:sz w:val="20"/>
                <w:szCs w:val="20"/>
              </w:rPr>
              <w:t>8</w:t>
            </w:r>
          </w:p>
        </w:tc>
        <w:tc>
          <w:tcPr>
            <w:tcW w:w="1350" w:type="dxa"/>
            <w:tcBorders>
              <w:top w:val="nil"/>
              <w:left w:val="nil"/>
              <w:bottom w:val="single" w:sz="4" w:space="0" w:color="auto"/>
              <w:right w:val="single" w:sz="4" w:space="0" w:color="auto"/>
            </w:tcBorders>
            <w:noWrap/>
            <w:vAlign w:val="bottom"/>
            <w:hideMark/>
          </w:tcPr>
          <w:p w:rsidR="00756160" w:rsidRPr="006F30DB" w14:paraId="45565BF0" w14:textId="77777777">
            <w:pPr>
              <w:keepNext/>
              <w:keepLines/>
              <w:autoSpaceDE/>
              <w:autoSpaceDN/>
              <w:jc w:val="right"/>
              <w:rPr>
                <w:rFonts w:eastAsia="Times New Roman"/>
                <w:color w:val="000000"/>
                <w:sz w:val="20"/>
                <w:szCs w:val="20"/>
              </w:rPr>
            </w:pPr>
            <w:r w:rsidRPr="007E5E6A">
              <w:rPr>
                <w:sz w:val="20"/>
                <w:szCs w:val="20"/>
              </w:rPr>
              <w:t xml:space="preserve"> 3,872 </w:t>
            </w:r>
          </w:p>
        </w:tc>
        <w:tc>
          <w:tcPr>
            <w:tcW w:w="1885" w:type="dxa"/>
            <w:tcBorders>
              <w:top w:val="nil"/>
              <w:left w:val="nil"/>
              <w:bottom w:val="single" w:sz="4" w:space="0" w:color="auto"/>
              <w:right w:val="single" w:sz="4" w:space="0" w:color="auto"/>
            </w:tcBorders>
            <w:vAlign w:val="bottom"/>
            <w:hideMark/>
          </w:tcPr>
          <w:p w:rsidR="00756160" w:rsidRPr="006F30DB" w14:paraId="1D11D70A" w14:textId="77777777">
            <w:pPr>
              <w:keepNext/>
              <w:keepLines/>
              <w:autoSpaceDE/>
              <w:autoSpaceDN/>
              <w:jc w:val="right"/>
              <w:rPr>
                <w:rFonts w:eastAsia="Times New Roman"/>
                <w:color w:val="000000"/>
                <w:sz w:val="20"/>
                <w:szCs w:val="20"/>
              </w:rPr>
            </w:pPr>
            <w:r w:rsidRPr="007E5E6A">
              <w:rPr>
                <w:sz w:val="20"/>
                <w:szCs w:val="20"/>
              </w:rPr>
              <w:t xml:space="preserve">$387,619 </w:t>
            </w:r>
          </w:p>
        </w:tc>
      </w:tr>
      <w:tr w14:paraId="4E808665"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7279FA7D"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2037</w:t>
            </w:r>
          </w:p>
        </w:tc>
        <w:tc>
          <w:tcPr>
            <w:tcW w:w="1590" w:type="dxa"/>
            <w:tcBorders>
              <w:top w:val="nil"/>
              <w:left w:val="nil"/>
              <w:bottom w:val="single" w:sz="4" w:space="0" w:color="auto"/>
              <w:right w:val="single" w:sz="4" w:space="0" w:color="auto"/>
            </w:tcBorders>
            <w:noWrap/>
            <w:vAlign w:val="bottom"/>
            <w:hideMark/>
          </w:tcPr>
          <w:p w:rsidR="00756160" w:rsidRPr="006F30DB" w14:paraId="4C8B7B68" w14:textId="77777777">
            <w:pPr>
              <w:keepNext/>
              <w:keepLines/>
              <w:autoSpaceDE/>
              <w:autoSpaceDN/>
              <w:jc w:val="right"/>
              <w:rPr>
                <w:rFonts w:eastAsia="Times New Roman"/>
                <w:color w:val="000000"/>
                <w:sz w:val="20"/>
                <w:szCs w:val="20"/>
              </w:rPr>
            </w:pPr>
            <w:r w:rsidRPr="007E5E6A">
              <w:rPr>
                <w:sz w:val="20"/>
                <w:szCs w:val="20"/>
              </w:rPr>
              <w:t>5</w:t>
            </w:r>
          </w:p>
        </w:tc>
        <w:tc>
          <w:tcPr>
            <w:tcW w:w="1350" w:type="dxa"/>
            <w:tcBorders>
              <w:top w:val="nil"/>
              <w:left w:val="nil"/>
              <w:bottom w:val="single" w:sz="4" w:space="0" w:color="auto"/>
              <w:right w:val="single" w:sz="4" w:space="0" w:color="auto"/>
            </w:tcBorders>
            <w:noWrap/>
            <w:vAlign w:val="bottom"/>
            <w:hideMark/>
          </w:tcPr>
          <w:p w:rsidR="00756160" w:rsidRPr="006F30DB" w14:paraId="1E0A1123" w14:textId="77777777">
            <w:pPr>
              <w:keepNext/>
              <w:keepLines/>
              <w:autoSpaceDE/>
              <w:autoSpaceDN/>
              <w:jc w:val="right"/>
              <w:rPr>
                <w:rFonts w:eastAsia="Times New Roman"/>
                <w:color w:val="000000"/>
                <w:sz w:val="20"/>
                <w:szCs w:val="20"/>
              </w:rPr>
            </w:pPr>
            <w:r w:rsidRPr="007E5E6A">
              <w:rPr>
                <w:sz w:val="20"/>
                <w:szCs w:val="20"/>
              </w:rPr>
              <w:t xml:space="preserve"> 2,420 </w:t>
            </w:r>
          </w:p>
        </w:tc>
        <w:tc>
          <w:tcPr>
            <w:tcW w:w="1885" w:type="dxa"/>
            <w:tcBorders>
              <w:top w:val="nil"/>
              <w:left w:val="nil"/>
              <w:bottom w:val="single" w:sz="4" w:space="0" w:color="auto"/>
              <w:right w:val="single" w:sz="4" w:space="0" w:color="auto"/>
            </w:tcBorders>
            <w:vAlign w:val="bottom"/>
            <w:hideMark/>
          </w:tcPr>
          <w:p w:rsidR="00756160" w:rsidRPr="006F30DB" w14:paraId="034022B7" w14:textId="77777777">
            <w:pPr>
              <w:keepNext/>
              <w:keepLines/>
              <w:autoSpaceDE/>
              <w:autoSpaceDN/>
              <w:jc w:val="right"/>
              <w:rPr>
                <w:rFonts w:eastAsia="Times New Roman"/>
                <w:color w:val="000000"/>
                <w:sz w:val="20"/>
                <w:szCs w:val="20"/>
              </w:rPr>
            </w:pPr>
            <w:r w:rsidRPr="007E5E6A">
              <w:rPr>
                <w:sz w:val="20"/>
                <w:szCs w:val="20"/>
              </w:rPr>
              <w:t xml:space="preserve">$242,262 </w:t>
            </w:r>
          </w:p>
        </w:tc>
      </w:tr>
      <w:tr w14:paraId="6436598A"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33B0A836"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2038</w:t>
            </w:r>
          </w:p>
        </w:tc>
        <w:tc>
          <w:tcPr>
            <w:tcW w:w="1590" w:type="dxa"/>
            <w:tcBorders>
              <w:top w:val="nil"/>
              <w:left w:val="nil"/>
              <w:bottom w:val="single" w:sz="4" w:space="0" w:color="auto"/>
              <w:right w:val="single" w:sz="4" w:space="0" w:color="auto"/>
            </w:tcBorders>
            <w:noWrap/>
            <w:vAlign w:val="bottom"/>
            <w:hideMark/>
          </w:tcPr>
          <w:p w:rsidR="00756160" w:rsidRPr="006F30DB" w14:paraId="1B31F018" w14:textId="77777777">
            <w:pPr>
              <w:keepNext/>
              <w:keepLines/>
              <w:autoSpaceDE/>
              <w:autoSpaceDN/>
              <w:jc w:val="right"/>
              <w:rPr>
                <w:rFonts w:eastAsia="Times New Roman"/>
                <w:color w:val="000000"/>
                <w:sz w:val="20"/>
                <w:szCs w:val="20"/>
              </w:rPr>
            </w:pPr>
            <w:r w:rsidRPr="007E5E6A">
              <w:rPr>
                <w:sz w:val="20"/>
                <w:szCs w:val="20"/>
              </w:rPr>
              <w:t>7</w:t>
            </w:r>
          </w:p>
        </w:tc>
        <w:tc>
          <w:tcPr>
            <w:tcW w:w="1350" w:type="dxa"/>
            <w:tcBorders>
              <w:top w:val="nil"/>
              <w:left w:val="nil"/>
              <w:bottom w:val="single" w:sz="4" w:space="0" w:color="auto"/>
              <w:right w:val="single" w:sz="4" w:space="0" w:color="auto"/>
            </w:tcBorders>
            <w:noWrap/>
            <w:vAlign w:val="bottom"/>
            <w:hideMark/>
          </w:tcPr>
          <w:p w:rsidR="00756160" w:rsidRPr="006F30DB" w14:paraId="65D47F57" w14:textId="77777777">
            <w:pPr>
              <w:keepNext/>
              <w:keepLines/>
              <w:autoSpaceDE/>
              <w:autoSpaceDN/>
              <w:jc w:val="right"/>
              <w:rPr>
                <w:rFonts w:eastAsia="Times New Roman"/>
                <w:color w:val="000000"/>
                <w:sz w:val="20"/>
                <w:szCs w:val="20"/>
              </w:rPr>
            </w:pPr>
            <w:r w:rsidRPr="007E5E6A">
              <w:rPr>
                <w:sz w:val="20"/>
                <w:szCs w:val="20"/>
              </w:rPr>
              <w:t xml:space="preserve"> 3,388 </w:t>
            </w:r>
          </w:p>
        </w:tc>
        <w:tc>
          <w:tcPr>
            <w:tcW w:w="1885" w:type="dxa"/>
            <w:tcBorders>
              <w:top w:val="nil"/>
              <w:left w:val="nil"/>
              <w:bottom w:val="single" w:sz="4" w:space="0" w:color="auto"/>
              <w:right w:val="single" w:sz="4" w:space="0" w:color="auto"/>
            </w:tcBorders>
            <w:vAlign w:val="bottom"/>
            <w:hideMark/>
          </w:tcPr>
          <w:p w:rsidR="00756160" w:rsidRPr="006F30DB" w14:paraId="24261668" w14:textId="77777777">
            <w:pPr>
              <w:keepNext/>
              <w:keepLines/>
              <w:autoSpaceDE/>
              <w:autoSpaceDN/>
              <w:jc w:val="right"/>
              <w:rPr>
                <w:rFonts w:eastAsia="Times New Roman"/>
                <w:color w:val="000000"/>
                <w:sz w:val="20"/>
                <w:szCs w:val="20"/>
              </w:rPr>
            </w:pPr>
            <w:r w:rsidRPr="007E5E6A">
              <w:rPr>
                <w:sz w:val="20"/>
                <w:szCs w:val="20"/>
              </w:rPr>
              <w:t xml:space="preserve">$339,167 </w:t>
            </w:r>
          </w:p>
        </w:tc>
      </w:tr>
      <w:tr w14:paraId="32442A47"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1415E119" w14:textId="77777777">
            <w:pPr>
              <w:keepNext/>
              <w:keepLines/>
              <w:autoSpaceDE/>
              <w:autoSpaceDN/>
              <w:jc w:val="right"/>
              <w:rPr>
                <w:rFonts w:eastAsia="Times New Roman"/>
                <w:color w:val="000000"/>
                <w:sz w:val="20"/>
                <w:szCs w:val="20"/>
              </w:rPr>
            </w:pPr>
            <w:r w:rsidRPr="00AC0028">
              <w:rPr>
                <w:rFonts w:eastAsia="Times New Roman"/>
                <w:color w:val="000000"/>
                <w:sz w:val="20"/>
                <w:szCs w:val="20"/>
              </w:rPr>
              <w:t>2039</w:t>
            </w:r>
          </w:p>
        </w:tc>
        <w:tc>
          <w:tcPr>
            <w:tcW w:w="1590" w:type="dxa"/>
            <w:tcBorders>
              <w:top w:val="nil"/>
              <w:left w:val="nil"/>
              <w:bottom w:val="single" w:sz="4" w:space="0" w:color="auto"/>
              <w:right w:val="single" w:sz="4" w:space="0" w:color="auto"/>
            </w:tcBorders>
            <w:noWrap/>
            <w:vAlign w:val="bottom"/>
            <w:hideMark/>
          </w:tcPr>
          <w:p w:rsidR="00756160" w:rsidRPr="006F30DB" w14:paraId="26692705" w14:textId="77777777">
            <w:pPr>
              <w:keepNext/>
              <w:keepLines/>
              <w:autoSpaceDE/>
              <w:autoSpaceDN/>
              <w:jc w:val="right"/>
              <w:rPr>
                <w:rFonts w:eastAsia="Times New Roman"/>
                <w:color w:val="000000"/>
                <w:sz w:val="20"/>
                <w:szCs w:val="20"/>
              </w:rPr>
            </w:pPr>
            <w:r w:rsidRPr="007E5E6A">
              <w:rPr>
                <w:sz w:val="20"/>
                <w:szCs w:val="20"/>
              </w:rPr>
              <w:t>12</w:t>
            </w:r>
          </w:p>
        </w:tc>
        <w:tc>
          <w:tcPr>
            <w:tcW w:w="1350" w:type="dxa"/>
            <w:tcBorders>
              <w:top w:val="nil"/>
              <w:left w:val="nil"/>
              <w:bottom w:val="single" w:sz="4" w:space="0" w:color="auto"/>
              <w:right w:val="single" w:sz="4" w:space="0" w:color="auto"/>
            </w:tcBorders>
            <w:noWrap/>
            <w:vAlign w:val="bottom"/>
            <w:hideMark/>
          </w:tcPr>
          <w:p w:rsidR="00756160" w:rsidRPr="006F30DB" w14:paraId="2B0AA15E" w14:textId="77777777">
            <w:pPr>
              <w:keepNext/>
              <w:keepLines/>
              <w:autoSpaceDE/>
              <w:autoSpaceDN/>
              <w:jc w:val="right"/>
              <w:rPr>
                <w:rFonts w:eastAsia="Times New Roman"/>
                <w:color w:val="000000"/>
                <w:sz w:val="20"/>
                <w:szCs w:val="20"/>
              </w:rPr>
            </w:pPr>
            <w:r w:rsidRPr="007E5E6A">
              <w:rPr>
                <w:sz w:val="20"/>
                <w:szCs w:val="20"/>
              </w:rPr>
              <w:t xml:space="preserve"> 5,808 </w:t>
            </w:r>
          </w:p>
        </w:tc>
        <w:tc>
          <w:tcPr>
            <w:tcW w:w="1885" w:type="dxa"/>
            <w:tcBorders>
              <w:top w:val="nil"/>
              <w:left w:val="nil"/>
              <w:bottom w:val="single" w:sz="4" w:space="0" w:color="auto"/>
              <w:right w:val="single" w:sz="4" w:space="0" w:color="auto"/>
            </w:tcBorders>
            <w:vAlign w:val="bottom"/>
            <w:hideMark/>
          </w:tcPr>
          <w:p w:rsidR="00756160" w:rsidRPr="006F30DB" w14:paraId="51DD4F9D" w14:textId="77777777">
            <w:pPr>
              <w:keepNext/>
              <w:keepLines/>
              <w:autoSpaceDE/>
              <w:autoSpaceDN/>
              <w:jc w:val="right"/>
              <w:rPr>
                <w:rFonts w:eastAsia="Times New Roman"/>
                <w:color w:val="000000"/>
                <w:sz w:val="20"/>
                <w:szCs w:val="20"/>
              </w:rPr>
            </w:pPr>
            <w:r w:rsidRPr="007E5E6A">
              <w:rPr>
                <w:sz w:val="20"/>
                <w:szCs w:val="20"/>
              </w:rPr>
              <w:t xml:space="preserve">$581,429 </w:t>
            </w:r>
          </w:p>
        </w:tc>
      </w:tr>
      <w:tr w14:paraId="56AB0068"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7C16C360" w14:textId="77777777">
            <w:pPr>
              <w:autoSpaceDE/>
              <w:autoSpaceDN/>
              <w:jc w:val="right"/>
              <w:rPr>
                <w:rFonts w:eastAsia="Times New Roman"/>
                <w:color w:val="000000"/>
                <w:sz w:val="20"/>
                <w:szCs w:val="20"/>
              </w:rPr>
            </w:pPr>
            <w:r w:rsidRPr="00AC0028">
              <w:rPr>
                <w:rFonts w:eastAsia="Times New Roman"/>
                <w:color w:val="000000"/>
                <w:sz w:val="20"/>
                <w:szCs w:val="20"/>
              </w:rPr>
              <w:t>2040</w:t>
            </w:r>
          </w:p>
        </w:tc>
        <w:tc>
          <w:tcPr>
            <w:tcW w:w="1590" w:type="dxa"/>
            <w:tcBorders>
              <w:top w:val="nil"/>
              <w:left w:val="nil"/>
              <w:bottom w:val="single" w:sz="4" w:space="0" w:color="auto"/>
              <w:right w:val="single" w:sz="4" w:space="0" w:color="auto"/>
            </w:tcBorders>
            <w:noWrap/>
            <w:vAlign w:val="bottom"/>
            <w:hideMark/>
          </w:tcPr>
          <w:p w:rsidR="00756160" w:rsidRPr="006F30DB" w14:paraId="1052350F" w14:textId="77777777">
            <w:pPr>
              <w:autoSpaceDE/>
              <w:autoSpaceDN/>
              <w:jc w:val="right"/>
              <w:rPr>
                <w:rFonts w:eastAsia="Times New Roman"/>
                <w:color w:val="000000"/>
                <w:sz w:val="20"/>
                <w:szCs w:val="20"/>
              </w:rPr>
            </w:pPr>
            <w:r w:rsidRPr="007E5E6A">
              <w:rPr>
                <w:sz w:val="20"/>
                <w:szCs w:val="20"/>
              </w:rPr>
              <w:t>12</w:t>
            </w:r>
          </w:p>
        </w:tc>
        <w:tc>
          <w:tcPr>
            <w:tcW w:w="1350" w:type="dxa"/>
            <w:tcBorders>
              <w:top w:val="nil"/>
              <w:left w:val="nil"/>
              <w:bottom w:val="single" w:sz="4" w:space="0" w:color="auto"/>
              <w:right w:val="single" w:sz="4" w:space="0" w:color="auto"/>
            </w:tcBorders>
            <w:noWrap/>
            <w:vAlign w:val="bottom"/>
            <w:hideMark/>
          </w:tcPr>
          <w:p w:rsidR="00756160" w:rsidRPr="006F30DB" w14:paraId="3CCA4B9A" w14:textId="77777777">
            <w:pPr>
              <w:autoSpaceDE/>
              <w:autoSpaceDN/>
              <w:jc w:val="right"/>
              <w:rPr>
                <w:rFonts w:eastAsia="Times New Roman"/>
                <w:color w:val="000000"/>
                <w:sz w:val="20"/>
                <w:szCs w:val="20"/>
              </w:rPr>
            </w:pPr>
            <w:r w:rsidRPr="007E5E6A">
              <w:rPr>
                <w:sz w:val="20"/>
                <w:szCs w:val="20"/>
              </w:rPr>
              <w:t xml:space="preserve"> 5,808 </w:t>
            </w:r>
          </w:p>
        </w:tc>
        <w:tc>
          <w:tcPr>
            <w:tcW w:w="1885" w:type="dxa"/>
            <w:tcBorders>
              <w:top w:val="nil"/>
              <w:left w:val="nil"/>
              <w:bottom w:val="single" w:sz="4" w:space="0" w:color="auto"/>
              <w:right w:val="single" w:sz="4" w:space="0" w:color="auto"/>
            </w:tcBorders>
            <w:vAlign w:val="bottom"/>
            <w:hideMark/>
          </w:tcPr>
          <w:p w:rsidR="00756160" w:rsidRPr="006F30DB" w14:paraId="37C333E7" w14:textId="77777777">
            <w:pPr>
              <w:autoSpaceDE/>
              <w:autoSpaceDN/>
              <w:jc w:val="right"/>
              <w:rPr>
                <w:rFonts w:eastAsia="Times New Roman"/>
                <w:color w:val="000000"/>
                <w:sz w:val="20"/>
                <w:szCs w:val="20"/>
              </w:rPr>
            </w:pPr>
            <w:r w:rsidRPr="007E5E6A">
              <w:rPr>
                <w:sz w:val="20"/>
                <w:szCs w:val="20"/>
              </w:rPr>
              <w:t xml:space="preserve">$581,429 </w:t>
            </w:r>
          </w:p>
        </w:tc>
      </w:tr>
      <w:tr w14:paraId="3DAF5062"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793B674D" w14:textId="77777777">
            <w:pPr>
              <w:autoSpaceDE/>
              <w:autoSpaceDN/>
              <w:jc w:val="right"/>
              <w:rPr>
                <w:rFonts w:eastAsia="Times New Roman"/>
                <w:color w:val="000000"/>
                <w:sz w:val="20"/>
                <w:szCs w:val="20"/>
              </w:rPr>
            </w:pPr>
            <w:r w:rsidRPr="00AC0028">
              <w:rPr>
                <w:rFonts w:eastAsia="Times New Roman"/>
                <w:color w:val="000000"/>
                <w:sz w:val="20"/>
                <w:szCs w:val="20"/>
              </w:rPr>
              <w:t>2041</w:t>
            </w:r>
          </w:p>
        </w:tc>
        <w:tc>
          <w:tcPr>
            <w:tcW w:w="1590" w:type="dxa"/>
            <w:tcBorders>
              <w:top w:val="nil"/>
              <w:left w:val="nil"/>
              <w:bottom w:val="single" w:sz="4" w:space="0" w:color="auto"/>
              <w:right w:val="single" w:sz="4" w:space="0" w:color="auto"/>
            </w:tcBorders>
            <w:noWrap/>
            <w:vAlign w:val="bottom"/>
            <w:hideMark/>
          </w:tcPr>
          <w:p w:rsidR="00756160" w:rsidRPr="006F30DB" w14:paraId="76F6E6C9" w14:textId="77777777">
            <w:pPr>
              <w:autoSpaceDE/>
              <w:autoSpaceDN/>
              <w:jc w:val="right"/>
              <w:rPr>
                <w:rFonts w:eastAsia="Times New Roman"/>
                <w:color w:val="000000"/>
                <w:sz w:val="20"/>
                <w:szCs w:val="20"/>
              </w:rPr>
            </w:pPr>
            <w:r w:rsidRPr="007E5E6A">
              <w:rPr>
                <w:sz w:val="20"/>
                <w:szCs w:val="20"/>
              </w:rPr>
              <w:t>13</w:t>
            </w:r>
          </w:p>
        </w:tc>
        <w:tc>
          <w:tcPr>
            <w:tcW w:w="1350" w:type="dxa"/>
            <w:tcBorders>
              <w:top w:val="nil"/>
              <w:left w:val="nil"/>
              <w:bottom w:val="single" w:sz="4" w:space="0" w:color="auto"/>
              <w:right w:val="single" w:sz="4" w:space="0" w:color="auto"/>
            </w:tcBorders>
            <w:noWrap/>
            <w:vAlign w:val="bottom"/>
            <w:hideMark/>
          </w:tcPr>
          <w:p w:rsidR="00756160" w:rsidRPr="006F30DB" w14:paraId="7900A9EC" w14:textId="77777777">
            <w:pPr>
              <w:autoSpaceDE/>
              <w:autoSpaceDN/>
              <w:jc w:val="right"/>
              <w:rPr>
                <w:rFonts w:eastAsia="Times New Roman"/>
                <w:color w:val="000000"/>
                <w:sz w:val="20"/>
                <w:szCs w:val="20"/>
              </w:rPr>
            </w:pPr>
            <w:r w:rsidRPr="007E5E6A">
              <w:rPr>
                <w:sz w:val="20"/>
                <w:szCs w:val="20"/>
              </w:rPr>
              <w:t xml:space="preserve"> 6,292 </w:t>
            </w:r>
          </w:p>
        </w:tc>
        <w:tc>
          <w:tcPr>
            <w:tcW w:w="1885" w:type="dxa"/>
            <w:tcBorders>
              <w:top w:val="nil"/>
              <w:left w:val="nil"/>
              <w:bottom w:val="single" w:sz="4" w:space="0" w:color="auto"/>
              <w:right w:val="single" w:sz="4" w:space="0" w:color="auto"/>
            </w:tcBorders>
            <w:vAlign w:val="bottom"/>
            <w:hideMark/>
          </w:tcPr>
          <w:p w:rsidR="00756160" w:rsidRPr="006F30DB" w14:paraId="2983BB25" w14:textId="77777777">
            <w:pPr>
              <w:autoSpaceDE/>
              <w:autoSpaceDN/>
              <w:jc w:val="right"/>
              <w:rPr>
                <w:rFonts w:eastAsia="Times New Roman"/>
                <w:color w:val="000000"/>
                <w:sz w:val="20"/>
                <w:szCs w:val="20"/>
              </w:rPr>
            </w:pPr>
            <w:r w:rsidRPr="007E5E6A">
              <w:rPr>
                <w:sz w:val="20"/>
                <w:szCs w:val="20"/>
              </w:rPr>
              <w:t xml:space="preserve">$629,882 </w:t>
            </w:r>
          </w:p>
        </w:tc>
      </w:tr>
      <w:tr w14:paraId="16BC4487"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09ABA68F" w14:textId="77777777">
            <w:pPr>
              <w:autoSpaceDE/>
              <w:autoSpaceDN/>
              <w:jc w:val="right"/>
              <w:rPr>
                <w:rFonts w:eastAsia="Times New Roman"/>
                <w:color w:val="000000"/>
                <w:sz w:val="20"/>
                <w:szCs w:val="20"/>
              </w:rPr>
            </w:pPr>
            <w:r w:rsidRPr="00AC0028">
              <w:rPr>
                <w:rFonts w:eastAsia="Times New Roman"/>
                <w:color w:val="000000"/>
                <w:sz w:val="20"/>
                <w:szCs w:val="20"/>
              </w:rPr>
              <w:t>2042</w:t>
            </w:r>
          </w:p>
        </w:tc>
        <w:tc>
          <w:tcPr>
            <w:tcW w:w="1590" w:type="dxa"/>
            <w:tcBorders>
              <w:top w:val="nil"/>
              <w:left w:val="nil"/>
              <w:bottom w:val="single" w:sz="4" w:space="0" w:color="auto"/>
              <w:right w:val="single" w:sz="4" w:space="0" w:color="auto"/>
            </w:tcBorders>
            <w:noWrap/>
            <w:vAlign w:val="bottom"/>
            <w:hideMark/>
          </w:tcPr>
          <w:p w:rsidR="00756160" w:rsidRPr="006F30DB" w14:paraId="19215F18" w14:textId="77777777">
            <w:pPr>
              <w:autoSpaceDE/>
              <w:autoSpaceDN/>
              <w:jc w:val="right"/>
              <w:rPr>
                <w:rFonts w:eastAsia="Times New Roman"/>
                <w:color w:val="000000"/>
                <w:sz w:val="20"/>
                <w:szCs w:val="20"/>
              </w:rPr>
            </w:pPr>
            <w:r w:rsidRPr="007E5E6A">
              <w:rPr>
                <w:sz w:val="20"/>
                <w:szCs w:val="20"/>
              </w:rPr>
              <w:t>16</w:t>
            </w:r>
          </w:p>
        </w:tc>
        <w:tc>
          <w:tcPr>
            <w:tcW w:w="1350" w:type="dxa"/>
            <w:tcBorders>
              <w:top w:val="nil"/>
              <w:left w:val="nil"/>
              <w:bottom w:val="single" w:sz="4" w:space="0" w:color="auto"/>
              <w:right w:val="single" w:sz="4" w:space="0" w:color="auto"/>
            </w:tcBorders>
            <w:noWrap/>
            <w:vAlign w:val="bottom"/>
            <w:hideMark/>
          </w:tcPr>
          <w:p w:rsidR="00756160" w:rsidRPr="006F30DB" w14:paraId="3049D677" w14:textId="77777777">
            <w:pPr>
              <w:autoSpaceDE/>
              <w:autoSpaceDN/>
              <w:jc w:val="right"/>
              <w:rPr>
                <w:rFonts w:eastAsia="Times New Roman"/>
                <w:color w:val="000000"/>
                <w:sz w:val="20"/>
                <w:szCs w:val="20"/>
              </w:rPr>
            </w:pPr>
            <w:r w:rsidRPr="007E5E6A">
              <w:rPr>
                <w:sz w:val="20"/>
                <w:szCs w:val="20"/>
              </w:rPr>
              <w:t xml:space="preserve"> 7,744 </w:t>
            </w:r>
          </w:p>
        </w:tc>
        <w:tc>
          <w:tcPr>
            <w:tcW w:w="1885" w:type="dxa"/>
            <w:tcBorders>
              <w:top w:val="nil"/>
              <w:left w:val="nil"/>
              <w:bottom w:val="single" w:sz="4" w:space="0" w:color="auto"/>
              <w:right w:val="single" w:sz="4" w:space="0" w:color="auto"/>
            </w:tcBorders>
            <w:vAlign w:val="bottom"/>
            <w:hideMark/>
          </w:tcPr>
          <w:p w:rsidR="00756160" w:rsidRPr="006F30DB" w14:paraId="1BB5564B" w14:textId="77777777">
            <w:pPr>
              <w:autoSpaceDE/>
              <w:autoSpaceDN/>
              <w:jc w:val="right"/>
              <w:rPr>
                <w:rFonts w:eastAsia="Times New Roman"/>
                <w:color w:val="000000"/>
                <w:sz w:val="20"/>
                <w:szCs w:val="20"/>
              </w:rPr>
            </w:pPr>
            <w:r w:rsidRPr="007E5E6A">
              <w:rPr>
                <w:sz w:val="20"/>
                <w:szCs w:val="20"/>
              </w:rPr>
              <w:t xml:space="preserve">$775,239 </w:t>
            </w:r>
          </w:p>
        </w:tc>
      </w:tr>
      <w:tr w14:paraId="22E1FFEC"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4F9DBB3F" w14:textId="77777777">
            <w:pPr>
              <w:autoSpaceDE/>
              <w:autoSpaceDN/>
              <w:jc w:val="right"/>
              <w:rPr>
                <w:rFonts w:eastAsia="Times New Roman"/>
                <w:color w:val="000000"/>
                <w:sz w:val="20"/>
                <w:szCs w:val="20"/>
              </w:rPr>
            </w:pPr>
            <w:r w:rsidRPr="00AC0028">
              <w:rPr>
                <w:rFonts w:eastAsia="Times New Roman"/>
                <w:color w:val="000000"/>
                <w:sz w:val="20"/>
                <w:szCs w:val="20"/>
              </w:rPr>
              <w:t>2043</w:t>
            </w:r>
          </w:p>
        </w:tc>
        <w:tc>
          <w:tcPr>
            <w:tcW w:w="1590" w:type="dxa"/>
            <w:tcBorders>
              <w:top w:val="nil"/>
              <w:left w:val="nil"/>
              <w:bottom w:val="single" w:sz="4" w:space="0" w:color="auto"/>
              <w:right w:val="single" w:sz="4" w:space="0" w:color="auto"/>
            </w:tcBorders>
            <w:noWrap/>
            <w:vAlign w:val="bottom"/>
            <w:hideMark/>
          </w:tcPr>
          <w:p w:rsidR="00756160" w:rsidRPr="006F30DB" w14:paraId="71252F4F" w14:textId="77777777">
            <w:pPr>
              <w:autoSpaceDE/>
              <w:autoSpaceDN/>
              <w:jc w:val="right"/>
              <w:rPr>
                <w:rFonts w:eastAsia="Times New Roman"/>
                <w:color w:val="000000"/>
                <w:sz w:val="20"/>
                <w:szCs w:val="20"/>
              </w:rPr>
            </w:pPr>
            <w:r w:rsidRPr="007E5E6A">
              <w:rPr>
                <w:sz w:val="20"/>
                <w:szCs w:val="20"/>
              </w:rPr>
              <w:t>19</w:t>
            </w:r>
          </w:p>
        </w:tc>
        <w:tc>
          <w:tcPr>
            <w:tcW w:w="1350" w:type="dxa"/>
            <w:tcBorders>
              <w:top w:val="nil"/>
              <w:left w:val="nil"/>
              <w:bottom w:val="single" w:sz="4" w:space="0" w:color="auto"/>
              <w:right w:val="single" w:sz="4" w:space="0" w:color="auto"/>
            </w:tcBorders>
            <w:noWrap/>
            <w:vAlign w:val="bottom"/>
            <w:hideMark/>
          </w:tcPr>
          <w:p w:rsidR="00756160" w:rsidRPr="006F30DB" w14:paraId="3A94D838" w14:textId="77777777">
            <w:pPr>
              <w:autoSpaceDE/>
              <w:autoSpaceDN/>
              <w:jc w:val="right"/>
              <w:rPr>
                <w:rFonts w:eastAsia="Times New Roman"/>
                <w:color w:val="000000"/>
                <w:sz w:val="20"/>
                <w:szCs w:val="20"/>
              </w:rPr>
            </w:pPr>
            <w:r w:rsidRPr="007E5E6A">
              <w:rPr>
                <w:sz w:val="20"/>
                <w:szCs w:val="20"/>
              </w:rPr>
              <w:t xml:space="preserve"> 9,196 </w:t>
            </w:r>
          </w:p>
        </w:tc>
        <w:tc>
          <w:tcPr>
            <w:tcW w:w="1885" w:type="dxa"/>
            <w:tcBorders>
              <w:top w:val="nil"/>
              <w:left w:val="nil"/>
              <w:bottom w:val="single" w:sz="4" w:space="0" w:color="auto"/>
              <w:right w:val="single" w:sz="4" w:space="0" w:color="auto"/>
            </w:tcBorders>
            <w:vAlign w:val="bottom"/>
            <w:hideMark/>
          </w:tcPr>
          <w:p w:rsidR="00756160" w:rsidRPr="006F30DB" w14:paraId="7B37B32F" w14:textId="77777777">
            <w:pPr>
              <w:autoSpaceDE/>
              <w:autoSpaceDN/>
              <w:jc w:val="right"/>
              <w:rPr>
                <w:rFonts w:eastAsia="Times New Roman"/>
                <w:color w:val="000000"/>
                <w:sz w:val="20"/>
                <w:szCs w:val="20"/>
              </w:rPr>
            </w:pPr>
            <w:r w:rsidRPr="007E5E6A">
              <w:rPr>
                <w:sz w:val="20"/>
                <w:szCs w:val="20"/>
              </w:rPr>
              <w:t xml:space="preserve">$920,596 </w:t>
            </w:r>
          </w:p>
        </w:tc>
      </w:tr>
      <w:tr w14:paraId="64B8AB65"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5323BF4C" w14:textId="77777777">
            <w:pPr>
              <w:autoSpaceDE/>
              <w:autoSpaceDN/>
              <w:jc w:val="right"/>
              <w:rPr>
                <w:rFonts w:eastAsia="Times New Roman"/>
                <w:color w:val="000000"/>
                <w:sz w:val="20"/>
                <w:szCs w:val="20"/>
              </w:rPr>
            </w:pPr>
            <w:r w:rsidRPr="00AC0028">
              <w:rPr>
                <w:rFonts w:eastAsia="Times New Roman"/>
                <w:color w:val="000000"/>
                <w:sz w:val="20"/>
                <w:szCs w:val="20"/>
              </w:rPr>
              <w:t>2044</w:t>
            </w:r>
          </w:p>
        </w:tc>
        <w:tc>
          <w:tcPr>
            <w:tcW w:w="1590" w:type="dxa"/>
            <w:tcBorders>
              <w:top w:val="nil"/>
              <w:left w:val="nil"/>
              <w:bottom w:val="single" w:sz="4" w:space="0" w:color="auto"/>
              <w:right w:val="single" w:sz="4" w:space="0" w:color="auto"/>
            </w:tcBorders>
            <w:noWrap/>
            <w:vAlign w:val="bottom"/>
            <w:hideMark/>
          </w:tcPr>
          <w:p w:rsidR="00756160" w:rsidRPr="006F30DB" w14:paraId="1D6EBA27" w14:textId="77777777">
            <w:pPr>
              <w:autoSpaceDE/>
              <w:autoSpaceDN/>
              <w:jc w:val="right"/>
              <w:rPr>
                <w:rFonts w:eastAsia="Times New Roman"/>
                <w:color w:val="000000"/>
                <w:sz w:val="20"/>
                <w:szCs w:val="20"/>
              </w:rPr>
            </w:pPr>
            <w:r w:rsidRPr="007E5E6A">
              <w:rPr>
                <w:sz w:val="20"/>
                <w:szCs w:val="20"/>
              </w:rPr>
              <w:t>23</w:t>
            </w:r>
          </w:p>
        </w:tc>
        <w:tc>
          <w:tcPr>
            <w:tcW w:w="1350" w:type="dxa"/>
            <w:tcBorders>
              <w:top w:val="nil"/>
              <w:left w:val="nil"/>
              <w:bottom w:val="single" w:sz="4" w:space="0" w:color="auto"/>
              <w:right w:val="single" w:sz="4" w:space="0" w:color="auto"/>
            </w:tcBorders>
            <w:noWrap/>
            <w:vAlign w:val="bottom"/>
            <w:hideMark/>
          </w:tcPr>
          <w:p w:rsidR="00756160" w:rsidRPr="006F30DB" w14:paraId="3BE82117" w14:textId="77777777">
            <w:pPr>
              <w:autoSpaceDE/>
              <w:autoSpaceDN/>
              <w:jc w:val="right"/>
              <w:rPr>
                <w:rFonts w:eastAsia="Times New Roman"/>
                <w:color w:val="000000"/>
                <w:sz w:val="20"/>
                <w:szCs w:val="20"/>
              </w:rPr>
            </w:pPr>
            <w:r w:rsidRPr="007E5E6A">
              <w:rPr>
                <w:sz w:val="20"/>
                <w:szCs w:val="20"/>
              </w:rPr>
              <w:t xml:space="preserve"> 11,132 </w:t>
            </w:r>
          </w:p>
        </w:tc>
        <w:tc>
          <w:tcPr>
            <w:tcW w:w="1885" w:type="dxa"/>
            <w:tcBorders>
              <w:top w:val="nil"/>
              <w:left w:val="nil"/>
              <w:bottom w:val="single" w:sz="4" w:space="0" w:color="auto"/>
              <w:right w:val="single" w:sz="4" w:space="0" w:color="auto"/>
            </w:tcBorders>
            <w:vAlign w:val="bottom"/>
            <w:hideMark/>
          </w:tcPr>
          <w:p w:rsidR="00756160" w:rsidRPr="006F30DB" w14:paraId="534A4EAA" w14:textId="77777777">
            <w:pPr>
              <w:autoSpaceDE/>
              <w:autoSpaceDN/>
              <w:jc w:val="right"/>
              <w:rPr>
                <w:rFonts w:eastAsia="Times New Roman"/>
                <w:color w:val="000000"/>
                <w:sz w:val="20"/>
                <w:szCs w:val="20"/>
              </w:rPr>
            </w:pPr>
            <w:r w:rsidRPr="007E5E6A">
              <w:rPr>
                <w:sz w:val="20"/>
                <w:szCs w:val="20"/>
              </w:rPr>
              <w:t xml:space="preserve">$1,114,406 </w:t>
            </w:r>
          </w:p>
        </w:tc>
      </w:tr>
      <w:tr w14:paraId="21719968"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1B942127" w14:textId="77777777">
            <w:pPr>
              <w:autoSpaceDE/>
              <w:autoSpaceDN/>
              <w:jc w:val="right"/>
              <w:rPr>
                <w:rFonts w:eastAsia="Times New Roman"/>
                <w:color w:val="000000"/>
                <w:sz w:val="20"/>
                <w:szCs w:val="20"/>
              </w:rPr>
            </w:pPr>
            <w:r w:rsidRPr="00AC0028">
              <w:rPr>
                <w:rFonts w:eastAsia="Times New Roman"/>
                <w:color w:val="000000"/>
                <w:sz w:val="20"/>
                <w:szCs w:val="20"/>
              </w:rPr>
              <w:t>2045</w:t>
            </w:r>
          </w:p>
        </w:tc>
        <w:tc>
          <w:tcPr>
            <w:tcW w:w="1590" w:type="dxa"/>
            <w:tcBorders>
              <w:top w:val="nil"/>
              <w:left w:val="nil"/>
              <w:bottom w:val="single" w:sz="4" w:space="0" w:color="auto"/>
              <w:right w:val="single" w:sz="4" w:space="0" w:color="auto"/>
            </w:tcBorders>
            <w:noWrap/>
            <w:vAlign w:val="bottom"/>
            <w:hideMark/>
          </w:tcPr>
          <w:p w:rsidR="00756160" w:rsidRPr="006F30DB" w14:paraId="1CC89862" w14:textId="77777777">
            <w:pPr>
              <w:autoSpaceDE/>
              <w:autoSpaceDN/>
              <w:jc w:val="right"/>
              <w:rPr>
                <w:rFonts w:eastAsia="Times New Roman"/>
                <w:color w:val="000000"/>
                <w:sz w:val="20"/>
                <w:szCs w:val="20"/>
              </w:rPr>
            </w:pPr>
            <w:r w:rsidRPr="007E5E6A">
              <w:rPr>
                <w:sz w:val="20"/>
                <w:szCs w:val="20"/>
              </w:rPr>
              <w:t>23</w:t>
            </w:r>
          </w:p>
        </w:tc>
        <w:tc>
          <w:tcPr>
            <w:tcW w:w="1350" w:type="dxa"/>
            <w:tcBorders>
              <w:top w:val="nil"/>
              <w:left w:val="nil"/>
              <w:bottom w:val="single" w:sz="4" w:space="0" w:color="auto"/>
              <w:right w:val="single" w:sz="4" w:space="0" w:color="auto"/>
            </w:tcBorders>
            <w:noWrap/>
            <w:vAlign w:val="bottom"/>
            <w:hideMark/>
          </w:tcPr>
          <w:p w:rsidR="00756160" w:rsidRPr="006F30DB" w14:paraId="568A9874" w14:textId="77777777">
            <w:pPr>
              <w:autoSpaceDE/>
              <w:autoSpaceDN/>
              <w:jc w:val="right"/>
              <w:rPr>
                <w:rFonts w:eastAsia="Times New Roman"/>
                <w:color w:val="000000"/>
                <w:sz w:val="20"/>
                <w:szCs w:val="20"/>
              </w:rPr>
            </w:pPr>
            <w:r w:rsidRPr="007E5E6A">
              <w:rPr>
                <w:sz w:val="20"/>
                <w:szCs w:val="20"/>
              </w:rPr>
              <w:t xml:space="preserve"> 11,132 </w:t>
            </w:r>
          </w:p>
        </w:tc>
        <w:tc>
          <w:tcPr>
            <w:tcW w:w="1885" w:type="dxa"/>
            <w:tcBorders>
              <w:top w:val="nil"/>
              <w:left w:val="nil"/>
              <w:bottom w:val="single" w:sz="4" w:space="0" w:color="auto"/>
              <w:right w:val="single" w:sz="4" w:space="0" w:color="auto"/>
            </w:tcBorders>
            <w:vAlign w:val="bottom"/>
            <w:hideMark/>
          </w:tcPr>
          <w:p w:rsidR="00756160" w:rsidRPr="006F30DB" w14:paraId="1E078477" w14:textId="77777777">
            <w:pPr>
              <w:autoSpaceDE/>
              <w:autoSpaceDN/>
              <w:jc w:val="right"/>
              <w:rPr>
                <w:rFonts w:eastAsia="Times New Roman"/>
                <w:color w:val="000000"/>
                <w:sz w:val="20"/>
                <w:szCs w:val="20"/>
              </w:rPr>
            </w:pPr>
            <w:r w:rsidRPr="007E5E6A">
              <w:rPr>
                <w:sz w:val="20"/>
                <w:szCs w:val="20"/>
              </w:rPr>
              <w:t xml:space="preserve">$1,114,406 </w:t>
            </w:r>
          </w:p>
        </w:tc>
      </w:tr>
      <w:tr w14:paraId="34084D9C"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1E16EBE5" w14:textId="77777777">
            <w:pPr>
              <w:autoSpaceDE/>
              <w:autoSpaceDN/>
              <w:jc w:val="right"/>
              <w:rPr>
                <w:rFonts w:eastAsia="Times New Roman"/>
                <w:b/>
                <w:bCs/>
                <w:color w:val="000000"/>
                <w:sz w:val="20"/>
                <w:szCs w:val="20"/>
              </w:rPr>
            </w:pPr>
            <w:r w:rsidRPr="00AC0028">
              <w:rPr>
                <w:rFonts w:eastAsia="Times New Roman"/>
                <w:b/>
                <w:bCs/>
                <w:color w:val="000000"/>
                <w:sz w:val="20"/>
                <w:szCs w:val="20"/>
              </w:rPr>
              <w:t>Totals</w:t>
            </w:r>
          </w:p>
        </w:tc>
        <w:tc>
          <w:tcPr>
            <w:tcW w:w="1590" w:type="dxa"/>
            <w:tcBorders>
              <w:top w:val="nil"/>
              <w:left w:val="nil"/>
              <w:bottom w:val="single" w:sz="4" w:space="0" w:color="auto"/>
              <w:right w:val="single" w:sz="4" w:space="0" w:color="auto"/>
            </w:tcBorders>
            <w:noWrap/>
            <w:vAlign w:val="bottom"/>
            <w:hideMark/>
          </w:tcPr>
          <w:p w:rsidR="00756160" w:rsidRPr="006F30DB" w14:paraId="7064841C" w14:textId="77777777">
            <w:pPr>
              <w:autoSpaceDE/>
              <w:autoSpaceDN/>
              <w:jc w:val="right"/>
              <w:rPr>
                <w:rFonts w:eastAsia="Times New Roman"/>
                <w:b/>
                <w:bCs/>
                <w:color w:val="000000"/>
                <w:sz w:val="20"/>
                <w:szCs w:val="20"/>
              </w:rPr>
            </w:pPr>
            <w:r w:rsidRPr="007E5E6A">
              <w:rPr>
                <w:b/>
                <w:bCs/>
                <w:sz w:val="20"/>
                <w:szCs w:val="20"/>
              </w:rPr>
              <w:t>147</w:t>
            </w:r>
          </w:p>
        </w:tc>
        <w:tc>
          <w:tcPr>
            <w:tcW w:w="1350" w:type="dxa"/>
            <w:tcBorders>
              <w:top w:val="nil"/>
              <w:left w:val="nil"/>
              <w:bottom w:val="single" w:sz="4" w:space="0" w:color="auto"/>
              <w:right w:val="single" w:sz="4" w:space="0" w:color="auto"/>
            </w:tcBorders>
            <w:noWrap/>
            <w:vAlign w:val="bottom"/>
            <w:hideMark/>
          </w:tcPr>
          <w:p w:rsidR="00756160" w:rsidRPr="006F30DB" w14:paraId="5B2D10CB" w14:textId="77777777">
            <w:pPr>
              <w:autoSpaceDE/>
              <w:autoSpaceDN/>
              <w:jc w:val="right"/>
              <w:rPr>
                <w:rFonts w:eastAsia="Times New Roman"/>
                <w:b/>
                <w:bCs/>
                <w:color w:val="000000"/>
                <w:sz w:val="20"/>
                <w:szCs w:val="20"/>
              </w:rPr>
            </w:pPr>
            <w:r w:rsidRPr="007E5E6A">
              <w:rPr>
                <w:b/>
                <w:bCs/>
                <w:sz w:val="20"/>
                <w:szCs w:val="20"/>
              </w:rPr>
              <w:t xml:space="preserve"> 71,148 </w:t>
            </w:r>
          </w:p>
        </w:tc>
        <w:tc>
          <w:tcPr>
            <w:tcW w:w="1885" w:type="dxa"/>
            <w:tcBorders>
              <w:top w:val="nil"/>
              <w:left w:val="nil"/>
              <w:bottom w:val="single" w:sz="4" w:space="0" w:color="auto"/>
              <w:right w:val="single" w:sz="4" w:space="0" w:color="auto"/>
            </w:tcBorders>
            <w:vAlign w:val="bottom"/>
            <w:hideMark/>
          </w:tcPr>
          <w:p w:rsidR="00756160" w:rsidRPr="007E5E6A" w14:paraId="6AEA27DE" w14:textId="77777777">
            <w:pPr>
              <w:autoSpaceDE/>
              <w:autoSpaceDN/>
              <w:jc w:val="right"/>
              <w:rPr>
                <w:rFonts w:eastAsia="Times New Roman"/>
                <w:b/>
                <w:bCs/>
                <w:color w:val="000000"/>
                <w:sz w:val="20"/>
                <w:szCs w:val="20"/>
              </w:rPr>
            </w:pPr>
          </w:p>
        </w:tc>
      </w:tr>
      <w:tr w14:paraId="6A2FD851"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3D962B1F" w14:textId="77777777">
            <w:pPr>
              <w:autoSpaceDE/>
              <w:autoSpaceDN/>
              <w:rPr>
                <w:rFonts w:eastAsia="Times New Roman"/>
                <w:color w:val="000000"/>
                <w:sz w:val="20"/>
                <w:szCs w:val="20"/>
              </w:rPr>
            </w:pPr>
            <w:r w:rsidRPr="00AC0028">
              <w:rPr>
                <w:rFonts w:eastAsia="Times New Roman"/>
                <w:color w:val="000000"/>
                <w:sz w:val="20"/>
                <w:szCs w:val="20"/>
              </w:rPr>
              <w:t> </w:t>
            </w:r>
          </w:p>
        </w:tc>
        <w:tc>
          <w:tcPr>
            <w:tcW w:w="1590" w:type="dxa"/>
            <w:tcBorders>
              <w:top w:val="nil"/>
              <w:left w:val="nil"/>
              <w:bottom w:val="single" w:sz="4" w:space="0" w:color="auto"/>
              <w:right w:val="single" w:sz="4" w:space="0" w:color="auto"/>
            </w:tcBorders>
            <w:shd w:val="clear" w:color="auto" w:fill="FFFFFF" w:themeFill="background1"/>
            <w:vAlign w:val="bottom"/>
            <w:hideMark/>
          </w:tcPr>
          <w:p w:rsidR="00756160" w:rsidRPr="006F30DB" w14:paraId="450108BF" w14:textId="77777777">
            <w:pPr>
              <w:autoSpaceDE/>
              <w:autoSpaceDN/>
              <w:jc w:val="right"/>
              <w:rPr>
                <w:rFonts w:eastAsia="Times New Roman"/>
                <w:b/>
                <w:bCs/>
                <w:sz w:val="20"/>
                <w:szCs w:val="20"/>
              </w:rPr>
            </w:pPr>
            <w:r w:rsidRPr="007E5E6A">
              <w:rPr>
                <w:b/>
                <w:bCs/>
                <w:sz w:val="20"/>
                <w:szCs w:val="20"/>
              </w:rPr>
              <w:t>7% NPV</w:t>
            </w:r>
          </w:p>
        </w:tc>
        <w:tc>
          <w:tcPr>
            <w:tcW w:w="1350" w:type="dxa"/>
            <w:tcBorders>
              <w:top w:val="nil"/>
              <w:left w:val="nil"/>
              <w:bottom w:val="single" w:sz="4" w:space="0" w:color="auto"/>
              <w:right w:val="single" w:sz="4" w:space="0" w:color="auto"/>
            </w:tcBorders>
            <w:noWrap/>
            <w:vAlign w:val="bottom"/>
            <w:hideMark/>
          </w:tcPr>
          <w:p w:rsidR="00756160" w:rsidRPr="006F30DB" w14:paraId="53B961F9" w14:textId="77777777">
            <w:pPr>
              <w:autoSpaceDE/>
              <w:autoSpaceDN/>
              <w:jc w:val="right"/>
              <w:rPr>
                <w:rFonts w:eastAsia="Times New Roman"/>
                <w:b/>
                <w:bCs/>
                <w:color w:val="000000"/>
                <w:sz w:val="20"/>
                <w:szCs w:val="20"/>
              </w:rPr>
            </w:pPr>
          </w:p>
        </w:tc>
        <w:tc>
          <w:tcPr>
            <w:tcW w:w="1885" w:type="dxa"/>
            <w:tcBorders>
              <w:top w:val="nil"/>
              <w:left w:val="nil"/>
              <w:bottom w:val="single" w:sz="4" w:space="0" w:color="auto"/>
              <w:right w:val="single" w:sz="4" w:space="0" w:color="auto"/>
            </w:tcBorders>
            <w:vAlign w:val="bottom"/>
            <w:hideMark/>
          </w:tcPr>
          <w:p w:rsidR="00756160" w:rsidRPr="006F30DB" w14:paraId="09F07E74" w14:textId="77777777">
            <w:pPr>
              <w:autoSpaceDE/>
              <w:autoSpaceDN/>
              <w:jc w:val="right"/>
              <w:rPr>
                <w:rFonts w:eastAsia="Times New Roman"/>
                <w:b/>
                <w:bCs/>
                <w:color w:val="000000"/>
                <w:sz w:val="20"/>
                <w:szCs w:val="20"/>
              </w:rPr>
            </w:pPr>
            <w:r w:rsidRPr="007E5E6A">
              <w:rPr>
                <w:b/>
                <w:bCs/>
                <w:sz w:val="20"/>
                <w:szCs w:val="20"/>
              </w:rPr>
              <w:t xml:space="preserve">$2,027,365 </w:t>
            </w:r>
          </w:p>
        </w:tc>
      </w:tr>
      <w:tr w14:paraId="42C2CE65" w14:textId="77777777" w:rsidTr="004D0D14">
        <w:tblPrEx>
          <w:tblW w:w="5755" w:type="dxa"/>
          <w:tblLook w:val="04A0"/>
        </w:tblPrEx>
        <w:trPr>
          <w:trHeight w:val="280"/>
        </w:trPr>
        <w:tc>
          <w:tcPr>
            <w:tcW w:w="930" w:type="dxa"/>
            <w:tcBorders>
              <w:top w:val="nil"/>
              <w:left w:val="single" w:sz="4" w:space="0" w:color="auto"/>
              <w:bottom w:val="single" w:sz="4" w:space="0" w:color="auto"/>
              <w:right w:val="single" w:sz="4" w:space="0" w:color="auto"/>
            </w:tcBorders>
            <w:noWrap/>
            <w:vAlign w:val="bottom"/>
            <w:hideMark/>
          </w:tcPr>
          <w:p w:rsidR="00756160" w:rsidRPr="00AC0028" w14:paraId="488A93C3" w14:textId="77777777">
            <w:pPr>
              <w:autoSpaceDE/>
              <w:autoSpaceDN/>
              <w:rPr>
                <w:rFonts w:eastAsia="Times New Roman"/>
                <w:color w:val="000000"/>
                <w:sz w:val="20"/>
                <w:szCs w:val="20"/>
              </w:rPr>
            </w:pPr>
            <w:r w:rsidRPr="00AC0028">
              <w:rPr>
                <w:rFonts w:eastAsia="Times New Roman"/>
                <w:color w:val="000000"/>
                <w:sz w:val="20"/>
                <w:szCs w:val="20"/>
              </w:rPr>
              <w:t> </w:t>
            </w:r>
          </w:p>
        </w:tc>
        <w:tc>
          <w:tcPr>
            <w:tcW w:w="1590" w:type="dxa"/>
            <w:tcBorders>
              <w:top w:val="nil"/>
              <w:left w:val="nil"/>
              <w:bottom w:val="single" w:sz="4" w:space="0" w:color="auto"/>
              <w:right w:val="single" w:sz="4" w:space="0" w:color="auto"/>
            </w:tcBorders>
            <w:shd w:val="clear" w:color="auto" w:fill="FFFFFF" w:themeFill="background1"/>
            <w:vAlign w:val="bottom"/>
            <w:hideMark/>
          </w:tcPr>
          <w:p w:rsidR="00756160" w:rsidRPr="006F30DB" w14:paraId="07536EBE" w14:textId="77777777">
            <w:pPr>
              <w:autoSpaceDE/>
              <w:autoSpaceDN/>
              <w:jc w:val="right"/>
              <w:rPr>
                <w:rFonts w:eastAsia="Times New Roman"/>
                <w:b/>
                <w:bCs/>
                <w:sz w:val="20"/>
                <w:szCs w:val="20"/>
              </w:rPr>
            </w:pPr>
            <w:r w:rsidRPr="007E5E6A">
              <w:rPr>
                <w:b/>
                <w:bCs/>
                <w:sz w:val="20"/>
                <w:szCs w:val="20"/>
              </w:rPr>
              <w:t>3% NPV</w:t>
            </w:r>
          </w:p>
        </w:tc>
        <w:tc>
          <w:tcPr>
            <w:tcW w:w="1350" w:type="dxa"/>
            <w:tcBorders>
              <w:top w:val="nil"/>
              <w:left w:val="nil"/>
              <w:bottom w:val="single" w:sz="4" w:space="0" w:color="auto"/>
              <w:right w:val="single" w:sz="4" w:space="0" w:color="auto"/>
            </w:tcBorders>
            <w:noWrap/>
            <w:vAlign w:val="bottom"/>
            <w:hideMark/>
          </w:tcPr>
          <w:p w:rsidR="00756160" w:rsidRPr="006F30DB" w14:paraId="26CC2CC4" w14:textId="77777777">
            <w:pPr>
              <w:autoSpaceDE/>
              <w:autoSpaceDN/>
              <w:jc w:val="right"/>
              <w:rPr>
                <w:rFonts w:eastAsia="Times New Roman"/>
                <w:b/>
                <w:bCs/>
                <w:color w:val="000000"/>
                <w:sz w:val="20"/>
                <w:szCs w:val="20"/>
              </w:rPr>
            </w:pPr>
          </w:p>
        </w:tc>
        <w:tc>
          <w:tcPr>
            <w:tcW w:w="1885" w:type="dxa"/>
            <w:tcBorders>
              <w:top w:val="nil"/>
              <w:left w:val="nil"/>
              <w:bottom w:val="single" w:sz="4" w:space="0" w:color="auto"/>
              <w:right w:val="single" w:sz="4" w:space="0" w:color="auto"/>
            </w:tcBorders>
            <w:vAlign w:val="bottom"/>
            <w:hideMark/>
          </w:tcPr>
          <w:p w:rsidR="00756160" w:rsidRPr="006F30DB" w14:paraId="01DE2875" w14:textId="77777777">
            <w:pPr>
              <w:autoSpaceDE/>
              <w:autoSpaceDN/>
              <w:jc w:val="right"/>
              <w:rPr>
                <w:rFonts w:eastAsia="Times New Roman"/>
                <w:b/>
                <w:bCs/>
                <w:color w:val="000000"/>
                <w:sz w:val="20"/>
                <w:szCs w:val="20"/>
              </w:rPr>
            </w:pPr>
            <w:r w:rsidRPr="007E5E6A">
              <w:rPr>
                <w:b/>
                <w:bCs/>
                <w:sz w:val="20"/>
                <w:szCs w:val="20"/>
              </w:rPr>
              <w:t xml:space="preserve">$4,077,099 </w:t>
            </w:r>
          </w:p>
        </w:tc>
      </w:tr>
      <w:tr w14:paraId="0AF151C2" w14:textId="77777777" w:rsidTr="004D0D14">
        <w:tblPrEx>
          <w:tblW w:w="5755" w:type="dxa"/>
          <w:tblLook w:val="04A0"/>
        </w:tblPrEx>
        <w:trPr>
          <w:trHeight w:val="280"/>
        </w:trPr>
        <w:tc>
          <w:tcPr>
            <w:tcW w:w="5755" w:type="dxa"/>
            <w:gridSpan w:val="4"/>
            <w:tcBorders>
              <w:top w:val="single" w:sz="4" w:space="0" w:color="auto"/>
            </w:tcBorders>
            <w:noWrap/>
            <w:vAlign w:val="bottom"/>
          </w:tcPr>
          <w:p w:rsidR="00756160" w14:paraId="17C31B73" w14:textId="77777777">
            <w:pPr>
              <w:autoSpaceDE/>
              <w:autoSpaceDN/>
              <w:rPr>
                <w:rFonts w:eastAsia="Times New Roman"/>
                <w:color w:val="000000"/>
                <w:sz w:val="20"/>
                <w:szCs w:val="20"/>
              </w:rPr>
            </w:pPr>
            <w:r w:rsidRPr="00AC0028">
              <w:rPr>
                <w:rFonts w:eastAsia="Times New Roman"/>
                <w:color w:val="000000"/>
                <w:sz w:val="20"/>
                <w:szCs w:val="20"/>
              </w:rPr>
              <w:t>* Labor hours and labor rate are rounded from the PERT generated values based on the parameters in table B-1, so benefits may differ from the rounded products.</w:t>
            </w:r>
          </w:p>
          <w:p w:rsidR="006D6F2C" w:rsidRPr="00AC0028" w14:paraId="4674D3E2" w14:textId="33949095">
            <w:pPr>
              <w:autoSpaceDE/>
              <w:autoSpaceDN/>
              <w:rPr>
                <w:rFonts w:eastAsia="Times New Roman"/>
                <w:color w:val="000000"/>
                <w:sz w:val="20"/>
                <w:szCs w:val="20"/>
              </w:rPr>
            </w:pPr>
            <w:r w:rsidRPr="06991B9F">
              <w:rPr>
                <w:rFonts w:eastAsia="Times New Roman"/>
                <w:color w:val="000000" w:themeColor="text1"/>
                <w:sz w:val="20"/>
                <w:szCs w:val="20"/>
              </w:rPr>
              <w:t>**</w:t>
            </w:r>
            <w:r w:rsidRPr="06991B9F" w:rsidR="1BC73CB2">
              <w:rPr>
                <w:rFonts w:eastAsia="Times New Roman"/>
                <w:color w:val="000000" w:themeColor="text1"/>
                <w:sz w:val="20"/>
                <w:szCs w:val="20"/>
              </w:rPr>
              <w:t>Applications</w:t>
            </w:r>
            <w:r w:rsidRPr="06991B9F" w:rsidR="3AE6EDFB">
              <w:rPr>
                <w:rFonts w:eastAsia="Times New Roman"/>
                <w:color w:val="000000" w:themeColor="text1"/>
                <w:sz w:val="20"/>
                <w:szCs w:val="20"/>
              </w:rPr>
              <w:t xml:space="preserve"> prior to 2032 are based on observed activity</w:t>
            </w:r>
            <w:r w:rsidRPr="4EA13AE2" w:rsidR="3AE6EDFB">
              <w:rPr>
                <w:rFonts w:eastAsia="Times New Roman"/>
                <w:color w:val="000000" w:themeColor="text1"/>
                <w:sz w:val="20"/>
                <w:szCs w:val="20"/>
              </w:rPr>
              <w:t xml:space="preserve">. </w:t>
            </w:r>
            <w:r w:rsidRPr="1614E7F7" w:rsidR="3AE6EDFB">
              <w:rPr>
                <w:rFonts w:eastAsia="Times New Roman"/>
                <w:color w:val="000000" w:themeColor="text1"/>
                <w:sz w:val="20"/>
                <w:szCs w:val="20"/>
              </w:rPr>
              <w:t xml:space="preserve">From 2032 to 2045, activity is </w:t>
            </w:r>
            <w:r w:rsidRPr="07ADE782" w:rsidR="3AE6EDFB">
              <w:rPr>
                <w:rFonts w:eastAsia="Times New Roman"/>
                <w:color w:val="000000" w:themeColor="text1"/>
                <w:sz w:val="20"/>
                <w:szCs w:val="20"/>
              </w:rPr>
              <w:t xml:space="preserve">based on a constant growth </w:t>
            </w:r>
            <w:r w:rsidRPr="442A279A" w:rsidR="3AE6EDFB">
              <w:rPr>
                <w:rFonts w:eastAsia="Times New Roman"/>
                <w:color w:val="000000" w:themeColor="text1"/>
                <w:sz w:val="20"/>
                <w:szCs w:val="20"/>
              </w:rPr>
              <w:t>rate</w:t>
            </w:r>
            <w:r w:rsidRPr="442A279A" w:rsidR="269A17CC">
              <w:rPr>
                <w:rFonts w:eastAsia="Times New Roman"/>
                <w:color w:val="000000" w:themeColor="text1"/>
                <w:sz w:val="20"/>
                <w:szCs w:val="20"/>
              </w:rPr>
              <w:t xml:space="preserve"> curve </w:t>
            </w:r>
            <w:r w:rsidRPr="24BB6174" w:rsidR="1B3DF6A8">
              <w:rPr>
                <w:rFonts w:eastAsia="Times New Roman"/>
                <w:color w:val="000000" w:themeColor="text1"/>
                <w:sz w:val="20"/>
                <w:szCs w:val="20"/>
              </w:rPr>
              <w:t>on</w:t>
            </w:r>
            <w:r w:rsidRPr="442A279A" w:rsidR="269A17CC">
              <w:rPr>
                <w:rFonts w:eastAsia="Times New Roman"/>
                <w:color w:val="000000" w:themeColor="text1"/>
                <w:sz w:val="20"/>
                <w:szCs w:val="20"/>
              </w:rPr>
              <w:t xml:space="preserve"> the national level</w:t>
            </w:r>
            <w:r w:rsidRPr="5ED99B56" w:rsidR="13CF0D2F">
              <w:rPr>
                <w:rFonts w:eastAsia="Times New Roman"/>
                <w:color w:val="000000" w:themeColor="text1"/>
                <w:sz w:val="20"/>
                <w:szCs w:val="20"/>
              </w:rPr>
              <w:t xml:space="preserve">, which implies </w:t>
            </w:r>
            <w:r w:rsidRPr="19529F14" w:rsidR="13CF0D2F">
              <w:rPr>
                <w:rFonts w:eastAsia="Times New Roman"/>
                <w:color w:val="000000" w:themeColor="text1"/>
                <w:sz w:val="20"/>
                <w:szCs w:val="20"/>
              </w:rPr>
              <w:t>applications</w:t>
            </w:r>
            <w:r w:rsidRPr="580FCD5A" w:rsidR="13CF0D2F">
              <w:rPr>
                <w:rFonts w:eastAsia="Times New Roman"/>
                <w:color w:val="000000" w:themeColor="text1"/>
                <w:sz w:val="20"/>
                <w:szCs w:val="20"/>
              </w:rPr>
              <w:t xml:space="preserve"> in the </w:t>
            </w:r>
            <w:r w:rsidR="00043D22">
              <w:rPr>
                <w:rFonts w:eastAsia="Times New Roman"/>
                <w:color w:val="000000" w:themeColor="text1"/>
                <w:sz w:val="20"/>
                <w:szCs w:val="20"/>
              </w:rPr>
              <w:t>S</w:t>
            </w:r>
            <w:r w:rsidRPr="580FCD5A" w:rsidR="13CF0D2F">
              <w:rPr>
                <w:rFonts w:eastAsia="Times New Roman"/>
                <w:color w:val="000000" w:themeColor="text1"/>
                <w:sz w:val="20"/>
                <w:szCs w:val="20"/>
              </w:rPr>
              <w:t>tates and other</w:t>
            </w:r>
            <w:r w:rsidRPr="224DA4B5" w:rsidR="13CF0D2F">
              <w:rPr>
                <w:rFonts w:eastAsia="Times New Roman"/>
                <w:color w:val="000000" w:themeColor="text1"/>
                <w:sz w:val="20"/>
                <w:szCs w:val="20"/>
              </w:rPr>
              <w:t xml:space="preserve"> jurisdictions modeled</w:t>
            </w:r>
            <w:r w:rsidRPr="224DA4B5" w:rsidR="269A17CC">
              <w:rPr>
                <w:rFonts w:eastAsia="Times New Roman"/>
                <w:color w:val="000000" w:themeColor="text1"/>
                <w:sz w:val="20"/>
                <w:szCs w:val="20"/>
              </w:rPr>
              <w:t>.</w:t>
            </w:r>
            <w:r w:rsidRPr="442A279A" w:rsidR="269A17CC">
              <w:rPr>
                <w:rFonts w:eastAsia="Times New Roman"/>
                <w:color w:val="000000" w:themeColor="text1"/>
                <w:sz w:val="20"/>
                <w:szCs w:val="20"/>
              </w:rPr>
              <w:t xml:space="preserve"> </w:t>
            </w:r>
            <w:r w:rsidRPr="5A5C99B3" w:rsidR="269A17CC">
              <w:rPr>
                <w:rFonts w:eastAsia="Times New Roman"/>
                <w:color w:val="000000" w:themeColor="text1"/>
                <w:sz w:val="20"/>
                <w:szCs w:val="20"/>
              </w:rPr>
              <w:t xml:space="preserve">The </w:t>
            </w:r>
            <w:r w:rsidRPr="5A5C99B3" w:rsidR="2FE1D1C9">
              <w:rPr>
                <w:rFonts w:eastAsia="Times New Roman"/>
                <w:color w:val="000000" w:themeColor="text1"/>
                <w:sz w:val="20"/>
                <w:szCs w:val="20"/>
              </w:rPr>
              <w:t>resulting</w:t>
            </w:r>
            <w:r w:rsidRPr="0AF003F4" w:rsidR="269A17CC">
              <w:rPr>
                <w:rFonts w:eastAsia="Times New Roman"/>
                <w:color w:val="000000" w:themeColor="text1"/>
                <w:sz w:val="20"/>
                <w:szCs w:val="20"/>
              </w:rPr>
              <w:t xml:space="preserve"> growth is </w:t>
            </w:r>
            <w:r w:rsidRPr="6163A9D1" w:rsidR="12EA0F10">
              <w:rPr>
                <w:rFonts w:eastAsia="Times New Roman"/>
                <w:color w:val="000000" w:themeColor="text1"/>
                <w:sz w:val="20"/>
                <w:szCs w:val="20"/>
              </w:rPr>
              <w:t xml:space="preserve">not </w:t>
            </w:r>
            <w:r w:rsidRPr="532DE788" w:rsidR="12EA0F10">
              <w:rPr>
                <w:rFonts w:eastAsia="Times New Roman"/>
                <w:color w:val="000000" w:themeColor="text1"/>
                <w:sz w:val="20"/>
                <w:szCs w:val="20"/>
              </w:rPr>
              <w:t xml:space="preserve">smooth </w:t>
            </w:r>
            <w:r w:rsidRPr="547EB070" w:rsidR="12EA0F10">
              <w:rPr>
                <w:rFonts w:eastAsia="Times New Roman"/>
                <w:color w:val="000000" w:themeColor="text1"/>
                <w:sz w:val="20"/>
                <w:szCs w:val="20"/>
              </w:rPr>
              <w:t>because</w:t>
            </w:r>
            <w:r w:rsidRPr="6FB9080E" w:rsidR="6F61ADEC">
              <w:rPr>
                <w:rFonts w:eastAsia="Times New Roman"/>
                <w:color w:val="000000" w:themeColor="text1"/>
                <w:sz w:val="20"/>
                <w:szCs w:val="20"/>
              </w:rPr>
              <w:t xml:space="preserve"> </w:t>
            </w:r>
            <w:r w:rsidRPr="415E2393" w:rsidR="6F61ADEC">
              <w:rPr>
                <w:rFonts w:eastAsia="Times New Roman"/>
                <w:color w:val="000000" w:themeColor="text1"/>
                <w:sz w:val="20"/>
                <w:szCs w:val="20"/>
              </w:rPr>
              <w:t xml:space="preserve">of the </w:t>
            </w:r>
            <w:r w:rsidRPr="6D381DEC" w:rsidR="6F61ADEC">
              <w:rPr>
                <w:rFonts w:eastAsia="Times New Roman"/>
                <w:color w:val="000000" w:themeColor="text1"/>
                <w:sz w:val="20"/>
                <w:szCs w:val="20"/>
              </w:rPr>
              <w:t xml:space="preserve">truncation </w:t>
            </w:r>
            <w:r w:rsidRPr="1408298E" w:rsidR="6F61ADEC">
              <w:rPr>
                <w:rFonts w:eastAsia="Times New Roman"/>
                <w:color w:val="000000" w:themeColor="text1"/>
                <w:sz w:val="20"/>
                <w:szCs w:val="20"/>
              </w:rPr>
              <w:t xml:space="preserve">of fractional </w:t>
            </w:r>
            <w:r w:rsidRPr="61B79CCA" w:rsidR="6F61ADEC">
              <w:rPr>
                <w:rFonts w:eastAsia="Times New Roman"/>
                <w:color w:val="000000" w:themeColor="text1"/>
                <w:sz w:val="20"/>
                <w:szCs w:val="20"/>
              </w:rPr>
              <w:t xml:space="preserve">applications modeled for some </w:t>
            </w:r>
            <w:r w:rsidRPr="6F605A43" w:rsidR="6F61ADEC">
              <w:rPr>
                <w:rFonts w:eastAsia="Times New Roman"/>
                <w:color w:val="000000" w:themeColor="text1"/>
                <w:sz w:val="20"/>
                <w:szCs w:val="20"/>
              </w:rPr>
              <w:t xml:space="preserve">years that become part of a </w:t>
            </w:r>
            <w:r w:rsidRPr="416F2C6D" w:rsidR="6F61ADEC">
              <w:rPr>
                <w:rFonts w:eastAsia="Times New Roman"/>
                <w:color w:val="000000" w:themeColor="text1"/>
                <w:sz w:val="20"/>
                <w:szCs w:val="20"/>
              </w:rPr>
              <w:t>whole applicatio</w:t>
            </w:r>
            <w:r w:rsidRPr="416F2C6D" w:rsidR="24132A4F">
              <w:rPr>
                <w:rFonts w:eastAsia="Times New Roman"/>
                <w:color w:val="000000" w:themeColor="text1"/>
                <w:sz w:val="20"/>
                <w:szCs w:val="20"/>
              </w:rPr>
              <w:t>n in a subsequent year</w:t>
            </w:r>
            <w:r w:rsidRPr="15CA3142" w:rsidR="24132A4F">
              <w:rPr>
                <w:rFonts w:eastAsia="Times New Roman"/>
                <w:color w:val="000000" w:themeColor="text1"/>
                <w:sz w:val="20"/>
                <w:szCs w:val="20"/>
              </w:rPr>
              <w:t xml:space="preserve">. Thus, the zero </w:t>
            </w:r>
            <w:r w:rsidRPr="68CD33B8" w:rsidR="24132A4F">
              <w:rPr>
                <w:rFonts w:eastAsia="Times New Roman"/>
                <w:color w:val="000000" w:themeColor="text1"/>
                <w:sz w:val="20"/>
                <w:szCs w:val="20"/>
              </w:rPr>
              <w:t xml:space="preserve">growth in </w:t>
            </w:r>
            <w:r w:rsidRPr="36184C1F" w:rsidR="24132A4F">
              <w:rPr>
                <w:rFonts w:eastAsia="Times New Roman"/>
                <w:color w:val="000000" w:themeColor="text1"/>
                <w:sz w:val="20"/>
                <w:szCs w:val="20"/>
              </w:rPr>
              <w:t xml:space="preserve">years 2032 and </w:t>
            </w:r>
            <w:r w:rsidRPr="438AF3C5" w:rsidR="24132A4F">
              <w:rPr>
                <w:rFonts w:eastAsia="Times New Roman"/>
                <w:color w:val="000000" w:themeColor="text1"/>
                <w:sz w:val="20"/>
                <w:szCs w:val="20"/>
              </w:rPr>
              <w:t xml:space="preserve">2033 </w:t>
            </w:r>
            <w:r w:rsidR="00150080">
              <w:rPr>
                <w:rFonts w:eastAsia="Times New Roman"/>
                <w:color w:val="000000" w:themeColor="text1"/>
                <w:sz w:val="20"/>
                <w:szCs w:val="20"/>
              </w:rPr>
              <w:t>is</w:t>
            </w:r>
            <w:r w:rsidRPr="438AF3C5" w:rsidR="24132A4F">
              <w:rPr>
                <w:rFonts w:eastAsia="Times New Roman"/>
                <w:color w:val="000000" w:themeColor="text1"/>
                <w:sz w:val="20"/>
                <w:szCs w:val="20"/>
              </w:rPr>
              <w:t xml:space="preserve"> an artifact of the model </w:t>
            </w:r>
            <w:r w:rsidRPr="0457F1AC" w:rsidR="24132A4F">
              <w:rPr>
                <w:rFonts w:eastAsia="Times New Roman"/>
                <w:color w:val="000000" w:themeColor="text1"/>
                <w:sz w:val="20"/>
                <w:szCs w:val="20"/>
              </w:rPr>
              <w:t>indicating</w:t>
            </w:r>
            <w:r w:rsidRPr="0457F1AC" w:rsidR="0B8AD3E7">
              <w:rPr>
                <w:rFonts w:eastAsia="Times New Roman"/>
                <w:color w:val="000000" w:themeColor="text1"/>
                <w:sz w:val="20"/>
                <w:szCs w:val="20"/>
              </w:rPr>
              <w:t xml:space="preserve"> that no jurisdiction </w:t>
            </w:r>
            <w:r w:rsidRPr="06685888" w:rsidR="0B8AD3E7">
              <w:rPr>
                <w:rFonts w:eastAsia="Times New Roman"/>
                <w:color w:val="000000" w:themeColor="text1"/>
                <w:sz w:val="20"/>
                <w:szCs w:val="20"/>
              </w:rPr>
              <w:t xml:space="preserve">fusion machine deployments have yet </w:t>
            </w:r>
            <w:r w:rsidRPr="5C72C4B9" w:rsidR="0B8AD3E7">
              <w:rPr>
                <w:rFonts w:eastAsia="Times New Roman"/>
                <w:color w:val="000000" w:themeColor="text1"/>
                <w:sz w:val="20"/>
                <w:szCs w:val="20"/>
              </w:rPr>
              <w:t>grown to a full number.</w:t>
            </w:r>
          </w:p>
        </w:tc>
      </w:tr>
    </w:tbl>
    <w:p w:rsidR="00756160" w:rsidRPr="008F486F" w:rsidP="00756160" w14:paraId="66DA2BFB" w14:textId="77777777">
      <w:pPr>
        <w:pStyle w:val="BodyText"/>
      </w:pPr>
    </w:p>
    <w:p w:rsidR="00756160" w:rsidRPr="008F486F" w:rsidP="00756160" w14:paraId="5AD63857" w14:textId="77777777">
      <w:pPr>
        <w:pStyle w:val="BodyText"/>
      </w:pPr>
      <w:r w:rsidRPr="008F486F">
        <w:t xml:space="preserve">Both the NRC’s recommended rulemaking alternative (Alternative 2) and the guidance only alternative (Alternative 3) in this </w:t>
      </w:r>
      <w:r w:rsidRPr="00CD3D85">
        <w:t>regulatory analysis result in monetized net benefits to</w:t>
      </w:r>
      <w:r w:rsidRPr="00CD3D85">
        <w:rPr>
          <w:spacing w:val="-3"/>
        </w:rPr>
        <w:t xml:space="preserve"> the </w:t>
      </w:r>
      <w:r w:rsidRPr="00CD3D85">
        <w:t>industry</w:t>
      </w:r>
      <w:r w:rsidRPr="00CD3D85">
        <w:rPr>
          <w:spacing w:val="-1"/>
        </w:rPr>
        <w:t xml:space="preserve"> </w:t>
      </w:r>
      <w:r w:rsidRPr="00CD3D85">
        <w:t>of</w:t>
      </w:r>
      <w:r w:rsidRPr="00CD3D85">
        <w:rPr>
          <w:spacing w:val="-2"/>
        </w:rPr>
        <w:t xml:space="preserve"> </w:t>
      </w:r>
      <w:r w:rsidRPr="00CD3D85">
        <w:t>approximately</w:t>
      </w:r>
      <w:r w:rsidRPr="00CD3D85">
        <w:rPr>
          <w:spacing w:val="-2"/>
        </w:rPr>
        <w:t xml:space="preserve"> </w:t>
      </w:r>
      <w:r w:rsidRPr="00CD3D85">
        <w:t>$2.03</w:t>
      </w:r>
      <w:r w:rsidRPr="00CD3D85">
        <w:rPr>
          <w:spacing w:val="-1"/>
        </w:rPr>
        <w:t> </w:t>
      </w:r>
      <w:r w:rsidRPr="00CD3D85">
        <w:t>million</w:t>
      </w:r>
      <w:r w:rsidRPr="00CD3D85">
        <w:rPr>
          <w:spacing w:val="-2"/>
        </w:rPr>
        <w:t xml:space="preserve"> using a </w:t>
      </w:r>
      <w:r w:rsidRPr="00CD3D85">
        <w:t>7</w:t>
      </w:r>
      <w:r w:rsidRPr="00CD3D85">
        <w:rPr>
          <w:spacing w:val="-1"/>
        </w:rPr>
        <w:t> </w:t>
      </w:r>
      <w:r w:rsidRPr="00CD3D85">
        <w:t>percent</w:t>
      </w:r>
      <w:r w:rsidRPr="00CD3D85">
        <w:rPr>
          <w:spacing w:val="-2"/>
        </w:rPr>
        <w:t xml:space="preserve"> </w:t>
      </w:r>
      <w:r w:rsidRPr="00CD3D85">
        <w:t>discount rate</w:t>
      </w:r>
      <w:r w:rsidRPr="00CD3D85">
        <w:rPr>
          <w:spacing w:val="-2"/>
        </w:rPr>
        <w:t xml:space="preserve"> </w:t>
      </w:r>
      <w:r w:rsidRPr="00CD3D85">
        <w:t>and $4.08 million using a 3 percent discount rate. Note that the benefits to industry</w:t>
      </w:r>
      <w:r w:rsidRPr="008F486F">
        <w:t xml:space="preserve"> under Alternative 3 would be lower due to costs that could not be monetized as described above.</w:t>
      </w:r>
    </w:p>
    <w:p w:rsidR="00756160" w:rsidRPr="008F486F" w:rsidP="00756160" w14:paraId="673C3A9E" w14:textId="77777777">
      <w:pPr>
        <w:pStyle w:val="BodyText"/>
        <w:keepNext/>
      </w:pPr>
      <w:bookmarkStart w:id="106" w:name="_bookmark17"/>
      <w:bookmarkEnd w:id="106"/>
    </w:p>
    <w:p w:rsidR="00756160" w:rsidRPr="008F486F" w:rsidP="00756160" w14:paraId="0CA1B783" w14:textId="77777777">
      <w:pPr>
        <w:pStyle w:val="Heading2"/>
        <w:keepNext/>
        <w:ind w:left="936"/>
        <w:rPr>
          <w:u w:val="none"/>
        </w:rPr>
      </w:pPr>
      <w:bookmarkStart w:id="107" w:name="_Toc176884014"/>
      <w:bookmarkStart w:id="108" w:name="_Toc222796522"/>
      <w:r w:rsidRPr="008F486F">
        <w:rPr>
          <w:u w:val="none"/>
        </w:rPr>
        <w:t>5.2</w:t>
      </w:r>
      <w:r w:rsidRPr="008F486F">
        <w:rPr>
          <w:u w:val="none"/>
        </w:rPr>
        <w:tab/>
        <w:t>Cost Impact on the NRC</w:t>
      </w:r>
      <w:bookmarkEnd w:id="107"/>
      <w:bookmarkEnd w:id="108"/>
    </w:p>
    <w:p w:rsidR="00756160" w:rsidRPr="008F486F" w:rsidP="00756160" w14:paraId="3309D696" w14:textId="77777777">
      <w:pPr>
        <w:pStyle w:val="BodyText"/>
        <w:keepNext/>
      </w:pPr>
    </w:p>
    <w:p w:rsidR="00756160" w:rsidRPr="008F486F" w:rsidP="00756160" w14:paraId="1B7A0299" w14:textId="77777777">
      <w:pPr>
        <w:pStyle w:val="BodyText"/>
        <w:keepLines/>
      </w:pPr>
      <w:r w:rsidRPr="008F486F">
        <w:t xml:space="preserve">Like licensees, NRC operations would benefit from using the </w:t>
      </w:r>
      <w:r>
        <w:t>rule, if revised and/or new guidance</w:t>
      </w:r>
      <w:r w:rsidRPr="008F486F">
        <w:t xml:space="preserve"> due to the reduced effort needed to review applications and regulate fusion machines directly regulated by the NRC. The NRC would also incur costs of implementing the proposed rule</w:t>
      </w:r>
      <w:r>
        <w:t xml:space="preserve"> and/or new guidance</w:t>
      </w:r>
      <w:r w:rsidRPr="008F486F">
        <w:t>.</w:t>
      </w:r>
    </w:p>
    <w:p w:rsidR="00756160" w:rsidRPr="008F486F" w:rsidP="00756160" w14:paraId="32C273B6" w14:textId="77777777">
      <w:pPr>
        <w:pStyle w:val="BodyText"/>
      </w:pPr>
    </w:p>
    <w:p w:rsidR="00756160" w:rsidRPr="000A7144" w:rsidP="00756160" w14:paraId="68DDD592" w14:textId="77777777">
      <w:pPr>
        <w:pStyle w:val="BodyText"/>
        <w:keepNext/>
        <w:rPr>
          <w:i/>
          <w:iCs/>
        </w:rPr>
      </w:pPr>
      <w:r w:rsidRPr="000A7144">
        <w:rPr>
          <w:i/>
          <w:iCs/>
        </w:rPr>
        <w:t>Implementation Costs</w:t>
      </w:r>
    </w:p>
    <w:p w:rsidR="00756160" w:rsidRPr="008F486F" w:rsidP="00756160" w14:paraId="215734AE" w14:textId="77777777">
      <w:pPr>
        <w:pStyle w:val="BodyText"/>
        <w:keepNext/>
      </w:pPr>
    </w:p>
    <w:p w:rsidR="00756160" w:rsidRPr="008F486F" w:rsidP="00756160" w14:paraId="298CCD9B" w14:textId="2ADBEE6D">
      <w:pPr>
        <w:pStyle w:val="BodyText"/>
      </w:pPr>
      <w:r w:rsidRPr="008F486F">
        <w:t>The staff assumed implementation of both Alternative 2 and Alternative 3 would be completed in 2025. For Alternative 2, conducting rulemaking and developing the accompanying guidance would result in a one-time cost to the NRC. The resources to develop the proposed rule and guidance are sunk costs; future rulemaking costs will be those incurred at the final rule phase and costs for the preparation and issuance of final guidance, assuming Alternative 2 is chosen. As shown in Table 4, the labor to “Prepare final rule and supporting documentation” was estimated by staff to be 1</w:t>
      </w:r>
      <w:r>
        <w:t>,</w:t>
      </w:r>
      <w:r w:rsidRPr="008F486F">
        <w:t>979 hours, so the NRC would expend $300,862 at the NRC labor rate of $152 per hour. The labor to “Prepare and issue guidance” is estimated to be 383 hours which amounts $58,241 at the same labor rate. Thus, the total one-time costs to the NRC would be $359,103 in 2025.</w:t>
      </w:r>
    </w:p>
    <w:p w:rsidR="00756160" w:rsidRPr="008F486F" w:rsidP="00756160" w14:paraId="19B87759" w14:textId="77777777">
      <w:pPr>
        <w:pStyle w:val="BodyText"/>
      </w:pPr>
    </w:p>
    <w:p w:rsidR="00756160" w:rsidRPr="008F486F" w:rsidP="00756160" w14:paraId="54C7421C" w14:textId="5256A68F">
      <w:pPr>
        <w:pStyle w:val="TableHeading"/>
        <w:keepLines/>
      </w:pPr>
      <w:bookmarkStart w:id="109" w:name="_Toc222796254"/>
      <w:r w:rsidRPr="008F486F">
        <w:t xml:space="preserve">Table 4 </w:t>
      </w:r>
      <w:r w:rsidR="00B80CCF">
        <w:fldChar w:fldCharType="begin"/>
      </w:r>
      <w:r w:rsidR="00B80CCF">
        <w:instrText xml:space="preserve"> SEQ Table \* ARABIC </w:instrText>
      </w:r>
      <w:r w:rsidR="00B80CCF">
        <w:fldChar w:fldCharType="separate"/>
      </w:r>
      <w:r w:rsidR="00B80CCF">
        <w:fldChar w:fldCharType="end"/>
      </w:r>
      <w:r w:rsidRPr="008F486F">
        <w:t xml:space="preserve">  NRC Costs and Benefits for Alternative 2</w:t>
      </w:r>
      <w:bookmarkEnd w:id="109"/>
    </w:p>
    <w:tbl>
      <w:tblPr>
        <w:tblW w:w="9350" w:type="dxa"/>
        <w:tblLook w:val="04A0"/>
      </w:tblPr>
      <w:tblGrid>
        <w:gridCol w:w="715"/>
        <w:gridCol w:w="1177"/>
        <w:gridCol w:w="741"/>
        <w:gridCol w:w="1057"/>
        <w:gridCol w:w="741"/>
        <w:gridCol w:w="901"/>
        <w:gridCol w:w="1399"/>
        <w:gridCol w:w="741"/>
        <w:gridCol w:w="848"/>
        <w:gridCol w:w="1030"/>
      </w:tblGrid>
      <w:tr w14:paraId="431D3B2E" w14:textId="77777777">
        <w:tblPrEx>
          <w:tblW w:w="9350" w:type="dxa"/>
          <w:tblLook w:val="04A0"/>
        </w:tblPrEx>
        <w:trPr>
          <w:trHeight w:val="280"/>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756160" w:rsidRPr="008F486F" w14:paraId="7B400F86" w14:textId="77777777">
            <w:pPr>
              <w:keepNext/>
              <w:keepLines/>
              <w:autoSpaceDE/>
              <w:autoSpaceDN/>
              <w:jc w:val="center"/>
              <w:rPr>
                <w:rFonts w:eastAsia="Times New Roman"/>
                <w:b/>
                <w:bCs/>
                <w:sz w:val="16"/>
                <w:szCs w:val="16"/>
              </w:rPr>
            </w:pPr>
            <w:r w:rsidRPr="008F486F">
              <w:rPr>
                <w:rFonts w:eastAsia="Times New Roman"/>
                <w:b/>
                <w:bCs/>
                <w:sz w:val="16"/>
                <w:szCs w:val="16"/>
              </w:rPr>
              <w:t>Year</w:t>
            </w:r>
          </w:p>
        </w:tc>
        <w:tc>
          <w:tcPr>
            <w:tcW w:w="1004" w:type="dxa"/>
            <w:vMerge w:val="restart"/>
            <w:tcBorders>
              <w:top w:val="single" w:sz="4" w:space="0" w:color="auto"/>
              <w:left w:val="single" w:sz="4" w:space="0" w:color="auto"/>
              <w:right w:val="single" w:sz="4" w:space="0" w:color="auto"/>
            </w:tcBorders>
            <w:shd w:val="clear" w:color="000000" w:fill="FFFFFF"/>
            <w:vAlign w:val="bottom"/>
            <w:hideMark/>
          </w:tcPr>
          <w:p w:rsidR="00756160" w:rsidRPr="008F486F" w14:paraId="63A08256" w14:textId="77777777">
            <w:pPr>
              <w:keepNext/>
              <w:keepLines/>
              <w:autoSpaceDE/>
              <w:autoSpaceDN/>
              <w:jc w:val="center"/>
              <w:rPr>
                <w:rFonts w:eastAsia="Times New Roman"/>
                <w:b/>
                <w:bCs/>
                <w:sz w:val="16"/>
                <w:szCs w:val="16"/>
              </w:rPr>
            </w:pPr>
            <w:r w:rsidRPr="008F486F">
              <w:rPr>
                <w:rFonts w:eastAsia="Times New Roman"/>
                <w:b/>
                <w:bCs/>
                <w:sz w:val="16"/>
                <w:szCs w:val="16"/>
              </w:rPr>
              <w:t>Applications</w:t>
            </w:r>
          </w:p>
        </w:tc>
        <w:tc>
          <w:tcPr>
            <w:tcW w:w="4544" w:type="dxa"/>
            <w:gridSpan w:val="5"/>
            <w:tcBorders>
              <w:top w:val="single" w:sz="4" w:space="0" w:color="auto"/>
              <w:left w:val="nil"/>
              <w:bottom w:val="single" w:sz="4" w:space="0" w:color="auto"/>
              <w:right w:val="single" w:sz="4" w:space="0" w:color="auto"/>
            </w:tcBorders>
            <w:vAlign w:val="bottom"/>
            <w:hideMark/>
          </w:tcPr>
          <w:p w:rsidR="00756160" w:rsidRPr="008F486F" w14:paraId="1FB5046C"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Implementation Costs</w:t>
            </w:r>
          </w:p>
        </w:tc>
        <w:tc>
          <w:tcPr>
            <w:tcW w:w="1480" w:type="dxa"/>
            <w:gridSpan w:val="2"/>
            <w:tcBorders>
              <w:top w:val="single" w:sz="4" w:space="0" w:color="auto"/>
              <w:left w:val="nil"/>
              <w:bottom w:val="single" w:sz="4" w:space="0" w:color="auto"/>
              <w:right w:val="single" w:sz="4" w:space="0" w:color="auto"/>
            </w:tcBorders>
            <w:noWrap/>
            <w:vAlign w:val="bottom"/>
            <w:hideMark/>
          </w:tcPr>
          <w:p w:rsidR="00756160" w:rsidRPr="008F486F" w14:paraId="7E775B47"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Operational Costs</w:t>
            </w:r>
          </w:p>
        </w:tc>
        <w:tc>
          <w:tcPr>
            <w:tcW w:w="1607" w:type="dxa"/>
            <w:vMerge w:val="restart"/>
            <w:tcBorders>
              <w:top w:val="single" w:sz="4" w:space="0" w:color="auto"/>
              <w:left w:val="single" w:sz="4" w:space="0" w:color="auto"/>
              <w:bottom w:val="single" w:sz="4" w:space="0" w:color="auto"/>
              <w:right w:val="single" w:sz="4" w:space="0" w:color="auto"/>
            </w:tcBorders>
            <w:vAlign w:val="bottom"/>
            <w:hideMark/>
          </w:tcPr>
          <w:p w:rsidR="00756160" w:rsidRPr="008F486F" w14:paraId="43F5ADE6"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 (Cost) Total</w:t>
            </w:r>
          </w:p>
        </w:tc>
      </w:tr>
      <w:tr w14:paraId="7A2072BF" w14:textId="77777777">
        <w:tblPrEx>
          <w:tblW w:w="9350" w:type="dxa"/>
          <w:tblLook w:val="04A0"/>
        </w:tblPrEx>
        <w:trPr>
          <w:trHeight w:val="404"/>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53741965" w14:textId="77777777">
            <w:pPr>
              <w:keepNext/>
              <w:keepLines/>
              <w:autoSpaceDE/>
              <w:autoSpaceDN/>
              <w:jc w:val="center"/>
              <w:rPr>
                <w:rFonts w:eastAsia="Times New Roman"/>
                <w:b/>
                <w:bCs/>
                <w:sz w:val="16"/>
                <w:szCs w:val="16"/>
              </w:rPr>
            </w:pPr>
          </w:p>
        </w:tc>
        <w:tc>
          <w:tcPr>
            <w:tcW w:w="1004" w:type="dxa"/>
            <w:vMerge/>
            <w:tcBorders>
              <w:left w:val="single" w:sz="4" w:space="0" w:color="auto"/>
              <w:right w:val="single" w:sz="4" w:space="0" w:color="auto"/>
            </w:tcBorders>
            <w:vAlign w:val="center"/>
            <w:hideMark/>
          </w:tcPr>
          <w:p w:rsidR="00756160" w:rsidRPr="008F486F" w14:paraId="27FF0EAF" w14:textId="77777777">
            <w:pPr>
              <w:keepNext/>
              <w:keepLines/>
              <w:autoSpaceDE/>
              <w:autoSpaceDN/>
              <w:jc w:val="center"/>
              <w:rPr>
                <w:rFonts w:eastAsia="Times New Roman"/>
                <w:b/>
                <w:bCs/>
                <w:sz w:val="16"/>
                <w:szCs w:val="16"/>
              </w:rPr>
            </w:pPr>
          </w:p>
        </w:tc>
        <w:tc>
          <w:tcPr>
            <w:tcW w:w="1745" w:type="dxa"/>
            <w:gridSpan w:val="2"/>
            <w:tcBorders>
              <w:top w:val="single" w:sz="4" w:space="0" w:color="auto"/>
              <w:left w:val="nil"/>
              <w:bottom w:val="single" w:sz="4" w:space="0" w:color="auto"/>
              <w:right w:val="single" w:sz="4" w:space="0" w:color="auto"/>
            </w:tcBorders>
            <w:vAlign w:val="bottom"/>
            <w:hideMark/>
          </w:tcPr>
          <w:p w:rsidR="00756160" w:rsidRPr="008F486F" w14:paraId="7EE324FD"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Prepare final rule and supporting documents</w:t>
            </w:r>
          </w:p>
        </w:tc>
        <w:tc>
          <w:tcPr>
            <w:tcW w:w="1520" w:type="dxa"/>
            <w:gridSpan w:val="2"/>
            <w:tcBorders>
              <w:top w:val="single" w:sz="4" w:space="0" w:color="auto"/>
              <w:left w:val="nil"/>
              <w:bottom w:val="single" w:sz="4" w:space="0" w:color="auto"/>
              <w:right w:val="single" w:sz="4" w:space="0" w:color="auto"/>
            </w:tcBorders>
            <w:vAlign w:val="bottom"/>
            <w:hideMark/>
          </w:tcPr>
          <w:p w:rsidR="00756160" w:rsidRPr="008F486F" w14:paraId="6B0F00CF"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Prepare and issue guidance</w:t>
            </w:r>
          </w:p>
        </w:tc>
        <w:tc>
          <w:tcPr>
            <w:tcW w:w="1279" w:type="dxa"/>
            <w:tcBorders>
              <w:top w:val="nil"/>
              <w:left w:val="nil"/>
              <w:bottom w:val="single" w:sz="4" w:space="0" w:color="auto"/>
              <w:right w:val="single" w:sz="4" w:space="0" w:color="auto"/>
            </w:tcBorders>
            <w:vAlign w:val="bottom"/>
            <w:hideMark/>
          </w:tcPr>
          <w:p w:rsidR="00756160" w:rsidRPr="008F486F" w14:paraId="399EEBA0"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Subtotal Implementation</w:t>
            </w:r>
          </w:p>
        </w:tc>
        <w:tc>
          <w:tcPr>
            <w:tcW w:w="1480" w:type="dxa"/>
            <w:gridSpan w:val="2"/>
            <w:tcBorders>
              <w:top w:val="single" w:sz="4" w:space="0" w:color="auto"/>
              <w:left w:val="nil"/>
              <w:bottom w:val="single" w:sz="4" w:space="0" w:color="auto"/>
              <w:right w:val="single" w:sz="4" w:space="0" w:color="auto"/>
            </w:tcBorders>
            <w:vAlign w:val="bottom"/>
            <w:hideMark/>
          </w:tcPr>
          <w:p w:rsidR="00756160" w:rsidRPr="008F486F" w14:paraId="20C23EA8"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Averted Licensing Costs</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56EA6B3A" w14:textId="77777777">
            <w:pPr>
              <w:keepNext/>
              <w:keepLines/>
              <w:autoSpaceDE/>
              <w:autoSpaceDN/>
              <w:rPr>
                <w:rFonts w:eastAsia="Times New Roman"/>
                <w:b/>
                <w:bCs/>
                <w:color w:val="000000"/>
                <w:sz w:val="16"/>
                <w:szCs w:val="16"/>
              </w:rPr>
            </w:pPr>
          </w:p>
        </w:tc>
      </w:tr>
      <w:tr w14:paraId="4F8AD88A" w14:textId="77777777">
        <w:tblPrEx>
          <w:tblW w:w="9350" w:type="dxa"/>
          <w:tblLook w:val="04A0"/>
        </w:tblPrEx>
        <w:trPr>
          <w:trHeight w:val="161"/>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49DF120E" w14:textId="77777777">
            <w:pPr>
              <w:keepNext/>
              <w:keepLines/>
              <w:autoSpaceDE/>
              <w:autoSpaceDN/>
              <w:jc w:val="center"/>
              <w:rPr>
                <w:rFonts w:eastAsia="Times New Roman"/>
                <w:b/>
                <w:bCs/>
                <w:sz w:val="16"/>
                <w:szCs w:val="16"/>
              </w:rPr>
            </w:pPr>
          </w:p>
        </w:tc>
        <w:tc>
          <w:tcPr>
            <w:tcW w:w="1004" w:type="dxa"/>
            <w:vMerge/>
            <w:tcBorders>
              <w:left w:val="single" w:sz="4" w:space="0" w:color="auto"/>
              <w:bottom w:val="single" w:sz="4" w:space="0" w:color="auto"/>
              <w:right w:val="single" w:sz="4" w:space="0" w:color="auto"/>
            </w:tcBorders>
            <w:shd w:val="clear" w:color="000000" w:fill="FFFFFF"/>
            <w:vAlign w:val="center"/>
            <w:hideMark/>
          </w:tcPr>
          <w:p w:rsidR="00756160" w:rsidRPr="008F486F" w14:paraId="0DC488EB" w14:textId="77777777">
            <w:pPr>
              <w:keepNext/>
              <w:keepLines/>
              <w:autoSpaceDE/>
              <w:autoSpaceDN/>
              <w:jc w:val="center"/>
              <w:rPr>
                <w:rFonts w:eastAsia="Times New Roman"/>
                <w:b/>
                <w:bCs/>
                <w:sz w:val="16"/>
                <w:szCs w:val="16"/>
              </w:rPr>
            </w:pPr>
          </w:p>
        </w:tc>
        <w:tc>
          <w:tcPr>
            <w:tcW w:w="688" w:type="dxa"/>
            <w:tcBorders>
              <w:top w:val="nil"/>
              <w:left w:val="nil"/>
              <w:bottom w:val="single" w:sz="4" w:space="0" w:color="auto"/>
              <w:right w:val="single" w:sz="4" w:space="0" w:color="auto"/>
            </w:tcBorders>
            <w:vAlign w:val="bottom"/>
            <w:hideMark/>
          </w:tcPr>
          <w:p w:rsidR="00756160" w:rsidRPr="008F486F" w14:paraId="47C54D14"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Hours*</w:t>
            </w:r>
          </w:p>
        </w:tc>
        <w:tc>
          <w:tcPr>
            <w:tcW w:w="1057" w:type="dxa"/>
            <w:tcBorders>
              <w:top w:val="nil"/>
              <w:left w:val="nil"/>
              <w:bottom w:val="single" w:sz="4" w:space="0" w:color="auto"/>
              <w:right w:val="single" w:sz="4" w:space="0" w:color="auto"/>
            </w:tcBorders>
            <w:vAlign w:val="bottom"/>
            <w:hideMark/>
          </w:tcPr>
          <w:p w:rsidR="00756160" w:rsidRPr="008F486F" w14:paraId="772ACA75"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688" w:type="dxa"/>
            <w:tcBorders>
              <w:top w:val="nil"/>
              <w:left w:val="nil"/>
              <w:bottom w:val="single" w:sz="4" w:space="0" w:color="auto"/>
              <w:right w:val="single" w:sz="4" w:space="0" w:color="auto"/>
            </w:tcBorders>
            <w:vAlign w:val="bottom"/>
            <w:hideMark/>
          </w:tcPr>
          <w:p w:rsidR="00756160" w:rsidRPr="008F486F" w14:paraId="3FA5F4AC"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Hours*</w:t>
            </w:r>
          </w:p>
        </w:tc>
        <w:tc>
          <w:tcPr>
            <w:tcW w:w="832" w:type="dxa"/>
            <w:tcBorders>
              <w:top w:val="nil"/>
              <w:left w:val="nil"/>
              <w:bottom w:val="single" w:sz="4" w:space="0" w:color="auto"/>
              <w:right w:val="single" w:sz="4" w:space="0" w:color="auto"/>
            </w:tcBorders>
            <w:vAlign w:val="bottom"/>
            <w:hideMark/>
          </w:tcPr>
          <w:p w:rsidR="00756160" w:rsidRPr="008F486F" w14:paraId="5CA84239"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1279" w:type="dxa"/>
            <w:tcBorders>
              <w:top w:val="nil"/>
              <w:left w:val="nil"/>
              <w:bottom w:val="single" w:sz="4" w:space="0" w:color="auto"/>
              <w:right w:val="single" w:sz="4" w:space="0" w:color="auto"/>
            </w:tcBorders>
            <w:vAlign w:val="bottom"/>
            <w:hideMark/>
          </w:tcPr>
          <w:p w:rsidR="00756160" w:rsidRPr="008F486F" w14:paraId="3E017972"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696" w:type="dxa"/>
            <w:tcBorders>
              <w:top w:val="nil"/>
              <w:left w:val="nil"/>
              <w:bottom w:val="single" w:sz="4" w:space="0" w:color="auto"/>
              <w:right w:val="single" w:sz="4" w:space="0" w:color="auto"/>
            </w:tcBorders>
            <w:vAlign w:val="bottom"/>
            <w:hideMark/>
          </w:tcPr>
          <w:p w:rsidR="00756160" w:rsidRPr="008F486F" w14:paraId="599CE41A"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Hours*</w:t>
            </w:r>
          </w:p>
        </w:tc>
        <w:tc>
          <w:tcPr>
            <w:tcW w:w="784" w:type="dxa"/>
            <w:tcBorders>
              <w:top w:val="nil"/>
              <w:left w:val="nil"/>
              <w:bottom w:val="single" w:sz="4" w:space="0" w:color="auto"/>
              <w:right w:val="single" w:sz="4" w:space="0" w:color="auto"/>
            </w:tcBorders>
            <w:vAlign w:val="bottom"/>
            <w:hideMark/>
          </w:tcPr>
          <w:p w:rsidR="00756160" w:rsidRPr="008F486F" w14:paraId="72E7A38A" w14:textId="77777777">
            <w:pPr>
              <w:keepNext/>
              <w:keepLines/>
              <w:autoSpaceDE/>
              <w:autoSpaceDN/>
              <w:jc w:val="center"/>
              <w:rPr>
                <w:rFonts w:eastAsia="Times New Roman"/>
                <w:b/>
                <w:bCs/>
                <w:color w:val="000000"/>
                <w:sz w:val="16"/>
                <w:szCs w:val="16"/>
              </w:rPr>
            </w:pPr>
            <w:r w:rsidRPr="008F486F">
              <w:rPr>
                <w:rFonts w:eastAsia="Times New Roman"/>
                <w:b/>
                <w:bCs/>
                <w:color w:val="000000"/>
                <w:sz w:val="16"/>
                <w:szCs w:val="16"/>
              </w:rPr>
              <w:t>Net Benefits (Costs)</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3B79ED21" w14:textId="77777777">
            <w:pPr>
              <w:keepNext/>
              <w:keepLines/>
              <w:autoSpaceDE/>
              <w:autoSpaceDN/>
              <w:rPr>
                <w:rFonts w:eastAsia="Times New Roman"/>
                <w:b/>
                <w:bCs/>
                <w:color w:val="000000"/>
                <w:sz w:val="16"/>
                <w:szCs w:val="16"/>
              </w:rPr>
            </w:pPr>
          </w:p>
        </w:tc>
      </w:tr>
      <w:tr w14:paraId="3B542154"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1CA1FFE6" w14:textId="77777777">
            <w:pPr>
              <w:keepNext/>
              <w:keepLines/>
              <w:autoSpaceDE/>
              <w:autoSpaceDN/>
              <w:jc w:val="center"/>
              <w:rPr>
                <w:rFonts w:eastAsia="Times New Roman"/>
                <w:color w:val="000000"/>
                <w:sz w:val="16"/>
                <w:szCs w:val="16"/>
              </w:rPr>
            </w:pPr>
            <w:r w:rsidRPr="008F486F">
              <w:rPr>
                <w:rFonts w:eastAsia="Times New Roman"/>
                <w:color w:val="000000"/>
                <w:sz w:val="16"/>
                <w:szCs w:val="16"/>
              </w:rPr>
              <w:t>2025</w:t>
            </w:r>
          </w:p>
        </w:tc>
        <w:tc>
          <w:tcPr>
            <w:tcW w:w="1004" w:type="dxa"/>
            <w:tcBorders>
              <w:top w:val="nil"/>
              <w:left w:val="nil"/>
              <w:bottom w:val="single" w:sz="4" w:space="0" w:color="auto"/>
              <w:right w:val="single" w:sz="4" w:space="0" w:color="auto"/>
            </w:tcBorders>
            <w:noWrap/>
            <w:vAlign w:val="bottom"/>
            <w:hideMark/>
          </w:tcPr>
          <w:p w:rsidR="00756160" w:rsidRPr="008F486F" w14:paraId="0DE2E543"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5481F27C"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1979</w:t>
            </w:r>
          </w:p>
        </w:tc>
        <w:tc>
          <w:tcPr>
            <w:tcW w:w="1057" w:type="dxa"/>
            <w:tcBorders>
              <w:top w:val="nil"/>
              <w:left w:val="nil"/>
              <w:bottom w:val="single" w:sz="4" w:space="0" w:color="auto"/>
              <w:right w:val="single" w:sz="4" w:space="0" w:color="auto"/>
            </w:tcBorders>
            <w:vAlign w:val="bottom"/>
            <w:hideMark/>
          </w:tcPr>
          <w:p w:rsidR="00756160" w:rsidRPr="008F486F" w14:paraId="18407343"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($300,862)</w:t>
            </w:r>
          </w:p>
        </w:tc>
        <w:tc>
          <w:tcPr>
            <w:tcW w:w="688" w:type="dxa"/>
            <w:tcBorders>
              <w:top w:val="nil"/>
              <w:left w:val="nil"/>
              <w:bottom w:val="single" w:sz="4" w:space="0" w:color="auto"/>
              <w:right w:val="single" w:sz="4" w:space="0" w:color="auto"/>
            </w:tcBorders>
            <w:noWrap/>
            <w:vAlign w:val="bottom"/>
            <w:hideMark/>
          </w:tcPr>
          <w:p w:rsidR="00756160" w:rsidRPr="008F486F" w14:paraId="7B92A09C"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383</w:t>
            </w:r>
          </w:p>
        </w:tc>
        <w:tc>
          <w:tcPr>
            <w:tcW w:w="832" w:type="dxa"/>
            <w:tcBorders>
              <w:top w:val="nil"/>
              <w:left w:val="nil"/>
              <w:bottom w:val="single" w:sz="4" w:space="0" w:color="auto"/>
              <w:right w:val="single" w:sz="4" w:space="0" w:color="auto"/>
            </w:tcBorders>
            <w:vAlign w:val="bottom"/>
            <w:hideMark/>
          </w:tcPr>
          <w:p w:rsidR="00756160" w:rsidRPr="008F486F" w14:paraId="4328879E"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($58,241)</w:t>
            </w:r>
          </w:p>
        </w:tc>
        <w:tc>
          <w:tcPr>
            <w:tcW w:w="1279" w:type="dxa"/>
            <w:tcBorders>
              <w:top w:val="nil"/>
              <w:left w:val="nil"/>
              <w:bottom w:val="single" w:sz="4" w:space="0" w:color="auto"/>
              <w:right w:val="single" w:sz="4" w:space="0" w:color="auto"/>
            </w:tcBorders>
            <w:vAlign w:val="bottom"/>
            <w:hideMark/>
          </w:tcPr>
          <w:p w:rsidR="00756160" w:rsidRPr="008F486F" w14:paraId="04E7977D"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($359,103)</w:t>
            </w:r>
          </w:p>
        </w:tc>
        <w:tc>
          <w:tcPr>
            <w:tcW w:w="696" w:type="dxa"/>
            <w:tcBorders>
              <w:top w:val="nil"/>
              <w:left w:val="nil"/>
              <w:bottom w:val="single" w:sz="4" w:space="0" w:color="auto"/>
              <w:right w:val="single" w:sz="4" w:space="0" w:color="auto"/>
            </w:tcBorders>
            <w:noWrap/>
            <w:vAlign w:val="bottom"/>
            <w:hideMark/>
          </w:tcPr>
          <w:p w:rsidR="00756160" w:rsidRPr="008F486F" w14:paraId="43AB36C7"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1A615C1E"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w:t>
            </w:r>
          </w:p>
        </w:tc>
        <w:tc>
          <w:tcPr>
            <w:tcW w:w="1607" w:type="dxa"/>
            <w:tcBorders>
              <w:top w:val="nil"/>
              <w:left w:val="nil"/>
              <w:bottom w:val="single" w:sz="4" w:space="0" w:color="auto"/>
              <w:right w:val="single" w:sz="4" w:space="0" w:color="auto"/>
            </w:tcBorders>
            <w:vAlign w:val="bottom"/>
            <w:hideMark/>
          </w:tcPr>
          <w:p w:rsidR="00756160" w:rsidRPr="008F486F" w14:paraId="2417ACFD"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w:t>
            </w:r>
          </w:p>
        </w:tc>
      </w:tr>
      <w:tr w14:paraId="2223AAA9"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258F6EEE" w14:textId="77777777">
            <w:pPr>
              <w:keepNext/>
              <w:keepLines/>
              <w:autoSpaceDE/>
              <w:autoSpaceDN/>
              <w:jc w:val="center"/>
              <w:rPr>
                <w:rFonts w:eastAsia="Times New Roman"/>
                <w:color w:val="000000"/>
                <w:sz w:val="16"/>
                <w:szCs w:val="16"/>
              </w:rPr>
            </w:pPr>
            <w:r w:rsidRPr="008F486F">
              <w:rPr>
                <w:rFonts w:eastAsia="Times New Roman"/>
                <w:color w:val="000000"/>
                <w:sz w:val="16"/>
                <w:szCs w:val="16"/>
              </w:rPr>
              <w:t>2026</w:t>
            </w:r>
          </w:p>
        </w:tc>
        <w:tc>
          <w:tcPr>
            <w:tcW w:w="1004" w:type="dxa"/>
            <w:tcBorders>
              <w:top w:val="nil"/>
              <w:left w:val="nil"/>
              <w:bottom w:val="single" w:sz="4" w:space="0" w:color="auto"/>
              <w:right w:val="single" w:sz="4" w:space="0" w:color="auto"/>
            </w:tcBorders>
            <w:noWrap/>
            <w:vAlign w:val="bottom"/>
            <w:hideMark/>
          </w:tcPr>
          <w:p w:rsidR="00756160" w:rsidRPr="008F486F" w14:paraId="0A9F6B05"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20D94807"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4AAD0AA3"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6B7DDDBD"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56B08349"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4CA96973"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1A3F4A21"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090B964E"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1C91D84C" w14:textId="77777777">
            <w:pPr>
              <w:keepNext/>
              <w:keepLines/>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216F172E"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4D56E112" w14:textId="77777777">
            <w:pPr>
              <w:autoSpaceDE/>
              <w:autoSpaceDN/>
              <w:jc w:val="center"/>
              <w:rPr>
                <w:rFonts w:eastAsia="Times New Roman"/>
                <w:color w:val="000000"/>
                <w:sz w:val="16"/>
                <w:szCs w:val="16"/>
              </w:rPr>
            </w:pPr>
            <w:r w:rsidRPr="008F486F">
              <w:rPr>
                <w:rFonts w:eastAsia="Times New Roman"/>
                <w:color w:val="000000"/>
                <w:sz w:val="16"/>
                <w:szCs w:val="16"/>
              </w:rPr>
              <w:t>2027</w:t>
            </w:r>
          </w:p>
        </w:tc>
        <w:tc>
          <w:tcPr>
            <w:tcW w:w="1004" w:type="dxa"/>
            <w:tcBorders>
              <w:top w:val="nil"/>
              <w:left w:val="nil"/>
              <w:bottom w:val="single" w:sz="4" w:space="0" w:color="auto"/>
              <w:right w:val="single" w:sz="4" w:space="0" w:color="auto"/>
            </w:tcBorders>
            <w:noWrap/>
            <w:vAlign w:val="bottom"/>
            <w:hideMark/>
          </w:tcPr>
          <w:p w:rsidR="00756160" w:rsidRPr="008F486F" w14:paraId="19055AEA"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7D7D81A5"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52E3917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7F4FC20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31D2FA1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05D1B1F5"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58A4B6C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4205DC85"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75E9B26E"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75CFD538"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3DD904DF" w14:textId="77777777">
            <w:pPr>
              <w:autoSpaceDE/>
              <w:autoSpaceDN/>
              <w:jc w:val="center"/>
              <w:rPr>
                <w:rFonts w:eastAsia="Times New Roman"/>
                <w:color w:val="000000"/>
                <w:sz w:val="16"/>
                <w:szCs w:val="16"/>
              </w:rPr>
            </w:pPr>
            <w:r w:rsidRPr="008F486F">
              <w:rPr>
                <w:rFonts w:eastAsia="Times New Roman"/>
                <w:color w:val="000000"/>
                <w:sz w:val="16"/>
                <w:szCs w:val="16"/>
              </w:rPr>
              <w:t>2028</w:t>
            </w:r>
          </w:p>
        </w:tc>
        <w:tc>
          <w:tcPr>
            <w:tcW w:w="1004" w:type="dxa"/>
            <w:tcBorders>
              <w:top w:val="nil"/>
              <w:left w:val="nil"/>
              <w:bottom w:val="single" w:sz="4" w:space="0" w:color="auto"/>
              <w:right w:val="single" w:sz="4" w:space="0" w:color="auto"/>
            </w:tcBorders>
            <w:noWrap/>
            <w:vAlign w:val="bottom"/>
            <w:hideMark/>
          </w:tcPr>
          <w:p w:rsidR="00756160" w:rsidRPr="008F486F" w14:paraId="499CAB97"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1A6F8BC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44516B64"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0291B3F9"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2AB2065D"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0AAAEC64"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5A3B713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35728633"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05930FBF"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2EEC4765"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4133C672" w14:textId="77777777">
            <w:pPr>
              <w:autoSpaceDE/>
              <w:autoSpaceDN/>
              <w:jc w:val="center"/>
              <w:rPr>
                <w:rFonts w:eastAsia="Times New Roman"/>
                <w:color w:val="000000"/>
                <w:sz w:val="16"/>
                <w:szCs w:val="16"/>
              </w:rPr>
            </w:pPr>
            <w:r w:rsidRPr="008F486F">
              <w:rPr>
                <w:rFonts w:eastAsia="Times New Roman"/>
                <w:color w:val="000000"/>
                <w:sz w:val="16"/>
                <w:szCs w:val="16"/>
              </w:rPr>
              <w:t>2029</w:t>
            </w:r>
          </w:p>
        </w:tc>
        <w:tc>
          <w:tcPr>
            <w:tcW w:w="1004" w:type="dxa"/>
            <w:tcBorders>
              <w:top w:val="nil"/>
              <w:left w:val="nil"/>
              <w:bottom w:val="single" w:sz="4" w:space="0" w:color="auto"/>
              <w:right w:val="single" w:sz="4" w:space="0" w:color="auto"/>
            </w:tcBorders>
            <w:noWrap/>
            <w:vAlign w:val="bottom"/>
            <w:hideMark/>
          </w:tcPr>
          <w:p w:rsidR="00756160" w:rsidRPr="008F486F" w14:paraId="7A50DC0D"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0B16DA5C"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06C3A3D0"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1A70125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587D75A4"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6016F815"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6C381FDC"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402B19C8"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5088E5FF"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5AE4E040"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397BCCC7" w14:textId="77777777">
            <w:pPr>
              <w:autoSpaceDE/>
              <w:autoSpaceDN/>
              <w:jc w:val="center"/>
              <w:rPr>
                <w:rFonts w:eastAsia="Times New Roman"/>
                <w:color w:val="000000"/>
                <w:sz w:val="16"/>
                <w:szCs w:val="16"/>
              </w:rPr>
            </w:pPr>
            <w:r w:rsidRPr="008F486F">
              <w:rPr>
                <w:rFonts w:eastAsia="Times New Roman"/>
                <w:color w:val="000000"/>
                <w:sz w:val="16"/>
                <w:szCs w:val="16"/>
              </w:rPr>
              <w:t>2030</w:t>
            </w:r>
          </w:p>
        </w:tc>
        <w:tc>
          <w:tcPr>
            <w:tcW w:w="1004" w:type="dxa"/>
            <w:tcBorders>
              <w:top w:val="nil"/>
              <w:left w:val="nil"/>
              <w:bottom w:val="single" w:sz="4" w:space="0" w:color="auto"/>
              <w:right w:val="single" w:sz="4" w:space="0" w:color="auto"/>
            </w:tcBorders>
            <w:noWrap/>
            <w:vAlign w:val="bottom"/>
            <w:hideMark/>
          </w:tcPr>
          <w:p w:rsidR="00756160" w:rsidRPr="008F486F" w14:paraId="5D6BB506"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080C9301"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65704F7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20A4D090"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6DE1D95C"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0C5C8F58"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55F3CC41"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04EFB6AE"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7B3FD540"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1E989E83" w14:textId="77777777">
        <w:tblPrEx>
          <w:tblW w:w="9350" w:type="dxa"/>
          <w:tblLook w:val="04A0"/>
        </w:tblPrEx>
        <w:trPr>
          <w:trHeight w:val="280"/>
        </w:trPr>
        <w:tc>
          <w:tcPr>
            <w:tcW w:w="715" w:type="dxa"/>
            <w:tcBorders>
              <w:top w:val="single" w:sz="4" w:space="0" w:color="auto"/>
              <w:left w:val="single" w:sz="4" w:space="0" w:color="auto"/>
              <w:bottom w:val="single" w:sz="4" w:space="0" w:color="auto"/>
              <w:right w:val="single" w:sz="4" w:space="0" w:color="auto"/>
            </w:tcBorders>
            <w:noWrap/>
            <w:vAlign w:val="bottom"/>
            <w:hideMark/>
          </w:tcPr>
          <w:p w:rsidR="00756160" w:rsidRPr="008F486F" w14:paraId="197BD596" w14:textId="77777777">
            <w:pPr>
              <w:autoSpaceDE/>
              <w:autoSpaceDN/>
              <w:jc w:val="center"/>
              <w:rPr>
                <w:rFonts w:eastAsia="Times New Roman"/>
                <w:color w:val="000000"/>
                <w:sz w:val="16"/>
                <w:szCs w:val="16"/>
              </w:rPr>
            </w:pPr>
            <w:r w:rsidRPr="008F486F">
              <w:rPr>
                <w:rFonts w:eastAsia="Times New Roman"/>
                <w:color w:val="000000"/>
                <w:sz w:val="16"/>
                <w:szCs w:val="16"/>
              </w:rPr>
              <w:t>2031</w:t>
            </w:r>
          </w:p>
        </w:tc>
        <w:tc>
          <w:tcPr>
            <w:tcW w:w="1004" w:type="dxa"/>
            <w:tcBorders>
              <w:top w:val="single" w:sz="4" w:space="0" w:color="auto"/>
              <w:left w:val="nil"/>
              <w:bottom w:val="single" w:sz="4" w:space="0" w:color="auto"/>
              <w:right w:val="single" w:sz="4" w:space="0" w:color="auto"/>
            </w:tcBorders>
            <w:noWrap/>
            <w:vAlign w:val="bottom"/>
            <w:hideMark/>
          </w:tcPr>
          <w:p w:rsidR="00756160" w:rsidRPr="008F486F" w14:paraId="3EBDA945"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single" w:sz="4" w:space="0" w:color="auto"/>
              <w:left w:val="nil"/>
              <w:bottom w:val="single" w:sz="4" w:space="0" w:color="auto"/>
              <w:right w:val="single" w:sz="4" w:space="0" w:color="auto"/>
            </w:tcBorders>
            <w:noWrap/>
            <w:vAlign w:val="bottom"/>
            <w:hideMark/>
          </w:tcPr>
          <w:p w:rsidR="00756160" w:rsidRPr="008F486F" w14:paraId="0D138460"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single" w:sz="4" w:space="0" w:color="auto"/>
              <w:left w:val="nil"/>
              <w:bottom w:val="single" w:sz="4" w:space="0" w:color="auto"/>
              <w:right w:val="single" w:sz="4" w:space="0" w:color="auto"/>
            </w:tcBorders>
            <w:noWrap/>
            <w:vAlign w:val="bottom"/>
            <w:hideMark/>
          </w:tcPr>
          <w:p w:rsidR="00756160" w:rsidRPr="008F486F" w14:paraId="40CA1537"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single" w:sz="4" w:space="0" w:color="auto"/>
              <w:left w:val="nil"/>
              <w:bottom w:val="single" w:sz="4" w:space="0" w:color="auto"/>
              <w:right w:val="single" w:sz="4" w:space="0" w:color="auto"/>
            </w:tcBorders>
            <w:noWrap/>
            <w:vAlign w:val="bottom"/>
            <w:hideMark/>
          </w:tcPr>
          <w:p w:rsidR="00756160" w:rsidRPr="008F486F" w14:paraId="239CBD9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single" w:sz="4" w:space="0" w:color="auto"/>
              <w:left w:val="nil"/>
              <w:bottom w:val="single" w:sz="4" w:space="0" w:color="auto"/>
              <w:right w:val="single" w:sz="4" w:space="0" w:color="auto"/>
            </w:tcBorders>
            <w:noWrap/>
            <w:vAlign w:val="bottom"/>
            <w:hideMark/>
          </w:tcPr>
          <w:p w:rsidR="00756160" w:rsidRPr="008F486F" w14:paraId="4F2319A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single" w:sz="4" w:space="0" w:color="auto"/>
              <w:left w:val="nil"/>
              <w:bottom w:val="single" w:sz="4" w:space="0" w:color="auto"/>
              <w:right w:val="single" w:sz="4" w:space="0" w:color="auto"/>
            </w:tcBorders>
            <w:vAlign w:val="bottom"/>
            <w:hideMark/>
          </w:tcPr>
          <w:p w:rsidR="00756160" w:rsidRPr="008F486F" w14:paraId="109D2CC3"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single" w:sz="4" w:space="0" w:color="auto"/>
              <w:left w:val="nil"/>
              <w:bottom w:val="single" w:sz="4" w:space="0" w:color="auto"/>
              <w:right w:val="single" w:sz="4" w:space="0" w:color="auto"/>
            </w:tcBorders>
            <w:noWrap/>
            <w:vAlign w:val="bottom"/>
            <w:hideMark/>
          </w:tcPr>
          <w:p w:rsidR="00756160" w:rsidRPr="008F486F" w14:paraId="78CAF4AD"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single" w:sz="4" w:space="0" w:color="auto"/>
              <w:left w:val="nil"/>
              <w:bottom w:val="single" w:sz="4" w:space="0" w:color="auto"/>
              <w:right w:val="single" w:sz="4" w:space="0" w:color="auto"/>
            </w:tcBorders>
            <w:vAlign w:val="bottom"/>
            <w:hideMark/>
          </w:tcPr>
          <w:p w:rsidR="00756160" w:rsidRPr="008F486F" w14:paraId="1D1987C3"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single" w:sz="4" w:space="0" w:color="auto"/>
              <w:left w:val="nil"/>
              <w:bottom w:val="single" w:sz="4" w:space="0" w:color="auto"/>
              <w:right w:val="single" w:sz="4" w:space="0" w:color="auto"/>
            </w:tcBorders>
            <w:vAlign w:val="bottom"/>
            <w:hideMark/>
          </w:tcPr>
          <w:p w:rsidR="00756160" w:rsidRPr="008F486F" w14:paraId="777A0181"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6BF64D03"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6005C9C0" w14:textId="77777777">
            <w:pPr>
              <w:autoSpaceDE/>
              <w:autoSpaceDN/>
              <w:jc w:val="center"/>
              <w:rPr>
                <w:rFonts w:eastAsia="Times New Roman"/>
                <w:color w:val="000000"/>
                <w:sz w:val="16"/>
                <w:szCs w:val="16"/>
              </w:rPr>
            </w:pPr>
            <w:r w:rsidRPr="008F486F">
              <w:rPr>
                <w:rFonts w:eastAsia="Times New Roman"/>
                <w:color w:val="000000"/>
                <w:sz w:val="16"/>
                <w:szCs w:val="16"/>
              </w:rPr>
              <w:t>2032</w:t>
            </w:r>
          </w:p>
        </w:tc>
        <w:tc>
          <w:tcPr>
            <w:tcW w:w="1004" w:type="dxa"/>
            <w:tcBorders>
              <w:top w:val="nil"/>
              <w:left w:val="nil"/>
              <w:bottom w:val="single" w:sz="4" w:space="0" w:color="auto"/>
              <w:right w:val="single" w:sz="4" w:space="0" w:color="auto"/>
            </w:tcBorders>
            <w:noWrap/>
            <w:vAlign w:val="bottom"/>
            <w:hideMark/>
          </w:tcPr>
          <w:p w:rsidR="00756160" w:rsidRPr="008F486F" w14:paraId="5919B380"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4A080CC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31DF92AD"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690AC2E6"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5CE3D967"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2C183B2E"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38A329B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6684B27D"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0BC05129"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295DF708"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62F551FE" w14:textId="77777777">
            <w:pPr>
              <w:autoSpaceDE/>
              <w:autoSpaceDN/>
              <w:jc w:val="center"/>
              <w:rPr>
                <w:rFonts w:eastAsia="Times New Roman"/>
                <w:color w:val="000000"/>
                <w:sz w:val="16"/>
                <w:szCs w:val="16"/>
              </w:rPr>
            </w:pPr>
            <w:r w:rsidRPr="008F486F">
              <w:rPr>
                <w:rFonts w:eastAsia="Times New Roman"/>
                <w:color w:val="000000"/>
                <w:sz w:val="16"/>
                <w:szCs w:val="16"/>
              </w:rPr>
              <w:t>2033</w:t>
            </w:r>
          </w:p>
        </w:tc>
        <w:tc>
          <w:tcPr>
            <w:tcW w:w="1004" w:type="dxa"/>
            <w:tcBorders>
              <w:top w:val="nil"/>
              <w:left w:val="nil"/>
              <w:bottom w:val="single" w:sz="4" w:space="0" w:color="auto"/>
              <w:right w:val="single" w:sz="4" w:space="0" w:color="auto"/>
            </w:tcBorders>
            <w:noWrap/>
            <w:vAlign w:val="bottom"/>
            <w:hideMark/>
          </w:tcPr>
          <w:p w:rsidR="00756160" w:rsidRPr="008F486F" w14:paraId="7857584F"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49E3C323"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41C1FA0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49A25A27"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7469620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09E3B5C4"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7FC0CB49"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22439A5F"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1685E2E4"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237DFA3C"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14DABC36" w14:textId="77777777">
            <w:pPr>
              <w:autoSpaceDE/>
              <w:autoSpaceDN/>
              <w:jc w:val="center"/>
              <w:rPr>
                <w:rFonts w:eastAsia="Times New Roman"/>
                <w:color w:val="000000"/>
                <w:sz w:val="16"/>
                <w:szCs w:val="16"/>
              </w:rPr>
            </w:pPr>
            <w:r w:rsidRPr="008F486F">
              <w:rPr>
                <w:rFonts w:eastAsia="Times New Roman"/>
                <w:color w:val="000000"/>
                <w:sz w:val="16"/>
                <w:szCs w:val="16"/>
              </w:rPr>
              <w:t>2034</w:t>
            </w:r>
          </w:p>
        </w:tc>
        <w:tc>
          <w:tcPr>
            <w:tcW w:w="1004" w:type="dxa"/>
            <w:tcBorders>
              <w:top w:val="nil"/>
              <w:left w:val="nil"/>
              <w:bottom w:val="single" w:sz="4" w:space="0" w:color="auto"/>
              <w:right w:val="single" w:sz="4" w:space="0" w:color="auto"/>
            </w:tcBorders>
            <w:noWrap/>
            <w:vAlign w:val="bottom"/>
            <w:hideMark/>
          </w:tcPr>
          <w:p w:rsidR="00756160" w:rsidRPr="008F486F" w14:paraId="26730FFA"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2738B1A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45051B1B"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6FEDABC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0BE4E53E"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673B221C"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62987AEA" w14:textId="77777777">
            <w:pPr>
              <w:autoSpaceDE/>
              <w:autoSpaceDN/>
              <w:jc w:val="right"/>
              <w:rPr>
                <w:rFonts w:eastAsia="Times New Roman"/>
                <w:color w:val="000000"/>
                <w:sz w:val="16"/>
                <w:szCs w:val="16"/>
              </w:rPr>
            </w:pPr>
            <w:r w:rsidRPr="008F486F">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0EB04EAF"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1CC743BA" w14:textId="77777777">
            <w:pPr>
              <w:autoSpaceDE/>
              <w:autoSpaceDN/>
              <w:jc w:val="right"/>
              <w:rPr>
                <w:rFonts w:eastAsia="Times New Roman"/>
                <w:color w:val="000000"/>
                <w:sz w:val="16"/>
                <w:szCs w:val="16"/>
              </w:rPr>
            </w:pPr>
            <w:r w:rsidRPr="008F486F">
              <w:rPr>
                <w:rFonts w:eastAsia="Times New Roman"/>
                <w:color w:val="000000"/>
                <w:sz w:val="16"/>
                <w:szCs w:val="16"/>
              </w:rPr>
              <w:t xml:space="preserve">$0 </w:t>
            </w:r>
          </w:p>
        </w:tc>
      </w:tr>
      <w:tr w14:paraId="79B6679D"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32F58419" w14:textId="77777777">
            <w:pPr>
              <w:autoSpaceDE/>
              <w:autoSpaceDN/>
              <w:jc w:val="center"/>
              <w:rPr>
                <w:rFonts w:eastAsia="Times New Roman"/>
                <w:color w:val="000000"/>
                <w:sz w:val="16"/>
                <w:szCs w:val="16"/>
              </w:rPr>
            </w:pPr>
            <w:r w:rsidRPr="008F486F">
              <w:rPr>
                <w:rFonts w:eastAsia="Times New Roman"/>
                <w:color w:val="000000"/>
                <w:sz w:val="16"/>
                <w:szCs w:val="16"/>
              </w:rPr>
              <w:t>2035</w:t>
            </w:r>
          </w:p>
        </w:tc>
        <w:tc>
          <w:tcPr>
            <w:tcW w:w="1004" w:type="dxa"/>
            <w:tcBorders>
              <w:top w:val="nil"/>
              <w:left w:val="nil"/>
              <w:bottom w:val="single" w:sz="4" w:space="0" w:color="auto"/>
              <w:right w:val="single" w:sz="4" w:space="0" w:color="auto"/>
            </w:tcBorders>
            <w:noWrap/>
            <w:vAlign w:val="bottom"/>
            <w:hideMark/>
          </w:tcPr>
          <w:p w:rsidR="00756160" w:rsidRPr="008F486F" w14:paraId="0FD984AF"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noWrap/>
            <w:vAlign w:val="bottom"/>
            <w:hideMark/>
          </w:tcPr>
          <w:p w:rsidR="00756160" w:rsidRPr="008F486F" w14:paraId="26C3D9A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4280EE3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673EE5E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7306C4C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65B7FBC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5E42FA4D"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vAlign w:val="bottom"/>
            <w:hideMark/>
          </w:tcPr>
          <w:p w:rsidR="00756160" w:rsidRPr="008F486F" w14:paraId="4A894339"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vAlign w:val="bottom"/>
            <w:hideMark/>
          </w:tcPr>
          <w:p w:rsidR="00756160" w:rsidRPr="008F486F" w14:paraId="0EE4C717"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27CBF583"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65B1DCF5" w14:textId="77777777">
            <w:pPr>
              <w:autoSpaceDE/>
              <w:autoSpaceDN/>
              <w:jc w:val="center"/>
              <w:rPr>
                <w:rFonts w:eastAsia="Times New Roman"/>
                <w:color w:val="000000"/>
                <w:sz w:val="16"/>
                <w:szCs w:val="16"/>
              </w:rPr>
            </w:pPr>
            <w:r w:rsidRPr="008F486F">
              <w:rPr>
                <w:rFonts w:eastAsia="Times New Roman"/>
                <w:color w:val="000000"/>
                <w:sz w:val="16"/>
                <w:szCs w:val="16"/>
              </w:rPr>
              <w:t>2036</w:t>
            </w:r>
          </w:p>
        </w:tc>
        <w:tc>
          <w:tcPr>
            <w:tcW w:w="1004" w:type="dxa"/>
            <w:tcBorders>
              <w:top w:val="nil"/>
              <w:left w:val="nil"/>
              <w:bottom w:val="single" w:sz="4" w:space="0" w:color="auto"/>
              <w:right w:val="single" w:sz="4" w:space="0" w:color="auto"/>
            </w:tcBorders>
            <w:noWrap/>
            <w:vAlign w:val="bottom"/>
            <w:hideMark/>
          </w:tcPr>
          <w:p w:rsidR="00756160" w:rsidRPr="008F486F" w14:paraId="737684A2"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24CB2EB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21CB0F4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0614C0A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652F753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68AFF7A6"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41BC7824"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7659D8F0"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6FE4638C"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r>
      <w:tr w14:paraId="29EE7544"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56965B9C" w14:textId="77777777">
            <w:pPr>
              <w:autoSpaceDE/>
              <w:autoSpaceDN/>
              <w:jc w:val="center"/>
              <w:rPr>
                <w:rFonts w:eastAsia="Times New Roman"/>
                <w:color w:val="000000"/>
                <w:sz w:val="16"/>
                <w:szCs w:val="16"/>
              </w:rPr>
            </w:pPr>
            <w:r w:rsidRPr="008F486F">
              <w:rPr>
                <w:rFonts w:eastAsia="Times New Roman"/>
                <w:color w:val="000000"/>
                <w:sz w:val="16"/>
                <w:szCs w:val="16"/>
              </w:rPr>
              <w:t>2037</w:t>
            </w:r>
          </w:p>
        </w:tc>
        <w:tc>
          <w:tcPr>
            <w:tcW w:w="1004" w:type="dxa"/>
            <w:tcBorders>
              <w:top w:val="nil"/>
              <w:left w:val="nil"/>
              <w:bottom w:val="single" w:sz="4" w:space="0" w:color="auto"/>
              <w:right w:val="single" w:sz="4" w:space="0" w:color="auto"/>
            </w:tcBorders>
            <w:noWrap/>
            <w:vAlign w:val="bottom"/>
            <w:hideMark/>
          </w:tcPr>
          <w:p w:rsidR="00756160" w:rsidRPr="008F486F" w14:paraId="61455247"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3B72492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2A6C60F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1ACFAAE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2BDB75D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1D43CB5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4CDC781C"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40F8AA28"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1EA48E29"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r>
      <w:tr w14:paraId="588AF4A3"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3C157849" w14:textId="77777777">
            <w:pPr>
              <w:autoSpaceDE/>
              <w:autoSpaceDN/>
              <w:jc w:val="center"/>
              <w:rPr>
                <w:rFonts w:eastAsia="Times New Roman"/>
                <w:color w:val="000000"/>
                <w:sz w:val="16"/>
                <w:szCs w:val="16"/>
              </w:rPr>
            </w:pPr>
            <w:r w:rsidRPr="008F486F">
              <w:rPr>
                <w:rFonts w:eastAsia="Times New Roman"/>
                <w:color w:val="000000"/>
                <w:sz w:val="16"/>
                <w:szCs w:val="16"/>
              </w:rPr>
              <w:t>2038</w:t>
            </w:r>
          </w:p>
        </w:tc>
        <w:tc>
          <w:tcPr>
            <w:tcW w:w="1004" w:type="dxa"/>
            <w:tcBorders>
              <w:top w:val="nil"/>
              <w:left w:val="nil"/>
              <w:bottom w:val="single" w:sz="4" w:space="0" w:color="auto"/>
              <w:right w:val="single" w:sz="4" w:space="0" w:color="auto"/>
            </w:tcBorders>
            <w:noWrap/>
            <w:vAlign w:val="bottom"/>
            <w:hideMark/>
          </w:tcPr>
          <w:p w:rsidR="00756160" w:rsidRPr="008F486F" w14:paraId="1EB46668"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noWrap/>
            <w:vAlign w:val="bottom"/>
            <w:hideMark/>
          </w:tcPr>
          <w:p w:rsidR="00756160" w:rsidRPr="008F486F" w14:paraId="09C96E1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0F92093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7077F25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44990DB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3EB0B133"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1B8ACB72"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vAlign w:val="bottom"/>
            <w:hideMark/>
          </w:tcPr>
          <w:p w:rsidR="00756160" w:rsidRPr="008F486F" w14:paraId="36AB86B1"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vAlign w:val="bottom"/>
            <w:hideMark/>
          </w:tcPr>
          <w:p w:rsidR="00756160" w:rsidRPr="008F486F" w14:paraId="6D5B0991"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71105215"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65D7FFE2" w14:textId="77777777">
            <w:pPr>
              <w:autoSpaceDE/>
              <w:autoSpaceDN/>
              <w:jc w:val="center"/>
              <w:rPr>
                <w:rFonts w:eastAsia="Times New Roman"/>
                <w:color w:val="000000"/>
                <w:sz w:val="16"/>
                <w:szCs w:val="16"/>
              </w:rPr>
            </w:pPr>
            <w:r w:rsidRPr="008F486F">
              <w:rPr>
                <w:rFonts w:eastAsia="Times New Roman"/>
                <w:color w:val="000000"/>
                <w:sz w:val="16"/>
                <w:szCs w:val="16"/>
              </w:rPr>
              <w:t>2039</w:t>
            </w:r>
          </w:p>
        </w:tc>
        <w:tc>
          <w:tcPr>
            <w:tcW w:w="1004" w:type="dxa"/>
            <w:tcBorders>
              <w:top w:val="nil"/>
              <w:left w:val="nil"/>
              <w:bottom w:val="single" w:sz="4" w:space="0" w:color="auto"/>
              <w:right w:val="single" w:sz="4" w:space="0" w:color="auto"/>
            </w:tcBorders>
            <w:noWrap/>
            <w:vAlign w:val="bottom"/>
            <w:hideMark/>
          </w:tcPr>
          <w:p w:rsidR="00756160" w:rsidRPr="008F486F" w14:paraId="2A8065CF"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noWrap/>
            <w:vAlign w:val="bottom"/>
            <w:hideMark/>
          </w:tcPr>
          <w:p w:rsidR="00756160" w:rsidRPr="008F486F" w14:paraId="1ACE6E7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7C70DB3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1097B7B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276F810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7BB5E76B"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0C7BFA12"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vAlign w:val="bottom"/>
            <w:hideMark/>
          </w:tcPr>
          <w:p w:rsidR="00756160" w:rsidRPr="008F486F" w14:paraId="0B35444E"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vAlign w:val="bottom"/>
            <w:hideMark/>
          </w:tcPr>
          <w:p w:rsidR="00756160" w:rsidRPr="008F486F" w14:paraId="158A2DEB"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20E12E92"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1A29D4EF" w14:textId="77777777">
            <w:pPr>
              <w:autoSpaceDE/>
              <w:autoSpaceDN/>
              <w:jc w:val="center"/>
              <w:rPr>
                <w:rFonts w:eastAsia="Times New Roman"/>
                <w:color w:val="000000"/>
                <w:sz w:val="16"/>
                <w:szCs w:val="16"/>
              </w:rPr>
            </w:pPr>
            <w:r w:rsidRPr="008F486F">
              <w:rPr>
                <w:rFonts w:eastAsia="Times New Roman"/>
                <w:color w:val="000000"/>
                <w:sz w:val="16"/>
                <w:szCs w:val="16"/>
              </w:rPr>
              <w:t>2040</w:t>
            </w:r>
          </w:p>
        </w:tc>
        <w:tc>
          <w:tcPr>
            <w:tcW w:w="1004" w:type="dxa"/>
            <w:tcBorders>
              <w:top w:val="nil"/>
              <w:left w:val="nil"/>
              <w:bottom w:val="single" w:sz="4" w:space="0" w:color="auto"/>
              <w:right w:val="single" w:sz="4" w:space="0" w:color="auto"/>
            </w:tcBorders>
            <w:noWrap/>
            <w:vAlign w:val="bottom"/>
            <w:hideMark/>
          </w:tcPr>
          <w:p w:rsidR="00756160" w:rsidRPr="008F486F" w14:paraId="51DA9E7A"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4AFE9D5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24E7D9F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6DA1C91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72AD95C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08580CA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34EAF56E" w14:textId="77777777">
            <w:pPr>
              <w:autoSpaceDE/>
              <w:autoSpaceDN/>
              <w:jc w:val="right"/>
              <w:rPr>
                <w:rFonts w:eastAsia="Times New Roman"/>
                <w:color w:val="000000"/>
                <w:sz w:val="16"/>
                <w:szCs w:val="16"/>
              </w:rPr>
            </w:pPr>
            <w:r w:rsidRPr="00B80245">
              <w:rPr>
                <w:rFonts w:eastAsia="Times New Roman"/>
                <w:color w:val="000000"/>
                <w:sz w:val="16"/>
                <w:szCs w:val="16"/>
              </w:rPr>
              <w:t>0</w:t>
            </w:r>
          </w:p>
        </w:tc>
        <w:tc>
          <w:tcPr>
            <w:tcW w:w="784" w:type="dxa"/>
            <w:tcBorders>
              <w:top w:val="nil"/>
              <w:left w:val="nil"/>
              <w:bottom w:val="single" w:sz="4" w:space="0" w:color="auto"/>
              <w:right w:val="single" w:sz="4" w:space="0" w:color="auto"/>
            </w:tcBorders>
            <w:vAlign w:val="bottom"/>
            <w:hideMark/>
          </w:tcPr>
          <w:p w:rsidR="00756160" w:rsidRPr="008F486F" w14:paraId="34D659B9"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c>
          <w:tcPr>
            <w:tcW w:w="1607" w:type="dxa"/>
            <w:tcBorders>
              <w:top w:val="nil"/>
              <w:left w:val="nil"/>
              <w:bottom w:val="single" w:sz="4" w:space="0" w:color="auto"/>
              <w:right w:val="single" w:sz="4" w:space="0" w:color="auto"/>
            </w:tcBorders>
            <w:vAlign w:val="bottom"/>
            <w:hideMark/>
          </w:tcPr>
          <w:p w:rsidR="00756160" w:rsidRPr="008F486F" w14:paraId="1E3CE31A" w14:textId="77777777">
            <w:pPr>
              <w:autoSpaceDE/>
              <w:autoSpaceDN/>
              <w:jc w:val="right"/>
              <w:rPr>
                <w:rFonts w:eastAsia="Times New Roman"/>
                <w:color w:val="000000"/>
                <w:sz w:val="16"/>
                <w:szCs w:val="16"/>
              </w:rPr>
            </w:pPr>
            <w:r w:rsidRPr="00B80245">
              <w:rPr>
                <w:rFonts w:eastAsia="Times New Roman"/>
                <w:color w:val="000000"/>
                <w:sz w:val="16"/>
                <w:szCs w:val="16"/>
              </w:rPr>
              <w:t xml:space="preserve">$0 </w:t>
            </w:r>
          </w:p>
        </w:tc>
      </w:tr>
      <w:tr w14:paraId="571087BE"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79C44D82" w14:textId="77777777">
            <w:pPr>
              <w:autoSpaceDE/>
              <w:autoSpaceDN/>
              <w:jc w:val="center"/>
              <w:rPr>
                <w:rFonts w:eastAsia="Times New Roman"/>
                <w:color w:val="000000"/>
                <w:sz w:val="16"/>
                <w:szCs w:val="16"/>
              </w:rPr>
            </w:pPr>
            <w:r w:rsidRPr="008F486F">
              <w:rPr>
                <w:rFonts w:eastAsia="Times New Roman"/>
                <w:color w:val="000000"/>
                <w:sz w:val="16"/>
                <w:szCs w:val="16"/>
              </w:rPr>
              <w:t>2041</w:t>
            </w:r>
          </w:p>
        </w:tc>
        <w:tc>
          <w:tcPr>
            <w:tcW w:w="1004" w:type="dxa"/>
            <w:tcBorders>
              <w:top w:val="nil"/>
              <w:left w:val="nil"/>
              <w:bottom w:val="single" w:sz="4" w:space="0" w:color="auto"/>
              <w:right w:val="single" w:sz="4" w:space="0" w:color="auto"/>
            </w:tcBorders>
            <w:noWrap/>
            <w:vAlign w:val="bottom"/>
            <w:hideMark/>
          </w:tcPr>
          <w:p w:rsidR="00756160" w:rsidRPr="008F486F" w14:paraId="7ADE7673"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noWrap/>
            <w:vAlign w:val="bottom"/>
            <w:hideMark/>
          </w:tcPr>
          <w:p w:rsidR="00756160" w:rsidRPr="008F486F" w14:paraId="43730E4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2FF8181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5BC19AE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2D5F5FC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3EE99441"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21E96858"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vAlign w:val="bottom"/>
            <w:hideMark/>
          </w:tcPr>
          <w:p w:rsidR="00756160" w:rsidRPr="008F486F" w14:paraId="1254AC92"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vAlign w:val="bottom"/>
            <w:hideMark/>
          </w:tcPr>
          <w:p w:rsidR="00756160" w:rsidRPr="008F486F" w14:paraId="556D2425"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4D62C0FD"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303457DF" w14:textId="77777777">
            <w:pPr>
              <w:autoSpaceDE/>
              <w:autoSpaceDN/>
              <w:jc w:val="center"/>
              <w:rPr>
                <w:rFonts w:eastAsia="Times New Roman"/>
                <w:color w:val="000000"/>
                <w:sz w:val="16"/>
                <w:szCs w:val="16"/>
              </w:rPr>
            </w:pPr>
            <w:r w:rsidRPr="008F486F">
              <w:rPr>
                <w:rFonts w:eastAsia="Times New Roman"/>
                <w:color w:val="000000"/>
                <w:sz w:val="16"/>
                <w:szCs w:val="16"/>
              </w:rPr>
              <w:t>2042</w:t>
            </w:r>
          </w:p>
        </w:tc>
        <w:tc>
          <w:tcPr>
            <w:tcW w:w="1004" w:type="dxa"/>
            <w:tcBorders>
              <w:top w:val="nil"/>
              <w:left w:val="nil"/>
              <w:bottom w:val="single" w:sz="4" w:space="0" w:color="auto"/>
              <w:right w:val="single" w:sz="4" w:space="0" w:color="auto"/>
            </w:tcBorders>
            <w:noWrap/>
            <w:vAlign w:val="bottom"/>
            <w:hideMark/>
          </w:tcPr>
          <w:p w:rsidR="00756160" w:rsidRPr="008F486F" w14:paraId="631BC34D" w14:textId="77777777">
            <w:pPr>
              <w:autoSpaceDE/>
              <w:autoSpaceDN/>
              <w:jc w:val="right"/>
              <w:rPr>
                <w:rFonts w:eastAsia="Times New Roman"/>
                <w:color w:val="000000"/>
                <w:sz w:val="16"/>
                <w:szCs w:val="16"/>
              </w:rPr>
            </w:pPr>
            <w:r w:rsidRPr="00B80245">
              <w:rPr>
                <w:rFonts w:eastAsia="Times New Roman"/>
                <w:color w:val="000000"/>
                <w:sz w:val="16"/>
                <w:szCs w:val="16"/>
              </w:rPr>
              <w:t>2</w:t>
            </w:r>
          </w:p>
        </w:tc>
        <w:tc>
          <w:tcPr>
            <w:tcW w:w="688" w:type="dxa"/>
            <w:tcBorders>
              <w:top w:val="nil"/>
              <w:left w:val="nil"/>
              <w:bottom w:val="single" w:sz="4" w:space="0" w:color="auto"/>
              <w:right w:val="single" w:sz="4" w:space="0" w:color="auto"/>
            </w:tcBorders>
            <w:noWrap/>
            <w:vAlign w:val="bottom"/>
            <w:hideMark/>
          </w:tcPr>
          <w:p w:rsidR="00756160" w:rsidRPr="008F486F" w14:paraId="3B20512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61D5A8B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5CB58D9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3C063E1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5688B678"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55CD09AF" w14:textId="77777777">
            <w:pPr>
              <w:autoSpaceDE/>
              <w:autoSpaceDN/>
              <w:jc w:val="right"/>
              <w:rPr>
                <w:rFonts w:eastAsia="Times New Roman"/>
                <w:color w:val="000000"/>
                <w:sz w:val="16"/>
                <w:szCs w:val="16"/>
              </w:rPr>
            </w:pPr>
            <w:r w:rsidRPr="00B80245">
              <w:rPr>
                <w:rFonts w:eastAsia="Times New Roman"/>
                <w:color w:val="000000"/>
                <w:sz w:val="16"/>
                <w:szCs w:val="16"/>
              </w:rPr>
              <w:t>161</w:t>
            </w:r>
          </w:p>
        </w:tc>
        <w:tc>
          <w:tcPr>
            <w:tcW w:w="784" w:type="dxa"/>
            <w:tcBorders>
              <w:top w:val="nil"/>
              <w:left w:val="nil"/>
              <w:bottom w:val="single" w:sz="4" w:space="0" w:color="auto"/>
              <w:right w:val="single" w:sz="4" w:space="0" w:color="auto"/>
            </w:tcBorders>
            <w:vAlign w:val="bottom"/>
            <w:hideMark/>
          </w:tcPr>
          <w:p w:rsidR="00756160" w:rsidRPr="008F486F" w14:paraId="35F97496"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c>
          <w:tcPr>
            <w:tcW w:w="1607" w:type="dxa"/>
            <w:tcBorders>
              <w:top w:val="nil"/>
              <w:left w:val="nil"/>
              <w:bottom w:val="single" w:sz="4" w:space="0" w:color="auto"/>
              <w:right w:val="single" w:sz="4" w:space="0" w:color="auto"/>
            </w:tcBorders>
            <w:vAlign w:val="bottom"/>
            <w:hideMark/>
          </w:tcPr>
          <w:p w:rsidR="00756160" w:rsidRPr="008F486F" w14:paraId="3DFA7B8E"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r>
      <w:tr w14:paraId="7B190E7B"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609291E9" w14:textId="77777777">
            <w:pPr>
              <w:autoSpaceDE/>
              <w:autoSpaceDN/>
              <w:jc w:val="center"/>
              <w:rPr>
                <w:rFonts w:eastAsia="Times New Roman"/>
                <w:color w:val="000000"/>
                <w:sz w:val="16"/>
                <w:szCs w:val="16"/>
              </w:rPr>
            </w:pPr>
            <w:r w:rsidRPr="008F486F">
              <w:rPr>
                <w:rFonts w:eastAsia="Times New Roman"/>
                <w:color w:val="000000"/>
                <w:sz w:val="16"/>
                <w:szCs w:val="16"/>
              </w:rPr>
              <w:t>2043</w:t>
            </w:r>
          </w:p>
        </w:tc>
        <w:tc>
          <w:tcPr>
            <w:tcW w:w="1004" w:type="dxa"/>
            <w:tcBorders>
              <w:top w:val="nil"/>
              <w:left w:val="nil"/>
              <w:bottom w:val="single" w:sz="4" w:space="0" w:color="auto"/>
              <w:right w:val="single" w:sz="4" w:space="0" w:color="auto"/>
            </w:tcBorders>
            <w:noWrap/>
            <w:vAlign w:val="bottom"/>
            <w:hideMark/>
          </w:tcPr>
          <w:p w:rsidR="00756160" w:rsidRPr="008F486F" w14:paraId="71F475FA"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noWrap/>
            <w:vAlign w:val="bottom"/>
            <w:hideMark/>
          </w:tcPr>
          <w:p w:rsidR="00756160" w:rsidRPr="008F486F" w14:paraId="4A5EEBF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368F04D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27B8DEE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7A4D26D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7CD8639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1471955D"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vAlign w:val="bottom"/>
            <w:hideMark/>
          </w:tcPr>
          <w:p w:rsidR="00756160" w:rsidRPr="008F486F" w14:paraId="647BCDDA"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vAlign w:val="bottom"/>
            <w:hideMark/>
          </w:tcPr>
          <w:p w:rsidR="00756160" w:rsidRPr="008F486F" w14:paraId="7C94FF74"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5745714C"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0B4D82F1" w14:textId="77777777">
            <w:pPr>
              <w:autoSpaceDE/>
              <w:autoSpaceDN/>
              <w:jc w:val="center"/>
              <w:rPr>
                <w:rFonts w:eastAsia="Times New Roman"/>
                <w:color w:val="000000"/>
                <w:sz w:val="16"/>
                <w:szCs w:val="16"/>
              </w:rPr>
            </w:pPr>
            <w:r w:rsidRPr="008F486F">
              <w:rPr>
                <w:rFonts w:eastAsia="Times New Roman"/>
                <w:color w:val="000000"/>
                <w:sz w:val="16"/>
                <w:szCs w:val="16"/>
              </w:rPr>
              <w:t>2044</w:t>
            </w:r>
          </w:p>
        </w:tc>
        <w:tc>
          <w:tcPr>
            <w:tcW w:w="1004" w:type="dxa"/>
            <w:tcBorders>
              <w:top w:val="nil"/>
              <w:left w:val="nil"/>
              <w:bottom w:val="single" w:sz="4" w:space="0" w:color="auto"/>
              <w:right w:val="single" w:sz="4" w:space="0" w:color="auto"/>
            </w:tcBorders>
            <w:noWrap/>
            <w:vAlign w:val="bottom"/>
            <w:hideMark/>
          </w:tcPr>
          <w:p w:rsidR="00756160" w:rsidRPr="008F486F" w14:paraId="37A50D93" w14:textId="77777777">
            <w:pPr>
              <w:autoSpaceDE/>
              <w:autoSpaceDN/>
              <w:jc w:val="right"/>
              <w:rPr>
                <w:rFonts w:eastAsia="Times New Roman"/>
                <w:color w:val="000000"/>
                <w:sz w:val="16"/>
                <w:szCs w:val="16"/>
              </w:rPr>
            </w:pPr>
            <w:r w:rsidRPr="00B80245">
              <w:rPr>
                <w:rFonts w:eastAsia="Times New Roman"/>
                <w:color w:val="000000"/>
                <w:sz w:val="16"/>
                <w:szCs w:val="16"/>
              </w:rPr>
              <w:t>2</w:t>
            </w:r>
          </w:p>
        </w:tc>
        <w:tc>
          <w:tcPr>
            <w:tcW w:w="688" w:type="dxa"/>
            <w:tcBorders>
              <w:top w:val="nil"/>
              <w:left w:val="nil"/>
              <w:bottom w:val="single" w:sz="4" w:space="0" w:color="auto"/>
              <w:right w:val="single" w:sz="4" w:space="0" w:color="auto"/>
            </w:tcBorders>
            <w:noWrap/>
            <w:vAlign w:val="bottom"/>
            <w:hideMark/>
          </w:tcPr>
          <w:p w:rsidR="00756160" w:rsidRPr="008F486F" w14:paraId="520698D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622170A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37EB91A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633EBAF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7897314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5B4B512E" w14:textId="77777777">
            <w:pPr>
              <w:autoSpaceDE/>
              <w:autoSpaceDN/>
              <w:jc w:val="right"/>
              <w:rPr>
                <w:rFonts w:eastAsia="Times New Roman"/>
                <w:color w:val="000000"/>
                <w:sz w:val="16"/>
                <w:szCs w:val="16"/>
              </w:rPr>
            </w:pPr>
            <w:r w:rsidRPr="00B80245">
              <w:rPr>
                <w:rFonts w:eastAsia="Times New Roman"/>
                <w:color w:val="000000"/>
                <w:sz w:val="16"/>
                <w:szCs w:val="16"/>
              </w:rPr>
              <w:t>161</w:t>
            </w:r>
          </w:p>
        </w:tc>
        <w:tc>
          <w:tcPr>
            <w:tcW w:w="784" w:type="dxa"/>
            <w:tcBorders>
              <w:top w:val="nil"/>
              <w:left w:val="nil"/>
              <w:bottom w:val="single" w:sz="4" w:space="0" w:color="auto"/>
              <w:right w:val="single" w:sz="4" w:space="0" w:color="auto"/>
            </w:tcBorders>
            <w:vAlign w:val="bottom"/>
            <w:hideMark/>
          </w:tcPr>
          <w:p w:rsidR="00756160" w:rsidRPr="008F486F" w14:paraId="73763570"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c>
          <w:tcPr>
            <w:tcW w:w="1607" w:type="dxa"/>
            <w:tcBorders>
              <w:top w:val="nil"/>
              <w:left w:val="nil"/>
              <w:bottom w:val="single" w:sz="4" w:space="0" w:color="auto"/>
              <w:right w:val="single" w:sz="4" w:space="0" w:color="auto"/>
            </w:tcBorders>
            <w:vAlign w:val="bottom"/>
            <w:hideMark/>
          </w:tcPr>
          <w:p w:rsidR="00756160" w:rsidRPr="008F486F" w14:paraId="18ED00D4" w14:textId="77777777">
            <w:pPr>
              <w:autoSpaceDE/>
              <w:autoSpaceDN/>
              <w:jc w:val="right"/>
              <w:rPr>
                <w:rFonts w:eastAsia="Times New Roman"/>
                <w:color w:val="000000"/>
                <w:sz w:val="16"/>
                <w:szCs w:val="16"/>
              </w:rPr>
            </w:pPr>
            <w:r w:rsidRPr="00B80245">
              <w:rPr>
                <w:rFonts w:eastAsia="Times New Roman"/>
                <w:color w:val="000000"/>
                <w:sz w:val="16"/>
                <w:szCs w:val="16"/>
              </w:rPr>
              <w:t xml:space="preserve">$24,523 </w:t>
            </w:r>
          </w:p>
        </w:tc>
      </w:tr>
      <w:tr w14:paraId="2CD95F53"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1E1857DD" w14:textId="77777777">
            <w:pPr>
              <w:autoSpaceDE/>
              <w:autoSpaceDN/>
              <w:jc w:val="center"/>
              <w:rPr>
                <w:rFonts w:eastAsia="Times New Roman"/>
                <w:color w:val="000000"/>
                <w:sz w:val="16"/>
                <w:szCs w:val="16"/>
              </w:rPr>
            </w:pPr>
            <w:r w:rsidRPr="008F486F">
              <w:rPr>
                <w:rFonts w:eastAsia="Times New Roman"/>
                <w:color w:val="000000"/>
                <w:sz w:val="16"/>
                <w:szCs w:val="16"/>
              </w:rPr>
              <w:t>2045</w:t>
            </w:r>
          </w:p>
        </w:tc>
        <w:tc>
          <w:tcPr>
            <w:tcW w:w="1004" w:type="dxa"/>
            <w:tcBorders>
              <w:top w:val="nil"/>
              <w:left w:val="nil"/>
              <w:bottom w:val="single" w:sz="4" w:space="0" w:color="auto"/>
              <w:right w:val="single" w:sz="4" w:space="0" w:color="auto"/>
            </w:tcBorders>
            <w:noWrap/>
            <w:vAlign w:val="bottom"/>
            <w:hideMark/>
          </w:tcPr>
          <w:p w:rsidR="00756160" w:rsidRPr="008F486F" w14:paraId="26EF784D" w14:textId="77777777">
            <w:pPr>
              <w:autoSpaceDE/>
              <w:autoSpaceDN/>
              <w:jc w:val="right"/>
              <w:rPr>
                <w:rFonts w:eastAsia="Times New Roman"/>
                <w:color w:val="000000"/>
                <w:sz w:val="16"/>
                <w:szCs w:val="16"/>
              </w:rPr>
            </w:pPr>
            <w:r w:rsidRPr="00B80245">
              <w:rPr>
                <w:rFonts w:eastAsia="Times New Roman"/>
                <w:color w:val="000000"/>
                <w:sz w:val="16"/>
                <w:szCs w:val="16"/>
              </w:rPr>
              <w:t>1</w:t>
            </w:r>
          </w:p>
        </w:tc>
        <w:tc>
          <w:tcPr>
            <w:tcW w:w="688" w:type="dxa"/>
            <w:tcBorders>
              <w:top w:val="nil"/>
              <w:left w:val="nil"/>
              <w:bottom w:val="single" w:sz="4" w:space="0" w:color="auto"/>
              <w:right w:val="single" w:sz="4" w:space="0" w:color="auto"/>
            </w:tcBorders>
            <w:noWrap/>
            <w:vAlign w:val="bottom"/>
            <w:hideMark/>
          </w:tcPr>
          <w:p w:rsidR="00756160" w:rsidRPr="008F486F" w14:paraId="4BE6F29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57" w:type="dxa"/>
            <w:tcBorders>
              <w:top w:val="nil"/>
              <w:left w:val="nil"/>
              <w:bottom w:val="single" w:sz="4" w:space="0" w:color="auto"/>
              <w:right w:val="single" w:sz="4" w:space="0" w:color="auto"/>
            </w:tcBorders>
            <w:noWrap/>
            <w:vAlign w:val="bottom"/>
            <w:hideMark/>
          </w:tcPr>
          <w:p w:rsidR="00756160" w:rsidRPr="008F486F" w14:paraId="75F59C2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688" w:type="dxa"/>
            <w:tcBorders>
              <w:top w:val="nil"/>
              <w:left w:val="nil"/>
              <w:bottom w:val="single" w:sz="4" w:space="0" w:color="auto"/>
              <w:right w:val="single" w:sz="4" w:space="0" w:color="auto"/>
            </w:tcBorders>
            <w:noWrap/>
            <w:vAlign w:val="bottom"/>
            <w:hideMark/>
          </w:tcPr>
          <w:p w:rsidR="00756160" w:rsidRPr="008F486F" w14:paraId="6A73F2A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32" w:type="dxa"/>
            <w:tcBorders>
              <w:top w:val="nil"/>
              <w:left w:val="nil"/>
              <w:bottom w:val="single" w:sz="4" w:space="0" w:color="auto"/>
              <w:right w:val="single" w:sz="4" w:space="0" w:color="auto"/>
            </w:tcBorders>
            <w:noWrap/>
            <w:vAlign w:val="bottom"/>
            <w:hideMark/>
          </w:tcPr>
          <w:p w:rsidR="00756160" w:rsidRPr="008F486F" w14:paraId="7D301DD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279" w:type="dxa"/>
            <w:tcBorders>
              <w:top w:val="nil"/>
              <w:left w:val="nil"/>
              <w:bottom w:val="single" w:sz="4" w:space="0" w:color="auto"/>
              <w:right w:val="single" w:sz="4" w:space="0" w:color="auto"/>
            </w:tcBorders>
            <w:vAlign w:val="bottom"/>
            <w:hideMark/>
          </w:tcPr>
          <w:p w:rsidR="00756160" w:rsidRPr="008F486F" w14:paraId="39F6D8DE"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696" w:type="dxa"/>
            <w:tcBorders>
              <w:top w:val="nil"/>
              <w:left w:val="nil"/>
              <w:bottom w:val="single" w:sz="4" w:space="0" w:color="auto"/>
              <w:right w:val="single" w:sz="4" w:space="0" w:color="auto"/>
            </w:tcBorders>
            <w:noWrap/>
            <w:vAlign w:val="bottom"/>
            <w:hideMark/>
          </w:tcPr>
          <w:p w:rsidR="00756160" w:rsidRPr="008F486F" w14:paraId="4DEA8301" w14:textId="77777777">
            <w:pPr>
              <w:autoSpaceDE/>
              <w:autoSpaceDN/>
              <w:jc w:val="right"/>
              <w:rPr>
                <w:rFonts w:eastAsia="Times New Roman"/>
                <w:color w:val="000000"/>
                <w:sz w:val="16"/>
                <w:szCs w:val="16"/>
              </w:rPr>
            </w:pPr>
            <w:r w:rsidRPr="00B80245">
              <w:rPr>
                <w:rFonts w:eastAsia="Times New Roman"/>
                <w:color w:val="000000"/>
                <w:sz w:val="16"/>
                <w:szCs w:val="16"/>
              </w:rPr>
              <w:t>81</w:t>
            </w:r>
          </w:p>
        </w:tc>
        <w:tc>
          <w:tcPr>
            <w:tcW w:w="784" w:type="dxa"/>
            <w:tcBorders>
              <w:top w:val="nil"/>
              <w:left w:val="nil"/>
              <w:bottom w:val="single" w:sz="4" w:space="0" w:color="auto"/>
              <w:right w:val="single" w:sz="4" w:space="0" w:color="auto"/>
            </w:tcBorders>
            <w:vAlign w:val="bottom"/>
            <w:hideMark/>
          </w:tcPr>
          <w:p w:rsidR="00756160" w:rsidRPr="008F486F" w14:paraId="38B0ACB5"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c>
          <w:tcPr>
            <w:tcW w:w="1607" w:type="dxa"/>
            <w:tcBorders>
              <w:top w:val="nil"/>
              <w:left w:val="nil"/>
              <w:bottom w:val="single" w:sz="4" w:space="0" w:color="auto"/>
              <w:right w:val="single" w:sz="4" w:space="0" w:color="auto"/>
            </w:tcBorders>
            <w:vAlign w:val="bottom"/>
            <w:hideMark/>
          </w:tcPr>
          <w:p w:rsidR="00756160" w:rsidRPr="008F486F" w14:paraId="6CDE7272" w14:textId="77777777">
            <w:pPr>
              <w:autoSpaceDE/>
              <w:autoSpaceDN/>
              <w:jc w:val="right"/>
              <w:rPr>
                <w:rFonts w:eastAsia="Times New Roman"/>
                <w:color w:val="000000"/>
                <w:sz w:val="16"/>
                <w:szCs w:val="16"/>
              </w:rPr>
            </w:pPr>
            <w:r w:rsidRPr="00B80245">
              <w:rPr>
                <w:rFonts w:eastAsia="Times New Roman"/>
                <w:color w:val="000000"/>
                <w:sz w:val="16"/>
                <w:szCs w:val="16"/>
              </w:rPr>
              <w:t xml:space="preserve">$12,261 </w:t>
            </w:r>
          </w:p>
        </w:tc>
      </w:tr>
      <w:tr w14:paraId="5E3D7771"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2A2AB9D0" w14:textId="77777777">
            <w:pPr>
              <w:autoSpaceDE/>
              <w:autoSpaceDN/>
              <w:jc w:val="center"/>
              <w:rPr>
                <w:rFonts w:eastAsia="Times New Roman"/>
                <w:b/>
                <w:bCs/>
                <w:color w:val="000000"/>
                <w:sz w:val="16"/>
                <w:szCs w:val="16"/>
              </w:rPr>
            </w:pPr>
            <w:r w:rsidRPr="008F486F">
              <w:rPr>
                <w:rFonts w:eastAsia="Times New Roman"/>
                <w:b/>
                <w:bCs/>
                <w:color w:val="000000"/>
                <w:sz w:val="16"/>
                <w:szCs w:val="16"/>
              </w:rPr>
              <w:t>Totals</w:t>
            </w:r>
          </w:p>
        </w:tc>
        <w:tc>
          <w:tcPr>
            <w:tcW w:w="1004" w:type="dxa"/>
            <w:tcBorders>
              <w:top w:val="nil"/>
              <w:left w:val="nil"/>
              <w:bottom w:val="single" w:sz="4" w:space="0" w:color="auto"/>
              <w:right w:val="single" w:sz="4" w:space="0" w:color="auto"/>
            </w:tcBorders>
            <w:noWrap/>
            <w:vAlign w:val="bottom"/>
            <w:hideMark/>
          </w:tcPr>
          <w:p w:rsidR="00756160" w:rsidRPr="007E5E6A" w14:paraId="44271F0E" w14:textId="77777777">
            <w:pPr>
              <w:autoSpaceDE/>
              <w:autoSpaceDN/>
              <w:jc w:val="right"/>
              <w:rPr>
                <w:rFonts w:eastAsia="Times New Roman"/>
                <w:b/>
                <w:bCs/>
                <w:color w:val="000000"/>
                <w:sz w:val="16"/>
                <w:szCs w:val="16"/>
              </w:rPr>
            </w:pPr>
            <w:r w:rsidRPr="007E5E6A">
              <w:rPr>
                <w:rFonts w:eastAsia="Times New Roman"/>
                <w:b/>
                <w:bCs/>
                <w:color w:val="000000"/>
                <w:sz w:val="16"/>
                <w:szCs w:val="16"/>
              </w:rPr>
              <w:t>10</w:t>
            </w:r>
          </w:p>
        </w:tc>
        <w:tc>
          <w:tcPr>
            <w:tcW w:w="688" w:type="dxa"/>
            <w:tcBorders>
              <w:top w:val="nil"/>
              <w:left w:val="nil"/>
              <w:bottom w:val="single" w:sz="4" w:space="0" w:color="auto"/>
              <w:right w:val="single" w:sz="4" w:space="0" w:color="auto"/>
            </w:tcBorders>
            <w:noWrap/>
            <w:vAlign w:val="bottom"/>
            <w:hideMark/>
          </w:tcPr>
          <w:p w:rsidR="00756160" w:rsidRPr="008F486F" w14:paraId="2BDF224C"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     1,979</w:t>
            </w:r>
          </w:p>
        </w:tc>
        <w:tc>
          <w:tcPr>
            <w:tcW w:w="1057" w:type="dxa"/>
            <w:tcBorders>
              <w:top w:val="nil"/>
              <w:left w:val="nil"/>
              <w:bottom w:val="single" w:sz="4" w:space="0" w:color="auto"/>
              <w:right w:val="single" w:sz="4" w:space="0" w:color="auto"/>
            </w:tcBorders>
            <w:vAlign w:val="bottom"/>
            <w:hideMark/>
          </w:tcPr>
          <w:p w:rsidR="00756160" w:rsidRPr="008F486F" w14:paraId="2A3378A8"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688" w:type="dxa"/>
            <w:tcBorders>
              <w:top w:val="nil"/>
              <w:left w:val="nil"/>
              <w:bottom w:val="single" w:sz="4" w:space="0" w:color="auto"/>
              <w:right w:val="single" w:sz="4" w:space="0" w:color="auto"/>
            </w:tcBorders>
            <w:noWrap/>
            <w:vAlign w:val="bottom"/>
            <w:hideMark/>
          </w:tcPr>
          <w:p w:rsidR="00756160" w:rsidRPr="008F486F" w14:paraId="13A87D9B"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        383</w:t>
            </w:r>
          </w:p>
        </w:tc>
        <w:tc>
          <w:tcPr>
            <w:tcW w:w="832" w:type="dxa"/>
            <w:tcBorders>
              <w:top w:val="nil"/>
              <w:left w:val="nil"/>
              <w:bottom w:val="single" w:sz="4" w:space="0" w:color="auto"/>
              <w:right w:val="single" w:sz="4" w:space="0" w:color="auto"/>
            </w:tcBorders>
            <w:vAlign w:val="bottom"/>
            <w:hideMark/>
          </w:tcPr>
          <w:p w:rsidR="00756160" w:rsidRPr="008F486F" w14:paraId="41E75C1B"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1279" w:type="dxa"/>
            <w:tcBorders>
              <w:top w:val="nil"/>
              <w:left w:val="nil"/>
              <w:bottom w:val="single" w:sz="4" w:space="0" w:color="auto"/>
              <w:right w:val="single" w:sz="4" w:space="0" w:color="auto"/>
            </w:tcBorders>
            <w:vAlign w:val="bottom"/>
            <w:hideMark/>
          </w:tcPr>
          <w:p w:rsidR="00756160" w:rsidRPr="008F486F" w14:paraId="63C54582"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696" w:type="dxa"/>
            <w:tcBorders>
              <w:top w:val="nil"/>
              <w:left w:val="nil"/>
              <w:bottom w:val="single" w:sz="4" w:space="0" w:color="auto"/>
              <w:right w:val="single" w:sz="4" w:space="0" w:color="auto"/>
            </w:tcBorders>
            <w:noWrap/>
            <w:vAlign w:val="bottom"/>
            <w:hideMark/>
          </w:tcPr>
          <w:p w:rsidR="00756160" w:rsidRPr="008F486F" w14:paraId="220873EE"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        726</w:t>
            </w:r>
          </w:p>
        </w:tc>
        <w:tc>
          <w:tcPr>
            <w:tcW w:w="784" w:type="dxa"/>
            <w:tcBorders>
              <w:top w:val="nil"/>
              <w:left w:val="nil"/>
              <w:bottom w:val="single" w:sz="4" w:space="0" w:color="auto"/>
              <w:right w:val="single" w:sz="4" w:space="0" w:color="auto"/>
            </w:tcBorders>
            <w:vAlign w:val="bottom"/>
            <w:hideMark/>
          </w:tcPr>
          <w:p w:rsidR="00756160" w:rsidRPr="008F486F" w14:paraId="395433EC" w14:textId="77777777">
            <w:pPr>
              <w:autoSpaceDE/>
              <w:autoSpaceDN/>
              <w:jc w:val="right"/>
              <w:rPr>
                <w:rFonts w:eastAsia="Times New Roman"/>
                <w:color w:val="000000"/>
                <w:sz w:val="16"/>
                <w:szCs w:val="16"/>
              </w:rPr>
            </w:pPr>
            <w:r w:rsidRPr="008F486F">
              <w:rPr>
                <w:rFonts w:eastAsia="Times New Roman"/>
                <w:color w:val="000000"/>
                <w:sz w:val="16"/>
                <w:szCs w:val="16"/>
              </w:rPr>
              <w:t> </w:t>
            </w:r>
          </w:p>
        </w:tc>
        <w:tc>
          <w:tcPr>
            <w:tcW w:w="1607" w:type="dxa"/>
            <w:tcBorders>
              <w:top w:val="nil"/>
              <w:left w:val="nil"/>
              <w:bottom w:val="single" w:sz="4" w:space="0" w:color="auto"/>
              <w:right w:val="single" w:sz="4" w:space="0" w:color="auto"/>
            </w:tcBorders>
            <w:vAlign w:val="bottom"/>
            <w:hideMark/>
          </w:tcPr>
          <w:p w:rsidR="00756160" w:rsidRPr="008F486F" w14:paraId="6E58C2FE" w14:textId="77777777">
            <w:pPr>
              <w:autoSpaceDE/>
              <w:autoSpaceDN/>
              <w:jc w:val="right"/>
              <w:rPr>
                <w:rFonts w:eastAsia="Times New Roman"/>
                <w:color w:val="000000"/>
                <w:sz w:val="16"/>
                <w:szCs w:val="16"/>
              </w:rPr>
            </w:pPr>
            <w:r w:rsidRPr="008F486F">
              <w:rPr>
                <w:rFonts w:eastAsia="Times New Roman"/>
                <w:color w:val="000000"/>
                <w:sz w:val="16"/>
                <w:szCs w:val="16"/>
              </w:rPr>
              <w:t> </w:t>
            </w:r>
          </w:p>
        </w:tc>
      </w:tr>
      <w:tr w14:paraId="3F306F67"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771C1CEA" w14:textId="77777777">
            <w:pPr>
              <w:autoSpaceDE/>
              <w:autoSpaceDN/>
              <w:jc w:val="center"/>
              <w:rPr>
                <w:rFonts w:eastAsia="Times New Roman"/>
                <w:color w:val="000000"/>
                <w:sz w:val="16"/>
                <w:szCs w:val="16"/>
              </w:rPr>
            </w:pPr>
          </w:p>
        </w:tc>
        <w:tc>
          <w:tcPr>
            <w:tcW w:w="1004" w:type="dxa"/>
            <w:tcBorders>
              <w:top w:val="nil"/>
              <w:left w:val="nil"/>
              <w:bottom w:val="single" w:sz="4" w:space="0" w:color="auto"/>
              <w:right w:val="single" w:sz="4" w:space="0" w:color="auto"/>
            </w:tcBorders>
            <w:shd w:val="clear" w:color="000000" w:fill="FFFFFF"/>
            <w:vAlign w:val="bottom"/>
            <w:hideMark/>
          </w:tcPr>
          <w:p w:rsidR="00756160" w:rsidRPr="008F486F" w14:paraId="0C8E284F" w14:textId="77777777">
            <w:pPr>
              <w:autoSpaceDE/>
              <w:autoSpaceDN/>
              <w:jc w:val="right"/>
              <w:rPr>
                <w:rFonts w:eastAsia="Times New Roman"/>
                <w:b/>
                <w:bCs/>
                <w:sz w:val="16"/>
                <w:szCs w:val="16"/>
              </w:rPr>
            </w:pPr>
            <w:r w:rsidRPr="008F486F">
              <w:rPr>
                <w:rFonts w:eastAsia="Times New Roman"/>
                <w:b/>
                <w:bCs/>
                <w:sz w:val="16"/>
                <w:szCs w:val="16"/>
              </w:rPr>
              <w:t>7% NPV</w:t>
            </w:r>
          </w:p>
        </w:tc>
        <w:tc>
          <w:tcPr>
            <w:tcW w:w="688" w:type="dxa"/>
            <w:tcBorders>
              <w:top w:val="nil"/>
              <w:left w:val="nil"/>
              <w:bottom w:val="single" w:sz="4" w:space="0" w:color="auto"/>
              <w:right w:val="single" w:sz="4" w:space="0" w:color="auto"/>
            </w:tcBorders>
            <w:noWrap/>
            <w:vAlign w:val="bottom"/>
            <w:hideMark/>
          </w:tcPr>
          <w:p w:rsidR="00756160" w:rsidRPr="008F486F" w14:paraId="44AD165F" w14:textId="77777777">
            <w:pPr>
              <w:autoSpaceDE/>
              <w:autoSpaceDN/>
              <w:rPr>
                <w:rFonts w:eastAsia="Times New Roman"/>
                <w:color w:val="000000"/>
                <w:sz w:val="16"/>
                <w:szCs w:val="16"/>
              </w:rPr>
            </w:pPr>
            <w:r w:rsidRPr="008F486F">
              <w:rPr>
                <w:rFonts w:eastAsia="Times New Roman"/>
                <w:color w:val="000000"/>
                <w:sz w:val="16"/>
                <w:szCs w:val="16"/>
              </w:rPr>
              <w:t> </w:t>
            </w:r>
          </w:p>
        </w:tc>
        <w:tc>
          <w:tcPr>
            <w:tcW w:w="1057" w:type="dxa"/>
            <w:tcBorders>
              <w:top w:val="nil"/>
              <w:left w:val="nil"/>
              <w:bottom w:val="single" w:sz="4" w:space="0" w:color="auto"/>
              <w:right w:val="single" w:sz="4" w:space="0" w:color="auto"/>
            </w:tcBorders>
            <w:noWrap/>
            <w:vAlign w:val="bottom"/>
            <w:hideMark/>
          </w:tcPr>
          <w:p w:rsidR="00756160" w:rsidRPr="008F486F" w14:paraId="3F4012C7" w14:textId="77777777">
            <w:pPr>
              <w:autoSpaceDE/>
              <w:autoSpaceDN/>
              <w:jc w:val="right"/>
              <w:rPr>
                <w:rFonts w:eastAsia="Times New Roman"/>
                <w:b/>
                <w:bCs/>
                <w:color w:val="000000"/>
                <w:sz w:val="16"/>
                <w:szCs w:val="16"/>
              </w:rPr>
            </w:pPr>
            <w:r w:rsidRPr="008F486F">
              <w:rPr>
                <w:rFonts w:eastAsia="Times New Roman"/>
                <w:b/>
                <w:bCs/>
                <w:color w:val="000000"/>
                <w:sz w:val="16"/>
                <w:szCs w:val="16"/>
              </w:rPr>
              <w:t>($262,785)</w:t>
            </w:r>
          </w:p>
        </w:tc>
        <w:tc>
          <w:tcPr>
            <w:tcW w:w="688" w:type="dxa"/>
            <w:tcBorders>
              <w:top w:val="nil"/>
              <w:left w:val="nil"/>
              <w:bottom w:val="single" w:sz="4" w:space="0" w:color="auto"/>
              <w:right w:val="single" w:sz="4" w:space="0" w:color="auto"/>
            </w:tcBorders>
            <w:noWrap/>
            <w:vAlign w:val="bottom"/>
            <w:hideMark/>
          </w:tcPr>
          <w:p w:rsidR="00756160" w:rsidRPr="008F486F" w14:paraId="181D3516"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832" w:type="dxa"/>
            <w:tcBorders>
              <w:top w:val="nil"/>
              <w:left w:val="nil"/>
              <w:bottom w:val="single" w:sz="4" w:space="0" w:color="auto"/>
              <w:right w:val="single" w:sz="4" w:space="0" w:color="auto"/>
            </w:tcBorders>
            <w:vAlign w:val="bottom"/>
            <w:hideMark/>
          </w:tcPr>
          <w:p w:rsidR="00756160" w:rsidRPr="008F486F" w14:paraId="338A49D6" w14:textId="77777777">
            <w:pPr>
              <w:autoSpaceDE/>
              <w:autoSpaceDN/>
              <w:jc w:val="right"/>
              <w:rPr>
                <w:rFonts w:eastAsia="Times New Roman"/>
                <w:b/>
                <w:bCs/>
                <w:color w:val="000000"/>
                <w:sz w:val="16"/>
                <w:szCs w:val="16"/>
              </w:rPr>
            </w:pPr>
            <w:r w:rsidRPr="008F486F">
              <w:rPr>
                <w:rFonts w:eastAsia="Times New Roman"/>
                <w:b/>
                <w:bCs/>
                <w:color w:val="000000"/>
                <w:sz w:val="16"/>
                <w:szCs w:val="16"/>
              </w:rPr>
              <w:t>($50,870)</w:t>
            </w:r>
          </w:p>
        </w:tc>
        <w:tc>
          <w:tcPr>
            <w:tcW w:w="1279" w:type="dxa"/>
            <w:tcBorders>
              <w:top w:val="nil"/>
              <w:left w:val="nil"/>
              <w:bottom w:val="single" w:sz="4" w:space="0" w:color="auto"/>
              <w:right w:val="single" w:sz="4" w:space="0" w:color="auto"/>
            </w:tcBorders>
            <w:vAlign w:val="bottom"/>
            <w:hideMark/>
          </w:tcPr>
          <w:p w:rsidR="00756160" w:rsidRPr="008F486F" w14:paraId="5B3F5D19" w14:textId="77777777">
            <w:pPr>
              <w:autoSpaceDE/>
              <w:autoSpaceDN/>
              <w:jc w:val="right"/>
              <w:rPr>
                <w:rFonts w:eastAsia="Times New Roman"/>
                <w:b/>
                <w:bCs/>
                <w:color w:val="000000"/>
                <w:sz w:val="16"/>
                <w:szCs w:val="16"/>
              </w:rPr>
            </w:pPr>
            <w:r w:rsidRPr="008F486F">
              <w:rPr>
                <w:rFonts w:eastAsia="Times New Roman"/>
                <w:b/>
                <w:bCs/>
                <w:color w:val="000000"/>
                <w:sz w:val="16"/>
                <w:szCs w:val="16"/>
              </w:rPr>
              <w:t>($313,655)</w:t>
            </w:r>
          </w:p>
        </w:tc>
        <w:tc>
          <w:tcPr>
            <w:tcW w:w="696" w:type="dxa"/>
            <w:tcBorders>
              <w:top w:val="nil"/>
              <w:left w:val="nil"/>
              <w:bottom w:val="single" w:sz="4" w:space="0" w:color="auto"/>
              <w:right w:val="single" w:sz="4" w:space="0" w:color="auto"/>
            </w:tcBorders>
            <w:noWrap/>
            <w:vAlign w:val="bottom"/>
            <w:hideMark/>
          </w:tcPr>
          <w:p w:rsidR="00756160" w:rsidRPr="008F486F" w14:paraId="28E3776D"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784" w:type="dxa"/>
            <w:tcBorders>
              <w:top w:val="nil"/>
              <w:left w:val="nil"/>
              <w:bottom w:val="single" w:sz="4" w:space="0" w:color="auto"/>
              <w:right w:val="single" w:sz="4" w:space="0" w:color="auto"/>
            </w:tcBorders>
            <w:vAlign w:val="bottom"/>
            <w:hideMark/>
          </w:tcPr>
          <w:p w:rsidR="00756160" w:rsidRPr="008F486F" w14:paraId="3969674A"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$33,933 </w:t>
            </w:r>
          </w:p>
        </w:tc>
        <w:tc>
          <w:tcPr>
            <w:tcW w:w="1607" w:type="dxa"/>
            <w:tcBorders>
              <w:top w:val="nil"/>
              <w:left w:val="nil"/>
              <w:bottom w:val="single" w:sz="4" w:space="0" w:color="auto"/>
              <w:right w:val="single" w:sz="4" w:space="0" w:color="auto"/>
            </w:tcBorders>
            <w:vAlign w:val="bottom"/>
            <w:hideMark/>
          </w:tcPr>
          <w:p w:rsidR="00756160" w:rsidRPr="008F486F" w14:paraId="1BAC61CB" w14:textId="77777777">
            <w:pPr>
              <w:autoSpaceDE/>
              <w:autoSpaceDN/>
              <w:jc w:val="right"/>
              <w:rPr>
                <w:rFonts w:eastAsia="Times New Roman"/>
                <w:b/>
                <w:bCs/>
                <w:color w:val="000000"/>
                <w:sz w:val="16"/>
                <w:szCs w:val="16"/>
              </w:rPr>
            </w:pPr>
            <w:r w:rsidRPr="007E5E6A">
              <w:rPr>
                <w:rFonts w:eastAsia="Times New Roman"/>
                <w:b/>
                <w:bCs/>
                <w:color w:val="000000"/>
                <w:sz w:val="16"/>
                <w:szCs w:val="16"/>
              </w:rPr>
              <w:t>($279,722)</w:t>
            </w:r>
          </w:p>
        </w:tc>
      </w:tr>
      <w:tr w14:paraId="6C60FB2D" w14:textId="77777777">
        <w:tblPrEx>
          <w:tblW w:w="9350" w:type="dxa"/>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402EA746" w14:textId="77777777">
            <w:pPr>
              <w:autoSpaceDE/>
              <w:autoSpaceDN/>
              <w:jc w:val="center"/>
              <w:rPr>
                <w:rFonts w:eastAsia="Times New Roman"/>
                <w:color w:val="000000"/>
                <w:sz w:val="16"/>
                <w:szCs w:val="16"/>
              </w:rPr>
            </w:pPr>
          </w:p>
        </w:tc>
        <w:tc>
          <w:tcPr>
            <w:tcW w:w="1004" w:type="dxa"/>
            <w:tcBorders>
              <w:top w:val="nil"/>
              <w:left w:val="nil"/>
              <w:bottom w:val="single" w:sz="4" w:space="0" w:color="auto"/>
              <w:right w:val="single" w:sz="4" w:space="0" w:color="auto"/>
            </w:tcBorders>
            <w:shd w:val="clear" w:color="000000" w:fill="FFFFFF"/>
            <w:vAlign w:val="bottom"/>
            <w:hideMark/>
          </w:tcPr>
          <w:p w:rsidR="00756160" w:rsidRPr="008F486F" w14:paraId="58D3EEA3" w14:textId="77777777">
            <w:pPr>
              <w:autoSpaceDE/>
              <w:autoSpaceDN/>
              <w:jc w:val="right"/>
              <w:rPr>
                <w:rFonts w:eastAsia="Times New Roman"/>
                <w:b/>
                <w:bCs/>
                <w:sz w:val="16"/>
                <w:szCs w:val="16"/>
              </w:rPr>
            </w:pPr>
            <w:r w:rsidRPr="008F486F">
              <w:rPr>
                <w:rFonts w:eastAsia="Times New Roman"/>
                <w:b/>
                <w:bCs/>
                <w:sz w:val="16"/>
                <w:szCs w:val="16"/>
              </w:rPr>
              <w:t>3% NPV</w:t>
            </w:r>
          </w:p>
        </w:tc>
        <w:tc>
          <w:tcPr>
            <w:tcW w:w="688" w:type="dxa"/>
            <w:tcBorders>
              <w:top w:val="nil"/>
              <w:left w:val="nil"/>
              <w:bottom w:val="single" w:sz="4" w:space="0" w:color="auto"/>
              <w:right w:val="single" w:sz="4" w:space="0" w:color="auto"/>
            </w:tcBorders>
            <w:noWrap/>
            <w:vAlign w:val="bottom"/>
            <w:hideMark/>
          </w:tcPr>
          <w:p w:rsidR="00756160" w:rsidRPr="008F486F" w14:paraId="5576C49F" w14:textId="77777777">
            <w:pPr>
              <w:autoSpaceDE/>
              <w:autoSpaceDN/>
              <w:rPr>
                <w:rFonts w:eastAsia="Times New Roman"/>
                <w:color w:val="000000"/>
                <w:sz w:val="16"/>
                <w:szCs w:val="16"/>
              </w:rPr>
            </w:pPr>
            <w:r w:rsidRPr="008F486F">
              <w:rPr>
                <w:rFonts w:eastAsia="Times New Roman"/>
                <w:color w:val="000000"/>
                <w:sz w:val="16"/>
                <w:szCs w:val="16"/>
              </w:rPr>
              <w:t> </w:t>
            </w:r>
          </w:p>
        </w:tc>
        <w:tc>
          <w:tcPr>
            <w:tcW w:w="1057" w:type="dxa"/>
            <w:tcBorders>
              <w:top w:val="nil"/>
              <w:left w:val="nil"/>
              <w:bottom w:val="single" w:sz="4" w:space="0" w:color="auto"/>
              <w:right w:val="single" w:sz="4" w:space="0" w:color="auto"/>
            </w:tcBorders>
            <w:noWrap/>
            <w:vAlign w:val="bottom"/>
            <w:hideMark/>
          </w:tcPr>
          <w:p w:rsidR="00756160" w:rsidRPr="008F486F" w14:paraId="4861E6B2" w14:textId="77777777">
            <w:pPr>
              <w:autoSpaceDE/>
              <w:autoSpaceDN/>
              <w:jc w:val="right"/>
              <w:rPr>
                <w:rFonts w:eastAsia="Times New Roman"/>
                <w:b/>
                <w:bCs/>
                <w:color w:val="000000"/>
                <w:sz w:val="16"/>
                <w:szCs w:val="16"/>
              </w:rPr>
            </w:pPr>
            <w:r w:rsidRPr="008F486F">
              <w:rPr>
                <w:rFonts w:eastAsia="Times New Roman"/>
                <w:b/>
                <w:bCs/>
                <w:color w:val="000000"/>
                <w:sz w:val="16"/>
                <w:szCs w:val="16"/>
              </w:rPr>
              <w:t>($283,592)</w:t>
            </w:r>
          </w:p>
        </w:tc>
        <w:tc>
          <w:tcPr>
            <w:tcW w:w="688" w:type="dxa"/>
            <w:tcBorders>
              <w:top w:val="nil"/>
              <w:left w:val="nil"/>
              <w:bottom w:val="single" w:sz="4" w:space="0" w:color="auto"/>
              <w:right w:val="single" w:sz="4" w:space="0" w:color="auto"/>
            </w:tcBorders>
            <w:noWrap/>
            <w:vAlign w:val="bottom"/>
            <w:hideMark/>
          </w:tcPr>
          <w:p w:rsidR="00756160" w:rsidRPr="008F486F" w14:paraId="6EDC19D2"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832" w:type="dxa"/>
            <w:tcBorders>
              <w:top w:val="nil"/>
              <w:left w:val="nil"/>
              <w:bottom w:val="single" w:sz="4" w:space="0" w:color="auto"/>
              <w:right w:val="single" w:sz="4" w:space="0" w:color="auto"/>
            </w:tcBorders>
            <w:vAlign w:val="bottom"/>
            <w:hideMark/>
          </w:tcPr>
          <w:p w:rsidR="00756160" w:rsidRPr="008F486F" w14:paraId="0CD7815B" w14:textId="77777777">
            <w:pPr>
              <w:autoSpaceDE/>
              <w:autoSpaceDN/>
              <w:jc w:val="right"/>
              <w:rPr>
                <w:rFonts w:eastAsia="Times New Roman"/>
                <w:b/>
                <w:bCs/>
                <w:color w:val="000000"/>
                <w:sz w:val="16"/>
                <w:szCs w:val="16"/>
              </w:rPr>
            </w:pPr>
            <w:r w:rsidRPr="008F486F">
              <w:rPr>
                <w:rFonts w:eastAsia="Times New Roman"/>
                <w:b/>
                <w:bCs/>
                <w:color w:val="000000"/>
                <w:sz w:val="16"/>
                <w:szCs w:val="16"/>
              </w:rPr>
              <w:t>($54,898)</w:t>
            </w:r>
          </w:p>
        </w:tc>
        <w:tc>
          <w:tcPr>
            <w:tcW w:w="1279" w:type="dxa"/>
            <w:tcBorders>
              <w:top w:val="nil"/>
              <w:left w:val="nil"/>
              <w:bottom w:val="single" w:sz="4" w:space="0" w:color="auto"/>
              <w:right w:val="single" w:sz="4" w:space="0" w:color="auto"/>
            </w:tcBorders>
            <w:vAlign w:val="bottom"/>
            <w:hideMark/>
          </w:tcPr>
          <w:p w:rsidR="00756160" w:rsidRPr="005A5718" w14:paraId="428A4179" w14:textId="77777777">
            <w:pPr>
              <w:autoSpaceDE/>
              <w:autoSpaceDN/>
              <w:jc w:val="right"/>
              <w:rPr>
                <w:rFonts w:eastAsia="Times New Roman"/>
                <w:b/>
                <w:bCs/>
                <w:color w:val="000000"/>
                <w:sz w:val="16"/>
                <w:szCs w:val="16"/>
              </w:rPr>
            </w:pPr>
            <w:r w:rsidRPr="005A5718">
              <w:rPr>
                <w:rFonts w:eastAsia="Times New Roman"/>
                <w:b/>
                <w:bCs/>
                <w:color w:val="000000"/>
                <w:sz w:val="16"/>
                <w:szCs w:val="16"/>
              </w:rPr>
              <w:t>($338,490)</w:t>
            </w:r>
          </w:p>
        </w:tc>
        <w:tc>
          <w:tcPr>
            <w:tcW w:w="696" w:type="dxa"/>
            <w:tcBorders>
              <w:top w:val="nil"/>
              <w:left w:val="nil"/>
              <w:bottom w:val="single" w:sz="4" w:space="0" w:color="auto"/>
              <w:right w:val="single" w:sz="4" w:space="0" w:color="auto"/>
            </w:tcBorders>
            <w:noWrap/>
            <w:vAlign w:val="bottom"/>
            <w:hideMark/>
          </w:tcPr>
          <w:p w:rsidR="00756160" w:rsidRPr="005A5718" w14:paraId="4CFE8863" w14:textId="77777777">
            <w:pPr>
              <w:autoSpaceDE/>
              <w:autoSpaceDN/>
              <w:rPr>
                <w:rFonts w:eastAsia="Times New Roman"/>
                <w:b/>
                <w:bCs/>
                <w:color w:val="000000"/>
                <w:sz w:val="16"/>
                <w:szCs w:val="16"/>
              </w:rPr>
            </w:pPr>
            <w:r w:rsidRPr="005A5718">
              <w:rPr>
                <w:rFonts w:eastAsia="Times New Roman"/>
                <w:b/>
                <w:bCs/>
                <w:color w:val="000000"/>
                <w:sz w:val="16"/>
                <w:szCs w:val="16"/>
              </w:rPr>
              <w:t> </w:t>
            </w:r>
          </w:p>
        </w:tc>
        <w:tc>
          <w:tcPr>
            <w:tcW w:w="784" w:type="dxa"/>
            <w:tcBorders>
              <w:top w:val="nil"/>
              <w:left w:val="nil"/>
              <w:bottom w:val="single" w:sz="4" w:space="0" w:color="auto"/>
              <w:right w:val="single" w:sz="4" w:space="0" w:color="auto"/>
            </w:tcBorders>
            <w:vAlign w:val="bottom"/>
            <w:hideMark/>
          </w:tcPr>
          <w:p w:rsidR="00756160" w:rsidRPr="005A5718" w14:paraId="5BC3181A" w14:textId="77777777">
            <w:pPr>
              <w:autoSpaceDE/>
              <w:autoSpaceDN/>
              <w:jc w:val="right"/>
              <w:rPr>
                <w:rFonts w:eastAsia="Times New Roman"/>
                <w:b/>
                <w:bCs/>
                <w:color w:val="000000"/>
                <w:sz w:val="16"/>
                <w:szCs w:val="16"/>
              </w:rPr>
            </w:pPr>
            <w:r w:rsidRPr="005A5718">
              <w:rPr>
                <w:rFonts w:eastAsia="Times New Roman"/>
                <w:b/>
                <w:bCs/>
                <w:color w:val="000000"/>
                <w:sz w:val="16"/>
                <w:szCs w:val="16"/>
              </w:rPr>
              <w:t xml:space="preserve">$69,581 </w:t>
            </w:r>
          </w:p>
        </w:tc>
        <w:tc>
          <w:tcPr>
            <w:tcW w:w="1607" w:type="dxa"/>
            <w:tcBorders>
              <w:top w:val="nil"/>
              <w:left w:val="nil"/>
              <w:bottom w:val="single" w:sz="4" w:space="0" w:color="auto"/>
              <w:right w:val="single" w:sz="4" w:space="0" w:color="auto"/>
            </w:tcBorders>
            <w:vAlign w:val="bottom"/>
            <w:hideMark/>
          </w:tcPr>
          <w:p w:rsidR="00756160" w:rsidRPr="005A5718" w14:paraId="66808AFD" w14:textId="77777777">
            <w:pPr>
              <w:autoSpaceDE/>
              <w:autoSpaceDN/>
              <w:jc w:val="right"/>
              <w:rPr>
                <w:rFonts w:eastAsia="Times New Roman"/>
                <w:b/>
                <w:bCs/>
                <w:color w:val="000000"/>
                <w:sz w:val="16"/>
                <w:szCs w:val="16"/>
              </w:rPr>
            </w:pPr>
            <w:r w:rsidRPr="005A5718">
              <w:rPr>
                <w:rFonts w:eastAsia="Times New Roman"/>
                <w:b/>
                <w:bCs/>
                <w:color w:val="000000"/>
                <w:sz w:val="16"/>
                <w:szCs w:val="16"/>
              </w:rPr>
              <w:t>($268,909)</w:t>
            </w:r>
          </w:p>
        </w:tc>
      </w:tr>
      <w:tr w14:paraId="5471FD5A" w14:textId="77777777">
        <w:tblPrEx>
          <w:tblW w:w="9350" w:type="dxa"/>
          <w:tblLook w:val="04A0"/>
        </w:tblPrEx>
        <w:trPr>
          <w:trHeight w:val="280"/>
        </w:trPr>
        <w:tc>
          <w:tcPr>
            <w:tcW w:w="9350" w:type="dxa"/>
            <w:gridSpan w:val="10"/>
            <w:tcBorders>
              <w:top w:val="single" w:sz="4" w:space="0" w:color="auto"/>
            </w:tcBorders>
            <w:noWrap/>
          </w:tcPr>
          <w:p w:rsidR="00756160" w:rsidRPr="008F486F" w14:paraId="5F90E36F" w14:textId="77777777">
            <w:pPr>
              <w:autoSpaceDE/>
              <w:autoSpaceDN/>
              <w:rPr>
                <w:rFonts w:eastAsia="Times New Roman"/>
                <w:b/>
                <w:bCs/>
                <w:color w:val="000000"/>
                <w:sz w:val="16"/>
                <w:szCs w:val="16"/>
              </w:rPr>
            </w:pPr>
            <w:r w:rsidRPr="008F486F">
              <w:rPr>
                <w:rFonts w:eastAsia="Times New Roman"/>
                <w:color w:val="000000"/>
                <w:sz w:val="16"/>
                <w:szCs w:val="16"/>
              </w:rPr>
              <w:t>*</w:t>
            </w:r>
            <w:r>
              <w:rPr>
                <w:rFonts w:eastAsia="Times New Roman"/>
                <w:color w:val="000000"/>
                <w:sz w:val="16"/>
                <w:szCs w:val="16"/>
              </w:rPr>
              <w:t xml:space="preserve"> </w:t>
            </w:r>
            <w:r w:rsidRPr="008F486F">
              <w:rPr>
                <w:rFonts w:eastAsia="Times New Roman"/>
                <w:color w:val="000000"/>
                <w:sz w:val="16"/>
                <w:szCs w:val="16"/>
              </w:rPr>
              <w:t>Labor hours are rounded from the PERT generated values based on the parameters in table B-1, so benefits differ from the rounded products.</w:t>
            </w:r>
          </w:p>
        </w:tc>
      </w:tr>
    </w:tbl>
    <w:p w:rsidR="00756160" w:rsidRPr="008F486F" w:rsidP="00756160" w14:paraId="34115258" w14:textId="77777777">
      <w:pPr>
        <w:pStyle w:val="BodyText"/>
        <w:keepNext/>
      </w:pPr>
    </w:p>
    <w:p w:rsidR="00756160" w:rsidRPr="00CD3B1A" w:rsidP="00756160" w14:paraId="1790BBFC" w14:textId="6140A96B">
      <w:pPr>
        <w:pStyle w:val="BodyText"/>
        <w:rPr>
          <w:spacing w:val="2"/>
        </w:rPr>
      </w:pPr>
      <w:r w:rsidRPr="00CD3B1A">
        <w:rPr>
          <w:spacing w:val="2"/>
        </w:rPr>
        <w:t>For Alternative 3, guidance development would result in a one-time cost to the NRC. Future costs for the preparation and issuance of new guidance alone include the additional effort to develop a new document that is consistent with the existing regulations; additional guidance would be needed for items that would have been included in rule provisions. Future costs for the preparation and issuance of new guidance alone would include the additional effort to develop a guidance document that is consistent with the existing rules while using terminology specific to fusion machines. As shown in Table 5, the labor to “Prepare and issue new guidance” was estimated by staff to be 766 hours, so the NRC would expend $116,483 at the NRC labor rate of $152. Because this alternative requires no effort to prepare the final rule, the total one-time costs to the NRC in 2025 would be $116,483.</w:t>
      </w:r>
    </w:p>
    <w:p w:rsidR="00756160" w:rsidRPr="008F486F" w:rsidP="00756160" w14:paraId="26886700" w14:textId="77777777">
      <w:pPr>
        <w:pStyle w:val="BodyText"/>
        <w:keepNext/>
      </w:pPr>
    </w:p>
    <w:p w:rsidR="00756160" w:rsidRPr="008F486F" w:rsidP="00756160" w14:paraId="59E4242B" w14:textId="77777777">
      <w:pPr>
        <w:pStyle w:val="TableHeading"/>
      </w:pPr>
      <w:bookmarkStart w:id="110" w:name="_Toc222796255"/>
      <w:r w:rsidRPr="008F486F">
        <w:t xml:space="preserve">Table 5 </w:t>
      </w:r>
      <w:r w:rsidR="00B80CCF">
        <w:fldChar w:fldCharType="begin"/>
      </w:r>
      <w:r w:rsidR="00B80CCF">
        <w:instrText xml:space="preserve"> SEQ Table \* ARABIC </w:instrText>
      </w:r>
      <w:r w:rsidR="00B80CCF">
        <w:fldChar w:fldCharType="separate"/>
      </w:r>
      <w:r w:rsidR="00B80CCF">
        <w:fldChar w:fldCharType="end"/>
      </w:r>
      <w:r w:rsidRPr="008F486F">
        <w:t xml:space="preserve">  NRC Costs and Benefits for Alternative 3</w:t>
      </w:r>
      <w:bookmarkEnd w:id="110"/>
    </w:p>
    <w:tbl>
      <w:tblPr>
        <w:tblW w:w="9350" w:type="dxa"/>
        <w:tblLayout w:type="fixed"/>
        <w:tblLook w:val="04A0"/>
      </w:tblPr>
      <w:tblGrid>
        <w:gridCol w:w="715"/>
        <w:gridCol w:w="1440"/>
        <w:gridCol w:w="720"/>
        <w:gridCol w:w="900"/>
        <w:gridCol w:w="810"/>
        <w:gridCol w:w="990"/>
        <w:gridCol w:w="1022"/>
        <w:gridCol w:w="778"/>
        <w:gridCol w:w="900"/>
        <w:gridCol w:w="1075"/>
      </w:tblGrid>
      <w:tr w14:paraId="63682DE6" w14:textId="77777777">
        <w:tblPrEx>
          <w:tblW w:w="9350" w:type="dxa"/>
          <w:tblLayout w:type="fixed"/>
          <w:tblLook w:val="04A0"/>
        </w:tblPrEx>
        <w:trPr>
          <w:trHeight w:val="280"/>
        </w:trPr>
        <w:tc>
          <w:tcPr>
            <w:tcW w:w="715"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756160" w:rsidRPr="00230260" w14:paraId="204C762A" w14:textId="77777777">
            <w:pPr>
              <w:autoSpaceDE/>
              <w:autoSpaceDN/>
              <w:jc w:val="center"/>
              <w:rPr>
                <w:rFonts w:eastAsia="Times New Roman"/>
                <w:b/>
                <w:bCs/>
                <w:sz w:val="16"/>
                <w:szCs w:val="16"/>
              </w:rPr>
            </w:pPr>
            <w:r w:rsidRPr="00230260">
              <w:rPr>
                <w:rFonts w:eastAsia="Times New Roman"/>
                <w:b/>
                <w:bCs/>
                <w:sz w:val="16"/>
                <w:szCs w:val="16"/>
              </w:rPr>
              <w:t>Year</w:t>
            </w:r>
          </w:p>
        </w:tc>
        <w:tc>
          <w:tcPr>
            <w:tcW w:w="1440" w:type="dxa"/>
            <w:vMerge w:val="restart"/>
            <w:tcBorders>
              <w:top w:val="single" w:sz="4" w:space="0" w:color="auto"/>
              <w:left w:val="single" w:sz="4" w:space="0" w:color="auto"/>
              <w:right w:val="single" w:sz="4" w:space="0" w:color="auto"/>
            </w:tcBorders>
            <w:shd w:val="clear" w:color="000000" w:fill="FFFFFF"/>
            <w:vAlign w:val="bottom"/>
            <w:hideMark/>
          </w:tcPr>
          <w:p w:rsidR="00756160" w:rsidRPr="00230260" w14:paraId="305DFC5B" w14:textId="77777777">
            <w:pPr>
              <w:autoSpaceDE/>
              <w:autoSpaceDN/>
              <w:jc w:val="center"/>
              <w:rPr>
                <w:rFonts w:eastAsia="Times New Roman"/>
                <w:b/>
                <w:bCs/>
                <w:sz w:val="16"/>
                <w:szCs w:val="16"/>
              </w:rPr>
            </w:pPr>
            <w:r w:rsidRPr="00230260">
              <w:rPr>
                <w:rFonts w:eastAsia="Times New Roman"/>
                <w:b/>
                <w:bCs/>
                <w:sz w:val="16"/>
                <w:szCs w:val="16"/>
              </w:rPr>
              <w:t>Applications</w:t>
            </w:r>
          </w:p>
        </w:tc>
        <w:tc>
          <w:tcPr>
            <w:tcW w:w="4442" w:type="dxa"/>
            <w:gridSpan w:val="5"/>
            <w:tcBorders>
              <w:top w:val="single" w:sz="4" w:space="0" w:color="auto"/>
              <w:left w:val="nil"/>
              <w:bottom w:val="single" w:sz="4" w:space="0" w:color="auto"/>
              <w:right w:val="single" w:sz="4" w:space="0" w:color="auto"/>
            </w:tcBorders>
            <w:vAlign w:val="bottom"/>
            <w:hideMark/>
          </w:tcPr>
          <w:p w:rsidR="00756160" w:rsidRPr="00230260" w14:paraId="20A6F365" w14:textId="77777777">
            <w:pPr>
              <w:autoSpaceDE/>
              <w:autoSpaceDN/>
              <w:jc w:val="center"/>
              <w:rPr>
                <w:rFonts w:eastAsia="Times New Roman"/>
                <w:b/>
                <w:bCs/>
                <w:color w:val="000000"/>
                <w:sz w:val="16"/>
                <w:szCs w:val="16"/>
              </w:rPr>
            </w:pPr>
            <w:r w:rsidRPr="00230260">
              <w:rPr>
                <w:rFonts w:eastAsia="Times New Roman"/>
                <w:b/>
                <w:bCs/>
                <w:color w:val="000000"/>
                <w:sz w:val="16"/>
                <w:szCs w:val="16"/>
              </w:rPr>
              <w:t>Implementation Costs</w:t>
            </w:r>
          </w:p>
        </w:tc>
        <w:tc>
          <w:tcPr>
            <w:tcW w:w="1678" w:type="dxa"/>
            <w:gridSpan w:val="2"/>
            <w:tcBorders>
              <w:top w:val="single" w:sz="4" w:space="0" w:color="auto"/>
              <w:left w:val="nil"/>
              <w:bottom w:val="single" w:sz="4" w:space="0" w:color="auto"/>
              <w:right w:val="single" w:sz="4" w:space="0" w:color="auto"/>
            </w:tcBorders>
            <w:noWrap/>
            <w:vAlign w:val="bottom"/>
            <w:hideMark/>
          </w:tcPr>
          <w:p w:rsidR="00756160" w:rsidRPr="00230260" w14:paraId="3FD43658" w14:textId="77777777">
            <w:pPr>
              <w:autoSpaceDE/>
              <w:autoSpaceDN/>
              <w:jc w:val="center"/>
              <w:rPr>
                <w:rFonts w:eastAsia="Times New Roman"/>
                <w:b/>
                <w:bCs/>
                <w:color w:val="000000"/>
                <w:sz w:val="16"/>
                <w:szCs w:val="16"/>
              </w:rPr>
            </w:pPr>
            <w:r w:rsidRPr="00230260">
              <w:rPr>
                <w:rFonts w:eastAsia="Times New Roman"/>
                <w:b/>
                <w:bCs/>
                <w:color w:val="000000"/>
                <w:sz w:val="16"/>
                <w:szCs w:val="16"/>
              </w:rPr>
              <w:t>Operational Costs</w:t>
            </w:r>
          </w:p>
        </w:tc>
        <w:tc>
          <w:tcPr>
            <w:tcW w:w="1075" w:type="dxa"/>
            <w:vMerge w:val="restart"/>
            <w:tcBorders>
              <w:top w:val="single" w:sz="4" w:space="0" w:color="auto"/>
              <w:left w:val="single" w:sz="4" w:space="0" w:color="auto"/>
              <w:bottom w:val="single" w:sz="4" w:space="0" w:color="auto"/>
              <w:right w:val="single" w:sz="4" w:space="0" w:color="auto"/>
            </w:tcBorders>
            <w:vAlign w:val="bottom"/>
            <w:hideMark/>
          </w:tcPr>
          <w:p w:rsidR="00756160" w:rsidRPr="00230260" w14:paraId="4B35A0D7"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 (Cost) Total</w:t>
            </w:r>
          </w:p>
        </w:tc>
      </w:tr>
      <w:tr w14:paraId="678C34BD" w14:textId="77777777">
        <w:tblPrEx>
          <w:tblW w:w="9350" w:type="dxa"/>
          <w:tblLayout w:type="fixed"/>
          <w:tblLook w:val="04A0"/>
        </w:tblPrEx>
        <w:trPr>
          <w:trHeight w:val="458"/>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2EB5A992" w14:textId="77777777">
            <w:pPr>
              <w:autoSpaceDE/>
              <w:autoSpaceDN/>
              <w:jc w:val="center"/>
              <w:rPr>
                <w:rFonts w:eastAsia="Times New Roman"/>
                <w:b/>
                <w:bCs/>
                <w:sz w:val="16"/>
                <w:szCs w:val="16"/>
              </w:rPr>
            </w:pPr>
          </w:p>
        </w:tc>
        <w:tc>
          <w:tcPr>
            <w:tcW w:w="1440" w:type="dxa"/>
            <w:vMerge/>
            <w:tcBorders>
              <w:left w:val="single" w:sz="4" w:space="0" w:color="auto"/>
              <w:right w:val="single" w:sz="4" w:space="0" w:color="auto"/>
            </w:tcBorders>
            <w:vAlign w:val="center"/>
            <w:hideMark/>
          </w:tcPr>
          <w:p w:rsidR="00756160" w:rsidRPr="00230260" w14:paraId="0A3717CA" w14:textId="77777777">
            <w:pPr>
              <w:autoSpaceDE/>
              <w:autoSpaceDN/>
              <w:jc w:val="center"/>
              <w:rPr>
                <w:rFonts w:eastAsia="Times New Roman"/>
                <w:b/>
                <w:bCs/>
                <w:sz w:val="16"/>
                <w:szCs w:val="16"/>
              </w:rPr>
            </w:pPr>
          </w:p>
        </w:tc>
        <w:tc>
          <w:tcPr>
            <w:tcW w:w="1620" w:type="dxa"/>
            <w:gridSpan w:val="2"/>
            <w:tcBorders>
              <w:top w:val="single" w:sz="4" w:space="0" w:color="auto"/>
              <w:left w:val="nil"/>
              <w:bottom w:val="single" w:sz="4" w:space="0" w:color="auto"/>
              <w:right w:val="single" w:sz="4" w:space="0" w:color="auto"/>
            </w:tcBorders>
            <w:vAlign w:val="bottom"/>
            <w:hideMark/>
          </w:tcPr>
          <w:p w:rsidR="00756160" w:rsidRPr="00230260" w14:paraId="7E985A60" w14:textId="77777777">
            <w:pPr>
              <w:autoSpaceDE/>
              <w:autoSpaceDN/>
              <w:jc w:val="center"/>
              <w:rPr>
                <w:rFonts w:eastAsia="Times New Roman"/>
                <w:b/>
                <w:bCs/>
                <w:color w:val="000000"/>
                <w:sz w:val="16"/>
                <w:szCs w:val="16"/>
              </w:rPr>
            </w:pPr>
            <w:r w:rsidRPr="00230260">
              <w:rPr>
                <w:rFonts w:eastAsia="Times New Roman"/>
                <w:b/>
                <w:bCs/>
                <w:color w:val="000000"/>
                <w:sz w:val="16"/>
                <w:szCs w:val="16"/>
              </w:rPr>
              <w:t>Prepare final rule and supporting documents</w:t>
            </w:r>
          </w:p>
        </w:tc>
        <w:tc>
          <w:tcPr>
            <w:tcW w:w="1800" w:type="dxa"/>
            <w:gridSpan w:val="2"/>
            <w:tcBorders>
              <w:top w:val="single" w:sz="4" w:space="0" w:color="auto"/>
              <w:left w:val="nil"/>
              <w:bottom w:val="single" w:sz="4" w:space="0" w:color="auto"/>
              <w:right w:val="single" w:sz="4" w:space="0" w:color="auto"/>
            </w:tcBorders>
            <w:vAlign w:val="bottom"/>
            <w:hideMark/>
          </w:tcPr>
          <w:p w:rsidR="00756160" w:rsidRPr="00230260" w14:paraId="35D00558" w14:textId="77777777">
            <w:pPr>
              <w:autoSpaceDE/>
              <w:autoSpaceDN/>
              <w:jc w:val="center"/>
              <w:rPr>
                <w:rFonts w:eastAsia="Times New Roman"/>
                <w:b/>
                <w:bCs/>
                <w:color w:val="000000"/>
                <w:sz w:val="16"/>
                <w:szCs w:val="16"/>
              </w:rPr>
            </w:pPr>
            <w:r w:rsidRPr="00230260">
              <w:rPr>
                <w:rFonts w:eastAsia="Times New Roman"/>
                <w:b/>
                <w:bCs/>
                <w:color w:val="000000"/>
                <w:sz w:val="16"/>
                <w:szCs w:val="16"/>
              </w:rPr>
              <w:t>Prepare and issue new guidance</w:t>
            </w:r>
          </w:p>
        </w:tc>
        <w:tc>
          <w:tcPr>
            <w:tcW w:w="1022" w:type="dxa"/>
            <w:tcBorders>
              <w:top w:val="nil"/>
              <w:left w:val="nil"/>
              <w:bottom w:val="single" w:sz="4" w:space="0" w:color="auto"/>
              <w:right w:val="single" w:sz="4" w:space="0" w:color="auto"/>
            </w:tcBorders>
            <w:vAlign w:val="bottom"/>
            <w:hideMark/>
          </w:tcPr>
          <w:p w:rsidR="00756160" w:rsidRPr="00230260" w14:paraId="0869CD2D" w14:textId="77777777">
            <w:pPr>
              <w:autoSpaceDE/>
              <w:autoSpaceDN/>
              <w:jc w:val="center"/>
              <w:rPr>
                <w:rFonts w:eastAsia="Times New Roman"/>
                <w:b/>
                <w:bCs/>
                <w:color w:val="000000"/>
                <w:sz w:val="16"/>
                <w:szCs w:val="16"/>
              </w:rPr>
            </w:pPr>
            <w:r w:rsidRPr="00230260">
              <w:rPr>
                <w:rFonts w:eastAsia="Times New Roman"/>
                <w:b/>
                <w:bCs/>
                <w:color w:val="000000"/>
                <w:sz w:val="16"/>
                <w:szCs w:val="16"/>
              </w:rPr>
              <w:t>Subtotal Implementation</w:t>
            </w:r>
          </w:p>
        </w:tc>
        <w:tc>
          <w:tcPr>
            <w:tcW w:w="1678" w:type="dxa"/>
            <w:gridSpan w:val="2"/>
            <w:tcBorders>
              <w:top w:val="single" w:sz="4" w:space="0" w:color="auto"/>
              <w:left w:val="nil"/>
              <w:bottom w:val="single" w:sz="4" w:space="0" w:color="auto"/>
              <w:right w:val="single" w:sz="4" w:space="0" w:color="auto"/>
            </w:tcBorders>
            <w:vAlign w:val="bottom"/>
            <w:hideMark/>
          </w:tcPr>
          <w:p w:rsidR="00756160" w:rsidRPr="00230260" w14:paraId="5DF0E068" w14:textId="77777777">
            <w:pPr>
              <w:autoSpaceDE/>
              <w:autoSpaceDN/>
              <w:jc w:val="center"/>
              <w:rPr>
                <w:rFonts w:eastAsia="Times New Roman"/>
                <w:b/>
                <w:bCs/>
                <w:color w:val="000000"/>
                <w:sz w:val="16"/>
                <w:szCs w:val="16"/>
              </w:rPr>
            </w:pPr>
            <w:r w:rsidRPr="00230260">
              <w:rPr>
                <w:rFonts w:eastAsia="Times New Roman"/>
                <w:b/>
                <w:bCs/>
                <w:color w:val="000000"/>
                <w:sz w:val="16"/>
                <w:szCs w:val="16"/>
              </w:rPr>
              <w:t>Averted Licensing Costs</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7CDDE44C" w14:textId="77777777">
            <w:pPr>
              <w:autoSpaceDE/>
              <w:autoSpaceDN/>
              <w:rPr>
                <w:rFonts w:eastAsia="Times New Roman"/>
                <w:b/>
                <w:bCs/>
                <w:color w:val="000000"/>
                <w:sz w:val="16"/>
                <w:szCs w:val="16"/>
              </w:rPr>
            </w:pPr>
          </w:p>
        </w:tc>
      </w:tr>
      <w:tr w14:paraId="01570354" w14:textId="77777777">
        <w:tblPrEx>
          <w:tblW w:w="9350" w:type="dxa"/>
          <w:tblLayout w:type="fixed"/>
          <w:tblLook w:val="04A0"/>
        </w:tblPrEx>
        <w:trPr>
          <w:trHeight w:val="440"/>
        </w:trPr>
        <w:tc>
          <w:tcPr>
            <w:tcW w:w="71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08D01DB1" w14:textId="77777777">
            <w:pPr>
              <w:autoSpaceDE/>
              <w:autoSpaceDN/>
              <w:jc w:val="center"/>
              <w:rPr>
                <w:rFonts w:eastAsia="Times New Roman"/>
                <w:b/>
                <w:bCs/>
                <w:sz w:val="16"/>
                <w:szCs w:val="16"/>
              </w:rPr>
            </w:pPr>
          </w:p>
        </w:tc>
        <w:tc>
          <w:tcPr>
            <w:tcW w:w="1440" w:type="dxa"/>
            <w:vMerge/>
            <w:tcBorders>
              <w:left w:val="single" w:sz="4" w:space="0" w:color="auto"/>
              <w:bottom w:val="single" w:sz="4" w:space="0" w:color="auto"/>
              <w:right w:val="single" w:sz="4" w:space="0" w:color="auto"/>
            </w:tcBorders>
            <w:shd w:val="clear" w:color="000000" w:fill="FFFFFF"/>
            <w:vAlign w:val="center"/>
            <w:hideMark/>
          </w:tcPr>
          <w:p w:rsidR="00756160" w:rsidRPr="00230260" w14:paraId="330FB969" w14:textId="77777777">
            <w:pPr>
              <w:autoSpaceDE/>
              <w:autoSpaceDN/>
              <w:jc w:val="center"/>
              <w:rPr>
                <w:rFonts w:eastAsia="Times New Roman"/>
                <w:b/>
                <w:bCs/>
                <w:sz w:val="16"/>
                <w:szCs w:val="16"/>
              </w:rPr>
            </w:pPr>
          </w:p>
        </w:tc>
        <w:tc>
          <w:tcPr>
            <w:tcW w:w="720" w:type="dxa"/>
            <w:tcBorders>
              <w:top w:val="nil"/>
              <w:left w:val="nil"/>
              <w:bottom w:val="single" w:sz="4" w:space="0" w:color="auto"/>
              <w:right w:val="single" w:sz="4" w:space="0" w:color="auto"/>
            </w:tcBorders>
            <w:vAlign w:val="bottom"/>
            <w:hideMark/>
          </w:tcPr>
          <w:p w:rsidR="00756160" w:rsidRPr="00230260" w14:paraId="7D48CE21" w14:textId="77777777">
            <w:pPr>
              <w:autoSpaceDE/>
              <w:autoSpaceDN/>
              <w:jc w:val="center"/>
              <w:rPr>
                <w:rFonts w:eastAsia="Times New Roman"/>
                <w:b/>
                <w:bCs/>
                <w:color w:val="000000"/>
                <w:sz w:val="16"/>
                <w:szCs w:val="16"/>
              </w:rPr>
            </w:pPr>
            <w:r w:rsidRPr="00230260">
              <w:rPr>
                <w:rFonts w:eastAsia="Times New Roman"/>
                <w:b/>
                <w:bCs/>
                <w:color w:val="000000"/>
                <w:sz w:val="16"/>
                <w:szCs w:val="16"/>
              </w:rPr>
              <w:t>Hours</w:t>
            </w:r>
          </w:p>
        </w:tc>
        <w:tc>
          <w:tcPr>
            <w:tcW w:w="900" w:type="dxa"/>
            <w:tcBorders>
              <w:top w:val="nil"/>
              <w:left w:val="nil"/>
              <w:bottom w:val="single" w:sz="4" w:space="0" w:color="auto"/>
              <w:right w:val="single" w:sz="4" w:space="0" w:color="auto"/>
            </w:tcBorders>
            <w:vAlign w:val="bottom"/>
            <w:hideMark/>
          </w:tcPr>
          <w:p w:rsidR="00756160" w:rsidRPr="00230260" w14:paraId="6D18B1C9"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810" w:type="dxa"/>
            <w:tcBorders>
              <w:top w:val="nil"/>
              <w:left w:val="nil"/>
              <w:bottom w:val="single" w:sz="4" w:space="0" w:color="auto"/>
              <w:right w:val="single" w:sz="4" w:space="0" w:color="auto"/>
            </w:tcBorders>
            <w:vAlign w:val="bottom"/>
            <w:hideMark/>
          </w:tcPr>
          <w:p w:rsidR="00756160" w:rsidRPr="00230260" w14:paraId="67695824" w14:textId="77777777">
            <w:pPr>
              <w:autoSpaceDE/>
              <w:autoSpaceDN/>
              <w:jc w:val="center"/>
              <w:rPr>
                <w:rFonts w:eastAsia="Times New Roman"/>
                <w:b/>
                <w:bCs/>
                <w:color w:val="000000"/>
                <w:sz w:val="16"/>
                <w:szCs w:val="16"/>
              </w:rPr>
            </w:pPr>
            <w:r w:rsidRPr="00230260">
              <w:rPr>
                <w:rFonts w:eastAsia="Times New Roman"/>
                <w:b/>
                <w:bCs/>
                <w:color w:val="000000"/>
                <w:sz w:val="16"/>
                <w:szCs w:val="16"/>
              </w:rPr>
              <w:t>Hours*</w:t>
            </w:r>
          </w:p>
        </w:tc>
        <w:tc>
          <w:tcPr>
            <w:tcW w:w="990" w:type="dxa"/>
            <w:tcBorders>
              <w:top w:val="nil"/>
              <w:left w:val="nil"/>
              <w:bottom w:val="single" w:sz="4" w:space="0" w:color="auto"/>
              <w:right w:val="single" w:sz="4" w:space="0" w:color="auto"/>
            </w:tcBorders>
            <w:vAlign w:val="bottom"/>
            <w:hideMark/>
          </w:tcPr>
          <w:p w:rsidR="00756160" w:rsidRPr="00230260" w14:paraId="4F673B1D"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1022" w:type="dxa"/>
            <w:tcBorders>
              <w:top w:val="nil"/>
              <w:left w:val="nil"/>
              <w:bottom w:val="single" w:sz="4" w:space="0" w:color="auto"/>
              <w:right w:val="single" w:sz="4" w:space="0" w:color="auto"/>
            </w:tcBorders>
            <w:vAlign w:val="bottom"/>
            <w:hideMark/>
          </w:tcPr>
          <w:p w:rsidR="00756160" w:rsidRPr="00230260" w14:paraId="46539FCD"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778" w:type="dxa"/>
            <w:tcBorders>
              <w:top w:val="nil"/>
              <w:left w:val="nil"/>
              <w:bottom w:val="single" w:sz="4" w:space="0" w:color="auto"/>
              <w:right w:val="single" w:sz="4" w:space="0" w:color="auto"/>
            </w:tcBorders>
            <w:vAlign w:val="bottom"/>
            <w:hideMark/>
          </w:tcPr>
          <w:p w:rsidR="00756160" w:rsidRPr="00230260" w14:paraId="11265444" w14:textId="77777777">
            <w:pPr>
              <w:autoSpaceDE/>
              <w:autoSpaceDN/>
              <w:jc w:val="center"/>
              <w:rPr>
                <w:rFonts w:eastAsia="Times New Roman"/>
                <w:b/>
                <w:bCs/>
                <w:color w:val="000000"/>
                <w:sz w:val="16"/>
                <w:szCs w:val="16"/>
              </w:rPr>
            </w:pPr>
            <w:r w:rsidRPr="00230260">
              <w:rPr>
                <w:rFonts w:eastAsia="Times New Roman"/>
                <w:b/>
                <w:bCs/>
                <w:color w:val="000000"/>
                <w:sz w:val="16"/>
                <w:szCs w:val="16"/>
              </w:rPr>
              <w:t>Hours*</w:t>
            </w:r>
          </w:p>
        </w:tc>
        <w:tc>
          <w:tcPr>
            <w:tcW w:w="900" w:type="dxa"/>
            <w:tcBorders>
              <w:top w:val="nil"/>
              <w:left w:val="nil"/>
              <w:bottom w:val="single" w:sz="4" w:space="0" w:color="auto"/>
              <w:right w:val="single" w:sz="4" w:space="0" w:color="auto"/>
            </w:tcBorders>
            <w:vAlign w:val="bottom"/>
            <w:hideMark/>
          </w:tcPr>
          <w:p w:rsidR="00756160" w:rsidRPr="00230260" w14:paraId="067B718C" w14:textId="77777777">
            <w:pPr>
              <w:autoSpaceDE/>
              <w:autoSpaceDN/>
              <w:jc w:val="center"/>
              <w:rPr>
                <w:rFonts w:eastAsia="Times New Roman"/>
                <w:b/>
                <w:bCs/>
                <w:color w:val="000000"/>
                <w:sz w:val="16"/>
                <w:szCs w:val="16"/>
              </w:rPr>
            </w:pPr>
            <w:r w:rsidRPr="00230260">
              <w:rPr>
                <w:rFonts w:eastAsia="Times New Roman"/>
                <w:b/>
                <w:bCs/>
                <w:color w:val="000000"/>
                <w:sz w:val="16"/>
                <w:szCs w:val="16"/>
              </w:rPr>
              <w:t>Net Benefits (Costs)</w:t>
            </w:r>
          </w:p>
        </w:tc>
        <w:tc>
          <w:tcPr>
            <w:tcW w:w="1075" w:type="dxa"/>
            <w:vMerge/>
            <w:tcBorders>
              <w:top w:val="single" w:sz="4" w:space="0" w:color="auto"/>
              <w:left w:val="single" w:sz="4" w:space="0" w:color="auto"/>
              <w:bottom w:val="single" w:sz="4" w:space="0" w:color="auto"/>
              <w:right w:val="single" w:sz="4" w:space="0" w:color="auto"/>
            </w:tcBorders>
            <w:vAlign w:val="center"/>
            <w:hideMark/>
          </w:tcPr>
          <w:p w:rsidR="00756160" w:rsidRPr="00230260" w14:paraId="48BFCE38" w14:textId="77777777">
            <w:pPr>
              <w:autoSpaceDE/>
              <w:autoSpaceDN/>
              <w:rPr>
                <w:rFonts w:eastAsia="Times New Roman"/>
                <w:b/>
                <w:bCs/>
                <w:color w:val="000000"/>
                <w:sz w:val="16"/>
                <w:szCs w:val="16"/>
              </w:rPr>
            </w:pPr>
          </w:p>
        </w:tc>
      </w:tr>
      <w:tr w14:paraId="687A599B"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02275DD9" w14:textId="77777777">
            <w:pPr>
              <w:autoSpaceDE/>
              <w:autoSpaceDN/>
              <w:jc w:val="center"/>
              <w:rPr>
                <w:rFonts w:eastAsia="Times New Roman"/>
                <w:color w:val="000000"/>
                <w:sz w:val="16"/>
                <w:szCs w:val="16"/>
              </w:rPr>
            </w:pPr>
            <w:r w:rsidRPr="00230260">
              <w:rPr>
                <w:rFonts w:eastAsia="Times New Roman"/>
                <w:color w:val="000000"/>
                <w:sz w:val="16"/>
                <w:szCs w:val="16"/>
              </w:rPr>
              <w:t>2025</w:t>
            </w:r>
          </w:p>
        </w:tc>
        <w:tc>
          <w:tcPr>
            <w:tcW w:w="1440" w:type="dxa"/>
            <w:tcBorders>
              <w:top w:val="nil"/>
              <w:left w:val="nil"/>
              <w:bottom w:val="single" w:sz="4" w:space="0" w:color="auto"/>
              <w:right w:val="single" w:sz="4" w:space="0" w:color="auto"/>
            </w:tcBorders>
            <w:noWrap/>
            <w:vAlign w:val="bottom"/>
            <w:hideMark/>
          </w:tcPr>
          <w:p w:rsidR="00756160" w:rsidRPr="00230260" w14:paraId="3B48076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554FE66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75468D3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810" w:type="dxa"/>
            <w:tcBorders>
              <w:top w:val="nil"/>
              <w:left w:val="nil"/>
              <w:bottom w:val="single" w:sz="4" w:space="0" w:color="auto"/>
              <w:right w:val="single" w:sz="4" w:space="0" w:color="auto"/>
            </w:tcBorders>
            <w:noWrap/>
            <w:vAlign w:val="bottom"/>
            <w:hideMark/>
          </w:tcPr>
          <w:p w:rsidR="00756160" w:rsidRPr="00230260" w14:paraId="2EA4D06C" w14:textId="77777777">
            <w:pPr>
              <w:autoSpaceDE/>
              <w:autoSpaceDN/>
              <w:jc w:val="right"/>
              <w:rPr>
                <w:rFonts w:eastAsia="Times New Roman"/>
                <w:color w:val="000000"/>
                <w:sz w:val="16"/>
                <w:szCs w:val="16"/>
              </w:rPr>
            </w:pPr>
            <w:r w:rsidRPr="00230260">
              <w:rPr>
                <w:rFonts w:eastAsia="Times New Roman"/>
                <w:color w:val="000000"/>
                <w:sz w:val="16"/>
                <w:szCs w:val="16"/>
              </w:rPr>
              <w:t>766</w:t>
            </w:r>
          </w:p>
        </w:tc>
        <w:tc>
          <w:tcPr>
            <w:tcW w:w="990" w:type="dxa"/>
            <w:tcBorders>
              <w:top w:val="nil"/>
              <w:left w:val="nil"/>
              <w:bottom w:val="single" w:sz="4" w:space="0" w:color="auto"/>
              <w:right w:val="single" w:sz="4" w:space="0" w:color="auto"/>
            </w:tcBorders>
            <w:vAlign w:val="bottom"/>
            <w:hideMark/>
          </w:tcPr>
          <w:p w:rsidR="00756160" w:rsidRPr="00230260" w14:paraId="03DC9DDF" w14:textId="77777777">
            <w:pPr>
              <w:autoSpaceDE/>
              <w:autoSpaceDN/>
              <w:jc w:val="right"/>
              <w:rPr>
                <w:rFonts w:eastAsia="Times New Roman"/>
                <w:color w:val="000000"/>
                <w:sz w:val="16"/>
                <w:szCs w:val="16"/>
              </w:rPr>
            </w:pPr>
            <w:r w:rsidRPr="00230260">
              <w:rPr>
                <w:rFonts w:eastAsia="Times New Roman"/>
                <w:color w:val="000000"/>
                <w:sz w:val="16"/>
                <w:szCs w:val="16"/>
              </w:rPr>
              <w:t>($116,483)</w:t>
            </w:r>
          </w:p>
        </w:tc>
        <w:tc>
          <w:tcPr>
            <w:tcW w:w="1022" w:type="dxa"/>
            <w:tcBorders>
              <w:top w:val="nil"/>
              <w:left w:val="nil"/>
              <w:bottom w:val="single" w:sz="4" w:space="0" w:color="auto"/>
              <w:right w:val="single" w:sz="4" w:space="0" w:color="auto"/>
            </w:tcBorders>
            <w:vAlign w:val="bottom"/>
            <w:hideMark/>
          </w:tcPr>
          <w:p w:rsidR="00756160" w:rsidRPr="00230260" w14:paraId="41A1374C" w14:textId="77777777">
            <w:pPr>
              <w:autoSpaceDE/>
              <w:autoSpaceDN/>
              <w:jc w:val="right"/>
              <w:rPr>
                <w:rFonts w:eastAsia="Times New Roman"/>
                <w:color w:val="000000"/>
                <w:sz w:val="16"/>
                <w:szCs w:val="16"/>
              </w:rPr>
            </w:pPr>
            <w:r w:rsidRPr="00230260">
              <w:rPr>
                <w:rFonts w:eastAsia="Times New Roman"/>
                <w:color w:val="000000"/>
                <w:sz w:val="16"/>
                <w:szCs w:val="16"/>
              </w:rPr>
              <w:t>($116,483)</w:t>
            </w:r>
          </w:p>
        </w:tc>
        <w:tc>
          <w:tcPr>
            <w:tcW w:w="778" w:type="dxa"/>
            <w:tcBorders>
              <w:top w:val="nil"/>
              <w:left w:val="nil"/>
              <w:bottom w:val="single" w:sz="4" w:space="0" w:color="auto"/>
              <w:right w:val="single" w:sz="4" w:space="0" w:color="auto"/>
            </w:tcBorders>
            <w:noWrap/>
            <w:vAlign w:val="bottom"/>
            <w:hideMark/>
          </w:tcPr>
          <w:p w:rsidR="00756160" w:rsidRPr="00230260" w14:paraId="60D33CC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22D01DF3"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2519C3D4" w14:textId="77777777">
            <w:pPr>
              <w:autoSpaceDE/>
              <w:autoSpaceDN/>
              <w:jc w:val="right"/>
              <w:rPr>
                <w:rFonts w:eastAsia="Times New Roman"/>
                <w:color w:val="000000"/>
                <w:sz w:val="16"/>
                <w:szCs w:val="16"/>
              </w:rPr>
            </w:pPr>
            <w:r w:rsidRPr="007E5E6A">
              <w:rPr>
                <w:rFonts w:eastAsia="Times New Roman"/>
                <w:color w:val="000000"/>
                <w:sz w:val="16"/>
                <w:szCs w:val="16"/>
              </w:rPr>
              <w:t>($116,483)</w:t>
            </w:r>
          </w:p>
        </w:tc>
      </w:tr>
      <w:tr w14:paraId="7A8A6C64"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38CC74FD" w14:textId="77777777">
            <w:pPr>
              <w:autoSpaceDE/>
              <w:autoSpaceDN/>
              <w:jc w:val="center"/>
              <w:rPr>
                <w:rFonts w:eastAsia="Times New Roman"/>
                <w:color w:val="000000"/>
                <w:sz w:val="16"/>
                <w:szCs w:val="16"/>
              </w:rPr>
            </w:pPr>
            <w:r w:rsidRPr="00230260">
              <w:rPr>
                <w:rFonts w:eastAsia="Times New Roman"/>
                <w:color w:val="000000"/>
                <w:sz w:val="16"/>
                <w:szCs w:val="16"/>
              </w:rPr>
              <w:t>2026</w:t>
            </w:r>
          </w:p>
        </w:tc>
        <w:tc>
          <w:tcPr>
            <w:tcW w:w="1440" w:type="dxa"/>
            <w:tcBorders>
              <w:top w:val="nil"/>
              <w:left w:val="nil"/>
              <w:bottom w:val="single" w:sz="4" w:space="0" w:color="auto"/>
              <w:right w:val="single" w:sz="4" w:space="0" w:color="auto"/>
            </w:tcBorders>
            <w:noWrap/>
            <w:vAlign w:val="bottom"/>
            <w:hideMark/>
          </w:tcPr>
          <w:p w:rsidR="00756160" w:rsidRPr="00230260" w14:paraId="16B0D40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18C3847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1FBC796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1C895D0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5CC2806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2CC4C55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13D4416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50DCC961"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41266F58"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123C5537"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2B6D27F9" w14:textId="77777777">
            <w:pPr>
              <w:autoSpaceDE/>
              <w:autoSpaceDN/>
              <w:jc w:val="center"/>
              <w:rPr>
                <w:rFonts w:eastAsia="Times New Roman"/>
                <w:color w:val="000000"/>
                <w:sz w:val="16"/>
                <w:szCs w:val="16"/>
              </w:rPr>
            </w:pPr>
            <w:r w:rsidRPr="00230260">
              <w:rPr>
                <w:rFonts w:eastAsia="Times New Roman"/>
                <w:color w:val="000000"/>
                <w:sz w:val="16"/>
                <w:szCs w:val="16"/>
              </w:rPr>
              <w:t>2027</w:t>
            </w:r>
          </w:p>
        </w:tc>
        <w:tc>
          <w:tcPr>
            <w:tcW w:w="1440" w:type="dxa"/>
            <w:tcBorders>
              <w:top w:val="nil"/>
              <w:left w:val="nil"/>
              <w:bottom w:val="single" w:sz="4" w:space="0" w:color="auto"/>
              <w:right w:val="single" w:sz="4" w:space="0" w:color="auto"/>
            </w:tcBorders>
            <w:noWrap/>
            <w:vAlign w:val="bottom"/>
            <w:hideMark/>
          </w:tcPr>
          <w:p w:rsidR="00756160" w:rsidRPr="00230260" w14:paraId="15A347D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3406AD9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7F3D2D3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68FCE19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4867175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35F6B135"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53F900D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12A30A7C"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13D5F59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56D5AA1B"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2F9DD5E7" w14:textId="77777777">
            <w:pPr>
              <w:autoSpaceDE/>
              <w:autoSpaceDN/>
              <w:jc w:val="center"/>
              <w:rPr>
                <w:rFonts w:eastAsia="Times New Roman"/>
                <w:color w:val="000000"/>
                <w:sz w:val="16"/>
                <w:szCs w:val="16"/>
              </w:rPr>
            </w:pPr>
            <w:r w:rsidRPr="00230260">
              <w:rPr>
                <w:rFonts w:eastAsia="Times New Roman"/>
                <w:color w:val="000000"/>
                <w:sz w:val="16"/>
                <w:szCs w:val="16"/>
              </w:rPr>
              <w:t>2028</w:t>
            </w:r>
          </w:p>
        </w:tc>
        <w:tc>
          <w:tcPr>
            <w:tcW w:w="1440" w:type="dxa"/>
            <w:tcBorders>
              <w:top w:val="nil"/>
              <w:left w:val="nil"/>
              <w:bottom w:val="single" w:sz="4" w:space="0" w:color="auto"/>
              <w:right w:val="single" w:sz="4" w:space="0" w:color="auto"/>
            </w:tcBorders>
            <w:noWrap/>
            <w:vAlign w:val="bottom"/>
            <w:hideMark/>
          </w:tcPr>
          <w:p w:rsidR="00756160" w:rsidRPr="00230260" w14:paraId="5523DE3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5C1132B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1AD3293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31E0E63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1BEBBD0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3DBF2CC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6A259E7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403D22B5"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04694DA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7CC0DC27"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5DEBB9DB" w14:textId="77777777">
            <w:pPr>
              <w:autoSpaceDE/>
              <w:autoSpaceDN/>
              <w:jc w:val="center"/>
              <w:rPr>
                <w:rFonts w:eastAsia="Times New Roman"/>
                <w:color w:val="000000"/>
                <w:sz w:val="16"/>
                <w:szCs w:val="16"/>
              </w:rPr>
            </w:pPr>
            <w:r w:rsidRPr="00230260">
              <w:rPr>
                <w:rFonts w:eastAsia="Times New Roman"/>
                <w:color w:val="000000"/>
                <w:sz w:val="16"/>
                <w:szCs w:val="16"/>
              </w:rPr>
              <w:t>2029</w:t>
            </w:r>
          </w:p>
        </w:tc>
        <w:tc>
          <w:tcPr>
            <w:tcW w:w="1440" w:type="dxa"/>
            <w:tcBorders>
              <w:top w:val="nil"/>
              <w:left w:val="nil"/>
              <w:bottom w:val="single" w:sz="4" w:space="0" w:color="auto"/>
              <w:right w:val="single" w:sz="4" w:space="0" w:color="auto"/>
            </w:tcBorders>
            <w:noWrap/>
            <w:vAlign w:val="bottom"/>
            <w:hideMark/>
          </w:tcPr>
          <w:p w:rsidR="00756160" w:rsidRPr="00230260" w14:paraId="3745DD8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0E513FA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5E03531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409865E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318993F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05FDACFE"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6FE24C5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579764B2"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65FED867"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54111D43"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0DCAC439" w14:textId="77777777">
            <w:pPr>
              <w:autoSpaceDE/>
              <w:autoSpaceDN/>
              <w:jc w:val="center"/>
              <w:rPr>
                <w:rFonts w:eastAsia="Times New Roman"/>
                <w:color w:val="000000"/>
                <w:sz w:val="16"/>
                <w:szCs w:val="16"/>
              </w:rPr>
            </w:pPr>
            <w:r w:rsidRPr="00230260">
              <w:rPr>
                <w:rFonts w:eastAsia="Times New Roman"/>
                <w:color w:val="000000"/>
                <w:sz w:val="16"/>
                <w:szCs w:val="16"/>
              </w:rPr>
              <w:t>2030</w:t>
            </w:r>
          </w:p>
        </w:tc>
        <w:tc>
          <w:tcPr>
            <w:tcW w:w="1440" w:type="dxa"/>
            <w:tcBorders>
              <w:top w:val="nil"/>
              <w:left w:val="nil"/>
              <w:bottom w:val="single" w:sz="4" w:space="0" w:color="auto"/>
              <w:right w:val="single" w:sz="4" w:space="0" w:color="auto"/>
            </w:tcBorders>
            <w:noWrap/>
            <w:vAlign w:val="bottom"/>
            <w:hideMark/>
          </w:tcPr>
          <w:p w:rsidR="00756160" w:rsidRPr="00230260" w14:paraId="36D6828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5E59EA8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3A8812F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114B7AB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17AFD68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4FC5281F"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59A1008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109D4D8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7DB2EBE8"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51C14AF0"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2F9C8874" w14:textId="77777777">
            <w:pPr>
              <w:autoSpaceDE/>
              <w:autoSpaceDN/>
              <w:jc w:val="center"/>
              <w:rPr>
                <w:rFonts w:eastAsia="Times New Roman"/>
                <w:color w:val="000000"/>
                <w:sz w:val="16"/>
                <w:szCs w:val="16"/>
              </w:rPr>
            </w:pPr>
            <w:r w:rsidRPr="00230260">
              <w:rPr>
                <w:rFonts w:eastAsia="Times New Roman"/>
                <w:color w:val="000000"/>
                <w:sz w:val="16"/>
                <w:szCs w:val="16"/>
              </w:rPr>
              <w:t>2031</w:t>
            </w:r>
          </w:p>
        </w:tc>
        <w:tc>
          <w:tcPr>
            <w:tcW w:w="1440" w:type="dxa"/>
            <w:tcBorders>
              <w:top w:val="nil"/>
              <w:left w:val="nil"/>
              <w:bottom w:val="single" w:sz="4" w:space="0" w:color="auto"/>
              <w:right w:val="single" w:sz="4" w:space="0" w:color="auto"/>
            </w:tcBorders>
            <w:noWrap/>
            <w:vAlign w:val="bottom"/>
            <w:hideMark/>
          </w:tcPr>
          <w:p w:rsidR="00756160" w:rsidRPr="00230260" w14:paraId="232BA04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5BB1CC3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4EF3574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68692D9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2605F28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4D3649F6"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36C03431"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069EFCC4"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1C53B13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462145F0"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7F64C47B" w14:textId="77777777">
            <w:pPr>
              <w:autoSpaceDE/>
              <w:autoSpaceDN/>
              <w:jc w:val="center"/>
              <w:rPr>
                <w:rFonts w:eastAsia="Times New Roman"/>
                <w:color w:val="000000"/>
                <w:sz w:val="16"/>
                <w:szCs w:val="16"/>
              </w:rPr>
            </w:pPr>
            <w:r w:rsidRPr="00230260">
              <w:rPr>
                <w:rFonts w:eastAsia="Times New Roman"/>
                <w:color w:val="000000"/>
                <w:sz w:val="16"/>
                <w:szCs w:val="16"/>
              </w:rPr>
              <w:t>2032</w:t>
            </w:r>
          </w:p>
        </w:tc>
        <w:tc>
          <w:tcPr>
            <w:tcW w:w="1440" w:type="dxa"/>
            <w:tcBorders>
              <w:top w:val="nil"/>
              <w:left w:val="nil"/>
              <w:bottom w:val="single" w:sz="4" w:space="0" w:color="auto"/>
              <w:right w:val="single" w:sz="4" w:space="0" w:color="auto"/>
            </w:tcBorders>
            <w:noWrap/>
            <w:vAlign w:val="bottom"/>
            <w:hideMark/>
          </w:tcPr>
          <w:p w:rsidR="00756160" w:rsidRPr="00230260" w14:paraId="57D2A71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4760A8F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623F11D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289CB74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1F300BE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1144EF4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1C9CABF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417E2AE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203FAEC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03FEDA3D"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0584D7C4" w14:textId="77777777">
            <w:pPr>
              <w:autoSpaceDE/>
              <w:autoSpaceDN/>
              <w:jc w:val="center"/>
              <w:rPr>
                <w:rFonts w:eastAsia="Times New Roman"/>
                <w:color w:val="000000"/>
                <w:sz w:val="16"/>
                <w:szCs w:val="16"/>
              </w:rPr>
            </w:pPr>
            <w:r w:rsidRPr="00230260">
              <w:rPr>
                <w:rFonts w:eastAsia="Times New Roman"/>
                <w:color w:val="000000"/>
                <w:sz w:val="16"/>
                <w:szCs w:val="16"/>
              </w:rPr>
              <w:t>2033</w:t>
            </w:r>
          </w:p>
        </w:tc>
        <w:tc>
          <w:tcPr>
            <w:tcW w:w="1440" w:type="dxa"/>
            <w:tcBorders>
              <w:top w:val="nil"/>
              <w:left w:val="nil"/>
              <w:bottom w:val="single" w:sz="4" w:space="0" w:color="auto"/>
              <w:right w:val="single" w:sz="4" w:space="0" w:color="auto"/>
            </w:tcBorders>
            <w:noWrap/>
            <w:vAlign w:val="bottom"/>
            <w:hideMark/>
          </w:tcPr>
          <w:p w:rsidR="00756160" w:rsidRPr="00230260" w14:paraId="545629E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0893845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1E4931F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790E65D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38668B4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50FAF5D8"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46B6366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5751426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636DBD2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213E04EF"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630711CD" w14:textId="77777777">
            <w:pPr>
              <w:autoSpaceDE/>
              <w:autoSpaceDN/>
              <w:jc w:val="center"/>
              <w:rPr>
                <w:rFonts w:eastAsia="Times New Roman"/>
                <w:color w:val="000000"/>
                <w:sz w:val="16"/>
                <w:szCs w:val="16"/>
              </w:rPr>
            </w:pPr>
            <w:r w:rsidRPr="00230260">
              <w:rPr>
                <w:rFonts w:eastAsia="Times New Roman"/>
                <w:color w:val="000000"/>
                <w:sz w:val="16"/>
                <w:szCs w:val="16"/>
              </w:rPr>
              <w:t>2034</w:t>
            </w:r>
          </w:p>
        </w:tc>
        <w:tc>
          <w:tcPr>
            <w:tcW w:w="1440" w:type="dxa"/>
            <w:tcBorders>
              <w:top w:val="nil"/>
              <w:left w:val="nil"/>
              <w:bottom w:val="single" w:sz="4" w:space="0" w:color="auto"/>
              <w:right w:val="single" w:sz="4" w:space="0" w:color="auto"/>
            </w:tcBorders>
            <w:noWrap/>
            <w:vAlign w:val="bottom"/>
            <w:hideMark/>
          </w:tcPr>
          <w:p w:rsidR="00756160" w:rsidRPr="00230260" w14:paraId="2142D5C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1C108AF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41AEE9E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6E4F74F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794811B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5CDC3A13"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07ACC55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0A1B7DA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5BB09B2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r>
      <w:tr w14:paraId="3921CB4C"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63501AC4" w14:textId="77777777">
            <w:pPr>
              <w:autoSpaceDE/>
              <w:autoSpaceDN/>
              <w:jc w:val="center"/>
              <w:rPr>
                <w:rFonts w:eastAsia="Times New Roman"/>
                <w:color w:val="000000"/>
                <w:sz w:val="16"/>
                <w:szCs w:val="16"/>
              </w:rPr>
            </w:pPr>
            <w:r w:rsidRPr="00230260">
              <w:rPr>
                <w:rFonts w:eastAsia="Times New Roman"/>
                <w:color w:val="000000"/>
                <w:sz w:val="16"/>
                <w:szCs w:val="16"/>
              </w:rPr>
              <w:t>2035</w:t>
            </w:r>
          </w:p>
        </w:tc>
        <w:tc>
          <w:tcPr>
            <w:tcW w:w="1440" w:type="dxa"/>
            <w:tcBorders>
              <w:top w:val="nil"/>
              <w:left w:val="nil"/>
              <w:bottom w:val="single" w:sz="4" w:space="0" w:color="auto"/>
              <w:right w:val="single" w:sz="4" w:space="0" w:color="auto"/>
            </w:tcBorders>
            <w:noWrap/>
            <w:vAlign w:val="bottom"/>
            <w:hideMark/>
          </w:tcPr>
          <w:p w:rsidR="00756160" w:rsidRPr="00230260" w14:paraId="131FB828"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noWrap/>
            <w:vAlign w:val="bottom"/>
            <w:hideMark/>
          </w:tcPr>
          <w:p w:rsidR="00756160" w:rsidRPr="00230260" w14:paraId="42E8A00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71505A6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32A7FE4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71D3995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5DADFEAF"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77107163"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vAlign w:val="bottom"/>
            <w:hideMark/>
          </w:tcPr>
          <w:p w:rsidR="00756160" w:rsidRPr="00230260" w14:paraId="4CDADFCC"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vAlign w:val="bottom"/>
            <w:hideMark/>
          </w:tcPr>
          <w:p w:rsidR="00756160" w:rsidRPr="00230260" w14:paraId="03C86044"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5C29F557"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6080FE18" w14:textId="77777777">
            <w:pPr>
              <w:autoSpaceDE/>
              <w:autoSpaceDN/>
              <w:jc w:val="center"/>
              <w:rPr>
                <w:rFonts w:eastAsia="Times New Roman"/>
                <w:color w:val="000000"/>
                <w:sz w:val="16"/>
                <w:szCs w:val="16"/>
              </w:rPr>
            </w:pPr>
            <w:r w:rsidRPr="00230260">
              <w:rPr>
                <w:rFonts w:eastAsia="Times New Roman"/>
                <w:color w:val="000000"/>
                <w:sz w:val="16"/>
                <w:szCs w:val="16"/>
              </w:rPr>
              <w:t>2036</w:t>
            </w:r>
          </w:p>
        </w:tc>
        <w:tc>
          <w:tcPr>
            <w:tcW w:w="1440" w:type="dxa"/>
            <w:tcBorders>
              <w:top w:val="nil"/>
              <w:left w:val="nil"/>
              <w:bottom w:val="single" w:sz="4" w:space="0" w:color="auto"/>
              <w:right w:val="single" w:sz="4" w:space="0" w:color="auto"/>
            </w:tcBorders>
            <w:noWrap/>
            <w:vAlign w:val="bottom"/>
            <w:hideMark/>
          </w:tcPr>
          <w:p w:rsidR="00756160" w:rsidRPr="00230260" w14:paraId="4FA0D69A"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6855C3C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3D43E64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70E72FB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701DDF6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4510A2E0"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2A453C39"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3D24302C"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3058DD2E"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r>
      <w:tr w14:paraId="6427FAA3"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50B5FD52" w14:textId="77777777">
            <w:pPr>
              <w:autoSpaceDE/>
              <w:autoSpaceDN/>
              <w:jc w:val="center"/>
              <w:rPr>
                <w:rFonts w:eastAsia="Times New Roman"/>
                <w:color w:val="000000"/>
                <w:sz w:val="16"/>
                <w:szCs w:val="16"/>
              </w:rPr>
            </w:pPr>
            <w:r w:rsidRPr="00230260">
              <w:rPr>
                <w:rFonts w:eastAsia="Times New Roman"/>
                <w:color w:val="000000"/>
                <w:sz w:val="16"/>
                <w:szCs w:val="16"/>
              </w:rPr>
              <w:t>2037</w:t>
            </w:r>
          </w:p>
        </w:tc>
        <w:tc>
          <w:tcPr>
            <w:tcW w:w="1440" w:type="dxa"/>
            <w:tcBorders>
              <w:top w:val="nil"/>
              <w:left w:val="nil"/>
              <w:bottom w:val="single" w:sz="4" w:space="0" w:color="auto"/>
              <w:right w:val="single" w:sz="4" w:space="0" w:color="auto"/>
            </w:tcBorders>
            <w:noWrap/>
            <w:vAlign w:val="bottom"/>
            <w:hideMark/>
          </w:tcPr>
          <w:p w:rsidR="00756160" w:rsidRPr="00230260" w14:paraId="70C41026"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2CAC681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6D21C53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4397DC2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33E5596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00A27AD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74503298"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43B1E7E8"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1B1A89DF"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r>
      <w:tr w14:paraId="33FD5E0D"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6CC73C1E" w14:textId="77777777">
            <w:pPr>
              <w:autoSpaceDE/>
              <w:autoSpaceDN/>
              <w:jc w:val="center"/>
              <w:rPr>
                <w:rFonts w:eastAsia="Times New Roman"/>
                <w:color w:val="000000"/>
                <w:sz w:val="16"/>
                <w:szCs w:val="16"/>
              </w:rPr>
            </w:pPr>
            <w:r w:rsidRPr="00230260">
              <w:rPr>
                <w:rFonts w:eastAsia="Times New Roman"/>
                <w:color w:val="000000"/>
                <w:sz w:val="16"/>
                <w:szCs w:val="16"/>
              </w:rPr>
              <w:t>2038</w:t>
            </w:r>
          </w:p>
        </w:tc>
        <w:tc>
          <w:tcPr>
            <w:tcW w:w="1440" w:type="dxa"/>
            <w:tcBorders>
              <w:top w:val="nil"/>
              <w:left w:val="nil"/>
              <w:bottom w:val="single" w:sz="4" w:space="0" w:color="auto"/>
              <w:right w:val="single" w:sz="4" w:space="0" w:color="auto"/>
            </w:tcBorders>
            <w:noWrap/>
            <w:vAlign w:val="bottom"/>
            <w:hideMark/>
          </w:tcPr>
          <w:p w:rsidR="00756160" w:rsidRPr="00230260" w14:paraId="325A433C"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noWrap/>
            <w:vAlign w:val="bottom"/>
            <w:hideMark/>
          </w:tcPr>
          <w:p w:rsidR="00756160" w:rsidRPr="00230260" w14:paraId="4BD223D9"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57B6078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7D4AF19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3F235F9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4B16D1A3"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45753361"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vAlign w:val="bottom"/>
            <w:hideMark/>
          </w:tcPr>
          <w:p w:rsidR="00756160" w:rsidRPr="00230260" w14:paraId="3C40EFEC"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vAlign w:val="bottom"/>
            <w:hideMark/>
          </w:tcPr>
          <w:p w:rsidR="00756160" w:rsidRPr="00230260" w14:paraId="224108DA"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5B2EE083"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1A0DDDCF" w14:textId="77777777">
            <w:pPr>
              <w:autoSpaceDE/>
              <w:autoSpaceDN/>
              <w:jc w:val="center"/>
              <w:rPr>
                <w:rFonts w:eastAsia="Times New Roman"/>
                <w:color w:val="000000"/>
                <w:sz w:val="16"/>
                <w:szCs w:val="16"/>
              </w:rPr>
            </w:pPr>
            <w:r w:rsidRPr="00230260">
              <w:rPr>
                <w:rFonts w:eastAsia="Times New Roman"/>
                <w:color w:val="000000"/>
                <w:sz w:val="16"/>
                <w:szCs w:val="16"/>
              </w:rPr>
              <w:t>2039</w:t>
            </w:r>
          </w:p>
        </w:tc>
        <w:tc>
          <w:tcPr>
            <w:tcW w:w="1440" w:type="dxa"/>
            <w:tcBorders>
              <w:top w:val="nil"/>
              <w:left w:val="nil"/>
              <w:bottom w:val="single" w:sz="4" w:space="0" w:color="auto"/>
              <w:right w:val="single" w:sz="4" w:space="0" w:color="auto"/>
            </w:tcBorders>
            <w:noWrap/>
            <w:vAlign w:val="bottom"/>
            <w:hideMark/>
          </w:tcPr>
          <w:p w:rsidR="00756160" w:rsidRPr="00230260" w14:paraId="210313CF"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noWrap/>
            <w:vAlign w:val="bottom"/>
            <w:hideMark/>
          </w:tcPr>
          <w:p w:rsidR="00756160" w:rsidRPr="00230260" w14:paraId="0E1BBC3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5910B03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70463D0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51A0DF3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23A0CD9A"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6AFC4763"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vAlign w:val="bottom"/>
            <w:hideMark/>
          </w:tcPr>
          <w:p w:rsidR="00756160" w:rsidRPr="00230260" w14:paraId="6B4B94E0"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vAlign w:val="bottom"/>
            <w:hideMark/>
          </w:tcPr>
          <w:p w:rsidR="00756160" w:rsidRPr="00230260" w14:paraId="4D9B5594"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0A48F47E"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3067E1F3" w14:textId="77777777">
            <w:pPr>
              <w:autoSpaceDE/>
              <w:autoSpaceDN/>
              <w:jc w:val="center"/>
              <w:rPr>
                <w:rFonts w:eastAsia="Times New Roman"/>
                <w:color w:val="000000"/>
                <w:sz w:val="16"/>
                <w:szCs w:val="16"/>
              </w:rPr>
            </w:pPr>
            <w:r w:rsidRPr="00230260">
              <w:rPr>
                <w:rFonts w:eastAsia="Times New Roman"/>
                <w:color w:val="000000"/>
                <w:sz w:val="16"/>
                <w:szCs w:val="16"/>
              </w:rPr>
              <w:t>2040</w:t>
            </w:r>
          </w:p>
        </w:tc>
        <w:tc>
          <w:tcPr>
            <w:tcW w:w="1440" w:type="dxa"/>
            <w:tcBorders>
              <w:top w:val="nil"/>
              <w:left w:val="nil"/>
              <w:bottom w:val="single" w:sz="4" w:space="0" w:color="auto"/>
              <w:right w:val="single" w:sz="4" w:space="0" w:color="auto"/>
            </w:tcBorders>
            <w:noWrap/>
            <w:vAlign w:val="bottom"/>
            <w:hideMark/>
          </w:tcPr>
          <w:p w:rsidR="00756160" w:rsidRPr="00230260" w14:paraId="1C53F162"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720" w:type="dxa"/>
            <w:tcBorders>
              <w:top w:val="nil"/>
              <w:left w:val="nil"/>
              <w:bottom w:val="single" w:sz="4" w:space="0" w:color="auto"/>
              <w:right w:val="single" w:sz="4" w:space="0" w:color="auto"/>
            </w:tcBorders>
            <w:noWrap/>
            <w:vAlign w:val="bottom"/>
            <w:hideMark/>
          </w:tcPr>
          <w:p w:rsidR="00756160" w:rsidRPr="00230260" w14:paraId="5B6008B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0E3BB66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23D0E69B"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202B9EB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4474236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367FE3BD" w14:textId="77777777">
            <w:pPr>
              <w:autoSpaceDE/>
              <w:autoSpaceDN/>
              <w:jc w:val="right"/>
              <w:rPr>
                <w:rFonts w:eastAsia="Times New Roman"/>
                <w:color w:val="000000"/>
                <w:sz w:val="16"/>
                <w:szCs w:val="16"/>
              </w:rPr>
            </w:pPr>
            <w:r w:rsidRPr="007E5E6A">
              <w:rPr>
                <w:rFonts w:eastAsia="Times New Roman"/>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6350AD03"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c>
          <w:tcPr>
            <w:tcW w:w="1075" w:type="dxa"/>
            <w:tcBorders>
              <w:top w:val="nil"/>
              <w:left w:val="nil"/>
              <w:bottom w:val="single" w:sz="4" w:space="0" w:color="auto"/>
              <w:right w:val="single" w:sz="4" w:space="0" w:color="auto"/>
            </w:tcBorders>
            <w:vAlign w:val="bottom"/>
            <w:hideMark/>
          </w:tcPr>
          <w:p w:rsidR="00756160" w:rsidRPr="00230260" w14:paraId="290A46C0" w14:textId="77777777">
            <w:pPr>
              <w:autoSpaceDE/>
              <w:autoSpaceDN/>
              <w:jc w:val="right"/>
              <w:rPr>
                <w:rFonts w:eastAsia="Times New Roman"/>
                <w:color w:val="000000"/>
                <w:sz w:val="16"/>
                <w:szCs w:val="16"/>
              </w:rPr>
            </w:pPr>
            <w:r w:rsidRPr="007E5E6A">
              <w:rPr>
                <w:rFonts w:eastAsia="Times New Roman"/>
                <w:color w:val="000000"/>
                <w:sz w:val="16"/>
                <w:szCs w:val="16"/>
              </w:rPr>
              <w:t xml:space="preserve">$0 </w:t>
            </w:r>
          </w:p>
        </w:tc>
      </w:tr>
      <w:tr w14:paraId="6E3F65E3"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2BD836DA" w14:textId="77777777">
            <w:pPr>
              <w:autoSpaceDE/>
              <w:autoSpaceDN/>
              <w:jc w:val="center"/>
              <w:rPr>
                <w:rFonts w:eastAsia="Times New Roman"/>
                <w:color w:val="000000"/>
                <w:sz w:val="16"/>
                <w:szCs w:val="16"/>
              </w:rPr>
            </w:pPr>
            <w:r w:rsidRPr="00230260">
              <w:rPr>
                <w:rFonts w:eastAsia="Times New Roman"/>
                <w:color w:val="000000"/>
                <w:sz w:val="16"/>
                <w:szCs w:val="16"/>
              </w:rPr>
              <w:t>2041</w:t>
            </w:r>
          </w:p>
        </w:tc>
        <w:tc>
          <w:tcPr>
            <w:tcW w:w="1440" w:type="dxa"/>
            <w:tcBorders>
              <w:top w:val="nil"/>
              <w:left w:val="nil"/>
              <w:bottom w:val="single" w:sz="4" w:space="0" w:color="auto"/>
              <w:right w:val="single" w:sz="4" w:space="0" w:color="auto"/>
            </w:tcBorders>
            <w:noWrap/>
            <w:vAlign w:val="bottom"/>
            <w:hideMark/>
          </w:tcPr>
          <w:p w:rsidR="00756160" w:rsidRPr="00230260" w14:paraId="20BD2210"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noWrap/>
            <w:vAlign w:val="bottom"/>
            <w:hideMark/>
          </w:tcPr>
          <w:p w:rsidR="00756160" w:rsidRPr="00230260" w14:paraId="12D083A0"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6456535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5EC8E023"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5B4B983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7E1C9A8D"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2A62021E"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vAlign w:val="bottom"/>
            <w:hideMark/>
          </w:tcPr>
          <w:p w:rsidR="00756160" w:rsidRPr="00230260" w14:paraId="0CF80C26"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vAlign w:val="bottom"/>
            <w:hideMark/>
          </w:tcPr>
          <w:p w:rsidR="00756160" w:rsidRPr="00230260" w14:paraId="22F6B9B7"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4D744DC2"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1134AF74" w14:textId="77777777">
            <w:pPr>
              <w:autoSpaceDE/>
              <w:autoSpaceDN/>
              <w:jc w:val="center"/>
              <w:rPr>
                <w:rFonts w:eastAsia="Times New Roman"/>
                <w:color w:val="000000"/>
                <w:sz w:val="16"/>
                <w:szCs w:val="16"/>
              </w:rPr>
            </w:pPr>
            <w:r w:rsidRPr="00230260">
              <w:rPr>
                <w:rFonts w:eastAsia="Times New Roman"/>
                <w:color w:val="000000"/>
                <w:sz w:val="16"/>
                <w:szCs w:val="16"/>
              </w:rPr>
              <w:t>2042</w:t>
            </w:r>
          </w:p>
        </w:tc>
        <w:tc>
          <w:tcPr>
            <w:tcW w:w="1440" w:type="dxa"/>
            <w:tcBorders>
              <w:top w:val="nil"/>
              <w:left w:val="nil"/>
              <w:bottom w:val="single" w:sz="4" w:space="0" w:color="auto"/>
              <w:right w:val="single" w:sz="4" w:space="0" w:color="auto"/>
            </w:tcBorders>
            <w:noWrap/>
            <w:vAlign w:val="bottom"/>
            <w:hideMark/>
          </w:tcPr>
          <w:p w:rsidR="00756160" w:rsidRPr="00230260" w14:paraId="2D3B9D87" w14:textId="77777777">
            <w:pPr>
              <w:autoSpaceDE/>
              <w:autoSpaceDN/>
              <w:jc w:val="right"/>
              <w:rPr>
                <w:rFonts w:eastAsia="Times New Roman"/>
                <w:color w:val="000000"/>
                <w:sz w:val="16"/>
                <w:szCs w:val="16"/>
              </w:rPr>
            </w:pPr>
            <w:r w:rsidRPr="007E5E6A">
              <w:rPr>
                <w:rFonts w:eastAsia="Times New Roman"/>
                <w:color w:val="000000"/>
                <w:sz w:val="16"/>
                <w:szCs w:val="16"/>
              </w:rPr>
              <w:t>2</w:t>
            </w:r>
          </w:p>
        </w:tc>
        <w:tc>
          <w:tcPr>
            <w:tcW w:w="720" w:type="dxa"/>
            <w:tcBorders>
              <w:top w:val="nil"/>
              <w:left w:val="nil"/>
              <w:bottom w:val="single" w:sz="4" w:space="0" w:color="auto"/>
              <w:right w:val="single" w:sz="4" w:space="0" w:color="auto"/>
            </w:tcBorders>
            <w:noWrap/>
            <w:vAlign w:val="bottom"/>
            <w:hideMark/>
          </w:tcPr>
          <w:p w:rsidR="00756160" w:rsidRPr="00230260" w14:paraId="63171A35"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08555F1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4E2E98AD"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6CA40714"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6BB0691F"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69BDC8F7" w14:textId="77777777">
            <w:pPr>
              <w:autoSpaceDE/>
              <w:autoSpaceDN/>
              <w:jc w:val="right"/>
              <w:rPr>
                <w:rFonts w:eastAsia="Times New Roman"/>
                <w:color w:val="000000"/>
                <w:sz w:val="16"/>
                <w:szCs w:val="16"/>
              </w:rPr>
            </w:pPr>
            <w:r w:rsidRPr="007E5E6A">
              <w:rPr>
                <w:rFonts w:eastAsia="Times New Roman"/>
                <w:color w:val="000000"/>
                <w:sz w:val="16"/>
                <w:szCs w:val="16"/>
              </w:rPr>
              <w:t>161</w:t>
            </w:r>
          </w:p>
        </w:tc>
        <w:tc>
          <w:tcPr>
            <w:tcW w:w="900" w:type="dxa"/>
            <w:tcBorders>
              <w:top w:val="nil"/>
              <w:left w:val="nil"/>
              <w:bottom w:val="single" w:sz="4" w:space="0" w:color="auto"/>
              <w:right w:val="single" w:sz="4" w:space="0" w:color="auto"/>
            </w:tcBorders>
            <w:vAlign w:val="bottom"/>
            <w:hideMark/>
          </w:tcPr>
          <w:p w:rsidR="00756160" w:rsidRPr="00230260" w14:paraId="30D38B91"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c>
          <w:tcPr>
            <w:tcW w:w="1075" w:type="dxa"/>
            <w:tcBorders>
              <w:top w:val="nil"/>
              <w:left w:val="nil"/>
              <w:bottom w:val="single" w:sz="4" w:space="0" w:color="auto"/>
              <w:right w:val="single" w:sz="4" w:space="0" w:color="auto"/>
            </w:tcBorders>
            <w:vAlign w:val="bottom"/>
            <w:hideMark/>
          </w:tcPr>
          <w:p w:rsidR="00756160" w:rsidRPr="00230260" w14:paraId="3E9DF95E"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r>
      <w:tr w14:paraId="1C8650CE"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01D7F7AD" w14:textId="77777777">
            <w:pPr>
              <w:autoSpaceDE/>
              <w:autoSpaceDN/>
              <w:jc w:val="center"/>
              <w:rPr>
                <w:rFonts w:eastAsia="Times New Roman"/>
                <w:color w:val="000000"/>
                <w:sz w:val="16"/>
                <w:szCs w:val="16"/>
              </w:rPr>
            </w:pPr>
            <w:r w:rsidRPr="00230260">
              <w:rPr>
                <w:rFonts w:eastAsia="Times New Roman"/>
                <w:color w:val="000000"/>
                <w:sz w:val="16"/>
                <w:szCs w:val="16"/>
              </w:rPr>
              <w:t>2043</w:t>
            </w:r>
          </w:p>
        </w:tc>
        <w:tc>
          <w:tcPr>
            <w:tcW w:w="1440" w:type="dxa"/>
            <w:tcBorders>
              <w:top w:val="nil"/>
              <w:left w:val="nil"/>
              <w:bottom w:val="single" w:sz="4" w:space="0" w:color="auto"/>
              <w:right w:val="single" w:sz="4" w:space="0" w:color="auto"/>
            </w:tcBorders>
            <w:noWrap/>
            <w:vAlign w:val="bottom"/>
            <w:hideMark/>
          </w:tcPr>
          <w:p w:rsidR="00756160" w:rsidRPr="00230260" w14:paraId="55456669"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noWrap/>
            <w:vAlign w:val="bottom"/>
            <w:hideMark/>
          </w:tcPr>
          <w:p w:rsidR="00756160" w:rsidRPr="00230260" w14:paraId="6276BDAF"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0057D6DE"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44DAB28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14FFC182"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32AF5FA2"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0CF4A7AA"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vAlign w:val="bottom"/>
            <w:hideMark/>
          </w:tcPr>
          <w:p w:rsidR="00756160" w:rsidRPr="00230260" w14:paraId="20D0E81F"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vAlign w:val="bottom"/>
            <w:hideMark/>
          </w:tcPr>
          <w:p w:rsidR="00756160" w:rsidRPr="00230260" w14:paraId="0965AC0E"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6D11710F"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67D6BFC2" w14:textId="77777777">
            <w:pPr>
              <w:autoSpaceDE/>
              <w:autoSpaceDN/>
              <w:jc w:val="center"/>
              <w:rPr>
                <w:rFonts w:eastAsia="Times New Roman"/>
                <w:color w:val="000000"/>
                <w:sz w:val="16"/>
                <w:szCs w:val="16"/>
              </w:rPr>
            </w:pPr>
            <w:r w:rsidRPr="00230260">
              <w:rPr>
                <w:rFonts w:eastAsia="Times New Roman"/>
                <w:color w:val="000000"/>
                <w:sz w:val="16"/>
                <w:szCs w:val="16"/>
              </w:rPr>
              <w:t>2044</w:t>
            </w:r>
          </w:p>
        </w:tc>
        <w:tc>
          <w:tcPr>
            <w:tcW w:w="1440" w:type="dxa"/>
            <w:tcBorders>
              <w:top w:val="nil"/>
              <w:left w:val="nil"/>
              <w:bottom w:val="single" w:sz="4" w:space="0" w:color="auto"/>
              <w:right w:val="single" w:sz="4" w:space="0" w:color="auto"/>
            </w:tcBorders>
            <w:noWrap/>
            <w:vAlign w:val="bottom"/>
            <w:hideMark/>
          </w:tcPr>
          <w:p w:rsidR="00756160" w:rsidRPr="00230260" w14:paraId="348755E9" w14:textId="77777777">
            <w:pPr>
              <w:autoSpaceDE/>
              <w:autoSpaceDN/>
              <w:jc w:val="right"/>
              <w:rPr>
                <w:rFonts w:eastAsia="Times New Roman"/>
                <w:color w:val="000000"/>
                <w:sz w:val="16"/>
                <w:szCs w:val="16"/>
              </w:rPr>
            </w:pPr>
            <w:r w:rsidRPr="007E5E6A">
              <w:rPr>
                <w:rFonts w:eastAsia="Times New Roman"/>
                <w:color w:val="000000"/>
                <w:sz w:val="16"/>
                <w:szCs w:val="16"/>
              </w:rPr>
              <w:t>2</w:t>
            </w:r>
          </w:p>
        </w:tc>
        <w:tc>
          <w:tcPr>
            <w:tcW w:w="720" w:type="dxa"/>
            <w:tcBorders>
              <w:top w:val="nil"/>
              <w:left w:val="nil"/>
              <w:bottom w:val="single" w:sz="4" w:space="0" w:color="auto"/>
              <w:right w:val="single" w:sz="4" w:space="0" w:color="auto"/>
            </w:tcBorders>
            <w:noWrap/>
            <w:vAlign w:val="bottom"/>
            <w:hideMark/>
          </w:tcPr>
          <w:p w:rsidR="00756160" w:rsidRPr="00230260" w14:paraId="46F79CB8"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244406DA"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60C7A20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659FAF4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3A14DEC3"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4DB2A4BF" w14:textId="77777777">
            <w:pPr>
              <w:autoSpaceDE/>
              <w:autoSpaceDN/>
              <w:jc w:val="right"/>
              <w:rPr>
                <w:rFonts w:eastAsia="Times New Roman"/>
                <w:color w:val="000000"/>
                <w:sz w:val="16"/>
                <w:szCs w:val="16"/>
              </w:rPr>
            </w:pPr>
            <w:r w:rsidRPr="007E5E6A">
              <w:rPr>
                <w:rFonts w:eastAsia="Times New Roman"/>
                <w:color w:val="000000"/>
                <w:sz w:val="16"/>
                <w:szCs w:val="16"/>
              </w:rPr>
              <w:t>161</w:t>
            </w:r>
          </w:p>
        </w:tc>
        <w:tc>
          <w:tcPr>
            <w:tcW w:w="900" w:type="dxa"/>
            <w:tcBorders>
              <w:top w:val="nil"/>
              <w:left w:val="nil"/>
              <w:bottom w:val="single" w:sz="4" w:space="0" w:color="auto"/>
              <w:right w:val="single" w:sz="4" w:space="0" w:color="auto"/>
            </w:tcBorders>
            <w:vAlign w:val="bottom"/>
            <w:hideMark/>
          </w:tcPr>
          <w:p w:rsidR="00756160" w:rsidRPr="00230260" w14:paraId="59671F48"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c>
          <w:tcPr>
            <w:tcW w:w="1075" w:type="dxa"/>
            <w:tcBorders>
              <w:top w:val="nil"/>
              <w:left w:val="nil"/>
              <w:bottom w:val="single" w:sz="4" w:space="0" w:color="auto"/>
              <w:right w:val="single" w:sz="4" w:space="0" w:color="auto"/>
            </w:tcBorders>
            <w:vAlign w:val="bottom"/>
            <w:hideMark/>
          </w:tcPr>
          <w:p w:rsidR="00756160" w:rsidRPr="00230260" w14:paraId="6427FC93" w14:textId="77777777">
            <w:pPr>
              <w:autoSpaceDE/>
              <w:autoSpaceDN/>
              <w:jc w:val="right"/>
              <w:rPr>
                <w:rFonts w:eastAsia="Times New Roman"/>
                <w:color w:val="000000"/>
                <w:sz w:val="16"/>
                <w:szCs w:val="16"/>
              </w:rPr>
            </w:pPr>
            <w:r w:rsidRPr="007E5E6A">
              <w:rPr>
                <w:rFonts w:eastAsia="Times New Roman"/>
                <w:color w:val="000000"/>
                <w:sz w:val="16"/>
                <w:szCs w:val="16"/>
              </w:rPr>
              <w:t xml:space="preserve">$24,523 </w:t>
            </w:r>
          </w:p>
        </w:tc>
      </w:tr>
      <w:tr w14:paraId="32A980DC"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512B4E99" w14:textId="77777777">
            <w:pPr>
              <w:autoSpaceDE/>
              <w:autoSpaceDN/>
              <w:jc w:val="center"/>
              <w:rPr>
                <w:rFonts w:eastAsia="Times New Roman"/>
                <w:color w:val="000000"/>
                <w:sz w:val="16"/>
                <w:szCs w:val="16"/>
              </w:rPr>
            </w:pPr>
            <w:r w:rsidRPr="00230260">
              <w:rPr>
                <w:rFonts w:eastAsia="Times New Roman"/>
                <w:color w:val="000000"/>
                <w:sz w:val="16"/>
                <w:szCs w:val="16"/>
              </w:rPr>
              <w:t>2045</w:t>
            </w:r>
          </w:p>
        </w:tc>
        <w:tc>
          <w:tcPr>
            <w:tcW w:w="1440" w:type="dxa"/>
            <w:tcBorders>
              <w:top w:val="nil"/>
              <w:left w:val="nil"/>
              <w:bottom w:val="single" w:sz="4" w:space="0" w:color="auto"/>
              <w:right w:val="single" w:sz="4" w:space="0" w:color="auto"/>
            </w:tcBorders>
            <w:noWrap/>
            <w:vAlign w:val="bottom"/>
            <w:hideMark/>
          </w:tcPr>
          <w:p w:rsidR="00756160" w:rsidRPr="00230260" w14:paraId="0573310E" w14:textId="77777777">
            <w:pPr>
              <w:autoSpaceDE/>
              <w:autoSpaceDN/>
              <w:jc w:val="right"/>
              <w:rPr>
                <w:rFonts w:eastAsia="Times New Roman"/>
                <w:color w:val="000000"/>
                <w:sz w:val="16"/>
                <w:szCs w:val="16"/>
              </w:rPr>
            </w:pPr>
            <w:r w:rsidRPr="007E5E6A">
              <w:rPr>
                <w:rFonts w:eastAsia="Times New Roman"/>
                <w:color w:val="000000"/>
                <w:sz w:val="16"/>
                <w:szCs w:val="16"/>
              </w:rPr>
              <w:t>1</w:t>
            </w:r>
          </w:p>
        </w:tc>
        <w:tc>
          <w:tcPr>
            <w:tcW w:w="720" w:type="dxa"/>
            <w:tcBorders>
              <w:top w:val="nil"/>
              <w:left w:val="nil"/>
              <w:bottom w:val="single" w:sz="4" w:space="0" w:color="auto"/>
              <w:right w:val="single" w:sz="4" w:space="0" w:color="auto"/>
            </w:tcBorders>
            <w:noWrap/>
            <w:vAlign w:val="bottom"/>
            <w:hideMark/>
          </w:tcPr>
          <w:p w:rsidR="00756160" w:rsidRPr="00230260" w14:paraId="2F2DA80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00" w:type="dxa"/>
            <w:tcBorders>
              <w:top w:val="nil"/>
              <w:left w:val="nil"/>
              <w:bottom w:val="single" w:sz="4" w:space="0" w:color="auto"/>
              <w:right w:val="single" w:sz="4" w:space="0" w:color="auto"/>
            </w:tcBorders>
            <w:noWrap/>
            <w:vAlign w:val="bottom"/>
            <w:hideMark/>
          </w:tcPr>
          <w:p w:rsidR="00756160" w:rsidRPr="00230260" w14:paraId="0593C207"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108743D6"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990" w:type="dxa"/>
            <w:tcBorders>
              <w:top w:val="nil"/>
              <w:left w:val="nil"/>
              <w:bottom w:val="single" w:sz="4" w:space="0" w:color="auto"/>
              <w:right w:val="single" w:sz="4" w:space="0" w:color="auto"/>
            </w:tcBorders>
            <w:noWrap/>
            <w:vAlign w:val="bottom"/>
            <w:hideMark/>
          </w:tcPr>
          <w:p w:rsidR="00756160" w:rsidRPr="00230260" w14:paraId="3042328C" w14:textId="77777777">
            <w:pPr>
              <w:autoSpaceDE/>
              <w:autoSpaceDN/>
              <w:jc w:val="right"/>
              <w:rPr>
                <w:rFonts w:eastAsia="Times New Roman"/>
                <w:color w:val="000000"/>
                <w:sz w:val="16"/>
                <w:szCs w:val="16"/>
              </w:rPr>
            </w:pPr>
            <w:r w:rsidRPr="00230260">
              <w:rPr>
                <w:rFonts w:eastAsia="Times New Roman"/>
                <w:color w:val="000000"/>
                <w:sz w:val="16"/>
                <w:szCs w:val="16"/>
              </w:rPr>
              <w:t>0</w:t>
            </w:r>
          </w:p>
        </w:tc>
        <w:tc>
          <w:tcPr>
            <w:tcW w:w="1022" w:type="dxa"/>
            <w:tcBorders>
              <w:top w:val="nil"/>
              <w:left w:val="nil"/>
              <w:bottom w:val="single" w:sz="4" w:space="0" w:color="auto"/>
              <w:right w:val="single" w:sz="4" w:space="0" w:color="auto"/>
            </w:tcBorders>
            <w:vAlign w:val="bottom"/>
            <w:hideMark/>
          </w:tcPr>
          <w:p w:rsidR="00756160" w:rsidRPr="00230260" w14:paraId="7699FB79" w14:textId="77777777">
            <w:pPr>
              <w:autoSpaceDE/>
              <w:autoSpaceDN/>
              <w:jc w:val="right"/>
              <w:rPr>
                <w:rFonts w:eastAsia="Times New Roman"/>
                <w:color w:val="000000"/>
                <w:sz w:val="16"/>
                <w:szCs w:val="16"/>
              </w:rPr>
            </w:pPr>
            <w:r w:rsidRPr="00230260">
              <w:rPr>
                <w:rFonts w:eastAsia="Times New Roman"/>
                <w:color w:val="000000"/>
                <w:sz w:val="16"/>
                <w:szCs w:val="16"/>
              </w:rPr>
              <w:t xml:space="preserve">$0 </w:t>
            </w:r>
          </w:p>
        </w:tc>
        <w:tc>
          <w:tcPr>
            <w:tcW w:w="778" w:type="dxa"/>
            <w:tcBorders>
              <w:top w:val="nil"/>
              <w:left w:val="nil"/>
              <w:bottom w:val="single" w:sz="4" w:space="0" w:color="auto"/>
              <w:right w:val="single" w:sz="4" w:space="0" w:color="auto"/>
            </w:tcBorders>
            <w:noWrap/>
            <w:vAlign w:val="bottom"/>
            <w:hideMark/>
          </w:tcPr>
          <w:p w:rsidR="00756160" w:rsidRPr="00230260" w14:paraId="0C515044" w14:textId="77777777">
            <w:pPr>
              <w:autoSpaceDE/>
              <w:autoSpaceDN/>
              <w:jc w:val="right"/>
              <w:rPr>
                <w:rFonts w:eastAsia="Times New Roman"/>
                <w:color w:val="000000"/>
                <w:sz w:val="16"/>
                <w:szCs w:val="16"/>
              </w:rPr>
            </w:pPr>
            <w:r w:rsidRPr="007E5E6A">
              <w:rPr>
                <w:rFonts w:eastAsia="Times New Roman"/>
                <w:color w:val="000000"/>
                <w:sz w:val="16"/>
                <w:szCs w:val="16"/>
              </w:rPr>
              <w:t>81</w:t>
            </w:r>
          </w:p>
        </w:tc>
        <w:tc>
          <w:tcPr>
            <w:tcW w:w="900" w:type="dxa"/>
            <w:tcBorders>
              <w:top w:val="nil"/>
              <w:left w:val="nil"/>
              <w:bottom w:val="single" w:sz="4" w:space="0" w:color="auto"/>
              <w:right w:val="single" w:sz="4" w:space="0" w:color="auto"/>
            </w:tcBorders>
            <w:vAlign w:val="bottom"/>
            <w:hideMark/>
          </w:tcPr>
          <w:p w:rsidR="00756160" w:rsidRPr="00230260" w14:paraId="2680E532"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c>
          <w:tcPr>
            <w:tcW w:w="1075" w:type="dxa"/>
            <w:tcBorders>
              <w:top w:val="nil"/>
              <w:left w:val="nil"/>
              <w:bottom w:val="single" w:sz="4" w:space="0" w:color="auto"/>
              <w:right w:val="single" w:sz="4" w:space="0" w:color="auto"/>
            </w:tcBorders>
            <w:vAlign w:val="bottom"/>
            <w:hideMark/>
          </w:tcPr>
          <w:p w:rsidR="00756160" w:rsidRPr="00230260" w14:paraId="39E57440" w14:textId="77777777">
            <w:pPr>
              <w:autoSpaceDE/>
              <w:autoSpaceDN/>
              <w:jc w:val="right"/>
              <w:rPr>
                <w:rFonts w:eastAsia="Times New Roman"/>
                <w:color w:val="000000"/>
                <w:sz w:val="16"/>
                <w:szCs w:val="16"/>
              </w:rPr>
            </w:pPr>
            <w:r w:rsidRPr="007E5E6A">
              <w:rPr>
                <w:rFonts w:eastAsia="Times New Roman"/>
                <w:color w:val="000000"/>
                <w:sz w:val="16"/>
                <w:szCs w:val="16"/>
              </w:rPr>
              <w:t xml:space="preserve">$12,261 </w:t>
            </w:r>
          </w:p>
        </w:tc>
      </w:tr>
      <w:tr w14:paraId="310B6104"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2BC147F2" w14:textId="77777777">
            <w:pPr>
              <w:autoSpaceDE/>
              <w:autoSpaceDN/>
              <w:jc w:val="center"/>
              <w:rPr>
                <w:rFonts w:eastAsia="Times New Roman"/>
                <w:b/>
                <w:bCs/>
                <w:color w:val="000000"/>
                <w:sz w:val="16"/>
                <w:szCs w:val="16"/>
              </w:rPr>
            </w:pPr>
            <w:r w:rsidRPr="00230260">
              <w:rPr>
                <w:rFonts w:eastAsia="Times New Roman"/>
                <w:b/>
                <w:bCs/>
                <w:color w:val="000000"/>
                <w:sz w:val="16"/>
                <w:szCs w:val="16"/>
              </w:rPr>
              <w:t>Totals</w:t>
            </w:r>
          </w:p>
        </w:tc>
        <w:tc>
          <w:tcPr>
            <w:tcW w:w="1440" w:type="dxa"/>
            <w:tcBorders>
              <w:top w:val="nil"/>
              <w:left w:val="nil"/>
              <w:bottom w:val="single" w:sz="4" w:space="0" w:color="auto"/>
              <w:right w:val="single" w:sz="4" w:space="0" w:color="auto"/>
            </w:tcBorders>
            <w:noWrap/>
            <w:vAlign w:val="bottom"/>
            <w:hideMark/>
          </w:tcPr>
          <w:p w:rsidR="00756160" w:rsidRPr="00230260" w14:paraId="30F1E874" w14:textId="77777777">
            <w:pPr>
              <w:autoSpaceDE/>
              <w:autoSpaceDN/>
              <w:jc w:val="right"/>
              <w:rPr>
                <w:rFonts w:eastAsia="Times New Roman"/>
                <w:color w:val="000000"/>
                <w:sz w:val="16"/>
                <w:szCs w:val="16"/>
              </w:rPr>
            </w:pPr>
            <w:r w:rsidRPr="00230260">
              <w:rPr>
                <w:rFonts w:eastAsia="Times New Roman"/>
                <w:b/>
                <w:bCs/>
                <w:color w:val="000000"/>
                <w:sz w:val="16"/>
                <w:szCs w:val="16"/>
              </w:rPr>
              <w:t>10</w:t>
            </w:r>
          </w:p>
        </w:tc>
        <w:tc>
          <w:tcPr>
            <w:tcW w:w="720" w:type="dxa"/>
            <w:tcBorders>
              <w:top w:val="nil"/>
              <w:left w:val="nil"/>
              <w:bottom w:val="single" w:sz="4" w:space="0" w:color="auto"/>
              <w:right w:val="single" w:sz="4" w:space="0" w:color="auto"/>
            </w:tcBorders>
            <w:noWrap/>
            <w:vAlign w:val="bottom"/>
            <w:hideMark/>
          </w:tcPr>
          <w:p w:rsidR="00756160" w:rsidRPr="00230260" w14:paraId="4B6F864D" w14:textId="77777777">
            <w:pPr>
              <w:autoSpaceDE/>
              <w:autoSpaceDN/>
              <w:jc w:val="right"/>
              <w:rPr>
                <w:rFonts w:eastAsia="Times New Roman"/>
                <w:b/>
                <w:bCs/>
                <w:color w:val="000000"/>
                <w:sz w:val="16"/>
                <w:szCs w:val="16"/>
              </w:rPr>
            </w:pPr>
            <w:r w:rsidRPr="00230260">
              <w:rPr>
                <w:rFonts w:eastAsia="Times New Roman"/>
                <w:b/>
                <w:bCs/>
                <w:color w:val="000000"/>
                <w:sz w:val="16"/>
                <w:szCs w:val="16"/>
              </w:rPr>
              <w:t>0</w:t>
            </w:r>
          </w:p>
        </w:tc>
        <w:tc>
          <w:tcPr>
            <w:tcW w:w="900" w:type="dxa"/>
            <w:tcBorders>
              <w:top w:val="nil"/>
              <w:left w:val="nil"/>
              <w:bottom w:val="single" w:sz="4" w:space="0" w:color="auto"/>
              <w:right w:val="single" w:sz="4" w:space="0" w:color="auto"/>
            </w:tcBorders>
            <w:vAlign w:val="bottom"/>
            <w:hideMark/>
          </w:tcPr>
          <w:p w:rsidR="00756160" w:rsidRPr="00230260" w14:paraId="108021D9" w14:textId="77777777">
            <w:pPr>
              <w:autoSpaceDE/>
              <w:autoSpaceDN/>
              <w:jc w:val="right"/>
              <w:rPr>
                <w:rFonts w:eastAsia="Times New Roman"/>
                <w:color w:val="000000"/>
                <w:sz w:val="16"/>
                <w:szCs w:val="16"/>
              </w:rPr>
            </w:pPr>
            <w:r w:rsidRPr="00230260">
              <w:rPr>
                <w:rFonts w:eastAsia="Times New Roman"/>
                <w:color w:val="000000"/>
                <w:sz w:val="16"/>
                <w:szCs w:val="16"/>
              </w:rPr>
              <w:t> </w:t>
            </w:r>
          </w:p>
        </w:tc>
        <w:tc>
          <w:tcPr>
            <w:tcW w:w="810" w:type="dxa"/>
            <w:tcBorders>
              <w:top w:val="nil"/>
              <w:left w:val="nil"/>
              <w:bottom w:val="single" w:sz="4" w:space="0" w:color="auto"/>
              <w:right w:val="single" w:sz="4" w:space="0" w:color="auto"/>
            </w:tcBorders>
            <w:noWrap/>
            <w:vAlign w:val="bottom"/>
            <w:hideMark/>
          </w:tcPr>
          <w:p w:rsidR="00756160" w:rsidRPr="00230260" w14:paraId="1E9F4E90" w14:textId="77777777">
            <w:pPr>
              <w:autoSpaceDE/>
              <w:autoSpaceDN/>
              <w:jc w:val="right"/>
              <w:rPr>
                <w:rFonts w:eastAsia="Times New Roman"/>
                <w:b/>
                <w:bCs/>
                <w:color w:val="000000"/>
                <w:sz w:val="16"/>
                <w:szCs w:val="16"/>
              </w:rPr>
            </w:pPr>
            <w:r w:rsidRPr="00230260">
              <w:rPr>
                <w:rFonts w:eastAsia="Times New Roman"/>
                <w:b/>
                <w:bCs/>
                <w:color w:val="000000"/>
                <w:sz w:val="16"/>
                <w:szCs w:val="16"/>
              </w:rPr>
              <w:t xml:space="preserve">        766</w:t>
            </w:r>
          </w:p>
        </w:tc>
        <w:tc>
          <w:tcPr>
            <w:tcW w:w="990" w:type="dxa"/>
            <w:tcBorders>
              <w:top w:val="nil"/>
              <w:left w:val="nil"/>
              <w:bottom w:val="single" w:sz="4" w:space="0" w:color="auto"/>
              <w:right w:val="single" w:sz="4" w:space="0" w:color="auto"/>
            </w:tcBorders>
            <w:vAlign w:val="bottom"/>
            <w:hideMark/>
          </w:tcPr>
          <w:p w:rsidR="00756160" w:rsidRPr="007E5E6A" w14:paraId="60959DC9" w14:textId="77777777">
            <w:pPr>
              <w:autoSpaceDE/>
              <w:autoSpaceDN/>
              <w:jc w:val="right"/>
              <w:rPr>
                <w:rFonts w:eastAsia="Times New Roman"/>
                <w:b/>
                <w:bCs/>
                <w:color w:val="000000"/>
                <w:sz w:val="16"/>
                <w:szCs w:val="16"/>
              </w:rPr>
            </w:pPr>
          </w:p>
        </w:tc>
        <w:tc>
          <w:tcPr>
            <w:tcW w:w="1022" w:type="dxa"/>
            <w:tcBorders>
              <w:top w:val="nil"/>
              <w:left w:val="nil"/>
              <w:bottom w:val="single" w:sz="4" w:space="0" w:color="auto"/>
              <w:right w:val="single" w:sz="4" w:space="0" w:color="auto"/>
            </w:tcBorders>
            <w:vAlign w:val="bottom"/>
            <w:hideMark/>
          </w:tcPr>
          <w:p w:rsidR="00756160" w:rsidRPr="007E5E6A" w14:paraId="66D3200D" w14:textId="77777777">
            <w:pPr>
              <w:autoSpaceDE/>
              <w:autoSpaceDN/>
              <w:jc w:val="right"/>
              <w:rPr>
                <w:rFonts w:eastAsia="Times New Roman"/>
                <w:b/>
                <w:bCs/>
                <w:color w:val="000000"/>
                <w:sz w:val="16"/>
                <w:szCs w:val="16"/>
              </w:rPr>
            </w:pPr>
          </w:p>
        </w:tc>
        <w:tc>
          <w:tcPr>
            <w:tcW w:w="778" w:type="dxa"/>
            <w:tcBorders>
              <w:top w:val="nil"/>
              <w:left w:val="nil"/>
              <w:bottom w:val="single" w:sz="4" w:space="0" w:color="auto"/>
              <w:right w:val="single" w:sz="4" w:space="0" w:color="auto"/>
            </w:tcBorders>
            <w:noWrap/>
            <w:vAlign w:val="bottom"/>
            <w:hideMark/>
          </w:tcPr>
          <w:p w:rsidR="00756160" w:rsidRPr="00230260" w14:paraId="4C81927A"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 807 </w:t>
            </w:r>
          </w:p>
        </w:tc>
        <w:tc>
          <w:tcPr>
            <w:tcW w:w="900" w:type="dxa"/>
            <w:tcBorders>
              <w:top w:val="nil"/>
              <w:left w:val="nil"/>
              <w:bottom w:val="single" w:sz="4" w:space="0" w:color="auto"/>
              <w:right w:val="single" w:sz="4" w:space="0" w:color="auto"/>
            </w:tcBorders>
            <w:vAlign w:val="bottom"/>
            <w:hideMark/>
          </w:tcPr>
          <w:p w:rsidR="00756160" w:rsidRPr="00230260" w14:paraId="21DD208C" w14:textId="77777777">
            <w:pPr>
              <w:autoSpaceDE/>
              <w:autoSpaceDN/>
              <w:jc w:val="right"/>
              <w:rPr>
                <w:rFonts w:eastAsia="Times New Roman"/>
                <w:color w:val="000000"/>
                <w:sz w:val="16"/>
                <w:szCs w:val="16"/>
              </w:rPr>
            </w:pPr>
          </w:p>
        </w:tc>
        <w:tc>
          <w:tcPr>
            <w:tcW w:w="1075" w:type="dxa"/>
            <w:tcBorders>
              <w:top w:val="nil"/>
              <w:left w:val="nil"/>
              <w:bottom w:val="single" w:sz="4" w:space="0" w:color="auto"/>
              <w:right w:val="single" w:sz="4" w:space="0" w:color="auto"/>
            </w:tcBorders>
            <w:vAlign w:val="bottom"/>
            <w:hideMark/>
          </w:tcPr>
          <w:p w:rsidR="00756160" w:rsidRPr="00230260" w14:paraId="3B36669D" w14:textId="77777777">
            <w:pPr>
              <w:autoSpaceDE/>
              <w:autoSpaceDN/>
              <w:jc w:val="right"/>
              <w:rPr>
                <w:rFonts w:eastAsia="Times New Roman"/>
                <w:color w:val="000000"/>
                <w:sz w:val="16"/>
                <w:szCs w:val="16"/>
              </w:rPr>
            </w:pPr>
          </w:p>
        </w:tc>
      </w:tr>
      <w:tr w14:paraId="50A029AF"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230260" w14:paraId="1C9590FA" w14:textId="77777777">
            <w:pPr>
              <w:autoSpaceDE/>
              <w:autoSpaceDN/>
              <w:rPr>
                <w:rFonts w:eastAsia="Times New Roman"/>
                <w:color w:val="000000"/>
                <w:sz w:val="16"/>
                <w:szCs w:val="16"/>
              </w:rPr>
            </w:pPr>
            <w:r w:rsidRPr="00230260">
              <w:rPr>
                <w:rFonts w:eastAsia="Times New Roman"/>
                <w:color w:val="000000"/>
                <w:sz w:val="16"/>
                <w:szCs w:val="16"/>
              </w:rPr>
              <w:t> </w:t>
            </w:r>
          </w:p>
        </w:tc>
        <w:tc>
          <w:tcPr>
            <w:tcW w:w="1440" w:type="dxa"/>
            <w:tcBorders>
              <w:top w:val="nil"/>
              <w:left w:val="nil"/>
              <w:bottom w:val="single" w:sz="4" w:space="0" w:color="auto"/>
              <w:right w:val="single" w:sz="4" w:space="0" w:color="auto"/>
            </w:tcBorders>
            <w:shd w:val="clear" w:color="000000" w:fill="FFFFFF"/>
            <w:vAlign w:val="bottom"/>
            <w:hideMark/>
          </w:tcPr>
          <w:p w:rsidR="00756160" w:rsidRPr="00230260" w14:paraId="30E774FA" w14:textId="77777777">
            <w:pPr>
              <w:autoSpaceDE/>
              <w:autoSpaceDN/>
              <w:jc w:val="right"/>
              <w:rPr>
                <w:rFonts w:eastAsia="Times New Roman"/>
                <w:b/>
                <w:bCs/>
                <w:sz w:val="16"/>
                <w:szCs w:val="16"/>
              </w:rPr>
            </w:pPr>
            <w:r w:rsidRPr="00230260">
              <w:rPr>
                <w:rFonts w:eastAsia="Times New Roman"/>
                <w:b/>
                <w:bCs/>
                <w:sz w:val="16"/>
                <w:szCs w:val="16"/>
              </w:rPr>
              <w:t>7% NPV</w:t>
            </w:r>
          </w:p>
        </w:tc>
        <w:tc>
          <w:tcPr>
            <w:tcW w:w="720" w:type="dxa"/>
            <w:tcBorders>
              <w:top w:val="nil"/>
              <w:left w:val="nil"/>
              <w:bottom w:val="single" w:sz="4" w:space="0" w:color="auto"/>
              <w:right w:val="single" w:sz="4" w:space="0" w:color="auto"/>
            </w:tcBorders>
            <w:noWrap/>
            <w:vAlign w:val="bottom"/>
            <w:hideMark/>
          </w:tcPr>
          <w:p w:rsidR="00756160" w:rsidRPr="00230260" w14:paraId="3A7F7077" w14:textId="77777777">
            <w:pPr>
              <w:autoSpaceDE/>
              <w:autoSpaceDN/>
              <w:rPr>
                <w:rFonts w:eastAsia="Times New Roman"/>
                <w:color w:val="000000"/>
                <w:sz w:val="16"/>
                <w:szCs w:val="16"/>
              </w:rPr>
            </w:pPr>
            <w:r w:rsidRPr="00230260">
              <w:rPr>
                <w:rFonts w:eastAsia="Times New Roman"/>
                <w:color w:val="000000"/>
                <w:sz w:val="16"/>
                <w:szCs w:val="16"/>
              </w:rPr>
              <w:t> </w:t>
            </w:r>
          </w:p>
        </w:tc>
        <w:tc>
          <w:tcPr>
            <w:tcW w:w="900" w:type="dxa"/>
            <w:tcBorders>
              <w:top w:val="nil"/>
              <w:left w:val="nil"/>
              <w:bottom w:val="single" w:sz="4" w:space="0" w:color="auto"/>
              <w:right w:val="single" w:sz="4" w:space="0" w:color="auto"/>
            </w:tcBorders>
            <w:noWrap/>
            <w:vAlign w:val="bottom"/>
            <w:hideMark/>
          </w:tcPr>
          <w:p w:rsidR="00756160" w:rsidRPr="00230260" w14:paraId="460A504F" w14:textId="77777777">
            <w:pPr>
              <w:autoSpaceDE/>
              <w:autoSpaceDN/>
              <w:jc w:val="right"/>
              <w:rPr>
                <w:rFonts w:eastAsia="Times New Roman"/>
                <w:b/>
                <w:bCs/>
                <w:color w:val="000000"/>
                <w:sz w:val="16"/>
                <w:szCs w:val="16"/>
              </w:rPr>
            </w:pPr>
            <w:r w:rsidRPr="00230260">
              <w:rPr>
                <w:rFonts w:eastAsia="Times New Roman"/>
                <w:b/>
                <w:bCs/>
                <w:color w:val="000000"/>
                <w:sz w:val="16"/>
                <w:szCs w:val="16"/>
              </w:rPr>
              <w:t>$0</w:t>
            </w:r>
          </w:p>
        </w:tc>
        <w:tc>
          <w:tcPr>
            <w:tcW w:w="810" w:type="dxa"/>
            <w:tcBorders>
              <w:top w:val="nil"/>
              <w:left w:val="nil"/>
              <w:bottom w:val="single" w:sz="4" w:space="0" w:color="auto"/>
              <w:right w:val="single" w:sz="4" w:space="0" w:color="auto"/>
            </w:tcBorders>
            <w:noWrap/>
            <w:vAlign w:val="bottom"/>
            <w:hideMark/>
          </w:tcPr>
          <w:p w:rsidR="00756160" w:rsidRPr="00230260" w14:paraId="14B7C0B1" w14:textId="77777777">
            <w:pPr>
              <w:autoSpaceDE/>
              <w:autoSpaceDN/>
              <w:jc w:val="right"/>
              <w:rPr>
                <w:rFonts w:eastAsia="Times New Roman"/>
                <w:b/>
                <w:bCs/>
                <w:color w:val="000000"/>
                <w:sz w:val="16"/>
                <w:szCs w:val="16"/>
              </w:rPr>
            </w:pPr>
            <w:r w:rsidRPr="00230260">
              <w:rPr>
                <w:rFonts w:eastAsia="Times New Roman"/>
                <w:b/>
                <w:bCs/>
                <w:color w:val="000000"/>
                <w:sz w:val="16"/>
                <w:szCs w:val="16"/>
              </w:rPr>
              <w:t> </w:t>
            </w:r>
          </w:p>
        </w:tc>
        <w:tc>
          <w:tcPr>
            <w:tcW w:w="990" w:type="dxa"/>
            <w:tcBorders>
              <w:top w:val="nil"/>
              <w:left w:val="nil"/>
              <w:bottom w:val="single" w:sz="4" w:space="0" w:color="auto"/>
              <w:right w:val="single" w:sz="4" w:space="0" w:color="auto"/>
            </w:tcBorders>
            <w:vAlign w:val="bottom"/>
            <w:hideMark/>
          </w:tcPr>
          <w:p w:rsidR="00756160" w:rsidRPr="00230260" w14:paraId="6867FF8B" w14:textId="77777777">
            <w:pPr>
              <w:autoSpaceDE/>
              <w:autoSpaceDN/>
              <w:jc w:val="right"/>
              <w:rPr>
                <w:rFonts w:eastAsia="Times New Roman"/>
                <w:b/>
                <w:bCs/>
                <w:color w:val="000000"/>
                <w:sz w:val="16"/>
                <w:szCs w:val="16"/>
              </w:rPr>
            </w:pPr>
            <w:r w:rsidRPr="007E5E6A">
              <w:rPr>
                <w:rFonts w:eastAsia="Times New Roman"/>
                <w:b/>
                <w:bCs/>
                <w:color w:val="000000"/>
                <w:sz w:val="16"/>
                <w:szCs w:val="16"/>
              </w:rPr>
              <w:t>($101,740)</w:t>
            </w:r>
          </w:p>
        </w:tc>
        <w:tc>
          <w:tcPr>
            <w:tcW w:w="1022" w:type="dxa"/>
            <w:tcBorders>
              <w:top w:val="nil"/>
              <w:left w:val="nil"/>
              <w:bottom w:val="single" w:sz="4" w:space="0" w:color="auto"/>
              <w:right w:val="single" w:sz="4" w:space="0" w:color="auto"/>
            </w:tcBorders>
            <w:vAlign w:val="bottom"/>
            <w:hideMark/>
          </w:tcPr>
          <w:p w:rsidR="00756160" w:rsidRPr="00230260" w14:paraId="78C36F01" w14:textId="77777777">
            <w:pPr>
              <w:autoSpaceDE/>
              <w:autoSpaceDN/>
              <w:jc w:val="right"/>
              <w:rPr>
                <w:rFonts w:eastAsia="Times New Roman"/>
                <w:b/>
                <w:bCs/>
                <w:color w:val="000000"/>
                <w:sz w:val="16"/>
                <w:szCs w:val="16"/>
              </w:rPr>
            </w:pPr>
            <w:r w:rsidRPr="007E5E6A">
              <w:rPr>
                <w:rFonts w:eastAsia="Times New Roman"/>
                <w:b/>
                <w:bCs/>
                <w:color w:val="000000"/>
                <w:sz w:val="16"/>
                <w:szCs w:val="16"/>
              </w:rPr>
              <w:t>($101,740)</w:t>
            </w:r>
          </w:p>
        </w:tc>
        <w:tc>
          <w:tcPr>
            <w:tcW w:w="778" w:type="dxa"/>
            <w:tcBorders>
              <w:top w:val="nil"/>
              <w:left w:val="nil"/>
              <w:bottom w:val="single" w:sz="4" w:space="0" w:color="auto"/>
              <w:right w:val="single" w:sz="4" w:space="0" w:color="auto"/>
            </w:tcBorders>
            <w:noWrap/>
            <w:vAlign w:val="bottom"/>
            <w:hideMark/>
          </w:tcPr>
          <w:p w:rsidR="00756160" w:rsidRPr="00230260" w14:paraId="7C866EB3" w14:textId="77777777">
            <w:pPr>
              <w:autoSpaceDE/>
              <w:autoSpaceDN/>
              <w:jc w:val="right"/>
              <w:rPr>
                <w:rFonts w:eastAsia="Times New Roman"/>
                <w:b/>
                <w:bCs/>
                <w:color w:val="000000"/>
                <w:sz w:val="16"/>
                <w:szCs w:val="16"/>
              </w:rPr>
            </w:pPr>
          </w:p>
        </w:tc>
        <w:tc>
          <w:tcPr>
            <w:tcW w:w="900" w:type="dxa"/>
            <w:tcBorders>
              <w:top w:val="nil"/>
              <w:left w:val="nil"/>
              <w:bottom w:val="single" w:sz="4" w:space="0" w:color="auto"/>
              <w:right w:val="single" w:sz="4" w:space="0" w:color="auto"/>
            </w:tcBorders>
            <w:vAlign w:val="bottom"/>
            <w:hideMark/>
          </w:tcPr>
          <w:p w:rsidR="00756160" w:rsidRPr="00230260" w14:paraId="4C51B440"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$33,933 </w:t>
            </w:r>
          </w:p>
        </w:tc>
        <w:tc>
          <w:tcPr>
            <w:tcW w:w="1075" w:type="dxa"/>
            <w:tcBorders>
              <w:top w:val="nil"/>
              <w:left w:val="nil"/>
              <w:bottom w:val="single" w:sz="4" w:space="0" w:color="auto"/>
              <w:right w:val="single" w:sz="4" w:space="0" w:color="auto"/>
            </w:tcBorders>
            <w:vAlign w:val="bottom"/>
            <w:hideMark/>
          </w:tcPr>
          <w:p w:rsidR="00756160" w:rsidRPr="00230260" w14:paraId="757CD263" w14:textId="77777777">
            <w:pPr>
              <w:autoSpaceDE/>
              <w:autoSpaceDN/>
              <w:jc w:val="right"/>
              <w:rPr>
                <w:rFonts w:eastAsia="Times New Roman"/>
                <w:b/>
                <w:bCs/>
                <w:color w:val="000000"/>
                <w:sz w:val="16"/>
                <w:szCs w:val="16"/>
              </w:rPr>
            </w:pPr>
            <w:r w:rsidRPr="007E5E6A">
              <w:rPr>
                <w:rFonts w:eastAsia="Times New Roman"/>
                <w:b/>
                <w:bCs/>
                <w:color w:val="000000"/>
                <w:sz w:val="16"/>
                <w:szCs w:val="16"/>
              </w:rPr>
              <w:t>($67,807)</w:t>
            </w:r>
          </w:p>
        </w:tc>
      </w:tr>
      <w:tr w14:paraId="6737C3DE" w14:textId="77777777">
        <w:tblPrEx>
          <w:tblW w:w="9350" w:type="dxa"/>
          <w:tblLayout w:type="fixed"/>
          <w:tblLook w:val="04A0"/>
        </w:tblPrEx>
        <w:trPr>
          <w:trHeight w:val="280"/>
        </w:trPr>
        <w:tc>
          <w:tcPr>
            <w:tcW w:w="715" w:type="dxa"/>
            <w:tcBorders>
              <w:top w:val="nil"/>
              <w:left w:val="single" w:sz="4" w:space="0" w:color="auto"/>
              <w:bottom w:val="single" w:sz="4" w:space="0" w:color="auto"/>
              <w:right w:val="single" w:sz="4" w:space="0" w:color="auto"/>
            </w:tcBorders>
            <w:noWrap/>
            <w:vAlign w:val="bottom"/>
            <w:hideMark/>
          </w:tcPr>
          <w:p w:rsidR="00756160" w:rsidRPr="008F486F" w14:paraId="2B6BF305" w14:textId="77777777">
            <w:pPr>
              <w:autoSpaceDE/>
              <w:autoSpaceDN/>
              <w:rPr>
                <w:rFonts w:eastAsia="Times New Roman"/>
                <w:color w:val="000000"/>
                <w:sz w:val="16"/>
                <w:szCs w:val="16"/>
              </w:rPr>
            </w:pPr>
            <w:r w:rsidRPr="008F486F">
              <w:rPr>
                <w:rFonts w:eastAsia="Times New Roman"/>
                <w:color w:val="000000"/>
                <w:sz w:val="16"/>
                <w:szCs w:val="16"/>
              </w:rPr>
              <w:t> </w:t>
            </w:r>
          </w:p>
        </w:tc>
        <w:tc>
          <w:tcPr>
            <w:tcW w:w="1440" w:type="dxa"/>
            <w:tcBorders>
              <w:top w:val="nil"/>
              <w:left w:val="nil"/>
              <w:bottom w:val="single" w:sz="4" w:space="0" w:color="auto"/>
              <w:right w:val="single" w:sz="4" w:space="0" w:color="auto"/>
            </w:tcBorders>
            <w:shd w:val="clear" w:color="000000" w:fill="FFFFFF"/>
            <w:vAlign w:val="bottom"/>
            <w:hideMark/>
          </w:tcPr>
          <w:p w:rsidR="00756160" w:rsidRPr="008F486F" w14:paraId="6756D57D" w14:textId="77777777">
            <w:pPr>
              <w:autoSpaceDE/>
              <w:autoSpaceDN/>
              <w:jc w:val="right"/>
              <w:rPr>
                <w:rFonts w:eastAsia="Times New Roman"/>
                <w:b/>
                <w:bCs/>
                <w:sz w:val="16"/>
                <w:szCs w:val="16"/>
              </w:rPr>
            </w:pPr>
            <w:r w:rsidRPr="008F486F">
              <w:rPr>
                <w:rFonts w:eastAsia="Times New Roman"/>
                <w:b/>
                <w:bCs/>
                <w:sz w:val="16"/>
                <w:szCs w:val="16"/>
              </w:rPr>
              <w:t>3% NPV</w:t>
            </w:r>
          </w:p>
        </w:tc>
        <w:tc>
          <w:tcPr>
            <w:tcW w:w="720" w:type="dxa"/>
            <w:tcBorders>
              <w:top w:val="nil"/>
              <w:left w:val="nil"/>
              <w:bottom w:val="single" w:sz="4" w:space="0" w:color="auto"/>
              <w:right w:val="single" w:sz="4" w:space="0" w:color="auto"/>
            </w:tcBorders>
            <w:noWrap/>
            <w:vAlign w:val="bottom"/>
            <w:hideMark/>
          </w:tcPr>
          <w:p w:rsidR="00756160" w:rsidRPr="008F486F" w14:paraId="094911FA" w14:textId="77777777">
            <w:pPr>
              <w:autoSpaceDE/>
              <w:autoSpaceDN/>
              <w:rPr>
                <w:rFonts w:eastAsia="Times New Roman"/>
                <w:color w:val="000000"/>
                <w:sz w:val="16"/>
                <w:szCs w:val="16"/>
              </w:rPr>
            </w:pPr>
            <w:r w:rsidRPr="008F486F">
              <w:rPr>
                <w:rFonts w:eastAsia="Times New Roman"/>
                <w:color w:val="000000"/>
                <w:sz w:val="16"/>
                <w:szCs w:val="16"/>
              </w:rPr>
              <w:t> </w:t>
            </w:r>
          </w:p>
        </w:tc>
        <w:tc>
          <w:tcPr>
            <w:tcW w:w="900" w:type="dxa"/>
            <w:tcBorders>
              <w:top w:val="nil"/>
              <w:left w:val="nil"/>
              <w:bottom w:val="single" w:sz="4" w:space="0" w:color="auto"/>
              <w:right w:val="single" w:sz="4" w:space="0" w:color="auto"/>
            </w:tcBorders>
            <w:noWrap/>
            <w:vAlign w:val="bottom"/>
            <w:hideMark/>
          </w:tcPr>
          <w:p w:rsidR="00756160" w:rsidRPr="008F486F" w14:paraId="53435712" w14:textId="77777777">
            <w:pPr>
              <w:autoSpaceDE/>
              <w:autoSpaceDN/>
              <w:jc w:val="right"/>
              <w:rPr>
                <w:rFonts w:eastAsia="Times New Roman"/>
                <w:b/>
                <w:bCs/>
                <w:color w:val="000000"/>
                <w:sz w:val="16"/>
                <w:szCs w:val="16"/>
              </w:rPr>
            </w:pPr>
            <w:r w:rsidRPr="008F486F">
              <w:rPr>
                <w:rFonts w:eastAsia="Times New Roman"/>
                <w:b/>
                <w:bCs/>
                <w:color w:val="000000"/>
                <w:sz w:val="16"/>
                <w:szCs w:val="16"/>
              </w:rPr>
              <w:t xml:space="preserve">$0 </w:t>
            </w:r>
          </w:p>
        </w:tc>
        <w:tc>
          <w:tcPr>
            <w:tcW w:w="810" w:type="dxa"/>
            <w:tcBorders>
              <w:top w:val="nil"/>
              <w:left w:val="nil"/>
              <w:bottom w:val="single" w:sz="4" w:space="0" w:color="auto"/>
              <w:right w:val="single" w:sz="4" w:space="0" w:color="auto"/>
            </w:tcBorders>
            <w:noWrap/>
            <w:vAlign w:val="bottom"/>
            <w:hideMark/>
          </w:tcPr>
          <w:p w:rsidR="00756160" w:rsidRPr="008F486F" w14:paraId="597030AB" w14:textId="77777777">
            <w:pPr>
              <w:autoSpaceDE/>
              <w:autoSpaceDN/>
              <w:rPr>
                <w:rFonts w:eastAsia="Times New Roman"/>
                <w:b/>
                <w:bCs/>
                <w:color w:val="000000"/>
                <w:sz w:val="16"/>
                <w:szCs w:val="16"/>
              </w:rPr>
            </w:pPr>
            <w:r w:rsidRPr="008F486F">
              <w:rPr>
                <w:rFonts w:eastAsia="Times New Roman"/>
                <w:b/>
                <w:bCs/>
                <w:color w:val="000000"/>
                <w:sz w:val="16"/>
                <w:szCs w:val="16"/>
              </w:rPr>
              <w:t> </w:t>
            </w:r>
          </w:p>
        </w:tc>
        <w:tc>
          <w:tcPr>
            <w:tcW w:w="990" w:type="dxa"/>
            <w:tcBorders>
              <w:top w:val="nil"/>
              <w:left w:val="nil"/>
              <w:bottom w:val="single" w:sz="4" w:space="0" w:color="auto"/>
              <w:right w:val="single" w:sz="4" w:space="0" w:color="auto"/>
            </w:tcBorders>
            <w:hideMark/>
          </w:tcPr>
          <w:p w:rsidR="00756160" w:rsidRPr="008F486F" w14:paraId="4007F5E0" w14:textId="77777777">
            <w:pPr>
              <w:autoSpaceDE/>
              <w:autoSpaceDN/>
              <w:jc w:val="right"/>
              <w:rPr>
                <w:rFonts w:eastAsia="Times New Roman"/>
                <w:b/>
                <w:bCs/>
                <w:color w:val="000000"/>
                <w:sz w:val="16"/>
                <w:szCs w:val="16"/>
              </w:rPr>
            </w:pPr>
            <w:r w:rsidRPr="007E5E6A">
              <w:rPr>
                <w:rFonts w:eastAsia="Times New Roman"/>
                <w:b/>
                <w:bCs/>
                <w:color w:val="000000"/>
                <w:sz w:val="16"/>
                <w:szCs w:val="16"/>
              </w:rPr>
              <w:t>($109,796)</w:t>
            </w:r>
          </w:p>
        </w:tc>
        <w:tc>
          <w:tcPr>
            <w:tcW w:w="1022" w:type="dxa"/>
            <w:tcBorders>
              <w:top w:val="nil"/>
              <w:left w:val="nil"/>
              <w:bottom w:val="single" w:sz="4" w:space="0" w:color="auto"/>
              <w:right w:val="single" w:sz="4" w:space="0" w:color="auto"/>
            </w:tcBorders>
            <w:hideMark/>
          </w:tcPr>
          <w:p w:rsidR="00756160" w:rsidRPr="008F486F" w14:paraId="0C705F7B" w14:textId="77777777">
            <w:pPr>
              <w:autoSpaceDE/>
              <w:autoSpaceDN/>
              <w:jc w:val="right"/>
              <w:rPr>
                <w:rFonts w:eastAsia="Times New Roman"/>
                <w:b/>
                <w:bCs/>
                <w:color w:val="000000"/>
                <w:sz w:val="16"/>
                <w:szCs w:val="16"/>
              </w:rPr>
            </w:pPr>
            <w:r w:rsidRPr="007E5E6A">
              <w:rPr>
                <w:rFonts w:eastAsia="Times New Roman"/>
                <w:b/>
                <w:bCs/>
                <w:color w:val="000000"/>
                <w:sz w:val="16"/>
                <w:szCs w:val="16"/>
              </w:rPr>
              <w:t>($109,796)</w:t>
            </w:r>
          </w:p>
        </w:tc>
        <w:tc>
          <w:tcPr>
            <w:tcW w:w="778" w:type="dxa"/>
            <w:tcBorders>
              <w:top w:val="nil"/>
              <w:left w:val="nil"/>
              <w:bottom w:val="single" w:sz="4" w:space="0" w:color="auto"/>
              <w:right w:val="single" w:sz="4" w:space="0" w:color="auto"/>
            </w:tcBorders>
            <w:noWrap/>
            <w:hideMark/>
          </w:tcPr>
          <w:p w:rsidR="00756160" w:rsidRPr="008F486F" w14:paraId="4E0BA1A3" w14:textId="77777777">
            <w:pPr>
              <w:autoSpaceDE/>
              <w:autoSpaceDN/>
              <w:rPr>
                <w:rFonts w:eastAsia="Times New Roman"/>
                <w:b/>
                <w:bCs/>
                <w:color w:val="000000"/>
                <w:sz w:val="16"/>
                <w:szCs w:val="16"/>
              </w:rPr>
            </w:pPr>
          </w:p>
        </w:tc>
        <w:tc>
          <w:tcPr>
            <w:tcW w:w="900" w:type="dxa"/>
            <w:tcBorders>
              <w:top w:val="nil"/>
              <w:left w:val="nil"/>
              <w:bottom w:val="single" w:sz="4" w:space="0" w:color="auto"/>
              <w:right w:val="single" w:sz="4" w:space="0" w:color="auto"/>
            </w:tcBorders>
            <w:hideMark/>
          </w:tcPr>
          <w:p w:rsidR="00756160" w:rsidRPr="008F486F" w14:paraId="2F44CDA5" w14:textId="77777777">
            <w:pPr>
              <w:autoSpaceDE/>
              <w:autoSpaceDN/>
              <w:jc w:val="right"/>
              <w:rPr>
                <w:rFonts w:eastAsia="Times New Roman"/>
                <w:b/>
                <w:bCs/>
                <w:color w:val="000000"/>
                <w:sz w:val="16"/>
                <w:szCs w:val="16"/>
              </w:rPr>
            </w:pPr>
            <w:r w:rsidRPr="007E5E6A">
              <w:rPr>
                <w:rFonts w:eastAsia="Times New Roman"/>
                <w:b/>
                <w:bCs/>
                <w:color w:val="000000"/>
                <w:sz w:val="16"/>
                <w:szCs w:val="16"/>
              </w:rPr>
              <w:t xml:space="preserve">$69,581 </w:t>
            </w:r>
          </w:p>
        </w:tc>
        <w:tc>
          <w:tcPr>
            <w:tcW w:w="1075" w:type="dxa"/>
            <w:tcBorders>
              <w:top w:val="nil"/>
              <w:left w:val="nil"/>
              <w:bottom w:val="single" w:sz="4" w:space="0" w:color="auto"/>
              <w:right w:val="single" w:sz="4" w:space="0" w:color="auto"/>
            </w:tcBorders>
            <w:hideMark/>
          </w:tcPr>
          <w:p w:rsidR="00756160" w:rsidRPr="008F486F" w14:paraId="7D920E33" w14:textId="77777777">
            <w:pPr>
              <w:autoSpaceDE/>
              <w:autoSpaceDN/>
              <w:jc w:val="right"/>
              <w:rPr>
                <w:rFonts w:eastAsia="Times New Roman"/>
                <w:b/>
                <w:bCs/>
                <w:color w:val="000000"/>
                <w:sz w:val="16"/>
                <w:szCs w:val="16"/>
              </w:rPr>
            </w:pPr>
            <w:r w:rsidRPr="007E5E6A">
              <w:rPr>
                <w:rFonts w:eastAsia="Times New Roman"/>
                <w:b/>
                <w:bCs/>
                <w:color w:val="000000"/>
                <w:sz w:val="16"/>
                <w:szCs w:val="16"/>
              </w:rPr>
              <w:t>($40,215)</w:t>
            </w:r>
          </w:p>
        </w:tc>
      </w:tr>
      <w:tr w14:paraId="0B888F3C" w14:textId="77777777">
        <w:tblPrEx>
          <w:tblW w:w="9350" w:type="dxa"/>
          <w:tblLayout w:type="fixed"/>
          <w:tblLook w:val="04A0"/>
        </w:tblPrEx>
        <w:trPr>
          <w:trHeight w:val="280"/>
        </w:trPr>
        <w:tc>
          <w:tcPr>
            <w:tcW w:w="9350" w:type="dxa"/>
            <w:gridSpan w:val="10"/>
            <w:tcBorders>
              <w:top w:val="single" w:sz="4" w:space="0" w:color="auto"/>
            </w:tcBorders>
            <w:noWrap/>
          </w:tcPr>
          <w:p w:rsidR="00756160" w:rsidRPr="008F486F" w14:paraId="616219E7" w14:textId="77777777">
            <w:pPr>
              <w:autoSpaceDE/>
              <w:autoSpaceDN/>
              <w:rPr>
                <w:rFonts w:eastAsia="Times New Roman"/>
                <w:b/>
                <w:bCs/>
                <w:color w:val="000000"/>
                <w:sz w:val="16"/>
                <w:szCs w:val="16"/>
              </w:rPr>
            </w:pPr>
            <w:r w:rsidRPr="008F486F">
              <w:rPr>
                <w:rFonts w:eastAsia="Times New Roman"/>
                <w:color w:val="000000"/>
                <w:sz w:val="16"/>
                <w:szCs w:val="16"/>
              </w:rPr>
              <w:t>*Labor hours are rounded from the PERT generated values based on the parameters in table B-1, so benefits may differ from the rounded products.</w:t>
            </w:r>
          </w:p>
        </w:tc>
      </w:tr>
    </w:tbl>
    <w:p w:rsidR="00756160" w:rsidRPr="008F486F" w:rsidP="00756160" w14:paraId="10EB9BE2" w14:textId="77777777">
      <w:pPr>
        <w:pStyle w:val="BodyText"/>
        <w:keepNext/>
      </w:pPr>
    </w:p>
    <w:p w:rsidR="00756160" w:rsidRPr="005C0A8C" w:rsidP="00756160" w14:paraId="39C7F196" w14:textId="77777777">
      <w:pPr>
        <w:pStyle w:val="BodyText"/>
        <w:keepNext/>
        <w:keepLines/>
        <w:rPr>
          <w:i/>
          <w:iCs/>
        </w:rPr>
      </w:pPr>
      <w:r w:rsidRPr="005C0A8C">
        <w:rPr>
          <w:i/>
          <w:iCs/>
        </w:rPr>
        <w:t>Operational Costs</w:t>
      </w:r>
    </w:p>
    <w:p w:rsidR="00756160" w:rsidRPr="008F486F" w:rsidP="00756160" w14:paraId="468BE215" w14:textId="77777777">
      <w:pPr>
        <w:pStyle w:val="BodyText"/>
        <w:keepNext/>
        <w:keepLines/>
      </w:pPr>
    </w:p>
    <w:p w:rsidR="00756160" w:rsidRPr="00CD3B1A" w:rsidP="00756160" w14:paraId="7F6D0A41" w14:textId="77777777">
      <w:pPr>
        <w:pStyle w:val="BodyText"/>
        <w:keepLines/>
        <w:rPr>
          <w:spacing w:val="2"/>
        </w:rPr>
      </w:pPr>
      <w:r w:rsidRPr="00CD3B1A">
        <w:rPr>
          <w:spacing w:val="2"/>
        </w:rPr>
        <w:t xml:space="preserve">There will be ongoing cost savings to the NRC due to the decreased cost of regulating </w:t>
      </w:r>
      <w:r w:rsidRPr="003563DC" w:rsidR="003563DC">
        <w:rPr>
          <w:spacing w:val="2"/>
        </w:rPr>
        <w:t xml:space="preserve">the possession, use, and production of byproduct material associated with </w:t>
      </w:r>
      <w:r w:rsidRPr="00CD3B1A">
        <w:rPr>
          <w:spacing w:val="2"/>
        </w:rPr>
        <w:t>fusion machines that are directly regulated by the NRC. There will be decreased licensing costs to the NRC because of the rule and/or associated guidance. Due to information limitations, the NRC staff monetized these cost savings using the same calculations for Alternative 2 as for Alternative 3, as shown in in Tables 4 and 5 as “Averted licensing costs.” However, the NRC expects that cost savings would be lower for Alternative 3 by an undetermined amount due to the added effort required to process and review exemptions and customized license conditions under this alternative.</w:t>
      </w:r>
    </w:p>
    <w:p w:rsidR="00756160" w:rsidRPr="008F486F" w:rsidP="00756160" w14:paraId="152F5C86" w14:textId="77777777">
      <w:pPr>
        <w:pStyle w:val="BodyText"/>
      </w:pPr>
    </w:p>
    <w:p w:rsidR="00756160" w:rsidRPr="007373E6" w:rsidP="00756160" w14:paraId="54FD2C5D" w14:textId="4F970987">
      <w:pPr>
        <w:pStyle w:val="BodyText"/>
        <w:rPr>
          <w:spacing w:val="-2"/>
        </w:rPr>
      </w:pPr>
      <w:r w:rsidRPr="007373E6">
        <w:rPr>
          <w:spacing w:val="-2"/>
        </w:rPr>
        <w:t xml:space="preserve">NRC staff has estimated that </w:t>
      </w:r>
      <w:r w:rsidRPr="007373E6">
        <w:rPr>
          <w:spacing w:val="-2"/>
        </w:rPr>
        <w:t>9</w:t>
      </w:r>
      <w:r w:rsidRPr="007373E6">
        <w:rPr>
          <w:spacing w:val="-2"/>
        </w:rPr>
        <w:t xml:space="preserve"> applications would be </w:t>
      </w:r>
      <w:r w:rsidRPr="007373E6">
        <w:rPr>
          <w:spacing w:val="-2"/>
        </w:rPr>
        <w:t>submitted</w:t>
      </w:r>
      <w:r w:rsidRPr="007373E6">
        <w:rPr>
          <w:spacing w:val="-2"/>
        </w:rPr>
        <w:t xml:space="preserve"> </w:t>
      </w:r>
      <w:r w:rsidRPr="007373E6" w:rsidR="005F4A72">
        <w:rPr>
          <w:spacing w:val="-2"/>
        </w:rPr>
        <w:t xml:space="preserve">directly </w:t>
      </w:r>
      <w:r w:rsidRPr="007373E6">
        <w:rPr>
          <w:spacing w:val="-2"/>
        </w:rPr>
        <w:t>to</w:t>
      </w:r>
      <w:r w:rsidRPr="007373E6" w:rsidR="005F4A72">
        <w:rPr>
          <w:spacing w:val="-2"/>
        </w:rPr>
        <w:t xml:space="preserve"> the</w:t>
      </w:r>
      <w:r w:rsidRPr="007373E6">
        <w:rPr>
          <w:spacing w:val="-2"/>
        </w:rPr>
        <w:t xml:space="preserve"> NRC.</w:t>
      </w:r>
      <w:r w:rsidRPr="007373E6" w:rsidR="009B4BE8">
        <w:rPr>
          <w:spacing w:val="-2"/>
        </w:rPr>
        <w:t xml:space="preserve"> This estimate is based on the</w:t>
      </w:r>
      <w:r w:rsidRPr="007373E6" w:rsidR="004E4AFA">
        <w:rPr>
          <w:spacing w:val="-2"/>
        </w:rPr>
        <w:t xml:space="preserve"> projection assumptions</w:t>
      </w:r>
      <w:r w:rsidRPr="007373E6" w:rsidR="00AD6619">
        <w:rPr>
          <w:spacing w:val="-2"/>
        </w:rPr>
        <w:t xml:space="preserve"> </w:t>
      </w:r>
      <w:r w:rsidRPr="007373E6" w:rsidR="00385F89">
        <w:rPr>
          <w:spacing w:val="-2"/>
        </w:rPr>
        <w:t xml:space="preserve">(see Table </w:t>
      </w:r>
      <w:r w:rsidRPr="007373E6" w:rsidR="009154C9">
        <w:rPr>
          <w:spacing w:val="-2"/>
        </w:rPr>
        <w:t>B</w:t>
      </w:r>
      <w:r w:rsidRPr="007373E6" w:rsidR="00385F89">
        <w:rPr>
          <w:spacing w:val="-2"/>
        </w:rPr>
        <w:t xml:space="preserve">-1) </w:t>
      </w:r>
      <w:r w:rsidRPr="007373E6" w:rsidR="00AD6619">
        <w:rPr>
          <w:spacing w:val="-2"/>
        </w:rPr>
        <w:t xml:space="preserve">for </w:t>
      </w:r>
      <w:r w:rsidRPr="007373E6" w:rsidR="001C59A6">
        <w:rPr>
          <w:spacing w:val="-2"/>
        </w:rPr>
        <w:t>fusion machine license application</w:t>
      </w:r>
      <w:r w:rsidRPr="007373E6" w:rsidR="00F97209">
        <w:rPr>
          <w:spacing w:val="-2"/>
        </w:rPr>
        <w:t>s</w:t>
      </w:r>
      <w:r w:rsidRPr="007373E6" w:rsidR="001C59A6">
        <w:rPr>
          <w:spacing w:val="-2"/>
        </w:rPr>
        <w:t xml:space="preserve"> in </w:t>
      </w:r>
      <w:r w:rsidRPr="007373E6" w:rsidR="0020659D">
        <w:rPr>
          <w:spacing w:val="-2"/>
        </w:rPr>
        <w:t>S</w:t>
      </w:r>
      <w:r w:rsidRPr="007373E6" w:rsidR="001C59A6">
        <w:rPr>
          <w:spacing w:val="-2"/>
        </w:rPr>
        <w:t xml:space="preserve">tates that are not Agreement States. </w:t>
      </w:r>
      <w:r w:rsidRPr="007373E6" w:rsidR="09BE3CA2">
        <w:rPr>
          <w:spacing w:val="-2"/>
        </w:rPr>
        <w:t>Many of t</w:t>
      </w:r>
      <w:r w:rsidRPr="007373E6" w:rsidR="00F97209">
        <w:rPr>
          <w:spacing w:val="-2"/>
        </w:rPr>
        <w:t xml:space="preserve">hese </w:t>
      </w:r>
      <w:r w:rsidRPr="007373E6" w:rsidR="00A47A7D">
        <w:rPr>
          <w:spacing w:val="-2"/>
        </w:rPr>
        <w:t>S</w:t>
      </w:r>
      <w:r w:rsidRPr="007373E6" w:rsidR="00F97209">
        <w:rPr>
          <w:spacing w:val="-2"/>
        </w:rPr>
        <w:t xml:space="preserve">tates </w:t>
      </w:r>
      <w:r w:rsidRPr="007373E6" w:rsidR="07DAE6D4">
        <w:rPr>
          <w:spacing w:val="-2"/>
        </w:rPr>
        <w:t>have</w:t>
      </w:r>
      <w:r w:rsidRPr="007373E6" w:rsidR="00F97209">
        <w:rPr>
          <w:spacing w:val="-2"/>
        </w:rPr>
        <w:t xml:space="preserve"> smaller </w:t>
      </w:r>
      <w:r w:rsidRPr="007373E6" w:rsidR="0DA003E3">
        <w:rPr>
          <w:spacing w:val="-2"/>
        </w:rPr>
        <w:t>electrical power markets</w:t>
      </w:r>
      <w:r w:rsidRPr="007373E6" w:rsidR="002C37D7">
        <w:rPr>
          <w:spacing w:val="-2"/>
        </w:rPr>
        <w:t xml:space="preserve">, so few applications </w:t>
      </w:r>
      <w:r w:rsidRPr="007373E6" w:rsidR="002C37D7">
        <w:rPr>
          <w:spacing w:val="-2"/>
        </w:rPr>
        <w:t>are expected</w:t>
      </w:r>
      <w:r w:rsidRPr="007373E6" w:rsidR="002C37D7">
        <w:rPr>
          <w:spacing w:val="-2"/>
        </w:rPr>
        <w:t xml:space="preserve"> to </w:t>
      </w:r>
      <w:r w:rsidRPr="007373E6" w:rsidR="00917F98">
        <w:rPr>
          <w:spacing w:val="-2"/>
        </w:rPr>
        <w:t>require direct review by the NRC. The NRC invites</w:t>
      </w:r>
      <w:r w:rsidRPr="007373E6" w:rsidR="006550F5">
        <w:rPr>
          <w:spacing w:val="-2"/>
        </w:rPr>
        <w:t xml:space="preserve"> any comment that can </w:t>
      </w:r>
      <w:r w:rsidRPr="007373E6" w:rsidR="006550F5">
        <w:rPr>
          <w:spacing w:val="-2"/>
        </w:rPr>
        <w:t>be used</w:t>
      </w:r>
      <w:r w:rsidRPr="007373E6" w:rsidR="006550F5">
        <w:rPr>
          <w:spacing w:val="-2"/>
        </w:rPr>
        <w:t xml:space="preserve"> to improve these projection assumptions.</w:t>
      </w:r>
      <w:r w:rsidRPr="007373E6">
        <w:rPr>
          <w:spacing w:val="-2"/>
        </w:rPr>
        <w:t xml:space="preserve"> The effort </w:t>
      </w:r>
      <w:r w:rsidRPr="007373E6">
        <w:rPr>
          <w:spacing w:val="-2"/>
        </w:rPr>
        <w:t>required</w:t>
      </w:r>
      <w:r w:rsidRPr="007373E6">
        <w:rPr>
          <w:spacing w:val="-2"/>
        </w:rPr>
        <w:t xml:space="preserve"> to process each application </w:t>
      </w:r>
      <w:r w:rsidRPr="007373E6">
        <w:rPr>
          <w:spacing w:val="-2"/>
        </w:rPr>
        <w:t>submitted</w:t>
      </w:r>
      <w:r w:rsidRPr="007373E6">
        <w:rPr>
          <w:spacing w:val="-2"/>
        </w:rPr>
        <w:t xml:space="preserve"> to the NRC </w:t>
      </w:r>
      <w:r w:rsidRPr="007373E6">
        <w:rPr>
          <w:spacing w:val="-2"/>
        </w:rPr>
        <w:t>is estimated</w:t>
      </w:r>
      <w:r w:rsidRPr="007373E6">
        <w:rPr>
          <w:spacing w:val="-2"/>
        </w:rPr>
        <w:t xml:space="preserve"> to </w:t>
      </w:r>
      <w:r w:rsidRPr="007373E6">
        <w:rPr>
          <w:spacing w:val="-2"/>
        </w:rPr>
        <w:t>be reduced</w:t>
      </w:r>
      <w:r w:rsidRPr="007373E6">
        <w:rPr>
          <w:spacing w:val="-2"/>
        </w:rPr>
        <w:t xml:space="preserve"> by approximately 81 hours because of the increased quality of each application that results from the added clarity to the regulations. This amounts to $12,300 of savings for each application at the NRC labor rate of $152 per hour. Because applications are not expected to be submitted directly to the NRC until 2038 and later (see Table A-1, column 5), discounting reduces the present value of the sum of these averted costs substantially to a net present value of $34,000 (using a 7 percent discount rate) and $70,000 (using a 3 percent discount rate) as shown in Tables 4 and 5.</w:t>
      </w:r>
    </w:p>
    <w:p w:rsidR="00756160" w:rsidRPr="00CD3D85" w:rsidP="00756160" w14:paraId="0F9BC1A8" w14:textId="77777777">
      <w:pPr>
        <w:pStyle w:val="BodyText"/>
      </w:pPr>
    </w:p>
    <w:p w:rsidR="00756160" w:rsidRPr="00CD3D85" w:rsidP="00756160" w14:paraId="656103A6" w14:textId="77777777">
      <w:pPr>
        <w:pStyle w:val="BodyText"/>
        <w:rPr>
          <w:i/>
          <w:iCs/>
        </w:rPr>
      </w:pPr>
      <w:r w:rsidRPr="00CD3D85">
        <w:rPr>
          <w:i/>
          <w:iCs/>
        </w:rPr>
        <w:t>Total Costs</w:t>
      </w:r>
      <w:r w:rsidRPr="00CD3D85">
        <w:rPr>
          <w:i/>
          <w:iCs/>
        </w:rPr>
        <w:br/>
      </w:r>
    </w:p>
    <w:p w:rsidR="00756160" w:rsidRPr="008F486F" w:rsidP="00756160" w14:paraId="55D5EB4B" w14:textId="77777777">
      <w:pPr>
        <w:pStyle w:val="BodyText"/>
      </w:pPr>
      <w:r w:rsidRPr="00CD3D85">
        <w:t>Taking rulemaking costs into account, when compared to the no-action alternative, Alternative 2 would</w:t>
      </w:r>
      <w:r w:rsidRPr="00CD3D85">
        <w:rPr>
          <w:spacing w:val="-1"/>
        </w:rPr>
        <w:t xml:space="preserve"> </w:t>
      </w:r>
      <w:r w:rsidRPr="00CD3D85">
        <w:t>result in</w:t>
      </w:r>
      <w:r w:rsidRPr="00CD3D85">
        <w:rPr>
          <w:spacing w:val="1"/>
        </w:rPr>
        <w:t xml:space="preserve"> </w:t>
      </w:r>
      <w:r w:rsidRPr="00CD3D85">
        <w:t>a net cost to the NRC</w:t>
      </w:r>
      <w:r w:rsidRPr="00CD3D85">
        <w:rPr>
          <w:spacing w:val="-1"/>
        </w:rPr>
        <w:t xml:space="preserve"> </w:t>
      </w:r>
      <w:r w:rsidRPr="00CD3D85">
        <w:t>of</w:t>
      </w:r>
      <w:r w:rsidRPr="00CD3D85">
        <w:rPr>
          <w:spacing w:val="2"/>
        </w:rPr>
        <w:t xml:space="preserve"> </w:t>
      </w:r>
      <w:r w:rsidRPr="00CD3D85">
        <w:t>approximately $280,000 (using a 7 percent discount rate)</w:t>
      </w:r>
      <w:r w:rsidRPr="00CD3D85">
        <w:rPr>
          <w:spacing w:val="1"/>
        </w:rPr>
        <w:t xml:space="preserve"> </w:t>
      </w:r>
      <w:r w:rsidRPr="00CD3D85">
        <w:t>and</w:t>
      </w:r>
      <w:r w:rsidRPr="00CD3D85">
        <w:rPr>
          <w:spacing w:val="-2"/>
        </w:rPr>
        <w:t xml:space="preserve"> </w:t>
      </w:r>
      <w:r w:rsidRPr="00CD3D85">
        <w:t>$269,</w:t>
      </w:r>
      <w:r w:rsidRPr="008F486F">
        <w:t>000</w:t>
      </w:r>
      <w:r w:rsidRPr="008F486F">
        <w:rPr>
          <w:spacing w:val="-1"/>
        </w:rPr>
        <w:t xml:space="preserve"> (using a </w:t>
      </w:r>
      <w:r w:rsidRPr="008F486F">
        <w:t>3</w:t>
      </w:r>
      <w:r w:rsidRPr="008F486F">
        <w:rPr>
          <w:spacing w:val="-2"/>
        </w:rPr>
        <w:t> </w:t>
      </w:r>
      <w:r w:rsidRPr="008F486F">
        <w:t>percent</w:t>
      </w:r>
      <w:r w:rsidRPr="008F486F">
        <w:rPr>
          <w:spacing w:val="-1"/>
        </w:rPr>
        <w:t xml:space="preserve"> </w:t>
      </w:r>
      <w:r w:rsidRPr="008F486F">
        <w:t>discount rate)</w:t>
      </w:r>
      <w:r w:rsidRPr="008F486F">
        <w:rPr>
          <w:spacing w:val="-2"/>
        </w:rPr>
        <w:t xml:space="preserve"> </w:t>
      </w:r>
      <w:r w:rsidRPr="008F486F">
        <w:t>as</w:t>
      </w:r>
      <w:r w:rsidRPr="008F486F">
        <w:rPr>
          <w:spacing w:val="-1"/>
        </w:rPr>
        <w:t xml:space="preserve"> </w:t>
      </w:r>
      <w:r w:rsidRPr="008F486F">
        <w:t>shown</w:t>
      </w:r>
      <w:r w:rsidRPr="008F486F">
        <w:rPr>
          <w:spacing w:val="-2"/>
        </w:rPr>
        <w:t xml:space="preserve"> </w:t>
      </w:r>
      <w:r w:rsidRPr="008F486F">
        <w:t xml:space="preserve">in </w:t>
      </w:r>
      <w:hyperlink w:anchor="_bookmark19" w:history="1">
        <w:r w:rsidRPr="008F486F">
          <w:t>Table</w:t>
        </w:r>
        <w:r w:rsidRPr="008F486F">
          <w:rPr>
            <w:spacing w:val="-2"/>
          </w:rPr>
          <w:t> </w:t>
        </w:r>
        <w:r w:rsidRPr="008F486F">
          <w:t>4</w:t>
        </w:r>
      </w:hyperlink>
      <w:r w:rsidRPr="008F486F">
        <w:t>. When compared to the no-action alternative, Alternative 3 would</w:t>
      </w:r>
      <w:r w:rsidRPr="008F486F">
        <w:rPr>
          <w:spacing w:val="-1"/>
        </w:rPr>
        <w:t xml:space="preserve"> </w:t>
      </w:r>
      <w:r w:rsidRPr="008F486F">
        <w:t>result in</w:t>
      </w:r>
      <w:r w:rsidRPr="008F486F">
        <w:rPr>
          <w:spacing w:val="1"/>
        </w:rPr>
        <w:t xml:space="preserve"> </w:t>
      </w:r>
      <w:r w:rsidRPr="008F486F">
        <w:t>a net cost to the NRC</w:t>
      </w:r>
      <w:r w:rsidRPr="008F486F">
        <w:rPr>
          <w:spacing w:val="-1"/>
        </w:rPr>
        <w:t xml:space="preserve"> </w:t>
      </w:r>
      <w:r w:rsidRPr="008F486F">
        <w:t>of</w:t>
      </w:r>
      <w:r w:rsidRPr="008F486F">
        <w:rPr>
          <w:spacing w:val="2"/>
        </w:rPr>
        <w:t xml:space="preserve"> </w:t>
      </w:r>
      <w:r w:rsidRPr="008F486F">
        <w:t>approximately $</w:t>
      </w:r>
      <w:r>
        <w:t>68</w:t>
      </w:r>
      <w:r w:rsidRPr="008F486F">
        <w:t>,000 (using a 7 percent discount rate)</w:t>
      </w:r>
      <w:r w:rsidRPr="008F486F">
        <w:rPr>
          <w:spacing w:val="1"/>
        </w:rPr>
        <w:t xml:space="preserve"> </w:t>
      </w:r>
      <w:r w:rsidRPr="008F486F">
        <w:t>and</w:t>
      </w:r>
      <w:r w:rsidRPr="008F486F">
        <w:rPr>
          <w:spacing w:val="-2"/>
        </w:rPr>
        <w:t xml:space="preserve"> </w:t>
      </w:r>
      <w:r w:rsidRPr="008F486F">
        <w:t>$4</w:t>
      </w:r>
      <w:r>
        <w:t>0</w:t>
      </w:r>
      <w:r w:rsidRPr="008F486F">
        <w:t>,000</w:t>
      </w:r>
      <w:r w:rsidRPr="008F486F">
        <w:rPr>
          <w:spacing w:val="-1"/>
        </w:rPr>
        <w:t xml:space="preserve"> (using a </w:t>
      </w:r>
      <w:r w:rsidRPr="008F486F">
        <w:t>3</w:t>
      </w:r>
      <w:r w:rsidRPr="008F486F">
        <w:rPr>
          <w:spacing w:val="-2"/>
        </w:rPr>
        <w:t> </w:t>
      </w:r>
      <w:r w:rsidRPr="008F486F">
        <w:t>percent</w:t>
      </w:r>
      <w:r w:rsidRPr="008F486F">
        <w:rPr>
          <w:spacing w:val="-1"/>
        </w:rPr>
        <w:t xml:space="preserve"> </w:t>
      </w:r>
      <w:r w:rsidRPr="008F486F">
        <w:t>discount rate)</w:t>
      </w:r>
      <w:r w:rsidRPr="008F486F">
        <w:rPr>
          <w:spacing w:val="-2"/>
        </w:rPr>
        <w:t xml:space="preserve"> </w:t>
      </w:r>
      <w:r w:rsidRPr="008F486F">
        <w:t>as</w:t>
      </w:r>
      <w:r w:rsidRPr="008F486F">
        <w:rPr>
          <w:spacing w:val="-1"/>
        </w:rPr>
        <w:t xml:space="preserve"> </w:t>
      </w:r>
      <w:r w:rsidRPr="008F486F">
        <w:t>shown</w:t>
      </w:r>
      <w:r w:rsidRPr="008F486F">
        <w:rPr>
          <w:spacing w:val="-2"/>
        </w:rPr>
        <w:t xml:space="preserve"> </w:t>
      </w:r>
      <w:r w:rsidRPr="008F486F">
        <w:t>in</w:t>
      </w:r>
      <w:r w:rsidRPr="008F486F">
        <w:rPr>
          <w:spacing w:val="-2"/>
        </w:rPr>
        <w:t xml:space="preserve"> </w:t>
      </w:r>
      <w:hyperlink w:anchor="_bookmark19" w:history="1">
        <w:r w:rsidRPr="008F486F">
          <w:t>Table</w:t>
        </w:r>
        <w:r w:rsidRPr="008F486F">
          <w:rPr>
            <w:spacing w:val="-2"/>
          </w:rPr>
          <w:t> </w:t>
        </w:r>
        <w:r w:rsidRPr="008F486F">
          <w:t>5</w:t>
        </w:r>
      </w:hyperlink>
      <w:r w:rsidRPr="008F486F">
        <w:t>. Neither Alternative 2 nor Alternative 3 is directly cost beneficial to the NRC.</w:t>
      </w:r>
      <w:r w:rsidRPr="008F486F">
        <w:rPr>
          <w:spacing w:val="1"/>
        </w:rPr>
        <w:t xml:space="preserve"> </w:t>
      </w:r>
      <w:r w:rsidRPr="008F486F">
        <w:t>All values are in 2023</w:t>
      </w:r>
      <w:r w:rsidRPr="008F486F">
        <w:rPr>
          <w:spacing w:val="1"/>
        </w:rPr>
        <w:t xml:space="preserve"> </w:t>
      </w:r>
      <w:r w:rsidRPr="008F486F">
        <w:t>dollars and discounted to the 2023 base year.</w:t>
      </w:r>
    </w:p>
    <w:p w:rsidR="00756160" w:rsidRPr="008F486F" w:rsidP="00756160" w14:paraId="0AB07CFB" w14:textId="77777777">
      <w:pPr>
        <w:pStyle w:val="BodyText"/>
      </w:pPr>
      <w:bookmarkStart w:id="111" w:name="_bookmark19"/>
      <w:bookmarkEnd w:id="111"/>
    </w:p>
    <w:p w:rsidR="00756160" w:rsidRPr="008F486F" w:rsidP="00756160" w14:paraId="2FB76FC4" w14:textId="77777777">
      <w:pPr>
        <w:pStyle w:val="Heading2"/>
        <w:ind w:left="936"/>
        <w:rPr>
          <w:u w:val="none"/>
        </w:rPr>
      </w:pPr>
      <w:bookmarkStart w:id="112" w:name="4.3_Cost_Justification"/>
      <w:bookmarkStart w:id="113" w:name="_bookmark20"/>
      <w:bookmarkStart w:id="114" w:name="_Toc176884015"/>
      <w:bookmarkStart w:id="115" w:name="_Toc222796523"/>
      <w:bookmarkEnd w:id="112"/>
      <w:bookmarkEnd w:id="113"/>
      <w:r w:rsidRPr="008F486F">
        <w:rPr>
          <w:u w:val="none"/>
        </w:rPr>
        <w:t>5.3</w:t>
      </w:r>
      <w:r w:rsidRPr="008F486F">
        <w:rPr>
          <w:u w:val="none"/>
        </w:rPr>
        <w:tab/>
        <w:t>Cost Impact on the Agreement States</w:t>
      </w:r>
      <w:bookmarkEnd w:id="114"/>
      <w:bookmarkEnd w:id="115"/>
    </w:p>
    <w:p w:rsidR="00756160" w:rsidRPr="008F486F" w:rsidP="00756160" w14:paraId="2B479017" w14:textId="77777777">
      <w:pPr>
        <w:pStyle w:val="BodyText"/>
        <w:keepNext/>
      </w:pPr>
    </w:p>
    <w:p w:rsidR="00756160" w:rsidRPr="008F486F" w:rsidP="00756160" w14:paraId="736F8CAE" w14:textId="77777777">
      <w:pPr>
        <w:pStyle w:val="BodyText"/>
      </w:pPr>
      <w:r w:rsidRPr="008F486F">
        <w:t>Like licensees, Agreement States would benefit from using the NRC’s revised regulations to develop fusion machine regulation programs. The Agreement States would incur the costs of revising their regulations and guidance to be consistent with NRC revised regulations. After revising their regulations and guidance, the Agreement States would benefit from the reduced effort required for licensing and oversight of new fusion machines built in their State due to the improvements in clarity.</w:t>
      </w:r>
    </w:p>
    <w:p w:rsidR="00756160" w:rsidRPr="008F486F" w:rsidP="00756160" w14:paraId="1974F69C" w14:textId="77777777">
      <w:pPr>
        <w:pStyle w:val="BodyText"/>
      </w:pPr>
    </w:p>
    <w:p w:rsidR="00756160" w:rsidRPr="005C0A8C" w:rsidP="00756160" w14:paraId="37257AD7" w14:textId="77777777">
      <w:pPr>
        <w:pStyle w:val="BodyText"/>
        <w:keepNext/>
        <w:rPr>
          <w:i/>
          <w:iCs/>
        </w:rPr>
      </w:pPr>
      <w:r w:rsidRPr="005C0A8C">
        <w:rPr>
          <w:i/>
          <w:iCs/>
        </w:rPr>
        <w:t>Implementation Costs</w:t>
      </w:r>
    </w:p>
    <w:p w:rsidR="00756160" w:rsidRPr="008F486F" w:rsidP="00756160" w14:paraId="33E65E7A" w14:textId="77777777">
      <w:pPr>
        <w:pStyle w:val="BodyText"/>
        <w:keepNext/>
      </w:pPr>
    </w:p>
    <w:p w:rsidR="00756160" w:rsidRPr="008F486F" w:rsidP="00756160" w14:paraId="27C33607" w14:textId="01B60D01">
      <w:pPr>
        <w:pStyle w:val="BodyText"/>
      </w:pPr>
      <w:r w:rsidRPr="008F486F">
        <w:t>The staff assumed that each Agreement State would complete the revision the year that the first license application</w:t>
      </w:r>
      <w:r w:rsidR="00264C12">
        <w:t xml:space="preserve">, for a license authorizing the possession, use, and production of </w:t>
      </w:r>
      <w:r w:rsidRPr="00264C12" w:rsidR="00264C12">
        <w:t>byproduct material associated with</w:t>
      </w:r>
      <w:r w:rsidR="00264C12">
        <w:t xml:space="preserve"> a fusion machine,</w:t>
      </w:r>
      <w:r w:rsidRPr="008F486F">
        <w:t xml:space="preserve"> is projected to be received for that Agreement State. The last column in Table A</w:t>
      </w:r>
      <w:r w:rsidRPr="008F486F">
        <w:noBreakHyphen/>
        <w:t xml:space="preserve">1 shows the number of Agreement States that the NRC estimates will be added each year of the period of analysis (for example, </w:t>
      </w:r>
      <w:r>
        <w:t>6</w:t>
      </w:r>
      <w:r w:rsidRPr="008F486F">
        <w:t xml:space="preserve"> </w:t>
      </w:r>
      <w:r>
        <w:t>S</w:t>
      </w:r>
      <w:r w:rsidRPr="008F486F">
        <w:t xml:space="preserve">tates in 2036 and </w:t>
      </w:r>
      <w:r>
        <w:t>4</w:t>
      </w:r>
      <w:r w:rsidRPr="008F486F">
        <w:t xml:space="preserve"> </w:t>
      </w:r>
      <w:r>
        <w:t>S</w:t>
      </w:r>
      <w:r w:rsidRPr="008F486F">
        <w:t>tates in 2037</w:t>
      </w:r>
      <w:r>
        <w:t>)</w:t>
      </w:r>
      <w:r w:rsidRPr="008F486F">
        <w:t xml:space="preserve">. </w:t>
      </w:r>
      <w:r w:rsidRPr="008F486F">
        <w:br/>
      </w:r>
      <w:r w:rsidRPr="008F486F">
        <w:br/>
        <w:t>For Alternative 2, the NRC projects the cost for all Agreement States revising their regulations to be $</w:t>
      </w:r>
      <w:r>
        <w:t>544</w:t>
      </w:r>
      <w:r w:rsidRPr="008F486F">
        <w:t>,</w:t>
      </w:r>
      <w:r>
        <w:t>000</w:t>
      </w:r>
      <w:r w:rsidRPr="008F486F">
        <w:t xml:space="preserve"> at the 7 percent discount rate ($</w:t>
      </w:r>
      <w:r>
        <w:t>919</w:t>
      </w:r>
      <w:r w:rsidRPr="008F486F">
        <w:t>,</w:t>
      </w:r>
      <w:r>
        <w:t>000</w:t>
      </w:r>
      <w:r w:rsidRPr="008F486F">
        <w:t xml:space="preserve"> at 3 percent) as shown in Table 6. When an Agreement State undertakes the rulemaking and guidance process, the NRC estimates the labor effort for each </w:t>
      </w:r>
      <w:r w:rsidR="00D12307">
        <w:t>S</w:t>
      </w:r>
      <w:r w:rsidRPr="008F486F">
        <w:t>tate to be 895 hours. Thus, at a labor rate of $56 per hour, each Agreement State would expend $50,</w:t>
      </w:r>
      <w:r>
        <w:t>000</w:t>
      </w:r>
      <w:r w:rsidRPr="008F486F">
        <w:t xml:space="preserve"> for rulemaking and guidance development.</w:t>
      </w:r>
    </w:p>
    <w:p w:rsidR="00756160" w:rsidRPr="008F486F" w:rsidP="00756160" w14:paraId="06FC7DDE" w14:textId="77777777">
      <w:pPr>
        <w:pStyle w:val="BodyText"/>
      </w:pPr>
    </w:p>
    <w:p w:rsidR="00756160" w:rsidRPr="008F486F" w:rsidP="00756160" w14:paraId="1F756087" w14:textId="77777777">
      <w:pPr>
        <w:pStyle w:val="TableHeading"/>
        <w:keepLines/>
      </w:pPr>
      <w:bookmarkStart w:id="116" w:name="_Toc177045605"/>
      <w:bookmarkStart w:id="117" w:name="_Toc222796256"/>
      <w:r w:rsidRPr="008F486F">
        <w:t xml:space="preserve">Table 6 </w:t>
      </w:r>
      <w:r w:rsidR="00B80CCF">
        <w:fldChar w:fldCharType="begin"/>
      </w:r>
      <w:r w:rsidR="00B80CCF">
        <w:instrText xml:space="preserve"> SEQ Table \* ARABIC </w:instrText>
      </w:r>
      <w:r w:rsidR="00B80CCF">
        <w:fldChar w:fldCharType="separate"/>
      </w:r>
      <w:r w:rsidR="00B80CCF">
        <w:fldChar w:fldCharType="end"/>
      </w:r>
      <w:r w:rsidRPr="008F486F">
        <w:t xml:space="preserve">  Agreement State Costs and Benefits for Alternative 2</w:t>
      </w:r>
      <w:bookmarkEnd w:id="116"/>
      <w:bookmarkEnd w:id="117"/>
    </w:p>
    <w:tbl>
      <w:tblPr>
        <w:tblW w:w="9360" w:type="dxa"/>
        <w:tblLook w:val="04A0"/>
      </w:tblPr>
      <w:tblGrid>
        <w:gridCol w:w="960"/>
        <w:gridCol w:w="1420"/>
        <w:gridCol w:w="1488"/>
        <w:gridCol w:w="935"/>
        <w:gridCol w:w="1252"/>
        <w:gridCol w:w="935"/>
        <w:gridCol w:w="1118"/>
        <w:gridCol w:w="1252"/>
      </w:tblGrid>
      <w:tr w14:paraId="3D79D357" w14:textId="77777777">
        <w:tblPrEx>
          <w:tblW w:w="9360" w:type="dxa"/>
          <w:tblLook w:val="04A0"/>
        </w:tblPrEx>
        <w:trPr>
          <w:trHeight w:val="490"/>
        </w:trPr>
        <w:tc>
          <w:tcPr>
            <w:tcW w:w="7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911D18" w14:paraId="7504DB54" w14:textId="77777777">
            <w:pPr>
              <w:keepNext/>
              <w:keepLines/>
              <w:autoSpaceDE/>
              <w:autoSpaceDN/>
              <w:jc w:val="center"/>
              <w:rPr>
                <w:rFonts w:eastAsia="Times New Roman"/>
                <w:b/>
                <w:bCs/>
                <w:sz w:val="16"/>
                <w:szCs w:val="16"/>
              </w:rPr>
            </w:pPr>
            <w:r w:rsidRPr="00911D18">
              <w:rPr>
                <w:rFonts w:eastAsia="Times New Roman"/>
                <w:b/>
                <w:bCs/>
                <w:sz w:val="16"/>
                <w:szCs w:val="16"/>
              </w:rPr>
              <w:t>Year</w:t>
            </w:r>
          </w:p>
        </w:tc>
        <w:tc>
          <w:tcPr>
            <w:tcW w:w="226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911D18" w14:paraId="565F1FDF" w14:textId="77777777">
            <w:pPr>
              <w:keepNext/>
              <w:keepLines/>
              <w:autoSpaceDE/>
              <w:autoSpaceDN/>
              <w:jc w:val="center"/>
              <w:rPr>
                <w:rFonts w:eastAsia="Times New Roman"/>
                <w:b/>
                <w:bCs/>
                <w:sz w:val="16"/>
                <w:szCs w:val="16"/>
              </w:rPr>
            </w:pPr>
            <w:r w:rsidRPr="00911D18">
              <w:rPr>
                <w:rFonts w:eastAsia="Times New Roman"/>
                <w:b/>
                <w:bCs/>
                <w:sz w:val="16"/>
                <w:szCs w:val="16"/>
              </w:rPr>
              <w:t>Agreement State</w:t>
            </w:r>
          </w:p>
        </w:tc>
        <w:tc>
          <w:tcPr>
            <w:tcW w:w="1660" w:type="dxa"/>
            <w:gridSpan w:val="2"/>
            <w:tcBorders>
              <w:top w:val="single" w:sz="4" w:space="0" w:color="auto"/>
              <w:left w:val="nil"/>
              <w:bottom w:val="single" w:sz="4" w:space="0" w:color="auto"/>
              <w:right w:val="single" w:sz="4" w:space="0" w:color="auto"/>
            </w:tcBorders>
            <w:vAlign w:val="bottom"/>
            <w:hideMark/>
          </w:tcPr>
          <w:p w:rsidR="00756160" w:rsidRPr="00911D18" w14:paraId="1A569FAE"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Implementation Costs</w:t>
            </w:r>
          </w:p>
        </w:tc>
        <w:tc>
          <w:tcPr>
            <w:tcW w:w="1600" w:type="dxa"/>
            <w:gridSpan w:val="2"/>
            <w:tcBorders>
              <w:top w:val="single" w:sz="4" w:space="0" w:color="auto"/>
              <w:left w:val="nil"/>
              <w:bottom w:val="single" w:sz="4" w:space="0" w:color="auto"/>
              <w:right w:val="single" w:sz="4" w:space="0" w:color="auto"/>
            </w:tcBorders>
            <w:noWrap/>
            <w:vAlign w:val="bottom"/>
            <w:hideMark/>
          </w:tcPr>
          <w:p w:rsidR="00756160" w:rsidRPr="00911D18" w14:paraId="08389EBF"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Operational Costs</w:t>
            </w:r>
          </w:p>
        </w:tc>
        <w:tc>
          <w:tcPr>
            <w:tcW w:w="920" w:type="dxa"/>
            <w:vMerge w:val="restart"/>
            <w:tcBorders>
              <w:top w:val="single" w:sz="4" w:space="0" w:color="auto"/>
              <w:left w:val="single" w:sz="4" w:space="0" w:color="auto"/>
              <w:bottom w:val="single" w:sz="4" w:space="0" w:color="auto"/>
              <w:right w:val="single" w:sz="4" w:space="0" w:color="auto"/>
            </w:tcBorders>
            <w:vAlign w:val="bottom"/>
            <w:hideMark/>
          </w:tcPr>
          <w:p w:rsidR="00756160" w:rsidRPr="00911D18" w14:paraId="7F2EB244"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Net Benefit (Cost) Total</w:t>
            </w:r>
          </w:p>
        </w:tc>
      </w:tr>
      <w:tr w14:paraId="4ABA9F1D" w14:textId="77777777">
        <w:tblPrEx>
          <w:tblW w:w="9360" w:type="dxa"/>
          <w:tblLook w:val="04A0"/>
        </w:tblPrEx>
        <w:trPr>
          <w:trHeight w:val="206"/>
        </w:trPr>
        <w:tc>
          <w:tcPr>
            <w:tcW w:w="76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05AD752B" w14:textId="77777777">
            <w:pPr>
              <w:keepNext/>
              <w:keepLines/>
              <w:autoSpaceDE/>
              <w:autoSpaceDN/>
              <w:rPr>
                <w:rFonts w:eastAsia="Times New Roman"/>
                <w:b/>
                <w:bCs/>
                <w:sz w:val="16"/>
                <w:szCs w:val="16"/>
              </w:rPr>
            </w:pPr>
          </w:p>
        </w:tc>
        <w:tc>
          <w:tcPr>
            <w:tcW w:w="2260" w:type="dxa"/>
            <w:gridSpan w:val="2"/>
            <w:vMerge/>
            <w:tcBorders>
              <w:top w:val="single" w:sz="4" w:space="0" w:color="auto"/>
              <w:left w:val="single" w:sz="4" w:space="0" w:color="auto"/>
              <w:bottom w:val="single" w:sz="4" w:space="0" w:color="auto"/>
              <w:right w:val="single" w:sz="4" w:space="0" w:color="auto"/>
            </w:tcBorders>
            <w:vAlign w:val="center"/>
            <w:hideMark/>
          </w:tcPr>
          <w:p w:rsidR="00756160" w:rsidRPr="00911D18" w14:paraId="6A74ADD0" w14:textId="77777777">
            <w:pPr>
              <w:keepNext/>
              <w:keepLines/>
              <w:autoSpaceDE/>
              <w:autoSpaceDN/>
              <w:rPr>
                <w:rFonts w:eastAsia="Times New Roman"/>
                <w:b/>
                <w:bCs/>
                <w:sz w:val="16"/>
                <w:szCs w:val="16"/>
              </w:rPr>
            </w:pPr>
          </w:p>
        </w:tc>
        <w:tc>
          <w:tcPr>
            <w:tcW w:w="1660" w:type="dxa"/>
            <w:gridSpan w:val="2"/>
            <w:tcBorders>
              <w:top w:val="single" w:sz="4" w:space="0" w:color="auto"/>
              <w:left w:val="nil"/>
              <w:bottom w:val="single" w:sz="4" w:space="0" w:color="auto"/>
              <w:right w:val="single" w:sz="4" w:space="0" w:color="auto"/>
            </w:tcBorders>
            <w:vAlign w:val="bottom"/>
            <w:hideMark/>
          </w:tcPr>
          <w:p w:rsidR="00756160" w:rsidRPr="00911D18" w14:paraId="193CF170"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Prepare Rule and Guidance Consistent with NRC</w:t>
            </w:r>
          </w:p>
        </w:tc>
        <w:tc>
          <w:tcPr>
            <w:tcW w:w="1600" w:type="dxa"/>
            <w:gridSpan w:val="2"/>
            <w:tcBorders>
              <w:top w:val="single" w:sz="4" w:space="0" w:color="auto"/>
              <w:left w:val="nil"/>
              <w:bottom w:val="single" w:sz="4" w:space="0" w:color="auto"/>
              <w:right w:val="single" w:sz="4" w:space="0" w:color="auto"/>
            </w:tcBorders>
            <w:vAlign w:val="bottom"/>
            <w:hideMark/>
          </w:tcPr>
          <w:p w:rsidR="00756160" w:rsidRPr="00911D18" w14:paraId="5207063E"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Averted Licensing Costs</w:t>
            </w: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728746F8" w14:textId="77777777">
            <w:pPr>
              <w:keepNext/>
              <w:keepLines/>
              <w:autoSpaceDE/>
              <w:autoSpaceDN/>
              <w:rPr>
                <w:rFonts w:eastAsia="Times New Roman"/>
                <w:b/>
                <w:bCs/>
                <w:color w:val="000000"/>
                <w:sz w:val="16"/>
                <w:szCs w:val="16"/>
              </w:rPr>
            </w:pPr>
          </w:p>
        </w:tc>
      </w:tr>
      <w:tr w14:paraId="0BF0CCF5" w14:textId="77777777">
        <w:tblPrEx>
          <w:tblW w:w="9360" w:type="dxa"/>
          <w:tblLook w:val="04A0"/>
        </w:tblPrEx>
        <w:trPr>
          <w:trHeight w:val="750"/>
        </w:trPr>
        <w:tc>
          <w:tcPr>
            <w:tcW w:w="76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747701A9" w14:textId="77777777">
            <w:pPr>
              <w:keepNext/>
              <w:keepLines/>
              <w:autoSpaceDE/>
              <w:autoSpaceDN/>
              <w:rPr>
                <w:rFonts w:eastAsia="Times New Roman"/>
                <w:b/>
                <w:bCs/>
                <w:sz w:val="16"/>
                <w:szCs w:val="16"/>
              </w:rPr>
            </w:pPr>
          </w:p>
        </w:tc>
        <w:tc>
          <w:tcPr>
            <w:tcW w:w="1120" w:type="dxa"/>
            <w:tcBorders>
              <w:top w:val="nil"/>
              <w:left w:val="nil"/>
              <w:bottom w:val="single" w:sz="4" w:space="0" w:color="auto"/>
              <w:right w:val="single" w:sz="4" w:space="0" w:color="auto"/>
            </w:tcBorders>
            <w:shd w:val="clear" w:color="000000" w:fill="FFFFFF"/>
            <w:vAlign w:val="center"/>
            <w:hideMark/>
          </w:tcPr>
          <w:p w:rsidR="00756160" w:rsidRPr="00911D18" w14:paraId="1487A057" w14:textId="77777777">
            <w:pPr>
              <w:keepNext/>
              <w:keepLines/>
              <w:autoSpaceDE/>
              <w:autoSpaceDN/>
              <w:jc w:val="center"/>
              <w:rPr>
                <w:rFonts w:eastAsia="Times New Roman"/>
                <w:b/>
                <w:bCs/>
                <w:sz w:val="16"/>
                <w:szCs w:val="16"/>
              </w:rPr>
            </w:pPr>
            <w:r w:rsidRPr="00911D18">
              <w:rPr>
                <w:rFonts w:eastAsia="Times New Roman"/>
                <w:b/>
                <w:bCs/>
                <w:sz w:val="16"/>
                <w:szCs w:val="16"/>
              </w:rPr>
              <w:t>Rulemaking</w:t>
            </w:r>
          </w:p>
        </w:tc>
        <w:tc>
          <w:tcPr>
            <w:tcW w:w="1140" w:type="dxa"/>
            <w:tcBorders>
              <w:top w:val="nil"/>
              <w:left w:val="nil"/>
              <w:bottom w:val="single" w:sz="4" w:space="0" w:color="auto"/>
              <w:right w:val="single" w:sz="4" w:space="0" w:color="auto"/>
            </w:tcBorders>
            <w:shd w:val="clear" w:color="000000" w:fill="FFFFFF"/>
            <w:vAlign w:val="center"/>
            <w:hideMark/>
          </w:tcPr>
          <w:p w:rsidR="00756160" w:rsidRPr="00911D18" w14:paraId="321EEB78" w14:textId="77777777">
            <w:pPr>
              <w:keepNext/>
              <w:keepLines/>
              <w:autoSpaceDE/>
              <w:autoSpaceDN/>
              <w:jc w:val="center"/>
              <w:rPr>
                <w:rFonts w:eastAsia="Times New Roman"/>
                <w:b/>
                <w:bCs/>
                <w:sz w:val="16"/>
                <w:szCs w:val="16"/>
              </w:rPr>
            </w:pPr>
            <w:r w:rsidRPr="00911D18">
              <w:rPr>
                <w:rFonts w:eastAsia="Times New Roman"/>
                <w:b/>
                <w:bCs/>
                <w:sz w:val="16"/>
                <w:szCs w:val="16"/>
              </w:rPr>
              <w:t>Applications</w:t>
            </w:r>
          </w:p>
        </w:tc>
        <w:tc>
          <w:tcPr>
            <w:tcW w:w="740" w:type="dxa"/>
            <w:tcBorders>
              <w:top w:val="nil"/>
              <w:left w:val="nil"/>
              <w:bottom w:val="single" w:sz="4" w:space="0" w:color="auto"/>
              <w:right w:val="single" w:sz="4" w:space="0" w:color="auto"/>
            </w:tcBorders>
            <w:vAlign w:val="bottom"/>
            <w:hideMark/>
          </w:tcPr>
          <w:p w:rsidR="00756160" w:rsidRPr="00911D18" w14:paraId="673C2778"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Hours</w:t>
            </w:r>
          </w:p>
        </w:tc>
        <w:tc>
          <w:tcPr>
            <w:tcW w:w="920" w:type="dxa"/>
            <w:tcBorders>
              <w:top w:val="nil"/>
              <w:left w:val="nil"/>
              <w:bottom w:val="single" w:sz="4" w:space="0" w:color="auto"/>
              <w:right w:val="single" w:sz="4" w:space="0" w:color="auto"/>
            </w:tcBorders>
            <w:vAlign w:val="bottom"/>
            <w:hideMark/>
          </w:tcPr>
          <w:p w:rsidR="00756160" w:rsidRPr="00911D18" w14:paraId="09C30E60"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Net Benefits (Costs)</w:t>
            </w:r>
          </w:p>
        </w:tc>
        <w:tc>
          <w:tcPr>
            <w:tcW w:w="740" w:type="dxa"/>
            <w:tcBorders>
              <w:top w:val="nil"/>
              <w:left w:val="nil"/>
              <w:bottom w:val="single" w:sz="4" w:space="0" w:color="auto"/>
              <w:right w:val="single" w:sz="4" w:space="0" w:color="auto"/>
            </w:tcBorders>
            <w:vAlign w:val="bottom"/>
            <w:hideMark/>
          </w:tcPr>
          <w:p w:rsidR="00756160" w:rsidRPr="00911D18" w14:paraId="1B0B1BF2"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Hours</w:t>
            </w:r>
          </w:p>
        </w:tc>
        <w:tc>
          <w:tcPr>
            <w:tcW w:w="860" w:type="dxa"/>
            <w:tcBorders>
              <w:top w:val="nil"/>
              <w:left w:val="nil"/>
              <w:bottom w:val="single" w:sz="4" w:space="0" w:color="auto"/>
              <w:right w:val="single" w:sz="4" w:space="0" w:color="auto"/>
            </w:tcBorders>
            <w:vAlign w:val="bottom"/>
            <w:hideMark/>
          </w:tcPr>
          <w:p w:rsidR="00756160" w:rsidRPr="00911D18" w14:paraId="143BC6B1" w14:textId="77777777">
            <w:pPr>
              <w:keepNext/>
              <w:keepLines/>
              <w:autoSpaceDE/>
              <w:autoSpaceDN/>
              <w:jc w:val="center"/>
              <w:rPr>
                <w:rFonts w:eastAsia="Times New Roman"/>
                <w:b/>
                <w:bCs/>
                <w:color w:val="000000"/>
                <w:sz w:val="16"/>
                <w:szCs w:val="16"/>
              </w:rPr>
            </w:pPr>
            <w:r w:rsidRPr="00911D18">
              <w:rPr>
                <w:rFonts w:eastAsia="Times New Roman"/>
                <w:b/>
                <w:bCs/>
                <w:color w:val="000000"/>
                <w:sz w:val="16"/>
                <w:szCs w:val="16"/>
              </w:rPr>
              <w:t>Net Benefits (Costs)</w:t>
            </w: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756160" w:rsidRPr="00911D18" w14:paraId="54423B7B" w14:textId="77777777">
            <w:pPr>
              <w:keepNext/>
              <w:keepLines/>
              <w:autoSpaceDE/>
              <w:autoSpaceDN/>
              <w:rPr>
                <w:rFonts w:eastAsia="Times New Roman"/>
                <w:b/>
                <w:bCs/>
                <w:color w:val="000000"/>
                <w:sz w:val="16"/>
                <w:szCs w:val="16"/>
              </w:rPr>
            </w:pPr>
          </w:p>
        </w:tc>
      </w:tr>
      <w:tr w14:paraId="5C6FF112"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2FF37C5E"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2026</w:t>
            </w:r>
          </w:p>
        </w:tc>
        <w:tc>
          <w:tcPr>
            <w:tcW w:w="1120" w:type="dxa"/>
            <w:tcBorders>
              <w:top w:val="nil"/>
              <w:left w:val="nil"/>
              <w:bottom w:val="single" w:sz="4" w:space="0" w:color="auto"/>
              <w:right w:val="single" w:sz="4" w:space="0" w:color="auto"/>
            </w:tcBorders>
            <w:noWrap/>
            <w:vAlign w:val="bottom"/>
            <w:hideMark/>
          </w:tcPr>
          <w:p w:rsidR="00756160" w:rsidRPr="00911D18" w14:paraId="2AF6DFD1"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noWrap/>
            <w:vAlign w:val="bottom"/>
            <w:hideMark/>
          </w:tcPr>
          <w:p w:rsidR="00756160" w:rsidRPr="00911D18" w14:paraId="5BF51B35"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0</w:t>
            </w:r>
          </w:p>
        </w:tc>
        <w:tc>
          <w:tcPr>
            <w:tcW w:w="740" w:type="dxa"/>
            <w:tcBorders>
              <w:top w:val="nil"/>
              <w:left w:val="nil"/>
              <w:bottom w:val="single" w:sz="4" w:space="0" w:color="auto"/>
              <w:right w:val="single" w:sz="4" w:space="0" w:color="auto"/>
            </w:tcBorders>
            <w:noWrap/>
            <w:vAlign w:val="bottom"/>
            <w:hideMark/>
          </w:tcPr>
          <w:p w:rsidR="00756160" w:rsidRPr="00911D18" w14:paraId="6521A8A1" w14:textId="77777777">
            <w:pPr>
              <w:keepNext/>
              <w:keepLines/>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noWrap/>
            <w:vAlign w:val="bottom"/>
            <w:hideMark/>
          </w:tcPr>
          <w:p w:rsidR="00756160" w:rsidRPr="00911D18" w14:paraId="574F034D"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noWrap/>
            <w:vAlign w:val="bottom"/>
            <w:hideMark/>
          </w:tcPr>
          <w:p w:rsidR="00756160" w:rsidRPr="00911D18" w14:paraId="0D3E8082" w14:textId="77777777">
            <w:pPr>
              <w:keepNext/>
              <w:keepLines/>
              <w:autoSpaceDE/>
              <w:autoSpaceDN/>
              <w:rPr>
                <w:rFonts w:eastAsia="Times New Roman"/>
                <w:color w:val="000000"/>
                <w:sz w:val="16"/>
                <w:szCs w:val="16"/>
              </w:rPr>
            </w:pPr>
            <w:r w:rsidRPr="00911D18">
              <w:rPr>
                <w:rFonts w:eastAsia="Times New Roman"/>
                <w:color w:val="000000"/>
                <w:sz w:val="16"/>
                <w:szCs w:val="16"/>
              </w:rPr>
              <w:t xml:space="preserve">            -   </w:t>
            </w:r>
          </w:p>
        </w:tc>
        <w:tc>
          <w:tcPr>
            <w:tcW w:w="860" w:type="dxa"/>
            <w:tcBorders>
              <w:top w:val="nil"/>
              <w:left w:val="nil"/>
              <w:bottom w:val="single" w:sz="4" w:space="0" w:color="auto"/>
              <w:right w:val="single" w:sz="4" w:space="0" w:color="auto"/>
            </w:tcBorders>
            <w:vAlign w:val="bottom"/>
            <w:hideMark/>
          </w:tcPr>
          <w:p w:rsidR="00756160" w:rsidRPr="00911D18" w14:paraId="31D4C568"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920" w:type="dxa"/>
            <w:tcBorders>
              <w:top w:val="nil"/>
              <w:left w:val="nil"/>
              <w:bottom w:val="single" w:sz="4" w:space="0" w:color="auto"/>
              <w:right w:val="single" w:sz="4" w:space="0" w:color="auto"/>
            </w:tcBorders>
            <w:vAlign w:val="bottom"/>
            <w:hideMark/>
          </w:tcPr>
          <w:p w:rsidR="00756160" w:rsidRPr="00911D18" w14:paraId="4AA5F9E0" w14:textId="77777777">
            <w:pPr>
              <w:keepNext/>
              <w:keepLines/>
              <w:autoSpaceDE/>
              <w:autoSpaceDN/>
              <w:jc w:val="right"/>
              <w:rPr>
                <w:rFonts w:eastAsia="Times New Roman"/>
                <w:color w:val="000000"/>
                <w:sz w:val="16"/>
                <w:szCs w:val="16"/>
              </w:rPr>
            </w:pPr>
            <w:r w:rsidRPr="00911D18">
              <w:rPr>
                <w:rFonts w:eastAsia="Times New Roman"/>
                <w:color w:val="000000"/>
                <w:sz w:val="16"/>
                <w:szCs w:val="16"/>
              </w:rPr>
              <w:t xml:space="preserve">$0 </w:t>
            </w:r>
          </w:p>
        </w:tc>
      </w:tr>
      <w:tr w14:paraId="4CAB2E80"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4D80328E" w14:textId="77777777">
            <w:pPr>
              <w:autoSpaceDE/>
              <w:autoSpaceDN/>
              <w:jc w:val="right"/>
              <w:rPr>
                <w:rFonts w:eastAsia="Times New Roman"/>
                <w:color w:val="000000"/>
                <w:sz w:val="16"/>
                <w:szCs w:val="16"/>
              </w:rPr>
            </w:pPr>
            <w:r w:rsidRPr="00911D18">
              <w:rPr>
                <w:rFonts w:eastAsia="Times New Roman"/>
                <w:color w:val="000000"/>
                <w:sz w:val="16"/>
                <w:szCs w:val="16"/>
              </w:rPr>
              <w:t>2027</w:t>
            </w:r>
          </w:p>
        </w:tc>
        <w:tc>
          <w:tcPr>
            <w:tcW w:w="1120" w:type="dxa"/>
            <w:tcBorders>
              <w:top w:val="nil"/>
              <w:left w:val="nil"/>
              <w:bottom w:val="single" w:sz="4" w:space="0" w:color="auto"/>
              <w:right w:val="single" w:sz="4" w:space="0" w:color="auto"/>
            </w:tcBorders>
            <w:noWrap/>
            <w:vAlign w:val="bottom"/>
            <w:hideMark/>
          </w:tcPr>
          <w:p w:rsidR="00756160" w:rsidRPr="00911D18" w14:paraId="4A204475"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52EF124C"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noWrap/>
            <w:vAlign w:val="bottom"/>
            <w:hideMark/>
          </w:tcPr>
          <w:p w:rsidR="00756160" w:rsidRPr="00911D18" w14:paraId="389DC6A0"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17D9B9E0"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16BC805F"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vAlign w:val="bottom"/>
            <w:hideMark/>
          </w:tcPr>
          <w:p w:rsidR="00756160" w:rsidRPr="00911D18" w14:paraId="5895869D"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vAlign w:val="bottom"/>
            <w:hideMark/>
          </w:tcPr>
          <w:p w:rsidR="00756160" w:rsidRPr="00911D18" w14:paraId="7B5A2786"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5F0C4D87"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5E23B0DA" w14:textId="77777777">
            <w:pPr>
              <w:autoSpaceDE/>
              <w:autoSpaceDN/>
              <w:jc w:val="right"/>
              <w:rPr>
                <w:rFonts w:eastAsia="Times New Roman"/>
                <w:color w:val="000000"/>
                <w:sz w:val="16"/>
                <w:szCs w:val="16"/>
              </w:rPr>
            </w:pPr>
            <w:r w:rsidRPr="00911D18">
              <w:rPr>
                <w:rFonts w:eastAsia="Times New Roman"/>
                <w:color w:val="000000"/>
                <w:sz w:val="16"/>
                <w:szCs w:val="16"/>
              </w:rPr>
              <w:t>2028</w:t>
            </w:r>
          </w:p>
        </w:tc>
        <w:tc>
          <w:tcPr>
            <w:tcW w:w="1120" w:type="dxa"/>
            <w:tcBorders>
              <w:top w:val="nil"/>
              <w:left w:val="nil"/>
              <w:bottom w:val="single" w:sz="4" w:space="0" w:color="auto"/>
              <w:right w:val="single" w:sz="4" w:space="0" w:color="auto"/>
            </w:tcBorders>
            <w:noWrap/>
            <w:vAlign w:val="bottom"/>
            <w:hideMark/>
          </w:tcPr>
          <w:p w:rsidR="00756160" w:rsidRPr="00911D18" w14:paraId="1A44788F"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4FD1C5DD"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noWrap/>
            <w:vAlign w:val="bottom"/>
            <w:hideMark/>
          </w:tcPr>
          <w:p w:rsidR="00756160" w:rsidRPr="00911D18" w14:paraId="3DA086CD"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5260464E"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52760463"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vAlign w:val="bottom"/>
            <w:hideMark/>
          </w:tcPr>
          <w:p w:rsidR="00756160" w:rsidRPr="00911D18" w14:paraId="149332F1"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vAlign w:val="bottom"/>
            <w:hideMark/>
          </w:tcPr>
          <w:p w:rsidR="00756160" w:rsidRPr="00911D18" w14:paraId="6E160D62"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00C45A32"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760727A8" w14:textId="77777777">
            <w:pPr>
              <w:autoSpaceDE/>
              <w:autoSpaceDN/>
              <w:jc w:val="right"/>
              <w:rPr>
                <w:rFonts w:eastAsia="Times New Roman"/>
                <w:color w:val="000000"/>
                <w:sz w:val="16"/>
                <w:szCs w:val="16"/>
              </w:rPr>
            </w:pPr>
            <w:r w:rsidRPr="00911D18">
              <w:rPr>
                <w:rFonts w:eastAsia="Times New Roman"/>
                <w:color w:val="000000"/>
                <w:sz w:val="16"/>
                <w:szCs w:val="16"/>
              </w:rPr>
              <w:t>2029</w:t>
            </w:r>
          </w:p>
        </w:tc>
        <w:tc>
          <w:tcPr>
            <w:tcW w:w="1120" w:type="dxa"/>
            <w:tcBorders>
              <w:top w:val="nil"/>
              <w:left w:val="nil"/>
              <w:bottom w:val="single" w:sz="4" w:space="0" w:color="auto"/>
              <w:right w:val="single" w:sz="4" w:space="0" w:color="auto"/>
            </w:tcBorders>
            <w:noWrap/>
            <w:vAlign w:val="bottom"/>
            <w:hideMark/>
          </w:tcPr>
          <w:p w:rsidR="00756160" w:rsidRPr="00911D18" w14:paraId="0B893C4A"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2ADA97DC"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noWrap/>
            <w:vAlign w:val="bottom"/>
            <w:hideMark/>
          </w:tcPr>
          <w:p w:rsidR="00756160" w:rsidRPr="00911D18" w14:paraId="1F009682"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749ACCEB"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71B44F73"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vAlign w:val="bottom"/>
            <w:hideMark/>
          </w:tcPr>
          <w:p w:rsidR="00756160" w:rsidRPr="00911D18" w14:paraId="2D58E730"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vAlign w:val="bottom"/>
            <w:hideMark/>
          </w:tcPr>
          <w:p w:rsidR="00756160" w:rsidRPr="00911D18" w14:paraId="46A9F261"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021A4209"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07C4D34F" w14:textId="77777777">
            <w:pPr>
              <w:autoSpaceDE/>
              <w:autoSpaceDN/>
              <w:jc w:val="right"/>
              <w:rPr>
                <w:rFonts w:eastAsia="Times New Roman"/>
                <w:color w:val="000000"/>
                <w:sz w:val="16"/>
                <w:szCs w:val="16"/>
              </w:rPr>
            </w:pPr>
            <w:r w:rsidRPr="00911D18">
              <w:rPr>
                <w:rFonts w:eastAsia="Times New Roman"/>
                <w:color w:val="000000"/>
                <w:sz w:val="16"/>
                <w:szCs w:val="16"/>
              </w:rPr>
              <w:t>2030</w:t>
            </w:r>
          </w:p>
        </w:tc>
        <w:tc>
          <w:tcPr>
            <w:tcW w:w="1120" w:type="dxa"/>
            <w:tcBorders>
              <w:top w:val="nil"/>
              <w:left w:val="nil"/>
              <w:bottom w:val="single" w:sz="4" w:space="0" w:color="auto"/>
              <w:right w:val="single" w:sz="4" w:space="0" w:color="auto"/>
            </w:tcBorders>
            <w:noWrap/>
            <w:vAlign w:val="bottom"/>
            <w:hideMark/>
          </w:tcPr>
          <w:p w:rsidR="00756160" w:rsidRPr="00911D18" w14:paraId="24EB3872"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6EE13BF9"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noWrap/>
            <w:vAlign w:val="bottom"/>
            <w:hideMark/>
          </w:tcPr>
          <w:p w:rsidR="00756160" w:rsidRPr="00911D18" w14:paraId="51C6BDBF"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506A3B67"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1675B14B"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vAlign w:val="bottom"/>
            <w:hideMark/>
          </w:tcPr>
          <w:p w:rsidR="00756160" w:rsidRPr="00911D18" w14:paraId="3C1F39AD"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vAlign w:val="bottom"/>
            <w:hideMark/>
          </w:tcPr>
          <w:p w:rsidR="00756160" w:rsidRPr="00911D18" w14:paraId="14F47ADE"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34CC0294"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44640D44" w14:textId="77777777">
            <w:pPr>
              <w:autoSpaceDE/>
              <w:autoSpaceDN/>
              <w:jc w:val="right"/>
              <w:rPr>
                <w:rFonts w:eastAsia="Times New Roman"/>
                <w:color w:val="000000"/>
                <w:sz w:val="16"/>
                <w:szCs w:val="16"/>
              </w:rPr>
            </w:pPr>
            <w:r w:rsidRPr="00911D18">
              <w:rPr>
                <w:rFonts w:eastAsia="Times New Roman"/>
                <w:color w:val="000000"/>
                <w:sz w:val="16"/>
                <w:szCs w:val="16"/>
              </w:rPr>
              <w:t>2031</w:t>
            </w:r>
          </w:p>
        </w:tc>
        <w:tc>
          <w:tcPr>
            <w:tcW w:w="1120" w:type="dxa"/>
            <w:tcBorders>
              <w:top w:val="nil"/>
              <w:left w:val="nil"/>
              <w:bottom w:val="single" w:sz="4" w:space="0" w:color="auto"/>
              <w:right w:val="single" w:sz="4" w:space="0" w:color="auto"/>
            </w:tcBorders>
            <w:noWrap/>
            <w:vAlign w:val="bottom"/>
            <w:hideMark/>
          </w:tcPr>
          <w:p w:rsidR="00756160" w:rsidRPr="00911D18" w14:paraId="4D5DB3CF"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1EC7EF55"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noWrap/>
            <w:vAlign w:val="bottom"/>
            <w:hideMark/>
          </w:tcPr>
          <w:p w:rsidR="00756160" w:rsidRPr="00911D18" w14:paraId="77354F44"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532ED72B"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47016303"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vAlign w:val="bottom"/>
            <w:hideMark/>
          </w:tcPr>
          <w:p w:rsidR="00756160" w:rsidRPr="00911D18" w14:paraId="1B40547E"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vAlign w:val="bottom"/>
            <w:hideMark/>
          </w:tcPr>
          <w:p w:rsidR="00756160" w:rsidRPr="00911D18" w14:paraId="0DF6168E"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6B52E203"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118BBC10" w14:textId="77777777">
            <w:pPr>
              <w:autoSpaceDE/>
              <w:autoSpaceDN/>
              <w:jc w:val="right"/>
              <w:rPr>
                <w:rFonts w:eastAsia="Times New Roman"/>
                <w:color w:val="000000"/>
                <w:sz w:val="16"/>
                <w:szCs w:val="16"/>
              </w:rPr>
            </w:pPr>
            <w:r w:rsidRPr="00911D18">
              <w:rPr>
                <w:rFonts w:eastAsia="Times New Roman"/>
                <w:color w:val="000000"/>
                <w:sz w:val="16"/>
                <w:szCs w:val="16"/>
              </w:rPr>
              <w:t>2032</w:t>
            </w:r>
          </w:p>
        </w:tc>
        <w:tc>
          <w:tcPr>
            <w:tcW w:w="1120" w:type="dxa"/>
            <w:tcBorders>
              <w:top w:val="nil"/>
              <w:left w:val="nil"/>
              <w:bottom w:val="single" w:sz="4" w:space="0" w:color="auto"/>
              <w:right w:val="single" w:sz="4" w:space="0" w:color="auto"/>
            </w:tcBorders>
            <w:noWrap/>
            <w:vAlign w:val="bottom"/>
            <w:hideMark/>
          </w:tcPr>
          <w:p w:rsidR="00756160" w:rsidRPr="00911D18" w14:paraId="38BA728D"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noWrap/>
            <w:vAlign w:val="bottom"/>
            <w:hideMark/>
          </w:tcPr>
          <w:p w:rsidR="00756160" w:rsidRPr="00911D18" w14:paraId="63C962AA"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740" w:type="dxa"/>
            <w:tcBorders>
              <w:top w:val="nil"/>
              <w:left w:val="nil"/>
              <w:bottom w:val="single" w:sz="4" w:space="0" w:color="auto"/>
              <w:right w:val="single" w:sz="4" w:space="0" w:color="auto"/>
            </w:tcBorders>
            <w:noWrap/>
            <w:vAlign w:val="bottom"/>
            <w:hideMark/>
          </w:tcPr>
          <w:p w:rsidR="00756160" w:rsidRPr="00911D18" w14:paraId="3FDAECA0"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vAlign w:val="bottom"/>
            <w:hideMark/>
          </w:tcPr>
          <w:p w:rsidR="00756160" w:rsidRPr="00911D18" w14:paraId="4CB479EF"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noWrap/>
            <w:vAlign w:val="bottom"/>
            <w:hideMark/>
          </w:tcPr>
          <w:p w:rsidR="00756160" w:rsidRPr="00911D18" w14:paraId="42B6AE6D"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860" w:type="dxa"/>
            <w:tcBorders>
              <w:top w:val="nil"/>
              <w:left w:val="nil"/>
              <w:bottom w:val="single" w:sz="4" w:space="0" w:color="auto"/>
              <w:right w:val="single" w:sz="4" w:space="0" w:color="auto"/>
            </w:tcBorders>
            <w:vAlign w:val="bottom"/>
            <w:hideMark/>
          </w:tcPr>
          <w:p w:rsidR="00756160" w:rsidRPr="00911D18" w14:paraId="754E54F3"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920" w:type="dxa"/>
            <w:tcBorders>
              <w:top w:val="nil"/>
              <w:left w:val="nil"/>
              <w:bottom w:val="single" w:sz="4" w:space="0" w:color="auto"/>
              <w:right w:val="single" w:sz="4" w:space="0" w:color="auto"/>
            </w:tcBorders>
            <w:vAlign w:val="bottom"/>
            <w:hideMark/>
          </w:tcPr>
          <w:p w:rsidR="00756160" w:rsidRPr="00911D18" w14:paraId="591DE7CF"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r>
      <w:tr w14:paraId="0C6E94FF"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65B589EB" w14:textId="77777777">
            <w:pPr>
              <w:autoSpaceDE/>
              <w:autoSpaceDN/>
              <w:jc w:val="right"/>
              <w:rPr>
                <w:rFonts w:eastAsia="Times New Roman"/>
                <w:color w:val="000000"/>
                <w:sz w:val="16"/>
                <w:szCs w:val="16"/>
              </w:rPr>
            </w:pPr>
            <w:r w:rsidRPr="00911D18">
              <w:rPr>
                <w:rFonts w:eastAsia="Times New Roman"/>
                <w:color w:val="000000"/>
                <w:sz w:val="16"/>
                <w:szCs w:val="16"/>
              </w:rPr>
              <w:t>2033</w:t>
            </w:r>
          </w:p>
        </w:tc>
        <w:tc>
          <w:tcPr>
            <w:tcW w:w="1120" w:type="dxa"/>
            <w:tcBorders>
              <w:top w:val="nil"/>
              <w:left w:val="nil"/>
              <w:bottom w:val="single" w:sz="4" w:space="0" w:color="auto"/>
              <w:right w:val="single" w:sz="4" w:space="0" w:color="auto"/>
            </w:tcBorders>
            <w:noWrap/>
            <w:vAlign w:val="bottom"/>
            <w:hideMark/>
          </w:tcPr>
          <w:p w:rsidR="00756160" w:rsidRPr="00911D18" w14:paraId="0078EDE4"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noWrap/>
            <w:vAlign w:val="bottom"/>
            <w:hideMark/>
          </w:tcPr>
          <w:p w:rsidR="00756160" w:rsidRPr="00911D18" w14:paraId="3A4AFE6C"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740" w:type="dxa"/>
            <w:tcBorders>
              <w:top w:val="nil"/>
              <w:left w:val="nil"/>
              <w:bottom w:val="single" w:sz="4" w:space="0" w:color="auto"/>
              <w:right w:val="single" w:sz="4" w:space="0" w:color="auto"/>
            </w:tcBorders>
            <w:noWrap/>
            <w:vAlign w:val="bottom"/>
            <w:hideMark/>
          </w:tcPr>
          <w:p w:rsidR="00756160" w:rsidRPr="00911D18" w14:paraId="6A0F50B9"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vAlign w:val="bottom"/>
            <w:hideMark/>
          </w:tcPr>
          <w:p w:rsidR="00756160" w:rsidRPr="00911D18" w14:paraId="6898A631"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noWrap/>
            <w:vAlign w:val="bottom"/>
            <w:hideMark/>
          </w:tcPr>
          <w:p w:rsidR="00756160" w:rsidRPr="00911D18" w14:paraId="432C8F9A"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860" w:type="dxa"/>
            <w:tcBorders>
              <w:top w:val="nil"/>
              <w:left w:val="nil"/>
              <w:bottom w:val="single" w:sz="4" w:space="0" w:color="auto"/>
              <w:right w:val="single" w:sz="4" w:space="0" w:color="auto"/>
            </w:tcBorders>
            <w:vAlign w:val="bottom"/>
            <w:hideMark/>
          </w:tcPr>
          <w:p w:rsidR="00756160" w:rsidRPr="00911D18" w14:paraId="1F8DCCB5"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920" w:type="dxa"/>
            <w:tcBorders>
              <w:top w:val="nil"/>
              <w:left w:val="nil"/>
              <w:bottom w:val="single" w:sz="4" w:space="0" w:color="auto"/>
              <w:right w:val="single" w:sz="4" w:space="0" w:color="auto"/>
            </w:tcBorders>
            <w:vAlign w:val="bottom"/>
            <w:hideMark/>
          </w:tcPr>
          <w:p w:rsidR="00756160" w:rsidRPr="00911D18" w14:paraId="1DF2F35A"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r>
      <w:tr w14:paraId="62724A1D"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0956B130" w14:textId="77777777">
            <w:pPr>
              <w:autoSpaceDE/>
              <w:autoSpaceDN/>
              <w:jc w:val="right"/>
              <w:rPr>
                <w:rFonts w:eastAsia="Times New Roman"/>
                <w:color w:val="000000"/>
                <w:sz w:val="16"/>
                <w:szCs w:val="16"/>
              </w:rPr>
            </w:pPr>
            <w:r w:rsidRPr="00911D18">
              <w:rPr>
                <w:rFonts w:eastAsia="Times New Roman"/>
                <w:color w:val="000000"/>
                <w:sz w:val="16"/>
                <w:szCs w:val="16"/>
              </w:rPr>
              <w:t>2034</w:t>
            </w:r>
          </w:p>
        </w:tc>
        <w:tc>
          <w:tcPr>
            <w:tcW w:w="1120" w:type="dxa"/>
            <w:tcBorders>
              <w:top w:val="nil"/>
              <w:left w:val="nil"/>
              <w:bottom w:val="single" w:sz="4" w:space="0" w:color="auto"/>
              <w:right w:val="single" w:sz="4" w:space="0" w:color="auto"/>
            </w:tcBorders>
            <w:noWrap/>
            <w:vAlign w:val="bottom"/>
            <w:hideMark/>
          </w:tcPr>
          <w:p w:rsidR="00756160" w:rsidRPr="00911D18" w14:paraId="5DD83AE7"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4B58A029"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740" w:type="dxa"/>
            <w:tcBorders>
              <w:top w:val="nil"/>
              <w:left w:val="nil"/>
              <w:bottom w:val="single" w:sz="4" w:space="0" w:color="auto"/>
              <w:right w:val="single" w:sz="4" w:space="0" w:color="auto"/>
            </w:tcBorders>
            <w:noWrap/>
            <w:vAlign w:val="bottom"/>
            <w:hideMark/>
          </w:tcPr>
          <w:p w:rsidR="00756160" w:rsidRPr="00911D18" w14:paraId="2205227B"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3A089D81"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778F2903" w14:textId="77777777">
            <w:pPr>
              <w:autoSpaceDE/>
              <w:autoSpaceDN/>
              <w:rPr>
                <w:rFonts w:eastAsia="Times New Roman"/>
                <w:color w:val="000000"/>
                <w:sz w:val="16"/>
                <w:szCs w:val="16"/>
              </w:rPr>
            </w:pPr>
            <w:r w:rsidRPr="00911D18">
              <w:rPr>
                <w:rFonts w:eastAsia="Times New Roman"/>
                <w:color w:val="000000"/>
                <w:sz w:val="16"/>
                <w:szCs w:val="16"/>
              </w:rPr>
              <w:t xml:space="preserve">        161 </w:t>
            </w:r>
          </w:p>
        </w:tc>
        <w:tc>
          <w:tcPr>
            <w:tcW w:w="860" w:type="dxa"/>
            <w:tcBorders>
              <w:top w:val="nil"/>
              <w:left w:val="nil"/>
              <w:bottom w:val="single" w:sz="4" w:space="0" w:color="auto"/>
              <w:right w:val="single" w:sz="4" w:space="0" w:color="auto"/>
            </w:tcBorders>
            <w:vAlign w:val="bottom"/>
            <w:hideMark/>
          </w:tcPr>
          <w:p w:rsidR="00756160" w:rsidRPr="00911D18" w14:paraId="4A255F69" w14:textId="77777777">
            <w:pPr>
              <w:autoSpaceDE/>
              <w:autoSpaceDN/>
              <w:jc w:val="right"/>
              <w:rPr>
                <w:rFonts w:eastAsia="Times New Roman"/>
                <w:color w:val="000000"/>
                <w:sz w:val="16"/>
                <w:szCs w:val="16"/>
              </w:rPr>
            </w:pPr>
            <w:r w:rsidRPr="00911D18">
              <w:rPr>
                <w:rFonts w:eastAsia="Times New Roman"/>
                <w:color w:val="000000"/>
                <w:sz w:val="16"/>
                <w:szCs w:val="16"/>
              </w:rPr>
              <w:t xml:space="preserve">$9,080 </w:t>
            </w:r>
          </w:p>
        </w:tc>
        <w:tc>
          <w:tcPr>
            <w:tcW w:w="920" w:type="dxa"/>
            <w:tcBorders>
              <w:top w:val="nil"/>
              <w:left w:val="nil"/>
              <w:bottom w:val="single" w:sz="4" w:space="0" w:color="auto"/>
              <w:right w:val="single" w:sz="4" w:space="0" w:color="auto"/>
            </w:tcBorders>
            <w:vAlign w:val="bottom"/>
            <w:hideMark/>
          </w:tcPr>
          <w:p w:rsidR="00756160" w:rsidRPr="00911D18" w14:paraId="16CA1AC9" w14:textId="77777777">
            <w:pPr>
              <w:autoSpaceDE/>
              <w:autoSpaceDN/>
              <w:jc w:val="right"/>
              <w:rPr>
                <w:rFonts w:eastAsia="Times New Roman"/>
                <w:color w:val="000000"/>
                <w:sz w:val="16"/>
                <w:szCs w:val="16"/>
              </w:rPr>
            </w:pPr>
            <w:r w:rsidRPr="00911D18">
              <w:rPr>
                <w:rFonts w:eastAsia="Times New Roman"/>
                <w:color w:val="000000"/>
                <w:sz w:val="16"/>
                <w:szCs w:val="16"/>
              </w:rPr>
              <w:t>($41,313)</w:t>
            </w:r>
          </w:p>
        </w:tc>
      </w:tr>
      <w:tr w14:paraId="31B1F637"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5592241C" w14:textId="77777777">
            <w:pPr>
              <w:autoSpaceDE/>
              <w:autoSpaceDN/>
              <w:jc w:val="right"/>
              <w:rPr>
                <w:rFonts w:eastAsia="Times New Roman"/>
                <w:color w:val="000000"/>
                <w:sz w:val="16"/>
                <w:szCs w:val="16"/>
              </w:rPr>
            </w:pPr>
            <w:r w:rsidRPr="00911D18">
              <w:rPr>
                <w:rFonts w:eastAsia="Times New Roman"/>
                <w:color w:val="000000"/>
                <w:sz w:val="16"/>
                <w:szCs w:val="16"/>
              </w:rPr>
              <w:t>2035</w:t>
            </w:r>
          </w:p>
        </w:tc>
        <w:tc>
          <w:tcPr>
            <w:tcW w:w="1120" w:type="dxa"/>
            <w:tcBorders>
              <w:top w:val="nil"/>
              <w:left w:val="nil"/>
              <w:bottom w:val="single" w:sz="4" w:space="0" w:color="auto"/>
              <w:right w:val="single" w:sz="4" w:space="0" w:color="auto"/>
            </w:tcBorders>
            <w:noWrap/>
            <w:vAlign w:val="bottom"/>
            <w:hideMark/>
          </w:tcPr>
          <w:p w:rsidR="00756160" w:rsidRPr="00911D18" w14:paraId="62801D63"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67F44949"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740" w:type="dxa"/>
            <w:tcBorders>
              <w:top w:val="nil"/>
              <w:left w:val="nil"/>
              <w:bottom w:val="single" w:sz="4" w:space="0" w:color="auto"/>
              <w:right w:val="single" w:sz="4" w:space="0" w:color="auto"/>
            </w:tcBorders>
            <w:noWrap/>
            <w:vAlign w:val="bottom"/>
            <w:hideMark/>
          </w:tcPr>
          <w:p w:rsidR="00756160" w:rsidRPr="00911D18" w14:paraId="21AC6C0F"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6EBA3C8F"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79B2343B" w14:textId="77777777">
            <w:pPr>
              <w:autoSpaceDE/>
              <w:autoSpaceDN/>
              <w:rPr>
                <w:rFonts w:eastAsia="Times New Roman"/>
                <w:color w:val="000000"/>
                <w:sz w:val="16"/>
                <w:szCs w:val="16"/>
              </w:rPr>
            </w:pPr>
            <w:r w:rsidRPr="00911D18">
              <w:rPr>
                <w:rFonts w:eastAsia="Times New Roman"/>
                <w:color w:val="000000"/>
                <w:sz w:val="16"/>
                <w:szCs w:val="16"/>
              </w:rPr>
              <w:t xml:space="preserve">           81 </w:t>
            </w:r>
          </w:p>
        </w:tc>
        <w:tc>
          <w:tcPr>
            <w:tcW w:w="860" w:type="dxa"/>
            <w:tcBorders>
              <w:top w:val="nil"/>
              <w:left w:val="nil"/>
              <w:bottom w:val="single" w:sz="4" w:space="0" w:color="auto"/>
              <w:right w:val="single" w:sz="4" w:space="0" w:color="auto"/>
            </w:tcBorders>
            <w:vAlign w:val="bottom"/>
            <w:hideMark/>
          </w:tcPr>
          <w:p w:rsidR="00756160" w:rsidRPr="00911D18" w14:paraId="448AA60E" w14:textId="77777777">
            <w:pPr>
              <w:autoSpaceDE/>
              <w:autoSpaceDN/>
              <w:jc w:val="right"/>
              <w:rPr>
                <w:rFonts w:eastAsia="Times New Roman"/>
                <w:color w:val="000000"/>
                <w:sz w:val="16"/>
                <w:szCs w:val="16"/>
              </w:rPr>
            </w:pPr>
            <w:r w:rsidRPr="00911D18">
              <w:rPr>
                <w:rFonts w:eastAsia="Times New Roman"/>
                <w:color w:val="000000"/>
                <w:sz w:val="16"/>
                <w:szCs w:val="16"/>
              </w:rPr>
              <w:t xml:space="preserve">$4,540 </w:t>
            </w:r>
          </w:p>
        </w:tc>
        <w:tc>
          <w:tcPr>
            <w:tcW w:w="920" w:type="dxa"/>
            <w:tcBorders>
              <w:top w:val="nil"/>
              <w:left w:val="nil"/>
              <w:bottom w:val="single" w:sz="4" w:space="0" w:color="auto"/>
              <w:right w:val="single" w:sz="4" w:space="0" w:color="auto"/>
            </w:tcBorders>
            <w:vAlign w:val="bottom"/>
            <w:hideMark/>
          </w:tcPr>
          <w:p w:rsidR="00756160" w:rsidRPr="00911D18" w14:paraId="16115336" w14:textId="77777777">
            <w:pPr>
              <w:autoSpaceDE/>
              <w:autoSpaceDN/>
              <w:jc w:val="right"/>
              <w:rPr>
                <w:rFonts w:eastAsia="Times New Roman"/>
                <w:color w:val="000000"/>
                <w:sz w:val="16"/>
                <w:szCs w:val="16"/>
              </w:rPr>
            </w:pPr>
            <w:r w:rsidRPr="00911D18">
              <w:rPr>
                <w:rFonts w:eastAsia="Times New Roman"/>
                <w:color w:val="000000"/>
                <w:sz w:val="16"/>
                <w:szCs w:val="16"/>
              </w:rPr>
              <w:t>($45,853)</w:t>
            </w:r>
          </w:p>
        </w:tc>
      </w:tr>
      <w:tr w14:paraId="11E8BE91"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133F6D48" w14:textId="77777777">
            <w:pPr>
              <w:autoSpaceDE/>
              <w:autoSpaceDN/>
              <w:jc w:val="right"/>
              <w:rPr>
                <w:rFonts w:eastAsia="Times New Roman"/>
                <w:color w:val="000000"/>
                <w:sz w:val="16"/>
                <w:szCs w:val="16"/>
              </w:rPr>
            </w:pPr>
            <w:r w:rsidRPr="00911D18">
              <w:rPr>
                <w:rFonts w:eastAsia="Times New Roman"/>
                <w:color w:val="000000"/>
                <w:sz w:val="16"/>
                <w:szCs w:val="16"/>
              </w:rPr>
              <w:t>2036</w:t>
            </w:r>
          </w:p>
        </w:tc>
        <w:tc>
          <w:tcPr>
            <w:tcW w:w="1120" w:type="dxa"/>
            <w:tcBorders>
              <w:top w:val="nil"/>
              <w:left w:val="nil"/>
              <w:bottom w:val="single" w:sz="4" w:space="0" w:color="auto"/>
              <w:right w:val="single" w:sz="4" w:space="0" w:color="auto"/>
            </w:tcBorders>
            <w:noWrap/>
            <w:vAlign w:val="bottom"/>
            <w:hideMark/>
          </w:tcPr>
          <w:p w:rsidR="00756160" w:rsidRPr="00911D18" w14:paraId="035019B5" w14:textId="77777777">
            <w:pPr>
              <w:autoSpaceDE/>
              <w:autoSpaceDN/>
              <w:jc w:val="right"/>
              <w:rPr>
                <w:rFonts w:eastAsia="Times New Roman"/>
                <w:color w:val="000000"/>
                <w:sz w:val="16"/>
                <w:szCs w:val="16"/>
              </w:rPr>
            </w:pPr>
            <w:r w:rsidRPr="00911D18">
              <w:rPr>
                <w:rFonts w:eastAsia="Times New Roman"/>
                <w:color w:val="000000"/>
                <w:sz w:val="16"/>
                <w:szCs w:val="16"/>
              </w:rPr>
              <w:t>6</w:t>
            </w:r>
          </w:p>
        </w:tc>
        <w:tc>
          <w:tcPr>
            <w:tcW w:w="1140" w:type="dxa"/>
            <w:tcBorders>
              <w:top w:val="nil"/>
              <w:left w:val="nil"/>
              <w:bottom w:val="single" w:sz="4" w:space="0" w:color="auto"/>
              <w:right w:val="single" w:sz="4" w:space="0" w:color="auto"/>
            </w:tcBorders>
            <w:noWrap/>
            <w:vAlign w:val="bottom"/>
            <w:hideMark/>
          </w:tcPr>
          <w:p w:rsidR="00756160" w:rsidRPr="00911D18" w14:paraId="32F6F139" w14:textId="77777777">
            <w:pPr>
              <w:autoSpaceDE/>
              <w:autoSpaceDN/>
              <w:jc w:val="right"/>
              <w:rPr>
                <w:rFonts w:eastAsia="Times New Roman"/>
                <w:color w:val="000000"/>
                <w:sz w:val="16"/>
                <w:szCs w:val="16"/>
              </w:rPr>
            </w:pPr>
            <w:r w:rsidRPr="00911D18">
              <w:rPr>
                <w:rFonts w:eastAsia="Times New Roman"/>
                <w:color w:val="000000"/>
                <w:sz w:val="16"/>
                <w:szCs w:val="16"/>
              </w:rPr>
              <w:t>8</w:t>
            </w:r>
          </w:p>
        </w:tc>
        <w:tc>
          <w:tcPr>
            <w:tcW w:w="740" w:type="dxa"/>
            <w:tcBorders>
              <w:top w:val="nil"/>
              <w:left w:val="nil"/>
              <w:bottom w:val="single" w:sz="4" w:space="0" w:color="auto"/>
              <w:right w:val="single" w:sz="4" w:space="0" w:color="auto"/>
            </w:tcBorders>
            <w:noWrap/>
            <w:vAlign w:val="bottom"/>
            <w:hideMark/>
          </w:tcPr>
          <w:p w:rsidR="00756160" w:rsidRPr="00911D18" w14:paraId="4690E197" w14:textId="77777777">
            <w:pPr>
              <w:autoSpaceDE/>
              <w:autoSpaceDN/>
              <w:rPr>
                <w:rFonts w:eastAsia="Times New Roman"/>
                <w:color w:val="000000"/>
                <w:sz w:val="16"/>
                <w:szCs w:val="16"/>
              </w:rPr>
            </w:pPr>
            <w:r w:rsidRPr="00911D18">
              <w:rPr>
                <w:rFonts w:eastAsia="Times New Roman"/>
                <w:color w:val="000000"/>
                <w:sz w:val="16"/>
                <w:szCs w:val="16"/>
              </w:rPr>
              <w:t xml:space="preserve">     5,372 </w:t>
            </w:r>
          </w:p>
        </w:tc>
        <w:tc>
          <w:tcPr>
            <w:tcW w:w="920" w:type="dxa"/>
            <w:tcBorders>
              <w:top w:val="nil"/>
              <w:left w:val="nil"/>
              <w:bottom w:val="single" w:sz="4" w:space="0" w:color="auto"/>
              <w:right w:val="single" w:sz="4" w:space="0" w:color="auto"/>
            </w:tcBorders>
            <w:vAlign w:val="bottom"/>
            <w:hideMark/>
          </w:tcPr>
          <w:p w:rsidR="00756160" w:rsidRPr="00911D18" w14:paraId="3F2B2C15" w14:textId="77777777">
            <w:pPr>
              <w:autoSpaceDE/>
              <w:autoSpaceDN/>
              <w:jc w:val="right"/>
              <w:rPr>
                <w:rFonts w:eastAsia="Times New Roman"/>
                <w:color w:val="000000"/>
                <w:sz w:val="16"/>
                <w:szCs w:val="16"/>
              </w:rPr>
            </w:pPr>
            <w:r w:rsidRPr="00911D18">
              <w:rPr>
                <w:rFonts w:eastAsia="Times New Roman"/>
                <w:color w:val="000000"/>
                <w:sz w:val="16"/>
                <w:szCs w:val="16"/>
              </w:rPr>
              <w:t>($302,358)</w:t>
            </w:r>
          </w:p>
        </w:tc>
        <w:tc>
          <w:tcPr>
            <w:tcW w:w="740" w:type="dxa"/>
            <w:tcBorders>
              <w:top w:val="nil"/>
              <w:left w:val="nil"/>
              <w:bottom w:val="single" w:sz="4" w:space="0" w:color="auto"/>
              <w:right w:val="single" w:sz="4" w:space="0" w:color="auto"/>
            </w:tcBorders>
            <w:noWrap/>
            <w:vAlign w:val="bottom"/>
            <w:hideMark/>
          </w:tcPr>
          <w:p w:rsidR="00756160" w:rsidRPr="00911D18" w14:paraId="7646ED61" w14:textId="77777777">
            <w:pPr>
              <w:autoSpaceDE/>
              <w:autoSpaceDN/>
              <w:rPr>
                <w:rFonts w:eastAsia="Times New Roman"/>
                <w:color w:val="000000"/>
                <w:sz w:val="16"/>
                <w:szCs w:val="16"/>
              </w:rPr>
            </w:pPr>
            <w:r w:rsidRPr="00911D18">
              <w:rPr>
                <w:rFonts w:eastAsia="Times New Roman"/>
                <w:color w:val="000000"/>
                <w:sz w:val="16"/>
                <w:szCs w:val="16"/>
              </w:rPr>
              <w:t xml:space="preserve">        645 </w:t>
            </w:r>
          </w:p>
        </w:tc>
        <w:tc>
          <w:tcPr>
            <w:tcW w:w="860" w:type="dxa"/>
            <w:tcBorders>
              <w:top w:val="nil"/>
              <w:left w:val="nil"/>
              <w:bottom w:val="single" w:sz="4" w:space="0" w:color="auto"/>
              <w:right w:val="single" w:sz="4" w:space="0" w:color="auto"/>
            </w:tcBorders>
            <w:vAlign w:val="bottom"/>
            <w:hideMark/>
          </w:tcPr>
          <w:p w:rsidR="00756160" w:rsidRPr="00911D18" w14:paraId="1A0D9495" w14:textId="77777777">
            <w:pPr>
              <w:autoSpaceDE/>
              <w:autoSpaceDN/>
              <w:jc w:val="right"/>
              <w:rPr>
                <w:rFonts w:eastAsia="Times New Roman"/>
                <w:color w:val="000000"/>
                <w:sz w:val="16"/>
                <w:szCs w:val="16"/>
              </w:rPr>
            </w:pPr>
            <w:r w:rsidRPr="00911D18">
              <w:rPr>
                <w:rFonts w:eastAsia="Times New Roman"/>
                <w:color w:val="000000"/>
                <w:sz w:val="16"/>
                <w:szCs w:val="16"/>
              </w:rPr>
              <w:t xml:space="preserve">$36,319 </w:t>
            </w:r>
          </w:p>
        </w:tc>
        <w:tc>
          <w:tcPr>
            <w:tcW w:w="920" w:type="dxa"/>
            <w:tcBorders>
              <w:top w:val="nil"/>
              <w:left w:val="nil"/>
              <w:bottom w:val="single" w:sz="4" w:space="0" w:color="auto"/>
              <w:right w:val="single" w:sz="4" w:space="0" w:color="auto"/>
            </w:tcBorders>
            <w:vAlign w:val="bottom"/>
            <w:hideMark/>
          </w:tcPr>
          <w:p w:rsidR="00756160" w:rsidRPr="00911D18" w14:paraId="1609D2CD" w14:textId="77777777">
            <w:pPr>
              <w:autoSpaceDE/>
              <w:autoSpaceDN/>
              <w:jc w:val="right"/>
              <w:rPr>
                <w:rFonts w:eastAsia="Times New Roman"/>
                <w:color w:val="000000"/>
                <w:sz w:val="16"/>
                <w:szCs w:val="16"/>
              </w:rPr>
            </w:pPr>
            <w:r w:rsidRPr="00911D18">
              <w:rPr>
                <w:rFonts w:eastAsia="Times New Roman"/>
                <w:color w:val="000000"/>
                <w:sz w:val="16"/>
                <w:szCs w:val="16"/>
              </w:rPr>
              <w:t>($266,039)</w:t>
            </w:r>
          </w:p>
        </w:tc>
      </w:tr>
      <w:tr w14:paraId="17382EE0"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28E38E14" w14:textId="77777777">
            <w:pPr>
              <w:autoSpaceDE/>
              <w:autoSpaceDN/>
              <w:jc w:val="right"/>
              <w:rPr>
                <w:rFonts w:eastAsia="Times New Roman"/>
                <w:color w:val="000000"/>
                <w:sz w:val="16"/>
                <w:szCs w:val="16"/>
              </w:rPr>
            </w:pPr>
            <w:r w:rsidRPr="00911D18">
              <w:rPr>
                <w:rFonts w:eastAsia="Times New Roman"/>
                <w:color w:val="000000"/>
                <w:sz w:val="16"/>
                <w:szCs w:val="16"/>
              </w:rPr>
              <w:t>2037</w:t>
            </w:r>
          </w:p>
        </w:tc>
        <w:tc>
          <w:tcPr>
            <w:tcW w:w="1120" w:type="dxa"/>
            <w:tcBorders>
              <w:top w:val="nil"/>
              <w:left w:val="nil"/>
              <w:bottom w:val="single" w:sz="4" w:space="0" w:color="auto"/>
              <w:right w:val="single" w:sz="4" w:space="0" w:color="auto"/>
            </w:tcBorders>
            <w:noWrap/>
            <w:vAlign w:val="bottom"/>
            <w:hideMark/>
          </w:tcPr>
          <w:p w:rsidR="00756160" w:rsidRPr="00911D18" w14:paraId="3CCE6118" w14:textId="77777777">
            <w:pPr>
              <w:autoSpaceDE/>
              <w:autoSpaceDN/>
              <w:jc w:val="right"/>
              <w:rPr>
                <w:rFonts w:eastAsia="Times New Roman"/>
                <w:color w:val="000000"/>
                <w:sz w:val="16"/>
                <w:szCs w:val="16"/>
              </w:rPr>
            </w:pPr>
            <w:r w:rsidRPr="00911D18">
              <w:rPr>
                <w:rFonts w:eastAsia="Times New Roman"/>
                <w:color w:val="000000"/>
                <w:sz w:val="16"/>
                <w:szCs w:val="16"/>
              </w:rPr>
              <w:t>4</w:t>
            </w:r>
          </w:p>
        </w:tc>
        <w:tc>
          <w:tcPr>
            <w:tcW w:w="1140" w:type="dxa"/>
            <w:tcBorders>
              <w:top w:val="nil"/>
              <w:left w:val="nil"/>
              <w:bottom w:val="single" w:sz="4" w:space="0" w:color="auto"/>
              <w:right w:val="single" w:sz="4" w:space="0" w:color="auto"/>
            </w:tcBorders>
            <w:noWrap/>
            <w:vAlign w:val="bottom"/>
            <w:hideMark/>
          </w:tcPr>
          <w:p w:rsidR="00756160" w:rsidRPr="00911D18" w14:paraId="546FA8AA" w14:textId="77777777">
            <w:pPr>
              <w:autoSpaceDE/>
              <w:autoSpaceDN/>
              <w:jc w:val="right"/>
              <w:rPr>
                <w:rFonts w:eastAsia="Times New Roman"/>
                <w:color w:val="000000"/>
                <w:sz w:val="16"/>
                <w:szCs w:val="16"/>
              </w:rPr>
            </w:pPr>
            <w:r w:rsidRPr="00911D18">
              <w:rPr>
                <w:rFonts w:eastAsia="Times New Roman"/>
                <w:color w:val="000000"/>
                <w:sz w:val="16"/>
                <w:szCs w:val="16"/>
              </w:rPr>
              <w:t>5</w:t>
            </w:r>
          </w:p>
        </w:tc>
        <w:tc>
          <w:tcPr>
            <w:tcW w:w="740" w:type="dxa"/>
            <w:tcBorders>
              <w:top w:val="nil"/>
              <w:left w:val="nil"/>
              <w:bottom w:val="single" w:sz="4" w:space="0" w:color="auto"/>
              <w:right w:val="single" w:sz="4" w:space="0" w:color="auto"/>
            </w:tcBorders>
            <w:noWrap/>
            <w:vAlign w:val="bottom"/>
            <w:hideMark/>
          </w:tcPr>
          <w:p w:rsidR="00756160" w:rsidRPr="00911D18" w14:paraId="5AA65E85" w14:textId="77777777">
            <w:pPr>
              <w:autoSpaceDE/>
              <w:autoSpaceDN/>
              <w:rPr>
                <w:rFonts w:eastAsia="Times New Roman"/>
                <w:color w:val="000000"/>
                <w:sz w:val="16"/>
                <w:szCs w:val="16"/>
              </w:rPr>
            </w:pPr>
            <w:r w:rsidRPr="00911D18">
              <w:rPr>
                <w:rFonts w:eastAsia="Times New Roman"/>
                <w:color w:val="000000"/>
                <w:sz w:val="16"/>
                <w:szCs w:val="16"/>
              </w:rPr>
              <w:t xml:space="preserve">     3,582 </w:t>
            </w:r>
          </w:p>
        </w:tc>
        <w:tc>
          <w:tcPr>
            <w:tcW w:w="920" w:type="dxa"/>
            <w:tcBorders>
              <w:top w:val="nil"/>
              <w:left w:val="nil"/>
              <w:bottom w:val="single" w:sz="4" w:space="0" w:color="auto"/>
              <w:right w:val="single" w:sz="4" w:space="0" w:color="auto"/>
            </w:tcBorders>
            <w:vAlign w:val="bottom"/>
            <w:hideMark/>
          </w:tcPr>
          <w:p w:rsidR="00756160" w:rsidRPr="00911D18" w14:paraId="3B84E936" w14:textId="77777777">
            <w:pPr>
              <w:autoSpaceDE/>
              <w:autoSpaceDN/>
              <w:jc w:val="right"/>
              <w:rPr>
                <w:rFonts w:eastAsia="Times New Roman"/>
                <w:color w:val="000000"/>
                <w:sz w:val="16"/>
                <w:szCs w:val="16"/>
              </w:rPr>
            </w:pPr>
            <w:r w:rsidRPr="00911D18">
              <w:rPr>
                <w:rFonts w:eastAsia="Times New Roman"/>
                <w:color w:val="000000"/>
                <w:sz w:val="16"/>
                <w:szCs w:val="16"/>
              </w:rPr>
              <w:t>($201,572)</w:t>
            </w:r>
          </w:p>
        </w:tc>
        <w:tc>
          <w:tcPr>
            <w:tcW w:w="740" w:type="dxa"/>
            <w:tcBorders>
              <w:top w:val="nil"/>
              <w:left w:val="nil"/>
              <w:bottom w:val="single" w:sz="4" w:space="0" w:color="auto"/>
              <w:right w:val="single" w:sz="4" w:space="0" w:color="auto"/>
            </w:tcBorders>
            <w:noWrap/>
            <w:vAlign w:val="bottom"/>
            <w:hideMark/>
          </w:tcPr>
          <w:p w:rsidR="00756160" w:rsidRPr="00911D18" w14:paraId="74F38EBC" w14:textId="77777777">
            <w:pPr>
              <w:autoSpaceDE/>
              <w:autoSpaceDN/>
              <w:rPr>
                <w:rFonts w:eastAsia="Times New Roman"/>
                <w:color w:val="000000"/>
                <w:sz w:val="16"/>
                <w:szCs w:val="16"/>
              </w:rPr>
            </w:pPr>
            <w:r w:rsidRPr="00911D18">
              <w:rPr>
                <w:rFonts w:eastAsia="Times New Roman"/>
                <w:color w:val="000000"/>
                <w:sz w:val="16"/>
                <w:szCs w:val="16"/>
              </w:rPr>
              <w:t xml:space="preserve">        403 </w:t>
            </w:r>
          </w:p>
        </w:tc>
        <w:tc>
          <w:tcPr>
            <w:tcW w:w="860" w:type="dxa"/>
            <w:tcBorders>
              <w:top w:val="nil"/>
              <w:left w:val="nil"/>
              <w:bottom w:val="single" w:sz="4" w:space="0" w:color="auto"/>
              <w:right w:val="single" w:sz="4" w:space="0" w:color="auto"/>
            </w:tcBorders>
            <w:vAlign w:val="bottom"/>
            <w:hideMark/>
          </w:tcPr>
          <w:p w:rsidR="00756160" w:rsidRPr="00911D18" w14:paraId="3EB7C57F" w14:textId="77777777">
            <w:pPr>
              <w:autoSpaceDE/>
              <w:autoSpaceDN/>
              <w:jc w:val="right"/>
              <w:rPr>
                <w:rFonts w:eastAsia="Times New Roman"/>
                <w:color w:val="000000"/>
                <w:sz w:val="16"/>
                <w:szCs w:val="16"/>
              </w:rPr>
            </w:pPr>
            <w:r w:rsidRPr="00911D18">
              <w:rPr>
                <w:rFonts w:eastAsia="Times New Roman"/>
                <w:color w:val="000000"/>
                <w:sz w:val="16"/>
                <w:szCs w:val="16"/>
              </w:rPr>
              <w:t xml:space="preserve">$22,700 </w:t>
            </w:r>
          </w:p>
        </w:tc>
        <w:tc>
          <w:tcPr>
            <w:tcW w:w="920" w:type="dxa"/>
            <w:tcBorders>
              <w:top w:val="nil"/>
              <w:left w:val="nil"/>
              <w:bottom w:val="single" w:sz="4" w:space="0" w:color="auto"/>
              <w:right w:val="single" w:sz="4" w:space="0" w:color="auto"/>
            </w:tcBorders>
            <w:vAlign w:val="bottom"/>
            <w:hideMark/>
          </w:tcPr>
          <w:p w:rsidR="00756160" w:rsidRPr="00911D18" w14:paraId="2B207513" w14:textId="77777777">
            <w:pPr>
              <w:autoSpaceDE/>
              <w:autoSpaceDN/>
              <w:jc w:val="right"/>
              <w:rPr>
                <w:rFonts w:eastAsia="Times New Roman"/>
                <w:color w:val="000000"/>
                <w:sz w:val="16"/>
                <w:szCs w:val="16"/>
              </w:rPr>
            </w:pPr>
            <w:r w:rsidRPr="00911D18">
              <w:rPr>
                <w:rFonts w:eastAsia="Times New Roman"/>
                <w:color w:val="000000"/>
                <w:sz w:val="16"/>
                <w:szCs w:val="16"/>
              </w:rPr>
              <w:t>($178,872)</w:t>
            </w:r>
          </w:p>
        </w:tc>
      </w:tr>
      <w:tr w14:paraId="1E237D8D"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616AFA1A" w14:textId="77777777">
            <w:pPr>
              <w:autoSpaceDE/>
              <w:autoSpaceDN/>
              <w:jc w:val="right"/>
              <w:rPr>
                <w:rFonts w:eastAsia="Times New Roman"/>
                <w:color w:val="000000"/>
                <w:sz w:val="16"/>
                <w:szCs w:val="16"/>
              </w:rPr>
            </w:pPr>
            <w:r w:rsidRPr="00911D18">
              <w:rPr>
                <w:rFonts w:eastAsia="Times New Roman"/>
                <w:color w:val="000000"/>
                <w:sz w:val="16"/>
                <w:szCs w:val="16"/>
              </w:rPr>
              <w:t>2038</w:t>
            </w:r>
          </w:p>
        </w:tc>
        <w:tc>
          <w:tcPr>
            <w:tcW w:w="1120" w:type="dxa"/>
            <w:tcBorders>
              <w:top w:val="nil"/>
              <w:left w:val="nil"/>
              <w:bottom w:val="single" w:sz="4" w:space="0" w:color="auto"/>
              <w:right w:val="single" w:sz="4" w:space="0" w:color="auto"/>
            </w:tcBorders>
            <w:noWrap/>
            <w:vAlign w:val="bottom"/>
            <w:hideMark/>
          </w:tcPr>
          <w:p w:rsidR="00756160" w:rsidRPr="00911D18" w14:paraId="60099029"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69EC5121" w14:textId="77777777">
            <w:pPr>
              <w:autoSpaceDE/>
              <w:autoSpaceDN/>
              <w:jc w:val="right"/>
              <w:rPr>
                <w:rFonts w:eastAsia="Times New Roman"/>
                <w:color w:val="000000"/>
                <w:sz w:val="16"/>
                <w:szCs w:val="16"/>
              </w:rPr>
            </w:pPr>
            <w:r w:rsidRPr="00911D18">
              <w:rPr>
                <w:rFonts w:eastAsia="Times New Roman"/>
                <w:color w:val="000000"/>
                <w:sz w:val="16"/>
                <w:szCs w:val="16"/>
              </w:rPr>
              <w:t>6</w:t>
            </w:r>
          </w:p>
        </w:tc>
        <w:tc>
          <w:tcPr>
            <w:tcW w:w="740" w:type="dxa"/>
            <w:tcBorders>
              <w:top w:val="nil"/>
              <w:left w:val="nil"/>
              <w:bottom w:val="single" w:sz="4" w:space="0" w:color="auto"/>
              <w:right w:val="single" w:sz="4" w:space="0" w:color="auto"/>
            </w:tcBorders>
            <w:noWrap/>
            <w:vAlign w:val="bottom"/>
            <w:hideMark/>
          </w:tcPr>
          <w:p w:rsidR="00756160" w:rsidRPr="00911D18" w14:paraId="29F14FD5"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299066FC"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23CBABC3" w14:textId="77777777">
            <w:pPr>
              <w:autoSpaceDE/>
              <w:autoSpaceDN/>
              <w:rPr>
                <w:rFonts w:eastAsia="Times New Roman"/>
                <w:color w:val="000000"/>
                <w:sz w:val="16"/>
                <w:szCs w:val="16"/>
              </w:rPr>
            </w:pPr>
            <w:r w:rsidRPr="00911D18">
              <w:rPr>
                <w:rFonts w:eastAsia="Times New Roman"/>
                <w:color w:val="000000"/>
                <w:sz w:val="16"/>
                <w:szCs w:val="16"/>
              </w:rPr>
              <w:t xml:space="preserve">        484 </w:t>
            </w:r>
          </w:p>
        </w:tc>
        <w:tc>
          <w:tcPr>
            <w:tcW w:w="860" w:type="dxa"/>
            <w:tcBorders>
              <w:top w:val="nil"/>
              <w:left w:val="nil"/>
              <w:bottom w:val="single" w:sz="4" w:space="0" w:color="auto"/>
              <w:right w:val="single" w:sz="4" w:space="0" w:color="auto"/>
            </w:tcBorders>
            <w:vAlign w:val="bottom"/>
            <w:hideMark/>
          </w:tcPr>
          <w:p w:rsidR="00756160" w:rsidRPr="00911D18" w14:paraId="578925FD" w14:textId="77777777">
            <w:pPr>
              <w:autoSpaceDE/>
              <w:autoSpaceDN/>
              <w:jc w:val="right"/>
              <w:rPr>
                <w:rFonts w:eastAsia="Times New Roman"/>
                <w:color w:val="000000"/>
                <w:sz w:val="16"/>
                <w:szCs w:val="16"/>
              </w:rPr>
            </w:pPr>
            <w:r w:rsidRPr="00911D18">
              <w:rPr>
                <w:rFonts w:eastAsia="Times New Roman"/>
                <w:color w:val="000000"/>
                <w:sz w:val="16"/>
                <w:szCs w:val="16"/>
              </w:rPr>
              <w:t xml:space="preserve">$27,239 </w:t>
            </w:r>
          </w:p>
        </w:tc>
        <w:tc>
          <w:tcPr>
            <w:tcW w:w="920" w:type="dxa"/>
            <w:tcBorders>
              <w:top w:val="nil"/>
              <w:left w:val="nil"/>
              <w:bottom w:val="single" w:sz="4" w:space="0" w:color="auto"/>
              <w:right w:val="single" w:sz="4" w:space="0" w:color="auto"/>
            </w:tcBorders>
            <w:vAlign w:val="bottom"/>
            <w:hideMark/>
          </w:tcPr>
          <w:p w:rsidR="00756160" w:rsidRPr="00911D18" w14:paraId="4383460F" w14:textId="77777777">
            <w:pPr>
              <w:autoSpaceDE/>
              <w:autoSpaceDN/>
              <w:jc w:val="right"/>
              <w:rPr>
                <w:rFonts w:eastAsia="Times New Roman"/>
                <w:color w:val="000000"/>
                <w:sz w:val="16"/>
                <w:szCs w:val="16"/>
              </w:rPr>
            </w:pPr>
            <w:r w:rsidRPr="00911D18">
              <w:rPr>
                <w:rFonts w:eastAsia="Times New Roman"/>
                <w:color w:val="000000"/>
                <w:sz w:val="16"/>
                <w:szCs w:val="16"/>
              </w:rPr>
              <w:t>($23,154)</w:t>
            </w:r>
          </w:p>
        </w:tc>
      </w:tr>
      <w:tr w14:paraId="107C5561"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5294445E" w14:textId="77777777">
            <w:pPr>
              <w:autoSpaceDE/>
              <w:autoSpaceDN/>
              <w:jc w:val="right"/>
              <w:rPr>
                <w:rFonts w:eastAsia="Times New Roman"/>
                <w:color w:val="000000"/>
                <w:sz w:val="16"/>
                <w:szCs w:val="16"/>
              </w:rPr>
            </w:pPr>
            <w:r w:rsidRPr="00911D18">
              <w:rPr>
                <w:rFonts w:eastAsia="Times New Roman"/>
                <w:color w:val="000000"/>
                <w:sz w:val="16"/>
                <w:szCs w:val="16"/>
              </w:rPr>
              <w:t>2039</w:t>
            </w:r>
          </w:p>
        </w:tc>
        <w:tc>
          <w:tcPr>
            <w:tcW w:w="1120" w:type="dxa"/>
            <w:tcBorders>
              <w:top w:val="nil"/>
              <w:left w:val="nil"/>
              <w:bottom w:val="single" w:sz="4" w:space="0" w:color="auto"/>
              <w:right w:val="single" w:sz="4" w:space="0" w:color="auto"/>
            </w:tcBorders>
            <w:noWrap/>
            <w:vAlign w:val="bottom"/>
            <w:hideMark/>
          </w:tcPr>
          <w:p w:rsidR="00756160" w:rsidRPr="00911D18" w14:paraId="1D0FA231" w14:textId="77777777">
            <w:pPr>
              <w:autoSpaceDE/>
              <w:autoSpaceDN/>
              <w:jc w:val="right"/>
              <w:rPr>
                <w:rFonts w:eastAsia="Times New Roman"/>
                <w:color w:val="000000"/>
                <w:sz w:val="16"/>
                <w:szCs w:val="16"/>
              </w:rPr>
            </w:pPr>
            <w:r w:rsidRPr="00911D18">
              <w:rPr>
                <w:rFonts w:eastAsia="Times New Roman"/>
                <w:color w:val="000000"/>
                <w:sz w:val="16"/>
                <w:szCs w:val="16"/>
              </w:rPr>
              <w:t>1</w:t>
            </w:r>
          </w:p>
        </w:tc>
        <w:tc>
          <w:tcPr>
            <w:tcW w:w="1140" w:type="dxa"/>
            <w:tcBorders>
              <w:top w:val="nil"/>
              <w:left w:val="nil"/>
              <w:bottom w:val="single" w:sz="4" w:space="0" w:color="auto"/>
              <w:right w:val="single" w:sz="4" w:space="0" w:color="auto"/>
            </w:tcBorders>
            <w:noWrap/>
            <w:vAlign w:val="bottom"/>
            <w:hideMark/>
          </w:tcPr>
          <w:p w:rsidR="00756160" w:rsidRPr="00911D18" w14:paraId="7BCDF5AF" w14:textId="77777777">
            <w:pPr>
              <w:autoSpaceDE/>
              <w:autoSpaceDN/>
              <w:jc w:val="right"/>
              <w:rPr>
                <w:rFonts w:eastAsia="Times New Roman"/>
                <w:color w:val="000000"/>
                <w:sz w:val="16"/>
                <w:szCs w:val="16"/>
              </w:rPr>
            </w:pPr>
            <w:r w:rsidRPr="00911D18">
              <w:rPr>
                <w:rFonts w:eastAsia="Times New Roman"/>
                <w:color w:val="000000"/>
                <w:sz w:val="16"/>
                <w:szCs w:val="16"/>
              </w:rPr>
              <w:t>11</w:t>
            </w:r>
          </w:p>
        </w:tc>
        <w:tc>
          <w:tcPr>
            <w:tcW w:w="740" w:type="dxa"/>
            <w:tcBorders>
              <w:top w:val="nil"/>
              <w:left w:val="nil"/>
              <w:bottom w:val="single" w:sz="4" w:space="0" w:color="auto"/>
              <w:right w:val="single" w:sz="4" w:space="0" w:color="auto"/>
            </w:tcBorders>
            <w:noWrap/>
            <w:vAlign w:val="bottom"/>
            <w:hideMark/>
          </w:tcPr>
          <w:p w:rsidR="00756160" w:rsidRPr="00911D18" w14:paraId="27572A25" w14:textId="77777777">
            <w:pPr>
              <w:autoSpaceDE/>
              <w:autoSpaceDN/>
              <w:rPr>
                <w:rFonts w:eastAsia="Times New Roman"/>
                <w:color w:val="000000"/>
                <w:sz w:val="16"/>
                <w:szCs w:val="16"/>
              </w:rPr>
            </w:pPr>
            <w:r w:rsidRPr="00911D18">
              <w:rPr>
                <w:rFonts w:eastAsia="Times New Roman"/>
                <w:color w:val="000000"/>
                <w:sz w:val="16"/>
                <w:szCs w:val="16"/>
              </w:rPr>
              <w:t xml:space="preserve">         895 </w:t>
            </w:r>
          </w:p>
        </w:tc>
        <w:tc>
          <w:tcPr>
            <w:tcW w:w="920" w:type="dxa"/>
            <w:tcBorders>
              <w:top w:val="nil"/>
              <w:left w:val="nil"/>
              <w:bottom w:val="single" w:sz="4" w:space="0" w:color="auto"/>
              <w:right w:val="single" w:sz="4" w:space="0" w:color="auto"/>
            </w:tcBorders>
            <w:vAlign w:val="bottom"/>
            <w:hideMark/>
          </w:tcPr>
          <w:p w:rsidR="00756160" w:rsidRPr="00911D18" w14:paraId="55F892C0" w14:textId="77777777">
            <w:pPr>
              <w:autoSpaceDE/>
              <w:autoSpaceDN/>
              <w:jc w:val="right"/>
              <w:rPr>
                <w:rFonts w:eastAsia="Times New Roman"/>
                <w:color w:val="000000"/>
                <w:sz w:val="16"/>
                <w:szCs w:val="16"/>
              </w:rPr>
            </w:pPr>
            <w:r w:rsidRPr="00911D18">
              <w:rPr>
                <w:rFonts w:eastAsia="Times New Roman"/>
                <w:color w:val="000000"/>
                <w:sz w:val="16"/>
                <w:szCs w:val="16"/>
              </w:rPr>
              <w:t>($50,393)</w:t>
            </w:r>
          </w:p>
        </w:tc>
        <w:tc>
          <w:tcPr>
            <w:tcW w:w="740" w:type="dxa"/>
            <w:tcBorders>
              <w:top w:val="nil"/>
              <w:left w:val="nil"/>
              <w:bottom w:val="single" w:sz="4" w:space="0" w:color="auto"/>
              <w:right w:val="single" w:sz="4" w:space="0" w:color="auto"/>
            </w:tcBorders>
            <w:noWrap/>
            <w:vAlign w:val="bottom"/>
            <w:hideMark/>
          </w:tcPr>
          <w:p w:rsidR="00756160" w:rsidRPr="00911D18" w14:paraId="3C22AA44" w14:textId="77777777">
            <w:pPr>
              <w:autoSpaceDE/>
              <w:autoSpaceDN/>
              <w:rPr>
                <w:rFonts w:eastAsia="Times New Roman"/>
                <w:color w:val="000000"/>
                <w:sz w:val="16"/>
                <w:szCs w:val="16"/>
              </w:rPr>
            </w:pPr>
            <w:r w:rsidRPr="00911D18">
              <w:rPr>
                <w:rFonts w:eastAsia="Times New Roman"/>
                <w:color w:val="000000"/>
                <w:sz w:val="16"/>
                <w:szCs w:val="16"/>
              </w:rPr>
              <w:t xml:space="preserve">        887 </w:t>
            </w:r>
          </w:p>
        </w:tc>
        <w:tc>
          <w:tcPr>
            <w:tcW w:w="860" w:type="dxa"/>
            <w:tcBorders>
              <w:top w:val="nil"/>
              <w:left w:val="nil"/>
              <w:bottom w:val="single" w:sz="4" w:space="0" w:color="auto"/>
              <w:right w:val="single" w:sz="4" w:space="0" w:color="auto"/>
            </w:tcBorders>
            <w:vAlign w:val="bottom"/>
            <w:hideMark/>
          </w:tcPr>
          <w:p w:rsidR="00756160" w:rsidRPr="00911D18" w14:paraId="18EAB65E" w14:textId="77777777">
            <w:pPr>
              <w:autoSpaceDE/>
              <w:autoSpaceDN/>
              <w:jc w:val="right"/>
              <w:rPr>
                <w:rFonts w:eastAsia="Times New Roman"/>
                <w:color w:val="000000"/>
                <w:sz w:val="16"/>
                <w:szCs w:val="16"/>
              </w:rPr>
            </w:pPr>
            <w:r w:rsidRPr="00911D18">
              <w:rPr>
                <w:rFonts w:eastAsia="Times New Roman"/>
                <w:color w:val="000000"/>
                <w:sz w:val="16"/>
                <w:szCs w:val="16"/>
              </w:rPr>
              <w:t xml:space="preserve">$49,939 </w:t>
            </w:r>
          </w:p>
        </w:tc>
        <w:tc>
          <w:tcPr>
            <w:tcW w:w="920" w:type="dxa"/>
            <w:tcBorders>
              <w:top w:val="nil"/>
              <w:left w:val="nil"/>
              <w:bottom w:val="single" w:sz="4" w:space="0" w:color="auto"/>
              <w:right w:val="single" w:sz="4" w:space="0" w:color="auto"/>
            </w:tcBorders>
            <w:vAlign w:val="bottom"/>
            <w:hideMark/>
          </w:tcPr>
          <w:p w:rsidR="00756160" w:rsidRPr="00911D18" w14:paraId="7F62E872" w14:textId="77777777">
            <w:pPr>
              <w:autoSpaceDE/>
              <w:autoSpaceDN/>
              <w:jc w:val="right"/>
              <w:rPr>
                <w:rFonts w:eastAsia="Times New Roman"/>
                <w:color w:val="000000"/>
                <w:sz w:val="16"/>
                <w:szCs w:val="16"/>
              </w:rPr>
            </w:pPr>
            <w:r w:rsidRPr="00911D18">
              <w:rPr>
                <w:rFonts w:eastAsia="Times New Roman"/>
                <w:color w:val="000000"/>
                <w:sz w:val="16"/>
                <w:szCs w:val="16"/>
              </w:rPr>
              <w:t>($454)</w:t>
            </w:r>
          </w:p>
        </w:tc>
      </w:tr>
      <w:tr w14:paraId="2CA2E47A"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0CE41660" w14:textId="77777777">
            <w:pPr>
              <w:autoSpaceDE/>
              <w:autoSpaceDN/>
              <w:jc w:val="right"/>
              <w:rPr>
                <w:rFonts w:eastAsia="Times New Roman"/>
                <w:color w:val="000000"/>
                <w:sz w:val="16"/>
                <w:szCs w:val="16"/>
              </w:rPr>
            </w:pPr>
            <w:r w:rsidRPr="00911D18">
              <w:rPr>
                <w:rFonts w:eastAsia="Times New Roman"/>
                <w:color w:val="000000"/>
                <w:sz w:val="16"/>
                <w:szCs w:val="16"/>
              </w:rPr>
              <w:t>2040</w:t>
            </w:r>
          </w:p>
        </w:tc>
        <w:tc>
          <w:tcPr>
            <w:tcW w:w="1120" w:type="dxa"/>
            <w:tcBorders>
              <w:top w:val="nil"/>
              <w:left w:val="nil"/>
              <w:bottom w:val="single" w:sz="4" w:space="0" w:color="auto"/>
              <w:right w:val="single" w:sz="4" w:space="0" w:color="auto"/>
            </w:tcBorders>
            <w:noWrap/>
            <w:vAlign w:val="bottom"/>
            <w:hideMark/>
          </w:tcPr>
          <w:p w:rsidR="00756160" w:rsidRPr="00911D18" w14:paraId="253B13D4" w14:textId="77777777">
            <w:pPr>
              <w:autoSpaceDE/>
              <w:autoSpaceDN/>
              <w:jc w:val="right"/>
              <w:rPr>
                <w:rFonts w:eastAsia="Times New Roman"/>
                <w:color w:val="000000"/>
                <w:sz w:val="16"/>
                <w:szCs w:val="16"/>
              </w:rPr>
            </w:pPr>
            <w:r w:rsidRPr="00911D18">
              <w:rPr>
                <w:rFonts w:eastAsia="Times New Roman"/>
                <w:color w:val="000000"/>
                <w:sz w:val="16"/>
                <w:szCs w:val="16"/>
              </w:rPr>
              <w:t>3</w:t>
            </w:r>
          </w:p>
        </w:tc>
        <w:tc>
          <w:tcPr>
            <w:tcW w:w="1140" w:type="dxa"/>
            <w:tcBorders>
              <w:top w:val="nil"/>
              <w:left w:val="nil"/>
              <w:bottom w:val="single" w:sz="4" w:space="0" w:color="auto"/>
              <w:right w:val="single" w:sz="4" w:space="0" w:color="auto"/>
            </w:tcBorders>
            <w:noWrap/>
            <w:vAlign w:val="bottom"/>
            <w:hideMark/>
          </w:tcPr>
          <w:p w:rsidR="00756160" w:rsidRPr="00911D18" w14:paraId="66747345" w14:textId="77777777">
            <w:pPr>
              <w:autoSpaceDE/>
              <w:autoSpaceDN/>
              <w:jc w:val="right"/>
              <w:rPr>
                <w:rFonts w:eastAsia="Times New Roman"/>
                <w:color w:val="000000"/>
                <w:sz w:val="16"/>
                <w:szCs w:val="16"/>
              </w:rPr>
            </w:pPr>
            <w:r w:rsidRPr="00911D18">
              <w:rPr>
                <w:rFonts w:eastAsia="Times New Roman"/>
                <w:color w:val="000000"/>
                <w:sz w:val="16"/>
                <w:szCs w:val="16"/>
              </w:rPr>
              <w:t>12</w:t>
            </w:r>
          </w:p>
        </w:tc>
        <w:tc>
          <w:tcPr>
            <w:tcW w:w="740" w:type="dxa"/>
            <w:tcBorders>
              <w:top w:val="nil"/>
              <w:left w:val="nil"/>
              <w:bottom w:val="single" w:sz="4" w:space="0" w:color="auto"/>
              <w:right w:val="single" w:sz="4" w:space="0" w:color="auto"/>
            </w:tcBorders>
            <w:noWrap/>
            <w:vAlign w:val="bottom"/>
            <w:hideMark/>
          </w:tcPr>
          <w:p w:rsidR="00756160" w:rsidRPr="00911D18" w14:paraId="1C77144E" w14:textId="77777777">
            <w:pPr>
              <w:autoSpaceDE/>
              <w:autoSpaceDN/>
              <w:rPr>
                <w:rFonts w:eastAsia="Times New Roman"/>
                <w:color w:val="000000"/>
                <w:sz w:val="16"/>
                <w:szCs w:val="16"/>
              </w:rPr>
            </w:pPr>
            <w:r w:rsidRPr="00911D18">
              <w:rPr>
                <w:rFonts w:eastAsia="Times New Roman"/>
                <w:color w:val="000000"/>
                <w:sz w:val="16"/>
                <w:szCs w:val="16"/>
              </w:rPr>
              <w:t xml:space="preserve">     2,686 </w:t>
            </w:r>
          </w:p>
        </w:tc>
        <w:tc>
          <w:tcPr>
            <w:tcW w:w="920" w:type="dxa"/>
            <w:tcBorders>
              <w:top w:val="nil"/>
              <w:left w:val="nil"/>
              <w:bottom w:val="single" w:sz="4" w:space="0" w:color="auto"/>
              <w:right w:val="single" w:sz="4" w:space="0" w:color="auto"/>
            </w:tcBorders>
            <w:vAlign w:val="bottom"/>
            <w:hideMark/>
          </w:tcPr>
          <w:p w:rsidR="00756160" w:rsidRPr="00911D18" w14:paraId="1F52BFF1" w14:textId="77777777">
            <w:pPr>
              <w:autoSpaceDE/>
              <w:autoSpaceDN/>
              <w:jc w:val="right"/>
              <w:rPr>
                <w:rFonts w:eastAsia="Times New Roman"/>
                <w:color w:val="000000"/>
                <w:sz w:val="16"/>
                <w:szCs w:val="16"/>
              </w:rPr>
            </w:pPr>
            <w:r w:rsidRPr="00911D18">
              <w:rPr>
                <w:rFonts w:eastAsia="Times New Roman"/>
                <w:color w:val="000000"/>
                <w:sz w:val="16"/>
                <w:szCs w:val="16"/>
              </w:rPr>
              <w:t>($151,179)</w:t>
            </w:r>
          </w:p>
        </w:tc>
        <w:tc>
          <w:tcPr>
            <w:tcW w:w="740" w:type="dxa"/>
            <w:tcBorders>
              <w:top w:val="nil"/>
              <w:left w:val="nil"/>
              <w:bottom w:val="single" w:sz="4" w:space="0" w:color="auto"/>
              <w:right w:val="single" w:sz="4" w:space="0" w:color="auto"/>
            </w:tcBorders>
            <w:noWrap/>
            <w:vAlign w:val="bottom"/>
            <w:hideMark/>
          </w:tcPr>
          <w:p w:rsidR="00756160" w:rsidRPr="00911D18" w14:paraId="449A3E97" w14:textId="77777777">
            <w:pPr>
              <w:autoSpaceDE/>
              <w:autoSpaceDN/>
              <w:rPr>
                <w:rFonts w:eastAsia="Times New Roman"/>
                <w:color w:val="000000"/>
                <w:sz w:val="16"/>
                <w:szCs w:val="16"/>
              </w:rPr>
            </w:pPr>
            <w:r w:rsidRPr="00911D18">
              <w:rPr>
                <w:rFonts w:eastAsia="Times New Roman"/>
                <w:color w:val="000000"/>
                <w:sz w:val="16"/>
                <w:szCs w:val="16"/>
              </w:rPr>
              <w:t xml:space="preserve">        968 </w:t>
            </w:r>
          </w:p>
        </w:tc>
        <w:tc>
          <w:tcPr>
            <w:tcW w:w="860" w:type="dxa"/>
            <w:tcBorders>
              <w:top w:val="nil"/>
              <w:left w:val="nil"/>
              <w:bottom w:val="single" w:sz="4" w:space="0" w:color="auto"/>
              <w:right w:val="single" w:sz="4" w:space="0" w:color="auto"/>
            </w:tcBorders>
            <w:vAlign w:val="bottom"/>
            <w:hideMark/>
          </w:tcPr>
          <w:p w:rsidR="00756160" w:rsidRPr="00911D18" w14:paraId="6C600FFA" w14:textId="77777777">
            <w:pPr>
              <w:autoSpaceDE/>
              <w:autoSpaceDN/>
              <w:jc w:val="right"/>
              <w:rPr>
                <w:rFonts w:eastAsia="Times New Roman"/>
                <w:color w:val="000000"/>
                <w:sz w:val="16"/>
                <w:szCs w:val="16"/>
              </w:rPr>
            </w:pPr>
            <w:r w:rsidRPr="00911D18">
              <w:rPr>
                <w:rFonts w:eastAsia="Times New Roman"/>
                <w:color w:val="000000"/>
                <w:sz w:val="16"/>
                <w:szCs w:val="16"/>
              </w:rPr>
              <w:t xml:space="preserve">$54,479 </w:t>
            </w:r>
          </w:p>
        </w:tc>
        <w:tc>
          <w:tcPr>
            <w:tcW w:w="920" w:type="dxa"/>
            <w:tcBorders>
              <w:top w:val="nil"/>
              <w:left w:val="nil"/>
              <w:bottom w:val="single" w:sz="4" w:space="0" w:color="auto"/>
              <w:right w:val="single" w:sz="4" w:space="0" w:color="auto"/>
            </w:tcBorders>
            <w:vAlign w:val="bottom"/>
            <w:hideMark/>
          </w:tcPr>
          <w:p w:rsidR="00756160" w:rsidRPr="00911D18" w14:paraId="3C51E3F4" w14:textId="77777777">
            <w:pPr>
              <w:autoSpaceDE/>
              <w:autoSpaceDN/>
              <w:jc w:val="right"/>
              <w:rPr>
                <w:rFonts w:eastAsia="Times New Roman"/>
                <w:color w:val="000000"/>
                <w:sz w:val="16"/>
                <w:szCs w:val="16"/>
              </w:rPr>
            </w:pPr>
            <w:r w:rsidRPr="00911D18">
              <w:rPr>
                <w:rFonts w:eastAsia="Times New Roman"/>
                <w:color w:val="000000"/>
                <w:sz w:val="16"/>
                <w:szCs w:val="16"/>
              </w:rPr>
              <w:t>($96,700)</w:t>
            </w:r>
          </w:p>
        </w:tc>
      </w:tr>
      <w:tr w14:paraId="461A96DD"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0023F830" w14:textId="77777777">
            <w:pPr>
              <w:autoSpaceDE/>
              <w:autoSpaceDN/>
              <w:jc w:val="right"/>
              <w:rPr>
                <w:rFonts w:eastAsia="Times New Roman"/>
                <w:color w:val="000000"/>
                <w:sz w:val="16"/>
                <w:szCs w:val="16"/>
              </w:rPr>
            </w:pPr>
            <w:r w:rsidRPr="00911D18">
              <w:rPr>
                <w:rFonts w:eastAsia="Times New Roman"/>
                <w:color w:val="000000"/>
                <w:sz w:val="16"/>
                <w:szCs w:val="16"/>
              </w:rPr>
              <w:t>2041</w:t>
            </w:r>
          </w:p>
        </w:tc>
        <w:tc>
          <w:tcPr>
            <w:tcW w:w="1120" w:type="dxa"/>
            <w:tcBorders>
              <w:top w:val="nil"/>
              <w:left w:val="nil"/>
              <w:bottom w:val="single" w:sz="4" w:space="0" w:color="auto"/>
              <w:right w:val="single" w:sz="4" w:space="0" w:color="auto"/>
            </w:tcBorders>
            <w:noWrap/>
            <w:vAlign w:val="bottom"/>
            <w:hideMark/>
          </w:tcPr>
          <w:p w:rsidR="00756160" w:rsidRPr="00911D18" w14:paraId="7EF4F112"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1140" w:type="dxa"/>
            <w:tcBorders>
              <w:top w:val="nil"/>
              <w:left w:val="nil"/>
              <w:bottom w:val="single" w:sz="4" w:space="0" w:color="auto"/>
              <w:right w:val="single" w:sz="4" w:space="0" w:color="auto"/>
            </w:tcBorders>
            <w:noWrap/>
            <w:vAlign w:val="bottom"/>
            <w:hideMark/>
          </w:tcPr>
          <w:p w:rsidR="00756160" w:rsidRPr="00911D18" w14:paraId="15D1431E" w14:textId="77777777">
            <w:pPr>
              <w:autoSpaceDE/>
              <w:autoSpaceDN/>
              <w:jc w:val="right"/>
              <w:rPr>
                <w:rFonts w:eastAsia="Times New Roman"/>
                <w:color w:val="000000"/>
                <w:sz w:val="16"/>
                <w:szCs w:val="16"/>
              </w:rPr>
            </w:pPr>
            <w:r w:rsidRPr="00911D18">
              <w:rPr>
                <w:rFonts w:eastAsia="Times New Roman"/>
                <w:color w:val="000000"/>
                <w:sz w:val="16"/>
                <w:szCs w:val="16"/>
              </w:rPr>
              <w:t>12</w:t>
            </w:r>
          </w:p>
        </w:tc>
        <w:tc>
          <w:tcPr>
            <w:tcW w:w="740" w:type="dxa"/>
            <w:tcBorders>
              <w:top w:val="nil"/>
              <w:left w:val="nil"/>
              <w:bottom w:val="single" w:sz="4" w:space="0" w:color="auto"/>
              <w:right w:val="single" w:sz="4" w:space="0" w:color="auto"/>
            </w:tcBorders>
            <w:noWrap/>
            <w:vAlign w:val="bottom"/>
            <w:hideMark/>
          </w:tcPr>
          <w:p w:rsidR="00756160" w:rsidRPr="00911D18" w14:paraId="18089644" w14:textId="77777777">
            <w:pPr>
              <w:autoSpaceDE/>
              <w:autoSpaceDN/>
              <w:rPr>
                <w:rFonts w:eastAsia="Times New Roman"/>
                <w:color w:val="000000"/>
                <w:sz w:val="16"/>
                <w:szCs w:val="16"/>
              </w:rPr>
            </w:pPr>
            <w:r w:rsidRPr="00911D18">
              <w:rPr>
                <w:rFonts w:eastAsia="Times New Roman"/>
                <w:color w:val="000000"/>
                <w:sz w:val="16"/>
                <w:szCs w:val="16"/>
              </w:rPr>
              <w:t xml:space="preserve">     1,791 </w:t>
            </w:r>
          </w:p>
        </w:tc>
        <w:tc>
          <w:tcPr>
            <w:tcW w:w="920" w:type="dxa"/>
            <w:tcBorders>
              <w:top w:val="nil"/>
              <w:left w:val="nil"/>
              <w:bottom w:val="single" w:sz="4" w:space="0" w:color="auto"/>
              <w:right w:val="single" w:sz="4" w:space="0" w:color="auto"/>
            </w:tcBorders>
            <w:vAlign w:val="bottom"/>
            <w:hideMark/>
          </w:tcPr>
          <w:p w:rsidR="00756160" w:rsidRPr="00911D18" w14:paraId="1C79634E" w14:textId="77777777">
            <w:pPr>
              <w:autoSpaceDE/>
              <w:autoSpaceDN/>
              <w:jc w:val="right"/>
              <w:rPr>
                <w:rFonts w:eastAsia="Times New Roman"/>
                <w:color w:val="000000"/>
                <w:sz w:val="16"/>
                <w:szCs w:val="16"/>
              </w:rPr>
            </w:pPr>
            <w:r w:rsidRPr="00911D18">
              <w:rPr>
                <w:rFonts w:eastAsia="Times New Roman"/>
                <w:color w:val="000000"/>
                <w:sz w:val="16"/>
                <w:szCs w:val="16"/>
              </w:rPr>
              <w:t>($100,786)</w:t>
            </w:r>
          </w:p>
        </w:tc>
        <w:tc>
          <w:tcPr>
            <w:tcW w:w="740" w:type="dxa"/>
            <w:tcBorders>
              <w:top w:val="nil"/>
              <w:left w:val="nil"/>
              <w:bottom w:val="single" w:sz="4" w:space="0" w:color="auto"/>
              <w:right w:val="single" w:sz="4" w:space="0" w:color="auto"/>
            </w:tcBorders>
            <w:noWrap/>
            <w:vAlign w:val="bottom"/>
            <w:hideMark/>
          </w:tcPr>
          <w:p w:rsidR="00756160" w:rsidRPr="00911D18" w14:paraId="77E36E71" w14:textId="77777777">
            <w:pPr>
              <w:autoSpaceDE/>
              <w:autoSpaceDN/>
              <w:rPr>
                <w:rFonts w:eastAsia="Times New Roman"/>
                <w:color w:val="000000"/>
                <w:sz w:val="16"/>
                <w:szCs w:val="16"/>
              </w:rPr>
            </w:pPr>
            <w:r w:rsidRPr="00911D18">
              <w:rPr>
                <w:rFonts w:eastAsia="Times New Roman"/>
                <w:color w:val="000000"/>
                <w:sz w:val="16"/>
                <w:szCs w:val="16"/>
              </w:rPr>
              <w:t xml:space="preserve">        968 </w:t>
            </w:r>
          </w:p>
        </w:tc>
        <w:tc>
          <w:tcPr>
            <w:tcW w:w="860" w:type="dxa"/>
            <w:tcBorders>
              <w:top w:val="nil"/>
              <w:left w:val="nil"/>
              <w:bottom w:val="single" w:sz="4" w:space="0" w:color="auto"/>
              <w:right w:val="single" w:sz="4" w:space="0" w:color="auto"/>
            </w:tcBorders>
            <w:vAlign w:val="bottom"/>
            <w:hideMark/>
          </w:tcPr>
          <w:p w:rsidR="00756160" w:rsidRPr="00911D18" w14:paraId="6B10CD59" w14:textId="77777777">
            <w:pPr>
              <w:autoSpaceDE/>
              <w:autoSpaceDN/>
              <w:jc w:val="right"/>
              <w:rPr>
                <w:rFonts w:eastAsia="Times New Roman"/>
                <w:color w:val="000000"/>
                <w:sz w:val="16"/>
                <w:szCs w:val="16"/>
              </w:rPr>
            </w:pPr>
            <w:r w:rsidRPr="00911D18">
              <w:rPr>
                <w:rFonts w:eastAsia="Times New Roman"/>
                <w:color w:val="000000"/>
                <w:sz w:val="16"/>
                <w:szCs w:val="16"/>
              </w:rPr>
              <w:t xml:space="preserve">$54,479 </w:t>
            </w:r>
          </w:p>
        </w:tc>
        <w:tc>
          <w:tcPr>
            <w:tcW w:w="920" w:type="dxa"/>
            <w:tcBorders>
              <w:top w:val="nil"/>
              <w:left w:val="nil"/>
              <w:bottom w:val="single" w:sz="4" w:space="0" w:color="auto"/>
              <w:right w:val="single" w:sz="4" w:space="0" w:color="auto"/>
            </w:tcBorders>
            <w:vAlign w:val="bottom"/>
            <w:hideMark/>
          </w:tcPr>
          <w:p w:rsidR="00756160" w:rsidRPr="00911D18" w14:paraId="7EA2C989" w14:textId="77777777">
            <w:pPr>
              <w:autoSpaceDE/>
              <w:autoSpaceDN/>
              <w:jc w:val="right"/>
              <w:rPr>
                <w:rFonts w:eastAsia="Times New Roman"/>
                <w:color w:val="000000"/>
                <w:sz w:val="16"/>
                <w:szCs w:val="16"/>
              </w:rPr>
            </w:pPr>
            <w:r w:rsidRPr="00911D18">
              <w:rPr>
                <w:rFonts w:eastAsia="Times New Roman"/>
                <w:color w:val="000000"/>
                <w:sz w:val="16"/>
                <w:szCs w:val="16"/>
              </w:rPr>
              <w:t>($46,307)</w:t>
            </w:r>
          </w:p>
        </w:tc>
      </w:tr>
      <w:tr w14:paraId="004066C2"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051A6D23" w14:textId="77777777">
            <w:pPr>
              <w:autoSpaceDE/>
              <w:autoSpaceDN/>
              <w:jc w:val="right"/>
              <w:rPr>
                <w:rFonts w:eastAsia="Times New Roman"/>
                <w:color w:val="000000"/>
                <w:sz w:val="16"/>
                <w:szCs w:val="16"/>
              </w:rPr>
            </w:pPr>
            <w:r w:rsidRPr="00911D18">
              <w:rPr>
                <w:rFonts w:eastAsia="Times New Roman"/>
                <w:color w:val="000000"/>
                <w:sz w:val="16"/>
                <w:szCs w:val="16"/>
              </w:rPr>
              <w:t>2042</w:t>
            </w:r>
          </w:p>
        </w:tc>
        <w:tc>
          <w:tcPr>
            <w:tcW w:w="1120" w:type="dxa"/>
            <w:tcBorders>
              <w:top w:val="nil"/>
              <w:left w:val="nil"/>
              <w:bottom w:val="single" w:sz="4" w:space="0" w:color="auto"/>
              <w:right w:val="single" w:sz="4" w:space="0" w:color="auto"/>
            </w:tcBorders>
            <w:noWrap/>
            <w:vAlign w:val="bottom"/>
            <w:hideMark/>
          </w:tcPr>
          <w:p w:rsidR="00756160" w:rsidRPr="00911D18" w14:paraId="61D98AD0"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noWrap/>
            <w:vAlign w:val="bottom"/>
            <w:hideMark/>
          </w:tcPr>
          <w:p w:rsidR="00756160" w:rsidRPr="00911D18" w14:paraId="71AF491E" w14:textId="77777777">
            <w:pPr>
              <w:autoSpaceDE/>
              <w:autoSpaceDN/>
              <w:jc w:val="right"/>
              <w:rPr>
                <w:rFonts w:eastAsia="Times New Roman"/>
                <w:color w:val="000000"/>
                <w:sz w:val="16"/>
                <w:szCs w:val="16"/>
              </w:rPr>
            </w:pPr>
            <w:r w:rsidRPr="00911D18">
              <w:rPr>
                <w:rFonts w:eastAsia="Times New Roman"/>
                <w:color w:val="000000"/>
                <w:sz w:val="16"/>
                <w:szCs w:val="16"/>
              </w:rPr>
              <w:t>14</w:t>
            </w:r>
          </w:p>
        </w:tc>
        <w:tc>
          <w:tcPr>
            <w:tcW w:w="740" w:type="dxa"/>
            <w:tcBorders>
              <w:top w:val="nil"/>
              <w:left w:val="nil"/>
              <w:bottom w:val="single" w:sz="4" w:space="0" w:color="auto"/>
              <w:right w:val="single" w:sz="4" w:space="0" w:color="auto"/>
            </w:tcBorders>
            <w:noWrap/>
            <w:vAlign w:val="bottom"/>
            <w:hideMark/>
          </w:tcPr>
          <w:p w:rsidR="00756160" w:rsidRPr="00911D18" w14:paraId="6C94F1E4"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vAlign w:val="bottom"/>
            <w:hideMark/>
          </w:tcPr>
          <w:p w:rsidR="00756160" w:rsidRPr="00911D18" w14:paraId="2910AA8C"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noWrap/>
            <w:vAlign w:val="bottom"/>
            <w:hideMark/>
          </w:tcPr>
          <w:p w:rsidR="00756160" w:rsidRPr="00911D18" w14:paraId="7F6B73EE" w14:textId="77777777">
            <w:pPr>
              <w:autoSpaceDE/>
              <w:autoSpaceDN/>
              <w:rPr>
                <w:rFonts w:eastAsia="Times New Roman"/>
                <w:color w:val="000000"/>
                <w:sz w:val="16"/>
                <w:szCs w:val="16"/>
              </w:rPr>
            </w:pPr>
            <w:r w:rsidRPr="00911D18">
              <w:rPr>
                <w:rFonts w:eastAsia="Times New Roman"/>
                <w:color w:val="000000"/>
                <w:sz w:val="16"/>
                <w:szCs w:val="16"/>
              </w:rPr>
              <w:t xml:space="preserve">     1,129 </w:t>
            </w:r>
          </w:p>
        </w:tc>
        <w:tc>
          <w:tcPr>
            <w:tcW w:w="860" w:type="dxa"/>
            <w:tcBorders>
              <w:top w:val="nil"/>
              <w:left w:val="nil"/>
              <w:bottom w:val="single" w:sz="4" w:space="0" w:color="auto"/>
              <w:right w:val="single" w:sz="4" w:space="0" w:color="auto"/>
            </w:tcBorders>
            <w:vAlign w:val="bottom"/>
            <w:hideMark/>
          </w:tcPr>
          <w:p w:rsidR="00756160" w:rsidRPr="00911D18" w14:paraId="584B5EB5" w14:textId="77777777">
            <w:pPr>
              <w:autoSpaceDE/>
              <w:autoSpaceDN/>
              <w:jc w:val="right"/>
              <w:rPr>
                <w:rFonts w:eastAsia="Times New Roman"/>
                <w:color w:val="000000"/>
                <w:sz w:val="16"/>
                <w:szCs w:val="16"/>
              </w:rPr>
            </w:pPr>
            <w:r w:rsidRPr="00911D18">
              <w:rPr>
                <w:rFonts w:eastAsia="Times New Roman"/>
                <w:color w:val="000000"/>
                <w:sz w:val="16"/>
                <w:szCs w:val="16"/>
              </w:rPr>
              <w:t xml:space="preserve">$63,559 </w:t>
            </w:r>
          </w:p>
        </w:tc>
        <w:tc>
          <w:tcPr>
            <w:tcW w:w="920" w:type="dxa"/>
            <w:tcBorders>
              <w:top w:val="nil"/>
              <w:left w:val="nil"/>
              <w:bottom w:val="single" w:sz="4" w:space="0" w:color="auto"/>
              <w:right w:val="single" w:sz="4" w:space="0" w:color="auto"/>
            </w:tcBorders>
            <w:vAlign w:val="bottom"/>
            <w:hideMark/>
          </w:tcPr>
          <w:p w:rsidR="00756160" w:rsidRPr="00911D18" w14:paraId="5E7D194C" w14:textId="77777777">
            <w:pPr>
              <w:autoSpaceDE/>
              <w:autoSpaceDN/>
              <w:jc w:val="right"/>
              <w:rPr>
                <w:rFonts w:eastAsia="Times New Roman"/>
                <w:color w:val="000000"/>
                <w:sz w:val="16"/>
                <w:szCs w:val="16"/>
              </w:rPr>
            </w:pPr>
            <w:r w:rsidRPr="00911D18">
              <w:rPr>
                <w:rFonts w:eastAsia="Times New Roman"/>
                <w:color w:val="000000"/>
                <w:sz w:val="16"/>
                <w:szCs w:val="16"/>
              </w:rPr>
              <w:t xml:space="preserve">$63,559 </w:t>
            </w:r>
          </w:p>
        </w:tc>
      </w:tr>
      <w:tr w14:paraId="29B7F3D7"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41B2D467" w14:textId="77777777">
            <w:pPr>
              <w:autoSpaceDE/>
              <w:autoSpaceDN/>
              <w:jc w:val="right"/>
              <w:rPr>
                <w:rFonts w:eastAsia="Times New Roman"/>
                <w:color w:val="000000"/>
                <w:sz w:val="16"/>
                <w:szCs w:val="16"/>
              </w:rPr>
            </w:pPr>
            <w:r w:rsidRPr="00911D18">
              <w:rPr>
                <w:rFonts w:eastAsia="Times New Roman"/>
                <w:color w:val="000000"/>
                <w:sz w:val="16"/>
                <w:szCs w:val="16"/>
              </w:rPr>
              <w:t>2043</w:t>
            </w:r>
          </w:p>
        </w:tc>
        <w:tc>
          <w:tcPr>
            <w:tcW w:w="1120" w:type="dxa"/>
            <w:tcBorders>
              <w:top w:val="nil"/>
              <w:left w:val="nil"/>
              <w:bottom w:val="single" w:sz="4" w:space="0" w:color="auto"/>
              <w:right w:val="single" w:sz="4" w:space="0" w:color="auto"/>
            </w:tcBorders>
            <w:noWrap/>
            <w:vAlign w:val="bottom"/>
            <w:hideMark/>
          </w:tcPr>
          <w:p w:rsidR="00756160" w:rsidRPr="00911D18" w14:paraId="048B488B"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1140" w:type="dxa"/>
            <w:tcBorders>
              <w:top w:val="nil"/>
              <w:left w:val="nil"/>
              <w:bottom w:val="single" w:sz="4" w:space="0" w:color="auto"/>
              <w:right w:val="single" w:sz="4" w:space="0" w:color="auto"/>
            </w:tcBorders>
            <w:noWrap/>
            <w:vAlign w:val="bottom"/>
            <w:hideMark/>
          </w:tcPr>
          <w:p w:rsidR="00756160" w:rsidRPr="00911D18" w14:paraId="6E6AA52E" w14:textId="77777777">
            <w:pPr>
              <w:autoSpaceDE/>
              <w:autoSpaceDN/>
              <w:jc w:val="right"/>
              <w:rPr>
                <w:rFonts w:eastAsia="Times New Roman"/>
                <w:color w:val="000000"/>
                <w:sz w:val="16"/>
                <w:szCs w:val="16"/>
              </w:rPr>
            </w:pPr>
            <w:r w:rsidRPr="00911D18">
              <w:rPr>
                <w:rFonts w:eastAsia="Times New Roman"/>
                <w:color w:val="000000"/>
                <w:sz w:val="16"/>
                <w:szCs w:val="16"/>
              </w:rPr>
              <w:t>18</w:t>
            </w:r>
          </w:p>
        </w:tc>
        <w:tc>
          <w:tcPr>
            <w:tcW w:w="740" w:type="dxa"/>
            <w:tcBorders>
              <w:top w:val="nil"/>
              <w:left w:val="nil"/>
              <w:bottom w:val="single" w:sz="4" w:space="0" w:color="auto"/>
              <w:right w:val="single" w:sz="4" w:space="0" w:color="auto"/>
            </w:tcBorders>
            <w:noWrap/>
            <w:vAlign w:val="bottom"/>
            <w:hideMark/>
          </w:tcPr>
          <w:p w:rsidR="00756160" w:rsidRPr="00911D18" w14:paraId="0C4FC7C1" w14:textId="77777777">
            <w:pPr>
              <w:autoSpaceDE/>
              <w:autoSpaceDN/>
              <w:rPr>
                <w:rFonts w:eastAsia="Times New Roman"/>
                <w:color w:val="000000"/>
                <w:sz w:val="16"/>
                <w:szCs w:val="16"/>
              </w:rPr>
            </w:pPr>
            <w:r w:rsidRPr="00911D18">
              <w:rPr>
                <w:rFonts w:eastAsia="Times New Roman"/>
                <w:color w:val="000000"/>
                <w:sz w:val="16"/>
                <w:szCs w:val="16"/>
              </w:rPr>
              <w:t xml:space="preserve">     1,791 </w:t>
            </w:r>
          </w:p>
        </w:tc>
        <w:tc>
          <w:tcPr>
            <w:tcW w:w="920" w:type="dxa"/>
            <w:tcBorders>
              <w:top w:val="nil"/>
              <w:left w:val="nil"/>
              <w:bottom w:val="single" w:sz="4" w:space="0" w:color="auto"/>
              <w:right w:val="single" w:sz="4" w:space="0" w:color="auto"/>
            </w:tcBorders>
            <w:vAlign w:val="bottom"/>
            <w:hideMark/>
          </w:tcPr>
          <w:p w:rsidR="00756160" w:rsidRPr="00911D18" w14:paraId="6BAEFC45" w14:textId="77777777">
            <w:pPr>
              <w:autoSpaceDE/>
              <w:autoSpaceDN/>
              <w:jc w:val="right"/>
              <w:rPr>
                <w:rFonts w:eastAsia="Times New Roman"/>
                <w:color w:val="000000"/>
                <w:sz w:val="16"/>
                <w:szCs w:val="16"/>
              </w:rPr>
            </w:pPr>
            <w:r w:rsidRPr="00911D18">
              <w:rPr>
                <w:rFonts w:eastAsia="Times New Roman"/>
                <w:color w:val="000000"/>
                <w:sz w:val="16"/>
                <w:szCs w:val="16"/>
              </w:rPr>
              <w:t>($100,786)</w:t>
            </w:r>
          </w:p>
        </w:tc>
        <w:tc>
          <w:tcPr>
            <w:tcW w:w="740" w:type="dxa"/>
            <w:tcBorders>
              <w:top w:val="nil"/>
              <w:left w:val="nil"/>
              <w:bottom w:val="single" w:sz="4" w:space="0" w:color="auto"/>
              <w:right w:val="single" w:sz="4" w:space="0" w:color="auto"/>
            </w:tcBorders>
            <w:noWrap/>
            <w:vAlign w:val="bottom"/>
            <w:hideMark/>
          </w:tcPr>
          <w:p w:rsidR="00756160" w:rsidRPr="00911D18" w14:paraId="3310D602" w14:textId="77777777">
            <w:pPr>
              <w:autoSpaceDE/>
              <w:autoSpaceDN/>
              <w:rPr>
                <w:rFonts w:eastAsia="Times New Roman"/>
                <w:color w:val="000000"/>
                <w:sz w:val="16"/>
                <w:szCs w:val="16"/>
              </w:rPr>
            </w:pPr>
            <w:r w:rsidRPr="00911D18">
              <w:rPr>
                <w:rFonts w:eastAsia="Times New Roman"/>
                <w:color w:val="000000"/>
                <w:sz w:val="16"/>
                <w:szCs w:val="16"/>
              </w:rPr>
              <w:t xml:space="preserve">     1,452 </w:t>
            </w:r>
          </w:p>
        </w:tc>
        <w:tc>
          <w:tcPr>
            <w:tcW w:w="860" w:type="dxa"/>
            <w:tcBorders>
              <w:top w:val="nil"/>
              <w:left w:val="nil"/>
              <w:bottom w:val="single" w:sz="4" w:space="0" w:color="auto"/>
              <w:right w:val="single" w:sz="4" w:space="0" w:color="auto"/>
            </w:tcBorders>
            <w:vAlign w:val="bottom"/>
            <w:hideMark/>
          </w:tcPr>
          <w:p w:rsidR="00756160" w:rsidRPr="00911D18" w14:paraId="27EED6C8" w14:textId="77777777">
            <w:pPr>
              <w:autoSpaceDE/>
              <w:autoSpaceDN/>
              <w:jc w:val="right"/>
              <w:rPr>
                <w:rFonts w:eastAsia="Times New Roman"/>
                <w:color w:val="000000"/>
                <w:sz w:val="16"/>
                <w:szCs w:val="16"/>
              </w:rPr>
            </w:pPr>
            <w:r w:rsidRPr="00911D18">
              <w:rPr>
                <w:rFonts w:eastAsia="Times New Roman"/>
                <w:color w:val="000000"/>
                <w:sz w:val="16"/>
                <w:szCs w:val="16"/>
              </w:rPr>
              <w:t xml:space="preserve">$81,718 </w:t>
            </w:r>
          </w:p>
        </w:tc>
        <w:tc>
          <w:tcPr>
            <w:tcW w:w="920" w:type="dxa"/>
            <w:tcBorders>
              <w:top w:val="nil"/>
              <w:left w:val="nil"/>
              <w:bottom w:val="single" w:sz="4" w:space="0" w:color="auto"/>
              <w:right w:val="single" w:sz="4" w:space="0" w:color="auto"/>
            </w:tcBorders>
            <w:vAlign w:val="bottom"/>
            <w:hideMark/>
          </w:tcPr>
          <w:p w:rsidR="00756160" w:rsidRPr="00911D18" w14:paraId="10B27826" w14:textId="77777777">
            <w:pPr>
              <w:autoSpaceDE/>
              <w:autoSpaceDN/>
              <w:jc w:val="right"/>
              <w:rPr>
                <w:rFonts w:eastAsia="Times New Roman"/>
                <w:color w:val="000000"/>
                <w:sz w:val="16"/>
                <w:szCs w:val="16"/>
              </w:rPr>
            </w:pPr>
            <w:r w:rsidRPr="00911D18">
              <w:rPr>
                <w:rFonts w:eastAsia="Times New Roman"/>
                <w:color w:val="000000"/>
                <w:sz w:val="16"/>
                <w:szCs w:val="16"/>
              </w:rPr>
              <w:t>($19,068)</w:t>
            </w:r>
          </w:p>
        </w:tc>
      </w:tr>
      <w:tr w14:paraId="3A1087F0"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11125520" w14:textId="77777777">
            <w:pPr>
              <w:autoSpaceDE/>
              <w:autoSpaceDN/>
              <w:jc w:val="right"/>
              <w:rPr>
                <w:rFonts w:eastAsia="Times New Roman"/>
                <w:color w:val="000000"/>
                <w:sz w:val="16"/>
                <w:szCs w:val="16"/>
              </w:rPr>
            </w:pPr>
            <w:r w:rsidRPr="00911D18">
              <w:rPr>
                <w:rFonts w:eastAsia="Times New Roman"/>
                <w:color w:val="000000"/>
                <w:sz w:val="16"/>
                <w:szCs w:val="16"/>
              </w:rPr>
              <w:t>2044</w:t>
            </w:r>
          </w:p>
        </w:tc>
        <w:tc>
          <w:tcPr>
            <w:tcW w:w="1120" w:type="dxa"/>
            <w:tcBorders>
              <w:top w:val="nil"/>
              <w:left w:val="nil"/>
              <w:bottom w:val="single" w:sz="4" w:space="0" w:color="auto"/>
              <w:right w:val="single" w:sz="4" w:space="0" w:color="auto"/>
            </w:tcBorders>
            <w:noWrap/>
            <w:vAlign w:val="bottom"/>
            <w:hideMark/>
          </w:tcPr>
          <w:p w:rsidR="00756160" w:rsidRPr="00911D18" w14:paraId="0758742F" w14:textId="77777777">
            <w:pPr>
              <w:autoSpaceDE/>
              <w:autoSpaceDN/>
              <w:jc w:val="right"/>
              <w:rPr>
                <w:rFonts w:eastAsia="Times New Roman"/>
                <w:color w:val="000000"/>
                <w:sz w:val="16"/>
                <w:szCs w:val="16"/>
              </w:rPr>
            </w:pPr>
            <w:r w:rsidRPr="00911D18">
              <w:rPr>
                <w:rFonts w:eastAsia="Times New Roman"/>
                <w:color w:val="000000"/>
                <w:sz w:val="16"/>
                <w:szCs w:val="16"/>
              </w:rPr>
              <w:t>2</w:t>
            </w:r>
          </w:p>
        </w:tc>
        <w:tc>
          <w:tcPr>
            <w:tcW w:w="1140" w:type="dxa"/>
            <w:tcBorders>
              <w:top w:val="nil"/>
              <w:left w:val="nil"/>
              <w:bottom w:val="single" w:sz="4" w:space="0" w:color="auto"/>
              <w:right w:val="single" w:sz="4" w:space="0" w:color="auto"/>
            </w:tcBorders>
            <w:noWrap/>
            <w:vAlign w:val="bottom"/>
            <w:hideMark/>
          </w:tcPr>
          <w:p w:rsidR="00756160" w:rsidRPr="00911D18" w14:paraId="676DF475" w14:textId="77777777">
            <w:pPr>
              <w:autoSpaceDE/>
              <w:autoSpaceDN/>
              <w:jc w:val="right"/>
              <w:rPr>
                <w:rFonts w:eastAsia="Times New Roman"/>
                <w:color w:val="000000"/>
                <w:sz w:val="16"/>
                <w:szCs w:val="16"/>
              </w:rPr>
            </w:pPr>
            <w:r w:rsidRPr="00911D18">
              <w:rPr>
                <w:rFonts w:eastAsia="Times New Roman"/>
                <w:color w:val="000000"/>
                <w:sz w:val="16"/>
                <w:szCs w:val="16"/>
              </w:rPr>
              <w:t>21</w:t>
            </w:r>
          </w:p>
        </w:tc>
        <w:tc>
          <w:tcPr>
            <w:tcW w:w="740" w:type="dxa"/>
            <w:tcBorders>
              <w:top w:val="nil"/>
              <w:left w:val="nil"/>
              <w:bottom w:val="single" w:sz="4" w:space="0" w:color="auto"/>
              <w:right w:val="single" w:sz="4" w:space="0" w:color="auto"/>
            </w:tcBorders>
            <w:noWrap/>
            <w:vAlign w:val="bottom"/>
            <w:hideMark/>
          </w:tcPr>
          <w:p w:rsidR="00756160" w:rsidRPr="00911D18" w14:paraId="00480DFD" w14:textId="77777777">
            <w:pPr>
              <w:autoSpaceDE/>
              <w:autoSpaceDN/>
              <w:rPr>
                <w:rFonts w:eastAsia="Times New Roman"/>
                <w:color w:val="000000"/>
                <w:sz w:val="16"/>
                <w:szCs w:val="16"/>
              </w:rPr>
            </w:pPr>
            <w:r w:rsidRPr="00911D18">
              <w:rPr>
                <w:rFonts w:eastAsia="Times New Roman"/>
                <w:color w:val="000000"/>
                <w:sz w:val="16"/>
                <w:szCs w:val="16"/>
              </w:rPr>
              <w:t xml:space="preserve">     1,791 </w:t>
            </w:r>
          </w:p>
        </w:tc>
        <w:tc>
          <w:tcPr>
            <w:tcW w:w="920" w:type="dxa"/>
            <w:tcBorders>
              <w:top w:val="nil"/>
              <w:left w:val="nil"/>
              <w:bottom w:val="single" w:sz="4" w:space="0" w:color="auto"/>
              <w:right w:val="single" w:sz="4" w:space="0" w:color="auto"/>
            </w:tcBorders>
            <w:vAlign w:val="bottom"/>
            <w:hideMark/>
          </w:tcPr>
          <w:p w:rsidR="00756160" w:rsidRPr="00911D18" w14:paraId="674D6273" w14:textId="77777777">
            <w:pPr>
              <w:autoSpaceDE/>
              <w:autoSpaceDN/>
              <w:jc w:val="right"/>
              <w:rPr>
                <w:rFonts w:eastAsia="Times New Roman"/>
                <w:color w:val="000000"/>
                <w:sz w:val="16"/>
                <w:szCs w:val="16"/>
              </w:rPr>
            </w:pPr>
            <w:r w:rsidRPr="00911D18">
              <w:rPr>
                <w:rFonts w:eastAsia="Times New Roman"/>
                <w:color w:val="000000"/>
                <w:sz w:val="16"/>
                <w:szCs w:val="16"/>
              </w:rPr>
              <w:t>($100,786)</w:t>
            </w:r>
          </w:p>
        </w:tc>
        <w:tc>
          <w:tcPr>
            <w:tcW w:w="740" w:type="dxa"/>
            <w:tcBorders>
              <w:top w:val="nil"/>
              <w:left w:val="nil"/>
              <w:bottom w:val="single" w:sz="4" w:space="0" w:color="auto"/>
              <w:right w:val="single" w:sz="4" w:space="0" w:color="auto"/>
            </w:tcBorders>
            <w:noWrap/>
            <w:vAlign w:val="bottom"/>
            <w:hideMark/>
          </w:tcPr>
          <w:p w:rsidR="00756160" w:rsidRPr="00911D18" w14:paraId="1EC6B0D2" w14:textId="77777777">
            <w:pPr>
              <w:autoSpaceDE/>
              <w:autoSpaceDN/>
              <w:rPr>
                <w:rFonts w:eastAsia="Times New Roman"/>
                <w:color w:val="000000"/>
                <w:sz w:val="16"/>
                <w:szCs w:val="16"/>
              </w:rPr>
            </w:pPr>
            <w:r w:rsidRPr="00911D18">
              <w:rPr>
                <w:rFonts w:eastAsia="Times New Roman"/>
                <w:color w:val="000000"/>
                <w:sz w:val="16"/>
                <w:szCs w:val="16"/>
              </w:rPr>
              <w:t xml:space="preserve">     1,694 </w:t>
            </w:r>
          </w:p>
        </w:tc>
        <w:tc>
          <w:tcPr>
            <w:tcW w:w="860" w:type="dxa"/>
            <w:tcBorders>
              <w:top w:val="nil"/>
              <w:left w:val="nil"/>
              <w:bottom w:val="single" w:sz="4" w:space="0" w:color="auto"/>
              <w:right w:val="single" w:sz="4" w:space="0" w:color="auto"/>
            </w:tcBorders>
            <w:vAlign w:val="bottom"/>
            <w:hideMark/>
          </w:tcPr>
          <w:p w:rsidR="00756160" w:rsidRPr="00911D18" w14:paraId="477A1E63" w14:textId="77777777">
            <w:pPr>
              <w:autoSpaceDE/>
              <w:autoSpaceDN/>
              <w:jc w:val="right"/>
              <w:rPr>
                <w:rFonts w:eastAsia="Times New Roman"/>
                <w:color w:val="000000"/>
                <w:sz w:val="16"/>
                <w:szCs w:val="16"/>
              </w:rPr>
            </w:pPr>
            <w:r w:rsidRPr="00911D18">
              <w:rPr>
                <w:rFonts w:eastAsia="Times New Roman"/>
                <w:color w:val="000000"/>
                <w:sz w:val="16"/>
                <w:szCs w:val="16"/>
              </w:rPr>
              <w:t xml:space="preserve">$95,338 </w:t>
            </w:r>
          </w:p>
        </w:tc>
        <w:tc>
          <w:tcPr>
            <w:tcW w:w="920" w:type="dxa"/>
            <w:tcBorders>
              <w:top w:val="nil"/>
              <w:left w:val="nil"/>
              <w:bottom w:val="single" w:sz="4" w:space="0" w:color="auto"/>
              <w:right w:val="single" w:sz="4" w:space="0" w:color="auto"/>
            </w:tcBorders>
            <w:vAlign w:val="bottom"/>
            <w:hideMark/>
          </w:tcPr>
          <w:p w:rsidR="00756160" w:rsidRPr="00911D18" w14:paraId="32EC9B5A" w14:textId="77777777">
            <w:pPr>
              <w:autoSpaceDE/>
              <w:autoSpaceDN/>
              <w:jc w:val="right"/>
              <w:rPr>
                <w:rFonts w:eastAsia="Times New Roman"/>
                <w:color w:val="000000"/>
                <w:sz w:val="16"/>
                <w:szCs w:val="16"/>
              </w:rPr>
            </w:pPr>
            <w:r w:rsidRPr="00911D18">
              <w:rPr>
                <w:rFonts w:eastAsia="Times New Roman"/>
                <w:color w:val="000000"/>
                <w:sz w:val="16"/>
                <w:szCs w:val="16"/>
              </w:rPr>
              <w:t>($5,448)</w:t>
            </w:r>
          </w:p>
        </w:tc>
      </w:tr>
      <w:tr w14:paraId="3793D491"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273BDD87" w14:textId="77777777">
            <w:pPr>
              <w:autoSpaceDE/>
              <w:autoSpaceDN/>
              <w:jc w:val="right"/>
              <w:rPr>
                <w:rFonts w:eastAsia="Times New Roman"/>
                <w:color w:val="000000"/>
                <w:sz w:val="16"/>
                <w:szCs w:val="16"/>
              </w:rPr>
            </w:pPr>
            <w:r w:rsidRPr="00911D18">
              <w:rPr>
                <w:rFonts w:eastAsia="Times New Roman"/>
                <w:color w:val="000000"/>
                <w:sz w:val="16"/>
                <w:szCs w:val="16"/>
              </w:rPr>
              <w:t>2045</w:t>
            </w:r>
          </w:p>
        </w:tc>
        <w:tc>
          <w:tcPr>
            <w:tcW w:w="1120" w:type="dxa"/>
            <w:tcBorders>
              <w:top w:val="nil"/>
              <w:left w:val="nil"/>
              <w:bottom w:val="single" w:sz="4" w:space="0" w:color="auto"/>
              <w:right w:val="single" w:sz="4" w:space="0" w:color="auto"/>
            </w:tcBorders>
            <w:noWrap/>
            <w:vAlign w:val="bottom"/>
            <w:hideMark/>
          </w:tcPr>
          <w:p w:rsidR="00756160" w:rsidRPr="00911D18" w14:paraId="3EAE47A1" w14:textId="77777777">
            <w:pPr>
              <w:autoSpaceDE/>
              <w:autoSpaceDN/>
              <w:jc w:val="right"/>
              <w:rPr>
                <w:rFonts w:eastAsia="Times New Roman"/>
                <w:color w:val="000000"/>
                <w:sz w:val="16"/>
                <w:szCs w:val="16"/>
              </w:rPr>
            </w:pPr>
            <w:r w:rsidRPr="00911D18">
              <w:rPr>
                <w:rFonts w:eastAsia="Times New Roman"/>
                <w:color w:val="000000"/>
                <w:sz w:val="16"/>
                <w:szCs w:val="16"/>
              </w:rPr>
              <w:t>0</w:t>
            </w:r>
          </w:p>
        </w:tc>
        <w:tc>
          <w:tcPr>
            <w:tcW w:w="1140" w:type="dxa"/>
            <w:tcBorders>
              <w:top w:val="nil"/>
              <w:left w:val="nil"/>
              <w:bottom w:val="single" w:sz="4" w:space="0" w:color="auto"/>
              <w:right w:val="single" w:sz="4" w:space="0" w:color="auto"/>
            </w:tcBorders>
            <w:noWrap/>
            <w:vAlign w:val="bottom"/>
            <w:hideMark/>
          </w:tcPr>
          <w:p w:rsidR="00756160" w:rsidRPr="00911D18" w14:paraId="3EFEBF2F" w14:textId="77777777">
            <w:pPr>
              <w:autoSpaceDE/>
              <w:autoSpaceDN/>
              <w:jc w:val="right"/>
              <w:rPr>
                <w:rFonts w:eastAsia="Times New Roman"/>
                <w:color w:val="000000"/>
                <w:sz w:val="16"/>
                <w:szCs w:val="16"/>
              </w:rPr>
            </w:pPr>
            <w:r w:rsidRPr="00911D18">
              <w:rPr>
                <w:rFonts w:eastAsia="Times New Roman"/>
                <w:color w:val="000000"/>
                <w:sz w:val="16"/>
                <w:szCs w:val="16"/>
              </w:rPr>
              <w:t>22</w:t>
            </w:r>
          </w:p>
        </w:tc>
        <w:tc>
          <w:tcPr>
            <w:tcW w:w="740" w:type="dxa"/>
            <w:tcBorders>
              <w:top w:val="nil"/>
              <w:left w:val="nil"/>
              <w:bottom w:val="single" w:sz="4" w:space="0" w:color="auto"/>
              <w:right w:val="single" w:sz="4" w:space="0" w:color="auto"/>
            </w:tcBorders>
            <w:noWrap/>
            <w:vAlign w:val="bottom"/>
            <w:hideMark/>
          </w:tcPr>
          <w:p w:rsidR="00756160" w:rsidRPr="00911D18" w14:paraId="4DF943CB" w14:textId="77777777">
            <w:pPr>
              <w:autoSpaceDE/>
              <w:autoSpaceDN/>
              <w:rPr>
                <w:rFonts w:eastAsia="Times New Roman"/>
                <w:color w:val="000000"/>
                <w:sz w:val="16"/>
                <w:szCs w:val="16"/>
              </w:rPr>
            </w:pPr>
            <w:r w:rsidRPr="00911D18">
              <w:rPr>
                <w:rFonts w:eastAsia="Times New Roman"/>
                <w:color w:val="000000"/>
                <w:sz w:val="16"/>
                <w:szCs w:val="16"/>
              </w:rPr>
              <w:t xml:space="preserve">            -   </w:t>
            </w:r>
          </w:p>
        </w:tc>
        <w:tc>
          <w:tcPr>
            <w:tcW w:w="920" w:type="dxa"/>
            <w:tcBorders>
              <w:top w:val="nil"/>
              <w:left w:val="nil"/>
              <w:bottom w:val="single" w:sz="4" w:space="0" w:color="auto"/>
              <w:right w:val="single" w:sz="4" w:space="0" w:color="auto"/>
            </w:tcBorders>
            <w:vAlign w:val="bottom"/>
            <w:hideMark/>
          </w:tcPr>
          <w:p w:rsidR="00756160" w:rsidRPr="00911D18" w14:paraId="6EAA94CA" w14:textId="77777777">
            <w:pPr>
              <w:autoSpaceDE/>
              <w:autoSpaceDN/>
              <w:jc w:val="right"/>
              <w:rPr>
                <w:rFonts w:eastAsia="Times New Roman"/>
                <w:color w:val="000000"/>
                <w:sz w:val="16"/>
                <w:szCs w:val="16"/>
              </w:rPr>
            </w:pPr>
            <w:r w:rsidRPr="00911D18">
              <w:rPr>
                <w:rFonts w:eastAsia="Times New Roman"/>
                <w:color w:val="000000"/>
                <w:sz w:val="16"/>
                <w:szCs w:val="16"/>
              </w:rPr>
              <w:t xml:space="preserve">$0 </w:t>
            </w:r>
          </w:p>
        </w:tc>
        <w:tc>
          <w:tcPr>
            <w:tcW w:w="740" w:type="dxa"/>
            <w:tcBorders>
              <w:top w:val="nil"/>
              <w:left w:val="nil"/>
              <w:bottom w:val="single" w:sz="4" w:space="0" w:color="auto"/>
              <w:right w:val="single" w:sz="4" w:space="0" w:color="auto"/>
            </w:tcBorders>
            <w:noWrap/>
            <w:vAlign w:val="bottom"/>
            <w:hideMark/>
          </w:tcPr>
          <w:p w:rsidR="00756160" w:rsidRPr="00911D18" w14:paraId="211B059E" w14:textId="77777777">
            <w:pPr>
              <w:autoSpaceDE/>
              <w:autoSpaceDN/>
              <w:rPr>
                <w:rFonts w:eastAsia="Times New Roman"/>
                <w:color w:val="000000"/>
                <w:sz w:val="16"/>
                <w:szCs w:val="16"/>
              </w:rPr>
            </w:pPr>
            <w:r w:rsidRPr="00911D18">
              <w:rPr>
                <w:rFonts w:eastAsia="Times New Roman"/>
                <w:color w:val="000000"/>
                <w:sz w:val="16"/>
                <w:szCs w:val="16"/>
              </w:rPr>
              <w:t xml:space="preserve">     1,775 </w:t>
            </w:r>
          </w:p>
        </w:tc>
        <w:tc>
          <w:tcPr>
            <w:tcW w:w="860" w:type="dxa"/>
            <w:tcBorders>
              <w:top w:val="nil"/>
              <w:left w:val="nil"/>
              <w:bottom w:val="single" w:sz="4" w:space="0" w:color="auto"/>
              <w:right w:val="single" w:sz="4" w:space="0" w:color="auto"/>
            </w:tcBorders>
            <w:vAlign w:val="bottom"/>
            <w:hideMark/>
          </w:tcPr>
          <w:p w:rsidR="00756160" w:rsidRPr="00911D18" w14:paraId="24B3382C" w14:textId="77777777">
            <w:pPr>
              <w:autoSpaceDE/>
              <w:autoSpaceDN/>
              <w:jc w:val="right"/>
              <w:rPr>
                <w:rFonts w:eastAsia="Times New Roman"/>
                <w:color w:val="000000"/>
                <w:sz w:val="16"/>
                <w:szCs w:val="16"/>
              </w:rPr>
            </w:pPr>
            <w:r w:rsidRPr="00911D18">
              <w:rPr>
                <w:rFonts w:eastAsia="Times New Roman"/>
                <w:color w:val="000000"/>
                <w:sz w:val="16"/>
                <w:szCs w:val="16"/>
              </w:rPr>
              <w:t xml:space="preserve">$99,878 </w:t>
            </w:r>
          </w:p>
        </w:tc>
        <w:tc>
          <w:tcPr>
            <w:tcW w:w="920" w:type="dxa"/>
            <w:tcBorders>
              <w:top w:val="nil"/>
              <w:left w:val="nil"/>
              <w:bottom w:val="single" w:sz="4" w:space="0" w:color="auto"/>
              <w:right w:val="single" w:sz="4" w:space="0" w:color="auto"/>
            </w:tcBorders>
            <w:vAlign w:val="bottom"/>
            <w:hideMark/>
          </w:tcPr>
          <w:p w:rsidR="00756160" w:rsidRPr="00911D18" w14:paraId="0A7EA530" w14:textId="77777777">
            <w:pPr>
              <w:autoSpaceDE/>
              <w:autoSpaceDN/>
              <w:jc w:val="right"/>
              <w:rPr>
                <w:rFonts w:eastAsia="Times New Roman"/>
                <w:color w:val="000000"/>
                <w:sz w:val="16"/>
                <w:szCs w:val="16"/>
              </w:rPr>
            </w:pPr>
            <w:r w:rsidRPr="00911D18">
              <w:rPr>
                <w:rFonts w:eastAsia="Times New Roman"/>
                <w:color w:val="000000"/>
                <w:sz w:val="16"/>
                <w:szCs w:val="16"/>
              </w:rPr>
              <w:t xml:space="preserve">$99,878 </w:t>
            </w:r>
          </w:p>
        </w:tc>
      </w:tr>
      <w:tr w14:paraId="540B2EBF"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3D4E8602" w14:textId="77777777">
            <w:pPr>
              <w:autoSpaceDE/>
              <w:autoSpaceDN/>
              <w:jc w:val="right"/>
              <w:rPr>
                <w:rFonts w:eastAsia="Times New Roman"/>
                <w:b/>
                <w:bCs/>
                <w:color w:val="000000"/>
                <w:sz w:val="16"/>
                <w:szCs w:val="16"/>
              </w:rPr>
            </w:pPr>
            <w:r w:rsidRPr="00911D18">
              <w:rPr>
                <w:rFonts w:eastAsia="Times New Roman"/>
                <w:b/>
                <w:bCs/>
                <w:color w:val="000000"/>
                <w:sz w:val="16"/>
                <w:szCs w:val="16"/>
              </w:rPr>
              <w:t>Totals</w:t>
            </w:r>
          </w:p>
        </w:tc>
        <w:tc>
          <w:tcPr>
            <w:tcW w:w="1120" w:type="dxa"/>
            <w:tcBorders>
              <w:top w:val="nil"/>
              <w:left w:val="nil"/>
              <w:bottom w:val="single" w:sz="4" w:space="0" w:color="auto"/>
              <w:right w:val="single" w:sz="4" w:space="0" w:color="auto"/>
            </w:tcBorders>
            <w:noWrap/>
            <w:vAlign w:val="bottom"/>
            <w:hideMark/>
          </w:tcPr>
          <w:p w:rsidR="00756160" w:rsidRPr="00911D18" w14:paraId="0877D192" w14:textId="77777777">
            <w:pPr>
              <w:autoSpaceDE/>
              <w:autoSpaceDN/>
              <w:jc w:val="right"/>
              <w:rPr>
                <w:rFonts w:eastAsia="Times New Roman"/>
                <w:b/>
                <w:bCs/>
                <w:color w:val="000000"/>
                <w:sz w:val="16"/>
                <w:szCs w:val="16"/>
              </w:rPr>
            </w:pPr>
            <w:r w:rsidRPr="00911D18">
              <w:rPr>
                <w:rFonts w:eastAsia="Times New Roman"/>
                <w:b/>
                <w:bCs/>
                <w:color w:val="000000"/>
                <w:sz w:val="16"/>
                <w:szCs w:val="16"/>
              </w:rPr>
              <w:t>28</w:t>
            </w:r>
          </w:p>
        </w:tc>
        <w:tc>
          <w:tcPr>
            <w:tcW w:w="1140" w:type="dxa"/>
            <w:tcBorders>
              <w:top w:val="nil"/>
              <w:left w:val="nil"/>
              <w:bottom w:val="single" w:sz="4" w:space="0" w:color="auto"/>
              <w:right w:val="single" w:sz="4" w:space="0" w:color="auto"/>
            </w:tcBorders>
            <w:noWrap/>
            <w:vAlign w:val="bottom"/>
            <w:hideMark/>
          </w:tcPr>
          <w:p w:rsidR="00756160" w:rsidRPr="00911D18" w14:paraId="77AF9585" w14:textId="77777777">
            <w:pPr>
              <w:autoSpaceDE/>
              <w:autoSpaceDN/>
              <w:jc w:val="right"/>
              <w:rPr>
                <w:rFonts w:eastAsia="Times New Roman"/>
                <w:b/>
                <w:bCs/>
                <w:color w:val="000000"/>
                <w:sz w:val="16"/>
                <w:szCs w:val="16"/>
              </w:rPr>
            </w:pPr>
            <w:r w:rsidRPr="00911D18">
              <w:rPr>
                <w:rFonts w:eastAsia="Times New Roman"/>
                <w:b/>
                <w:bCs/>
                <w:color w:val="000000"/>
                <w:sz w:val="16"/>
                <w:szCs w:val="16"/>
              </w:rPr>
              <w:t>137</w:t>
            </w:r>
          </w:p>
        </w:tc>
        <w:tc>
          <w:tcPr>
            <w:tcW w:w="740" w:type="dxa"/>
            <w:tcBorders>
              <w:top w:val="nil"/>
              <w:left w:val="nil"/>
              <w:bottom w:val="single" w:sz="4" w:space="0" w:color="auto"/>
              <w:right w:val="single" w:sz="4" w:space="0" w:color="auto"/>
            </w:tcBorders>
            <w:noWrap/>
            <w:vAlign w:val="bottom"/>
            <w:hideMark/>
          </w:tcPr>
          <w:p w:rsidR="00756160" w:rsidRPr="00911D18" w14:paraId="2607F419" w14:textId="77777777">
            <w:pPr>
              <w:autoSpaceDE/>
              <w:autoSpaceDN/>
              <w:rPr>
                <w:rFonts w:eastAsia="Times New Roman"/>
                <w:b/>
                <w:bCs/>
                <w:color w:val="000000"/>
                <w:sz w:val="16"/>
                <w:szCs w:val="16"/>
              </w:rPr>
            </w:pPr>
            <w:r w:rsidRPr="00911D18">
              <w:rPr>
                <w:rFonts w:eastAsia="Times New Roman"/>
                <w:b/>
                <w:bCs/>
                <w:color w:val="000000"/>
                <w:sz w:val="16"/>
                <w:szCs w:val="16"/>
              </w:rPr>
              <w:t xml:space="preserve">   25,071 </w:t>
            </w:r>
          </w:p>
        </w:tc>
        <w:tc>
          <w:tcPr>
            <w:tcW w:w="920" w:type="dxa"/>
            <w:tcBorders>
              <w:top w:val="nil"/>
              <w:left w:val="nil"/>
              <w:bottom w:val="single" w:sz="4" w:space="0" w:color="auto"/>
              <w:right w:val="single" w:sz="4" w:space="0" w:color="auto"/>
            </w:tcBorders>
            <w:vAlign w:val="bottom"/>
            <w:hideMark/>
          </w:tcPr>
          <w:p w:rsidR="00756160" w:rsidRPr="00911D18" w14:paraId="1A2C2266" w14:textId="77777777">
            <w:pPr>
              <w:autoSpaceDE/>
              <w:autoSpaceDN/>
              <w:jc w:val="right"/>
              <w:rPr>
                <w:rFonts w:eastAsia="Times New Roman"/>
                <w:color w:val="000000"/>
                <w:sz w:val="16"/>
                <w:szCs w:val="16"/>
              </w:rPr>
            </w:pPr>
            <w:r w:rsidRPr="00911D18">
              <w:rPr>
                <w:rFonts w:eastAsia="Times New Roman"/>
                <w:color w:val="000000"/>
                <w:sz w:val="16"/>
                <w:szCs w:val="16"/>
              </w:rPr>
              <w:t> </w:t>
            </w:r>
          </w:p>
        </w:tc>
        <w:tc>
          <w:tcPr>
            <w:tcW w:w="740" w:type="dxa"/>
            <w:tcBorders>
              <w:top w:val="nil"/>
              <w:left w:val="nil"/>
              <w:bottom w:val="single" w:sz="4" w:space="0" w:color="auto"/>
              <w:right w:val="single" w:sz="4" w:space="0" w:color="auto"/>
            </w:tcBorders>
            <w:noWrap/>
            <w:vAlign w:val="bottom"/>
            <w:hideMark/>
          </w:tcPr>
          <w:p w:rsidR="00756160" w:rsidRPr="00911D18" w14:paraId="2A306930" w14:textId="77777777">
            <w:pPr>
              <w:autoSpaceDE/>
              <w:autoSpaceDN/>
              <w:rPr>
                <w:rFonts w:eastAsia="Times New Roman"/>
                <w:b/>
                <w:bCs/>
                <w:color w:val="000000"/>
                <w:sz w:val="16"/>
                <w:szCs w:val="16"/>
              </w:rPr>
            </w:pPr>
            <w:r w:rsidRPr="00911D18">
              <w:rPr>
                <w:rFonts w:eastAsia="Times New Roman"/>
                <w:b/>
                <w:bCs/>
                <w:color w:val="000000"/>
                <w:sz w:val="16"/>
                <w:szCs w:val="16"/>
              </w:rPr>
              <w:t xml:space="preserve">   11,051 </w:t>
            </w:r>
          </w:p>
        </w:tc>
        <w:tc>
          <w:tcPr>
            <w:tcW w:w="860" w:type="dxa"/>
            <w:tcBorders>
              <w:top w:val="nil"/>
              <w:left w:val="nil"/>
              <w:bottom w:val="single" w:sz="4" w:space="0" w:color="auto"/>
              <w:right w:val="single" w:sz="4" w:space="0" w:color="auto"/>
            </w:tcBorders>
            <w:vAlign w:val="bottom"/>
            <w:hideMark/>
          </w:tcPr>
          <w:p w:rsidR="00756160" w:rsidRPr="00911D18" w14:paraId="1E4030E1" w14:textId="77777777">
            <w:pPr>
              <w:autoSpaceDE/>
              <w:autoSpaceDN/>
              <w:jc w:val="right"/>
              <w:rPr>
                <w:rFonts w:eastAsia="Times New Roman"/>
                <w:color w:val="000000"/>
                <w:sz w:val="16"/>
                <w:szCs w:val="16"/>
              </w:rPr>
            </w:pPr>
            <w:r w:rsidRPr="00911D18">
              <w:rPr>
                <w:rFonts w:eastAsia="Times New Roman"/>
                <w:color w:val="000000"/>
                <w:sz w:val="16"/>
                <w:szCs w:val="16"/>
              </w:rPr>
              <w:t> </w:t>
            </w:r>
          </w:p>
        </w:tc>
        <w:tc>
          <w:tcPr>
            <w:tcW w:w="920" w:type="dxa"/>
            <w:tcBorders>
              <w:top w:val="nil"/>
              <w:left w:val="nil"/>
              <w:bottom w:val="single" w:sz="4" w:space="0" w:color="auto"/>
              <w:right w:val="single" w:sz="4" w:space="0" w:color="auto"/>
            </w:tcBorders>
            <w:vAlign w:val="bottom"/>
            <w:hideMark/>
          </w:tcPr>
          <w:p w:rsidR="00756160" w:rsidRPr="00911D18" w14:paraId="1F9FE46F" w14:textId="77777777">
            <w:pPr>
              <w:autoSpaceDE/>
              <w:autoSpaceDN/>
              <w:jc w:val="right"/>
              <w:rPr>
                <w:rFonts w:eastAsia="Times New Roman"/>
                <w:color w:val="000000"/>
                <w:sz w:val="16"/>
                <w:szCs w:val="16"/>
              </w:rPr>
            </w:pPr>
            <w:r w:rsidRPr="00911D18">
              <w:rPr>
                <w:rFonts w:eastAsia="Times New Roman"/>
                <w:color w:val="000000"/>
                <w:sz w:val="16"/>
                <w:szCs w:val="16"/>
              </w:rPr>
              <w:t> </w:t>
            </w:r>
          </w:p>
        </w:tc>
      </w:tr>
      <w:tr w14:paraId="4FE3970A"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4C0D269C"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20" w:type="dxa"/>
            <w:tcBorders>
              <w:top w:val="nil"/>
              <w:left w:val="nil"/>
              <w:bottom w:val="single" w:sz="4" w:space="0" w:color="auto"/>
              <w:right w:val="single" w:sz="4" w:space="0" w:color="auto"/>
            </w:tcBorders>
            <w:noWrap/>
            <w:vAlign w:val="bottom"/>
            <w:hideMark/>
          </w:tcPr>
          <w:p w:rsidR="00756160" w:rsidRPr="00911D18" w14:paraId="2F8F049E"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40" w:type="dxa"/>
            <w:tcBorders>
              <w:top w:val="nil"/>
              <w:left w:val="nil"/>
              <w:bottom w:val="single" w:sz="4" w:space="0" w:color="auto"/>
              <w:right w:val="single" w:sz="4" w:space="0" w:color="auto"/>
            </w:tcBorders>
            <w:shd w:val="clear" w:color="000000" w:fill="FFFFFF"/>
            <w:vAlign w:val="center"/>
            <w:hideMark/>
          </w:tcPr>
          <w:p w:rsidR="00756160" w:rsidRPr="00911D18" w14:paraId="1CB0E1FD" w14:textId="77777777">
            <w:pPr>
              <w:autoSpaceDE/>
              <w:autoSpaceDN/>
              <w:jc w:val="right"/>
              <w:rPr>
                <w:rFonts w:eastAsia="Times New Roman"/>
                <w:b/>
                <w:bCs/>
                <w:sz w:val="16"/>
                <w:szCs w:val="16"/>
              </w:rPr>
            </w:pPr>
            <w:r w:rsidRPr="00911D18">
              <w:rPr>
                <w:rFonts w:eastAsia="Times New Roman"/>
                <w:b/>
                <w:bCs/>
                <w:sz w:val="16"/>
                <w:szCs w:val="16"/>
              </w:rPr>
              <w:t>7% NPV</w:t>
            </w:r>
          </w:p>
        </w:tc>
        <w:tc>
          <w:tcPr>
            <w:tcW w:w="740" w:type="dxa"/>
            <w:tcBorders>
              <w:top w:val="nil"/>
              <w:left w:val="nil"/>
              <w:bottom w:val="single" w:sz="4" w:space="0" w:color="auto"/>
              <w:right w:val="single" w:sz="4" w:space="0" w:color="auto"/>
            </w:tcBorders>
            <w:noWrap/>
            <w:vAlign w:val="bottom"/>
            <w:hideMark/>
          </w:tcPr>
          <w:p w:rsidR="00756160" w:rsidRPr="00911D18" w14:paraId="48DA706A" w14:textId="77777777">
            <w:pPr>
              <w:autoSpaceDE/>
              <w:autoSpaceDN/>
              <w:rPr>
                <w:rFonts w:eastAsia="Times New Roman"/>
                <w:color w:val="000000"/>
                <w:sz w:val="16"/>
                <w:szCs w:val="16"/>
              </w:rPr>
            </w:pPr>
            <w:r w:rsidRPr="00911D18">
              <w:rPr>
                <w:rFonts w:eastAsia="Times New Roman"/>
                <w:color w:val="000000"/>
                <w:sz w:val="16"/>
                <w:szCs w:val="16"/>
              </w:rPr>
              <w:t> </w:t>
            </w:r>
          </w:p>
        </w:tc>
        <w:tc>
          <w:tcPr>
            <w:tcW w:w="920" w:type="dxa"/>
            <w:tcBorders>
              <w:top w:val="nil"/>
              <w:left w:val="nil"/>
              <w:bottom w:val="single" w:sz="4" w:space="0" w:color="auto"/>
              <w:right w:val="single" w:sz="4" w:space="0" w:color="auto"/>
            </w:tcBorders>
            <w:noWrap/>
            <w:vAlign w:val="bottom"/>
            <w:hideMark/>
          </w:tcPr>
          <w:p w:rsidR="00756160" w:rsidRPr="00911D18" w14:paraId="7F17739D" w14:textId="77777777">
            <w:pPr>
              <w:autoSpaceDE/>
              <w:autoSpaceDN/>
              <w:jc w:val="right"/>
              <w:rPr>
                <w:rFonts w:eastAsia="Times New Roman"/>
                <w:b/>
                <w:bCs/>
                <w:color w:val="000000"/>
                <w:sz w:val="16"/>
                <w:szCs w:val="16"/>
              </w:rPr>
            </w:pPr>
            <w:r w:rsidRPr="00911D18">
              <w:rPr>
                <w:rFonts w:eastAsia="Times New Roman"/>
                <w:b/>
                <w:bCs/>
                <w:color w:val="000000"/>
                <w:sz w:val="16"/>
                <w:szCs w:val="16"/>
              </w:rPr>
              <w:t>($543,945)</w:t>
            </w:r>
          </w:p>
        </w:tc>
        <w:tc>
          <w:tcPr>
            <w:tcW w:w="740" w:type="dxa"/>
            <w:tcBorders>
              <w:top w:val="nil"/>
              <w:left w:val="nil"/>
              <w:bottom w:val="single" w:sz="4" w:space="0" w:color="auto"/>
              <w:right w:val="single" w:sz="4" w:space="0" w:color="auto"/>
            </w:tcBorders>
            <w:noWrap/>
            <w:vAlign w:val="bottom"/>
            <w:hideMark/>
          </w:tcPr>
          <w:p w:rsidR="00756160" w:rsidRPr="00911D18" w14:paraId="41BB3776" w14:textId="77777777">
            <w:pPr>
              <w:autoSpaceDE/>
              <w:autoSpaceDN/>
              <w:rPr>
                <w:rFonts w:eastAsia="Times New Roman"/>
                <w:b/>
                <w:bCs/>
                <w:color w:val="000000"/>
                <w:sz w:val="16"/>
                <w:szCs w:val="16"/>
              </w:rPr>
            </w:pPr>
            <w:r w:rsidRPr="00911D18">
              <w:rPr>
                <w:rFonts w:eastAsia="Times New Roman"/>
                <w:b/>
                <w:bCs/>
                <w:color w:val="000000"/>
                <w:sz w:val="16"/>
                <w:szCs w:val="16"/>
              </w:rPr>
              <w:t> </w:t>
            </w:r>
          </w:p>
        </w:tc>
        <w:tc>
          <w:tcPr>
            <w:tcW w:w="860" w:type="dxa"/>
            <w:tcBorders>
              <w:top w:val="nil"/>
              <w:left w:val="nil"/>
              <w:bottom w:val="single" w:sz="4" w:space="0" w:color="auto"/>
              <w:right w:val="single" w:sz="4" w:space="0" w:color="auto"/>
            </w:tcBorders>
            <w:vAlign w:val="bottom"/>
            <w:hideMark/>
          </w:tcPr>
          <w:p w:rsidR="00756160" w:rsidRPr="00911D18" w14:paraId="464B7339" w14:textId="77777777">
            <w:pPr>
              <w:autoSpaceDE/>
              <w:autoSpaceDN/>
              <w:jc w:val="right"/>
              <w:rPr>
                <w:rFonts w:eastAsia="Times New Roman"/>
                <w:b/>
                <w:bCs/>
                <w:color w:val="000000"/>
                <w:sz w:val="16"/>
                <w:szCs w:val="16"/>
              </w:rPr>
            </w:pPr>
            <w:r w:rsidRPr="00911D18">
              <w:rPr>
                <w:rFonts w:eastAsia="Times New Roman"/>
                <w:b/>
                <w:bCs/>
                <w:color w:val="000000"/>
                <w:sz w:val="16"/>
                <w:szCs w:val="16"/>
              </w:rPr>
              <w:t xml:space="preserve">$177,396 </w:t>
            </w:r>
          </w:p>
        </w:tc>
        <w:tc>
          <w:tcPr>
            <w:tcW w:w="920" w:type="dxa"/>
            <w:tcBorders>
              <w:top w:val="nil"/>
              <w:left w:val="nil"/>
              <w:bottom w:val="single" w:sz="4" w:space="0" w:color="auto"/>
              <w:right w:val="single" w:sz="4" w:space="0" w:color="auto"/>
            </w:tcBorders>
            <w:vAlign w:val="bottom"/>
            <w:hideMark/>
          </w:tcPr>
          <w:p w:rsidR="00756160" w:rsidRPr="00911D18" w14:paraId="579024E0" w14:textId="77777777">
            <w:pPr>
              <w:autoSpaceDE/>
              <w:autoSpaceDN/>
              <w:jc w:val="right"/>
              <w:rPr>
                <w:rFonts w:eastAsia="Times New Roman"/>
                <w:b/>
                <w:bCs/>
                <w:color w:val="000000"/>
                <w:sz w:val="16"/>
                <w:szCs w:val="16"/>
              </w:rPr>
            </w:pPr>
            <w:r w:rsidRPr="00911D18">
              <w:rPr>
                <w:rFonts w:eastAsia="Times New Roman"/>
                <w:b/>
                <w:bCs/>
                <w:color w:val="000000"/>
                <w:sz w:val="16"/>
                <w:szCs w:val="16"/>
              </w:rPr>
              <w:t>($366,548)</w:t>
            </w:r>
          </w:p>
        </w:tc>
      </w:tr>
      <w:tr w14:paraId="7F2D9F85" w14:textId="77777777">
        <w:tblPrEx>
          <w:tblW w:w="9360" w:type="dxa"/>
          <w:tblLook w:val="04A0"/>
        </w:tblPrEx>
        <w:trPr>
          <w:trHeight w:val="280"/>
        </w:trPr>
        <w:tc>
          <w:tcPr>
            <w:tcW w:w="760" w:type="dxa"/>
            <w:tcBorders>
              <w:top w:val="nil"/>
              <w:left w:val="single" w:sz="4" w:space="0" w:color="auto"/>
              <w:bottom w:val="single" w:sz="4" w:space="0" w:color="auto"/>
              <w:right w:val="single" w:sz="4" w:space="0" w:color="auto"/>
            </w:tcBorders>
            <w:noWrap/>
            <w:vAlign w:val="bottom"/>
            <w:hideMark/>
          </w:tcPr>
          <w:p w:rsidR="00756160" w:rsidRPr="00911D18" w14:paraId="69264986"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20" w:type="dxa"/>
            <w:tcBorders>
              <w:top w:val="nil"/>
              <w:left w:val="nil"/>
              <w:bottom w:val="single" w:sz="4" w:space="0" w:color="auto"/>
              <w:right w:val="single" w:sz="4" w:space="0" w:color="auto"/>
            </w:tcBorders>
            <w:noWrap/>
            <w:vAlign w:val="bottom"/>
            <w:hideMark/>
          </w:tcPr>
          <w:p w:rsidR="00756160" w:rsidRPr="00911D18" w14:paraId="7CDF9349" w14:textId="77777777">
            <w:pPr>
              <w:autoSpaceDE/>
              <w:autoSpaceDN/>
              <w:rPr>
                <w:rFonts w:eastAsia="Times New Roman"/>
                <w:color w:val="000000"/>
                <w:sz w:val="16"/>
                <w:szCs w:val="16"/>
              </w:rPr>
            </w:pPr>
            <w:r w:rsidRPr="00911D18">
              <w:rPr>
                <w:rFonts w:eastAsia="Times New Roman"/>
                <w:color w:val="000000"/>
                <w:sz w:val="16"/>
                <w:szCs w:val="16"/>
              </w:rPr>
              <w:t> </w:t>
            </w:r>
          </w:p>
        </w:tc>
        <w:tc>
          <w:tcPr>
            <w:tcW w:w="1140" w:type="dxa"/>
            <w:tcBorders>
              <w:top w:val="nil"/>
              <w:left w:val="nil"/>
              <w:bottom w:val="single" w:sz="4" w:space="0" w:color="auto"/>
              <w:right w:val="single" w:sz="4" w:space="0" w:color="auto"/>
            </w:tcBorders>
            <w:shd w:val="clear" w:color="000000" w:fill="FFFFFF"/>
            <w:vAlign w:val="center"/>
            <w:hideMark/>
          </w:tcPr>
          <w:p w:rsidR="00756160" w:rsidRPr="00911D18" w14:paraId="28225028" w14:textId="77777777">
            <w:pPr>
              <w:autoSpaceDE/>
              <w:autoSpaceDN/>
              <w:jc w:val="right"/>
              <w:rPr>
                <w:rFonts w:eastAsia="Times New Roman"/>
                <w:b/>
                <w:bCs/>
                <w:sz w:val="16"/>
                <w:szCs w:val="16"/>
              </w:rPr>
            </w:pPr>
            <w:r w:rsidRPr="00911D18">
              <w:rPr>
                <w:rFonts w:eastAsia="Times New Roman"/>
                <w:b/>
                <w:bCs/>
                <w:sz w:val="16"/>
                <w:szCs w:val="16"/>
              </w:rPr>
              <w:t>3% NPV</w:t>
            </w:r>
          </w:p>
        </w:tc>
        <w:tc>
          <w:tcPr>
            <w:tcW w:w="740" w:type="dxa"/>
            <w:tcBorders>
              <w:top w:val="nil"/>
              <w:left w:val="nil"/>
              <w:bottom w:val="single" w:sz="4" w:space="0" w:color="auto"/>
              <w:right w:val="single" w:sz="4" w:space="0" w:color="auto"/>
            </w:tcBorders>
            <w:noWrap/>
            <w:vAlign w:val="bottom"/>
            <w:hideMark/>
          </w:tcPr>
          <w:p w:rsidR="00756160" w:rsidRPr="00911D18" w14:paraId="4769D317" w14:textId="77777777">
            <w:pPr>
              <w:autoSpaceDE/>
              <w:autoSpaceDN/>
              <w:rPr>
                <w:rFonts w:eastAsia="Times New Roman"/>
                <w:color w:val="000000"/>
                <w:sz w:val="16"/>
                <w:szCs w:val="16"/>
              </w:rPr>
            </w:pPr>
            <w:r w:rsidRPr="00911D18">
              <w:rPr>
                <w:rFonts w:eastAsia="Times New Roman"/>
                <w:color w:val="000000"/>
                <w:sz w:val="16"/>
                <w:szCs w:val="16"/>
              </w:rPr>
              <w:t> </w:t>
            </w:r>
          </w:p>
        </w:tc>
        <w:tc>
          <w:tcPr>
            <w:tcW w:w="920" w:type="dxa"/>
            <w:tcBorders>
              <w:top w:val="nil"/>
              <w:left w:val="nil"/>
              <w:bottom w:val="single" w:sz="4" w:space="0" w:color="auto"/>
              <w:right w:val="single" w:sz="4" w:space="0" w:color="auto"/>
            </w:tcBorders>
            <w:noWrap/>
            <w:vAlign w:val="bottom"/>
            <w:hideMark/>
          </w:tcPr>
          <w:p w:rsidR="00756160" w:rsidRPr="00911D18" w14:paraId="41D3FAEA" w14:textId="77777777">
            <w:pPr>
              <w:autoSpaceDE/>
              <w:autoSpaceDN/>
              <w:jc w:val="right"/>
              <w:rPr>
                <w:rFonts w:eastAsia="Times New Roman"/>
                <w:b/>
                <w:bCs/>
                <w:color w:val="000000"/>
                <w:sz w:val="16"/>
                <w:szCs w:val="16"/>
              </w:rPr>
            </w:pPr>
            <w:r w:rsidRPr="00911D18">
              <w:rPr>
                <w:rFonts w:eastAsia="Times New Roman"/>
                <w:b/>
                <w:bCs/>
                <w:color w:val="000000"/>
                <w:sz w:val="16"/>
                <w:szCs w:val="16"/>
              </w:rPr>
              <w:t>($918,932)</w:t>
            </w:r>
          </w:p>
        </w:tc>
        <w:tc>
          <w:tcPr>
            <w:tcW w:w="740" w:type="dxa"/>
            <w:tcBorders>
              <w:top w:val="nil"/>
              <w:left w:val="nil"/>
              <w:bottom w:val="single" w:sz="4" w:space="0" w:color="auto"/>
              <w:right w:val="single" w:sz="4" w:space="0" w:color="auto"/>
            </w:tcBorders>
            <w:noWrap/>
            <w:vAlign w:val="bottom"/>
            <w:hideMark/>
          </w:tcPr>
          <w:p w:rsidR="00756160" w:rsidRPr="00911D18" w14:paraId="7C4DA983" w14:textId="77777777">
            <w:pPr>
              <w:autoSpaceDE/>
              <w:autoSpaceDN/>
              <w:rPr>
                <w:rFonts w:eastAsia="Times New Roman"/>
                <w:b/>
                <w:bCs/>
                <w:color w:val="000000"/>
                <w:sz w:val="16"/>
                <w:szCs w:val="16"/>
              </w:rPr>
            </w:pPr>
            <w:r w:rsidRPr="00911D18">
              <w:rPr>
                <w:rFonts w:eastAsia="Times New Roman"/>
                <w:b/>
                <w:bCs/>
                <w:color w:val="000000"/>
                <w:sz w:val="16"/>
                <w:szCs w:val="16"/>
              </w:rPr>
              <w:t> </w:t>
            </w:r>
          </w:p>
        </w:tc>
        <w:tc>
          <w:tcPr>
            <w:tcW w:w="860" w:type="dxa"/>
            <w:tcBorders>
              <w:top w:val="nil"/>
              <w:left w:val="nil"/>
              <w:bottom w:val="single" w:sz="4" w:space="0" w:color="auto"/>
              <w:right w:val="single" w:sz="4" w:space="0" w:color="auto"/>
            </w:tcBorders>
            <w:vAlign w:val="bottom"/>
            <w:hideMark/>
          </w:tcPr>
          <w:p w:rsidR="00756160" w:rsidRPr="00911D18" w14:paraId="4A6D03DF" w14:textId="77777777">
            <w:pPr>
              <w:autoSpaceDE/>
              <w:autoSpaceDN/>
              <w:jc w:val="right"/>
              <w:rPr>
                <w:rFonts w:eastAsia="Times New Roman"/>
                <w:b/>
                <w:bCs/>
                <w:color w:val="000000"/>
                <w:sz w:val="16"/>
                <w:szCs w:val="16"/>
              </w:rPr>
            </w:pPr>
            <w:r w:rsidRPr="00911D18">
              <w:rPr>
                <w:rFonts w:eastAsia="Times New Roman"/>
                <w:b/>
                <w:bCs/>
                <w:color w:val="000000"/>
                <w:sz w:val="16"/>
                <w:szCs w:val="16"/>
              </w:rPr>
              <w:t xml:space="preserve">$356,254 </w:t>
            </w:r>
          </w:p>
        </w:tc>
        <w:tc>
          <w:tcPr>
            <w:tcW w:w="920" w:type="dxa"/>
            <w:tcBorders>
              <w:top w:val="nil"/>
              <w:left w:val="nil"/>
              <w:bottom w:val="single" w:sz="4" w:space="0" w:color="auto"/>
              <w:right w:val="single" w:sz="4" w:space="0" w:color="auto"/>
            </w:tcBorders>
            <w:vAlign w:val="bottom"/>
            <w:hideMark/>
          </w:tcPr>
          <w:p w:rsidR="00756160" w:rsidRPr="00911D18" w14:paraId="533A5076" w14:textId="77777777">
            <w:pPr>
              <w:autoSpaceDE/>
              <w:autoSpaceDN/>
              <w:jc w:val="right"/>
              <w:rPr>
                <w:rFonts w:eastAsia="Times New Roman"/>
                <w:b/>
                <w:bCs/>
                <w:color w:val="000000"/>
                <w:sz w:val="16"/>
                <w:szCs w:val="16"/>
              </w:rPr>
            </w:pPr>
            <w:r w:rsidRPr="00911D18">
              <w:rPr>
                <w:rFonts w:eastAsia="Times New Roman"/>
                <w:b/>
                <w:bCs/>
                <w:color w:val="000000"/>
                <w:sz w:val="16"/>
                <w:szCs w:val="16"/>
              </w:rPr>
              <w:t>($562,678)</w:t>
            </w:r>
          </w:p>
        </w:tc>
      </w:tr>
    </w:tbl>
    <w:p w:rsidR="00756160" w:rsidRPr="008F486F" w:rsidP="00756160" w14:paraId="144DBDA9" w14:textId="77777777">
      <w:pPr>
        <w:pStyle w:val="BodyText"/>
      </w:pPr>
    </w:p>
    <w:p w:rsidR="00756160" w:rsidRPr="008F486F" w:rsidP="00756160" w14:paraId="0571B81E" w14:textId="401DA0ED">
      <w:pPr>
        <w:pStyle w:val="BodyText"/>
        <w:keepNext/>
        <w:keepLines/>
      </w:pPr>
      <w:r w:rsidRPr="008F486F">
        <w:t>For Alternative 3, the NRC projects the cost for all Agreement States to be $</w:t>
      </w:r>
      <w:r>
        <w:t>105,000</w:t>
      </w:r>
      <w:r w:rsidRPr="008F486F">
        <w:t xml:space="preserve"> at the 7 percent discount rate ($</w:t>
      </w:r>
      <w:r>
        <w:t>178,000</w:t>
      </w:r>
      <w:r w:rsidRPr="008F486F">
        <w:t xml:space="preserve"> at 3 percent) as shown in Table</w:t>
      </w:r>
      <w:r>
        <w:t> </w:t>
      </w:r>
      <w:r w:rsidRPr="008F486F">
        <w:t xml:space="preserve">7. When an Agreement State undertakes development of new guidance, the NRC estimates the labor effort for each </w:t>
      </w:r>
      <w:r w:rsidR="00D12307">
        <w:t>S</w:t>
      </w:r>
      <w:r w:rsidRPr="008F486F">
        <w:t>tate to be 173 hours. Thus, at a labor rate of $56 per hour, each Agreement State expends $9,7</w:t>
      </w:r>
      <w:r>
        <w:t>00</w:t>
      </w:r>
      <w:r w:rsidRPr="008F486F">
        <w:t xml:space="preserve"> for guidance development.</w:t>
      </w:r>
    </w:p>
    <w:p w:rsidR="00756160" w:rsidRPr="008F486F" w:rsidP="00756160" w14:paraId="76B10174" w14:textId="77777777">
      <w:pPr>
        <w:pStyle w:val="BodyText"/>
        <w:keepNext/>
        <w:keepLines/>
        <w:widowControl w:val="0"/>
      </w:pPr>
    </w:p>
    <w:p w:rsidR="00756160" w:rsidRPr="008F486F" w:rsidP="00756160" w14:paraId="7F91C5EF" w14:textId="77777777">
      <w:pPr>
        <w:pStyle w:val="TableHeading"/>
        <w:keepLines/>
      </w:pPr>
      <w:bookmarkStart w:id="118" w:name="_Toc222796257"/>
      <w:r w:rsidRPr="008F486F">
        <w:t xml:space="preserve">Table 7 </w:t>
      </w:r>
      <w:r w:rsidR="00B80CCF">
        <w:fldChar w:fldCharType="begin"/>
      </w:r>
      <w:r w:rsidR="00B80CCF">
        <w:instrText xml:space="preserve"> SEQ Table \* ARABIC </w:instrText>
      </w:r>
      <w:r w:rsidR="00B80CCF">
        <w:fldChar w:fldCharType="separate"/>
      </w:r>
      <w:r w:rsidR="00B80CCF">
        <w:fldChar w:fldCharType="end"/>
      </w:r>
      <w:r w:rsidRPr="008F486F">
        <w:t xml:space="preserve">  Agreement State Costs and Benefits for Alternative 3</w:t>
      </w:r>
      <w:bookmarkEnd w:id="118"/>
    </w:p>
    <w:tbl>
      <w:tblPr>
        <w:tblW w:w="9360" w:type="dxa"/>
        <w:tblLook w:val="04A0"/>
      </w:tblPr>
      <w:tblGrid>
        <w:gridCol w:w="883"/>
        <w:gridCol w:w="1421"/>
        <w:gridCol w:w="1442"/>
        <w:gridCol w:w="1053"/>
        <w:gridCol w:w="1249"/>
        <w:gridCol w:w="1004"/>
        <w:gridCol w:w="1083"/>
        <w:gridCol w:w="1225"/>
      </w:tblGrid>
      <w:tr w14:paraId="0FF433A4" w14:textId="77777777">
        <w:tblPrEx>
          <w:tblW w:w="9360" w:type="dxa"/>
          <w:tblLook w:val="04A0"/>
        </w:tblPrEx>
        <w:trPr>
          <w:trHeight w:val="134"/>
        </w:trPr>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747200" w14:paraId="16635956" w14:textId="77777777">
            <w:pPr>
              <w:keepNext/>
              <w:keepLines/>
              <w:autoSpaceDE/>
              <w:autoSpaceDN/>
              <w:jc w:val="center"/>
              <w:rPr>
                <w:rFonts w:eastAsia="Times New Roman"/>
                <w:b/>
                <w:bCs/>
                <w:sz w:val="16"/>
                <w:szCs w:val="16"/>
              </w:rPr>
            </w:pPr>
            <w:r w:rsidRPr="00747200">
              <w:rPr>
                <w:rFonts w:eastAsia="Times New Roman"/>
                <w:b/>
                <w:bCs/>
                <w:sz w:val="16"/>
                <w:szCs w:val="16"/>
              </w:rPr>
              <w:t>Year</w:t>
            </w:r>
          </w:p>
        </w:tc>
        <w:tc>
          <w:tcPr>
            <w:tcW w:w="228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56160" w:rsidRPr="00747200" w14:paraId="7C67074A" w14:textId="77777777">
            <w:pPr>
              <w:keepNext/>
              <w:keepLines/>
              <w:autoSpaceDE/>
              <w:autoSpaceDN/>
              <w:jc w:val="center"/>
              <w:rPr>
                <w:rFonts w:eastAsia="Times New Roman"/>
                <w:b/>
                <w:bCs/>
                <w:sz w:val="16"/>
                <w:szCs w:val="16"/>
              </w:rPr>
            </w:pPr>
            <w:r w:rsidRPr="00747200">
              <w:rPr>
                <w:rFonts w:eastAsia="Times New Roman"/>
                <w:b/>
                <w:bCs/>
                <w:sz w:val="16"/>
                <w:szCs w:val="16"/>
              </w:rPr>
              <w:t>Agreement State</w:t>
            </w:r>
          </w:p>
        </w:tc>
        <w:tc>
          <w:tcPr>
            <w:tcW w:w="1880" w:type="dxa"/>
            <w:gridSpan w:val="2"/>
            <w:tcBorders>
              <w:top w:val="single" w:sz="4" w:space="0" w:color="auto"/>
              <w:left w:val="nil"/>
              <w:bottom w:val="single" w:sz="4" w:space="0" w:color="auto"/>
              <w:right w:val="single" w:sz="4" w:space="0" w:color="auto"/>
            </w:tcBorders>
            <w:vAlign w:val="bottom"/>
            <w:hideMark/>
          </w:tcPr>
          <w:p w:rsidR="00756160" w:rsidRPr="00747200" w14:paraId="178F93ED"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Implementation Costs</w:t>
            </w:r>
          </w:p>
        </w:tc>
        <w:tc>
          <w:tcPr>
            <w:tcW w:w="1620" w:type="dxa"/>
            <w:gridSpan w:val="2"/>
            <w:tcBorders>
              <w:top w:val="single" w:sz="4" w:space="0" w:color="auto"/>
              <w:left w:val="nil"/>
              <w:bottom w:val="single" w:sz="4" w:space="0" w:color="auto"/>
              <w:right w:val="single" w:sz="4" w:space="0" w:color="auto"/>
            </w:tcBorders>
            <w:noWrap/>
            <w:vAlign w:val="bottom"/>
            <w:hideMark/>
          </w:tcPr>
          <w:p w:rsidR="00756160" w:rsidRPr="00747200" w14:paraId="7A2AB041"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Operational Costs</w:t>
            </w:r>
          </w:p>
        </w:tc>
        <w:tc>
          <w:tcPr>
            <w:tcW w:w="1000" w:type="dxa"/>
            <w:vMerge w:val="restart"/>
            <w:tcBorders>
              <w:top w:val="single" w:sz="4" w:space="0" w:color="auto"/>
              <w:left w:val="single" w:sz="4" w:space="0" w:color="auto"/>
              <w:bottom w:val="single" w:sz="4" w:space="0" w:color="auto"/>
              <w:right w:val="single" w:sz="4" w:space="0" w:color="auto"/>
            </w:tcBorders>
            <w:vAlign w:val="bottom"/>
            <w:hideMark/>
          </w:tcPr>
          <w:p w:rsidR="00756160" w:rsidRPr="00747200" w14:paraId="52B8A08D"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Net Benefit (Cost) Total</w:t>
            </w:r>
          </w:p>
        </w:tc>
      </w:tr>
      <w:tr w14:paraId="128CDF79" w14:textId="77777777">
        <w:tblPrEx>
          <w:tblW w:w="9360" w:type="dxa"/>
          <w:tblLook w:val="04A0"/>
        </w:tblPrEx>
        <w:trPr>
          <w:trHeight w:val="26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266DDC11" w14:textId="77777777">
            <w:pPr>
              <w:keepNext/>
              <w:keepLines/>
              <w:autoSpaceDE/>
              <w:autoSpaceDN/>
              <w:rPr>
                <w:rFonts w:eastAsia="Times New Roman"/>
                <w:b/>
                <w:bCs/>
                <w:sz w:val="16"/>
                <w:szCs w:val="16"/>
              </w:rPr>
            </w:pPr>
          </w:p>
        </w:tc>
        <w:tc>
          <w:tcPr>
            <w:tcW w:w="2280" w:type="dxa"/>
            <w:gridSpan w:val="2"/>
            <w:vMerge/>
            <w:tcBorders>
              <w:top w:val="single" w:sz="4" w:space="0" w:color="auto"/>
              <w:left w:val="single" w:sz="4" w:space="0" w:color="auto"/>
              <w:bottom w:val="single" w:sz="4" w:space="0" w:color="auto"/>
              <w:right w:val="single" w:sz="4" w:space="0" w:color="auto"/>
            </w:tcBorders>
            <w:vAlign w:val="center"/>
            <w:hideMark/>
          </w:tcPr>
          <w:p w:rsidR="00756160" w:rsidRPr="00747200" w14:paraId="5FA04892" w14:textId="77777777">
            <w:pPr>
              <w:keepNext/>
              <w:keepLines/>
              <w:autoSpaceDE/>
              <w:autoSpaceDN/>
              <w:rPr>
                <w:rFonts w:eastAsia="Times New Roman"/>
                <w:b/>
                <w:bCs/>
                <w:sz w:val="16"/>
                <w:szCs w:val="16"/>
              </w:rPr>
            </w:pPr>
          </w:p>
        </w:tc>
        <w:tc>
          <w:tcPr>
            <w:tcW w:w="1880" w:type="dxa"/>
            <w:gridSpan w:val="2"/>
            <w:tcBorders>
              <w:top w:val="single" w:sz="4" w:space="0" w:color="auto"/>
              <w:left w:val="nil"/>
              <w:bottom w:val="single" w:sz="4" w:space="0" w:color="auto"/>
              <w:right w:val="single" w:sz="4" w:space="0" w:color="auto"/>
            </w:tcBorders>
            <w:vAlign w:val="bottom"/>
            <w:hideMark/>
          </w:tcPr>
          <w:p w:rsidR="00756160" w:rsidRPr="00747200" w14:paraId="230D056C"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Prepare and issue guidance</w:t>
            </w:r>
          </w:p>
        </w:tc>
        <w:tc>
          <w:tcPr>
            <w:tcW w:w="1620" w:type="dxa"/>
            <w:gridSpan w:val="2"/>
            <w:tcBorders>
              <w:top w:val="single" w:sz="4" w:space="0" w:color="auto"/>
              <w:left w:val="nil"/>
              <w:bottom w:val="single" w:sz="4" w:space="0" w:color="auto"/>
              <w:right w:val="single" w:sz="4" w:space="0" w:color="auto"/>
            </w:tcBorders>
            <w:vAlign w:val="bottom"/>
            <w:hideMark/>
          </w:tcPr>
          <w:p w:rsidR="00756160" w:rsidRPr="00747200" w14:paraId="4595C7CA"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Averted Licensing Costs</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1E1E7C22" w14:textId="77777777">
            <w:pPr>
              <w:keepNext/>
              <w:keepLines/>
              <w:autoSpaceDE/>
              <w:autoSpaceDN/>
              <w:rPr>
                <w:rFonts w:eastAsia="Times New Roman"/>
                <w:b/>
                <w:bCs/>
                <w:color w:val="000000"/>
                <w:sz w:val="16"/>
                <w:szCs w:val="16"/>
              </w:rPr>
            </w:pPr>
          </w:p>
        </w:tc>
      </w:tr>
      <w:tr w14:paraId="10859580" w14:textId="77777777">
        <w:tblPrEx>
          <w:tblW w:w="9360" w:type="dxa"/>
          <w:tblLook w:val="04A0"/>
        </w:tblPrEx>
        <w:trPr>
          <w:trHeight w:val="98"/>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4165E47F" w14:textId="77777777">
            <w:pPr>
              <w:keepNext/>
              <w:keepLines/>
              <w:autoSpaceDE/>
              <w:autoSpaceDN/>
              <w:rPr>
                <w:rFonts w:eastAsia="Times New Roman"/>
                <w:b/>
                <w:bCs/>
                <w:sz w:val="16"/>
                <w:szCs w:val="16"/>
              </w:rPr>
            </w:pPr>
          </w:p>
        </w:tc>
        <w:tc>
          <w:tcPr>
            <w:tcW w:w="1160" w:type="dxa"/>
            <w:tcBorders>
              <w:top w:val="nil"/>
              <w:left w:val="nil"/>
              <w:bottom w:val="single" w:sz="4" w:space="0" w:color="auto"/>
              <w:right w:val="single" w:sz="4" w:space="0" w:color="auto"/>
            </w:tcBorders>
            <w:shd w:val="clear" w:color="000000" w:fill="FFFFFF"/>
            <w:vAlign w:val="center"/>
            <w:hideMark/>
          </w:tcPr>
          <w:p w:rsidR="00756160" w:rsidRPr="00747200" w14:paraId="7CFBB72C" w14:textId="77777777">
            <w:pPr>
              <w:keepNext/>
              <w:keepLines/>
              <w:autoSpaceDE/>
              <w:autoSpaceDN/>
              <w:jc w:val="center"/>
              <w:rPr>
                <w:rFonts w:eastAsia="Times New Roman"/>
                <w:b/>
                <w:bCs/>
                <w:sz w:val="16"/>
                <w:szCs w:val="16"/>
              </w:rPr>
            </w:pPr>
            <w:r w:rsidRPr="00747200">
              <w:rPr>
                <w:rFonts w:eastAsia="Times New Roman"/>
                <w:b/>
                <w:bCs/>
                <w:sz w:val="16"/>
                <w:szCs w:val="16"/>
              </w:rPr>
              <w:t>Rulemaking</w:t>
            </w:r>
          </w:p>
        </w:tc>
        <w:tc>
          <w:tcPr>
            <w:tcW w:w="1120" w:type="dxa"/>
            <w:tcBorders>
              <w:top w:val="nil"/>
              <w:left w:val="nil"/>
              <w:bottom w:val="single" w:sz="4" w:space="0" w:color="auto"/>
              <w:right w:val="single" w:sz="4" w:space="0" w:color="auto"/>
            </w:tcBorders>
            <w:shd w:val="clear" w:color="000000" w:fill="FFFFFF"/>
            <w:vAlign w:val="center"/>
            <w:hideMark/>
          </w:tcPr>
          <w:p w:rsidR="00756160" w:rsidRPr="00747200" w14:paraId="5FAF076C" w14:textId="77777777">
            <w:pPr>
              <w:keepNext/>
              <w:keepLines/>
              <w:autoSpaceDE/>
              <w:autoSpaceDN/>
              <w:jc w:val="center"/>
              <w:rPr>
                <w:rFonts w:eastAsia="Times New Roman"/>
                <w:b/>
                <w:bCs/>
                <w:sz w:val="16"/>
                <w:szCs w:val="16"/>
              </w:rPr>
            </w:pPr>
            <w:r w:rsidRPr="00747200">
              <w:rPr>
                <w:rFonts w:eastAsia="Times New Roman"/>
                <w:b/>
                <w:bCs/>
                <w:sz w:val="16"/>
                <w:szCs w:val="16"/>
              </w:rPr>
              <w:t>Applications</w:t>
            </w:r>
          </w:p>
        </w:tc>
        <w:tc>
          <w:tcPr>
            <w:tcW w:w="860" w:type="dxa"/>
            <w:tcBorders>
              <w:top w:val="nil"/>
              <w:left w:val="nil"/>
              <w:bottom w:val="single" w:sz="4" w:space="0" w:color="auto"/>
              <w:right w:val="single" w:sz="4" w:space="0" w:color="auto"/>
            </w:tcBorders>
            <w:vAlign w:val="bottom"/>
            <w:hideMark/>
          </w:tcPr>
          <w:p w:rsidR="00756160" w:rsidRPr="00747200" w14:paraId="58BC9E90"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Hours</w:t>
            </w:r>
          </w:p>
        </w:tc>
        <w:tc>
          <w:tcPr>
            <w:tcW w:w="1020" w:type="dxa"/>
            <w:tcBorders>
              <w:top w:val="nil"/>
              <w:left w:val="nil"/>
              <w:bottom w:val="single" w:sz="4" w:space="0" w:color="auto"/>
              <w:right w:val="single" w:sz="4" w:space="0" w:color="auto"/>
            </w:tcBorders>
            <w:vAlign w:val="bottom"/>
            <w:hideMark/>
          </w:tcPr>
          <w:p w:rsidR="00756160" w:rsidRPr="00747200" w14:paraId="571BDC78"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Net Benefits (Costs)</w:t>
            </w:r>
          </w:p>
        </w:tc>
        <w:tc>
          <w:tcPr>
            <w:tcW w:w="820" w:type="dxa"/>
            <w:tcBorders>
              <w:top w:val="nil"/>
              <w:left w:val="nil"/>
              <w:bottom w:val="single" w:sz="4" w:space="0" w:color="auto"/>
              <w:right w:val="single" w:sz="4" w:space="0" w:color="auto"/>
            </w:tcBorders>
            <w:vAlign w:val="bottom"/>
            <w:hideMark/>
          </w:tcPr>
          <w:p w:rsidR="00756160" w:rsidRPr="00747200" w14:paraId="62E5BF7C"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Hours</w:t>
            </w:r>
          </w:p>
        </w:tc>
        <w:tc>
          <w:tcPr>
            <w:tcW w:w="800" w:type="dxa"/>
            <w:tcBorders>
              <w:top w:val="nil"/>
              <w:left w:val="nil"/>
              <w:bottom w:val="single" w:sz="4" w:space="0" w:color="auto"/>
              <w:right w:val="single" w:sz="4" w:space="0" w:color="auto"/>
            </w:tcBorders>
            <w:vAlign w:val="bottom"/>
            <w:hideMark/>
          </w:tcPr>
          <w:p w:rsidR="00756160" w:rsidRPr="00747200" w14:paraId="22EFD45C" w14:textId="77777777">
            <w:pPr>
              <w:keepNext/>
              <w:keepLines/>
              <w:autoSpaceDE/>
              <w:autoSpaceDN/>
              <w:jc w:val="center"/>
              <w:rPr>
                <w:rFonts w:eastAsia="Times New Roman"/>
                <w:b/>
                <w:bCs/>
                <w:color w:val="000000"/>
                <w:sz w:val="16"/>
                <w:szCs w:val="16"/>
              </w:rPr>
            </w:pPr>
            <w:r w:rsidRPr="00747200">
              <w:rPr>
                <w:rFonts w:eastAsia="Times New Roman"/>
                <w:b/>
                <w:bCs/>
                <w:color w:val="000000"/>
                <w:sz w:val="16"/>
                <w:szCs w:val="16"/>
              </w:rPr>
              <w:t>Net Benefits (Costs)</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756160" w:rsidRPr="00747200" w14:paraId="65B29EDE" w14:textId="77777777">
            <w:pPr>
              <w:keepNext/>
              <w:keepLines/>
              <w:autoSpaceDE/>
              <w:autoSpaceDN/>
              <w:rPr>
                <w:rFonts w:eastAsia="Times New Roman"/>
                <w:b/>
                <w:bCs/>
                <w:color w:val="000000"/>
                <w:sz w:val="16"/>
                <w:szCs w:val="16"/>
              </w:rPr>
            </w:pPr>
          </w:p>
        </w:tc>
      </w:tr>
      <w:tr w14:paraId="0506A7E9"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6FC503B9"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2026</w:t>
            </w:r>
          </w:p>
        </w:tc>
        <w:tc>
          <w:tcPr>
            <w:tcW w:w="1160" w:type="dxa"/>
            <w:tcBorders>
              <w:top w:val="nil"/>
              <w:left w:val="nil"/>
              <w:bottom w:val="single" w:sz="4" w:space="0" w:color="auto"/>
              <w:right w:val="single" w:sz="4" w:space="0" w:color="auto"/>
            </w:tcBorders>
            <w:noWrap/>
            <w:vAlign w:val="bottom"/>
            <w:hideMark/>
          </w:tcPr>
          <w:p w:rsidR="00756160" w:rsidRPr="00747200" w14:paraId="742CC132"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rsidR="00756160" w:rsidRPr="00747200" w14:paraId="73FC9811"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0</w:t>
            </w:r>
          </w:p>
        </w:tc>
        <w:tc>
          <w:tcPr>
            <w:tcW w:w="860" w:type="dxa"/>
            <w:tcBorders>
              <w:top w:val="nil"/>
              <w:left w:val="nil"/>
              <w:bottom w:val="single" w:sz="4" w:space="0" w:color="auto"/>
              <w:right w:val="single" w:sz="4" w:space="0" w:color="auto"/>
            </w:tcBorders>
            <w:noWrap/>
            <w:vAlign w:val="bottom"/>
            <w:hideMark/>
          </w:tcPr>
          <w:p w:rsidR="00756160" w:rsidRPr="00747200" w14:paraId="3C62BC96"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noWrap/>
            <w:vAlign w:val="bottom"/>
            <w:hideMark/>
          </w:tcPr>
          <w:p w:rsidR="00756160" w:rsidRPr="00747200" w14:paraId="32E99C70"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noWrap/>
            <w:vAlign w:val="bottom"/>
            <w:hideMark/>
          </w:tcPr>
          <w:p w:rsidR="00756160" w:rsidRPr="00747200" w14:paraId="47233547"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   </w:t>
            </w:r>
          </w:p>
        </w:tc>
        <w:tc>
          <w:tcPr>
            <w:tcW w:w="800" w:type="dxa"/>
            <w:tcBorders>
              <w:top w:val="nil"/>
              <w:left w:val="nil"/>
              <w:bottom w:val="single" w:sz="4" w:space="0" w:color="auto"/>
              <w:right w:val="single" w:sz="4" w:space="0" w:color="auto"/>
            </w:tcBorders>
            <w:vAlign w:val="bottom"/>
            <w:hideMark/>
          </w:tcPr>
          <w:p w:rsidR="00756160" w:rsidRPr="00747200" w14:paraId="2CBFAE4D"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1000" w:type="dxa"/>
            <w:tcBorders>
              <w:top w:val="nil"/>
              <w:left w:val="nil"/>
              <w:bottom w:val="single" w:sz="4" w:space="0" w:color="auto"/>
              <w:right w:val="single" w:sz="4" w:space="0" w:color="auto"/>
            </w:tcBorders>
            <w:vAlign w:val="bottom"/>
            <w:hideMark/>
          </w:tcPr>
          <w:p w:rsidR="00756160" w:rsidRPr="00747200" w14:paraId="508E7AB7"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$0 </w:t>
            </w:r>
          </w:p>
        </w:tc>
      </w:tr>
      <w:tr w14:paraId="6C27D46C"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6B64388F"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2027</w:t>
            </w:r>
          </w:p>
        </w:tc>
        <w:tc>
          <w:tcPr>
            <w:tcW w:w="1160" w:type="dxa"/>
            <w:tcBorders>
              <w:top w:val="nil"/>
              <w:left w:val="nil"/>
              <w:bottom w:val="single" w:sz="4" w:space="0" w:color="auto"/>
              <w:right w:val="single" w:sz="4" w:space="0" w:color="auto"/>
            </w:tcBorders>
            <w:noWrap/>
            <w:vAlign w:val="bottom"/>
            <w:hideMark/>
          </w:tcPr>
          <w:p w:rsidR="00756160" w:rsidRPr="00747200" w14:paraId="7EDAB883"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27E56F74"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noWrap/>
            <w:vAlign w:val="bottom"/>
            <w:hideMark/>
          </w:tcPr>
          <w:p w:rsidR="00756160" w:rsidRPr="00747200" w14:paraId="27F18457"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776ED737"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72436279"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vAlign w:val="bottom"/>
            <w:hideMark/>
          </w:tcPr>
          <w:p w:rsidR="00756160" w:rsidRPr="00747200" w14:paraId="1E25A1C9"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vAlign w:val="bottom"/>
            <w:hideMark/>
          </w:tcPr>
          <w:p w:rsidR="00756160" w:rsidRPr="00747200" w14:paraId="24BC702A"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($5,215)</w:t>
            </w:r>
          </w:p>
        </w:tc>
      </w:tr>
      <w:tr w14:paraId="3840B687"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4F0D12EB"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2028</w:t>
            </w:r>
          </w:p>
        </w:tc>
        <w:tc>
          <w:tcPr>
            <w:tcW w:w="1160" w:type="dxa"/>
            <w:tcBorders>
              <w:top w:val="nil"/>
              <w:left w:val="nil"/>
              <w:bottom w:val="single" w:sz="4" w:space="0" w:color="auto"/>
              <w:right w:val="single" w:sz="4" w:space="0" w:color="auto"/>
            </w:tcBorders>
            <w:noWrap/>
            <w:vAlign w:val="bottom"/>
            <w:hideMark/>
          </w:tcPr>
          <w:p w:rsidR="00756160" w:rsidRPr="00747200" w14:paraId="439B9990"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435EFB22"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noWrap/>
            <w:vAlign w:val="bottom"/>
            <w:hideMark/>
          </w:tcPr>
          <w:p w:rsidR="00756160" w:rsidRPr="00747200" w14:paraId="2DD52EAE"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666C8F31"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6DBE3DAA" w14:textId="77777777">
            <w:pPr>
              <w:keepNext/>
              <w:keepLines/>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vAlign w:val="bottom"/>
            <w:hideMark/>
          </w:tcPr>
          <w:p w:rsidR="00756160" w:rsidRPr="00747200" w14:paraId="36508E0E"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vAlign w:val="bottom"/>
            <w:hideMark/>
          </w:tcPr>
          <w:p w:rsidR="00756160" w:rsidRPr="00747200" w14:paraId="4B668D1F" w14:textId="77777777">
            <w:pPr>
              <w:keepNext/>
              <w:keepLines/>
              <w:autoSpaceDE/>
              <w:autoSpaceDN/>
              <w:jc w:val="right"/>
              <w:rPr>
                <w:rFonts w:eastAsia="Times New Roman"/>
                <w:color w:val="000000"/>
                <w:sz w:val="16"/>
                <w:szCs w:val="16"/>
              </w:rPr>
            </w:pPr>
            <w:r w:rsidRPr="00747200">
              <w:rPr>
                <w:rFonts w:eastAsia="Times New Roman"/>
                <w:color w:val="000000"/>
                <w:sz w:val="16"/>
                <w:szCs w:val="16"/>
              </w:rPr>
              <w:t>($5,215)</w:t>
            </w:r>
          </w:p>
        </w:tc>
      </w:tr>
      <w:tr w14:paraId="689DE389"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25A731D6" w14:textId="77777777">
            <w:pPr>
              <w:autoSpaceDE/>
              <w:autoSpaceDN/>
              <w:jc w:val="right"/>
              <w:rPr>
                <w:rFonts w:eastAsia="Times New Roman"/>
                <w:color w:val="000000"/>
                <w:sz w:val="16"/>
                <w:szCs w:val="16"/>
              </w:rPr>
            </w:pPr>
            <w:r w:rsidRPr="00747200">
              <w:rPr>
                <w:rFonts w:eastAsia="Times New Roman"/>
                <w:color w:val="000000"/>
                <w:sz w:val="16"/>
                <w:szCs w:val="16"/>
              </w:rPr>
              <w:t>2029</w:t>
            </w:r>
          </w:p>
        </w:tc>
        <w:tc>
          <w:tcPr>
            <w:tcW w:w="1160" w:type="dxa"/>
            <w:tcBorders>
              <w:top w:val="nil"/>
              <w:left w:val="nil"/>
              <w:bottom w:val="single" w:sz="4" w:space="0" w:color="auto"/>
              <w:right w:val="single" w:sz="4" w:space="0" w:color="auto"/>
            </w:tcBorders>
            <w:noWrap/>
            <w:vAlign w:val="bottom"/>
            <w:hideMark/>
          </w:tcPr>
          <w:p w:rsidR="00756160" w:rsidRPr="00747200" w14:paraId="1A2F9B96"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2F708FDA"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noWrap/>
            <w:vAlign w:val="bottom"/>
            <w:hideMark/>
          </w:tcPr>
          <w:p w:rsidR="00756160" w:rsidRPr="00747200" w14:paraId="0C4B672E"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43C2000A"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04885F8C"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vAlign w:val="bottom"/>
            <w:hideMark/>
          </w:tcPr>
          <w:p w:rsidR="00756160" w:rsidRPr="00747200" w14:paraId="7EC61E26"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vAlign w:val="bottom"/>
            <w:hideMark/>
          </w:tcPr>
          <w:p w:rsidR="00756160" w:rsidRPr="00747200" w14:paraId="117FA306"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20A63E83"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0C2EEE1E" w14:textId="77777777">
            <w:pPr>
              <w:autoSpaceDE/>
              <w:autoSpaceDN/>
              <w:jc w:val="right"/>
              <w:rPr>
                <w:rFonts w:eastAsia="Times New Roman"/>
                <w:color w:val="000000"/>
                <w:sz w:val="16"/>
                <w:szCs w:val="16"/>
              </w:rPr>
            </w:pPr>
            <w:r w:rsidRPr="00747200">
              <w:rPr>
                <w:rFonts w:eastAsia="Times New Roman"/>
                <w:color w:val="000000"/>
                <w:sz w:val="16"/>
                <w:szCs w:val="16"/>
              </w:rPr>
              <w:t>2030</w:t>
            </w:r>
          </w:p>
        </w:tc>
        <w:tc>
          <w:tcPr>
            <w:tcW w:w="1160" w:type="dxa"/>
            <w:tcBorders>
              <w:top w:val="nil"/>
              <w:left w:val="nil"/>
              <w:bottom w:val="single" w:sz="4" w:space="0" w:color="auto"/>
              <w:right w:val="single" w:sz="4" w:space="0" w:color="auto"/>
            </w:tcBorders>
            <w:noWrap/>
            <w:vAlign w:val="bottom"/>
            <w:hideMark/>
          </w:tcPr>
          <w:p w:rsidR="00756160" w:rsidRPr="00747200" w14:paraId="7F71A539"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45DC81FA"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noWrap/>
            <w:vAlign w:val="bottom"/>
            <w:hideMark/>
          </w:tcPr>
          <w:p w:rsidR="00756160" w:rsidRPr="00747200" w14:paraId="377340D8"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5B8B5CF5"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0C7A0F94"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vAlign w:val="bottom"/>
            <w:hideMark/>
          </w:tcPr>
          <w:p w:rsidR="00756160" w:rsidRPr="00747200" w14:paraId="41B45BCF"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vAlign w:val="bottom"/>
            <w:hideMark/>
          </w:tcPr>
          <w:p w:rsidR="00756160" w:rsidRPr="00747200" w14:paraId="3F32F322"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060E0F5C"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24B8F54B" w14:textId="77777777">
            <w:pPr>
              <w:autoSpaceDE/>
              <w:autoSpaceDN/>
              <w:jc w:val="right"/>
              <w:rPr>
                <w:rFonts w:eastAsia="Times New Roman"/>
                <w:color w:val="000000"/>
                <w:sz w:val="16"/>
                <w:szCs w:val="16"/>
              </w:rPr>
            </w:pPr>
            <w:r w:rsidRPr="00747200">
              <w:rPr>
                <w:rFonts w:eastAsia="Times New Roman"/>
                <w:color w:val="000000"/>
                <w:sz w:val="16"/>
                <w:szCs w:val="16"/>
              </w:rPr>
              <w:t>2031</w:t>
            </w:r>
          </w:p>
        </w:tc>
        <w:tc>
          <w:tcPr>
            <w:tcW w:w="1160" w:type="dxa"/>
            <w:tcBorders>
              <w:top w:val="nil"/>
              <w:left w:val="nil"/>
              <w:bottom w:val="single" w:sz="4" w:space="0" w:color="auto"/>
              <w:right w:val="single" w:sz="4" w:space="0" w:color="auto"/>
            </w:tcBorders>
            <w:noWrap/>
            <w:vAlign w:val="bottom"/>
            <w:hideMark/>
          </w:tcPr>
          <w:p w:rsidR="00756160" w:rsidRPr="00747200" w14:paraId="66A6FF95"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2FA7DFF4"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noWrap/>
            <w:vAlign w:val="bottom"/>
            <w:hideMark/>
          </w:tcPr>
          <w:p w:rsidR="00756160" w:rsidRPr="00747200" w14:paraId="564771E6"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0DE971BB"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4FBCB8FF"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vAlign w:val="bottom"/>
            <w:hideMark/>
          </w:tcPr>
          <w:p w:rsidR="00756160" w:rsidRPr="00747200" w14:paraId="1611F2F8"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vAlign w:val="bottom"/>
            <w:hideMark/>
          </w:tcPr>
          <w:p w:rsidR="00756160" w:rsidRPr="00747200" w14:paraId="49A2CFE3"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6FCA5366"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646FF25E" w14:textId="77777777">
            <w:pPr>
              <w:autoSpaceDE/>
              <w:autoSpaceDN/>
              <w:jc w:val="right"/>
              <w:rPr>
                <w:rFonts w:eastAsia="Times New Roman"/>
                <w:color w:val="000000"/>
                <w:sz w:val="16"/>
                <w:szCs w:val="16"/>
              </w:rPr>
            </w:pPr>
            <w:r w:rsidRPr="00747200">
              <w:rPr>
                <w:rFonts w:eastAsia="Times New Roman"/>
                <w:color w:val="000000"/>
                <w:sz w:val="16"/>
                <w:szCs w:val="16"/>
              </w:rPr>
              <w:t>2032</w:t>
            </w:r>
          </w:p>
        </w:tc>
        <w:tc>
          <w:tcPr>
            <w:tcW w:w="1160" w:type="dxa"/>
            <w:tcBorders>
              <w:top w:val="nil"/>
              <w:left w:val="nil"/>
              <w:bottom w:val="single" w:sz="4" w:space="0" w:color="auto"/>
              <w:right w:val="single" w:sz="4" w:space="0" w:color="auto"/>
            </w:tcBorders>
            <w:noWrap/>
            <w:vAlign w:val="bottom"/>
            <w:hideMark/>
          </w:tcPr>
          <w:p w:rsidR="00756160" w:rsidRPr="00747200" w14:paraId="35B1F7F6"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rsidR="00756160" w:rsidRPr="00747200" w14:paraId="07825CDB"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860" w:type="dxa"/>
            <w:tcBorders>
              <w:top w:val="nil"/>
              <w:left w:val="nil"/>
              <w:bottom w:val="single" w:sz="4" w:space="0" w:color="auto"/>
              <w:right w:val="single" w:sz="4" w:space="0" w:color="auto"/>
            </w:tcBorders>
            <w:noWrap/>
            <w:vAlign w:val="bottom"/>
            <w:hideMark/>
          </w:tcPr>
          <w:p w:rsidR="00756160" w:rsidRPr="00747200" w14:paraId="2F30F1C9"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noWrap/>
            <w:vAlign w:val="bottom"/>
            <w:hideMark/>
          </w:tcPr>
          <w:p w:rsidR="00756160" w:rsidRPr="00747200" w14:paraId="03B876A7"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noWrap/>
            <w:vAlign w:val="bottom"/>
            <w:hideMark/>
          </w:tcPr>
          <w:p w:rsidR="00756160" w:rsidRPr="00747200" w14:paraId="56AC94D9"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800" w:type="dxa"/>
            <w:tcBorders>
              <w:top w:val="nil"/>
              <w:left w:val="nil"/>
              <w:bottom w:val="single" w:sz="4" w:space="0" w:color="auto"/>
              <w:right w:val="single" w:sz="4" w:space="0" w:color="auto"/>
            </w:tcBorders>
            <w:vAlign w:val="bottom"/>
            <w:hideMark/>
          </w:tcPr>
          <w:p w:rsidR="00756160" w:rsidRPr="00747200" w14:paraId="35D71ACE"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1000" w:type="dxa"/>
            <w:tcBorders>
              <w:top w:val="nil"/>
              <w:left w:val="nil"/>
              <w:bottom w:val="single" w:sz="4" w:space="0" w:color="auto"/>
              <w:right w:val="single" w:sz="4" w:space="0" w:color="auto"/>
            </w:tcBorders>
            <w:vAlign w:val="bottom"/>
            <w:hideMark/>
          </w:tcPr>
          <w:p w:rsidR="00756160" w:rsidRPr="00747200" w14:paraId="182C1FBD"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r>
      <w:tr w14:paraId="24C1ECD2"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3FEE63AB" w14:textId="77777777">
            <w:pPr>
              <w:autoSpaceDE/>
              <w:autoSpaceDN/>
              <w:jc w:val="right"/>
              <w:rPr>
                <w:rFonts w:eastAsia="Times New Roman"/>
                <w:color w:val="000000"/>
                <w:sz w:val="16"/>
                <w:szCs w:val="16"/>
              </w:rPr>
            </w:pPr>
            <w:r w:rsidRPr="00747200">
              <w:rPr>
                <w:rFonts w:eastAsia="Times New Roman"/>
                <w:color w:val="000000"/>
                <w:sz w:val="16"/>
                <w:szCs w:val="16"/>
              </w:rPr>
              <w:t>2033</w:t>
            </w:r>
          </w:p>
        </w:tc>
        <w:tc>
          <w:tcPr>
            <w:tcW w:w="1160" w:type="dxa"/>
            <w:tcBorders>
              <w:top w:val="nil"/>
              <w:left w:val="nil"/>
              <w:bottom w:val="single" w:sz="4" w:space="0" w:color="auto"/>
              <w:right w:val="single" w:sz="4" w:space="0" w:color="auto"/>
            </w:tcBorders>
            <w:noWrap/>
            <w:vAlign w:val="bottom"/>
            <w:hideMark/>
          </w:tcPr>
          <w:p w:rsidR="00756160" w:rsidRPr="00747200" w14:paraId="37727B73"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rsidR="00756160" w:rsidRPr="00747200" w14:paraId="3DF6CCEF"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860" w:type="dxa"/>
            <w:tcBorders>
              <w:top w:val="nil"/>
              <w:left w:val="nil"/>
              <w:bottom w:val="single" w:sz="4" w:space="0" w:color="auto"/>
              <w:right w:val="single" w:sz="4" w:space="0" w:color="auto"/>
            </w:tcBorders>
            <w:noWrap/>
            <w:vAlign w:val="bottom"/>
            <w:hideMark/>
          </w:tcPr>
          <w:p w:rsidR="00756160" w:rsidRPr="00747200" w14:paraId="4020C4B7"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noWrap/>
            <w:vAlign w:val="bottom"/>
            <w:hideMark/>
          </w:tcPr>
          <w:p w:rsidR="00756160" w:rsidRPr="00747200" w14:paraId="44277CCB"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noWrap/>
            <w:vAlign w:val="bottom"/>
            <w:hideMark/>
          </w:tcPr>
          <w:p w:rsidR="00756160" w:rsidRPr="00747200" w14:paraId="39EB4932"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800" w:type="dxa"/>
            <w:tcBorders>
              <w:top w:val="nil"/>
              <w:left w:val="nil"/>
              <w:bottom w:val="single" w:sz="4" w:space="0" w:color="auto"/>
              <w:right w:val="single" w:sz="4" w:space="0" w:color="auto"/>
            </w:tcBorders>
            <w:vAlign w:val="bottom"/>
            <w:hideMark/>
          </w:tcPr>
          <w:p w:rsidR="00756160" w:rsidRPr="00747200" w14:paraId="1263C7A7"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1000" w:type="dxa"/>
            <w:tcBorders>
              <w:top w:val="nil"/>
              <w:left w:val="nil"/>
              <w:bottom w:val="single" w:sz="4" w:space="0" w:color="auto"/>
              <w:right w:val="single" w:sz="4" w:space="0" w:color="auto"/>
            </w:tcBorders>
            <w:vAlign w:val="bottom"/>
            <w:hideMark/>
          </w:tcPr>
          <w:p w:rsidR="00756160" w:rsidRPr="00747200" w14:paraId="18EF05E5"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r>
      <w:tr w14:paraId="01880014"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3EA70AD5" w14:textId="77777777">
            <w:pPr>
              <w:autoSpaceDE/>
              <w:autoSpaceDN/>
              <w:jc w:val="right"/>
              <w:rPr>
                <w:rFonts w:eastAsia="Times New Roman"/>
                <w:color w:val="000000"/>
                <w:sz w:val="16"/>
                <w:szCs w:val="16"/>
              </w:rPr>
            </w:pPr>
            <w:r w:rsidRPr="00747200">
              <w:rPr>
                <w:rFonts w:eastAsia="Times New Roman"/>
                <w:color w:val="000000"/>
                <w:sz w:val="16"/>
                <w:szCs w:val="16"/>
              </w:rPr>
              <w:t>2034</w:t>
            </w:r>
          </w:p>
        </w:tc>
        <w:tc>
          <w:tcPr>
            <w:tcW w:w="1160" w:type="dxa"/>
            <w:tcBorders>
              <w:top w:val="nil"/>
              <w:left w:val="nil"/>
              <w:bottom w:val="single" w:sz="4" w:space="0" w:color="auto"/>
              <w:right w:val="single" w:sz="4" w:space="0" w:color="auto"/>
            </w:tcBorders>
            <w:noWrap/>
            <w:vAlign w:val="bottom"/>
            <w:hideMark/>
          </w:tcPr>
          <w:p w:rsidR="00756160" w:rsidRPr="00747200" w14:paraId="29575F5A"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17F1CE99"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860" w:type="dxa"/>
            <w:tcBorders>
              <w:top w:val="nil"/>
              <w:left w:val="nil"/>
              <w:bottom w:val="single" w:sz="4" w:space="0" w:color="auto"/>
              <w:right w:val="single" w:sz="4" w:space="0" w:color="auto"/>
            </w:tcBorders>
            <w:noWrap/>
            <w:vAlign w:val="bottom"/>
            <w:hideMark/>
          </w:tcPr>
          <w:p w:rsidR="00756160" w:rsidRPr="00747200" w14:paraId="328F8153"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46611A67"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163EC5AD" w14:textId="77777777">
            <w:pPr>
              <w:autoSpaceDE/>
              <w:autoSpaceDN/>
              <w:rPr>
                <w:rFonts w:eastAsia="Times New Roman"/>
                <w:color w:val="000000"/>
                <w:sz w:val="16"/>
                <w:szCs w:val="16"/>
              </w:rPr>
            </w:pPr>
            <w:r w:rsidRPr="00747200">
              <w:rPr>
                <w:rFonts w:eastAsia="Times New Roman"/>
                <w:color w:val="000000"/>
                <w:sz w:val="16"/>
                <w:szCs w:val="16"/>
              </w:rPr>
              <w:t xml:space="preserve">           161 </w:t>
            </w:r>
          </w:p>
        </w:tc>
        <w:tc>
          <w:tcPr>
            <w:tcW w:w="800" w:type="dxa"/>
            <w:tcBorders>
              <w:top w:val="nil"/>
              <w:left w:val="nil"/>
              <w:bottom w:val="single" w:sz="4" w:space="0" w:color="auto"/>
              <w:right w:val="single" w:sz="4" w:space="0" w:color="auto"/>
            </w:tcBorders>
            <w:vAlign w:val="bottom"/>
            <w:hideMark/>
          </w:tcPr>
          <w:p w:rsidR="00756160" w:rsidRPr="00747200" w14:paraId="013232AD" w14:textId="77777777">
            <w:pPr>
              <w:autoSpaceDE/>
              <w:autoSpaceDN/>
              <w:jc w:val="right"/>
              <w:rPr>
                <w:rFonts w:eastAsia="Times New Roman"/>
                <w:color w:val="000000"/>
                <w:sz w:val="16"/>
                <w:szCs w:val="16"/>
              </w:rPr>
            </w:pPr>
            <w:r w:rsidRPr="00747200">
              <w:rPr>
                <w:rFonts w:eastAsia="Times New Roman"/>
                <w:color w:val="000000"/>
                <w:sz w:val="16"/>
                <w:szCs w:val="16"/>
              </w:rPr>
              <w:t xml:space="preserve">$9,080 </w:t>
            </w:r>
          </w:p>
        </w:tc>
        <w:tc>
          <w:tcPr>
            <w:tcW w:w="1000" w:type="dxa"/>
            <w:tcBorders>
              <w:top w:val="nil"/>
              <w:left w:val="nil"/>
              <w:bottom w:val="single" w:sz="4" w:space="0" w:color="auto"/>
              <w:right w:val="single" w:sz="4" w:space="0" w:color="auto"/>
            </w:tcBorders>
            <w:vAlign w:val="bottom"/>
            <w:hideMark/>
          </w:tcPr>
          <w:p w:rsidR="00756160" w:rsidRPr="00747200" w14:paraId="7DCECC7E" w14:textId="77777777">
            <w:pPr>
              <w:autoSpaceDE/>
              <w:autoSpaceDN/>
              <w:jc w:val="right"/>
              <w:rPr>
                <w:rFonts w:eastAsia="Times New Roman"/>
                <w:color w:val="000000"/>
                <w:sz w:val="16"/>
                <w:szCs w:val="16"/>
              </w:rPr>
            </w:pPr>
            <w:r w:rsidRPr="00747200">
              <w:rPr>
                <w:rFonts w:eastAsia="Times New Roman"/>
                <w:color w:val="000000"/>
                <w:sz w:val="16"/>
                <w:szCs w:val="16"/>
              </w:rPr>
              <w:t>($675)</w:t>
            </w:r>
          </w:p>
        </w:tc>
      </w:tr>
      <w:tr w14:paraId="7DD8BFC1"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5977B97C" w14:textId="77777777">
            <w:pPr>
              <w:autoSpaceDE/>
              <w:autoSpaceDN/>
              <w:jc w:val="right"/>
              <w:rPr>
                <w:rFonts w:eastAsia="Times New Roman"/>
                <w:color w:val="000000"/>
                <w:sz w:val="16"/>
                <w:szCs w:val="16"/>
              </w:rPr>
            </w:pPr>
            <w:r w:rsidRPr="00747200">
              <w:rPr>
                <w:rFonts w:eastAsia="Times New Roman"/>
                <w:color w:val="000000"/>
                <w:sz w:val="16"/>
                <w:szCs w:val="16"/>
              </w:rPr>
              <w:t>2035</w:t>
            </w:r>
          </w:p>
        </w:tc>
        <w:tc>
          <w:tcPr>
            <w:tcW w:w="1160" w:type="dxa"/>
            <w:tcBorders>
              <w:top w:val="nil"/>
              <w:left w:val="nil"/>
              <w:bottom w:val="single" w:sz="4" w:space="0" w:color="auto"/>
              <w:right w:val="single" w:sz="4" w:space="0" w:color="auto"/>
            </w:tcBorders>
            <w:noWrap/>
            <w:vAlign w:val="bottom"/>
            <w:hideMark/>
          </w:tcPr>
          <w:p w:rsidR="00756160" w:rsidRPr="00747200" w14:paraId="6113A90E"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4A496FAD"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860" w:type="dxa"/>
            <w:tcBorders>
              <w:top w:val="nil"/>
              <w:left w:val="nil"/>
              <w:bottom w:val="single" w:sz="4" w:space="0" w:color="auto"/>
              <w:right w:val="single" w:sz="4" w:space="0" w:color="auto"/>
            </w:tcBorders>
            <w:noWrap/>
            <w:vAlign w:val="bottom"/>
            <w:hideMark/>
          </w:tcPr>
          <w:p w:rsidR="00756160" w:rsidRPr="00747200" w14:paraId="7E4E27C5"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1758AE4D"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40236BA8" w14:textId="77777777">
            <w:pPr>
              <w:autoSpaceDE/>
              <w:autoSpaceDN/>
              <w:rPr>
                <w:rFonts w:eastAsia="Times New Roman"/>
                <w:color w:val="000000"/>
                <w:sz w:val="16"/>
                <w:szCs w:val="16"/>
              </w:rPr>
            </w:pPr>
            <w:r w:rsidRPr="00747200">
              <w:rPr>
                <w:rFonts w:eastAsia="Times New Roman"/>
                <w:color w:val="000000"/>
                <w:sz w:val="16"/>
                <w:szCs w:val="16"/>
              </w:rPr>
              <w:t xml:space="preserve">             81 </w:t>
            </w:r>
          </w:p>
        </w:tc>
        <w:tc>
          <w:tcPr>
            <w:tcW w:w="800" w:type="dxa"/>
            <w:tcBorders>
              <w:top w:val="nil"/>
              <w:left w:val="nil"/>
              <w:bottom w:val="single" w:sz="4" w:space="0" w:color="auto"/>
              <w:right w:val="single" w:sz="4" w:space="0" w:color="auto"/>
            </w:tcBorders>
            <w:vAlign w:val="bottom"/>
            <w:hideMark/>
          </w:tcPr>
          <w:p w:rsidR="00756160" w:rsidRPr="00747200" w14:paraId="29E5E1E7" w14:textId="77777777">
            <w:pPr>
              <w:autoSpaceDE/>
              <w:autoSpaceDN/>
              <w:jc w:val="right"/>
              <w:rPr>
                <w:rFonts w:eastAsia="Times New Roman"/>
                <w:color w:val="000000"/>
                <w:sz w:val="16"/>
                <w:szCs w:val="16"/>
              </w:rPr>
            </w:pPr>
            <w:r w:rsidRPr="00747200">
              <w:rPr>
                <w:rFonts w:eastAsia="Times New Roman"/>
                <w:color w:val="000000"/>
                <w:sz w:val="16"/>
                <w:szCs w:val="16"/>
              </w:rPr>
              <w:t xml:space="preserve">$4,540 </w:t>
            </w:r>
          </w:p>
        </w:tc>
        <w:tc>
          <w:tcPr>
            <w:tcW w:w="1000" w:type="dxa"/>
            <w:tcBorders>
              <w:top w:val="nil"/>
              <w:left w:val="nil"/>
              <w:bottom w:val="single" w:sz="4" w:space="0" w:color="auto"/>
              <w:right w:val="single" w:sz="4" w:space="0" w:color="auto"/>
            </w:tcBorders>
            <w:vAlign w:val="bottom"/>
            <w:hideMark/>
          </w:tcPr>
          <w:p w:rsidR="00756160" w:rsidRPr="00747200" w14:paraId="73181489" w14:textId="77777777">
            <w:pPr>
              <w:autoSpaceDE/>
              <w:autoSpaceDN/>
              <w:jc w:val="right"/>
              <w:rPr>
                <w:rFonts w:eastAsia="Times New Roman"/>
                <w:color w:val="000000"/>
                <w:sz w:val="16"/>
                <w:szCs w:val="16"/>
              </w:rPr>
            </w:pPr>
            <w:r w:rsidRPr="00747200">
              <w:rPr>
                <w:rFonts w:eastAsia="Times New Roman"/>
                <w:color w:val="000000"/>
                <w:sz w:val="16"/>
                <w:szCs w:val="16"/>
              </w:rPr>
              <w:t>($5,215)</w:t>
            </w:r>
          </w:p>
        </w:tc>
      </w:tr>
      <w:tr w14:paraId="7ABA00FD"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7F415635" w14:textId="77777777">
            <w:pPr>
              <w:autoSpaceDE/>
              <w:autoSpaceDN/>
              <w:jc w:val="right"/>
              <w:rPr>
                <w:rFonts w:eastAsia="Times New Roman"/>
                <w:color w:val="000000"/>
                <w:sz w:val="16"/>
                <w:szCs w:val="16"/>
              </w:rPr>
            </w:pPr>
            <w:r w:rsidRPr="00747200">
              <w:rPr>
                <w:rFonts w:eastAsia="Times New Roman"/>
                <w:color w:val="000000"/>
                <w:sz w:val="16"/>
                <w:szCs w:val="16"/>
              </w:rPr>
              <w:t>2036</w:t>
            </w:r>
          </w:p>
        </w:tc>
        <w:tc>
          <w:tcPr>
            <w:tcW w:w="1160" w:type="dxa"/>
            <w:tcBorders>
              <w:top w:val="nil"/>
              <w:left w:val="nil"/>
              <w:bottom w:val="single" w:sz="4" w:space="0" w:color="auto"/>
              <w:right w:val="single" w:sz="4" w:space="0" w:color="auto"/>
            </w:tcBorders>
            <w:noWrap/>
            <w:vAlign w:val="bottom"/>
            <w:hideMark/>
          </w:tcPr>
          <w:p w:rsidR="00756160" w:rsidRPr="00747200" w14:paraId="08951C47" w14:textId="77777777">
            <w:pPr>
              <w:autoSpaceDE/>
              <w:autoSpaceDN/>
              <w:jc w:val="right"/>
              <w:rPr>
                <w:rFonts w:eastAsia="Times New Roman"/>
                <w:color w:val="000000"/>
                <w:sz w:val="16"/>
                <w:szCs w:val="16"/>
              </w:rPr>
            </w:pPr>
            <w:r w:rsidRPr="00747200">
              <w:rPr>
                <w:rFonts w:eastAsia="Times New Roman"/>
                <w:color w:val="000000"/>
                <w:sz w:val="16"/>
                <w:szCs w:val="16"/>
              </w:rPr>
              <w:t>6</w:t>
            </w:r>
          </w:p>
        </w:tc>
        <w:tc>
          <w:tcPr>
            <w:tcW w:w="1120" w:type="dxa"/>
            <w:tcBorders>
              <w:top w:val="nil"/>
              <w:left w:val="nil"/>
              <w:bottom w:val="single" w:sz="4" w:space="0" w:color="auto"/>
              <w:right w:val="single" w:sz="4" w:space="0" w:color="auto"/>
            </w:tcBorders>
            <w:noWrap/>
            <w:vAlign w:val="bottom"/>
            <w:hideMark/>
          </w:tcPr>
          <w:p w:rsidR="00756160" w:rsidRPr="00747200" w14:paraId="5B6A8E5B" w14:textId="77777777">
            <w:pPr>
              <w:autoSpaceDE/>
              <w:autoSpaceDN/>
              <w:jc w:val="right"/>
              <w:rPr>
                <w:rFonts w:eastAsia="Times New Roman"/>
                <w:color w:val="000000"/>
                <w:sz w:val="16"/>
                <w:szCs w:val="16"/>
              </w:rPr>
            </w:pPr>
            <w:r w:rsidRPr="00747200">
              <w:rPr>
                <w:rFonts w:eastAsia="Times New Roman"/>
                <w:color w:val="000000"/>
                <w:sz w:val="16"/>
                <w:szCs w:val="16"/>
              </w:rPr>
              <w:t>8</w:t>
            </w:r>
          </w:p>
        </w:tc>
        <w:tc>
          <w:tcPr>
            <w:tcW w:w="860" w:type="dxa"/>
            <w:tcBorders>
              <w:top w:val="nil"/>
              <w:left w:val="nil"/>
              <w:bottom w:val="single" w:sz="4" w:space="0" w:color="auto"/>
              <w:right w:val="single" w:sz="4" w:space="0" w:color="auto"/>
            </w:tcBorders>
            <w:noWrap/>
            <w:vAlign w:val="bottom"/>
            <w:hideMark/>
          </w:tcPr>
          <w:p w:rsidR="00756160" w:rsidRPr="00747200" w14:paraId="21E42C9A" w14:textId="77777777">
            <w:pPr>
              <w:autoSpaceDE/>
              <w:autoSpaceDN/>
              <w:rPr>
                <w:rFonts w:eastAsia="Times New Roman"/>
                <w:color w:val="000000"/>
                <w:sz w:val="16"/>
                <w:szCs w:val="16"/>
              </w:rPr>
            </w:pPr>
            <w:r w:rsidRPr="00747200">
              <w:rPr>
                <w:rFonts w:eastAsia="Times New Roman"/>
                <w:color w:val="000000"/>
                <w:sz w:val="16"/>
                <w:szCs w:val="16"/>
              </w:rPr>
              <w:t xml:space="preserve">        1,040 </w:t>
            </w:r>
          </w:p>
        </w:tc>
        <w:tc>
          <w:tcPr>
            <w:tcW w:w="1020" w:type="dxa"/>
            <w:tcBorders>
              <w:top w:val="nil"/>
              <w:left w:val="nil"/>
              <w:bottom w:val="single" w:sz="4" w:space="0" w:color="auto"/>
              <w:right w:val="single" w:sz="4" w:space="0" w:color="auto"/>
            </w:tcBorders>
            <w:noWrap/>
            <w:vAlign w:val="bottom"/>
            <w:hideMark/>
          </w:tcPr>
          <w:p w:rsidR="00756160" w:rsidRPr="00747200" w14:paraId="498FC6DE" w14:textId="77777777">
            <w:pPr>
              <w:autoSpaceDE/>
              <w:autoSpaceDN/>
              <w:jc w:val="right"/>
              <w:rPr>
                <w:rFonts w:eastAsia="Times New Roman"/>
                <w:color w:val="000000"/>
                <w:sz w:val="16"/>
                <w:szCs w:val="16"/>
              </w:rPr>
            </w:pPr>
            <w:r w:rsidRPr="00747200">
              <w:rPr>
                <w:rFonts w:eastAsia="Times New Roman"/>
                <w:color w:val="000000"/>
                <w:sz w:val="16"/>
                <w:szCs w:val="16"/>
              </w:rPr>
              <w:t>($58,531)</w:t>
            </w:r>
          </w:p>
        </w:tc>
        <w:tc>
          <w:tcPr>
            <w:tcW w:w="820" w:type="dxa"/>
            <w:tcBorders>
              <w:top w:val="nil"/>
              <w:left w:val="nil"/>
              <w:bottom w:val="single" w:sz="4" w:space="0" w:color="auto"/>
              <w:right w:val="single" w:sz="4" w:space="0" w:color="auto"/>
            </w:tcBorders>
            <w:noWrap/>
            <w:vAlign w:val="bottom"/>
            <w:hideMark/>
          </w:tcPr>
          <w:p w:rsidR="00756160" w:rsidRPr="00747200" w14:paraId="2BCD11F5" w14:textId="77777777">
            <w:pPr>
              <w:autoSpaceDE/>
              <w:autoSpaceDN/>
              <w:rPr>
                <w:rFonts w:eastAsia="Times New Roman"/>
                <w:color w:val="000000"/>
                <w:sz w:val="16"/>
                <w:szCs w:val="16"/>
              </w:rPr>
            </w:pPr>
            <w:r w:rsidRPr="00747200">
              <w:rPr>
                <w:rFonts w:eastAsia="Times New Roman"/>
                <w:color w:val="000000"/>
                <w:sz w:val="16"/>
                <w:szCs w:val="16"/>
              </w:rPr>
              <w:t xml:space="preserve">           645 </w:t>
            </w:r>
          </w:p>
        </w:tc>
        <w:tc>
          <w:tcPr>
            <w:tcW w:w="800" w:type="dxa"/>
            <w:tcBorders>
              <w:top w:val="nil"/>
              <w:left w:val="nil"/>
              <w:bottom w:val="single" w:sz="4" w:space="0" w:color="auto"/>
              <w:right w:val="single" w:sz="4" w:space="0" w:color="auto"/>
            </w:tcBorders>
            <w:vAlign w:val="bottom"/>
            <w:hideMark/>
          </w:tcPr>
          <w:p w:rsidR="00756160" w:rsidRPr="00747200" w14:paraId="7536BFA3" w14:textId="77777777">
            <w:pPr>
              <w:autoSpaceDE/>
              <w:autoSpaceDN/>
              <w:jc w:val="right"/>
              <w:rPr>
                <w:rFonts w:eastAsia="Times New Roman"/>
                <w:color w:val="000000"/>
                <w:sz w:val="16"/>
                <w:szCs w:val="16"/>
              </w:rPr>
            </w:pPr>
            <w:r w:rsidRPr="00747200">
              <w:rPr>
                <w:rFonts w:eastAsia="Times New Roman"/>
                <w:color w:val="000000"/>
                <w:sz w:val="16"/>
                <w:szCs w:val="16"/>
              </w:rPr>
              <w:t xml:space="preserve">$36,319 </w:t>
            </w:r>
          </w:p>
        </w:tc>
        <w:tc>
          <w:tcPr>
            <w:tcW w:w="1000" w:type="dxa"/>
            <w:tcBorders>
              <w:top w:val="nil"/>
              <w:left w:val="nil"/>
              <w:bottom w:val="single" w:sz="4" w:space="0" w:color="auto"/>
              <w:right w:val="single" w:sz="4" w:space="0" w:color="auto"/>
            </w:tcBorders>
            <w:vAlign w:val="bottom"/>
            <w:hideMark/>
          </w:tcPr>
          <w:p w:rsidR="00756160" w:rsidRPr="00747200" w14:paraId="5062D609" w14:textId="77777777">
            <w:pPr>
              <w:autoSpaceDE/>
              <w:autoSpaceDN/>
              <w:jc w:val="right"/>
              <w:rPr>
                <w:rFonts w:eastAsia="Times New Roman"/>
                <w:color w:val="000000"/>
                <w:sz w:val="16"/>
                <w:szCs w:val="16"/>
              </w:rPr>
            </w:pPr>
            <w:r w:rsidRPr="00747200">
              <w:rPr>
                <w:rFonts w:eastAsia="Times New Roman"/>
                <w:color w:val="000000"/>
                <w:sz w:val="16"/>
                <w:szCs w:val="16"/>
              </w:rPr>
              <w:t>($22,212)</w:t>
            </w:r>
          </w:p>
        </w:tc>
      </w:tr>
      <w:tr w14:paraId="39222A32"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4CC4F56D" w14:textId="77777777">
            <w:pPr>
              <w:autoSpaceDE/>
              <w:autoSpaceDN/>
              <w:jc w:val="right"/>
              <w:rPr>
                <w:rFonts w:eastAsia="Times New Roman"/>
                <w:color w:val="000000"/>
                <w:sz w:val="16"/>
                <w:szCs w:val="16"/>
              </w:rPr>
            </w:pPr>
            <w:r w:rsidRPr="00747200">
              <w:rPr>
                <w:rFonts w:eastAsia="Times New Roman"/>
                <w:color w:val="000000"/>
                <w:sz w:val="16"/>
                <w:szCs w:val="16"/>
              </w:rPr>
              <w:t>2037</w:t>
            </w:r>
          </w:p>
        </w:tc>
        <w:tc>
          <w:tcPr>
            <w:tcW w:w="1160" w:type="dxa"/>
            <w:tcBorders>
              <w:top w:val="nil"/>
              <w:left w:val="nil"/>
              <w:bottom w:val="single" w:sz="4" w:space="0" w:color="auto"/>
              <w:right w:val="single" w:sz="4" w:space="0" w:color="auto"/>
            </w:tcBorders>
            <w:noWrap/>
            <w:vAlign w:val="bottom"/>
            <w:hideMark/>
          </w:tcPr>
          <w:p w:rsidR="00756160" w:rsidRPr="00747200" w14:paraId="3B0838D4" w14:textId="77777777">
            <w:pPr>
              <w:autoSpaceDE/>
              <w:autoSpaceDN/>
              <w:jc w:val="right"/>
              <w:rPr>
                <w:rFonts w:eastAsia="Times New Roman"/>
                <w:color w:val="000000"/>
                <w:sz w:val="16"/>
                <w:szCs w:val="16"/>
              </w:rPr>
            </w:pPr>
            <w:r w:rsidRPr="00747200">
              <w:rPr>
                <w:rFonts w:eastAsia="Times New Roman"/>
                <w:color w:val="000000"/>
                <w:sz w:val="16"/>
                <w:szCs w:val="16"/>
              </w:rPr>
              <w:t>4</w:t>
            </w:r>
          </w:p>
        </w:tc>
        <w:tc>
          <w:tcPr>
            <w:tcW w:w="1120" w:type="dxa"/>
            <w:tcBorders>
              <w:top w:val="nil"/>
              <w:left w:val="nil"/>
              <w:bottom w:val="single" w:sz="4" w:space="0" w:color="auto"/>
              <w:right w:val="single" w:sz="4" w:space="0" w:color="auto"/>
            </w:tcBorders>
            <w:noWrap/>
            <w:vAlign w:val="bottom"/>
            <w:hideMark/>
          </w:tcPr>
          <w:p w:rsidR="00756160" w:rsidRPr="00747200" w14:paraId="4578FBE0" w14:textId="77777777">
            <w:pPr>
              <w:autoSpaceDE/>
              <w:autoSpaceDN/>
              <w:jc w:val="right"/>
              <w:rPr>
                <w:rFonts w:eastAsia="Times New Roman"/>
                <w:color w:val="000000"/>
                <w:sz w:val="16"/>
                <w:szCs w:val="16"/>
              </w:rPr>
            </w:pPr>
            <w:r w:rsidRPr="00747200">
              <w:rPr>
                <w:rFonts w:eastAsia="Times New Roman"/>
                <w:color w:val="000000"/>
                <w:sz w:val="16"/>
                <w:szCs w:val="16"/>
              </w:rPr>
              <w:t>5</w:t>
            </w:r>
          </w:p>
        </w:tc>
        <w:tc>
          <w:tcPr>
            <w:tcW w:w="860" w:type="dxa"/>
            <w:tcBorders>
              <w:top w:val="nil"/>
              <w:left w:val="nil"/>
              <w:bottom w:val="single" w:sz="4" w:space="0" w:color="auto"/>
              <w:right w:val="single" w:sz="4" w:space="0" w:color="auto"/>
            </w:tcBorders>
            <w:noWrap/>
            <w:vAlign w:val="bottom"/>
            <w:hideMark/>
          </w:tcPr>
          <w:p w:rsidR="00756160" w:rsidRPr="00747200" w14:paraId="4D639891" w14:textId="77777777">
            <w:pPr>
              <w:autoSpaceDE/>
              <w:autoSpaceDN/>
              <w:rPr>
                <w:rFonts w:eastAsia="Times New Roman"/>
                <w:color w:val="000000"/>
                <w:sz w:val="16"/>
                <w:szCs w:val="16"/>
              </w:rPr>
            </w:pPr>
            <w:r w:rsidRPr="00747200">
              <w:rPr>
                <w:rFonts w:eastAsia="Times New Roman"/>
                <w:color w:val="000000"/>
                <w:sz w:val="16"/>
                <w:szCs w:val="16"/>
              </w:rPr>
              <w:t xml:space="preserve">           693 </w:t>
            </w:r>
          </w:p>
        </w:tc>
        <w:tc>
          <w:tcPr>
            <w:tcW w:w="1020" w:type="dxa"/>
            <w:tcBorders>
              <w:top w:val="nil"/>
              <w:left w:val="nil"/>
              <w:bottom w:val="single" w:sz="4" w:space="0" w:color="auto"/>
              <w:right w:val="single" w:sz="4" w:space="0" w:color="auto"/>
            </w:tcBorders>
            <w:noWrap/>
            <w:vAlign w:val="bottom"/>
            <w:hideMark/>
          </w:tcPr>
          <w:p w:rsidR="00756160" w:rsidRPr="00747200" w14:paraId="00E0C480" w14:textId="77777777">
            <w:pPr>
              <w:autoSpaceDE/>
              <w:autoSpaceDN/>
              <w:jc w:val="right"/>
              <w:rPr>
                <w:rFonts w:eastAsia="Times New Roman"/>
                <w:color w:val="000000"/>
                <w:sz w:val="16"/>
                <w:szCs w:val="16"/>
              </w:rPr>
            </w:pPr>
            <w:r w:rsidRPr="00747200">
              <w:rPr>
                <w:rFonts w:eastAsia="Times New Roman"/>
                <w:color w:val="000000"/>
                <w:sz w:val="16"/>
                <w:szCs w:val="16"/>
              </w:rPr>
              <w:t>($39,021)</w:t>
            </w:r>
          </w:p>
        </w:tc>
        <w:tc>
          <w:tcPr>
            <w:tcW w:w="820" w:type="dxa"/>
            <w:tcBorders>
              <w:top w:val="nil"/>
              <w:left w:val="nil"/>
              <w:bottom w:val="single" w:sz="4" w:space="0" w:color="auto"/>
              <w:right w:val="single" w:sz="4" w:space="0" w:color="auto"/>
            </w:tcBorders>
            <w:noWrap/>
            <w:vAlign w:val="bottom"/>
            <w:hideMark/>
          </w:tcPr>
          <w:p w:rsidR="00756160" w:rsidRPr="00747200" w14:paraId="49DF2376" w14:textId="77777777">
            <w:pPr>
              <w:autoSpaceDE/>
              <w:autoSpaceDN/>
              <w:rPr>
                <w:rFonts w:eastAsia="Times New Roman"/>
                <w:color w:val="000000"/>
                <w:sz w:val="16"/>
                <w:szCs w:val="16"/>
              </w:rPr>
            </w:pPr>
            <w:r w:rsidRPr="00747200">
              <w:rPr>
                <w:rFonts w:eastAsia="Times New Roman"/>
                <w:color w:val="000000"/>
                <w:sz w:val="16"/>
                <w:szCs w:val="16"/>
              </w:rPr>
              <w:t xml:space="preserve">           403 </w:t>
            </w:r>
          </w:p>
        </w:tc>
        <w:tc>
          <w:tcPr>
            <w:tcW w:w="800" w:type="dxa"/>
            <w:tcBorders>
              <w:top w:val="nil"/>
              <w:left w:val="nil"/>
              <w:bottom w:val="single" w:sz="4" w:space="0" w:color="auto"/>
              <w:right w:val="single" w:sz="4" w:space="0" w:color="auto"/>
            </w:tcBorders>
            <w:vAlign w:val="bottom"/>
            <w:hideMark/>
          </w:tcPr>
          <w:p w:rsidR="00756160" w:rsidRPr="00747200" w14:paraId="10605238" w14:textId="77777777">
            <w:pPr>
              <w:autoSpaceDE/>
              <w:autoSpaceDN/>
              <w:jc w:val="right"/>
              <w:rPr>
                <w:rFonts w:eastAsia="Times New Roman"/>
                <w:color w:val="000000"/>
                <w:sz w:val="16"/>
                <w:szCs w:val="16"/>
              </w:rPr>
            </w:pPr>
            <w:r w:rsidRPr="00747200">
              <w:rPr>
                <w:rFonts w:eastAsia="Times New Roman"/>
                <w:color w:val="000000"/>
                <w:sz w:val="16"/>
                <w:szCs w:val="16"/>
              </w:rPr>
              <w:t xml:space="preserve">$22,700 </w:t>
            </w:r>
          </w:p>
        </w:tc>
        <w:tc>
          <w:tcPr>
            <w:tcW w:w="1000" w:type="dxa"/>
            <w:tcBorders>
              <w:top w:val="nil"/>
              <w:left w:val="nil"/>
              <w:bottom w:val="single" w:sz="4" w:space="0" w:color="auto"/>
              <w:right w:val="single" w:sz="4" w:space="0" w:color="auto"/>
            </w:tcBorders>
            <w:vAlign w:val="bottom"/>
            <w:hideMark/>
          </w:tcPr>
          <w:p w:rsidR="00756160" w:rsidRPr="00747200" w14:paraId="5A3EDFF2" w14:textId="77777777">
            <w:pPr>
              <w:autoSpaceDE/>
              <w:autoSpaceDN/>
              <w:jc w:val="right"/>
              <w:rPr>
                <w:rFonts w:eastAsia="Times New Roman"/>
                <w:color w:val="000000"/>
                <w:sz w:val="16"/>
                <w:szCs w:val="16"/>
              </w:rPr>
            </w:pPr>
            <w:r w:rsidRPr="00747200">
              <w:rPr>
                <w:rFonts w:eastAsia="Times New Roman"/>
                <w:color w:val="000000"/>
                <w:sz w:val="16"/>
                <w:szCs w:val="16"/>
              </w:rPr>
              <w:t>($16,321)</w:t>
            </w:r>
          </w:p>
        </w:tc>
      </w:tr>
      <w:tr w14:paraId="6A894EF8"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6EB98D7D" w14:textId="77777777">
            <w:pPr>
              <w:autoSpaceDE/>
              <w:autoSpaceDN/>
              <w:jc w:val="right"/>
              <w:rPr>
                <w:rFonts w:eastAsia="Times New Roman"/>
                <w:color w:val="000000"/>
                <w:sz w:val="16"/>
                <w:szCs w:val="16"/>
              </w:rPr>
            </w:pPr>
            <w:r w:rsidRPr="00747200">
              <w:rPr>
                <w:rFonts w:eastAsia="Times New Roman"/>
                <w:color w:val="000000"/>
                <w:sz w:val="16"/>
                <w:szCs w:val="16"/>
              </w:rPr>
              <w:t>2038</w:t>
            </w:r>
          </w:p>
        </w:tc>
        <w:tc>
          <w:tcPr>
            <w:tcW w:w="1160" w:type="dxa"/>
            <w:tcBorders>
              <w:top w:val="nil"/>
              <w:left w:val="nil"/>
              <w:bottom w:val="single" w:sz="4" w:space="0" w:color="auto"/>
              <w:right w:val="single" w:sz="4" w:space="0" w:color="auto"/>
            </w:tcBorders>
            <w:noWrap/>
            <w:vAlign w:val="bottom"/>
            <w:hideMark/>
          </w:tcPr>
          <w:p w:rsidR="00756160" w:rsidRPr="00747200" w14:paraId="5F75DFA2"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481120FE" w14:textId="77777777">
            <w:pPr>
              <w:autoSpaceDE/>
              <w:autoSpaceDN/>
              <w:jc w:val="right"/>
              <w:rPr>
                <w:rFonts w:eastAsia="Times New Roman"/>
                <w:color w:val="000000"/>
                <w:sz w:val="16"/>
                <w:szCs w:val="16"/>
              </w:rPr>
            </w:pPr>
            <w:r w:rsidRPr="00747200">
              <w:rPr>
                <w:rFonts w:eastAsia="Times New Roman"/>
                <w:color w:val="000000"/>
                <w:sz w:val="16"/>
                <w:szCs w:val="16"/>
              </w:rPr>
              <w:t>6</w:t>
            </w:r>
          </w:p>
        </w:tc>
        <w:tc>
          <w:tcPr>
            <w:tcW w:w="860" w:type="dxa"/>
            <w:tcBorders>
              <w:top w:val="nil"/>
              <w:left w:val="nil"/>
              <w:bottom w:val="single" w:sz="4" w:space="0" w:color="auto"/>
              <w:right w:val="single" w:sz="4" w:space="0" w:color="auto"/>
            </w:tcBorders>
            <w:noWrap/>
            <w:vAlign w:val="bottom"/>
            <w:hideMark/>
          </w:tcPr>
          <w:p w:rsidR="00756160" w:rsidRPr="00747200" w14:paraId="542B93A1"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26CB5BC9"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628CEEC1" w14:textId="77777777">
            <w:pPr>
              <w:autoSpaceDE/>
              <w:autoSpaceDN/>
              <w:rPr>
                <w:rFonts w:eastAsia="Times New Roman"/>
                <w:color w:val="000000"/>
                <w:sz w:val="16"/>
                <w:szCs w:val="16"/>
              </w:rPr>
            </w:pPr>
            <w:r w:rsidRPr="00747200">
              <w:rPr>
                <w:rFonts w:eastAsia="Times New Roman"/>
                <w:color w:val="000000"/>
                <w:sz w:val="16"/>
                <w:szCs w:val="16"/>
              </w:rPr>
              <w:t xml:space="preserve">           484 </w:t>
            </w:r>
          </w:p>
        </w:tc>
        <w:tc>
          <w:tcPr>
            <w:tcW w:w="800" w:type="dxa"/>
            <w:tcBorders>
              <w:top w:val="nil"/>
              <w:left w:val="nil"/>
              <w:bottom w:val="single" w:sz="4" w:space="0" w:color="auto"/>
              <w:right w:val="single" w:sz="4" w:space="0" w:color="auto"/>
            </w:tcBorders>
            <w:vAlign w:val="bottom"/>
            <w:hideMark/>
          </w:tcPr>
          <w:p w:rsidR="00756160" w:rsidRPr="00747200" w14:paraId="53B05FEB" w14:textId="77777777">
            <w:pPr>
              <w:autoSpaceDE/>
              <w:autoSpaceDN/>
              <w:jc w:val="right"/>
              <w:rPr>
                <w:rFonts w:eastAsia="Times New Roman"/>
                <w:color w:val="000000"/>
                <w:sz w:val="16"/>
                <w:szCs w:val="16"/>
              </w:rPr>
            </w:pPr>
            <w:r w:rsidRPr="00747200">
              <w:rPr>
                <w:rFonts w:eastAsia="Times New Roman"/>
                <w:color w:val="000000"/>
                <w:sz w:val="16"/>
                <w:szCs w:val="16"/>
              </w:rPr>
              <w:t xml:space="preserve">$27,239 </w:t>
            </w:r>
          </w:p>
        </w:tc>
        <w:tc>
          <w:tcPr>
            <w:tcW w:w="1000" w:type="dxa"/>
            <w:tcBorders>
              <w:top w:val="nil"/>
              <w:left w:val="nil"/>
              <w:bottom w:val="single" w:sz="4" w:space="0" w:color="auto"/>
              <w:right w:val="single" w:sz="4" w:space="0" w:color="auto"/>
            </w:tcBorders>
            <w:vAlign w:val="bottom"/>
            <w:hideMark/>
          </w:tcPr>
          <w:p w:rsidR="00756160" w:rsidRPr="00747200" w14:paraId="305C933D" w14:textId="77777777">
            <w:pPr>
              <w:autoSpaceDE/>
              <w:autoSpaceDN/>
              <w:jc w:val="right"/>
              <w:rPr>
                <w:rFonts w:eastAsia="Times New Roman"/>
                <w:color w:val="000000"/>
                <w:sz w:val="16"/>
                <w:szCs w:val="16"/>
              </w:rPr>
            </w:pPr>
            <w:r w:rsidRPr="00747200">
              <w:rPr>
                <w:rFonts w:eastAsia="Times New Roman"/>
                <w:color w:val="000000"/>
                <w:sz w:val="16"/>
                <w:szCs w:val="16"/>
              </w:rPr>
              <w:t xml:space="preserve">$17,484 </w:t>
            </w:r>
          </w:p>
        </w:tc>
      </w:tr>
      <w:tr w14:paraId="2FBFD1E8"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30A768B2" w14:textId="77777777">
            <w:pPr>
              <w:autoSpaceDE/>
              <w:autoSpaceDN/>
              <w:jc w:val="right"/>
              <w:rPr>
                <w:rFonts w:eastAsia="Times New Roman"/>
                <w:color w:val="000000"/>
                <w:sz w:val="16"/>
                <w:szCs w:val="16"/>
              </w:rPr>
            </w:pPr>
            <w:r w:rsidRPr="00747200">
              <w:rPr>
                <w:rFonts w:eastAsia="Times New Roman"/>
                <w:color w:val="000000"/>
                <w:sz w:val="16"/>
                <w:szCs w:val="16"/>
              </w:rPr>
              <w:t>2039</w:t>
            </w:r>
          </w:p>
        </w:tc>
        <w:tc>
          <w:tcPr>
            <w:tcW w:w="1160" w:type="dxa"/>
            <w:tcBorders>
              <w:top w:val="nil"/>
              <w:left w:val="nil"/>
              <w:bottom w:val="single" w:sz="4" w:space="0" w:color="auto"/>
              <w:right w:val="single" w:sz="4" w:space="0" w:color="auto"/>
            </w:tcBorders>
            <w:noWrap/>
            <w:vAlign w:val="bottom"/>
            <w:hideMark/>
          </w:tcPr>
          <w:p w:rsidR="00756160" w:rsidRPr="00747200" w14:paraId="21683E05" w14:textId="77777777">
            <w:pPr>
              <w:autoSpaceDE/>
              <w:autoSpaceDN/>
              <w:jc w:val="right"/>
              <w:rPr>
                <w:rFonts w:eastAsia="Times New Roman"/>
                <w:color w:val="000000"/>
                <w:sz w:val="16"/>
                <w:szCs w:val="16"/>
              </w:rPr>
            </w:pPr>
            <w:r w:rsidRPr="00747200">
              <w:rPr>
                <w:rFonts w:eastAsia="Times New Roman"/>
                <w:color w:val="000000"/>
                <w:sz w:val="16"/>
                <w:szCs w:val="16"/>
              </w:rPr>
              <w:t>1</w:t>
            </w:r>
          </w:p>
        </w:tc>
        <w:tc>
          <w:tcPr>
            <w:tcW w:w="1120" w:type="dxa"/>
            <w:tcBorders>
              <w:top w:val="nil"/>
              <w:left w:val="nil"/>
              <w:bottom w:val="single" w:sz="4" w:space="0" w:color="auto"/>
              <w:right w:val="single" w:sz="4" w:space="0" w:color="auto"/>
            </w:tcBorders>
            <w:noWrap/>
            <w:vAlign w:val="bottom"/>
            <w:hideMark/>
          </w:tcPr>
          <w:p w:rsidR="00756160" w:rsidRPr="00747200" w14:paraId="372018FD" w14:textId="77777777">
            <w:pPr>
              <w:autoSpaceDE/>
              <w:autoSpaceDN/>
              <w:jc w:val="right"/>
              <w:rPr>
                <w:rFonts w:eastAsia="Times New Roman"/>
                <w:color w:val="000000"/>
                <w:sz w:val="16"/>
                <w:szCs w:val="16"/>
              </w:rPr>
            </w:pPr>
            <w:r w:rsidRPr="00747200">
              <w:rPr>
                <w:rFonts w:eastAsia="Times New Roman"/>
                <w:color w:val="000000"/>
                <w:sz w:val="16"/>
                <w:szCs w:val="16"/>
              </w:rPr>
              <w:t>11</w:t>
            </w:r>
          </w:p>
        </w:tc>
        <w:tc>
          <w:tcPr>
            <w:tcW w:w="860" w:type="dxa"/>
            <w:tcBorders>
              <w:top w:val="nil"/>
              <w:left w:val="nil"/>
              <w:bottom w:val="single" w:sz="4" w:space="0" w:color="auto"/>
              <w:right w:val="single" w:sz="4" w:space="0" w:color="auto"/>
            </w:tcBorders>
            <w:noWrap/>
            <w:vAlign w:val="bottom"/>
            <w:hideMark/>
          </w:tcPr>
          <w:p w:rsidR="00756160" w:rsidRPr="00747200" w14:paraId="656B6D36" w14:textId="77777777">
            <w:pPr>
              <w:autoSpaceDE/>
              <w:autoSpaceDN/>
              <w:rPr>
                <w:rFonts w:eastAsia="Times New Roman"/>
                <w:color w:val="000000"/>
                <w:sz w:val="16"/>
                <w:szCs w:val="16"/>
              </w:rPr>
            </w:pPr>
            <w:r w:rsidRPr="00747200">
              <w:rPr>
                <w:rFonts w:eastAsia="Times New Roman"/>
                <w:color w:val="000000"/>
                <w:sz w:val="16"/>
                <w:szCs w:val="16"/>
              </w:rPr>
              <w:t xml:space="preserve">           173 </w:t>
            </w:r>
          </w:p>
        </w:tc>
        <w:tc>
          <w:tcPr>
            <w:tcW w:w="1020" w:type="dxa"/>
            <w:tcBorders>
              <w:top w:val="nil"/>
              <w:left w:val="nil"/>
              <w:bottom w:val="single" w:sz="4" w:space="0" w:color="auto"/>
              <w:right w:val="single" w:sz="4" w:space="0" w:color="auto"/>
            </w:tcBorders>
            <w:noWrap/>
            <w:vAlign w:val="bottom"/>
            <w:hideMark/>
          </w:tcPr>
          <w:p w:rsidR="00756160" w:rsidRPr="00747200" w14:paraId="65499F82" w14:textId="77777777">
            <w:pPr>
              <w:autoSpaceDE/>
              <w:autoSpaceDN/>
              <w:jc w:val="right"/>
              <w:rPr>
                <w:rFonts w:eastAsia="Times New Roman"/>
                <w:color w:val="000000"/>
                <w:sz w:val="16"/>
                <w:szCs w:val="16"/>
              </w:rPr>
            </w:pPr>
            <w:r w:rsidRPr="00747200">
              <w:rPr>
                <w:rFonts w:eastAsia="Times New Roman"/>
                <w:color w:val="000000"/>
                <w:sz w:val="16"/>
                <w:szCs w:val="16"/>
              </w:rPr>
              <w:t>($9,755)</w:t>
            </w:r>
          </w:p>
        </w:tc>
        <w:tc>
          <w:tcPr>
            <w:tcW w:w="820" w:type="dxa"/>
            <w:tcBorders>
              <w:top w:val="nil"/>
              <w:left w:val="nil"/>
              <w:bottom w:val="single" w:sz="4" w:space="0" w:color="auto"/>
              <w:right w:val="single" w:sz="4" w:space="0" w:color="auto"/>
            </w:tcBorders>
            <w:noWrap/>
            <w:vAlign w:val="bottom"/>
            <w:hideMark/>
          </w:tcPr>
          <w:p w:rsidR="00756160" w:rsidRPr="00747200" w14:paraId="547937D6" w14:textId="77777777">
            <w:pPr>
              <w:autoSpaceDE/>
              <w:autoSpaceDN/>
              <w:rPr>
                <w:rFonts w:eastAsia="Times New Roman"/>
                <w:color w:val="000000"/>
                <w:sz w:val="16"/>
                <w:szCs w:val="16"/>
              </w:rPr>
            </w:pPr>
            <w:r w:rsidRPr="00747200">
              <w:rPr>
                <w:rFonts w:eastAsia="Times New Roman"/>
                <w:color w:val="000000"/>
                <w:sz w:val="16"/>
                <w:szCs w:val="16"/>
              </w:rPr>
              <w:t xml:space="preserve">           887 </w:t>
            </w:r>
          </w:p>
        </w:tc>
        <w:tc>
          <w:tcPr>
            <w:tcW w:w="800" w:type="dxa"/>
            <w:tcBorders>
              <w:top w:val="nil"/>
              <w:left w:val="nil"/>
              <w:bottom w:val="single" w:sz="4" w:space="0" w:color="auto"/>
              <w:right w:val="single" w:sz="4" w:space="0" w:color="auto"/>
            </w:tcBorders>
            <w:vAlign w:val="bottom"/>
            <w:hideMark/>
          </w:tcPr>
          <w:p w:rsidR="00756160" w:rsidRPr="00747200" w14:paraId="495FDF03" w14:textId="77777777">
            <w:pPr>
              <w:autoSpaceDE/>
              <w:autoSpaceDN/>
              <w:jc w:val="right"/>
              <w:rPr>
                <w:rFonts w:eastAsia="Times New Roman"/>
                <w:color w:val="000000"/>
                <w:sz w:val="16"/>
                <w:szCs w:val="16"/>
              </w:rPr>
            </w:pPr>
            <w:r w:rsidRPr="00747200">
              <w:rPr>
                <w:rFonts w:eastAsia="Times New Roman"/>
                <w:color w:val="000000"/>
                <w:sz w:val="16"/>
                <w:szCs w:val="16"/>
              </w:rPr>
              <w:t xml:space="preserve">$49,939 </w:t>
            </w:r>
          </w:p>
        </w:tc>
        <w:tc>
          <w:tcPr>
            <w:tcW w:w="1000" w:type="dxa"/>
            <w:tcBorders>
              <w:top w:val="nil"/>
              <w:left w:val="nil"/>
              <w:bottom w:val="single" w:sz="4" w:space="0" w:color="auto"/>
              <w:right w:val="single" w:sz="4" w:space="0" w:color="auto"/>
            </w:tcBorders>
            <w:vAlign w:val="bottom"/>
            <w:hideMark/>
          </w:tcPr>
          <w:p w:rsidR="00756160" w:rsidRPr="00747200" w14:paraId="7DFB60DC" w14:textId="77777777">
            <w:pPr>
              <w:autoSpaceDE/>
              <w:autoSpaceDN/>
              <w:jc w:val="right"/>
              <w:rPr>
                <w:rFonts w:eastAsia="Times New Roman"/>
                <w:color w:val="000000"/>
                <w:sz w:val="16"/>
                <w:szCs w:val="16"/>
              </w:rPr>
            </w:pPr>
            <w:r w:rsidRPr="00747200">
              <w:rPr>
                <w:rFonts w:eastAsia="Times New Roman"/>
                <w:color w:val="000000"/>
                <w:sz w:val="16"/>
                <w:szCs w:val="16"/>
              </w:rPr>
              <w:t xml:space="preserve">$40,184 </w:t>
            </w:r>
          </w:p>
        </w:tc>
      </w:tr>
      <w:tr w14:paraId="3E641127"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6CE48007" w14:textId="77777777">
            <w:pPr>
              <w:autoSpaceDE/>
              <w:autoSpaceDN/>
              <w:jc w:val="right"/>
              <w:rPr>
                <w:rFonts w:eastAsia="Times New Roman"/>
                <w:color w:val="000000"/>
                <w:sz w:val="16"/>
                <w:szCs w:val="16"/>
              </w:rPr>
            </w:pPr>
            <w:r w:rsidRPr="00747200">
              <w:rPr>
                <w:rFonts w:eastAsia="Times New Roman"/>
                <w:color w:val="000000"/>
                <w:sz w:val="16"/>
                <w:szCs w:val="16"/>
              </w:rPr>
              <w:t>2040</w:t>
            </w:r>
          </w:p>
        </w:tc>
        <w:tc>
          <w:tcPr>
            <w:tcW w:w="1160" w:type="dxa"/>
            <w:tcBorders>
              <w:top w:val="nil"/>
              <w:left w:val="nil"/>
              <w:bottom w:val="single" w:sz="4" w:space="0" w:color="auto"/>
              <w:right w:val="single" w:sz="4" w:space="0" w:color="auto"/>
            </w:tcBorders>
            <w:noWrap/>
            <w:vAlign w:val="bottom"/>
            <w:hideMark/>
          </w:tcPr>
          <w:p w:rsidR="00756160" w:rsidRPr="00747200" w14:paraId="15108914" w14:textId="77777777">
            <w:pPr>
              <w:autoSpaceDE/>
              <w:autoSpaceDN/>
              <w:jc w:val="right"/>
              <w:rPr>
                <w:rFonts w:eastAsia="Times New Roman"/>
                <w:color w:val="000000"/>
                <w:sz w:val="16"/>
                <w:szCs w:val="16"/>
              </w:rPr>
            </w:pPr>
            <w:r w:rsidRPr="00747200">
              <w:rPr>
                <w:rFonts w:eastAsia="Times New Roman"/>
                <w:color w:val="000000"/>
                <w:sz w:val="16"/>
                <w:szCs w:val="16"/>
              </w:rPr>
              <w:t>3</w:t>
            </w:r>
          </w:p>
        </w:tc>
        <w:tc>
          <w:tcPr>
            <w:tcW w:w="1120" w:type="dxa"/>
            <w:tcBorders>
              <w:top w:val="nil"/>
              <w:left w:val="nil"/>
              <w:bottom w:val="single" w:sz="4" w:space="0" w:color="auto"/>
              <w:right w:val="single" w:sz="4" w:space="0" w:color="auto"/>
            </w:tcBorders>
            <w:noWrap/>
            <w:vAlign w:val="bottom"/>
            <w:hideMark/>
          </w:tcPr>
          <w:p w:rsidR="00756160" w:rsidRPr="00747200" w14:paraId="3667738C" w14:textId="77777777">
            <w:pPr>
              <w:autoSpaceDE/>
              <w:autoSpaceDN/>
              <w:jc w:val="right"/>
              <w:rPr>
                <w:rFonts w:eastAsia="Times New Roman"/>
                <w:color w:val="000000"/>
                <w:sz w:val="16"/>
                <w:szCs w:val="16"/>
              </w:rPr>
            </w:pPr>
            <w:r w:rsidRPr="00747200">
              <w:rPr>
                <w:rFonts w:eastAsia="Times New Roman"/>
                <w:color w:val="000000"/>
                <w:sz w:val="16"/>
                <w:szCs w:val="16"/>
              </w:rPr>
              <w:t>12</w:t>
            </w:r>
          </w:p>
        </w:tc>
        <w:tc>
          <w:tcPr>
            <w:tcW w:w="860" w:type="dxa"/>
            <w:tcBorders>
              <w:top w:val="nil"/>
              <w:left w:val="nil"/>
              <w:bottom w:val="single" w:sz="4" w:space="0" w:color="auto"/>
              <w:right w:val="single" w:sz="4" w:space="0" w:color="auto"/>
            </w:tcBorders>
            <w:noWrap/>
            <w:vAlign w:val="bottom"/>
            <w:hideMark/>
          </w:tcPr>
          <w:p w:rsidR="00756160" w:rsidRPr="00747200" w14:paraId="39C88CF0" w14:textId="77777777">
            <w:pPr>
              <w:autoSpaceDE/>
              <w:autoSpaceDN/>
              <w:rPr>
                <w:rFonts w:eastAsia="Times New Roman"/>
                <w:color w:val="000000"/>
                <w:sz w:val="16"/>
                <w:szCs w:val="16"/>
              </w:rPr>
            </w:pPr>
            <w:r w:rsidRPr="00747200">
              <w:rPr>
                <w:rFonts w:eastAsia="Times New Roman"/>
                <w:color w:val="000000"/>
                <w:sz w:val="16"/>
                <w:szCs w:val="16"/>
              </w:rPr>
              <w:t xml:space="preserve">           520 </w:t>
            </w:r>
          </w:p>
        </w:tc>
        <w:tc>
          <w:tcPr>
            <w:tcW w:w="1020" w:type="dxa"/>
            <w:tcBorders>
              <w:top w:val="nil"/>
              <w:left w:val="nil"/>
              <w:bottom w:val="single" w:sz="4" w:space="0" w:color="auto"/>
              <w:right w:val="single" w:sz="4" w:space="0" w:color="auto"/>
            </w:tcBorders>
            <w:noWrap/>
            <w:vAlign w:val="bottom"/>
            <w:hideMark/>
          </w:tcPr>
          <w:p w:rsidR="00756160" w:rsidRPr="00747200" w14:paraId="5DD3AD2D" w14:textId="77777777">
            <w:pPr>
              <w:autoSpaceDE/>
              <w:autoSpaceDN/>
              <w:jc w:val="right"/>
              <w:rPr>
                <w:rFonts w:eastAsia="Times New Roman"/>
                <w:color w:val="000000"/>
                <w:sz w:val="16"/>
                <w:szCs w:val="16"/>
              </w:rPr>
            </w:pPr>
            <w:r w:rsidRPr="00747200">
              <w:rPr>
                <w:rFonts w:eastAsia="Times New Roman"/>
                <w:color w:val="000000"/>
                <w:sz w:val="16"/>
                <w:szCs w:val="16"/>
              </w:rPr>
              <w:t>($29,265)</w:t>
            </w:r>
          </w:p>
        </w:tc>
        <w:tc>
          <w:tcPr>
            <w:tcW w:w="820" w:type="dxa"/>
            <w:tcBorders>
              <w:top w:val="nil"/>
              <w:left w:val="nil"/>
              <w:bottom w:val="single" w:sz="4" w:space="0" w:color="auto"/>
              <w:right w:val="single" w:sz="4" w:space="0" w:color="auto"/>
            </w:tcBorders>
            <w:noWrap/>
            <w:vAlign w:val="bottom"/>
            <w:hideMark/>
          </w:tcPr>
          <w:p w:rsidR="00756160" w:rsidRPr="00747200" w14:paraId="1CA776F5" w14:textId="77777777">
            <w:pPr>
              <w:autoSpaceDE/>
              <w:autoSpaceDN/>
              <w:rPr>
                <w:rFonts w:eastAsia="Times New Roman"/>
                <w:color w:val="000000"/>
                <w:sz w:val="16"/>
                <w:szCs w:val="16"/>
              </w:rPr>
            </w:pPr>
            <w:r w:rsidRPr="00747200">
              <w:rPr>
                <w:rFonts w:eastAsia="Times New Roman"/>
                <w:color w:val="000000"/>
                <w:sz w:val="16"/>
                <w:szCs w:val="16"/>
              </w:rPr>
              <w:t xml:space="preserve">           968 </w:t>
            </w:r>
          </w:p>
        </w:tc>
        <w:tc>
          <w:tcPr>
            <w:tcW w:w="800" w:type="dxa"/>
            <w:tcBorders>
              <w:top w:val="nil"/>
              <w:left w:val="nil"/>
              <w:bottom w:val="single" w:sz="4" w:space="0" w:color="auto"/>
              <w:right w:val="single" w:sz="4" w:space="0" w:color="auto"/>
            </w:tcBorders>
            <w:vAlign w:val="bottom"/>
            <w:hideMark/>
          </w:tcPr>
          <w:p w:rsidR="00756160" w:rsidRPr="00747200" w14:paraId="5F8B6626" w14:textId="77777777">
            <w:pPr>
              <w:autoSpaceDE/>
              <w:autoSpaceDN/>
              <w:jc w:val="right"/>
              <w:rPr>
                <w:rFonts w:eastAsia="Times New Roman"/>
                <w:color w:val="000000"/>
                <w:sz w:val="16"/>
                <w:szCs w:val="16"/>
              </w:rPr>
            </w:pPr>
            <w:r w:rsidRPr="00747200">
              <w:rPr>
                <w:rFonts w:eastAsia="Times New Roman"/>
                <w:color w:val="000000"/>
                <w:sz w:val="16"/>
                <w:szCs w:val="16"/>
              </w:rPr>
              <w:t xml:space="preserve">$54,479 </w:t>
            </w:r>
          </w:p>
        </w:tc>
        <w:tc>
          <w:tcPr>
            <w:tcW w:w="1000" w:type="dxa"/>
            <w:tcBorders>
              <w:top w:val="nil"/>
              <w:left w:val="nil"/>
              <w:bottom w:val="single" w:sz="4" w:space="0" w:color="auto"/>
              <w:right w:val="single" w:sz="4" w:space="0" w:color="auto"/>
            </w:tcBorders>
            <w:vAlign w:val="bottom"/>
            <w:hideMark/>
          </w:tcPr>
          <w:p w:rsidR="00756160" w:rsidRPr="00747200" w14:paraId="01DAB526" w14:textId="77777777">
            <w:pPr>
              <w:autoSpaceDE/>
              <w:autoSpaceDN/>
              <w:jc w:val="right"/>
              <w:rPr>
                <w:rFonts w:eastAsia="Times New Roman"/>
                <w:color w:val="000000"/>
                <w:sz w:val="16"/>
                <w:szCs w:val="16"/>
              </w:rPr>
            </w:pPr>
            <w:r w:rsidRPr="00747200">
              <w:rPr>
                <w:rFonts w:eastAsia="Times New Roman"/>
                <w:color w:val="000000"/>
                <w:sz w:val="16"/>
                <w:szCs w:val="16"/>
              </w:rPr>
              <w:t xml:space="preserve">$25,213 </w:t>
            </w:r>
          </w:p>
        </w:tc>
      </w:tr>
      <w:tr w14:paraId="05D1375E"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1FF2CE4D" w14:textId="77777777">
            <w:pPr>
              <w:autoSpaceDE/>
              <w:autoSpaceDN/>
              <w:jc w:val="right"/>
              <w:rPr>
                <w:rFonts w:eastAsia="Times New Roman"/>
                <w:color w:val="000000"/>
                <w:sz w:val="16"/>
                <w:szCs w:val="16"/>
              </w:rPr>
            </w:pPr>
            <w:r w:rsidRPr="00747200">
              <w:rPr>
                <w:rFonts w:eastAsia="Times New Roman"/>
                <w:color w:val="000000"/>
                <w:sz w:val="16"/>
                <w:szCs w:val="16"/>
              </w:rPr>
              <w:t>2041</w:t>
            </w:r>
          </w:p>
        </w:tc>
        <w:tc>
          <w:tcPr>
            <w:tcW w:w="1160" w:type="dxa"/>
            <w:tcBorders>
              <w:top w:val="nil"/>
              <w:left w:val="nil"/>
              <w:bottom w:val="single" w:sz="4" w:space="0" w:color="auto"/>
              <w:right w:val="single" w:sz="4" w:space="0" w:color="auto"/>
            </w:tcBorders>
            <w:noWrap/>
            <w:vAlign w:val="bottom"/>
            <w:hideMark/>
          </w:tcPr>
          <w:p w:rsidR="00756160" w:rsidRPr="00747200" w14:paraId="40E1353E"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1120" w:type="dxa"/>
            <w:tcBorders>
              <w:top w:val="nil"/>
              <w:left w:val="nil"/>
              <w:bottom w:val="single" w:sz="4" w:space="0" w:color="auto"/>
              <w:right w:val="single" w:sz="4" w:space="0" w:color="auto"/>
            </w:tcBorders>
            <w:noWrap/>
            <w:vAlign w:val="bottom"/>
            <w:hideMark/>
          </w:tcPr>
          <w:p w:rsidR="00756160" w:rsidRPr="00747200" w14:paraId="1AC45A20" w14:textId="77777777">
            <w:pPr>
              <w:autoSpaceDE/>
              <w:autoSpaceDN/>
              <w:jc w:val="right"/>
              <w:rPr>
                <w:rFonts w:eastAsia="Times New Roman"/>
                <w:color w:val="000000"/>
                <w:sz w:val="16"/>
                <w:szCs w:val="16"/>
              </w:rPr>
            </w:pPr>
            <w:r w:rsidRPr="00747200">
              <w:rPr>
                <w:rFonts w:eastAsia="Times New Roman"/>
                <w:color w:val="000000"/>
                <w:sz w:val="16"/>
                <w:szCs w:val="16"/>
              </w:rPr>
              <w:t>12</w:t>
            </w:r>
          </w:p>
        </w:tc>
        <w:tc>
          <w:tcPr>
            <w:tcW w:w="860" w:type="dxa"/>
            <w:tcBorders>
              <w:top w:val="nil"/>
              <w:left w:val="nil"/>
              <w:bottom w:val="single" w:sz="4" w:space="0" w:color="auto"/>
              <w:right w:val="single" w:sz="4" w:space="0" w:color="auto"/>
            </w:tcBorders>
            <w:noWrap/>
            <w:vAlign w:val="bottom"/>
            <w:hideMark/>
          </w:tcPr>
          <w:p w:rsidR="00756160" w:rsidRPr="00747200" w14:paraId="79C245DA" w14:textId="77777777">
            <w:pPr>
              <w:autoSpaceDE/>
              <w:autoSpaceDN/>
              <w:rPr>
                <w:rFonts w:eastAsia="Times New Roman"/>
                <w:color w:val="000000"/>
                <w:sz w:val="16"/>
                <w:szCs w:val="16"/>
              </w:rPr>
            </w:pPr>
            <w:r w:rsidRPr="00747200">
              <w:rPr>
                <w:rFonts w:eastAsia="Times New Roman"/>
                <w:color w:val="000000"/>
                <w:sz w:val="16"/>
                <w:szCs w:val="16"/>
              </w:rPr>
              <w:t xml:space="preserve">           347 </w:t>
            </w:r>
          </w:p>
        </w:tc>
        <w:tc>
          <w:tcPr>
            <w:tcW w:w="1020" w:type="dxa"/>
            <w:tcBorders>
              <w:top w:val="nil"/>
              <w:left w:val="nil"/>
              <w:bottom w:val="single" w:sz="4" w:space="0" w:color="auto"/>
              <w:right w:val="single" w:sz="4" w:space="0" w:color="auto"/>
            </w:tcBorders>
            <w:noWrap/>
            <w:vAlign w:val="bottom"/>
            <w:hideMark/>
          </w:tcPr>
          <w:p w:rsidR="00756160" w:rsidRPr="00747200" w14:paraId="2CFEC04C" w14:textId="77777777">
            <w:pPr>
              <w:autoSpaceDE/>
              <w:autoSpaceDN/>
              <w:jc w:val="right"/>
              <w:rPr>
                <w:rFonts w:eastAsia="Times New Roman"/>
                <w:color w:val="000000"/>
                <w:sz w:val="16"/>
                <w:szCs w:val="16"/>
              </w:rPr>
            </w:pPr>
            <w:r w:rsidRPr="00747200">
              <w:rPr>
                <w:rFonts w:eastAsia="Times New Roman"/>
                <w:color w:val="000000"/>
                <w:sz w:val="16"/>
                <w:szCs w:val="16"/>
              </w:rPr>
              <w:t>($19,510)</w:t>
            </w:r>
          </w:p>
        </w:tc>
        <w:tc>
          <w:tcPr>
            <w:tcW w:w="820" w:type="dxa"/>
            <w:tcBorders>
              <w:top w:val="nil"/>
              <w:left w:val="nil"/>
              <w:bottom w:val="single" w:sz="4" w:space="0" w:color="auto"/>
              <w:right w:val="single" w:sz="4" w:space="0" w:color="auto"/>
            </w:tcBorders>
            <w:noWrap/>
            <w:vAlign w:val="bottom"/>
            <w:hideMark/>
          </w:tcPr>
          <w:p w:rsidR="00756160" w:rsidRPr="00747200" w14:paraId="4423E014" w14:textId="77777777">
            <w:pPr>
              <w:autoSpaceDE/>
              <w:autoSpaceDN/>
              <w:rPr>
                <w:rFonts w:eastAsia="Times New Roman"/>
                <w:color w:val="000000"/>
                <w:sz w:val="16"/>
                <w:szCs w:val="16"/>
              </w:rPr>
            </w:pPr>
            <w:r w:rsidRPr="00747200">
              <w:rPr>
                <w:rFonts w:eastAsia="Times New Roman"/>
                <w:color w:val="000000"/>
                <w:sz w:val="16"/>
                <w:szCs w:val="16"/>
              </w:rPr>
              <w:t xml:space="preserve">           968 </w:t>
            </w:r>
          </w:p>
        </w:tc>
        <w:tc>
          <w:tcPr>
            <w:tcW w:w="800" w:type="dxa"/>
            <w:tcBorders>
              <w:top w:val="nil"/>
              <w:left w:val="nil"/>
              <w:bottom w:val="single" w:sz="4" w:space="0" w:color="auto"/>
              <w:right w:val="single" w:sz="4" w:space="0" w:color="auto"/>
            </w:tcBorders>
            <w:vAlign w:val="bottom"/>
            <w:hideMark/>
          </w:tcPr>
          <w:p w:rsidR="00756160" w:rsidRPr="00747200" w14:paraId="2F582925" w14:textId="77777777">
            <w:pPr>
              <w:autoSpaceDE/>
              <w:autoSpaceDN/>
              <w:jc w:val="right"/>
              <w:rPr>
                <w:rFonts w:eastAsia="Times New Roman"/>
                <w:color w:val="000000"/>
                <w:sz w:val="16"/>
                <w:szCs w:val="16"/>
              </w:rPr>
            </w:pPr>
            <w:r w:rsidRPr="00747200">
              <w:rPr>
                <w:rFonts w:eastAsia="Times New Roman"/>
                <w:color w:val="000000"/>
                <w:sz w:val="16"/>
                <w:szCs w:val="16"/>
              </w:rPr>
              <w:t xml:space="preserve">$54,479 </w:t>
            </w:r>
          </w:p>
        </w:tc>
        <w:tc>
          <w:tcPr>
            <w:tcW w:w="1000" w:type="dxa"/>
            <w:tcBorders>
              <w:top w:val="nil"/>
              <w:left w:val="nil"/>
              <w:bottom w:val="single" w:sz="4" w:space="0" w:color="auto"/>
              <w:right w:val="single" w:sz="4" w:space="0" w:color="auto"/>
            </w:tcBorders>
            <w:vAlign w:val="bottom"/>
            <w:hideMark/>
          </w:tcPr>
          <w:p w:rsidR="00756160" w:rsidRPr="00747200" w14:paraId="642F4E06" w14:textId="77777777">
            <w:pPr>
              <w:autoSpaceDE/>
              <w:autoSpaceDN/>
              <w:jc w:val="right"/>
              <w:rPr>
                <w:rFonts w:eastAsia="Times New Roman"/>
                <w:color w:val="000000"/>
                <w:sz w:val="16"/>
                <w:szCs w:val="16"/>
              </w:rPr>
            </w:pPr>
            <w:r w:rsidRPr="00747200">
              <w:rPr>
                <w:rFonts w:eastAsia="Times New Roman"/>
                <w:color w:val="000000"/>
                <w:sz w:val="16"/>
                <w:szCs w:val="16"/>
              </w:rPr>
              <w:t xml:space="preserve">$34,969 </w:t>
            </w:r>
          </w:p>
        </w:tc>
      </w:tr>
      <w:tr w14:paraId="5ABE7F52"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4645B5F0" w14:textId="77777777">
            <w:pPr>
              <w:autoSpaceDE/>
              <w:autoSpaceDN/>
              <w:jc w:val="right"/>
              <w:rPr>
                <w:rFonts w:eastAsia="Times New Roman"/>
                <w:color w:val="000000"/>
                <w:sz w:val="16"/>
                <w:szCs w:val="16"/>
              </w:rPr>
            </w:pPr>
            <w:r w:rsidRPr="00747200">
              <w:rPr>
                <w:rFonts w:eastAsia="Times New Roman"/>
                <w:color w:val="000000"/>
                <w:sz w:val="16"/>
                <w:szCs w:val="16"/>
              </w:rPr>
              <w:t>2042</w:t>
            </w:r>
          </w:p>
        </w:tc>
        <w:tc>
          <w:tcPr>
            <w:tcW w:w="1160" w:type="dxa"/>
            <w:tcBorders>
              <w:top w:val="nil"/>
              <w:left w:val="nil"/>
              <w:bottom w:val="single" w:sz="4" w:space="0" w:color="auto"/>
              <w:right w:val="single" w:sz="4" w:space="0" w:color="auto"/>
            </w:tcBorders>
            <w:noWrap/>
            <w:vAlign w:val="bottom"/>
            <w:hideMark/>
          </w:tcPr>
          <w:p w:rsidR="00756160" w:rsidRPr="00747200" w14:paraId="7B619924"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rsidR="00756160" w:rsidRPr="00747200" w14:paraId="6A3CFBED" w14:textId="77777777">
            <w:pPr>
              <w:autoSpaceDE/>
              <w:autoSpaceDN/>
              <w:jc w:val="right"/>
              <w:rPr>
                <w:rFonts w:eastAsia="Times New Roman"/>
                <w:color w:val="000000"/>
                <w:sz w:val="16"/>
                <w:szCs w:val="16"/>
              </w:rPr>
            </w:pPr>
            <w:r w:rsidRPr="00747200">
              <w:rPr>
                <w:rFonts w:eastAsia="Times New Roman"/>
                <w:color w:val="000000"/>
                <w:sz w:val="16"/>
                <w:szCs w:val="16"/>
              </w:rPr>
              <w:t>14</w:t>
            </w:r>
          </w:p>
        </w:tc>
        <w:tc>
          <w:tcPr>
            <w:tcW w:w="860" w:type="dxa"/>
            <w:tcBorders>
              <w:top w:val="nil"/>
              <w:left w:val="nil"/>
              <w:bottom w:val="single" w:sz="4" w:space="0" w:color="auto"/>
              <w:right w:val="single" w:sz="4" w:space="0" w:color="auto"/>
            </w:tcBorders>
            <w:noWrap/>
            <w:vAlign w:val="bottom"/>
            <w:hideMark/>
          </w:tcPr>
          <w:p w:rsidR="00756160" w:rsidRPr="00747200" w14:paraId="4099AB0F"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noWrap/>
            <w:vAlign w:val="bottom"/>
            <w:hideMark/>
          </w:tcPr>
          <w:p w:rsidR="00756160" w:rsidRPr="00747200" w14:paraId="624430DE"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noWrap/>
            <w:vAlign w:val="bottom"/>
            <w:hideMark/>
          </w:tcPr>
          <w:p w:rsidR="00756160" w:rsidRPr="00747200" w14:paraId="6D13AD5B" w14:textId="77777777">
            <w:pPr>
              <w:autoSpaceDE/>
              <w:autoSpaceDN/>
              <w:rPr>
                <w:rFonts w:eastAsia="Times New Roman"/>
                <w:color w:val="000000"/>
                <w:sz w:val="16"/>
                <w:szCs w:val="16"/>
              </w:rPr>
            </w:pPr>
            <w:r w:rsidRPr="00747200">
              <w:rPr>
                <w:rFonts w:eastAsia="Times New Roman"/>
                <w:color w:val="000000"/>
                <w:sz w:val="16"/>
                <w:szCs w:val="16"/>
              </w:rPr>
              <w:t xml:space="preserve">       1,129 </w:t>
            </w:r>
          </w:p>
        </w:tc>
        <w:tc>
          <w:tcPr>
            <w:tcW w:w="800" w:type="dxa"/>
            <w:tcBorders>
              <w:top w:val="nil"/>
              <w:left w:val="nil"/>
              <w:bottom w:val="single" w:sz="4" w:space="0" w:color="auto"/>
              <w:right w:val="single" w:sz="4" w:space="0" w:color="auto"/>
            </w:tcBorders>
            <w:vAlign w:val="bottom"/>
            <w:hideMark/>
          </w:tcPr>
          <w:p w:rsidR="00756160" w:rsidRPr="00747200" w14:paraId="26EE6DCD" w14:textId="77777777">
            <w:pPr>
              <w:autoSpaceDE/>
              <w:autoSpaceDN/>
              <w:jc w:val="right"/>
              <w:rPr>
                <w:rFonts w:eastAsia="Times New Roman"/>
                <w:color w:val="000000"/>
                <w:sz w:val="16"/>
                <w:szCs w:val="16"/>
              </w:rPr>
            </w:pPr>
            <w:r w:rsidRPr="00747200">
              <w:rPr>
                <w:rFonts w:eastAsia="Times New Roman"/>
                <w:color w:val="000000"/>
                <w:sz w:val="16"/>
                <w:szCs w:val="16"/>
              </w:rPr>
              <w:t xml:space="preserve">$63,559 </w:t>
            </w:r>
          </w:p>
        </w:tc>
        <w:tc>
          <w:tcPr>
            <w:tcW w:w="1000" w:type="dxa"/>
            <w:tcBorders>
              <w:top w:val="nil"/>
              <w:left w:val="nil"/>
              <w:bottom w:val="single" w:sz="4" w:space="0" w:color="auto"/>
              <w:right w:val="single" w:sz="4" w:space="0" w:color="auto"/>
            </w:tcBorders>
            <w:vAlign w:val="bottom"/>
            <w:hideMark/>
          </w:tcPr>
          <w:p w:rsidR="00756160" w:rsidRPr="00747200" w14:paraId="23F72120" w14:textId="77777777">
            <w:pPr>
              <w:autoSpaceDE/>
              <w:autoSpaceDN/>
              <w:jc w:val="right"/>
              <w:rPr>
                <w:rFonts w:eastAsia="Times New Roman"/>
                <w:color w:val="000000"/>
                <w:sz w:val="16"/>
                <w:szCs w:val="16"/>
              </w:rPr>
            </w:pPr>
            <w:r w:rsidRPr="00747200">
              <w:rPr>
                <w:rFonts w:eastAsia="Times New Roman"/>
                <w:color w:val="000000"/>
                <w:sz w:val="16"/>
                <w:szCs w:val="16"/>
              </w:rPr>
              <w:t xml:space="preserve">$63,559 </w:t>
            </w:r>
          </w:p>
        </w:tc>
      </w:tr>
      <w:tr w14:paraId="5FE7B4C1"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59275D8E" w14:textId="77777777">
            <w:pPr>
              <w:autoSpaceDE/>
              <w:autoSpaceDN/>
              <w:jc w:val="right"/>
              <w:rPr>
                <w:rFonts w:eastAsia="Times New Roman"/>
                <w:color w:val="000000"/>
                <w:sz w:val="16"/>
                <w:szCs w:val="16"/>
              </w:rPr>
            </w:pPr>
            <w:r w:rsidRPr="00747200">
              <w:rPr>
                <w:rFonts w:eastAsia="Times New Roman"/>
                <w:color w:val="000000"/>
                <w:sz w:val="16"/>
                <w:szCs w:val="16"/>
              </w:rPr>
              <w:t>2043</w:t>
            </w:r>
          </w:p>
        </w:tc>
        <w:tc>
          <w:tcPr>
            <w:tcW w:w="1160" w:type="dxa"/>
            <w:tcBorders>
              <w:top w:val="nil"/>
              <w:left w:val="nil"/>
              <w:bottom w:val="single" w:sz="4" w:space="0" w:color="auto"/>
              <w:right w:val="single" w:sz="4" w:space="0" w:color="auto"/>
            </w:tcBorders>
            <w:noWrap/>
            <w:vAlign w:val="bottom"/>
            <w:hideMark/>
          </w:tcPr>
          <w:p w:rsidR="00756160" w:rsidRPr="00747200" w14:paraId="563CF896"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1120" w:type="dxa"/>
            <w:tcBorders>
              <w:top w:val="nil"/>
              <w:left w:val="nil"/>
              <w:bottom w:val="single" w:sz="4" w:space="0" w:color="auto"/>
              <w:right w:val="single" w:sz="4" w:space="0" w:color="auto"/>
            </w:tcBorders>
            <w:noWrap/>
            <w:vAlign w:val="bottom"/>
            <w:hideMark/>
          </w:tcPr>
          <w:p w:rsidR="00756160" w:rsidRPr="00747200" w14:paraId="7C1970D3" w14:textId="77777777">
            <w:pPr>
              <w:autoSpaceDE/>
              <w:autoSpaceDN/>
              <w:jc w:val="right"/>
              <w:rPr>
                <w:rFonts w:eastAsia="Times New Roman"/>
                <w:color w:val="000000"/>
                <w:sz w:val="16"/>
                <w:szCs w:val="16"/>
              </w:rPr>
            </w:pPr>
            <w:r w:rsidRPr="00747200">
              <w:rPr>
                <w:rFonts w:eastAsia="Times New Roman"/>
                <w:color w:val="000000"/>
                <w:sz w:val="16"/>
                <w:szCs w:val="16"/>
              </w:rPr>
              <w:t>18</w:t>
            </w:r>
          </w:p>
        </w:tc>
        <w:tc>
          <w:tcPr>
            <w:tcW w:w="860" w:type="dxa"/>
            <w:tcBorders>
              <w:top w:val="nil"/>
              <w:left w:val="nil"/>
              <w:bottom w:val="single" w:sz="4" w:space="0" w:color="auto"/>
              <w:right w:val="single" w:sz="4" w:space="0" w:color="auto"/>
            </w:tcBorders>
            <w:noWrap/>
            <w:vAlign w:val="bottom"/>
            <w:hideMark/>
          </w:tcPr>
          <w:p w:rsidR="00756160" w:rsidRPr="00747200" w14:paraId="770A42CA" w14:textId="77777777">
            <w:pPr>
              <w:autoSpaceDE/>
              <w:autoSpaceDN/>
              <w:rPr>
                <w:rFonts w:eastAsia="Times New Roman"/>
                <w:color w:val="000000"/>
                <w:sz w:val="16"/>
                <w:szCs w:val="16"/>
              </w:rPr>
            </w:pPr>
            <w:r w:rsidRPr="00747200">
              <w:rPr>
                <w:rFonts w:eastAsia="Times New Roman"/>
                <w:color w:val="000000"/>
                <w:sz w:val="16"/>
                <w:szCs w:val="16"/>
              </w:rPr>
              <w:t xml:space="preserve">           347 </w:t>
            </w:r>
          </w:p>
        </w:tc>
        <w:tc>
          <w:tcPr>
            <w:tcW w:w="1020" w:type="dxa"/>
            <w:tcBorders>
              <w:top w:val="nil"/>
              <w:left w:val="nil"/>
              <w:bottom w:val="single" w:sz="4" w:space="0" w:color="auto"/>
              <w:right w:val="single" w:sz="4" w:space="0" w:color="auto"/>
            </w:tcBorders>
            <w:noWrap/>
            <w:vAlign w:val="bottom"/>
            <w:hideMark/>
          </w:tcPr>
          <w:p w:rsidR="00756160" w:rsidRPr="00747200" w14:paraId="5FB12E33" w14:textId="77777777">
            <w:pPr>
              <w:autoSpaceDE/>
              <w:autoSpaceDN/>
              <w:jc w:val="right"/>
              <w:rPr>
                <w:rFonts w:eastAsia="Times New Roman"/>
                <w:color w:val="000000"/>
                <w:sz w:val="16"/>
                <w:szCs w:val="16"/>
              </w:rPr>
            </w:pPr>
            <w:r w:rsidRPr="00747200">
              <w:rPr>
                <w:rFonts w:eastAsia="Times New Roman"/>
                <w:color w:val="000000"/>
                <w:sz w:val="16"/>
                <w:szCs w:val="16"/>
              </w:rPr>
              <w:t>($19,510)</w:t>
            </w:r>
          </w:p>
        </w:tc>
        <w:tc>
          <w:tcPr>
            <w:tcW w:w="820" w:type="dxa"/>
            <w:tcBorders>
              <w:top w:val="nil"/>
              <w:left w:val="nil"/>
              <w:bottom w:val="single" w:sz="4" w:space="0" w:color="auto"/>
              <w:right w:val="single" w:sz="4" w:space="0" w:color="auto"/>
            </w:tcBorders>
            <w:noWrap/>
            <w:vAlign w:val="bottom"/>
            <w:hideMark/>
          </w:tcPr>
          <w:p w:rsidR="00756160" w:rsidRPr="00747200" w14:paraId="2B464D3F" w14:textId="77777777">
            <w:pPr>
              <w:autoSpaceDE/>
              <w:autoSpaceDN/>
              <w:rPr>
                <w:rFonts w:eastAsia="Times New Roman"/>
                <w:color w:val="000000"/>
                <w:sz w:val="16"/>
                <w:szCs w:val="16"/>
              </w:rPr>
            </w:pPr>
            <w:r w:rsidRPr="00747200">
              <w:rPr>
                <w:rFonts w:eastAsia="Times New Roman"/>
                <w:color w:val="000000"/>
                <w:sz w:val="16"/>
                <w:szCs w:val="16"/>
              </w:rPr>
              <w:t xml:space="preserve">       1,452 </w:t>
            </w:r>
          </w:p>
        </w:tc>
        <w:tc>
          <w:tcPr>
            <w:tcW w:w="800" w:type="dxa"/>
            <w:tcBorders>
              <w:top w:val="nil"/>
              <w:left w:val="nil"/>
              <w:bottom w:val="single" w:sz="4" w:space="0" w:color="auto"/>
              <w:right w:val="single" w:sz="4" w:space="0" w:color="auto"/>
            </w:tcBorders>
            <w:vAlign w:val="bottom"/>
            <w:hideMark/>
          </w:tcPr>
          <w:p w:rsidR="00756160" w:rsidRPr="00747200" w14:paraId="430E20E2" w14:textId="77777777">
            <w:pPr>
              <w:autoSpaceDE/>
              <w:autoSpaceDN/>
              <w:jc w:val="right"/>
              <w:rPr>
                <w:rFonts w:eastAsia="Times New Roman"/>
                <w:color w:val="000000"/>
                <w:sz w:val="16"/>
                <w:szCs w:val="16"/>
              </w:rPr>
            </w:pPr>
            <w:r w:rsidRPr="00747200">
              <w:rPr>
                <w:rFonts w:eastAsia="Times New Roman"/>
                <w:color w:val="000000"/>
                <w:sz w:val="16"/>
                <w:szCs w:val="16"/>
              </w:rPr>
              <w:t xml:space="preserve">$81,718 </w:t>
            </w:r>
          </w:p>
        </w:tc>
        <w:tc>
          <w:tcPr>
            <w:tcW w:w="1000" w:type="dxa"/>
            <w:tcBorders>
              <w:top w:val="nil"/>
              <w:left w:val="nil"/>
              <w:bottom w:val="single" w:sz="4" w:space="0" w:color="auto"/>
              <w:right w:val="single" w:sz="4" w:space="0" w:color="auto"/>
            </w:tcBorders>
            <w:vAlign w:val="bottom"/>
            <w:hideMark/>
          </w:tcPr>
          <w:p w:rsidR="00756160" w:rsidRPr="00747200" w14:paraId="10106462" w14:textId="77777777">
            <w:pPr>
              <w:autoSpaceDE/>
              <w:autoSpaceDN/>
              <w:jc w:val="right"/>
              <w:rPr>
                <w:rFonts w:eastAsia="Times New Roman"/>
                <w:color w:val="000000"/>
                <w:sz w:val="16"/>
                <w:szCs w:val="16"/>
              </w:rPr>
            </w:pPr>
            <w:r w:rsidRPr="00747200">
              <w:rPr>
                <w:rFonts w:eastAsia="Times New Roman"/>
                <w:color w:val="000000"/>
                <w:sz w:val="16"/>
                <w:szCs w:val="16"/>
              </w:rPr>
              <w:t xml:space="preserve">$62,208 </w:t>
            </w:r>
          </w:p>
        </w:tc>
      </w:tr>
      <w:tr w14:paraId="6037B693"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570E2FF2" w14:textId="77777777">
            <w:pPr>
              <w:autoSpaceDE/>
              <w:autoSpaceDN/>
              <w:jc w:val="right"/>
              <w:rPr>
                <w:rFonts w:eastAsia="Times New Roman"/>
                <w:color w:val="000000"/>
                <w:sz w:val="16"/>
                <w:szCs w:val="16"/>
              </w:rPr>
            </w:pPr>
            <w:r w:rsidRPr="00747200">
              <w:rPr>
                <w:rFonts w:eastAsia="Times New Roman"/>
                <w:color w:val="000000"/>
                <w:sz w:val="16"/>
                <w:szCs w:val="16"/>
              </w:rPr>
              <w:t>2044</w:t>
            </w:r>
          </w:p>
        </w:tc>
        <w:tc>
          <w:tcPr>
            <w:tcW w:w="1160" w:type="dxa"/>
            <w:tcBorders>
              <w:top w:val="nil"/>
              <w:left w:val="nil"/>
              <w:bottom w:val="single" w:sz="4" w:space="0" w:color="auto"/>
              <w:right w:val="single" w:sz="4" w:space="0" w:color="auto"/>
            </w:tcBorders>
            <w:noWrap/>
            <w:vAlign w:val="bottom"/>
            <w:hideMark/>
          </w:tcPr>
          <w:p w:rsidR="00756160" w:rsidRPr="00747200" w14:paraId="56523CF7" w14:textId="77777777">
            <w:pPr>
              <w:autoSpaceDE/>
              <w:autoSpaceDN/>
              <w:jc w:val="right"/>
              <w:rPr>
                <w:rFonts w:eastAsia="Times New Roman"/>
                <w:color w:val="000000"/>
                <w:sz w:val="16"/>
                <w:szCs w:val="16"/>
              </w:rPr>
            </w:pPr>
            <w:r w:rsidRPr="00747200">
              <w:rPr>
                <w:rFonts w:eastAsia="Times New Roman"/>
                <w:color w:val="000000"/>
                <w:sz w:val="16"/>
                <w:szCs w:val="16"/>
              </w:rPr>
              <w:t>2</w:t>
            </w:r>
          </w:p>
        </w:tc>
        <w:tc>
          <w:tcPr>
            <w:tcW w:w="1120" w:type="dxa"/>
            <w:tcBorders>
              <w:top w:val="nil"/>
              <w:left w:val="nil"/>
              <w:bottom w:val="single" w:sz="4" w:space="0" w:color="auto"/>
              <w:right w:val="single" w:sz="4" w:space="0" w:color="auto"/>
            </w:tcBorders>
            <w:noWrap/>
            <w:vAlign w:val="bottom"/>
            <w:hideMark/>
          </w:tcPr>
          <w:p w:rsidR="00756160" w:rsidRPr="00747200" w14:paraId="2BF9B8B5" w14:textId="77777777">
            <w:pPr>
              <w:autoSpaceDE/>
              <w:autoSpaceDN/>
              <w:jc w:val="right"/>
              <w:rPr>
                <w:rFonts w:eastAsia="Times New Roman"/>
                <w:color w:val="000000"/>
                <w:sz w:val="16"/>
                <w:szCs w:val="16"/>
              </w:rPr>
            </w:pPr>
            <w:r w:rsidRPr="00747200">
              <w:rPr>
                <w:rFonts w:eastAsia="Times New Roman"/>
                <w:color w:val="000000"/>
                <w:sz w:val="16"/>
                <w:szCs w:val="16"/>
              </w:rPr>
              <w:t>21</w:t>
            </w:r>
          </w:p>
        </w:tc>
        <w:tc>
          <w:tcPr>
            <w:tcW w:w="860" w:type="dxa"/>
            <w:tcBorders>
              <w:top w:val="nil"/>
              <w:left w:val="nil"/>
              <w:bottom w:val="single" w:sz="4" w:space="0" w:color="auto"/>
              <w:right w:val="single" w:sz="4" w:space="0" w:color="auto"/>
            </w:tcBorders>
            <w:noWrap/>
            <w:vAlign w:val="bottom"/>
            <w:hideMark/>
          </w:tcPr>
          <w:p w:rsidR="00756160" w:rsidRPr="00747200" w14:paraId="262FBD97" w14:textId="77777777">
            <w:pPr>
              <w:autoSpaceDE/>
              <w:autoSpaceDN/>
              <w:rPr>
                <w:rFonts w:eastAsia="Times New Roman"/>
                <w:color w:val="000000"/>
                <w:sz w:val="16"/>
                <w:szCs w:val="16"/>
              </w:rPr>
            </w:pPr>
            <w:r w:rsidRPr="00747200">
              <w:rPr>
                <w:rFonts w:eastAsia="Times New Roman"/>
                <w:color w:val="000000"/>
                <w:sz w:val="16"/>
                <w:szCs w:val="16"/>
              </w:rPr>
              <w:t xml:space="preserve">           347 </w:t>
            </w:r>
          </w:p>
        </w:tc>
        <w:tc>
          <w:tcPr>
            <w:tcW w:w="1020" w:type="dxa"/>
            <w:tcBorders>
              <w:top w:val="nil"/>
              <w:left w:val="nil"/>
              <w:bottom w:val="single" w:sz="4" w:space="0" w:color="auto"/>
              <w:right w:val="single" w:sz="4" w:space="0" w:color="auto"/>
            </w:tcBorders>
            <w:noWrap/>
            <w:vAlign w:val="bottom"/>
            <w:hideMark/>
          </w:tcPr>
          <w:p w:rsidR="00756160" w:rsidRPr="00747200" w14:paraId="1089086C" w14:textId="77777777">
            <w:pPr>
              <w:autoSpaceDE/>
              <w:autoSpaceDN/>
              <w:jc w:val="right"/>
              <w:rPr>
                <w:rFonts w:eastAsia="Times New Roman"/>
                <w:color w:val="000000"/>
                <w:sz w:val="16"/>
                <w:szCs w:val="16"/>
              </w:rPr>
            </w:pPr>
            <w:r w:rsidRPr="00747200">
              <w:rPr>
                <w:rFonts w:eastAsia="Times New Roman"/>
                <w:color w:val="000000"/>
                <w:sz w:val="16"/>
                <w:szCs w:val="16"/>
              </w:rPr>
              <w:t>($19,510)</w:t>
            </w:r>
          </w:p>
        </w:tc>
        <w:tc>
          <w:tcPr>
            <w:tcW w:w="820" w:type="dxa"/>
            <w:tcBorders>
              <w:top w:val="nil"/>
              <w:left w:val="nil"/>
              <w:bottom w:val="single" w:sz="4" w:space="0" w:color="auto"/>
              <w:right w:val="single" w:sz="4" w:space="0" w:color="auto"/>
            </w:tcBorders>
            <w:noWrap/>
            <w:vAlign w:val="bottom"/>
            <w:hideMark/>
          </w:tcPr>
          <w:p w:rsidR="00756160" w:rsidRPr="00747200" w14:paraId="7414E468" w14:textId="77777777">
            <w:pPr>
              <w:autoSpaceDE/>
              <w:autoSpaceDN/>
              <w:rPr>
                <w:rFonts w:eastAsia="Times New Roman"/>
                <w:color w:val="000000"/>
                <w:sz w:val="16"/>
                <w:szCs w:val="16"/>
              </w:rPr>
            </w:pPr>
            <w:r w:rsidRPr="00747200">
              <w:rPr>
                <w:rFonts w:eastAsia="Times New Roman"/>
                <w:color w:val="000000"/>
                <w:sz w:val="16"/>
                <w:szCs w:val="16"/>
              </w:rPr>
              <w:t xml:space="preserve">       1,694 </w:t>
            </w:r>
          </w:p>
        </w:tc>
        <w:tc>
          <w:tcPr>
            <w:tcW w:w="800" w:type="dxa"/>
            <w:tcBorders>
              <w:top w:val="nil"/>
              <w:left w:val="nil"/>
              <w:bottom w:val="single" w:sz="4" w:space="0" w:color="auto"/>
              <w:right w:val="single" w:sz="4" w:space="0" w:color="auto"/>
            </w:tcBorders>
            <w:vAlign w:val="bottom"/>
            <w:hideMark/>
          </w:tcPr>
          <w:p w:rsidR="00756160" w:rsidRPr="00747200" w14:paraId="608B6D6E" w14:textId="77777777">
            <w:pPr>
              <w:autoSpaceDE/>
              <w:autoSpaceDN/>
              <w:jc w:val="right"/>
              <w:rPr>
                <w:rFonts w:eastAsia="Times New Roman"/>
                <w:color w:val="000000"/>
                <w:sz w:val="16"/>
                <w:szCs w:val="16"/>
              </w:rPr>
            </w:pPr>
            <w:r w:rsidRPr="00747200">
              <w:rPr>
                <w:rFonts w:eastAsia="Times New Roman"/>
                <w:color w:val="000000"/>
                <w:sz w:val="16"/>
                <w:szCs w:val="16"/>
              </w:rPr>
              <w:t xml:space="preserve">$95,338 </w:t>
            </w:r>
          </w:p>
        </w:tc>
        <w:tc>
          <w:tcPr>
            <w:tcW w:w="1000" w:type="dxa"/>
            <w:tcBorders>
              <w:top w:val="nil"/>
              <w:left w:val="nil"/>
              <w:bottom w:val="single" w:sz="4" w:space="0" w:color="auto"/>
              <w:right w:val="single" w:sz="4" w:space="0" w:color="auto"/>
            </w:tcBorders>
            <w:vAlign w:val="bottom"/>
            <w:hideMark/>
          </w:tcPr>
          <w:p w:rsidR="00756160" w:rsidRPr="00747200" w14:paraId="5FF1F458" w14:textId="77777777">
            <w:pPr>
              <w:autoSpaceDE/>
              <w:autoSpaceDN/>
              <w:jc w:val="right"/>
              <w:rPr>
                <w:rFonts w:eastAsia="Times New Roman"/>
                <w:color w:val="000000"/>
                <w:sz w:val="16"/>
                <w:szCs w:val="16"/>
              </w:rPr>
            </w:pPr>
            <w:r w:rsidRPr="00747200">
              <w:rPr>
                <w:rFonts w:eastAsia="Times New Roman"/>
                <w:color w:val="000000"/>
                <w:sz w:val="16"/>
                <w:szCs w:val="16"/>
              </w:rPr>
              <w:t xml:space="preserve">$75,828 </w:t>
            </w:r>
          </w:p>
        </w:tc>
      </w:tr>
      <w:tr w14:paraId="061A8E60"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546400BD" w14:textId="77777777">
            <w:pPr>
              <w:autoSpaceDE/>
              <w:autoSpaceDN/>
              <w:jc w:val="right"/>
              <w:rPr>
                <w:rFonts w:eastAsia="Times New Roman"/>
                <w:color w:val="000000"/>
                <w:sz w:val="16"/>
                <w:szCs w:val="16"/>
              </w:rPr>
            </w:pPr>
            <w:r w:rsidRPr="00747200">
              <w:rPr>
                <w:rFonts w:eastAsia="Times New Roman"/>
                <w:color w:val="000000"/>
                <w:sz w:val="16"/>
                <w:szCs w:val="16"/>
              </w:rPr>
              <w:t>2045</w:t>
            </w:r>
          </w:p>
        </w:tc>
        <w:tc>
          <w:tcPr>
            <w:tcW w:w="1160" w:type="dxa"/>
            <w:tcBorders>
              <w:top w:val="nil"/>
              <w:left w:val="nil"/>
              <w:bottom w:val="single" w:sz="4" w:space="0" w:color="auto"/>
              <w:right w:val="single" w:sz="4" w:space="0" w:color="auto"/>
            </w:tcBorders>
            <w:noWrap/>
            <w:vAlign w:val="bottom"/>
            <w:hideMark/>
          </w:tcPr>
          <w:p w:rsidR="00756160" w:rsidRPr="00747200" w14:paraId="1B7D3C9C" w14:textId="77777777">
            <w:pPr>
              <w:autoSpaceDE/>
              <w:autoSpaceDN/>
              <w:jc w:val="right"/>
              <w:rPr>
                <w:rFonts w:eastAsia="Times New Roman"/>
                <w:color w:val="000000"/>
                <w:sz w:val="16"/>
                <w:szCs w:val="16"/>
              </w:rPr>
            </w:pPr>
            <w:r w:rsidRPr="00747200">
              <w:rPr>
                <w:rFonts w:eastAsia="Times New Roman"/>
                <w:color w:val="000000"/>
                <w:sz w:val="16"/>
                <w:szCs w:val="16"/>
              </w:rPr>
              <w:t>0</w:t>
            </w:r>
          </w:p>
        </w:tc>
        <w:tc>
          <w:tcPr>
            <w:tcW w:w="1120" w:type="dxa"/>
            <w:tcBorders>
              <w:top w:val="nil"/>
              <w:left w:val="nil"/>
              <w:bottom w:val="single" w:sz="4" w:space="0" w:color="auto"/>
              <w:right w:val="single" w:sz="4" w:space="0" w:color="auto"/>
            </w:tcBorders>
            <w:noWrap/>
            <w:vAlign w:val="bottom"/>
            <w:hideMark/>
          </w:tcPr>
          <w:p w:rsidR="00756160" w:rsidRPr="00747200" w14:paraId="2E8B005E" w14:textId="77777777">
            <w:pPr>
              <w:autoSpaceDE/>
              <w:autoSpaceDN/>
              <w:jc w:val="right"/>
              <w:rPr>
                <w:rFonts w:eastAsia="Times New Roman"/>
                <w:color w:val="000000"/>
                <w:sz w:val="16"/>
                <w:szCs w:val="16"/>
              </w:rPr>
            </w:pPr>
            <w:r w:rsidRPr="00747200">
              <w:rPr>
                <w:rFonts w:eastAsia="Times New Roman"/>
                <w:color w:val="000000"/>
                <w:sz w:val="16"/>
                <w:szCs w:val="16"/>
              </w:rPr>
              <w:t>22</w:t>
            </w:r>
          </w:p>
        </w:tc>
        <w:tc>
          <w:tcPr>
            <w:tcW w:w="860" w:type="dxa"/>
            <w:tcBorders>
              <w:top w:val="nil"/>
              <w:left w:val="nil"/>
              <w:bottom w:val="single" w:sz="4" w:space="0" w:color="auto"/>
              <w:right w:val="single" w:sz="4" w:space="0" w:color="auto"/>
            </w:tcBorders>
            <w:noWrap/>
            <w:vAlign w:val="bottom"/>
            <w:hideMark/>
          </w:tcPr>
          <w:p w:rsidR="00756160" w:rsidRPr="00747200" w14:paraId="2599EBDE" w14:textId="77777777">
            <w:pPr>
              <w:autoSpaceDE/>
              <w:autoSpaceDN/>
              <w:rPr>
                <w:rFonts w:eastAsia="Times New Roman"/>
                <w:color w:val="000000"/>
                <w:sz w:val="16"/>
                <w:szCs w:val="16"/>
              </w:rPr>
            </w:pPr>
            <w:r w:rsidRPr="00747200">
              <w:rPr>
                <w:rFonts w:eastAsia="Times New Roman"/>
                <w:color w:val="000000"/>
                <w:sz w:val="16"/>
                <w:szCs w:val="16"/>
              </w:rPr>
              <w:t xml:space="preserve">               -   </w:t>
            </w:r>
          </w:p>
        </w:tc>
        <w:tc>
          <w:tcPr>
            <w:tcW w:w="1020" w:type="dxa"/>
            <w:tcBorders>
              <w:top w:val="nil"/>
              <w:left w:val="nil"/>
              <w:bottom w:val="single" w:sz="4" w:space="0" w:color="auto"/>
              <w:right w:val="single" w:sz="4" w:space="0" w:color="auto"/>
            </w:tcBorders>
            <w:noWrap/>
            <w:vAlign w:val="bottom"/>
            <w:hideMark/>
          </w:tcPr>
          <w:p w:rsidR="00756160" w:rsidRPr="00747200" w14:paraId="1CFA75B3" w14:textId="77777777">
            <w:pPr>
              <w:autoSpaceDE/>
              <w:autoSpaceDN/>
              <w:jc w:val="right"/>
              <w:rPr>
                <w:rFonts w:eastAsia="Times New Roman"/>
                <w:color w:val="000000"/>
                <w:sz w:val="16"/>
                <w:szCs w:val="16"/>
              </w:rPr>
            </w:pPr>
            <w:r w:rsidRPr="00747200">
              <w:rPr>
                <w:rFonts w:eastAsia="Times New Roman"/>
                <w:color w:val="000000"/>
                <w:sz w:val="16"/>
                <w:szCs w:val="16"/>
              </w:rPr>
              <w:t xml:space="preserve">$0 </w:t>
            </w:r>
          </w:p>
        </w:tc>
        <w:tc>
          <w:tcPr>
            <w:tcW w:w="820" w:type="dxa"/>
            <w:tcBorders>
              <w:top w:val="nil"/>
              <w:left w:val="nil"/>
              <w:bottom w:val="single" w:sz="4" w:space="0" w:color="auto"/>
              <w:right w:val="single" w:sz="4" w:space="0" w:color="auto"/>
            </w:tcBorders>
            <w:noWrap/>
            <w:vAlign w:val="bottom"/>
            <w:hideMark/>
          </w:tcPr>
          <w:p w:rsidR="00756160" w:rsidRPr="00747200" w14:paraId="4F820388" w14:textId="77777777">
            <w:pPr>
              <w:autoSpaceDE/>
              <w:autoSpaceDN/>
              <w:rPr>
                <w:rFonts w:eastAsia="Times New Roman"/>
                <w:color w:val="000000"/>
                <w:sz w:val="16"/>
                <w:szCs w:val="16"/>
              </w:rPr>
            </w:pPr>
            <w:r w:rsidRPr="00747200">
              <w:rPr>
                <w:rFonts w:eastAsia="Times New Roman"/>
                <w:color w:val="000000"/>
                <w:sz w:val="16"/>
                <w:szCs w:val="16"/>
              </w:rPr>
              <w:t xml:space="preserve">       1,775 </w:t>
            </w:r>
          </w:p>
        </w:tc>
        <w:tc>
          <w:tcPr>
            <w:tcW w:w="800" w:type="dxa"/>
            <w:tcBorders>
              <w:top w:val="nil"/>
              <w:left w:val="nil"/>
              <w:bottom w:val="single" w:sz="4" w:space="0" w:color="auto"/>
              <w:right w:val="single" w:sz="4" w:space="0" w:color="auto"/>
            </w:tcBorders>
            <w:vAlign w:val="bottom"/>
            <w:hideMark/>
          </w:tcPr>
          <w:p w:rsidR="00756160" w:rsidRPr="00747200" w14:paraId="49CE5864" w14:textId="77777777">
            <w:pPr>
              <w:autoSpaceDE/>
              <w:autoSpaceDN/>
              <w:jc w:val="right"/>
              <w:rPr>
                <w:rFonts w:eastAsia="Times New Roman"/>
                <w:color w:val="000000"/>
                <w:sz w:val="16"/>
                <w:szCs w:val="16"/>
              </w:rPr>
            </w:pPr>
            <w:r w:rsidRPr="00747200">
              <w:rPr>
                <w:rFonts w:eastAsia="Times New Roman"/>
                <w:color w:val="000000"/>
                <w:sz w:val="16"/>
                <w:szCs w:val="16"/>
              </w:rPr>
              <w:t xml:space="preserve">$99,878 </w:t>
            </w:r>
          </w:p>
        </w:tc>
        <w:tc>
          <w:tcPr>
            <w:tcW w:w="1000" w:type="dxa"/>
            <w:tcBorders>
              <w:top w:val="nil"/>
              <w:left w:val="nil"/>
              <w:bottom w:val="single" w:sz="4" w:space="0" w:color="auto"/>
              <w:right w:val="single" w:sz="4" w:space="0" w:color="auto"/>
            </w:tcBorders>
            <w:vAlign w:val="bottom"/>
            <w:hideMark/>
          </w:tcPr>
          <w:p w:rsidR="00756160" w:rsidRPr="00747200" w14:paraId="0C21C1F5" w14:textId="77777777">
            <w:pPr>
              <w:autoSpaceDE/>
              <w:autoSpaceDN/>
              <w:jc w:val="right"/>
              <w:rPr>
                <w:rFonts w:eastAsia="Times New Roman"/>
                <w:color w:val="000000"/>
                <w:sz w:val="16"/>
                <w:szCs w:val="16"/>
              </w:rPr>
            </w:pPr>
            <w:r w:rsidRPr="00747200">
              <w:rPr>
                <w:rFonts w:eastAsia="Times New Roman"/>
                <w:color w:val="000000"/>
                <w:sz w:val="16"/>
                <w:szCs w:val="16"/>
              </w:rPr>
              <w:t xml:space="preserve">$99,878 </w:t>
            </w:r>
          </w:p>
        </w:tc>
      </w:tr>
      <w:tr w14:paraId="1E09FF8D"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43D4BF75" w14:textId="77777777">
            <w:pPr>
              <w:autoSpaceDE/>
              <w:autoSpaceDN/>
              <w:jc w:val="right"/>
              <w:rPr>
                <w:rFonts w:eastAsia="Times New Roman"/>
                <w:b/>
                <w:bCs/>
                <w:color w:val="000000"/>
                <w:sz w:val="16"/>
                <w:szCs w:val="16"/>
              </w:rPr>
            </w:pPr>
            <w:r w:rsidRPr="00747200">
              <w:rPr>
                <w:rFonts w:eastAsia="Times New Roman"/>
                <w:b/>
                <w:bCs/>
                <w:color w:val="000000"/>
                <w:sz w:val="16"/>
                <w:szCs w:val="16"/>
              </w:rPr>
              <w:t>Totals</w:t>
            </w:r>
          </w:p>
        </w:tc>
        <w:tc>
          <w:tcPr>
            <w:tcW w:w="1160" w:type="dxa"/>
            <w:tcBorders>
              <w:top w:val="nil"/>
              <w:left w:val="nil"/>
              <w:bottom w:val="single" w:sz="4" w:space="0" w:color="auto"/>
              <w:right w:val="single" w:sz="4" w:space="0" w:color="auto"/>
            </w:tcBorders>
            <w:noWrap/>
            <w:vAlign w:val="bottom"/>
            <w:hideMark/>
          </w:tcPr>
          <w:p w:rsidR="00756160" w:rsidRPr="00747200" w14:paraId="53C1C963" w14:textId="77777777">
            <w:pPr>
              <w:autoSpaceDE/>
              <w:autoSpaceDN/>
              <w:jc w:val="right"/>
              <w:rPr>
                <w:rFonts w:eastAsia="Times New Roman"/>
                <w:b/>
                <w:bCs/>
                <w:color w:val="000000"/>
                <w:sz w:val="16"/>
                <w:szCs w:val="16"/>
              </w:rPr>
            </w:pPr>
            <w:r w:rsidRPr="00747200">
              <w:rPr>
                <w:rFonts w:eastAsia="Times New Roman"/>
                <w:b/>
                <w:bCs/>
                <w:color w:val="000000"/>
                <w:sz w:val="16"/>
                <w:szCs w:val="16"/>
              </w:rPr>
              <w:t>28</w:t>
            </w:r>
          </w:p>
        </w:tc>
        <w:tc>
          <w:tcPr>
            <w:tcW w:w="1120" w:type="dxa"/>
            <w:tcBorders>
              <w:top w:val="nil"/>
              <w:left w:val="nil"/>
              <w:bottom w:val="single" w:sz="4" w:space="0" w:color="auto"/>
              <w:right w:val="single" w:sz="4" w:space="0" w:color="auto"/>
            </w:tcBorders>
            <w:noWrap/>
            <w:vAlign w:val="bottom"/>
            <w:hideMark/>
          </w:tcPr>
          <w:p w:rsidR="00756160" w:rsidRPr="00747200" w14:paraId="4C57CBA8" w14:textId="77777777">
            <w:pPr>
              <w:autoSpaceDE/>
              <w:autoSpaceDN/>
              <w:jc w:val="right"/>
              <w:rPr>
                <w:rFonts w:eastAsia="Times New Roman"/>
                <w:b/>
                <w:bCs/>
                <w:color w:val="000000"/>
                <w:sz w:val="16"/>
                <w:szCs w:val="16"/>
              </w:rPr>
            </w:pPr>
            <w:r w:rsidRPr="00747200">
              <w:rPr>
                <w:rFonts w:eastAsia="Times New Roman"/>
                <w:b/>
                <w:bCs/>
                <w:color w:val="000000"/>
                <w:sz w:val="16"/>
                <w:szCs w:val="16"/>
              </w:rPr>
              <w:t>137</w:t>
            </w:r>
          </w:p>
        </w:tc>
        <w:tc>
          <w:tcPr>
            <w:tcW w:w="860" w:type="dxa"/>
            <w:tcBorders>
              <w:top w:val="nil"/>
              <w:left w:val="nil"/>
              <w:bottom w:val="single" w:sz="4" w:space="0" w:color="auto"/>
              <w:right w:val="single" w:sz="4" w:space="0" w:color="auto"/>
            </w:tcBorders>
            <w:noWrap/>
            <w:vAlign w:val="bottom"/>
            <w:hideMark/>
          </w:tcPr>
          <w:p w:rsidR="00756160" w:rsidRPr="00747200" w14:paraId="5F2CCD10" w14:textId="77777777">
            <w:pPr>
              <w:autoSpaceDE/>
              <w:autoSpaceDN/>
              <w:rPr>
                <w:rFonts w:eastAsia="Times New Roman"/>
                <w:b/>
                <w:bCs/>
                <w:color w:val="000000"/>
                <w:sz w:val="16"/>
                <w:szCs w:val="16"/>
              </w:rPr>
            </w:pPr>
            <w:r w:rsidRPr="00747200">
              <w:rPr>
                <w:rFonts w:eastAsia="Times New Roman"/>
                <w:b/>
                <w:bCs/>
                <w:color w:val="000000"/>
                <w:sz w:val="16"/>
                <w:szCs w:val="16"/>
              </w:rPr>
              <w:t xml:space="preserve">        4,853 </w:t>
            </w:r>
          </w:p>
        </w:tc>
        <w:tc>
          <w:tcPr>
            <w:tcW w:w="1020" w:type="dxa"/>
            <w:tcBorders>
              <w:top w:val="nil"/>
              <w:left w:val="nil"/>
              <w:bottom w:val="single" w:sz="4" w:space="0" w:color="auto"/>
              <w:right w:val="single" w:sz="4" w:space="0" w:color="auto"/>
            </w:tcBorders>
            <w:vAlign w:val="bottom"/>
            <w:hideMark/>
          </w:tcPr>
          <w:p w:rsidR="00756160" w:rsidRPr="00747200" w14:paraId="54C3C144" w14:textId="77777777">
            <w:pPr>
              <w:autoSpaceDE/>
              <w:autoSpaceDN/>
              <w:jc w:val="right"/>
              <w:rPr>
                <w:rFonts w:eastAsia="Times New Roman"/>
                <w:color w:val="000000"/>
                <w:sz w:val="16"/>
                <w:szCs w:val="16"/>
              </w:rPr>
            </w:pPr>
            <w:r w:rsidRPr="00747200">
              <w:rPr>
                <w:rFonts w:eastAsia="Times New Roman"/>
                <w:color w:val="000000"/>
                <w:sz w:val="16"/>
                <w:szCs w:val="16"/>
              </w:rPr>
              <w:t> </w:t>
            </w:r>
          </w:p>
        </w:tc>
        <w:tc>
          <w:tcPr>
            <w:tcW w:w="820" w:type="dxa"/>
            <w:tcBorders>
              <w:top w:val="nil"/>
              <w:left w:val="nil"/>
              <w:bottom w:val="single" w:sz="4" w:space="0" w:color="auto"/>
              <w:right w:val="single" w:sz="4" w:space="0" w:color="auto"/>
            </w:tcBorders>
            <w:noWrap/>
            <w:vAlign w:val="bottom"/>
            <w:hideMark/>
          </w:tcPr>
          <w:p w:rsidR="00756160" w:rsidRPr="00747200" w14:paraId="74DA4177" w14:textId="77777777">
            <w:pPr>
              <w:autoSpaceDE/>
              <w:autoSpaceDN/>
              <w:rPr>
                <w:rFonts w:eastAsia="Times New Roman"/>
                <w:b/>
                <w:bCs/>
                <w:color w:val="000000"/>
                <w:sz w:val="16"/>
                <w:szCs w:val="16"/>
              </w:rPr>
            </w:pPr>
            <w:r w:rsidRPr="00747200">
              <w:rPr>
                <w:rFonts w:eastAsia="Times New Roman"/>
                <w:b/>
                <w:bCs/>
                <w:color w:val="000000"/>
                <w:sz w:val="16"/>
                <w:szCs w:val="16"/>
              </w:rPr>
              <w:t xml:space="preserve">     11,051 </w:t>
            </w:r>
          </w:p>
        </w:tc>
        <w:tc>
          <w:tcPr>
            <w:tcW w:w="800" w:type="dxa"/>
            <w:tcBorders>
              <w:top w:val="nil"/>
              <w:left w:val="nil"/>
              <w:bottom w:val="single" w:sz="4" w:space="0" w:color="auto"/>
              <w:right w:val="single" w:sz="4" w:space="0" w:color="auto"/>
            </w:tcBorders>
            <w:vAlign w:val="bottom"/>
            <w:hideMark/>
          </w:tcPr>
          <w:p w:rsidR="00756160" w:rsidRPr="00747200" w14:paraId="740E646B" w14:textId="77777777">
            <w:pPr>
              <w:autoSpaceDE/>
              <w:autoSpaceDN/>
              <w:jc w:val="right"/>
              <w:rPr>
                <w:rFonts w:eastAsia="Times New Roman"/>
                <w:color w:val="000000"/>
                <w:sz w:val="16"/>
                <w:szCs w:val="16"/>
              </w:rPr>
            </w:pPr>
            <w:r w:rsidRPr="00747200">
              <w:rPr>
                <w:rFonts w:eastAsia="Times New Roman"/>
                <w:color w:val="000000"/>
                <w:sz w:val="16"/>
                <w:szCs w:val="16"/>
              </w:rPr>
              <w:t> </w:t>
            </w:r>
          </w:p>
        </w:tc>
        <w:tc>
          <w:tcPr>
            <w:tcW w:w="1000" w:type="dxa"/>
            <w:tcBorders>
              <w:top w:val="nil"/>
              <w:left w:val="nil"/>
              <w:bottom w:val="single" w:sz="4" w:space="0" w:color="auto"/>
              <w:right w:val="single" w:sz="4" w:space="0" w:color="auto"/>
            </w:tcBorders>
            <w:vAlign w:val="bottom"/>
            <w:hideMark/>
          </w:tcPr>
          <w:p w:rsidR="00756160" w:rsidRPr="00747200" w14:paraId="672F562E" w14:textId="77777777">
            <w:pPr>
              <w:autoSpaceDE/>
              <w:autoSpaceDN/>
              <w:jc w:val="right"/>
              <w:rPr>
                <w:rFonts w:eastAsia="Times New Roman"/>
                <w:color w:val="000000"/>
                <w:sz w:val="16"/>
                <w:szCs w:val="16"/>
              </w:rPr>
            </w:pPr>
            <w:r w:rsidRPr="00747200">
              <w:rPr>
                <w:rFonts w:eastAsia="Times New Roman"/>
                <w:color w:val="000000"/>
                <w:sz w:val="16"/>
                <w:szCs w:val="16"/>
              </w:rPr>
              <w:t> </w:t>
            </w:r>
          </w:p>
        </w:tc>
      </w:tr>
      <w:tr w14:paraId="264874D4"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009D79BA"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60" w:type="dxa"/>
            <w:tcBorders>
              <w:top w:val="nil"/>
              <w:left w:val="nil"/>
              <w:bottom w:val="single" w:sz="4" w:space="0" w:color="auto"/>
              <w:right w:val="single" w:sz="4" w:space="0" w:color="auto"/>
            </w:tcBorders>
            <w:noWrap/>
            <w:vAlign w:val="bottom"/>
            <w:hideMark/>
          </w:tcPr>
          <w:p w:rsidR="00756160" w:rsidRPr="00747200" w14:paraId="34537C35"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20" w:type="dxa"/>
            <w:tcBorders>
              <w:top w:val="nil"/>
              <w:left w:val="nil"/>
              <w:bottom w:val="single" w:sz="4" w:space="0" w:color="auto"/>
              <w:right w:val="single" w:sz="4" w:space="0" w:color="auto"/>
            </w:tcBorders>
            <w:shd w:val="clear" w:color="000000" w:fill="FFFFFF"/>
            <w:vAlign w:val="center"/>
            <w:hideMark/>
          </w:tcPr>
          <w:p w:rsidR="00756160" w:rsidRPr="00747200" w14:paraId="01D0DA78" w14:textId="77777777">
            <w:pPr>
              <w:autoSpaceDE/>
              <w:autoSpaceDN/>
              <w:jc w:val="right"/>
              <w:rPr>
                <w:rFonts w:eastAsia="Times New Roman"/>
                <w:b/>
                <w:bCs/>
                <w:sz w:val="16"/>
                <w:szCs w:val="16"/>
              </w:rPr>
            </w:pPr>
            <w:r w:rsidRPr="00747200">
              <w:rPr>
                <w:rFonts w:eastAsia="Times New Roman"/>
                <w:b/>
                <w:bCs/>
                <w:sz w:val="16"/>
                <w:szCs w:val="16"/>
              </w:rPr>
              <w:t>7% NPV</w:t>
            </w:r>
          </w:p>
        </w:tc>
        <w:tc>
          <w:tcPr>
            <w:tcW w:w="860" w:type="dxa"/>
            <w:tcBorders>
              <w:top w:val="nil"/>
              <w:left w:val="nil"/>
              <w:bottom w:val="single" w:sz="4" w:space="0" w:color="auto"/>
              <w:right w:val="single" w:sz="4" w:space="0" w:color="auto"/>
            </w:tcBorders>
            <w:noWrap/>
            <w:vAlign w:val="bottom"/>
            <w:hideMark/>
          </w:tcPr>
          <w:p w:rsidR="00756160" w:rsidRPr="00747200" w14:paraId="4459EB13" w14:textId="77777777">
            <w:pPr>
              <w:autoSpaceDE/>
              <w:autoSpaceDN/>
              <w:rPr>
                <w:rFonts w:eastAsia="Times New Roman"/>
                <w:color w:val="000000"/>
                <w:sz w:val="16"/>
                <w:szCs w:val="16"/>
              </w:rPr>
            </w:pPr>
            <w:r w:rsidRPr="00747200">
              <w:rPr>
                <w:rFonts w:eastAsia="Times New Roman"/>
                <w:color w:val="000000"/>
                <w:sz w:val="16"/>
                <w:szCs w:val="16"/>
              </w:rPr>
              <w:t> </w:t>
            </w:r>
          </w:p>
        </w:tc>
        <w:tc>
          <w:tcPr>
            <w:tcW w:w="1020" w:type="dxa"/>
            <w:tcBorders>
              <w:top w:val="nil"/>
              <w:left w:val="nil"/>
              <w:bottom w:val="single" w:sz="4" w:space="0" w:color="auto"/>
              <w:right w:val="single" w:sz="4" w:space="0" w:color="auto"/>
            </w:tcBorders>
            <w:noWrap/>
            <w:vAlign w:val="bottom"/>
            <w:hideMark/>
          </w:tcPr>
          <w:p w:rsidR="00756160" w:rsidRPr="00747200" w14:paraId="489BFFF3" w14:textId="77777777">
            <w:pPr>
              <w:autoSpaceDE/>
              <w:autoSpaceDN/>
              <w:jc w:val="right"/>
              <w:rPr>
                <w:rFonts w:eastAsia="Times New Roman"/>
                <w:b/>
                <w:bCs/>
                <w:color w:val="000000"/>
                <w:sz w:val="16"/>
                <w:szCs w:val="16"/>
              </w:rPr>
            </w:pPr>
            <w:r w:rsidRPr="00747200">
              <w:rPr>
                <w:rFonts w:eastAsia="Times New Roman"/>
                <w:b/>
                <w:bCs/>
                <w:color w:val="000000"/>
                <w:sz w:val="16"/>
                <w:szCs w:val="16"/>
              </w:rPr>
              <w:t>($105,298)</w:t>
            </w:r>
          </w:p>
        </w:tc>
        <w:tc>
          <w:tcPr>
            <w:tcW w:w="820" w:type="dxa"/>
            <w:tcBorders>
              <w:top w:val="nil"/>
              <w:left w:val="nil"/>
              <w:bottom w:val="single" w:sz="4" w:space="0" w:color="auto"/>
              <w:right w:val="single" w:sz="4" w:space="0" w:color="auto"/>
            </w:tcBorders>
            <w:noWrap/>
            <w:vAlign w:val="bottom"/>
            <w:hideMark/>
          </w:tcPr>
          <w:p w:rsidR="00756160" w:rsidRPr="00747200" w14:paraId="23B6DD61" w14:textId="77777777">
            <w:pPr>
              <w:autoSpaceDE/>
              <w:autoSpaceDN/>
              <w:rPr>
                <w:rFonts w:eastAsia="Times New Roman"/>
                <w:b/>
                <w:bCs/>
                <w:color w:val="000000"/>
                <w:sz w:val="16"/>
                <w:szCs w:val="16"/>
              </w:rPr>
            </w:pPr>
            <w:r w:rsidRPr="00747200">
              <w:rPr>
                <w:rFonts w:eastAsia="Times New Roman"/>
                <w:b/>
                <w:bCs/>
                <w:color w:val="000000"/>
                <w:sz w:val="16"/>
                <w:szCs w:val="16"/>
              </w:rPr>
              <w:t> </w:t>
            </w:r>
          </w:p>
        </w:tc>
        <w:tc>
          <w:tcPr>
            <w:tcW w:w="800" w:type="dxa"/>
            <w:tcBorders>
              <w:top w:val="nil"/>
              <w:left w:val="nil"/>
              <w:bottom w:val="single" w:sz="4" w:space="0" w:color="auto"/>
              <w:right w:val="single" w:sz="4" w:space="0" w:color="auto"/>
            </w:tcBorders>
            <w:vAlign w:val="bottom"/>
            <w:hideMark/>
          </w:tcPr>
          <w:p w:rsidR="00756160" w:rsidRPr="00747200" w14:paraId="39578C62"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$177,396 </w:t>
            </w:r>
          </w:p>
        </w:tc>
        <w:tc>
          <w:tcPr>
            <w:tcW w:w="1000" w:type="dxa"/>
            <w:tcBorders>
              <w:top w:val="nil"/>
              <w:left w:val="nil"/>
              <w:bottom w:val="single" w:sz="4" w:space="0" w:color="auto"/>
              <w:right w:val="single" w:sz="4" w:space="0" w:color="auto"/>
            </w:tcBorders>
            <w:vAlign w:val="bottom"/>
            <w:hideMark/>
          </w:tcPr>
          <w:p w:rsidR="00756160" w:rsidRPr="00747200" w14:paraId="6EB163A4"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$72,099 </w:t>
            </w:r>
          </w:p>
        </w:tc>
      </w:tr>
      <w:tr w14:paraId="2FFDECD6" w14:textId="77777777">
        <w:tblPrEx>
          <w:tblW w:w="9360" w:type="dxa"/>
          <w:tblLook w:val="04A0"/>
        </w:tblPrEx>
        <w:trPr>
          <w:trHeight w:val="280"/>
        </w:trPr>
        <w:tc>
          <w:tcPr>
            <w:tcW w:w="720" w:type="dxa"/>
            <w:tcBorders>
              <w:top w:val="nil"/>
              <w:left w:val="single" w:sz="4" w:space="0" w:color="auto"/>
              <w:bottom w:val="single" w:sz="4" w:space="0" w:color="auto"/>
              <w:right w:val="single" w:sz="4" w:space="0" w:color="auto"/>
            </w:tcBorders>
            <w:noWrap/>
            <w:vAlign w:val="bottom"/>
            <w:hideMark/>
          </w:tcPr>
          <w:p w:rsidR="00756160" w:rsidRPr="00747200" w14:paraId="44B6B25F"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60" w:type="dxa"/>
            <w:tcBorders>
              <w:top w:val="nil"/>
              <w:left w:val="nil"/>
              <w:bottom w:val="single" w:sz="4" w:space="0" w:color="auto"/>
              <w:right w:val="single" w:sz="4" w:space="0" w:color="auto"/>
            </w:tcBorders>
            <w:noWrap/>
            <w:vAlign w:val="bottom"/>
            <w:hideMark/>
          </w:tcPr>
          <w:p w:rsidR="00756160" w:rsidRPr="00747200" w14:paraId="2FE5B9AF" w14:textId="77777777">
            <w:pPr>
              <w:autoSpaceDE/>
              <w:autoSpaceDN/>
              <w:rPr>
                <w:rFonts w:eastAsia="Times New Roman"/>
                <w:color w:val="000000"/>
                <w:sz w:val="16"/>
                <w:szCs w:val="16"/>
              </w:rPr>
            </w:pPr>
            <w:r w:rsidRPr="00747200">
              <w:rPr>
                <w:rFonts w:eastAsia="Times New Roman"/>
                <w:color w:val="000000"/>
                <w:sz w:val="16"/>
                <w:szCs w:val="16"/>
              </w:rPr>
              <w:t> </w:t>
            </w:r>
          </w:p>
        </w:tc>
        <w:tc>
          <w:tcPr>
            <w:tcW w:w="1120" w:type="dxa"/>
            <w:tcBorders>
              <w:top w:val="nil"/>
              <w:left w:val="nil"/>
              <w:bottom w:val="single" w:sz="4" w:space="0" w:color="auto"/>
              <w:right w:val="single" w:sz="4" w:space="0" w:color="auto"/>
            </w:tcBorders>
            <w:shd w:val="clear" w:color="000000" w:fill="FFFFFF"/>
            <w:vAlign w:val="center"/>
            <w:hideMark/>
          </w:tcPr>
          <w:p w:rsidR="00756160" w:rsidRPr="00747200" w14:paraId="1B1139E1" w14:textId="77777777">
            <w:pPr>
              <w:autoSpaceDE/>
              <w:autoSpaceDN/>
              <w:jc w:val="right"/>
              <w:rPr>
                <w:rFonts w:eastAsia="Times New Roman"/>
                <w:b/>
                <w:bCs/>
                <w:sz w:val="16"/>
                <w:szCs w:val="16"/>
              </w:rPr>
            </w:pPr>
            <w:r w:rsidRPr="00747200">
              <w:rPr>
                <w:rFonts w:eastAsia="Times New Roman"/>
                <w:b/>
                <w:bCs/>
                <w:sz w:val="16"/>
                <w:szCs w:val="16"/>
              </w:rPr>
              <w:t>3% NPV</w:t>
            </w:r>
          </w:p>
        </w:tc>
        <w:tc>
          <w:tcPr>
            <w:tcW w:w="860" w:type="dxa"/>
            <w:tcBorders>
              <w:top w:val="nil"/>
              <w:left w:val="nil"/>
              <w:bottom w:val="single" w:sz="4" w:space="0" w:color="auto"/>
              <w:right w:val="single" w:sz="4" w:space="0" w:color="auto"/>
            </w:tcBorders>
            <w:noWrap/>
            <w:vAlign w:val="bottom"/>
            <w:hideMark/>
          </w:tcPr>
          <w:p w:rsidR="00756160" w:rsidRPr="00747200" w14:paraId="7EE63544" w14:textId="77777777">
            <w:pPr>
              <w:autoSpaceDE/>
              <w:autoSpaceDN/>
              <w:rPr>
                <w:rFonts w:eastAsia="Times New Roman"/>
                <w:color w:val="000000"/>
                <w:sz w:val="16"/>
                <w:szCs w:val="16"/>
              </w:rPr>
            </w:pPr>
            <w:r w:rsidRPr="00747200">
              <w:rPr>
                <w:rFonts w:eastAsia="Times New Roman"/>
                <w:color w:val="000000"/>
                <w:sz w:val="16"/>
                <w:szCs w:val="16"/>
              </w:rPr>
              <w:t> </w:t>
            </w:r>
          </w:p>
        </w:tc>
        <w:tc>
          <w:tcPr>
            <w:tcW w:w="1020" w:type="dxa"/>
            <w:tcBorders>
              <w:top w:val="nil"/>
              <w:left w:val="nil"/>
              <w:bottom w:val="single" w:sz="4" w:space="0" w:color="auto"/>
              <w:right w:val="single" w:sz="4" w:space="0" w:color="auto"/>
            </w:tcBorders>
            <w:noWrap/>
            <w:vAlign w:val="bottom"/>
            <w:hideMark/>
          </w:tcPr>
          <w:p w:rsidR="00756160" w:rsidRPr="00747200" w14:paraId="60966B4F" w14:textId="77777777">
            <w:pPr>
              <w:autoSpaceDE/>
              <w:autoSpaceDN/>
              <w:jc w:val="right"/>
              <w:rPr>
                <w:rFonts w:eastAsia="Times New Roman"/>
                <w:b/>
                <w:bCs/>
                <w:color w:val="000000"/>
                <w:sz w:val="16"/>
                <w:szCs w:val="16"/>
              </w:rPr>
            </w:pPr>
            <w:r w:rsidRPr="00747200">
              <w:rPr>
                <w:rFonts w:eastAsia="Times New Roman"/>
                <w:b/>
                <w:bCs/>
                <w:color w:val="000000"/>
                <w:sz w:val="16"/>
                <w:szCs w:val="16"/>
              </w:rPr>
              <w:t>($177,888)</w:t>
            </w:r>
          </w:p>
        </w:tc>
        <w:tc>
          <w:tcPr>
            <w:tcW w:w="820" w:type="dxa"/>
            <w:tcBorders>
              <w:top w:val="nil"/>
              <w:left w:val="nil"/>
              <w:bottom w:val="single" w:sz="4" w:space="0" w:color="auto"/>
              <w:right w:val="single" w:sz="4" w:space="0" w:color="auto"/>
            </w:tcBorders>
            <w:noWrap/>
            <w:vAlign w:val="bottom"/>
            <w:hideMark/>
          </w:tcPr>
          <w:p w:rsidR="00756160" w:rsidRPr="00747200" w14:paraId="059FAE6A" w14:textId="77777777">
            <w:pPr>
              <w:autoSpaceDE/>
              <w:autoSpaceDN/>
              <w:rPr>
                <w:rFonts w:eastAsia="Times New Roman"/>
                <w:b/>
                <w:bCs/>
                <w:color w:val="000000"/>
                <w:sz w:val="16"/>
                <w:szCs w:val="16"/>
              </w:rPr>
            </w:pPr>
            <w:r w:rsidRPr="00747200">
              <w:rPr>
                <w:rFonts w:eastAsia="Times New Roman"/>
                <w:b/>
                <w:bCs/>
                <w:color w:val="000000"/>
                <w:sz w:val="16"/>
                <w:szCs w:val="16"/>
              </w:rPr>
              <w:t> </w:t>
            </w:r>
          </w:p>
        </w:tc>
        <w:tc>
          <w:tcPr>
            <w:tcW w:w="800" w:type="dxa"/>
            <w:tcBorders>
              <w:top w:val="nil"/>
              <w:left w:val="nil"/>
              <w:bottom w:val="single" w:sz="4" w:space="0" w:color="auto"/>
              <w:right w:val="single" w:sz="4" w:space="0" w:color="auto"/>
            </w:tcBorders>
            <w:vAlign w:val="bottom"/>
            <w:hideMark/>
          </w:tcPr>
          <w:p w:rsidR="00756160" w:rsidRPr="00747200" w14:paraId="59F2BD85"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$356,254 </w:t>
            </w:r>
          </w:p>
        </w:tc>
        <w:tc>
          <w:tcPr>
            <w:tcW w:w="1000" w:type="dxa"/>
            <w:tcBorders>
              <w:top w:val="nil"/>
              <w:left w:val="nil"/>
              <w:bottom w:val="single" w:sz="4" w:space="0" w:color="auto"/>
              <w:right w:val="single" w:sz="4" w:space="0" w:color="auto"/>
            </w:tcBorders>
            <w:vAlign w:val="bottom"/>
            <w:hideMark/>
          </w:tcPr>
          <w:p w:rsidR="00756160" w:rsidRPr="00747200" w14:paraId="505D8D2E" w14:textId="77777777">
            <w:pPr>
              <w:autoSpaceDE/>
              <w:autoSpaceDN/>
              <w:jc w:val="right"/>
              <w:rPr>
                <w:rFonts w:eastAsia="Times New Roman"/>
                <w:b/>
                <w:bCs/>
                <w:color w:val="000000"/>
                <w:sz w:val="16"/>
                <w:szCs w:val="16"/>
              </w:rPr>
            </w:pPr>
            <w:r w:rsidRPr="00747200">
              <w:rPr>
                <w:rFonts w:eastAsia="Times New Roman"/>
                <w:b/>
                <w:bCs/>
                <w:color w:val="000000"/>
                <w:sz w:val="16"/>
                <w:szCs w:val="16"/>
              </w:rPr>
              <w:t xml:space="preserve">$178,366 </w:t>
            </w:r>
          </w:p>
        </w:tc>
      </w:tr>
    </w:tbl>
    <w:p w:rsidR="00756160" w:rsidRPr="005432D9" w:rsidP="00756160" w14:paraId="3B73A064" w14:textId="77777777">
      <w:pPr>
        <w:pStyle w:val="BodyText"/>
        <w:keepNext/>
        <w:keepLines/>
        <w:rPr>
          <w:i/>
          <w:iCs/>
        </w:rPr>
      </w:pPr>
      <w:r w:rsidRPr="008F486F">
        <w:br/>
      </w:r>
      <w:r w:rsidRPr="005432D9">
        <w:rPr>
          <w:i/>
          <w:iCs/>
        </w:rPr>
        <w:t>Operational Costs</w:t>
      </w:r>
    </w:p>
    <w:p w:rsidR="00756160" w:rsidRPr="008F486F" w:rsidP="00756160" w14:paraId="5DDCDD37" w14:textId="77777777">
      <w:pPr>
        <w:pStyle w:val="BodyText"/>
        <w:keepNext/>
        <w:keepLines/>
      </w:pPr>
    </w:p>
    <w:p w:rsidR="00756160" w:rsidP="00756160" w14:paraId="7D1F6C5B" w14:textId="77777777">
      <w:pPr>
        <w:pStyle w:val="BodyText"/>
        <w:keepLines/>
      </w:pPr>
      <w:r w:rsidRPr="008F486F">
        <w:t>The cost savings for Agreement State regulation are also accrued each time a new fusion machine is built in the State. Table A</w:t>
      </w:r>
      <w:r w:rsidRPr="008F486F">
        <w:noBreakHyphen/>
        <w:t>1 shows the projected addition of fusion machines in Agreement States.</w:t>
      </w:r>
    </w:p>
    <w:p w:rsidR="00756160" w:rsidP="00756160" w14:paraId="398CD60C" w14:textId="77777777">
      <w:pPr>
        <w:pStyle w:val="BodyText"/>
        <w:keepLines/>
      </w:pPr>
    </w:p>
    <w:p w:rsidR="00756160" w:rsidRPr="005A5718" w:rsidP="00756160" w14:paraId="6AFC4EEB" w14:textId="77777777">
      <w:pPr>
        <w:pStyle w:val="BodyText"/>
        <w:keepLines/>
      </w:pPr>
      <w:r w:rsidRPr="005A5718">
        <w:t>For Alternative 2, the staff estimates the net benefit of cost savings for Agreement States due to clarified NRC regulations to be $177,000 at the 7 percent discount rate ($356,000 at 3 percent) as shown in Table 6. These averted costs are due to labor for license application reviews being reduced by 81 hours for each application, which amounts to $4,540 for each application at the $56 per hour labor rate estimated for Agreement States.</w:t>
      </w:r>
    </w:p>
    <w:p w:rsidR="00756160" w:rsidRPr="005A5718" w:rsidP="00756160" w14:paraId="6C6C6EED" w14:textId="77777777">
      <w:pPr>
        <w:pStyle w:val="BodyText"/>
      </w:pPr>
    </w:p>
    <w:p w:rsidR="00756160" w:rsidRPr="005A5718" w:rsidP="00756160" w14:paraId="16E8671F" w14:textId="77777777">
      <w:pPr>
        <w:pStyle w:val="BodyText"/>
      </w:pPr>
      <w:r w:rsidRPr="005A5718">
        <w:t xml:space="preserve">For Alternative 3, the NRC does not have information to quantify the expected lower averted labor effort for each application review when compared to Alternative 2. Staff </w:t>
      </w:r>
      <w:r w:rsidRPr="005A5718">
        <w:t>has</w:t>
      </w:r>
      <w:r w:rsidRPr="005A5718">
        <w:t xml:space="preserve"> calculated the labor savings quantified the same for Alternative 3 as for Alternative 2, despite the likelihood of </w:t>
      </w:r>
      <w:r w:rsidRPr="005A5718">
        <w:t>additional</w:t>
      </w:r>
      <w:r w:rsidRPr="005A5718">
        <w:t xml:space="preserve"> labor that would </w:t>
      </w:r>
      <w:r w:rsidRPr="005A5718">
        <w:t>be needed</w:t>
      </w:r>
      <w:r w:rsidRPr="005A5718">
        <w:t xml:space="preserve"> under Alternative 3 for developing and reviewing custom license conditions and exemptions. Thus, the net benefit of cost savings for Agreement States due to clarified regulations is$177,000 at the 7 percent discount rate ($356,000 at 3 percent) as shown in Table 7.</w:t>
      </w:r>
    </w:p>
    <w:p w:rsidR="00756160" w:rsidRPr="005A5718" w:rsidP="00756160" w14:paraId="6CC8CED3" w14:textId="77777777">
      <w:pPr>
        <w:pStyle w:val="BodyText"/>
      </w:pPr>
    </w:p>
    <w:p w:rsidR="00756160" w:rsidRPr="005A5718" w:rsidP="00756160" w14:paraId="6EB36830" w14:textId="77777777">
      <w:pPr>
        <w:pStyle w:val="BodyText"/>
        <w:rPr>
          <w:i/>
          <w:iCs/>
        </w:rPr>
      </w:pPr>
      <w:r w:rsidRPr="005A5718">
        <w:rPr>
          <w:i/>
          <w:iCs/>
        </w:rPr>
        <w:t>Total Costs</w:t>
      </w:r>
      <w:r w:rsidRPr="005A5718">
        <w:rPr>
          <w:i/>
          <w:iCs/>
        </w:rPr>
        <w:br/>
      </w:r>
    </w:p>
    <w:p w:rsidR="00756160" w:rsidRPr="008F486F" w:rsidP="00756160" w14:paraId="73B0FD3C" w14:textId="77777777">
      <w:pPr>
        <w:pStyle w:val="BodyText"/>
      </w:pPr>
      <w:r w:rsidRPr="005A5718">
        <w:t xml:space="preserve">Thus, for Alternative 2, the NRC estimates the total net quantified costs (implementation and operational costs) for Agreement States to be $367,000 at the 7 percent discount rate ($563,000 at 3 percent). For Alternative 3, NRC estimates a total net </w:t>
      </w:r>
      <w:r w:rsidRPr="005A5718">
        <w:t>benefit</w:t>
      </w:r>
      <w:r w:rsidRPr="005A5718">
        <w:t xml:space="preserve"> of $72,000 at the 7 percent discount rate ($178,000 at 3 percent).</w:t>
      </w:r>
    </w:p>
    <w:p w:rsidR="00756160" w:rsidRPr="008F486F" w:rsidP="00756160" w14:paraId="67EFD41D" w14:textId="77777777">
      <w:pPr>
        <w:pStyle w:val="BodyText"/>
      </w:pPr>
    </w:p>
    <w:p w:rsidR="00756160" w:rsidRPr="008F486F" w:rsidP="00756160" w14:paraId="76A95D55" w14:textId="77777777">
      <w:pPr>
        <w:pStyle w:val="BodyText"/>
      </w:pPr>
      <w:r w:rsidRPr="008F486F">
        <w:t>An averted cost that could not be quantified when not conducting a rulemaking is the potential necessity of license conditions to address issues related to waste management for fusion machines under the current regulations. The costs averted under Alternative 2 compared to Alternatives 1 and 3 would depend on the frequency and quantity of waste disposal required by the choice of future fusion machine technology, in addition to the number of fusion machines operating. This averted cost could not be accurately quantified.</w:t>
      </w:r>
    </w:p>
    <w:p w:rsidR="00756160" w:rsidRPr="008F486F" w:rsidP="00756160" w14:paraId="5A6E8F4C" w14:textId="77777777">
      <w:pPr>
        <w:pStyle w:val="BodyText"/>
      </w:pPr>
    </w:p>
    <w:p w:rsidR="00756160" w:rsidRPr="008F486F" w:rsidP="00756160" w14:paraId="5E7C358B" w14:textId="77777777">
      <w:pPr>
        <w:pStyle w:val="Heading2"/>
        <w:ind w:left="936"/>
        <w:rPr>
          <w:u w:val="none"/>
        </w:rPr>
      </w:pPr>
      <w:bookmarkStart w:id="119" w:name="_Toc176884016"/>
      <w:bookmarkStart w:id="120" w:name="_Toc222796524"/>
      <w:r w:rsidRPr="008F486F">
        <w:rPr>
          <w:u w:val="none"/>
        </w:rPr>
        <w:t>5.4</w:t>
      </w:r>
      <w:r w:rsidRPr="008F486F">
        <w:rPr>
          <w:u w:val="none"/>
        </w:rPr>
        <w:tab/>
        <w:t>Regulatory Efficiency</w:t>
      </w:r>
      <w:bookmarkEnd w:id="119"/>
      <w:bookmarkEnd w:id="120"/>
    </w:p>
    <w:p w:rsidR="00756160" w:rsidRPr="008F486F" w:rsidP="00756160" w14:paraId="5E1EF4A7" w14:textId="77777777">
      <w:pPr>
        <w:pStyle w:val="BodyText"/>
        <w:keepNext/>
      </w:pPr>
    </w:p>
    <w:p w:rsidR="00756160" w:rsidRPr="008F486F" w:rsidP="00756160" w14:paraId="649C9EBB" w14:textId="77777777">
      <w:pPr>
        <w:pStyle w:val="BodyText"/>
      </w:pPr>
      <w:r w:rsidRPr="008F486F">
        <w:t xml:space="preserve">Alternative 2 would ensure a systematic, risk-informed approach to the licensing and regulation of </w:t>
      </w:r>
      <w:r w:rsidRPr="003A6673" w:rsidR="003A6673">
        <w:t xml:space="preserve">byproduct material associated with </w:t>
      </w:r>
      <w:r w:rsidRPr="008F486F">
        <w:t xml:space="preserve">fusion machines and </w:t>
      </w:r>
      <w:r w:rsidR="005521DE">
        <w:t>its</w:t>
      </w:r>
      <w:r w:rsidRPr="008F486F" w:rsidR="005521DE">
        <w:t xml:space="preserve"> </w:t>
      </w:r>
      <w:r w:rsidRPr="008F486F">
        <w:t xml:space="preserve">associated </w:t>
      </w:r>
      <w:r w:rsidR="003A6673">
        <w:t>radiological</w:t>
      </w:r>
      <w:r w:rsidRPr="008F486F">
        <w:t xml:space="preserve"> hazards by developing definitions to establish the scope of regulatory requirements for fusion machines and adding technology-inclusive content-of-application requirements supportive of a performance-based approach to regulation. Addressing these changes in rulemaking with associated guidance would improve the licensing process and enhance regulatory stability, predictability, and clarity. The rule and associated guidance would result in a reduction in the time needed for the development and review of case-by-case applications for new fusion machine licenses. Alternative 2 would be a more efficient way to regulate fusion machines compared to using guidance along with other regulatory tools like license conditions, exemptions, or orders. Alternative 2 would also incorporate definitions provided by the ADVANCE Act into regulations, increasing regulatory efficiency. Alternative 2 would facilitate the efficient disposal of fusion waste by creating a process to determine how fusion waste could be disposed of.</w:t>
      </w:r>
    </w:p>
    <w:p w:rsidR="00756160" w:rsidRPr="008F486F" w:rsidP="00756160" w14:paraId="678253A2" w14:textId="77777777">
      <w:pPr>
        <w:pStyle w:val="BodyText"/>
      </w:pPr>
    </w:p>
    <w:p w:rsidR="00756160" w:rsidRPr="008F486F" w:rsidP="00756160" w14:paraId="0DCF56AE" w14:textId="77777777">
      <w:pPr>
        <w:pStyle w:val="BodyText"/>
      </w:pPr>
      <w:r w:rsidRPr="008F486F">
        <w:t>Alternative 3 would have regulatory efficiency benefits compared to Alternative 1; however, issuing guidance without updating the regulations would be less efficient than updating the regulations and issuing guidance. Alternative 3 would provide less regulatory efficiency relative to Alternative 2 due to the need for customized license conditions and exemptions.</w:t>
      </w:r>
    </w:p>
    <w:p w:rsidR="00756160" w:rsidRPr="008F486F" w:rsidP="00756160" w14:paraId="663D091B" w14:textId="77777777">
      <w:pPr>
        <w:pStyle w:val="BodyText"/>
      </w:pPr>
    </w:p>
    <w:p w:rsidR="00756160" w:rsidRPr="008F486F" w:rsidP="00756160" w14:paraId="4E933DFB" w14:textId="77777777">
      <w:pPr>
        <w:pStyle w:val="Heading2"/>
        <w:keepNext/>
        <w:ind w:left="936"/>
        <w:rPr>
          <w:u w:val="none"/>
        </w:rPr>
      </w:pPr>
      <w:bookmarkStart w:id="121" w:name="_Toc176884017"/>
      <w:bookmarkStart w:id="122" w:name="_Toc222796525"/>
      <w:r w:rsidRPr="008F486F">
        <w:rPr>
          <w:u w:val="none"/>
        </w:rPr>
        <w:t>5.5</w:t>
      </w:r>
      <w:r w:rsidRPr="008F486F">
        <w:rPr>
          <w:u w:val="none"/>
        </w:rPr>
        <w:tab/>
        <w:t>Increased Public Confidence</w:t>
      </w:r>
      <w:bookmarkEnd w:id="121"/>
      <w:bookmarkEnd w:id="122"/>
    </w:p>
    <w:p w:rsidR="00756160" w:rsidRPr="008F486F" w:rsidP="00756160" w14:paraId="01BD929D" w14:textId="77777777">
      <w:pPr>
        <w:pStyle w:val="BodyText"/>
        <w:keepNext/>
      </w:pPr>
    </w:p>
    <w:p w:rsidR="00756160" w:rsidRPr="008F486F" w:rsidP="00756160" w14:paraId="60AE4F00" w14:textId="77777777">
      <w:pPr>
        <w:pStyle w:val="BodyText"/>
      </w:pPr>
      <w:r w:rsidRPr="008F486F">
        <w:t>By clarifying the regulations and guidance that apply to fusion machines, Alternative 2 would increase public confidence in the NRC’s ability to improve its regulations, adapt to regulatory needs identified by stakeholders, provide opportunities for stakeholders to comment on the changes to the fusion machine licensing process, and maintain the NRC’s role as an effective industry regulator. In addition, the rulemaking process provides the greatest opportunity for Commission and public engagement on the issues related to the fusion machine licensing process. Public notice and comment during rulemaking would provide the widest range of viewpoints for Commission consideration before preparation of the final rule. Alternative 3 would be less effective at increasing public confidence because it would not provide the same level of public engagement or clarity compared to Alternative 2.</w:t>
      </w:r>
    </w:p>
    <w:p w:rsidR="00756160" w:rsidRPr="008F486F" w:rsidP="00756160" w14:paraId="1A199529" w14:textId="77777777"/>
    <w:p w:rsidR="00756160" w:rsidRPr="008F486F" w:rsidP="00756160" w14:paraId="627C0E6C" w14:textId="0F3F08F1">
      <w:pPr>
        <w:pStyle w:val="Heading2"/>
        <w:keepNext/>
        <w:ind w:left="936"/>
        <w:rPr>
          <w:u w:val="none"/>
        </w:rPr>
      </w:pPr>
      <w:bookmarkStart w:id="123" w:name="4.4_Uncertainty_Analysis"/>
      <w:bookmarkStart w:id="124" w:name="_bookmark21"/>
      <w:bookmarkStart w:id="125" w:name="_Toc176884018"/>
      <w:bookmarkStart w:id="126" w:name="_Toc222796526"/>
      <w:bookmarkEnd w:id="123"/>
      <w:bookmarkEnd w:id="124"/>
      <w:r w:rsidRPr="008F486F">
        <w:rPr>
          <w:u w:val="none"/>
        </w:rPr>
        <w:t>5.6</w:t>
      </w:r>
      <w:r w:rsidRPr="008F486F">
        <w:rPr>
          <w:u w:val="none"/>
        </w:rPr>
        <w:tab/>
        <w:t>Uncertainty</w:t>
      </w:r>
      <w:r w:rsidRPr="008F486F">
        <w:rPr>
          <w:spacing w:val="-10"/>
          <w:u w:val="none"/>
        </w:rPr>
        <w:t xml:space="preserve"> </w:t>
      </w:r>
      <w:r w:rsidRPr="008F486F">
        <w:rPr>
          <w:u w:val="none"/>
        </w:rPr>
        <w:t>Analysis</w:t>
      </w:r>
      <w:bookmarkEnd w:id="125"/>
      <w:bookmarkEnd w:id="126"/>
    </w:p>
    <w:p w:rsidR="00756160" w:rsidRPr="008F486F" w:rsidP="00756160" w14:paraId="4C423ED8" w14:textId="77777777">
      <w:pPr>
        <w:pStyle w:val="BodyText"/>
        <w:keepNext/>
      </w:pPr>
    </w:p>
    <w:p w:rsidR="00756160" w:rsidRPr="008F486F" w:rsidP="00756160" w14:paraId="2471B6BE" w14:textId="0CBD8044">
      <w:pPr>
        <w:pStyle w:val="BodyText"/>
      </w:pPr>
      <w:r w:rsidRPr="008F486F">
        <w:t>The NRC completed a Monte Carlo sensitivity analysis for this regulatory analysis using the specialty software @Risk program.</w:t>
      </w:r>
      <w:r>
        <w:rPr>
          <w:rStyle w:val="FootnoteReference"/>
        </w:rPr>
        <w:footnoteReference w:id="7"/>
      </w:r>
      <w:r w:rsidRPr="008F486F">
        <w:t xml:space="preserve"> The Monte Carlo approach answers the question, “What distribution of net benefits results from multiple draws of the probability distribution assigned to key variables?”</w:t>
      </w:r>
    </w:p>
    <w:p w:rsidR="00756160" w:rsidRPr="008F486F" w:rsidP="00756160" w14:paraId="397C5B6F" w14:textId="77777777">
      <w:pPr>
        <w:pStyle w:val="BodyText"/>
      </w:pPr>
    </w:p>
    <w:p w:rsidR="00756160" w:rsidRPr="008F486F" w:rsidP="00756160" w14:paraId="72CC84F1" w14:textId="77777777">
      <w:pPr>
        <w:pStyle w:val="Heading3"/>
        <w:keepNext/>
      </w:pPr>
      <w:bookmarkStart w:id="127" w:name="_Toc176884019"/>
      <w:bookmarkStart w:id="128" w:name="_Toc222796527"/>
      <w:r w:rsidRPr="008F486F">
        <w:t>5.6.1</w:t>
      </w:r>
      <w:r w:rsidRPr="008F486F">
        <w:tab/>
        <w:t>Uncertainty Analysis Assumptions</w:t>
      </w:r>
      <w:bookmarkEnd w:id="127"/>
      <w:bookmarkEnd w:id="128"/>
    </w:p>
    <w:p w:rsidR="00756160" w:rsidRPr="008F486F" w:rsidP="00756160" w14:paraId="2B1506AA" w14:textId="77777777">
      <w:pPr>
        <w:pStyle w:val="BodyText"/>
        <w:keepNext/>
      </w:pPr>
    </w:p>
    <w:p w:rsidR="00756160" w:rsidRPr="008F486F" w:rsidP="00756160" w14:paraId="60AD7E00" w14:textId="77777777">
      <w:pPr>
        <w:pStyle w:val="BodyText"/>
        <w:keepNext/>
      </w:pPr>
      <w:r w:rsidRPr="008F486F">
        <w:t>Because</w:t>
      </w:r>
      <w:r w:rsidRPr="008F486F">
        <w:rPr>
          <w:spacing w:val="-2"/>
        </w:rPr>
        <w:t xml:space="preserve"> </w:t>
      </w:r>
      <w:r w:rsidRPr="008F486F">
        <w:t>this</w:t>
      </w:r>
      <w:r w:rsidRPr="008F486F">
        <w:rPr>
          <w:spacing w:val="-1"/>
        </w:rPr>
        <w:t xml:space="preserve"> </w:t>
      </w:r>
      <w:r w:rsidRPr="008F486F">
        <w:t>regulatory</w:t>
      </w:r>
      <w:r w:rsidRPr="008F486F">
        <w:rPr>
          <w:spacing w:val="-2"/>
        </w:rPr>
        <w:t xml:space="preserve"> </w:t>
      </w:r>
      <w:r w:rsidRPr="008F486F">
        <w:t>analysis</w:t>
      </w:r>
      <w:r w:rsidRPr="008F486F">
        <w:rPr>
          <w:spacing w:val="-2"/>
        </w:rPr>
        <w:t xml:space="preserve"> </w:t>
      </w:r>
      <w:r w:rsidRPr="008F486F">
        <w:t>is</w:t>
      </w:r>
      <w:r w:rsidRPr="008F486F">
        <w:rPr>
          <w:spacing w:val="-1"/>
        </w:rPr>
        <w:t xml:space="preserve"> </w:t>
      </w:r>
      <w:r w:rsidRPr="008F486F">
        <w:t>based</w:t>
      </w:r>
      <w:r w:rsidRPr="008F486F">
        <w:rPr>
          <w:spacing w:val="-1"/>
        </w:rPr>
        <w:t xml:space="preserve"> </w:t>
      </w:r>
      <w:r w:rsidRPr="008F486F">
        <w:t>on</w:t>
      </w:r>
      <w:r w:rsidRPr="008F486F">
        <w:rPr>
          <w:spacing w:val="-2"/>
        </w:rPr>
        <w:t xml:space="preserve"> </w:t>
      </w:r>
      <w:r w:rsidRPr="008F486F">
        <w:t>estimates</w:t>
      </w:r>
      <w:r w:rsidRPr="008F486F">
        <w:rPr>
          <w:spacing w:val="-1"/>
        </w:rPr>
        <w:t xml:space="preserve"> </w:t>
      </w:r>
      <w:r w:rsidRPr="008F486F">
        <w:t>of</w:t>
      </w:r>
      <w:r w:rsidRPr="008F486F">
        <w:rPr>
          <w:spacing w:val="-1"/>
        </w:rPr>
        <w:t xml:space="preserve"> </w:t>
      </w:r>
      <w:r w:rsidRPr="008F486F">
        <w:t>values</w:t>
      </w:r>
      <w:r w:rsidRPr="008F486F">
        <w:rPr>
          <w:spacing w:val="-1"/>
        </w:rPr>
        <w:t xml:space="preserve"> </w:t>
      </w:r>
      <w:r w:rsidRPr="008F486F">
        <w:t>that</w:t>
      </w:r>
      <w:r w:rsidRPr="008F486F">
        <w:rPr>
          <w:spacing w:val="-2"/>
        </w:rPr>
        <w:t xml:space="preserve"> </w:t>
      </w:r>
      <w:r w:rsidRPr="008F486F">
        <w:t>are</w:t>
      </w:r>
      <w:r w:rsidRPr="008F486F">
        <w:rPr>
          <w:spacing w:val="-2"/>
        </w:rPr>
        <w:t xml:space="preserve"> </w:t>
      </w:r>
      <w:r>
        <w:t>uncertain</w:t>
      </w:r>
      <w:r w:rsidRPr="008F486F">
        <w:t xml:space="preserve">, the NRC provides the following analysis of the variables that have the greatest amount of uncertainty, using </w:t>
      </w:r>
      <w:r w:rsidRPr="008F486F">
        <w:rPr>
          <w:spacing w:val="-1"/>
        </w:rPr>
        <w:t>a</w:t>
      </w:r>
      <w:r w:rsidRPr="008F486F">
        <w:t xml:space="preserve"> </w:t>
      </w:r>
      <w:r w:rsidRPr="008F486F">
        <w:rPr>
          <w:spacing w:val="-1"/>
        </w:rPr>
        <w:t>Monte</w:t>
      </w:r>
      <w:r w:rsidRPr="008F486F">
        <w:t xml:space="preserve"> </w:t>
      </w:r>
      <w:r w:rsidRPr="008F486F">
        <w:rPr>
          <w:spacing w:val="-1"/>
        </w:rPr>
        <w:t>Carlo</w:t>
      </w:r>
      <w:r w:rsidRPr="008F486F">
        <w:t xml:space="preserve"> </w:t>
      </w:r>
      <w:r w:rsidRPr="008F486F">
        <w:rPr>
          <w:spacing w:val="-1"/>
        </w:rPr>
        <w:t>simulation.</w:t>
      </w:r>
    </w:p>
    <w:p w:rsidR="00756160" w:rsidRPr="007568C1" w:rsidP="00756160" w14:paraId="7AC7A275" w14:textId="77777777">
      <w:pPr>
        <w:pStyle w:val="BodyText"/>
        <w:rPr>
          <w:sz w:val="20"/>
          <w:szCs w:val="20"/>
        </w:rPr>
      </w:pPr>
    </w:p>
    <w:p w:rsidR="00756160" w:rsidRPr="008F486F" w:rsidP="00756160" w14:paraId="57B06840" w14:textId="77777777">
      <w:r w:rsidRPr="008F486F">
        <w:t>Monte Carlo simulations involve introducing uncertainty into the analysis by replacing the point</w:t>
      </w:r>
      <w:r w:rsidRPr="008F486F">
        <w:rPr>
          <w:spacing w:val="-60"/>
        </w:rPr>
        <w:t xml:space="preserve"> </w:t>
      </w:r>
      <w:r w:rsidRPr="008F486F">
        <w:t xml:space="preserve">estimates of the variables used to estimate </w:t>
      </w:r>
      <w:r w:rsidRPr="008F486F">
        <w:t>base case</w:t>
      </w:r>
      <w:r w:rsidRPr="008F486F">
        <w:t xml:space="preserve"> costs and benefits with probability</w:t>
      </w:r>
      <w:r w:rsidRPr="008F486F">
        <w:rPr>
          <w:spacing w:val="1"/>
        </w:rPr>
        <w:t xml:space="preserve"> </w:t>
      </w:r>
      <w:r w:rsidRPr="008F486F">
        <w:t>distributions.</w:t>
      </w:r>
      <w:r w:rsidRPr="008F486F">
        <w:rPr>
          <w:spacing w:val="1"/>
        </w:rPr>
        <w:t xml:space="preserve"> </w:t>
      </w:r>
      <w:r w:rsidRPr="008F486F">
        <w:t>By defining input variables as probability distributions instead of point estimates,</w:t>
      </w:r>
      <w:r w:rsidRPr="008F486F">
        <w:rPr>
          <w:spacing w:val="-59"/>
        </w:rPr>
        <w:t xml:space="preserve"> </w:t>
      </w:r>
      <w:r w:rsidRPr="008F486F">
        <w:t>the influence of uncertainty on the results of the analysis (i.e., the net benefits) can be</w:t>
      </w:r>
      <w:r w:rsidRPr="008F486F">
        <w:rPr>
          <w:spacing w:val="1"/>
        </w:rPr>
        <w:t xml:space="preserve"> </w:t>
      </w:r>
      <w:r w:rsidRPr="008F486F">
        <w:t>effectively</w:t>
      </w:r>
      <w:r w:rsidRPr="008F486F">
        <w:rPr>
          <w:spacing w:val="-1"/>
        </w:rPr>
        <w:t xml:space="preserve"> </w:t>
      </w:r>
      <w:r w:rsidRPr="008F486F">
        <w:t>modeled.</w:t>
      </w:r>
    </w:p>
    <w:p w:rsidR="00756160" w:rsidRPr="00211A66" w:rsidP="00756160" w14:paraId="259C41EF" w14:textId="77777777">
      <w:pPr>
        <w:rPr>
          <w:sz w:val="20"/>
          <w:szCs w:val="20"/>
        </w:rPr>
      </w:pPr>
    </w:p>
    <w:p w:rsidR="00756160" w:rsidRPr="008F486F" w:rsidP="00756160" w14:paraId="769A29C4" w14:textId="77777777">
      <w:r w:rsidRPr="008F486F">
        <w:t>The probability distributions chosen to represent the different variables in the analysis were</w:t>
      </w:r>
      <w:r w:rsidRPr="008F486F">
        <w:rPr>
          <w:spacing w:val="1"/>
        </w:rPr>
        <w:t xml:space="preserve"> </w:t>
      </w:r>
      <w:r w:rsidRPr="008F486F">
        <w:t>bounded by the range-referenced input and the NRC staff’s professional judgment. When defining</w:t>
      </w:r>
      <w:r w:rsidRPr="008F486F">
        <w:rPr>
          <w:spacing w:val="1"/>
        </w:rPr>
        <w:t xml:space="preserve"> </w:t>
      </w:r>
      <w:r w:rsidRPr="008F486F">
        <w:t>the probability distributions for use in a Monte Carlo simulation, summary statistics are needed</w:t>
      </w:r>
      <w:r w:rsidRPr="008F486F">
        <w:rPr>
          <w:spacing w:val="1"/>
        </w:rPr>
        <w:t xml:space="preserve"> </w:t>
      </w:r>
      <w:r w:rsidRPr="008F486F">
        <w:t>to characterize the distributions.</w:t>
      </w:r>
      <w:r w:rsidRPr="008F486F">
        <w:rPr>
          <w:spacing w:val="1"/>
        </w:rPr>
        <w:t xml:space="preserve"> </w:t>
      </w:r>
      <w:r w:rsidRPr="008F486F">
        <w:t xml:space="preserve">These summary statistics include the minimum, most likely, and </w:t>
      </w:r>
      <w:r w:rsidRPr="008F486F">
        <w:rPr>
          <w:spacing w:val="-1"/>
        </w:rPr>
        <w:t>maximum values</w:t>
      </w:r>
      <w:r w:rsidRPr="008F486F">
        <w:rPr>
          <w:spacing w:val="1"/>
        </w:rPr>
        <w:t xml:space="preserve"> </w:t>
      </w:r>
      <w:r w:rsidRPr="008F486F">
        <w:rPr>
          <w:spacing w:val="-1"/>
        </w:rPr>
        <w:t>of</w:t>
      </w:r>
      <w:r w:rsidRPr="008F486F">
        <w:rPr>
          <w:spacing w:val="-2"/>
        </w:rPr>
        <w:t xml:space="preserve"> </w:t>
      </w:r>
      <w:r w:rsidRPr="008F486F">
        <w:rPr>
          <w:spacing w:val="-1"/>
        </w:rPr>
        <w:t>a</w:t>
      </w:r>
      <w:r w:rsidRPr="008F486F">
        <w:t xml:space="preserve"> </w:t>
      </w:r>
      <w:r w:rsidRPr="008F486F">
        <w:rPr>
          <w:spacing w:val="-1"/>
        </w:rPr>
        <w:t>program</w:t>
      </w:r>
      <w:r w:rsidRPr="008F486F">
        <w:t xml:space="preserve"> evaluation and review</w:t>
      </w:r>
      <w:r w:rsidRPr="008F486F">
        <w:rPr>
          <w:spacing w:val="-1"/>
        </w:rPr>
        <w:t xml:space="preserve"> </w:t>
      </w:r>
      <w:r w:rsidRPr="008F486F">
        <w:t>technique (PERT) distribution,</w:t>
      </w:r>
      <w:r>
        <w:rPr>
          <w:rStyle w:val="FootnoteReference"/>
        </w:rPr>
        <w:footnoteReference w:id="8"/>
      </w:r>
      <w:r w:rsidRPr="008F486F">
        <w:t xml:space="preserve"> and the specified integer values of a discrete population.</w:t>
      </w:r>
      <w:r w:rsidRPr="008F486F">
        <w:rPr>
          <w:spacing w:val="1"/>
        </w:rPr>
        <w:t xml:space="preserve"> </w:t>
      </w:r>
      <w:r w:rsidRPr="008F486F">
        <w:t>The NRC used the PERT distribution to reflect the relative</w:t>
      </w:r>
      <w:r w:rsidRPr="008F486F">
        <w:rPr>
          <w:spacing w:val="1"/>
        </w:rPr>
        <w:t xml:space="preserve"> </w:t>
      </w:r>
      <w:r w:rsidRPr="008F486F">
        <w:t>spread</w:t>
      </w:r>
      <w:r w:rsidRPr="008F486F">
        <w:rPr>
          <w:spacing w:val="-1"/>
        </w:rPr>
        <w:t xml:space="preserve"> </w:t>
      </w:r>
      <w:r w:rsidRPr="008F486F">
        <w:t>and</w:t>
      </w:r>
      <w:r w:rsidRPr="008F486F">
        <w:rPr>
          <w:spacing w:val="-1"/>
        </w:rPr>
        <w:t xml:space="preserve"> </w:t>
      </w:r>
      <w:r w:rsidRPr="008F486F">
        <w:t>skewness</w:t>
      </w:r>
      <w:r w:rsidRPr="008F486F">
        <w:rPr>
          <w:spacing w:val="-1"/>
        </w:rPr>
        <w:t xml:space="preserve"> </w:t>
      </w:r>
      <w:r w:rsidRPr="008F486F">
        <w:t>of</w:t>
      </w:r>
      <w:r w:rsidRPr="008F486F">
        <w:rPr>
          <w:spacing w:val="-1"/>
        </w:rPr>
        <w:t xml:space="preserve"> </w:t>
      </w:r>
      <w:r w:rsidRPr="008F486F">
        <w:t>the distribution</w:t>
      </w:r>
      <w:r w:rsidRPr="008F486F">
        <w:rPr>
          <w:spacing w:val="-1"/>
        </w:rPr>
        <w:t xml:space="preserve"> </w:t>
      </w:r>
      <w:r w:rsidRPr="008F486F">
        <w:t>defined</w:t>
      </w:r>
      <w:r w:rsidRPr="008F486F">
        <w:rPr>
          <w:spacing w:val="-1"/>
        </w:rPr>
        <w:t xml:space="preserve"> </w:t>
      </w:r>
      <w:r w:rsidRPr="008F486F">
        <w:t>by the</w:t>
      </w:r>
      <w:r w:rsidRPr="008F486F">
        <w:rPr>
          <w:spacing w:val="-1"/>
        </w:rPr>
        <w:t xml:space="preserve"> </w:t>
      </w:r>
      <w:r w:rsidRPr="008F486F">
        <w:t>three</w:t>
      </w:r>
      <w:r w:rsidRPr="008F486F">
        <w:rPr>
          <w:spacing w:val="-1"/>
        </w:rPr>
        <w:t xml:space="preserve"> </w:t>
      </w:r>
      <w:r w:rsidRPr="008F486F">
        <w:t>estimates.</w:t>
      </w:r>
    </w:p>
    <w:p w:rsidR="00756160" w:rsidRPr="007568C1" w:rsidP="00756160" w14:paraId="13412A09" w14:textId="77777777"/>
    <w:p w:rsidR="00756160" w:rsidRPr="008F486F" w:rsidP="00756160" w14:paraId="45F6490D" w14:textId="77777777">
      <w:r w:rsidRPr="008F486F">
        <w:t>Appendix B identifies the data elements, the distribution and summary statistics, and the mean value of the distribution</w:t>
      </w:r>
      <w:r>
        <w:t>s</w:t>
      </w:r>
      <w:r w:rsidRPr="008F486F">
        <w:t xml:space="preserve"> that the staff used in the uncertainty analysis.</w:t>
      </w:r>
    </w:p>
    <w:p w:rsidR="00756160" w:rsidRPr="007568C1" w:rsidP="00756160" w14:paraId="145D50E4" w14:textId="77777777"/>
    <w:p w:rsidR="00756160" w:rsidRPr="008F486F" w:rsidP="00756160" w14:paraId="5AF4F426" w14:textId="77777777">
      <w:pPr>
        <w:pStyle w:val="Heading3"/>
        <w:keepNext/>
      </w:pPr>
      <w:bookmarkStart w:id="129" w:name="_Toc176884020"/>
      <w:bookmarkStart w:id="130" w:name="_Toc222796528"/>
      <w:r w:rsidRPr="008F486F">
        <w:t>5.6.2</w:t>
      </w:r>
      <w:r w:rsidRPr="008F486F">
        <w:tab/>
        <w:t>Uncertainty Analysis Results</w:t>
      </w:r>
      <w:bookmarkEnd w:id="129"/>
      <w:bookmarkEnd w:id="130"/>
    </w:p>
    <w:p w:rsidR="00756160" w:rsidRPr="007568C1" w:rsidP="00756160" w14:paraId="02472DED" w14:textId="77777777">
      <w:pPr>
        <w:keepNext/>
      </w:pPr>
    </w:p>
    <w:p w:rsidR="00756160" w:rsidRPr="008F486F" w:rsidP="00756160" w14:paraId="7FB98196" w14:textId="77777777">
      <w:r w:rsidRPr="008F486F">
        <w:t>The</w:t>
      </w:r>
      <w:r w:rsidRPr="008F486F">
        <w:rPr>
          <w:spacing w:val="2"/>
        </w:rPr>
        <w:t xml:space="preserve"> </w:t>
      </w:r>
      <w:r w:rsidRPr="008F486F">
        <w:t>NRC</w:t>
      </w:r>
      <w:r w:rsidRPr="008F486F">
        <w:rPr>
          <w:spacing w:val="1"/>
        </w:rPr>
        <w:t xml:space="preserve"> </w:t>
      </w:r>
      <w:r w:rsidRPr="008F486F">
        <w:t>performed</w:t>
      </w:r>
      <w:r w:rsidRPr="008F486F">
        <w:rPr>
          <w:spacing w:val="3"/>
        </w:rPr>
        <w:t xml:space="preserve"> </w:t>
      </w:r>
      <w:r w:rsidRPr="008F486F">
        <w:t>a</w:t>
      </w:r>
      <w:r w:rsidRPr="008F486F">
        <w:rPr>
          <w:spacing w:val="2"/>
        </w:rPr>
        <w:t xml:space="preserve"> </w:t>
      </w:r>
      <w:r w:rsidRPr="008F486F">
        <w:t>Monte</w:t>
      </w:r>
      <w:r w:rsidRPr="008F486F">
        <w:rPr>
          <w:spacing w:val="3"/>
        </w:rPr>
        <w:t xml:space="preserve"> </w:t>
      </w:r>
      <w:r w:rsidRPr="008F486F">
        <w:t>Carlo</w:t>
      </w:r>
      <w:r w:rsidRPr="008F486F">
        <w:rPr>
          <w:spacing w:val="3"/>
        </w:rPr>
        <w:t xml:space="preserve"> </w:t>
      </w:r>
      <w:r w:rsidRPr="008F486F">
        <w:t>simulation</w:t>
      </w:r>
      <w:r w:rsidRPr="008F486F">
        <w:rPr>
          <w:spacing w:val="2"/>
        </w:rPr>
        <w:t xml:space="preserve"> </w:t>
      </w:r>
      <w:r w:rsidRPr="008F486F">
        <w:t>by</w:t>
      </w:r>
      <w:r w:rsidRPr="008F486F">
        <w:rPr>
          <w:spacing w:val="2"/>
        </w:rPr>
        <w:t xml:space="preserve"> </w:t>
      </w:r>
      <w:r w:rsidRPr="008F486F">
        <w:t>repeatedly</w:t>
      </w:r>
      <w:r w:rsidRPr="008F486F">
        <w:rPr>
          <w:spacing w:val="3"/>
        </w:rPr>
        <w:t xml:space="preserve"> </w:t>
      </w:r>
      <w:r w:rsidRPr="008F486F">
        <w:t>recalculating</w:t>
      </w:r>
      <w:r w:rsidRPr="008F486F">
        <w:rPr>
          <w:spacing w:val="2"/>
        </w:rPr>
        <w:t xml:space="preserve"> </w:t>
      </w:r>
      <w:r w:rsidRPr="008F486F">
        <w:t>the</w:t>
      </w:r>
      <w:r w:rsidRPr="008F486F">
        <w:rPr>
          <w:spacing w:val="3"/>
        </w:rPr>
        <w:t xml:space="preserve"> quantifiable </w:t>
      </w:r>
      <w:r w:rsidRPr="008F486F">
        <w:t>results</w:t>
      </w:r>
      <w:r w:rsidRPr="008F486F">
        <w:rPr>
          <w:spacing w:val="1"/>
        </w:rPr>
        <w:t xml:space="preserve"> </w:t>
      </w:r>
      <w:r w:rsidRPr="008F486F">
        <w:t>10,000</w:t>
      </w:r>
      <w:r w:rsidRPr="008F486F">
        <w:rPr>
          <w:spacing w:val="-2"/>
        </w:rPr>
        <w:t> </w:t>
      </w:r>
      <w:r w:rsidRPr="008F486F">
        <w:t>times. For</w:t>
      </w:r>
      <w:r w:rsidRPr="008F486F">
        <w:rPr>
          <w:spacing w:val="-2"/>
        </w:rPr>
        <w:t xml:space="preserve"> </w:t>
      </w:r>
      <w:r w:rsidRPr="008F486F">
        <w:t>each</w:t>
      </w:r>
      <w:r w:rsidRPr="008F486F">
        <w:rPr>
          <w:spacing w:val="-2"/>
        </w:rPr>
        <w:t xml:space="preserve"> </w:t>
      </w:r>
      <w:r w:rsidRPr="008F486F">
        <w:t>iteration,</w:t>
      </w:r>
      <w:r w:rsidRPr="008F486F">
        <w:rPr>
          <w:spacing w:val="-1"/>
        </w:rPr>
        <w:t xml:space="preserve"> </w:t>
      </w:r>
      <w:r w:rsidRPr="008F486F">
        <w:t>the</w:t>
      </w:r>
      <w:r w:rsidRPr="008F486F">
        <w:rPr>
          <w:spacing w:val="-3"/>
        </w:rPr>
        <w:t xml:space="preserve"> program</w:t>
      </w:r>
      <w:r w:rsidRPr="008F486F">
        <w:rPr>
          <w:spacing w:val="-2"/>
        </w:rPr>
        <w:t xml:space="preserve"> </w:t>
      </w:r>
      <w:r w:rsidRPr="008F486F">
        <w:t>chose</w:t>
      </w:r>
      <w:r w:rsidRPr="008F486F">
        <w:rPr>
          <w:spacing w:val="-2"/>
        </w:rPr>
        <w:t xml:space="preserve"> </w:t>
      </w:r>
      <w:r w:rsidRPr="008F486F">
        <w:t>the</w:t>
      </w:r>
      <w:r w:rsidRPr="008F486F">
        <w:rPr>
          <w:spacing w:val="-1"/>
        </w:rPr>
        <w:t xml:space="preserve"> </w:t>
      </w:r>
      <w:r w:rsidRPr="008F486F">
        <w:t>values</w:t>
      </w:r>
      <w:r w:rsidRPr="008F486F">
        <w:rPr>
          <w:spacing w:val="-1"/>
        </w:rPr>
        <w:t xml:space="preserve"> </w:t>
      </w:r>
      <w:r w:rsidRPr="008F486F">
        <w:t>in</w:t>
      </w:r>
      <w:r w:rsidRPr="008F486F">
        <w:rPr>
          <w:spacing w:val="-2"/>
        </w:rPr>
        <w:t xml:space="preserve"> </w:t>
      </w:r>
      <w:r w:rsidRPr="008F486F">
        <w:t>the</w:t>
      </w:r>
      <w:r w:rsidRPr="008F486F">
        <w:rPr>
          <w:spacing w:val="-2"/>
        </w:rPr>
        <w:t xml:space="preserve"> </w:t>
      </w:r>
      <w:r w:rsidRPr="008F486F">
        <w:t>cost</w:t>
      </w:r>
      <w:r w:rsidRPr="008F486F">
        <w:rPr>
          <w:spacing w:val="-1"/>
        </w:rPr>
        <w:t xml:space="preserve"> </w:t>
      </w:r>
      <w:r w:rsidRPr="008F486F">
        <w:t>model</w:t>
      </w:r>
      <w:r w:rsidRPr="008F486F">
        <w:rPr>
          <w:spacing w:val="-1"/>
        </w:rPr>
        <w:t xml:space="preserve"> </w:t>
      </w:r>
      <w:r w:rsidRPr="008F486F">
        <w:t>randomly from the probability distributions that define the input variables.</w:t>
      </w:r>
      <w:r w:rsidRPr="008F486F">
        <w:rPr>
          <w:spacing w:val="1"/>
        </w:rPr>
        <w:t xml:space="preserve"> </w:t>
      </w:r>
      <w:r w:rsidRPr="008F486F">
        <w:t>The model recorded the values of the output variables for each iteration and used these resulting output variable values to</w:t>
      </w:r>
      <w:r w:rsidRPr="008F486F">
        <w:rPr>
          <w:spacing w:val="1"/>
        </w:rPr>
        <w:t xml:space="preserve"> </w:t>
      </w:r>
      <w:r w:rsidRPr="008F486F">
        <w:t>define</w:t>
      </w:r>
      <w:r w:rsidRPr="008F486F">
        <w:rPr>
          <w:spacing w:val="-1"/>
        </w:rPr>
        <w:t xml:space="preserve"> </w:t>
      </w:r>
      <w:r w:rsidRPr="008F486F">
        <w:t>the resultant</w:t>
      </w:r>
      <w:r w:rsidRPr="008F486F">
        <w:rPr>
          <w:spacing w:val="-1"/>
        </w:rPr>
        <w:t xml:space="preserve"> </w:t>
      </w:r>
      <w:r w:rsidRPr="008F486F">
        <w:t>probability distribution,</w:t>
      </w:r>
      <w:r w:rsidRPr="008F486F">
        <w:rPr>
          <w:spacing w:val="-1"/>
        </w:rPr>
        <w:t xml:space="preserve"> </w:t>
      </w:r>
      <w:r w:rsidRPr="008F486F">
        <w:t>in terms of</w:t>
      </w:r>
      <w:r w:rsidRPr="008F486F">
        <w:rPr>
          <w:spacing w:val="-1"/>
        </w:rPr>
        <w:t xml:space="preserve"> </w:t>
      </w:r>
      <w:r w:rsidRPr="008F486F">
        <w:t>costs</w:t>
      </w:r>
      <w:r w:rsidRPr="008F486F">
        <w:rPr>
          <w:spacing w:val="-1"/>
        </w:rPr>
        <w:t xml:space="preserve"> </w:t>
      </w:r>
      <w:r w:rsidRPr="008F486F">
        <w:t>and</w:t>
      </w:r>
      <w:r w:rsidRPr="008F486F">
        <w:rPr>
          <w:spacing w:val="-1"/>
        </w:rPr>
        <w:t xml:space="preserve"> </w:t>
      </w:r>
      <w:r w:rsidRPr="008F486F">
        <w:t>benefits.</w:t>
      </w:r>
    </w:p>
    <w:p w:rsidR="00756160" w:rsidRPr="00211A66" w:rsidP="00756160" w14:paraId="0AAD42F2" w14:textId="77777777">
      <w:pPr>
        <w:rPr>
          <w:sz w:val="20"/>
          <w:szCs w:val="20"/>
        </w:rPr>
      </w:pPr>
    </w:p>
    <w:p w:rsidR="00756160" w:rsidRPr="008F486F" w:rsidP="00756160" w14:paraId="33EDF43D" w14:textId="77777777">
      <w:hyperlink w:anchor="_bookmark22" w:history="1">
        <w:r w:rsidRPr="008F486F">
          <w:t>Figures</w:t>
        </w:r>
        <w:r w:rsidRPr="008F486F">
          <w:rPr>
            <w:spacing w:val="-2"/>
          </w:rPr>
          <w:t> </w:t>
        </w:r>
        <w:r w:rsidRPr="008F486F">
          <w:t>2</w:t>
        </w:r>
      </w:hyperlink>
      <w:r w:rsidRPr="008F486F">
        <w:t>,</w:t>
      </w:r>
      <w:r w:rsidRPr="008F486F">
        <w:rPr>
          <w:spacing w:val="-1"/>
        </w:rPr>
        <w:t xml:space="preserve"> </w:t>
      </w:r>
      <w:hyperlink w:anchor="_bookmark23" w:history="1">
        <w:r w:rsidRPr="008F486F">
          <w:t>3</w:t>
        </w:r>
      </w:hyperlink>
      <w:r w:rsidRPr="008F486F">
        <w:t xml:space="preserve">, </w:t>
      </w:r>
      <w:r w:rsidRPr="008F486F">
        <w:rPr>
          <w:spacing w:val="-1"/>
        </w:rPr>
        <w:t xml:space="preserve">4, </w:t>
      </w:r>
      <w:r w:rsidRPr="008F486F">
        <w:t>and</w:t>
      </w:r>
      <w:r w:rsidRPr="008F486F">
        <w:rPr>
          <w:spacing w:val="-3"/>
        </w:rPr>
        <w:t xml:space="preserve"> </w:t>
      </w:r>
      <w:hyperlink w:anchor="_bookmark24" w:history="1">
        <w:r w:rsidRPr="008F486F">
          <w:t>5</w:t>
        </w:r>
        <w:r w:rsidRPr="008F486F">
          <w:rPr>
            <w:spacing w:val="-1"/>
          </w:rPr>
          <w:t xml:space="preserve"> </w:t>
        </w:r>
      </w:hyperlink>
      <w:r w:rsidRPr="008F486F">
        <w:t>display</w:t>
      </w:r>
      <w:r w:rsidRPr="008F486F">
        <w:rPr>
          <w:spacing w:val="-2"/>
        </w:rPr>
        <w:t xml:space="preserve"> </w:t>
      </w:r>
      <w:r w:rsidRPr="008F486F">
        <w:t>the</w:t>
      </w:r>
      <w:r w:rsidRPr="008F486F">
        <w:rPr>
          <w:spacing w:val="-1"/>
        </w:rPr>
        <w:t xml:space="preserve"> </w:t>
      </w:r>
      <w:r w:rsidRPr="008F486F">
        <w:t>histograms</w:t>
      </w:r>
      <w:r w:rsidRPr="008F486F">
        <w:rPr>
          <w:spacing w:val="-2"/>
        </w:rPr>
        <w:t xml:space="preserve"> </w:t>
      </w:r>
      <w:r w:rsidRPr="008F486F">
        <w:t>of</w:t>
      </w:r>
      <w:r w:rsidRPr="008F486F">
        <w:rPr>
          <w:spacing w:val="-1"/>
        </w:rPr>
        <w:t xml:space="preserve"> </w:t>
      </w:r>
      <w:r w:rsidRPr="008F486F">
        <w:t>the</w:t>
      </w:r>
      <w:r w:rsidRPr="008F486F">
        <w:rPr>
          <w:spacing w:val="-1"/>
        </w:rPr>
        <w:t xml:space="preserve"> </w:t>
      </w:r>
      <w:r w:rsidRPr="008F486F">
        <w:t>net</w:t>
      </w:r>
      <w:r w:rsidRPr="008F486F">
        <w:rPr>
          <w:spacing w:val="-2"/>
        </w:rPr>
        <w:t xml:space="preserve"> </w:t>
      </w:r>
      <w:r w:rsidRPr="008F486F">
        <w:t>incremental</w:t>
      </w:r>
      <w:r w:rsidRPr="008F486F">
        <w:rPr>
          <w:spacing w:val="-1"/>
        </w:rPr>
        <w:t xml:space="preserve"> </w:t>
      </w:r>
      <w:r w:rsidRPr="008F486F">
        <w:t>costs</w:t>
      </w:r>
      <w:r w:rsidRPr="008F486F">
        <w:rPr>
          <w:spacing w:val="-3"/>
        </w:rPr>
        <w:t xml:space="preserve"> </w:t>
      </w:r>
      <w:r w:rsidRPr="008F486F">
        <w:t>and</w:t>
      </w:r>
      <w:r w:rsidRPr="008F486F">
        <w:rPr>
          <w:spacing w:val="-1"/>
        </w:rPr>
        <w:t xml:space="preserve"> </w:t>
      </w:r>
      <w:r w:rsidRPr="008F486F">
        <w:t>benefits compared to the regulatory baseline of the rule’s</w:t>
      </w:r>
      <w:r w:rsidRPr="008F486F">
        <w:rPr>
          <w:spacing w:val="1"/>
        </w:rPr>
        <w:t xml:space="preserve"> </w:t>
      </w:r>
      <w:r w:rsidRPr="008F486F">
        <w:t>alternatives</w:t>
      </w:r>
      <w:r>
        <w:t xml:space="preserve"> for affected entities</w:t>
      </w:r>
      <w:r w:rsidRPr="008F486F">
        <w:t>.</w:t>
      </w:r>
    </w:p>
    <w:p w:rsidR="00756160" w:rsidRPr="007568C1" w:rsidP="00756160" w14:paraId="4ABF9616" w14:textId="77777777">
      <w:pPr>
        <w:pStyle w:val="BodyText"/>
      </w:pPr>
    </w:p>
    <w:p w:rsidR="00756160" w:rsidRPr="008F486F" w:rsidP="00756160" w14:paraId="32EDA03C" w14:textId="77777777">
      <w:pPr>
        <w:pStyle w:val="BodyText"/>
      </w:pPr>
      <w:r w:rsidRPr="00331A87">
        <w:rPr>
          <w:noProof/>
        </w:rPr>
        <w:drawing>
          <wp:inline distT="0" distB="0" distL="0" distR="0">
            <wp:extent cx="5943600" cy="3324225"/>
            <wp:effectExtent l="0" t="0" r="0" b="9525"/>
            <wp:docPr id="18507204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20432" name="Picture 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4225"/>
                    </a:xfrm>
                    <a:prstGeom prst="rect">
                      <a:avLst/>
                    </a:prstGeom>
                    <a:noFill/>
                    <a:ln>
                      <a:noFill/>
                    </a:ln>
                  </pic:spPr>
                </pic:pic>
              </a:graphicData>
            </a:graphic>
          </wp:inline>
        </w:drawing>
      </w:r>
    </w:p>
    <w:p w:rsidR="00756160" w:rsidRPr="007568C1" w:rsidP="00756160" w14:paraId="6128FA42" w14:textId="77777777">
      <w:pPr>
        <w:pStyle w:val="BodyText"/>
        <w:keepNext/>
      </w:pPr>
    </w:p>
    <w:p w:rsidR="00756160" w:rsidP="00756160" w14:paraId="7C15955B" w14:textId="77777777">
      <w:pPr>
        <w:pStyle w:val="Caption"/>
        <w:rPr>
          <w:b/>
          <w:bCs/>
          <w:i w:val="0"/>
          <w:iCs w:val="0"/>
          <w:color w:val="000000" w:themeColor="text1"/>
          <w:sz w:val="22"/>
          <w:szCs w:val="22"/>
        </w:rPr>
      </w:pPr>
      <w:bookmarkStart w:id="131" w:name="_Toc177538199"/>
      <w:bookmarkStart w:id="132" w:name="_Toc175229407"/>
      <w:bookmarkStart w:id="133" w:name="_Toc222796221"/>
      <w:r w:rsidRPr="008F486F">
        <w:rPr>
          <w:b/>
          <w:bCs/>
          <w:i w:val="0"/>
          <w:iCs w:val="0"/>
          <w:color w:val="000000" w:themeColor="text1"/>
          <w:sz w:val="22"/>
          <w:szCs w:val="22"/>
        </w:rPr>
        <w:t>Figure 2 Industry-Averted Licensing Costs (7-percent Net Present Value)</w:t>
      </w:r>
      <w:bookmarkEnd w:id="131"/>
      <w:bookmarkEnd w:id="132"/>
      <w:bookmarkEnd w:id="133"/>
    </w:p>
    <w:p w:rsidR="00756160" w:rsidRPr="007568C1" w:rsidP="00756160" w14:paraId="630FCD07" w14:textId="77777777">
      <w:pPr>
        <w:rPr>
          <w:i/>
          <w:iCs/>
        </w:rPr>
      </w:pPr>
    </w:p>
    <w:p w:rsidR="00756160" w:rsidRPr="008F486F" w:rsidP="00756160" w14:paraId="703960E1" w14:textId="77777777">
      <w:pPr>
        <w:pStyle w:val="BodyText"/>
      </w:pPr>
      <w:bookmarkStart w:id="134" w:name="_bookmark22"/>
      <w:bookmarkEnd w:id="134"/>
      <w:r w:rsidRPr="009C0736">
        <w:rPr>
          <w:noProof/>
        </w:rPr>
        <w:drawing>
          <wp:inline distT="0" distB="0" distL="0" distR="0">
            <wp:extent cx="5943600" cy="3324225"/>
            <wp:effectExtent l="0" t="0" r="0" b="9525"/>
            <wp:docPr id="3496034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03415"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4225"/>
                    </a:xfrm>
                    <a:prstGeom prst="rect">
                      <a:avLst/>
                    </a:prstGeom>
                    <a:noFill/>
                    <a:ln>
                      <a:noFill/>
                    </a:ln>
                  </pic:spPr>
                </pic:pic>
              </a:graphicData>
            </a:graphic>
          </wp:inline>
        </w:drawing>
      </w:r>
    </w:p>
    <w:p w:rsidR="00756160" w:rsidRPr="008F486F" w:rsidP="00756160" w14:paraId="644681AF" w14:textId="77777777">
      <w:pPr>
        <w:pStyle w:val="BodyText"/>
        <w:keepNext/>
      </w:pPr>
    </w:p>
    <w:p w:rsidR="00756160" w:rsidRPr="008F486F" w:rsidP="00756160" w14:paraId="7FEA10C7" w14:textId="77777777">
      <w:pPr>
        <w:pStyle w:val="Caption"/>
        <w:rPr>
          <w:b/>
          <w:bCs/>
          <w:i w:val="0"/>
          <w:iCs w:val="0"/>
          <w:color w:val="000000" w:themeColor="text1"/>
          <w:sz w:val="22"/>
          <w:szCs w:val="22"/>
        </w:rPr>
      </w:pPr>
      <w:bookmarkStart w:id="135" w:name="_Toc177538200"/>
      <w:bookmarkStart w:id="136" w:name="_Toc175229408"/>
      <w:bookmarkStart w:id="137" w:name="_Toc222796222"/>
      <w:r w:rsidRPr="008F486F">
        <w:rPr>
          <w:b/>
          <w:bCs/>
          <w:i w:val="0"/>
          <w:iCs w:val="0"/>
          <w:color w:val="000000" w:themeColor="text1"/>
          <w:sz w:val="22"/>
          <w:szCs w:val="22"/>
        </w:rPr>
        <w:t>Figure 3 NRC Net Benefit (7-percent Net Present Value)</w:t>
      </w:r>
      <w:bookmarkEnd w:id="135"/>
      <w:bookmarkEnd w:id="136"/>
      <w:bookmarkEnd w:id="137"/>
    </w:p>
    <w:p w:rsidR="00756160" w:rsidRPr="008F486F" w:rsidP="00756160" w14:paraId="5192AC4F" w14:textId="77777777">
      <w:pPr>
        <w:rPr>
          <w:i/>
        </w:rPr>
      </w:pPr>
    </w:p>
    <w:p w:rsidR="00756160" w:rsidRPr="008F486F" w:rsidP="00756160" w14:paraId="02E94305" w14:textId="77777777">
      <w:r>
        <w:rPr>
          <w:noProof/>
        </w:rPr>
        <w:drawing>
          <wp:inline distT="0" distB="0" distL="0" distR="0">
            <wp:extent cx="5943600" cy="3324860"/>
            <wp:effectExtent l="0" t="0" r="0" b="8890"/>
            <wp:docPr id="1383423289" name="Picture 1"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23289" name="Picture 1" descr="Chart, histogram&#10;&#10;Description automatically generated"/>
                    <pic:cNvPicPr/>
                  </pic:nvPicPr>
                  <pic:blipFill>
                    <a:blip xmlns:r="http://schemas.openxmlformats.org/officeDocument/2006/relationships" r:embed="rId21"/>
                    <a:stretch>
                      <a:fillRect/>
                    </a:stretch>
                  </pic:blipFill>
                  <pic:spPr>
                    <a:xfrm>
                      <a:off x="0" y="0"/>
                      <a:ext cx="5943600" cy="3324860"/>
                    </a:xfrm>
                    <a:prstGeom prst="rect">
                      <a:avLst/>
                    </a:prstGeom>
                  </pic:spPr>
                </pic:pic>
              </a:graphicData>
            </a:graphic>
          </wp:inline>
        </w:drawing>
      </w:r>
    </w:p>
    <w:p w:rsidR="00756160" w:rsidRPr="00211A66" w:rsidP="00756160" w14:paraId="49BCD502" w14:textId="77777777">
      <w:pPr>
        <w:pStyle w:val="Caption"/>
        <w:spacing w:after="0"/>
        <w:rPr>
          <w:b/>
          <w:bCs/>
          <w:i w:val="0"/>
          <w:iCs w:val="0"/>
          <w:color w:val="000000" w:themeColor="text1"/>
          <w:sz w:val="22"/>
          <w:szCs w:val="22"/>
        </w:rPr>
      </w:pPr>
      <w:bookmarkStart w:id="138" w:name="_Toc177538201"/>
      <w:bookmarkStart w:id="139" w:name="_Toc175229409"/>
    </w:p>
    <w:p w:rsidR="00756160" w:rsidRPr="008F486F" w:rsidP="00756160" w14:paraId="6C447E6D" w14:textId="77777777">
      <w:pPr>
        <w:pStyle w:val="Caption"/>
        <w:rPr>
          <w:b/>
          <w:bCs/>
          <w:i w:val="0"/>
          <w:iCs w:val="0"/>
          <w:color w:val="000000" w:themeColor="text1"/>
          <w:sz w:val="22"/>
          <w:szCs w:val="22"/>
        </w:rPr>
      </w:pPr>
      <w:bookmarkStart w:id="140" w:name="_Toc222796223"/>
      <w:r w:rsidRPr="008F486F">
        <w:rPr>
          <w:b/>
          <w:bCs/>
          <w:i w:val="0"/>
          <w:iCs w:val="0"/>
          <w:color w:val="000000" w:themeColor="text1"/>
          <w:sz w:val="22"/>
          <w:szCs w:val="22"/>
        </w:rPr>
        <w:t>Figure 4 Agreement State Net Benefit (7-percent Net Present Value)</w:t>
      </w:r>
      <w:bookmarkEnd w:id="138"/>
      <w:bookmarkEnd w:id="139"/>
      <w:bookmarkEnd w:id="140"/>
    </w:p>
    <w:p w:rsidR="00756160" w:rsidRPr="008F486F" w:rsidP="00756160" w14:paraId="1AB2FE22" w14:textId="77777777"/>
    <w:p w:rsidR="00756160" w:rsidRPr="008F486F" w:rsidP="00756160" w14:paraId="5FCC0C6E" w14:textId="77777777">
      <w:bookmarkStart w:id="141" w:name="_bookmark23"/>
      <w:bookmarkEnd w:id="141"/>
    </w:p>
    <w:p w:rsidR="00756160" w:rsidRPr="008F486F" w:rsidP="00756160" w14:paraId="3205CD00" w14:textId="77777777">
      <w:pPr>
        <w:pStyle w:val="BodyText"/>
        <w:keepNext/>
      </w:pPr>
      <w:r w:rsidRPr="00642CD5">
        <w:rPr>
          <w:noProof/>
        </w:rPr>
        <w:drawing>
          <wp:inline distT="0" distB="0" distL="0" distR="0">
            <wp:extent cx="5943600" cy="3324225"/>
            <wp:effectExtent l="0" t="0" r="0" b="9525"/>
            <wp:docPr id="791662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62100" name="Picture 2"/>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324225"/>
                    </a:xfrm>
                    <a:prstGeom prst="rect">
                      <a:avLst/>
                    </a:prstGeom>
                    <a:noFill/>
                    <a:ln>
                      <a:noFill/>
                    </a:ln>
                  </pic:spPr>
                </pic:pic>
              </a:graphicData>
            </a:graphic>
          </wp:inline>
        </w:drawing>
      </w:r>
    </w:p>
    <w:p w:rsidR="00756160" w:rsidRPr="008F486F" w:rsidP="00756160" w14:paraId="23964834" w14:textId="77777777">
      <w:pPr>
        <w:pStyle w:val="BodyText"/>
        <w:keepNext/>
      </w:pPr>
    </w:p>
    <w:p w:rsidR="00756160" w:rsidRPr="008F486F" w:rsidP="00756160" w14:paraId="575CA624" w14:textId="77777777">
      <w:pPr>
        <w:pStyle w:val="Caption"/>
        <w:rPr>
          <w:b/>
          <w:bCs/>
          <w:i w:val="0"/>
          <w:iCs w:val="0"/>
          <w:color w:val="000000" w:themeColor="text1"/>
          <w:sz w:val="22"/>
          <w:szCs w:val="22"/>
        </w:rPr>
      </w:pPr>
      <w:bookmarkStart w:id="142" w:name="_Toc177538202"/>
      <w:bookmarkStart w:id="143" w:name="_Toc175229410"/>
      <w:bookmarkStart w:id="144" w:name="_Toc222796224"/>
      <w:r w:rsidRPr="008F486F">
        <w:rPr>
          <w:b/>
          <w:bCs/>
          <w:i w:val="0"/>
          <w:iCs w:val="0"/>
          <w:color w:val="000000" w:themeColor="text1"/>
          <w:sz w:val="22"/>
          <w:szCs w:val="22"/>
        </w:rPr>
        <w:t>Figure 5 Total Net Benefit (7-percent Net Present Value)</w:t>
      </w:r>
      <w:bookmarkEnd w:id="142"/>
      <w:bookmarkEnd w:id="143"/>
      <w:bookmarkEnd w:id="144"/>
    </w:p>
    <w:p w:rsidR="00756160" w:rsidRPr="008F486F" w:rsidP="00756160" w14:paraId="185E9636" w14:textId="77777777">
      <w:pPr>
        <w:pStyle w:val="BodyText"/>
      </w:pPr>
      <w:bookmarkStart w:id="145" w:name="_bookmark24"/>
      <w:bookmarkEnd w:id="145"/>
    </w:p>
    <w:p w:rsidR="00756160" w:rsidRPr="008F486F" w:rsidP="00756160" w14:paraId="7FB55501" w14:textId="697CD707">
      <w:pPr>
        <w:pStyle w:val="BodyText"/>
        <w:keepLines/>
      </w:pPr>
      <w:r w:rsidRPr="008F486F">
        <w:t>As shown in f</w:t>
      </w:r>
      <w:hyperlink w:anchor="_bookmark22" w:history="1">
        <w:r w:rsidRPr="008F486F">
          <w:t>igure </w:t>
        </w:r>
        <w:r w:rsidRPr="008F486F">
          <w:t>2</w:t>
        </w:r>
      </w:hyperlink>
      <w:r w:rsidRPr="008F486F">
        <w:t xml:space="preserve">, the proposed rule (Alternative 2) would result in mean averted costs </w:t>
      </w:r>
      <w:r w:rsidRPr="008F486F">
        <w:t>to</w:t>
      </w:r>
      <w:r w:rsidRPr="008F486F">
        <w:rPr>
          <w:spacing w:val="1"/>
        </w:rPr>
        <w:t xml:space="preserve"> </w:t>
      </w:r>
      <w:r w:rsidRPr="008F486F">
        <w:t>the industry of approximately $2.0 million using a 7 percent discount rate.</w:t>
      </w:r>
      <w:r w:rsidRPr="008F486F">
        <w:rPr>
          <w:spacing w:val="1"/>
        </w:rPr>
        <w:t xml:space="preserve"> </w:t>
      </w:r>
      <w:r w:rsidRPr="008F486F">
        <w:t>The uncertainty analysis</w:t>
      </w:r>
      <w:r w:rsidRPr="008F486F">
        <w:rPr>
          <w:spacing w:val="1"/>
        </w:rPr>
        <w:t xml:space="preserve"> </w:t>
      </w:r>
      <w:r w:rsidRPr="008F486F">
        <w:t>indicates that there is a greater than 99 percent chance that this rulemaking alternative would have a positive net benefit to the industry</w:t>
      </w:r>
      <w:r>
        <w:t xml:space="preserve"> of over $153,000</w:t>
      </w:r>
      <w:r w:rsidRPr="008F486F">
        <w:t>.</w:t>
      </w:r>
      <w:r w:rsidRPr="008F486F">
        <w:rPr>
          <w:spacing w:val="1"/>
        </w:rPr>
        <w:t xml:space="preserve"> </w:t>
      </w:r>
      <w:r>
        <w:rPr>
          <w:spacing w:val="1"/>
        </w:rPr>
        <w:t xml:space="preserve">Because the proposed rule would only </w:t>
      </w:r>
      <w:r>
        <w:rPr>
          <w:spacing w:val="1"/>
        </w:rPr>
        <w:t>benefit</w:t>
      </w:r>
      <w:r>
        <w:rPr>
          <w:spacing w:val="1"/>
        </w:rPr>
        <w:t xml:space="preserve"> industry, the net benefit for industry </w:t>
      </w:r>
      <w:r w:rsidR="00AF0644">
        <w:t>could not</w:t>
      </w:r>
      <w:r>
        <w:rPr>
          <w:spacing w:val="1"/>
        </w:rPr>
        <w:t xml:space="preserve"> be negative. However, the benefit skews heavily to the lower net benefit level because </w:t>
      </w:r>
      <w:r w:rsidR="00AF0644">
        <w:t xml:space="preserve">our model assumes that </w:t>
      </w:r>
      <w:r>
        <w:rPr>
          <w:spacing w:val="1"/>
        </w:rPr>
        <w:t xml:space="preserve">rapid growth of fusion machine use is </w:t>
      </w:r>
      <w:r w:rsidR="00AF0644">
        <w:t>not likely</w:t>
      </w:r>
      <w:r w:rsidR="0087250C">
        <w:t>.</w:t>
      </w:r>
      <w:r w:rsidR="782E6275">
        <w:t xml:space="preserve"> within the time horizon of the analysis</w:t>
      </w:r>
      <w:r>
        <w:t>.</w:t>
      </w:r>
      <w:r>
        <w:rPr>
          <w:spacing w:val="1"/>
        </w:rPr>
        <w:t xml:space="preserve"> </w:t>
      </w:r>
      <w:r w:rsidRPr="008F486F">
        <w:t xml:space="preserve">As shown in </w:t>
      </w:r>
      <w:hyperlink w:anchor="_bookmark23" w:history="1">
        <w:r w:rsidRPr="008F486F">
          <w:t>figure 3</w:t>
        </w:r>
      </w:hyperlink>
      <w:r w:rsidRPr="008F486F">
        <w:t>, the proposed rule would</w:t>
      </w:r>
      <w:r w:rsidRPr="008F486F">
        <w:rPr>
          <w:spacing w:val="1"/>
        </w:rPr>
        <w:t xml:space="preserve"> </w:t>
      </w:r>
      <w:r w:rsidRPr="008F486F">
        <w:t>result in a mean net cost to the NRC of approximately $2</w:t>
      </w:r>
      <w:r>
        <w:t>79</w:t>
      </w:r>
      <w:r w:rsidRPr="008F486F">
        <w:t>,000, primarily from rulemaking costs with some offset due to the lower cost of licensing the minority of potential license applicants under direct NRC jurisdiction. There is a greater than 99 percent chance that this alternative would cost the</w:t>
      </w:r>
      <w:r w:rsidRPr="008F486F">
        <w:rPr>
          <w:spacing w:val="1"/>
        </w:rPr>
        <w:t xml:space="preserve"> </w:t>
      </w:r>
      <w:r w:rsidRPr="008F486F">
        <w:t>NRC more than would be saved with so few direct applications</w:t>
      </w:r>
      <w:r>
        <w:t xml:space="preserve"> to the NRC providing averted costs for the NRC to offset rulemaking costs</w:t>
      </w:r>
      <w:r w:rsidRPr="008F486F">
        <w:t>.</w:t>
      </w:r>
      <w:r w:rsidRPr="008F486F">
        <w:rPr>
          <w:spacing w:val="1"/>
        </w:rPr>
        <w:t xml:space="preserve"> </w:t>
      </w:r>
      <w:r w:rsidRPr="008F486F">
        <w:t xml:space="preserve">As shown in </w:t>
      </w:r>
      <w:hyperlink w:anchor="_bookmark24" w:history="1">
        <w:r w:rsidRPr="008F486F">
          <w:t>figure 4</w:t>
        </w:r>
      </w:hyperlink>
      <w:r w:rsidRPr="008F486F">
        <w:t>, Agreement States would net $</w:t>
      </w:r>
      <w:r>
        <w:t>306</w:t>
      </w:r>
      <w:r w:rsidRPr="008F486F">
        <w:t xml:space="preserve">,000 </w:t>
      </w:r>
      <w:r>
        <w:t>in costs</w:t>
      </w:r>
      <w:r w:rsidRPr="008F486F">
        <w:t xml:space="preserve">, with a greater than 99 percent chance that </w:t>
      </w:r>
      <w:r>
        <w:t>costs will exceed</w:t>
      </w:r>
      <w:r w:rsidRPr="008F486F">
        <w:t xml:space="preserve"> benefits </w:t>
      </w:r>
      <w:r>
        <w:t>for</w:t>
      </w:r>
      <w:r w:rsidRPr="008F486F">
        <w:t xml:space="preserve"> the Agreement States</w:t>
      </w:r>
      <w:r>
        <w:t xml:space="preserve"> collectively</w:t>
      </w:r>
      <w:r w:rsidRPr="008F486F">
        <w:t xml:space="preserve">. As shown in </w:t>
      </w:r>
      <w:hyperlink w:anchor="_bookmark24" w:history="1">
        <w:r w:rsidRPr="008F486F">
          <w:t>figure 5</w:t>
        </w:r>
      </w:hyperlink>
      <w:r w:rsidRPr="008F486F">
        <w:t>, the proposed rule would result in a total net benefit of approximately $1.</w:t>
      </w:r>
      <w:r>
        <w:t>4</w:t>
      </w:r>
      <w:r w:rsidRPr="008F486F">
        <w:t> million</w:t>
      </w:r>
      <w:r>
        <w:t>. These net benefits will be negative if adoption of the technology is very low, as the costs of completing the rulemaking would not be exceeded by savings, due to the more efficient process, for a small number of applications. Because the application projections are skewed to the low adoption scenarios, the probability of negative total net benefits is greater than 20%. The upper tail of the distribution is long indicating that very high positive values are possible at low probabilities. The probability that the total net benefit could exceed $6.7 million is 1%.</w:t>
      </w:r>
    </w:p>
    <w:p w:rsidR="00756160" w:rsidRPr="008F486F" w:rsidP="00756160" w14:paraId="6A8AFAD3" w14:textId="77777777">
      <w:pPr>
        <w:pStyle w:val="BodyText"/>
      </w:pPr>
    </w:p>
    <w:p w:rsidR="00756160" w:rsidRPr="008F486F" w:rsidP="00756160" w14:paraId="70C56D68" w14:textId="77777777">
      <w:pPr>
        <w:pStyle w:val="Heading3"/>
        <w:keepNext/>
      </w:pPr>
      <w:bookmarkStart w:id="146" w:name="_Toc176884021"/>
      <w:bookmarkStart w:id="147" w:name="_Toc222796529"/>
      <w:r w:rsidRPr="008F486F">
        <w:t>5.6.3</w:t>
      </w:r>
      <w:r w:rsidRPr="008F486F">
        <w:tab/>
        <w:t>Sensitivity</w:t>
      </w:r>
      <w:r w:rsidRPr="008F486F">
        <w:rPr>
          <w:spacing w:val="-10"/>
        </w:rPr>
        <w:t xml:space="preserve"> </w:t>
      </w:r>
      <w:r w:rsidRPr="008F486F">
        <w:t>Analysis</w:t>
      </w:r>
      <w:bookmarkEnd w:id="146"/>
      <w:bookmarkEnd w:id="147"/>
    </w:p>
    <w:p w:rsidR="00756160" w:rsidRPr="008F486F" w:rsidP="00756160" w14:paraId="6103192D" w14:textId="77777777">
      <w:pPr>
        <w:pStyle w:val="BodyText"/>
        <w:keepNext/>
      </w:pPr>
    </w:p>
    <w:p w:rsidR="00756160" w:rsidRPr="008F486F" w:rsidP="00756160" w14:paraId="4EE9D0DA" w14:textId="77777777">
      <w:pPr>
        <w:pStyle w:val="BodyText"/>
        <w:keepNext/>
      </w:pPr>
      <w:r w:rsidRPr="008F486F">
        <w:t xml:space="preserve">In addition to estimating the probability distributions for the net benefits of the proposed rule, the NRC used a Monte Carlo simulation to conduct a sensitivity analysis to determine the variables </w:t>
      </w:r>
      <w:r w:rsidRPr="008F486F">
        <w:t>that have the greatest impact on the resulting net benefits. Variables shown to have a large effect on the resulting net benefits may deserve more attention and scrutiny than variables shown to have a small or minimal effect. The results are compiled into a “tornado diagram,” which presents, in vertical order, the variables that have the greatest influence on net benefits.</w:t>
      </w:r>
    </w:p>
    <w:p w:rsidR="00756160" w:rsidRPr="008F486F" w:rsidP="00756160" w14:paraId="7AFE1E8C" w14:textId="77777777">
      <w:pPr>
        <w:pStyle w:val="BodyText"/>
      </w:pPr>
    </w:p>
    <w:p w:rsidR="00756160" w:rsidRPr="008F486F" w:rsidP="00756160" w14:paraId="01E6DB85" w14:textId="775C8573">
      <w:pPr>
        <w:pStyle w:val="BodyText"/>
        <w:keepNext/>
        <w:keepLines/>
      </w:pPr>
      <w:r w:rsidRPr="008F486F">
        <w:t>Figure 6 presents the tornado diagram for the benefits of the proposed rule and ranks the</w:t>
      </w:r>
      <w:r w:rsidRPr="008F486F">
        <w:rPr>
          <w:spacing w:val="1"/>
        </w:rPr>
        <w:t xml:space="preserve"> </w:t>
      </w:r>
      <w:r w:rsidRPr="008F486F">
        <w:t>variables</w:t>
      </w:r>
      <w:r w:rsidRPr="008F486F">
        <w:rPr>
          <w:spacing w:val="-1"/>
        </w:rPr>
        <w:t xml:space="preserve"> </w:t>
      </w:r>
      <w:r w:rsidRPr="008F486F">
        <w:t>based on their</w:t>
      </w:r>
      <w:r w:rsidRPr="008F486F">
        <w:rPr>
          <w:spacing w:val="-2"/>
        </w:rPr>
        <w:t xml:space="preserve"> </w:t>
      </w:r>
      <w:r w:rsidRPr="008F486F">
        <w:t>contribution</w:t>
      </w:r>
      <w:r w:rsidRPr="008F486F">
        <w:rPr>
          <w:spacing w:val="-1"/>
        </w:rPr>
        <w:t xml:space="preserve"> </w:t>
      </w:r>
      <w:r w:rsidRPr="008F486F">
        <w:t>to cost</w:t>
      </w:r>
      <w:r w:rsidRPr="008F486F">
        <w:rPr>
          <w:spacing w:val="-1"/>
        </w:rPr>
        <w:t xml:space="preserve"> </w:t>
      </w:r>
      <w:r w:rsidRPr="008F486F">
        <w:t xml:space="preserve">uncertainty. The estimate that </w:t>
      </w:r>
      <w:r>
        <w:t>causes by far</w:t>
      </w:r>
      <w:r w:rsidRPr="008F486F">
        <w:t xml:space="preserve"> the greatest variation in the overall results </w:t>
      </w:r>
      <w:r>
        <w:t>is the</w:t>
      </w:r>
      <w:r w:rsidRPr="008F486F">
        <w:t xml:space="preserve"> estimate of fusion machine applications, which </w:t>
      </w:r>
      <w:r>
        <w:t>is</w:t>
      </w:r>
      <w:r w:rsidRPr="008F486F">
        <w:t xml:space="preserve"> estimated </w:t>
      </w:r>
      <w:r>
        <w:t>from</w:t>
      </w:r>
      <w:r w:rsidRPr="008F486F">
        <w:t xml:space="preserve"> State</w:t>
      </w:r>
      <w:r w:rsidR="003A4171">
        <w:t>-</w:t>
      </w:r>
      <w:r w:rsidRPr="008F486F">
        <w:t>level</w:t>
      </w:r>
      <w:r>
        <w:t xml:space="preserve"> data</w:t>
      </w:r>
      <w:r w:rsidRPr="008F486F">
        <w:t xml:space="preserve">. </w:t>
      </w:r>
      <w:r>
        <w:t xml:space="preserve">This variation is due to the uncertainty about the future of this new technology with scenarios ranging from nothing beyond the fusion machines now anticipated to widespread adoption of the technology as a major source of electrical power. </w:t>
      </w:r>
      <w:r w:rsidRPr="008F486F">
        <w:t xml:space="preserve">The number of applications affects the amount saved due to the increased efficiency of licensing in the proposed rule. The uncertainty in the </w:t>
      </w:r>
      <w:r>
        <w:t xml:space="preserve">cumulative </w:t>
      </w:r>
      <w:r w:rsidRPr="008F486F">
        <w:t xml:space="preserve">number of applications causes the net benefits to range from </w:t>
      </w:r>
      <w:r>
        <w:t xml:space="preserve">a cost of </w:t>
      </w:r>
      <w:r w:rsidRPr="008F486F">
        <w:t>$</w:t>
      </w:r>
      <w:r>
        <w:t>271,000</w:t>
      </w:r>
      <w:r w:rsidRPr="008F486F">
        <w:t xml:space="preserve"> to </w:t>
      </w:r>
      <w:r>
        <w:t xml:space="preserve">a benefit of </w:t>
      </w:r>
      <w:r w:rsidRPr="008F486F">
        <w:t>$</w:t>
      </w:r>
      <w:r>
        <w:t>5.08</w:t>
      </w:r>
      <w:r w:rsidRPr="008F486F">
        <w:t> million with a 90 percent confidence level.</w:t>
      </w:r>
    </w:p>
    <w:p w:rsidR="00756160" w:rsidRPr="008F486F" w:rsidP="00756160" w14:paraId="10803E22" w14:textId="77777777">
      <w:pPr>
        <w:pStyle w:val="BodyText"/>
      </w:pPr>
    </w:p>
    <w:p w:rsidR="00756160" w:rsidRPr="008F486F" w:rsidP="00756160" w14:paraId="22DC5667" w14:textId="77777777">
      <w:pPr>
        <w:pStyle w:val="BodyText"/>
      </w:pPr>
      <w:r w:rsidRPr="008F486F">
        <w:t xml:space="preserve">The estimate that has the second greatest variation in the overall results is the estimate of the average averted cost for each </w:t>
      </w:r>
      <w:r>
        <w:t xml:space="preserve">applicant’s </w:t>
      </w:r>
      <w:r w:rsidRPr="008F486F">
        <w:t>licensing effort due to the clarified process. The uncertainty in this variable would result in a range of net benefits from $1.</w:t>
      </w:r>
      <w:r>
        <w:t>0</w:t>
      </w:r>
      <w:r w:rsidRPr="008F486F">
        <w:t> million to $1.</w:t>
      </w:r>
      <w:r>
        <w:t>8</w:t>
      </w:r>
      <w:r w:rsidRPr="008F486F">
        <w:t> million with a 90 percent confidence level.</w:t>
      </w:r>
    </w:p>
    <w:p w:rsidR="00756160" w:rsidRPr="008F486F" w:rsidP="00756160" w14:paraId="79EB72CC" w14:textId="77777777">
      <w:pPr>
        <w:pStyle w:val="BodyText"/>
      </w:pPr>
    </w:p>
    <w:p w:rsidR="00756160" w:rsidRPr="008F486F" w:rsidP="00756160" w14:paraId="58A003F4" w14:textId="77777777">
      <w:pPr>
        <w:pStyle w:val="BodyText"/>
      </w:pPr>
      <w:r w:rsidRPr="008F486F">
        <w:t>The remaining variables result in smaller differences</w:t>
      </w:r>
      <w:r>
        <w:t xml:space="preserve"> between $100,000 and $350,000</w:t>
      </w:r>
      <w:r w:rsidRPr="008F486F">
        <w:t>.</w:t>
      </w:r>
    </w:p>
    <w:p w:rsidR="00756160" w:rsidRPr="008F486F" w:rsidP="00756160" w14:paraId="0DC48D9F" w14:textId="77777777">
      <w:pPr>
        <w:pStyle w:val="BodyText"/>
      </w:pPr>
    </w:p>
    <w:p w:rsidR="00756160" w:rsidRPr="008F486F" w:rsidP="00756160" w14:paraId="4879C868" w14:textId="4C0606B3">
      <w:pPr>
        <w:pStyle w:val="BodyText"/>
      </w:pPr>
      <w:r w:rsidRPr="00F45F0F">
        <w:rPr>
          <w:noProof/>
        </w:rPr>
        <w:drawing>
          <wp:inline distT="0" distB="0" distL="0" distR="0">
            <wp:extent cx="5943600" cy="3279775"/>
            <wp:effectExtent l="0" t="0" r="0" b="0"/>
            <wp:docPr id="709591607" name="Picture 1" descr="A picture containing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591607" name="Picture 1" descr="A picture containing table&#10;&#10;AI-generated content may be incorrect."/>
                    <pic:cNvPicPr/>
                  </pic:nvPicPr>
                  <pic:blipFill>
                    <a:blip xmlns:r="http://schemas.openxmlformats.org/officeDocument/2006/relationships" r:embed="rId23"/>
                    <a:stretch>
                      <a:fillRect/>
                    </a:stretch>
                  </pic:blipFill>
                  <pic:spPr>
                    <a:xfrm>
                      <a:off x="0" y="0"/>
                      <a:ext cx="5943600" cy="3279775"/>
                    </a:xfrm>
                    <a:prstGeom prst="rect">
                      <a:avLst/>
                    </a:prstGeom>
                  </pic:spPr>
                </pic:pic>
              </a:graphicData>
            </a:graphic>
          </wp:inline>
        </w:drawing>
      </w:r>
    </w:p>
    <w:p w:rsidR="00756160" w:rsidRPr="008F486F" w:rsidP="00756160" w14:paraId="030A07BD" w14:textId="77777777">
      <w:pPr>
        <w:pStyle w:val="BodyText"/>
        <w:keepNext/>
      </w:pPr>
    </w:p>
    <w:p w:rsidR="00756160" w:rsidRPr="008F486F" w:rsidP="00756160" w14:paraId="32D79BDA" w14:textId="2DDD58C5">
      <w:pPr>
        <w:pStyle w:val="Caption"/>
        <w:ind w:left="990" w:hanging="990"/>
        <w:rPr>
          <w:b/>
          <w:bCs/>
          <w:i w:val="0"/>
          <w:iCs w:val="0"/>
          <w:color w:val="000000" w:themeColor="text1"/>
          <w:sz w:val="22"/>
          <w:szCs w:val="22"/>
        </w:rPr>
      </w:pPr>
      <w:bookmarkStart w:id="148" w:name="_Toc177538203"/>
      <w:bookmarkStart w:id="149" w:name="_Toc175229411"/>
      <w:bookmarkStart w:id="150" w:name="_Toc222796225"/>
      <w:r w:rsidRPr="008F486F">
        <w:rPr>
          <w:b/>
          <w:bCs/>
          <w:i w:val="0"/>
          <w:iCs w:val="0"/>
          <w:color w:val="000000" w:themeColor="text1"/>
          <w:sz w:val="22"/>
          <w:szCs w:val="22"/>
        </w:rPr>
        <w:t xml:space="preserve">Figure 6 Key Variables for Which Uncertainty Drives the Largest Impact on Costs </w:t>
      </w:r>
      <w:r>
        <w:br/>
      </w:r>
      <w:r w:rsidRPr="008F486F">
        <w:rPr>
          <w:b/>
          <w:bCs/>
          <w:i w:val="0"/>
          <w:iCs w:val="0"/>
          <w:color w:val="000000" w:themeColor="text1"/>
          <w:sz w:val="22"/>
          <w:szCs w:val="22"/>
        </w:rPr>
        <w:t>(7-percent Net Present Value)</w:t>
      </w:r>
      <w:bookmarkEnd w:id="148"/>
      <w:bookmarkEnd w:id="149"/>
      <w:bookmarkEnd w:id="150"/>
    </w:p>
    <w:p w:rsidR="00756160" w:rsidRPr="008F486F" w:rsidP="00756160" w14:paraId="1482CAE6" w14:textId="77777777">
      <w:pPr>
        <w:pStyle w:val="Heading1"/>
      </w:pPr>
    </w:p>
    <w:p w:rsidR="00756160" w:rsidRPr="008F486F" w:rsidP="00756160" w14:paraId="78AE95B8" w14:textId="77777777">
      <w:pPr>
        <w:pStyle w:val="Heading1"/>
        <w:keepNext/>
      </w:pPr>
      <w:bookmarkStart w:id="151" w:name="4.5_Nonquantified_Benefits"/>
      <w:bookmarkStart w:id="152" w:name="_bookmark25"/>
      <w:bookmarkStart w:id="153" w:name="5.0_OTHER_IMPACTS_AND_REGULATORY_CONSIDE"/>
      <w:bookmarkStart w:id="154" w:name="_bookmark26"/>
      <w:bookmarkStart w:id="155" w:name="_Toc176884022"/>
      <w:bookmarkStart w:id="156" w:name="_Toc222796530"/>
      <w:bookmarkEnd w:id="151"/>
      <w:bookmarkEnd w:id="152"/>
      <w:bookmarkEnd w:id="153"/>
      <w:bookmarkEnd w:id="154"/>
      <w:r w:rsidRPr="008F486F">
        <w:t>6.0</w:t>
      </w:r>
      <w:r w:rsidRPr="008F486F">
        <w:tab/>
        <w:t>OTHER IMPACTS AND REGULATORY CONSIDERATIONS</w:t>
      </w:r>
      <w:bookmarkEnd w:id="155"/>
      <w:bookmarkEnd w:id="156"/>
    </w:p>
    <w:p w:rsidR="00756160" w:rsidRPr="008F486F" w:rsidP="00756160" w14:paraId="5CB2AE93" w14:textId="77777777">
      <w:pPr>
        <w:pStyle w:val="BodyText"/>
        <w:keepNext/>
      </w:pPr>
    </w:p>
    <w:p w:rsidR="00756160" w:rsidRPr="008F486F" w:rsidP="00756160" w14:paraId="4DE02B9F" w14:textId="77777777">
      <w:pPr>
        <w:pStyle w:val="BodyText"/>
        <w:keepNext/>
        <w:keepLines/>
      </w:pPr>
      <w:r w:rsidRPr="008F486F">
        <w:t>Other</w:t>
      </w:r>
      <w:r w:rsidRPr="008F486F">
        <w:rPr>
          <w:spacing w:val="-2"/>
        </w:rPr>
        <w:t xml:space="preserve"> </w:t>
      </w:r>
      <w:r w:rsidRPr="008F486F">
        <w:t>impacts</w:t>
      </w:r>
      <w:r w:rsidRPr="008F486F">
        <w:rPr>
          <w:spacing w:val="-1"/>
        </w:rPr>
        <w:t xml:space="preserve"> </w:t>
      </w:r>
      <w:r w:rsidRPr="008F486F">
        <w:t>and</w:t>
      </w:r>
      <w:r w:rsidRPr="008F486F">
        <w:rPr>
          <w:spacing w:val="-1"/>
        </w:rPr>
        <w:t xml:space="preserve"> </w:t>
      </w:r>
      <w:r w:rsidRPr="008F486F">
        <w:t>issues</w:t>
      </w:r>
      <w:r w:rsidRPr="008F486F">
        <w:rPr>
          <w:spacing w:val="-1"/>
        </w:rPr>
        <w:t xml:space="preserve"> </w:t>
      </w:r>
      <w:r w:rsidRPr="008F486F">
        <w:t>related</w:t>
      </w:r>
      <w:r w:rsidRPr="008F486F">
        <w:rPr>
          <w:spacing w:val="-2"/>
        </w:rPr>
        <w:t xml:space="preserve"> </w:t>
      </w:r>
      <w:r w:rsidRPr="008F486F">
        <w:t>to</w:t>
      </w:r>
      <w:r w:rsidRPr="008F486F">
        <w:rPr>
          <w:spacing w:val="-2"/>
        </w:rPr>
        <w:t xml:space="preserve"> </w:t>
      </w:r>
      <w:r w:rsidRPr="008F486F">
        <w:t>using</w:t>
      </w:r>
      <w:r w:rsidRPr="008F486F">
        <w:rPr>
          <w:spacing w:val="-1"/>
        </w:rPr>
        <w:t xml:space="preserve"> </w:t>
      </w:r>
      <w:r w:rsidRPr="008F486F">
        <w:t>rulemaking</w:t>
      </w:r>
      <w:r w:rsidRPr="008F486F">
        <w:rPr>
          <w:spacing w:val="-1"/>
        </w:rPr>
        <w:t xml:space="preserve"> </w:t>
      </w:r>
      <w:r w:rsidRPr="008F486F">
        <w:t>to ensure that fusion machine operations with radiological materials do not pose unreasonable risks to public health and safety, the common defense and security, or the environment include</w:t>
      </w:r>
      <w:r w:rsidRPr="008F486F">
        <w:rPr>
          <w:spacing w:val="-2"/>
        </w:rPr>
        <w:t xml:space="preserve"> </w:t>
      </w:r>
      <w:r w:rsidRPr="008F486F">
        <w:t>complying with the</w:t>
      </w:r>
      <w:r w:rsidRPr="008F486F">
        <w:rPr>
          <w:spacing w:val="3"/>
        </w:rPr>
        <w:t xml:space="preserve"> </w:t>
      </w:r>
      <w:r w:rsidRPr="008F486F">
        <w:t>Regulatory</w:t>
      </w:r>
      <w:r w:rsidRPr="008F486F">
        <w:rPr>
          <w:spacing w:val="3"/>
        </w:rPr>
        <w:t xml:space="preserve"> </w:t>
      </w:r>
      <w:r w:rsidRPr="008F486F">
        <w:t>Flexibility</w:t>
      </w:r>
      <w:r w:rsidRPr="008F486F">
        <w:rPr>
          <w:spacing w:val="3"/>
        </w:rPr>
        <w:t xml:space="preserve"> </w:t>
      </w:r>
      <w:r w:rsidRPr="008F486F">
        <w:t>Act</w:t>
      </w:r>
      <w:r w:rsidRPr="008F486F">
        <w:rPr>
          <w:spacing w:val="1"/>
        </w:rPr>
        <w:t xml:space="preserve"> </w:t>
      </w:r>
      <w:r w:rsidRPr="008F486F">
        <w:t>(5 U.S.C. 601 et seq.</w:t>
      </w:r>
      <w:r w:rsidRPr="008F486F" w:rsidR="00327247">
        <w:t>) and</w:t>
      </w:r>
      <w:r w:rsidRPr="008F486F">
        <w:t xml:space="preserve"> conducting</w:t>
      </w:r>
      <w:r w:rsidRPr="008F486F">
        <w:rPr>
          <w:spacing w:val="1"/>
        </w:rPr>
        <w:t xml:space="preserve"> a </w:t>
      </w:r>
      <w:r w:rsidRPr="008F486F">
        <w:t>peer review of the regulatory analysis.</w:t>
      </w:r>
    </w:p>
    <w:p w:rsidR="00756160" w:rsidRPr="008F486F" w:rsidP="00756160" w14:paraId="2BF65405" w14:textId="77777777">
      <w:pPr>
        <w:pStyle w:val="BodyText"/>
        <w:keepNext/>
      </w:pPr>
    </w:p>
    <w:p w:rsidR="00756160" w:rsidRPr="008F486F" w:rsidP="00756160" w14:paraId="240214D1" w14:textId="77777777">
      <w:pPr>
        <w:pStyle w:val="Heading2"/>
        <w:ind w:left="936"/>
        <w:rPr>
          <w:u w:val="none"/>
        </w:rPr>
      </w:pPr>
      <w:bookmarkStart w:id="157" w:name="5.3_Compliance_with_the_National_Environ"/>
      <w:bookmarkStart w:id="158" w:name="_bookmark29"/>
      <w:bookmarkStart w:id="159" w:name="5.4_Regulatory_Flexibility_Act"/>
      <w:bookmarkStart w:id="160" w:name="_bookmark30"/>
      <w:bookmarkStart w:id="161" w:name="_Toc176884023"/>
      <w:bookmarkStart w:id="162" w:name="_Toc222796531"/>
      <w:bookmarkEnd w:id="157"/>
      <w:bookmarkEnd w:id="158"/>
      <w:bookmarkEnd w:id="159"/>
      <w:bookmarkEnd w:id="160"/>
      <w:r w:rsidRPr="008F486F">
        <w:rPr>
          <w:u w:val="none"/>
        </w:rPr>
        <w:t>6.1</w:t>
      </w:r>
      <w:r w:rsidRPr="008F486F">
        <w:rPr>
          <w:u w:val="none"/>
        </w:rPr>
        <w:tab/>
        <w:t>Regulatory Flexibility Act</w:t>
      </w:r>
      <w:bookmarkEnd w:id="161"/>
      <w:bookmarkEnd w:id="162"/>
    </w:p>
    <w:p w:rsidR="00756160" w:rsidRPr="008F486F" w:rsidP="00756160" w14:paraId="7EE556F6" w14:textId="77777777">
      <w:pPr>
        <w:pStyle w:val="BodyText"/>
      </w:pPr>
    </w:p>
    <w:p w:rsidR="00756160" w:rsidRPr="008F486F" w:rsidP="00756160" w14:paraId="3F460EAF" w14:textId="77777777">
      <w:pPr>
        <w:pStyle w:val="BodyText"/>
      </w:pPr>
      <w:r w:rsidRPr="008F486F">
        <w:t>The Regulatory Flexibility Act, enacted in September 1980, requires</w:t>
      </w:r>
      <w:r w:rsidRPr="008F486F">
        <w:rPr>
          <w:spacing w:val="1"/>
        </w:rPr>
        <w:t xml:space="preserve"> </w:t>
      </w:r>
      <w:r w:rsidRPr="008F486F">
        <w:t>agencies to consider the impact of their regulatory proposals on small entities, analyze</w:t>
      </w:r>
      <w:r w:rsidRPr="008F486F">
        <w:rPr>
          <w:spacing w:val="1"/>
        </w:rPr>
        <w:t xml:space="preserve"> </w:t>
      </w:r>
      <w:r w:rsidRPr="008F486F">
        <w:t>alternatives that minimize small entity impacts, and make their analyses available for public comment. The structure of the industries that would form to use the emerging fusions machine technologies is uncertain. The most significant potential sector that could use fusion machines is the electric power sector. Among electric utilities that might operate a fusion machine, 90 percent have revenues between $7.8 million and $1.2 billion (EIA, 2022). Thus, for 95 percent of electric utilities, the cost impact of the proposed rule would be a benefit of less than 0.6 percent. Note that larger utilities would be more likely to have an economy of scale that could benefit from fusion machines in their power supply mix. An electric utility that might be classified as a small entity would be less likely to be able to afford to invest in fusion technology. Therefore, the NRC estimates that the proposed rulemaking will not</w:t>
      </w:r>
      <w:r w:rsidRPr="008F486F">
        <w:rPr>
          <w:spacing w:val="1"/>
        </w:rPr>
        <w:t xml:space="preserve"> </w:t>
      </w:r>
      <w:r w:rsidRPr="008F486F">
        <w:t>have</w:t>
      </w:r>
      <w:r w:rsidRPr="008F486F">
        <w:rPr>
          <w:spacing w:val="-1"/>
        </w:rPr>
        <w:t xml:space="preserve"> </w:t>
      </w:r>
      <w:r w:rsidRPr="008F486F">
        <w:t>a</w:t>
      </w:r>
      <w:r w:rsidRPr="008F486F">
        <w:rPr>
          <w:spacing w:val="-1"/>
        </w:rPr>
        <w:t xml:space="preserve"> </w:t>
      </w:r>
      <w:r w:rsidRPr="008F486F">
        <w:t>significant economic</w:t>
      </w:r>
      <w:r w:rsidRPr="008F486F">
        <w:rPr>
          <w:spacing w:val="-1"/>
        </w:rPr>
        <w:t xml:space="preserve"> </w:t>
      </w:r>
      <w:r w:rsidRPr="008F486F">
        <w:t>impact on</w:t>
      </w:r>
      <w:r w:rsidRPr="008F486F">
        <w:rPr>
          <w:spacing w:val="-1"/>
        </w:rPr>
        <w:t xml:space="preserve"> </w:t>
      </w:r>
      <w:r w:rsidRPr="008F486F">
        <w:t>a</w:t>
      </w:r>
      <w:r w:rsidRPr="008F486F">
        <w:rPr>
          <w:spacing w:val="-1"/>
        </w:rPr>
        <w:t xml:space="preserve"> </w:t>
      </w:r>
      <w:r w:rsidRPr="008F486F">
        <w:t>substantial number</w:t>
      </w:r>
      <w:r w:rsidRPr="008F486F">
        <w:rPr>
          <w:spacing w:val="-1"/>
        </w:rPr>
        <w:t xml:space="preserve"> </w:t>
      </w:r>
      <w:r w:rsidRPr="008F486F">
        <w:t>of small</w:t>
      </w:r>
      <w:r w:rsidRPr="008F486F">
        <w:rPr>
          <w:spacing w:val="-1"/>
        </w:rPr>
        <w:t xml:space="preserve"> </w:t>
      </w:r>
      <w:r w:rsidRPr="008F486F">
        <w:t>entities.</w:t>
      </w:r>
    </w:p>
    <w:p w:rsidR="00756160" w:rsidRPr="008F486F" w:rsidP="00756160" w14:paraId="7DAE1807" w14:textId="77777777">
      <w:pPr>
        <w:pStyle w:val="BodyText"/>
      </w:pPr>
    </w:p>
    <w:p w:rsidR="00756160" w:rsidRPr="008F486F" w:rsidP="00756160" w14:paraId="1ADCB730" w14:textId="51D3A184">
      <w:pPr>
        <w:pStyle w:val="Heading2"/>
        <w:keepNext/>
        <w:ind w:left="936"/>
        <w:rPr>
          <w:u w:val="none"/>
        </w:rPr>
      </w:pPr>
      <w:bookmarkStart w:id="163" w:name="5.5_Backfitting_and_Issue_Finality"/>
      <w:bookmarkStart w:id="164" w:name="_bookmark31"/>
      <w:bookmarkStart w:id="165" w:name="_Toc176884024"/>
      <w:bookmarkStart w:id="166" w:name="_Toc222796532"/>
      <w:bookmarkEnd w:id="163"/>
      <w:bookmarkEnd w:id="164"/>
      <w:r w:rsidRPr="008F486F">
        <w:rPr>
          <w:u w:val="none"/>
        </w:rPr>
        <w:t>6.2</w:t>
      </w:r>
      <w:r w:rsidRPr="008F486F">
        <w:rPr>
          <w:u w:val="none"/>
        </w:rPr>
        <w:tab/>
        <w:t xml:space="preserve">Peer Review of </w:t>
      </w:r>
      <w:r w:rsidR="007B2399">
        <w:rPr>
          <w:u w:val="none"/>
        </w:rPr>
        <w:t xml:space="preserve">Information Contained in this </w:t>
      </w:r>
      <w:r w:rsidRPr="008F486F">
        <w:rPr>
          <w:u w:val="none"/>
        </w:rPr>
        <w:t>Regulatory Analysis</w:t>
      </w:r>
      <w:bookmarkEnd w:id="165"/>
      <w:bookmarkEnd w:id="166"/>
    </w:p>
    <w:p w:rsidR="00756160" w:rsidRPr="008F486F" w:rsidP="00756160" w14:paraId="206C5C9E" w14:textId="77777777">
      <w:pPr>
        <w:pStyle w:val="BodyText"/>
        <w:keepNext/>
      </w:pPr>
    </w:p>
    <w:p w:rsidR="00756160" w:rsidRPr="008F486F" w:rsidP="00756160" w14:paraId="7829EB5E" w14:textId="725059E3">
      <w:pPr>
        <w:pStyle w:val="BodyText"/>
        <w:keepNext/>
      </w:pPr>
      <w:r w:rsidRPr="008F486F">
        <w:t>The Office of Management and Budget bulletin “Final Information Quality Bulletin for Peer Review” requires each Federal agency to subject “influential scientific information” to peer</w:t>
      </w:r>
      <w:r w:rsidRPr="008F486F">
        <w:rPr>
          <w:spacing w:val="1"/>
        </w:rPr>
        <w:t xml:space="preserve"> </w:t>
      </w:r>
      <w:r w:rsidRPr="008F486F">
        <w:t>review before dissemination.</w:t>
      </w:r>
      <w:r w:rsidRPr="008F486F">
        <w:rPr>
          <w:spacing w:val="1"/>
        </w:rPr>
        <w:t xml:space="preserve"> </w:t>
      </w:r>
      <w:r w:rsidRPr="008F486F">
        <w:t>The bulletin defines “influential scientific information” as “scientific</w:t>
      </w:r>
      <w:r w:rsidRPr="008F486F">
        <w:rPr>
          <w:spacing w:val="1"/>
        </w:rPr>
        <w:t xml:space="preserve"> </w:t>
      </w:r>
      <w:r w:rsidRPr="008F486F">
        <w:t>information</w:t>
      </w:r>
      <w:r w:rsidRPr="008F486F">
        <w:rPr>
          <w:spacing w:val="-2"/>
        </w:rPr>
        <w:t xml:space="preserve"> </w:t>
      </w:r>
      <w:r w:rsidRPr="008F486F">
        <w:t>the</w:t>
      </w:r>
      <w:r w:rsidRPr="008F486F">
        <w:rPr>
          <w:spacing w:val="-2"/>
        </w:rPr>
        <w:t xml:space="preserve"> </w:t>
      </w:r>
      <w:r w:rsidRPr="008F486F">
        <w:t>agency</w:t>
      </w:r>
      <w:r w:rsidRPr="008F486F">
        <w:rPr>
          <w:spacing w:val="-1"/>
        </w:rPr>
        <w:t xml:space="preserve"> </w:t>
      </w:r>
      <w:r w:rsidRPr="008F486F">
        <w:t>reasonably</w:t>
      </w:r>
      <w:r w:rsidRPr="008F486F">
        <w:rPr>
          <w:spacing w:val="-3"/>
        </w:rPr>
        <w:t xml:space="preserve"> </w:t>
      </w:r>
      <w:r w:rsidRPr="008F486F">
        <w:t>can</w:t>
      </w:r>
      <w:r w:rsidRPr="008F486F">
        <w:rPr>
          <w:spacing w:val="-2"/>
        </w:rPr>
        <w:t xml:space="preserve"> </w:t>
      </w:r>
      <w:r w:rsidRPr="008F486F">
        <w:t>determine</w:t>
      </w:r>
      <w:r w:rsidRPr="008F486F">
        <w:rPr>
          <w:spacing w:val="-1"/>
        </w:rPr>
        <w:t xml:space="preserve"> </w:t>
      </w:r>
      <w:r w:rsidRPr="008F486F">
        <w:t>will</w:t>
      </w:r>
      <w:r w:rsidRPr="008F486F">
        <w:rPr>
          <w:spacing w:val="-2"/>
        </w:rPr>
        <w:t xml:space="preserve"> </w:t>
      </w:r>
      <w:r w:rsidRPr="008F486F">
        <w:t>have</w:t>
      </w:r>
      <w:r w:rsidRPr="008F486F">
        <w:rPr>
          <w:spacing w:val="-1"/>
        </w:rPr>
        <w:t xml:space="preserve"> </w:t>
      </w:r>
      <w:r w:rsidRPr="008F486F">
        <w:t>or</w:t>
      </w:r>
      <w:r w:rsidRPr="008F486F">
        <w:rPr>
          <w:spacing w:val="-2"/>
        </w:rPr>
        <w:t xml:space="preserve"> </w:t>
      </w:r>
      <w:r w:rsidRPr="008F486F">
        <w:t>does</w:t>
      </w:r>
      <w:r w:rsidRPr="008F486F">
        <w:rPr>
          <w:spacing w:val="-2"/>
        </w:rPr>
        <w:t xml:space="preserve"> </w:t>
      </w:r>
      <w:r w:rsidRPr="008F486F">
        <w:t>have</w:t>
      </w:r>
      <w:r w:rsidRPr="008F486F">
        <w:rPr>
          <w:spacing w:val="-2"/>
        </w:rPr>
        <w:t xml:space="preserve"> </w:t>
      </w:r>
      <w:r w:rsidRPr="008F486F">
        <w:t>a</w:t>
      </w:r>
      <w:r w:rsidRPr="008F486F">
        <w:rPr>
          <w:spacing w:val="-2"/>
        </w:rPr>
        <w:t xml:space="preserve"> </w:t>
      </w:r>
      <w:r w:rsidRPr="008F486F">
        <w:t>clear</w:t>
      </w:r>
      <w:r w:rsidRPr="008F486F">
        <w:rPr>
          <w:spacing w:val="-2"/>
        </w:rPr>
        <w:t xml:space="preserve"> </w:t>
      </w:r>
      <w:r w:rsidRPr="008F486F">
        <w:t>and</w:t>
      </w:r>
      <w:r w:rsidRPr="008F486F">
        <w:rPr>
          <w:spacing w:val="-2"/>
        </w:rPr>
        <w:t xml:space="preserve"> substantial impact</w:t>
      </w:r>
      <w:r w:rsidRPr="008F486F">
        <w:t xml:space="preserve"> on important public policies or private sector decisions.”</w:t>
      </w:r>
      <w:r>
        <w:rPr>
          <w:rStyle w:val="FootnoteReference"/>
        </w:rPr>
        <w:footnoteReference w:id="9"/>
      </w:r>
      <w:r w:rsidRPr="008F486F">
        <w:rPr>
          <w:spacing w:val="1"/>
        </w:rPr>
        <w:t xml:space="preserve"> </w:t>
      </w:r>
      <w:r w:rsidR="007D34E5">
        <w:rPr>
          <w:spacing w:val="1"/>
        </w:rPr>
        <w:t>NRC’s Information Quality Guidelines and</w:t>
      </w:r>
      <w:r w:rsidR="004662F2">
        <w:rPr>
          <w:spacing w:val="1"/>
        </w:rPr>
        <w:t xml:space="preserve"> Management Directive (MD) 3.17</w:t>
      </w:r>
      <w:r w:rsidR="007D34E5">
        <w:rPr>
          <w:spacing w:val="1"/>
        </w:rPr>
        <w:t xml:space="preserve"> </w:t>
      </w:r>
      <w:r w:rsidR="004662F2">
        <w:rPr>
          <w:spacing w:val="1"/>
        </w:rPr>
        <w:t>specify additional factors NRC may consider when making such determinations</w:t>
      </w:r>
      <w:r w:rsidR="007D34E5">
        <w:rPr>
          <w:spacing w:val="1"/>
        </w:rPr>
        <w:t>.</w:t>
      </w:r>
      <w:r>
        <w:rPr>
          <w:rStyle w:val="FootnoteReference"/>
          <w:spacing w:val="1"/>
        </w:rPr>
        <w:footnoteReference w:id="10"/>
      </w:r>
      <w:r w:rsidR="007D34E5">
        <w:rPr>
          <w:spacing w:val="1"/>
        </w:rPr>
        <w:t xml:space="preserve"> </w:t>
      </w:r>
      <w:r w:rsidRPr="008F486F">
        <w:t>This regulatory analysis does not</w:t>
      </w:r>
      <w:r w:rsidRPr="008F486F">
        <w:rPr>
          <w:spacing w:val="1"/>
        </w:rPr>
        <w:t xml:space="preserve"> </w:t>
      </w:r>
      <w:r w:rsidR="00BD5BB9">
        <w:t>rely on any new</w:t>
      </w:r>
      <w:r w:rsidRPr="008F486F" w:rsidR="00BD5BB9">
        <w:t xml:space="preserve"> </w:t>
      </w:r>
      <w:r w:rsidRPr="008F486F">
        <w:t>“influential scientific information”</w:t>
      </w:r>
      <w:r w:rsidRPr="004D0D14">
        <w:t xml:space="preserve"> </w:t>
      </w:r>
      <w:r w:rsidR="00BD5BB9">
        <w:t xml:space="preserve">that would require peer review. </w:t>
      </w:r>
    </w:p>
    <w:p w:rsidR="00756160" w:rsidRPr="008F486F" w:rsidP="00756160" w14:paraId="7B376A68" w14:textId="77777777">
      <w:pPr>
        <w:pStyle w:val="BodyText"/>
      </w:pPr>
    </w:p>
    <w:p w:rsidR="00756160" w:rsidRPr="008F486F" w:rsidP="00756160" w14:paraId="17FA2254" w14:textId="77777777">
      <w:pPr>
        <w:pStyle w:val="Heading1"/>
      </w:pPr>
      <w:bookmarkStart w:id="167" w:name="5.7_Impact_on_Public_Health_and_Safety"/>
      <w:bookmarkStart w:id="168" w:name="_bookmark33"/>
      <w:bookmarkStart w:id="169" w:name="5.8_Impact_on_State,_Local,_and_Federall"/>
      <w:bookmarkStart w:id="170" w:name="_bookmark34"/>
      <w:bookmarkStart w:id="171" w:name="6.0_STAKEHOLDER_INVOLVEMENT"/>
      <w:bookmarkStart w:id="172" w:name="_bookmark35"/>
      <w:bookmarkStart w:id="173" w:name="7.0_SAFETY_GOAL_EVALUATION"/>
      <w:bookmarkStart w:id="174" w:name="_bookmark40"/>
      <w:bookmarkStart w:id="175" w:name="8.0_NRC_STRATEGIC_PLAN"/>
      <w:bookmarkStart w:id="176" w:name="_bookmark41"/>
      <w:bookmarkStart w:id="177" w:name="9.0_CONCLUSION"/>
      <w:bookmarkStart w:id="178" w:name="_bookmark42"/>
      <w:bookmarkStart w:id="179" w:name="_Toc176884025"/>
      <w:bookmarkStart w:id="180" w:name="_Toc222796533"/>
      <w:bookmarkEnd w:id="167"/>
      <w:bookmarkEnd w:id="168"/>
      <w:bookmarkEnd w:id="169"/>
      <w:bookmarkEnd w:id="170"/>
      <w:bookmarkEnd w:id="171"/>
      <w:bookmarkEnd w:id="172"/>
      <w:bookmarkEnd w:id="173"/>
      <w:bookmarkEnd w:id="174"/>
      <w:bookmarkEnd w:id="175"/>
      <w:bookmarkEnd w:id="176"/>
      <w:bookmarkEnd w:id="177"/>
      <w:bookmarkEnd w:id="178"/>
      <w:r w:rsidRPr="008F486F">
        <w:t>7.0</w:t>
      </w:r>
      <w:r w:rsidRPr="008F486F">
        <w:tab/>
        <w:t>CONCLUSION</w:t>
      </w:r>
      <w:bookmarkEnd w:id="179"/>
      <w:r w:rsidRPr="008F486F">
        <w:t xml:space="preserve"> </w:t>
      </w:r>
      <w:r>
        <w:t>AND</w:t>
      </w:r>
      <w:r w:rsidRPr="008F486F">
        <w:t xml:space="preserve"> DECISION RATIONALE</w:t>
      </w:r>
      <w:bookmarkEnd w:id="180"/>
    </w:p>
    <w:p w:rsidR="00756160" w:rsidRPr="008F486F" w:rsidP="00756160" w14:paraId="72039E72" w14:textId="77777777">
      <w:pPr>
        <w:pStyle w:val="BodyText"/>
      </w:pPr>
    </w:p>
    <w:p w:rsidR="00756160" w:rsidRPr="008F486F" w:rsidP="00756160" w14:paraId="0FE26285" w14:textId="77777777">
      <w:pPr>
        <w:pStyle w:val="BodyText"/>
        <w:rPr>
          <w:spacing w:val="2"/>
        </w:rPr>
      </w:pPr>
      <w:r w:rsidRPr="008F486F">
        <w:t>The NRC has</w:t>
      </w:r>
      <w:r w:rsidRPr="008F486F">
        <w:rPr>
          <w:spacing w:val="2"/>
        </w:rPr>
        <w:t xml:space="preserve"> </w:t>
      </w:r>
      <w:r w:rsidRPr="008F486F">
        <w:t>extensive experience with</w:t>
      </w:r>
      <w:r w:rsidRPr="008F486F">
        <w:rPr>
          <w:spacing w:val="2"/>
        </w:rPr>
        <w:t xml:space="preserve"> ensuring the safe and secure use of radiological materials that are </w:t>
      </w:r>
      <w:r w:rsidRPr="008F486F">
        <w:rPr>
          <w:spacing w:val="2"/>
        </w:rPr>
        <w:t>anticipated</w:t>
      </w:r>
      <w:r w:rsidRPr="008F486F">
        <w:rPr>
          <w:spacing w:val="2"/>
        </w:rPr>
        <w:t xml:space="preserve"> to be part of fusion machine </w:t>
      </w:r>
      <w:r w:rsidRPr="008F486F">
        <w:rPr>
          <w:spacing w:val="2"/>
        </w:rPr>
        <w:t>technology</w:t>
      </w:r>
      <w:r w:rsidRPr="008F486F">
        <w:rPr>
          <w:spacing w:val="2"/>
        </w:rPr>
        <w:t xml:space="preserve"> as fuel, activated products, and waste. Existing regulations require licenses for the use, generation, and disposal of byproduct material. </w:t>
      </w:r>
      <w:r w:rsidRPr="008F486F">
        <w:t xml:space="preserve">The proposed rule would provide fusion-machine specific requirements and clarify how existing requirements apply to licensing and overseeing fusion machines that generate radiological material under the 10 CFR </w:t>
      </w:r>
      <w:r>
        <w:t>P</w:t>
      </w:r>
      <w:r w:rsidRPr="008F486F">
        <w:t xml:space="preserve">art 30 byproduct material framework. </w:t>
      </w:r>
      <w:r w:rsidRPr="008F486F">
        <w:rPr>
          <w:spacing w:val="2"/>
        </w:rPr>
        <w:t xml:space="preserve">Neither Alternative 2 nor 3 would significantly change the regulatory requirements already in place for fusion machine applicants, but these alternatives would lead to significant savings in the time required for the application process due to improved clarity. Alternatives 2 </w:t>
      </w:r>
      <w:r w:rsidRPr="008F486F">
        <w:rPr>
          <w:spacing w:val="2"/>
        </w:rPr>
        <w:t xml:space="preserve">and 3 would require guidance development and/or rulemaking efforts by Agreement States to ensure their regulations and guidance are compatible with NRC regulations and guidance. The Agreement States would also benefit from the clarity of </w:t>
      </w:r>
      <w:r>
        <w:rPr>
          <w:spacing w:val="2"/>
        </w:rPr>
        <w:t>A</w:t>
      </w:r>
      <w:r w:rsidRPr="008F486F">
        <w:rPr>
          <w:spacing w:val="2"/>
        </w:rPr>
        <w:t>lternatives 2 and 3, which would avert the effort needed to independently develop approaches under existing regulations that apply to fusion machines, saving the effort needed when Agreement States prepare for anticipated fusion machines within their respective jurisdictions.</w:t>
      </w:r>
    </w:p>
    <w:p w:rsidR="00756160" w:rsidRPr="008F486F" w:rsidP="00756160" w14:paraId="7AEA3964" w14:textId="77777777">
      <w:pPr>
        <w:pStyle w:val="BodyText"/>
      </w:pPr>
    </w:p>
    <w:p w:rsidR="00756160" w:rsidRPr="008F486F" w:rsidP="00756160" w14:paraId="06A8B08F" w14:textId="77777777">
      <w:pPr>
        <w:pStyle w:val="BodyText"/>
      </w:pPr>
      <w:bookmarkStart w:id="181" w:name="10.0_RULEMAKING_DEVELOPMENT_TIMELINE"/>
      <w:bookmarkStart w:id="182" w:name="_bookmark43"/>
      <w:bookmarkStart w:id="183" w:name="_Hlk161303559"/>
      <w:bookmarkEnd w:id="181"/>
      <w:bookmarkEnd w:id="182"/>
      <w:r w:rsidRPr="008F486F">
        <w:t>Relative to the no action alternative (</w:t>
      </w:r>
      <w:r w:rsidRPr="005A5718">
        <w:t>Alternative 1), the proposed rulemaking (Alternative 2) results in quantifiable net benefits of approximately $1.38 million at a 7 percent discount rate or $3.25 million at a 3 percent discount rate. For the guidance-only alternative (Alternative 3), the quantifiable net benefits are estimated to be $2.03 million at a 7 percent discount rate or $4.22 million at a 3 percent discount rate. Significant benefits</w:t>
      </w:r>
      <w:r w:rsidRPr="008F486F">
        <w:t xml:space="preserve"> that cannot be quantified reliably also accrue from both alternatives. The NRC has concluded that both Alternative 2 and Alternative 3 of the proposed rule are cost beneficial. Although the net benefit monetized for Alternative 2 is less than the net benefit monetized for Alternative 3, additional nonmonetized benefits are expected for Alternative 2. The guidance associated with Alternative 2 can more directly cite the revised regulations explicitly associated with fusion machines, while the guidance developed for Alternative 3 would not have the benefit of revised regulations and would rely on more case-by-case regulatory tools such as customized license conditions and exemptions. Nonmonetized savings accrue to Alternative 2 due to avoiding the need to develop, justify, and review custom license conditions and exemptions for individual fusion machine applications.</w:t>
      </w:r>
    </w:p>
    <w:bookmarkEnd w:id="183"/>
    <w:p w:rsidR="00756160" w:rsidRPr="008F486F" w:rsidP="00756160" w14:paraId="108A21EA" w14:textId="77777777">
      <w:pPr>
        <w:pStyle w:val="BodyText"/>
      </w:pPr>
    </w:p>
    <w:p w:rsidR="00756160" w:rsidRPr="008F486F" w:rsidP="00756160" w14:paraId="1E43B7D2" w14:textId="77777777">
      <w:pPr>
        <w:pStyle w:val="BodyText"/>
      </w:pPr>
      <w:r w:rsidRPr="008F486F">
        <w:t xml:space="preserve">In summary, while both Alternatives 2 and 3 would ensure consistency in </w:t>
      </w:r>
      <w:r w:rsidRPr="005521DE" w:rsidR="005521DE">
        <w:t>byproduct material licensing reviews associated with fusion machines</w:t>
      </w:r>
      <w:r w:rsidRPr="008F486F">
        <w:t xml:space="preserve">, </w:t>
      </w:r>
      <w:r w:rsidRPr="008F486F">
        <w:rPr>
          <w:spacing w:val="2"/>
        </w:rPr>
        <w:t>provide an efficient</w:t>
      </w:r>
      <w:r w:rsidRPr="008F486F">
        <w:t xml:space="preserve"> licensing process, and clarify ongoing regulatory requirements for the full life of a fusion machine through decommissioning, Alternative 2 is the recommended alternative due to qualitative considerations described above.</w:t>
      </w:r>
    </w:p>
    <w:p w:rsidR="00756160" w:rsidRPr="008F486F" w:rsidP="00756160" w14:paraId="26EFB467" w14:textId="77777777">
      <w:pPr>
        <w:pStyle w:val="BodyText"/>
      </w:pPr>
    </w:p>
    <w:p w:rsidR="00756160" w:rsidRPr="008F486F" w:rsidP="00756160" w14:paraId="54E8A756" w14:textId="77777777">
      <w:pPr>
        <w:pStyle w:val="Heading1"/>
        <w:keepNext/>
      </w:pPr>
      <w:bookmarkStart w:id="184" w:name="_Toc176884027"/>
      <w:bookmarkStart w:id="185" w:name="_Toc222796534"/>
      <w:r w:rsidRPr="008F486F">
        <w:t>8.0</w:t>
      </w:r>
      <w:r w:rsidRPr="008F486F">
        <w:tab/>
        <w:t>IMPLEMENTATION</w:t>
      </w:r>
      <w:bookmarkEnd w:id="184"/>
      <w:bookmarkEnd w:id="185"/>
    </w:p>
    <w:p w:rsidR="00756160" w:rsidRPr="008F486F" w:rsidP="00756160" w14:paraId="7C6878DD" w14:textId="77777777">
      <w:pPr>
        <w:keepNext/>
      </w:pPr>
    </w:p>
    <w:p w:rsidR="00756160" w:rsidRPr="008F486F" w:rsidP="00756160" w14:paraId="4EF1A255" w14:textId="77777777">
      <w:pPr>
        <w:rPr>
          <w:rFonts w:eastAsiaTheme="minorEastAsia"/>
        </w:rPr>
      </w:pPr>
      <w:r w:rsidRPr="008F486F">
        <w:t xml:space="preserve">The NRC assumes that the final rule would become effective 30 days after its publication in the </w:t>
      </w:r>
      <w:r w:rsidRPr="008F486F">
        <w:rPr>
          <w:i/>
          <w:iCs/>
        </w:rPr>
        <w:t>Federal Register</w:t>
      </w:r>
      <w:r w:rsidRPr="008F486F">
        <w:t xml:space="preserve"> in 2026.</w:t>
      </w:r>
    </w:p>
    <w:p w:rsidR="00756160" w:rsidRPr="008F486F" w:rsidP="00756160" w14:paraId="26ED6E06" w14:textId="77777777">
      <w:pPr>
        <w:pStyle w:val="BodyText"/>
      </w:pPr>
    </w:p>
    <w:p w:rsidR="00756160" w:rsidRPr="008F486F" w:rsidP="00756160" w14:paraId="7DA2992B" w14:textId="77777777">
      <w:pPr>
        <w:sectPr w:rsidSect="00756160">
          <w:headerReference w:type="default" r:id="rId24"/>
          <w:footerReference w:type="default" r:id="rId25"/>
          <w:pgSz w:w="12240" w:h="15840" w:code="1"/>
          <w:pgMar w:top="1440" w:right="1440" w:bottom="1440" w:left="1440" w:header="0" w:footer="766" w:gutter="0"/>
          <w:pgNumType w:start="1"/>
          <w:cols w:space="720"/>
          <w:docGrid w:linePitch="299"/>
        </w:sectPr>
      </w:pPr>
    </w:p>
    <w:p w:rsidR="00756160" w:rsidRPr="008F486F" w:rsidP="00756160" w14:paraId="61DB0147" w14:textId="77777777">
      <w:pPr>
        <w:pStyle w:val="Heading1"/>
      </w:pPr>
      <w:bookmarkStart w:id="186" w:name="11.0_REFERENCES"/>
      <w:bookmarkStart w:id="187" w:name="_bookmark44"/>
      <w:bookmarkStart w:id="188" w:name="_Toc176884028"/>
      <w:bookmarkStart w:id="189" w:name="_Toc222796535"/>
      <w:bookmarkEnd w:id="186"/>
      <w:bookmarkEnd w:id="187"/>
      <w:r w:rsidRPr="008F486F">
        <w:t>9.0</w:t>
      </w:r>
      <w:r w:rsidRPr="008F486F">
        <w:tab/>
        <w:t>REFERENCES</w:t>
      </w:r>
      <w:bookmarkEnd w:id="188"/>
      <w:bookmarkEnd w:id="189"/>
    </w:p>
    <w:p w:rsidR="00756160" w:rsidRPr="008F486F" w:rsidP="00756160" w14:paraId="29CCE7F9" w14:textId="77777777">
      <w:pPr>
        <w:pStyle w:val="BodyText"/>
      </w:pPr>
    </w:p>
    <w:p w:rsidR="00756160" w:rsidRPr="008F486F" w:rsidP="00756160" w14:paraId="34EBF381" w14:textId="77777777">
      <w:r w:rsidRPr="008F486F">
        <w:t>10 CFR Part 30.</w:t>
      </w:r>
      <w:r w:rsidRPr="008F486F">
        <w:rPr>
          <w:spacing w:val="1"/>
        </w:rPr>
        <w:t xml:space="preserve"> </w:t>
      </w:r>
      <w:r w:rsidRPr="008F486F">
        <w:rPr>
          <w:i/>
        </w:rPr>
        <w:t>Code of Federal Regulations</w:t>
      </w:r>
      <w:r w:rsidRPr="008F486F">
        <w:t xml:space="preserve">, Title 10, </w:t>
      </w:r>
      <w:r w:rsidRPr="008F486F">
        <w:rPr>
          <w:i/>
        </w:rPr>
        <w:t>Energy</w:t>
      </w:r>
      <w:r w:rsidRPr="008F486F">
        <w:t>, Part 30, “Rules of General Applicability to Domestic Licensing of Byproduct Material.”</w:t>
      </w:r>
    </w:p>
    <w:p w:rsidR="00756160" w:rsidRPr="008F486F" w:rsidP="00756160" w14:paraId="5AE9709B" w14:textId="77777777">
      <w:pPr>
        <w:pStyle w:val="BodyText"/>
      </w:pPr>
    </w:p>
    <w:p w:rsidR="00756160" w:rsidRPr="008F486F" w:rsidP="00756160" w14:paraId="4891D4DB" w14:textId="77777777">
      <w:pPr>
        <w:pStyle w:val="BodyText"/>
      </w:pPr>
      <w:r w:rsidRPr="008F486F">
        <w:t>ACRS Letter</w:t>
      </w:r>
      <w:r>
        <w:t>—</w:t>
      </w:r>
      <w:r w:rsidRPr="008F486F">
        <w:t>Draft SECY White Paper on Licensing and Regulating Fusion Energy Systems October 5-7, 2022, Full Committee, October 21, 2022, Agencywide Documents Access and Management System Accession No. ML22290A177.</w:t>
      </w:r>
    </w:p>
    <w:p w:rsidR="00756160" w:rsidRPr="008F486F" w:rsidP="00756160" w14:paraId="1D9FBAA4" w14:textId="77777777">
      <w:pPr>
        <w:pStyle w:val="BodyText"/>
      </w:pPr>
    </w:p>
    <w:p w:rsidR="00756160" w:rsidP="00756160" w14:paraId="13C7DA55" w14:textId="77777777">
      <w:r>
        <w:t xml:space="preserve">EIA, U.S. Energy Information Administration, </w:t>
      </w:r>
      <w:r w:rsidRPr="00AA64DD">
        <w:t>Preliminary Monthly Electric Generator Inventory (based on Form EIA-860M as a supplement to Form EIA-860)</w:t>
      </w:r>
      <w:r>
        <w:t>,</w:t>
      </w:r>
      <w:r w:rsidRPr="00333B93">
        <w:t xml:space="preserve"> </w:t>
      </w:r>
      <w:hyperlink r:id="rId26" w:history="1">
        <w:r w:rsidRPr="005B1E05">
          <w:rPr>
            <w:rStyle w:val="Hyperlink"/>
          </w:rPr>
          <w:t>https://www.eia.gov/electricity/data/eia860m/archive/xls/december_generator2023.xlsx</w:t>
        </w:r>
      </w:hyperlink>
      <w:r>
        <w:t>, December 24, 2023.</w:t>
      </w:r>
    </w:p>
    <w:p w:rsidR="00756160" w:rsidP="00756160" w14:paraId="750F9D8E" w14:textId="77777777"/>
    <w:p w:rsidR="00756160" w:rsidRPr="008F486F" w:rsidP="00756160" w14:paraId="731C5701" w14:textId="77777777">
      <w:r w:rsidRPr="008F486F">
        <w:t>“</w:t>
      </w:r>
      <w:r w:rsidRPr="008F486F">
        <w:rPr>
          <w:iCs/>
        </w:rPr>
        <w:t>Final</w:t>
      </w:r>
      <w:r w:rsidRPr="008F486F">
        <w:rPr>
          <w:iCs/>
          <w:spacing w:val="-2"/>
        </w:rPr>
        <w:t xml:space="preserve"> </w:t>
      </w:r>
      <w:r w:rsidRPr="008F486F">
        <w:rPr>
          <w:iCs/>
        </w:rPr>
        <w:t>Information</w:t>
      </w:r>
      <w:r w:rsidRPr="008F486F">
        <w:rPr>
          <w:iCs/>
          <w:spacing w:val="-2"/>
        </w:rPr>
        <w:t xml:space="preserve"> </w:t>
      </w:r>
      <w:r w:rsidRPr="008F486F">
        <w:rPr>
          <w:iCs/>
        </w:rPr>
        <w:t>Quality</w:t>
      </w:r>
      <w:r w:rsidRPr="008F486F">
        <w:rPr>
          <w:iCs/>
          <w:spacing w:val="-2"/>
        </w:rPr>
        <w:t xml:space="preserve"> </w:t>
      </w:r>
      <w:r w:rsidRPr="008F486F">
        <w:rPr>
          <w:iCs/>
        </w:rPr>
        <w:t>Bulletin</w:t>
      </w:r>
      <w:r w:rsidRPr="008F486F">
        <w:rPr>
          <w:iCs/>
          <w:spacing w:val="-1"/>
        </w:rPr>
        <w:t xml:space="preserve"> </w:t>
      </w:r>
      <w:r w:rsidRPr="008F486F">
        <w:rPr>
          <w:iCs/>
        </w:rPr>
        <w:t>for</w:t>
      </w:r>
      <w:r w:rsidRPr="008F486F">
        <w:rPr>
          <w:iCs/>
          <w:spacing w:val="-2"/>
        </w:rPr>
        <w:t xml:space="preserve"> Peer Review</w:t>
      </w:r>
      <w:r w:rsidRPr="008F486F">
        <w:t>.” Office of Management and Budget, Washington, D</w:t>
      </w:r>
      <w:r>
        <w:t>.</w:t>
      </w:r>
      <w:r w:rsidRPr="008F486F">
        <w:t>C</w:t>
      </w:r>
      <w:r>
        <w:t>.</w:t>
      </w:r>
      <w:r w:rsidRPr="008F486F">
        <w:t>, December 16, 2004.</w:t>
      </w:r>
    </w:p>
    <w:p w:rsidR="00756160" w:rsidRPr="008F486F" w:rsidP="00756160" w14:paraId="2142BC79" w14:textId="77777777">
      <w:pPr>
        <w:pStyle w:val="BodyText"/>
      </w:pPr>
    </w:p>
    <w:p w:rsidR="00756160" w:rsidRPr="008F486F" w:rsidP="00756160" w14:paraId="18453238" w14:textId="77777777">
      <w:pPr>
        <w:pStyle w:val="BodyText"/>
        <w:rPr>
          <w:i/>
        </w:rPr>
      </w:pPr>
      <w:r w:rsidRPr="008F486F">
        <w:t>National</w:t>
      </w:r>
      <w:r w:rsidRPr="008F486F">
        <w:rPr>
          <w:spacing w:val="-2"/>
        </w:rPr>
        <w:t xml:space="preserve"> </w:t>
      </w:r>
      <w:r w:rsidRPr="008F486F">
        <w:t>Environmental</w:t>
      </w:r>
      <w:r w:rsidRPr="008F486F">
        <w:rPr>
          <w:spacing w:val="-1"/>
        </w:rPr>
        <w:t xml:space="preserve"> </w:t>
      </w:r>
      <w:r w:rsidRPr="008F486F">
        <w:t>Policy</w:t>
      </w:r>
      <w:r w:rsidRPr="008F486F">
        <w:rPr>
          <w:spacing w:val="-2"/>
        </w:rPr>
        <w:t xml:space="preserve"> </w:t>
      </w:r>
      <w:r w:rsidRPr="008F486F">
        <w:t>Act</w:t>
      </w:r>
      <w:r w:rsidRPr="008F486F">
        <w:rPr>
          <w:spacing w:val="-1"/>
        </w:rPr>
        <w:t xml:space="preserve"> </w:t>
      </w:r>
      <w:r w:rsidRPr="008F486F">
        <w:t>of</w:t>
      </w:r>
      <w:r w:rsidRPr="008F486F">
        <w:rPr>
          <w:spacing w:val="-2"/>
        </w:rPr>
        <w:t xml:space="preserve"> </w:t>
      </w:r>
      <w:r w:rsidRPr="008F486F">
        <w:t>1969,</w:t>
      </w:r>
      <w:r w:rsidRPr="008F486F">
        <w:rPr>
          <w:spacing w:val="-1"/>
        </w:rPr>
        <w:t xml:space="preserve"> </w:t>
      </w:r>
      <w:r w:rsidRPr="008F486F">
        <w:t>as</w:t>
      </w:r>
      <w:r w:rsidRPr="008F486F">
        <w:rPr>
          <w:spacing w:val="-1"/>
        </w:rPr>
        <w:t xml:space="preserve"> </w:t>
      </w:r>
      <w:r w:rsidRPr="008F486F">
        <w:t>amended. 42</w:t>
      </w:r>
      <w:r w:rsidRPr="008F486F">
        <w:rPr>
          <w:spacing w:val="-1"/>
        </w:rPr>
        <w:t> </w:t>
      </w:r>
      <w:r w:rsidRPr="008F486F">
        <w:t>U.S.C.</w:t>
      </w:r>
      <w:r w:rsidRPr="008F486F">
        <w:rPr>
          <w:spacing w:val="-2"/>
        </w:rPr>
        <w:t xml:space="preserve"> </w:t>
      </w:r>
      <w:r w:rsidRPr="008F486F">
        <w:t>4321</w:t>
      </w:r>
      <w:r w:rsidRPr="008F486F">
        <w:rPr>
          <w:spacing w:val="-1"/>
        </w:rPr>
        <w:t xml:space="preserve"> </w:t>
      </w:r>
      <w:r w:rsidRPr="008F486F">
        <w:rPr>
          <w:iCs/>
        </w:rPr>
        <w:t>et</w:t>
      </w:r>
      <w:r w:rsidRPr="008F486F">
        <w:rPr>
          <w:iCs/>
          <w:spacing w:val="-2"/>
        </w:rPr>
        <w:t xml:space="preserve"> </w:t>
      </w:r>
      <w:r w:rsidRPr="008F486F">
        <w:rPr>
          <w:iCs/>
        </w:rPr>
        <w:t>seq</w:t>
      </w:r>
      <w:r w:rsidRPr="008F486F">
        <w:rPr>
          <w:i/>
        </w:rPr>
        <w:t>.</w:t>
      </w:r>
    </w:p>
    <w:p w:rsidR="00756160" w:rsidRPr="008F486F" w:rsidP="00756160" w14:paraId="31A45407" w14:textId="77777777">
      <w:pPr>
        <w:pStyle w:val="BodyText"/>
      </w:pPr>
    </w:p>
    <w:p w:rsidR="00756160" w:rsidRPr="008F486F" w:rsidP="00756160" w14:paraId="0838678A" w14:textId="77777777">
      <w:pPr>
        <w:pStyle w:val="BodyText"/>
      </w:pPr>
      <w:r w:rsidRPr="008F486F">
        <w:t>Regulatory</w:t>
      </w:r>
      <w:r w:rsidRPr="008F486F">
        <w:rPr>
          <w:spacing w:val="-3"/>
        </w:rPr>
        <w:t xml:space="preserve"> </w:t>
      </w:r>
      <w:r w:rsidRPr="008F486F">
        <w:t>Flexibility</w:t>
      </w:r>
      <w:r w:rsidRPr="008F486F">
        <w:rPr>
          <w:spacing w:val="-1"/>
        </w:rPr>
        <w:t xml:space="preserve"> </w:t>
      </w:r>
      <w:r w:rsidRPr="008F486F">
        <w:t>Act. 5</w:t>
      </w:r>
      <w:r w:rsidRPr="008F486F">
        <w:rPr>
          <w:spacing w:val="-1"/>
        </w:rPr>
        <w:t> </w:t>
      </w:r>
      <w:r w:rsidRPr="008F486F">
        <w:t>U.S.C.</w:t>
      </w:r>
      <w:r w:rsidRPr="008F486F">
        <w:rPr>
          <w:spacing w:val="-1"/>
        </w:rPr>
        <w:t> </w:t>
      </w:r>
      <w:r w:rsidRPr="008F486F">
        <w:t>601</w:t>
      </w:r>
      <w:r w:rsidRPr="008F486F">
        <w:rPr>
          <w:spacing w:val="-1"/>
        </w:rPr>
        <w:t xml:space="preserve"> </w:t>
      </w:r>
      <w:r w:rsidRPr="008F486F">
        <w:rPr>
          <w:iCs/>
        </w:rPr>
        <w:t>et</w:t>
      </w:r>
      <w:r w:rsidRPr="008F486F">
        <w:rPr>
          <w:iCs/>
          <w:spacing w:val="-1"/>
        </w:rPr>
        <w:t xml:space="preserve"> </w:t>
      </w:r>
      <w:r w:rsidRPr="008F486F">
        <w:rPr>
          <w:iCs/>
        </w:rPr>
        <w:t>seq</w:t>
      </w:r>
      <w:r w:rsidRPr="008F486F">
        <w:t>., Public</w:t>
      </w:r>
      <w:r w:rsidRPr="008F486F">
        <w:rPr>
          <w:spacing w:val="-1"/>
        </w:rPr>
        <w:t xml:space="preserve"> </w:t>
      </w:r>
      <w:r w:rsidRPr="008F486F">
        <w:t>Law</w:t>
      </w:r>
      <w:r w:rsidRPr="008F486F">
        <w:rPr>
          <w:spacing w:val="-3"/>
        </w:rPr>
        <w:t> </w:t>
      </w:r>
      <w:r w:rsidRPr="008F486F">
        <w:t>96</w:t>
      </w:r>
      <w:r w:rsidRPr="008F486F">
        <w:noBreakHyphen/>
        <w:t>354, 94</w:t>
      </w:r>
      <w:r w:rsidRPr="008F486F">
        <w:rPr>
          <w:spacing w:val="-2"/>
        </w:rPr>
        <w:t> </w:t>
      </w:r>
      <w:r w:rsidRPr="008F486F">
        <w:t>Stat.</w:t>
      </w:r>
      <w:r w:rsidRPr="008F486F">
        <w:rPr>
          <w:spacing w:val="-1"/>
        </w:rPr>
        <w:t> </w:t>
      </w:r>
      <w:r w:rsidRPr="008F486F">
        <w:t>1164.</w:t>
      </w:r>
    </w:p>
    <w:p w:rsidR="00756160" w:rsidRPr="008F486F" w:rsidP="00756160" w14:paraId="76E8C82F" w14:textId="77777777">
      <w:pPr>
        <w:widowControl w:val="0"/>
      </w:pPr>
    </w:p>
    <w:p w:rsidR="00756160" w:rsidRPr="008F486F" w:rsidP="00756160" w14:paraId="5B54B5F9" w14:textId="77777777">
      <w:pPr>
        <w:widowControl w:val="0"/>
      </w:pPr>
      <w:r w:rsidRPr="008F486F">
        <w:t>“Staff Requirements—SECY</w:t>
      </w:r>
      <w:r w:rsidRPr="008F486F">
        <w:noBreakHyphen/>
        <w:t>23</w:t>
      </w:r>
      <w:r w:rsidRPr="008F486F">
        <w:noBreakHyphen/>
        <w:t>0001—Options for Licensing and Regulating Fusion Energy Systems.” SRM-SECY-23-0001, U.S. Nuclear Regulatory Commission, April 13, 2023, Agencywide Documents Access and Management System Accession No. ML23103A449.</w:t>
      </w:r>
    </w:p>
    <w:p w:rsidR="00756160" w:rsidRPr="008F486F" w:rsidP="00756160" w14:paraId="5BD5F7E2" w14:textId="77777777">
      <w:pPr>
        <w:widowControl w:val="0"/>
      </w:pPr>
    </w:p>
    <w:p w:rsidR="00756160" w:rsidRPr="008F486F" w:rsidP="00756160" w14:paraId="3A937E8E" w14:textId="77777777">
      <w:pPr>
        <w:widowControl w:val="0"/>
      </w:pPr>
      <w:r w:rsidRPr="008F486F">
        <w:t>“Staff Requirements—SECY-20-0032—Rulemaking Plan on ‘Risk-Informed, Technology-Inclusive Regulatory Framework for Advanced Reactors.” SRM-SECY-20-0032, U.S. Nuclear Regulatory Commission, October 2, 2020, Agencywide Documents Access and Management System Accession No. ML20276A293.</w:t>
      </w:r>
      <w:r w:rsidRPr="008F486F">
        <w:br w:type="page"/>
      </w:r>
    </w:p>
    <w:p w:rsidR="00756160" w:rsidRPr="008F486F" w:rsidP="00756160" w14:paraId="476AE52D" w14:textId="77777777"/>
    <w:p w:rsidR="00756160" w:rsidRPr="008F486F" w:rsidP="00756160" w14:paraId="6AE6D626" w14:textId="77777777"/>
    <w:p w:rsidR="00756160" w:rsidRPr="008F486F" w:rsidP="00756160" w14:paraId="34B251BD" w14:textId="77777777"/>
    <w:p w:rsidR="00756160" w:rsidRPr="008F486F" w:rsidP="00756160" w14:paraId="37F682B9" w14:textId="77777777"/>
    <w:p w:rsidR="00756160" w:rsidRPr="008F486F" w:rsidP="00756160" w14:paraId="0701BC7E" w14:textId="77777777"/>
    <w:p w:rsidR="00756160" w:rsidRPr="008F486F" w:rsidP="00756160" w14:paraId="68A8D39C" w14:textId="77777777">
      <w:pPr>
        <w:pStyle w:val="BodyText"/>
      </w:pPr>
    </w:p>
    <w:p w:rsidR="00756160" w:rsidRPr="008F486F" w:rsidP="00756160" w14:paraId="2FCAFD76" w14:textId="77777777">
      <w:pPr>
        <w:pStyle w:val="BodyText"/>
      </w:pPr>
    </w:p>
    <w:p w:rsidR="00756160" w:rsidRPr="008F486F" w:rsidP="00756160" w14:paraId="196A6007" w14:textId="77777777">
      <w:pPr>
        <w:pStyle w:val="BodyText"/>
      </w:pPr>
    </w:p>
    <w:p w:rsidR="00756160" w:rsidRPr="008F486F" w:rsidP="00756160" w14:paraId="20F29CF3" w14:textId="77777777">
      <w:pPr>
        <w:pStyle w:val="BodyText"/>
      </w:pPr>
    </w:p>
    <w:p w:rsidR="00756160" w:rsidRPr="008F486F" w:rsidP="00756160" w14:paraId="167BD6CB" w14:textId="77777777">
      <w:pPr>
        <w:pStyle w:val="BodyText"/>
      </w:pPr>
    </w:p>
    <w:p w:rsidR="00756160" w:rsidRPr="008F486F" w:rsidP="00756160" w14:paraId="27EBEC49" w14:textId="77777777">
      <w:pPr>
        <w:pStyle w:val="BodyText"/>
      </w:pPr>
    </w:p>
    <w:p w:rsidR="00756160" w:rsidRPr="008F486F" w:rsidP="00756160" w14:paraId="20D46B63" w14:textId="77777777">
      <w:pPr>
        <w:pStyle w:val="BodyText"/>
      </w:pPr>
    </w:p>
    <w:p w:rsidR="00756160" w:rsidRPr="008F486F" w:rsidP="00756160" w14:paraId="102877A7" w14:textId="77777777">
      <w:pPr>
        <w:pStyle w:val="BodyText"/>
      </w:pPr>
    </w:p>
    <w:p w:rsidR="00756160" w:rsidRPr="008F486F" w:rsidP="00756160" w14:paraId="7B830E77" w14:textId="77777777">
      <w:pPr>
        <w:pStyle w:val="BodyText"/>
      </w:pPr>
    </w:p>
    <w:p w:rsidR="00756160" w:rsidRPr="008F486F" w:rsidP="00756160" w14:paraId="6DCEF266" w14:textId="77777777">
      <w:pPr>
        <w:pStyle w:val="BodyText"/>
      </w:pPr>
    </w:p>
    <w:p w:rsidR="00756160" w:rsidRPr="008F486F" w:rsidP="00756160" w14:paraId="373626F8" w14:textId="77777777">
      <w:pPr>
        <w:pStyle w:val="BodyText"/>
      </w:pPr>
    </w:p>
    <w:p w:rsidR="00756160" w:rsidRPr="008F486F" w:rsidP="00756160" w14:paraId="3381D1EF" w14:textId="77777777">
      <w:pPr>
        <w:pStyle w:val="BodyText"/>
      </w:pPr>
    </w:p>
    <w:p w:rsidR="00756160" w:rsidRPr="008F486F" w:rsidP="00756160" w14:paraId="165F8F80" w14:textId="77777777">
      <w:pPr>
        <w:pStyle w:val="BodyText"/>
      </w:pPr>
    </w:p>
    <w:p w:rsidR="00756160" w:rsidRPr="008F486F" w:rsidP="00756160" w14:paraId="6B10D486" w14:textId="77777777">
      <w:pPr>
        <w:pStyle w:val="BodyText"/>
      </w:pPr>
    </w:p>
    <w:p w:rsidR="00756160" w:rsidRPr="008F486F" w:rsidP="00756160" w14:paraId="7FB60D44" w14:textId="77777777">
      <w:pPr>
        <w:pStyle w:val="BodyText"/>
      </w:pPr>
    </w:p>
    <w:p w:rsidR="00756160" w:rsidRPr="008F486F" w:rsidP="00756160" w14:paraId="0627DBD3" w14:textId="77777777">
      <w:pPr>
        <w:pStyle w:val="BodyText"/>
      </w:pPr>
    </w:p>
    <w:p w:rsidR="00756160" w:rsidRPr="008F486F" w:rsidP="00756160" w14:paraId="4228D357" w14:textId="77777777">
      <w:pPr>
        <w:pStyle w:val="BodyText"/>
      </w:pPr>
    </w:p>
    <w:p w:rsidR="00756160" w:rsidRPr="008F486F" w:rsidP="00756160" w14:paraId="33409875" w14:textId="77777777">
      <w:pPr>
        <w:pStyle w:val="BodyText"/>
      </w:pPr>
    </w:p>
    <w:p w:rsidR="00756160" w:rsidRPr="008F486F" w:rsidP="00756160" w14:paraId="502590E7" w14:textId="77777777">
      <w:pPr>
        <w:pStyle w:val="BodyText"/>
      </w:pPr>
    </w:p>
    <w:p w:rsidR="00756160" w:rsidRPr="008F486F" w:rsidP="00756160" w14:paraId="4C34C3EF" w14:textId="77777777">
      <w:pPr>
        <w:pStyle w:val="BodyText"/>
      </w:pPr>
    </w:p>
    <w:p w:rsidR="00756160" w:rsidRPr="008F486F" w:rsidP="00756160" w14:paraId="1F4D95BF" w14:textId="77777777">
      <w:pPr>
        <w:pStyle w:val="BodyText"/>
        <w:jc w:val="center"/>
      </w:pPr>
      <w:r w:rsidRPr="008F486F">
        <w:t>[Page</w:t>
      </w:r>
      <w:r w:rsidRPr="008F486F">
        <w:rPr>
          <w:spacing w:val="-2"/>
        </w:rPr>
        <w:t xml:space="preserve"> </w:t>
      </w:r>
      <w:r w:rsidRPr="008F486F">
        <w:t>intentionally</w:t>
      </w:r>
      <w:r w:rsidRPr="008F486F">
        <w:rPr>
          <w:spacing w:val="-1"/>
        </w:rPr>
        <w:t xml:space="preserve"> </w:t>
      </w:r>
      <w:r w:rsidRPr="008F486F">
        <w:t>left</w:t>
      </w:r>
      <w:r w:rsidRPr="008F486F">
        <w:rPr>
          <w:spacing w:val="-2"/>
        </w:rPr>
        <w:t xml:space="preserve"> </w:t>
      </w:r>
      <w:r w:rsidRPr="008F486F">
        <w:t>blank.]</w:t>
      </w:r>
    </w:p>
    <w:p w:rsidR="00756160" w:rsidRPr="008F486F" w:rsidP="00756160" w14:paraId="7E7685C4" w14:textId="77777777"/>
    <w:p w:rsidR="00756160" w:rsidRPr="008F486F" w:rsidP="00756160" w14:paraId="23F6B80D" w14:textId="77777777">
      <w:pPr>
        <w:sectPr w:rsidSect="00756160">
          <w:headerReference w:type="default" r:id="rId27"/>
          <w:pgSz w:w="12240" w:h="15840"/>
          <w:pgMar w:top="1440" w:right="1440" w:bottom="1440" w:left="1440" w:header="0" w:footer="766" w:gutter="0"/>
          <w:cols w:space="720"/>
        </w:sectPr>
      </w:pPr>
    </w:p>
    <w:p w:rsidR="00756160" w:rsidRPr="008F486F" w:rsidP="00756160" w14:paraId="4AFF8A56" w14:textId="77777777">
      <w:pPr>
        <w:pStyle w:val="Heading1"/>
        <w:jc w:val="center"/>
      </w:pPr>
      <w:bookmarkStart w:id="190" w:name="_Toc176884029"/>
      <w:bookmarkStart w:id="191" w:name="_Toc222796536"/>
      <w:r w:rsidRPr="008F486F">
        <w:t>Appendix A Cost-Benefit Calculations</w:t>
      </w:r>
      <w:bookmarkEnd w:id="190"/>
      <w:bookmarkEnd w:id="191"/>
    </w:p>
    <w:p w:rsidR="00756160" w:rsidRPr="008F486F" w:rsidP="00756160" w14:paraId="486AE740" w14:textId="77777777"/>
    <w:p w:rsidR="00756160" w:rsidRPr="008F486F" w:rsidP="00756160" w14:paraId="48364C34" w14:textId="77777777">
      <w:pPr>
        <w:pStyle w:val="TableHeading"/>
        <w:rPr>
          <w:b w:val="0"/>
          <w:bCs w:val="0"/>
          <w:i/>
          <w:iCs/>
        </w:rPr>
      </w:pPr>
      <w:bookmarkStart w:id="192" w:name="_Toc171197459"/>
      <w:bookmarkStart w:id="193" w:name="_Toc177045606"/>
      <w:bookmarkStart w:id="194" w:name="_Toc222796258"/>
      <w:r w:rsidRPr="008F486F">
        <w:t>Table A</w:t>
      </w:r>
      <w:r w:rsidRPr="008F486F">
        <w:noBreakHyphen/>
      </w:r>
      <w:r w:rsidRPr="008F486F">
        <w:fldChar w:fldCharType="begin"/>
      </w:r>
      <w:r w:rsidRPr="008F486F">
        <w:instrText xml:space="preserve"> SEQ Table \* ARABIC \r 1</w:instrText>
      </w:r>
      <w:r w:rsidRPr="008F486F">
        <w:fldChar w:fldCharType="separate"/>
      </w:r>
      <w:r w:rsidRPr="008F486F">
        <w:rPr>
          <w:noProof/>
        </w:rPr>
        <w:t>1</w:t>
      </w:r>
      <w:r w:rsidRPr="008F486F">
        <w:fldChar w:fldCharType="end"/>
      </w:r>
      <w:r w:rsidRPr="008F486F">
        <w:t xml:space="preserve"> </w:t>
      </w:r>
      <w:r w:rsidRPr="008F486F">
        <w:tab/>
        <w:t>Projection of Fusion Machine Installations and Agreement State or NRC Regulation of the Machines</w:t>
      </w:r>
      <w:bookmarkEnd w:id="192"/>
      <w:bookmarkEnd w:id="193"/>
      <w:bookmarkEnd w:id="194"/>
    </w:p>
    <w:tbl>
      <w:tblPr>
        <w:tblW w:w="9360" w:type="dxa"/>
        <w:tblLook w:val="04A0"/>
      </w:tblPr>
      <w:tblGrid>
        <w:gridCol w:w="1185"/>
        <w:gridCol w:w="1599"/>
        <w:gridCol w:w="1186"/>
        <w:gridCol w:w="1558"/>
        <w:gridCol w:w="1460"/>
        <w:gridCol w:w="1186"/>
        <w:gridCol w:w="1186"/>
      </w:tblGrid>
      <w:tr w14:paraId="2CF06440" w14:textId="77777777">
        <w:tblPrEx>
          <w:tblW w:w="9360" w:type="dxa"/>
          <w:tblLook w:val="04A0"/>
        </w:tblPrEx>
        <w:trPr>
          <w:trHeight w:val="950"/>
        </w:trPr>
        <w:tc>
          <w:tcPr>
            <w:tcW w:w="1185" w:type="dxa"/>
            <w:vMerge w:val="restart"/>
            <w:tcBorders>
              <w:top w:val="single" w:sz="4" w:space="0" w:color="auto"/>
              <w:left w:val="single" w:sz="4" w:space="0" w:color="auto"/>
              <w:bottom w:val="single" w:sz="4" w:space="0" w:color="auto"/>
              <w:right w:val="single" w:sz="4" w:space="0" w:color="auto"/>
            </w:tcBorders>
            <w:vAlign w:val="bottom"/>
            <w:hideMark/>
          </w:tcPr>
          <w:p w:rsidR="00756160" w:rsidRPr="008F486F" w14:paraId="66164B71" w14:textId="77777777">
            <w:pPr>
              <w:jc w:val="center"/>
              <w:rPr>
                <w:rFonts w:eastAsia="Times New Roman"/>
                <w:b/>
                <w:bCs/>
                <w:color w:val="000000"/>
              </w:rPr>
            </w:pPr>
            <w:bookmarkStart w:id="195" w:name="_Hlk160454532"/>
            <w:r w:rsidRPr="008F486F">
              <w:rPr>
                <w:rFonts w:eastAsia="Times New Roman"/>
                <w:b/>
                <w:bCs/>
                <w:color w:val="000000"/>
              </w:rPr>
              <w:t>Year</w:t>
            </w:r>
          </w:p>
        </w:tc>
        <w:tc>
          <w:tcPr>
            <w:tcW w:w="5803" w:type="dxa"/>
            <w:gridSpan w:val="4"/>
            <w:tcBorders>
              <w:top w:val="single" w:sz="4" w:space="0" w:color="auto"/>
              <w:left w:val="nil"/>
              <w:bottom w:val="single" w:sz="4" w:space="0" w:color="auto"/>
              <w:right w:val="single" w:sz="4" w:space="0" w:color="auto"/>
            </w:tcBorders>
            <w:noWrap/>
            <w:vAlign w:val="bottom"/>
            <w:hideMark/>
          </w:tcPr>
          <w:p w:rsidR="00756160" w:rsidRPr="008F486F" w14:paraId="0059251E" w14:textId="77777777">
            <w:pPr>
              <w:jc w:val="center"/>
              <w:rPr>
                <w:rFonts w:eastAsia="Times New Roman"/>
                <w:b/>
                <w:bCs/>
                <w:color w:val="000000"/>
              </w:rPr>
            </w:pPr>
            <w:r w:rsidRPr="008F486F">
              <w:rPr>
                <w:rFonts w:eastAsia="Times New Roman"/>
                <w:b/>
                <w:bCs/>
                <w:color w:val="000000"/>
              </w:rPr>
              <w:t>Fusion Machines</w:t>
            </w:r>
          </w:p>
        </w:tc>
        <w:tc>
          <w:tcPr>
            <w:tcW w:w="2372" w:type="dxa"/>
            <w:gridSpan w:val="2"/>
            <w:tcBorders>
              <w:top w:val="single" w:sz="4" w:space="0" w:color="auto"/>
              <w:left w:val="nil"/>
              <w:bottom w:val="single" w:sz="4" w:space="0" w:color="auto"/>
              <w:right w:val="single" w:sz="4" w:space="0" w:color="auto"/>
            </w:tcBorders>
            <w:vAlign w:val="bottom"/>
            <w:hideMark/>
          </w:tcPr>
          <w:p w:rsidR="00756160" w:rsidRPr="008F486F" w14:paraId="76F1950F" w14:textId="77777777">
            <w:pPr>
              <w:jc w:val="center"/>
              <w:rPr>
                <w:rFonts w:eastAsia="Times New Roman"/>
                <w:b/>
                <w:bCs/>
                <w:color w:val="000000"/>
              </w:rPr>
            </w:pPr>
            <w:r w:rsidRPr="008F486F">
              <w:rPr>
                <w:rFonts w:eastAsia="Times New Roman"/>
                <w:b/>
                <w:bCs/>
                <w:color w:val="000000"/>
              </w:rPr>
              <w:t>Agreement State Regulation of Fusion Machines</w:t>
            </w:r>
          </w:p>
        </w:tc>
      </w:tr>
      <w:tr w14:paraId="7E0FE9E7" w14:textId="77777777">
        <w:tblPrEx>
          <w:tblW w:w="9360" w:type="dxa"/>
          <w:tblLook w:val="04A0"/>
        </w:tblPrEx>
        <w:trPr>
          <w:trHeight w:val="740"/>
        </w:trPr>
        <w:tc>
          <w:tcPr>
            <w:tcW w:w="1185" w:type="dxa"/>
            <w:vMerge/>
            <w:tcBorders>
              <w:top w:val="single" w:sz="4" w:space="0" w:color="auto"/>
              <w:left w:val="single" w:sz="4" w:space="0" w:color="auto"/>
              <w:bottom w:val="single" w:sz="4" w:space="0" w:color="auto"/>
              <w:right w:val="single" w:sz="4" w:space="0" w:color="auto"/>
            </w:tcBorders>
            <w:vAlign w:val="center"/>
            <w:hideMark/>
          </w:tcPr>
          <w:p w:rsidR="00756160" w:rsidRPr="008F486F" w14:paraId="1D42C099" w14:textId="77777777">
            <w:pPr>
              <w:rPr>
                <w:rFonts w:eastAsia="Times New Roman"/>
                <w:b/>
                <w:bCs/>
                <w:color w:val="000000"/>
              </w:rPr>
            </w:pPr>
          </w:p>
        </w:tc>
        <w:tc>
          <w:tcPr>
            <w:tcW w:w="1599" w:type="dxa"/>
            <w:tcBorders>
              <w:top w:val="nil"/>
              <w:left w:val="nil"/>
              <w:bottom w:val="single" w:sz="4" w:space="0" w:color="auto"/>
              <w:right w:val="single" w:sz="4" w:space="0" w:color="auto"/>
            </w:tcBorders>
            <w:vAlign w:val="bottom"/>
            <w:hideMark/>
          </w:tcPr>
          <w:p w:rsidR="00756160" w:rsidRPr="008F486F" w14:paraId="24E35CCA" w14:textId="77777777">
            <w:pPr>
              <w:jc w:val="center"/>
              <w:rPr>
                <w:rFonts w:eastAsia="Times New Roman"/>
                <w:b/>
                <w:bCs/>
                <w:color w:val="000000"/>
              </w:rPr>
            </w:pPr>
            <w:r w:rsidRPr="008F486F">
              <w:rPr>
                <w:rFonts w:eastAsia="Times New Roman"/>
                <w:b/>
                <w:bCs/>
                <w:color w:val="000000"/>
              </w:rPr>
              <w:t>Cumulative Total</w:t>
            </w:r>
          </w:p>
        </w:tc>
        <w:tc>
          <w:tcPr>
            <w:tcW w:w="1186" w:type="dxa"/>
            <w:tcBorders>
              <w:top w:val="nil"/>
              <w:left w:val="nil"/>
              <w:bottom w:val="single" w:sz="4" w:space="0" w:color="auto"/>
              <w:right w:val="single" w:sz="4" w:space="0" w:color="auto"/>
            </w:tcBorders>
            <w:vAlign w:val="bottom"/>
            <w:hideMark/>
          </w:tcPr>
          <w:p w:rsidR="00756160" w:rsidRPr="008F486F" w14:paraId="416B757E" w14:textId="77777777">
            <w:pPr>
              <w:jc w:val="center"/>
              <w:rPr>
                <w:rFonts w:eastAsia="Times New Roman"/>
                <w:b/>
                <w:bCs/>
                <w:color w:val="000000"/>
              </w:rPr>
            </w:pPr>
            <w:r w:rsidRPr="008F486F">
              <w:rPr>
                <w:rFonts w:eastAsia="Times New Roman"/>
                <w:b/>
                <w:bCs/>
                <w:color w:val="000000"/>
              </w:rPr>
              <w:t>Added</w:t>
            </w:r>
          </w:p>
        </w:tc>
        <w:tc>
          <w:tcPr>
            <w:tcW w:w="1558" w:type="dxa"/>
            <w:tcBorders>
              <w:top w:val="nil"/>
              <w:left w:val="nil"/>
              <w:bottom w:val="single" w:sz="4" w:space="0" w:color="auto"/>
              <w:right w:val="single" w:sz="4" w:space="0" w:color="auto"/>
            </w:tcBorders>
            <w:vAlign w:val="bottom"/>
            <w:hideMark/>
          </w:tcPr>
          <w:p w:rsidR="00756160" w:rsidRPr="008F486F" w14:paraId="528740E2" w14:textId="77777777">
            <w:pPr>
              <w:jc w:val="center"/>
              <w:rPr>
                <w:rFonts w:eastAsia="Times New Roman"/>
                <w:b/>
                <w:bCs/>
                <w:color w:val="000000"/>
              </w:rPr>
            </w:pPr>
            <w:r w:rsidRPr="008F486F">
              <w:rPr>
                <w:rFonts w:eastAsia="Times New Roman"/>
                <w:b/>
                <w:bCs/>
                <w:color w:val="000000"/>
              </w:rPr>
              <w:t>Agreement State Regulated</w:t>
            </w:r>
          </w:p>
        </w:tc>
        <w:tc>
          <w:tcPr>
            <w:tcW w:w="1460" w:type="dxa"/>
            <w:tcBorders>
              <w:top w:val="nil"/>
              <w:left w:val="nil"/>
              <w:bottom w:val="single" w:sz="4" w:space="0" w:color="auto"/>
              <w:right w:val="single" w:sz="4" w:space="0" w:color="auto"/>
            </w:tcBorders>
            <w:vAlign w:val="bottom"/>
            <w:hideMark/>
          </w:tcPr>
          <w:p w:rsidR="00756160" w:rsidRPr="008F486F" w14:paraId="29D0FD56" w14:textId="77777777">
            <w:pPr>
              <w:jc w:val="center"/>
              <w:rPr>
                <w:rFonts w:eastAsia="Times New Roman"/>
                <w:b/>
                <w:bCs/>
                <w:color w:val="000000"/>
              </w:rPr>
            </w:pPr>
            <w:r w:rsidRPr="008F486F">
              <w:rPr>
                <w:rFonts w:eastAsia="Times New Roman"/>
                <w:b/>
                <w:bCs/>
                <w:color w:val="000000"/>
              </w:rPr>
              <w:t>NRC Regulated</w:t>
            </w:r>
          </w:p>
        </w:tc>
        <w:tc>
          <w:tcPr>
            <w:tcW w:w="1186" w:type="dxa"/>
            <w:tcBorders>
              <w:top w:val="nil"/>
              <w:left w:val="nil"/>
              <w:bottom w:val="single" w:sz="4" w:space="0" w:color="auto"/>
              <w:right w:val="single" w:sz="4" w:space="0" w:color="auto"/>
            </w:tcBorders>
            <w:vAlign w:val="bottom"/>
            <w:hideMark/>
          </w:tcPr>
          <w:p w:rsidR="00756160" w:rsidRPr="008F486F" w14:paraId="5193A0E9" w14:textId="77777777">
            <w:pPr>
              <w:jc w:val="center"/>
              <w:rPr>
                <w:rFonts w:eastAsia="Times New Roman"/>
                <w:b/>
                <w:bCs/>
                <w:color w:val="000000"/>
              </w:rPr>
            </w:pPr>
            <w:r w:rsidRPr="008F486F">
              <w:rPr>
                <w:rFonts w:eastAsia="Times New Roman"/>
                <w:b/>
                <w:bCs/>
                <w:color w:val="000000"/>
              </w:rPr>
              <w:t>Total</w:t>
            </w:r>
          </w:p>
        </w:tc>
        <w:tc>
          <w:tcPr>
            <w:tcW w:w="1186" w:type="dxa"/>
            <w:tcBorders>
              <w:top w:val="nil"/>
              <w:left w:val="nil"/>
              <w:bottom w:val="single" w:sz="4" w:space="0" w:color="auto"/>
              <w:right w:val="single" w:sz="4" w:space="0" w:color="auto"/>
            </w:tcBorders>
            <w:vAlign w:val="bottom"/>
            <w:hideMark/>
          </w:tcPr>
          <w:p w:rsidR="00756160" w:rsidRPr="008F486F" w14:paraId="2790EE3A" w14:textId="77777777">
            <w:pPr>
              <w:jc w:val="center"/>
              <w:rPr>
                <w:rFonts w:eastAsia="Times New Roman"/>
                <w:b/>
                <w:bCs/>
                <w:color w:val="000000"/>
              </w:rPr>
            </w:pPr>
            <w:r w:rsidRPr="008F486F">
              <w:rPr>
                <w:rFonts w:eastAsia="Times New Roman"/>
                <w:b/>
                <w:bCs/>
                <w:color w:val="000000"/>
              </w:rPr>
              <w:t>Added</w:t>
            </w:r>
          </w:p>
        </w:tc>
      </w:tr>
      <w:bookmarkEnd w:id="195"/>
      <w:tr w14:paraId="028E1B2F"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438D4405" w14:textId="77777777">
            <w:pPr>
              <w:jc w:val="center"/>
              <w:rPr>
                <w:rFonts w:eastAsia="Times New Roman"/>
                <w:color w:val="000000"/>
              </w:rPr>
            </w:pPr>
            <w:r w:rsidRPr="008F486F">
              <w:rPr>
                <w:rFonts w:eastAsia="Times New Roman"/>
                <w:color w:val="000000"/>
              </w:rPr>
              <w:t>2026</w:t>
            </w:r>
          </w:p>
        </w:tc>
        <w:tc>
          <w:tcPr>
            <w:tcW w:w="1599" w:type="dxa"/>
            <w:tcBorders>
              <w:top w:val="nil"/>
              <w:left w:val="nil"/>
              <w:bottom w:val="single" w:sz="4" w:space="0" w:color="auto"/>
              <w:right w:val="single" w:sz="4" w:space="0" w:color="auto"/>
            </w:tcBorders>
            <w:noWrap/>
            <w:hideMark/>
          </w:tcPr>
          <w:p w:rsidR="00756160" w:rsidRPr="008F486F" w14:paraId="1D774C76"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04BCF9C7" w14:textId="77777777">
            <w:pPr>
              <w:jc w:val="center"/>
              <w:rPr>
                <w:rFonts w:eastAsia="Times New Roman"/>
                <w:color w:val="000000"/>
              </w:rPr>
            </w:pPr>
            <w:r w:rsidRPr="004220E0">
              <w:t>0</w:t>
            </w:r>
          </w:p>
        </w:tc>
        <w:tc>
          <w:tcPr>
            <w:tcW w:w="1558" w:type="dxa"/>
            <w:tcBorders>
              <w:top w:val="nil"/>
              <w:left w:val="nil"/>
              <w:bottom w:val="single" w:sz="4" w:space="0" w:color="auto"/>
              <w:right w:val="single" w:sz="4" w:space="0" w:color="auto"/>
            </w:tcBorders>
            <w:noWrap/>
            <w:hideMark/>
          </w:tcPr>
          <w:p w:rsidR="00756160" w:rsidRPr="008F486F" w14:paraId="60C6EF87" w14:textId="77777777">
            <w:pPr>
              <w:jc w:val="center"/>
              <w:rPr>
                <w:rFonts w:eastAsia="Times New Roman"/>
                <w:color w:val="000000"/>
              </w:rPr>
            </w:pPr>
            <w:r w:rsidRPr="004220E0">
              <w:t>0</w:t>
            </w:r>
          </w:p>
        </w:tc>
        <w:tc>
          <w:tcPr>
            <w:tcW w:w="1460" w:type="dxa"/>
            <w:tcBorders>
              <w:top w:val="nil"/>
              <w:left w:val="nil"/>
              <w:bottom w:val="single" w:sz="4" w:space="0" w:color="auto"/>
              <w:right w:val="single" w:sz="4" w:space="0" w:color="auto"/>
            </w:tcBorders>
            <w:noWrap/>
            <w:hideMark/>
          </w:tcPr>
          <w:p w:rsidR="00756160" w:rsidRPr="008F486F" w14:paraId="4ADFFCA3"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0DEBD6F4"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2BA20B09" w14:textId="77777777">
            <w:pPr>
              <w:jc w:val="center"/>
              <w:rPr>
                <w:rFonts w:eastAsia="Times New Roman"/>
                <w:color w:val="000000"/>
              </w:rPr>
            </w:pPr>
            <w:r w:rsidRPr="004220E0">
              <w:t>0</w:t>
            </w:r>
          </w:p>
        </w:tc>
      </w:tr>
      <w:tr w14:paraId="0DB44D8C"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20B5956B" w14:textId="77777777">
            <w:pPr>
              <w:jc w:val="center"/>
              <w:rPr>
                <w:rFonts w:eastAsia="Times New Roman"/>
                <w:color w:val="000000"/>
              </w:rPr>
            </w:pPr>
            <w:r w:rsidRPr="008F486F">
              <w:rPr>
                <w:rFonts w:eastAsia="Times New Roman"/>
                <w:color w:val="000000"/>
              </w:rPr>
              <w:t>2027</w:t>
            </w:r>
          </w:p>
        </w:tc>
        <w:tc>
          <w:tcPr>
            <w:tcW w:w="1599" w:type="dxa"/>
            <w:tcBorders>
              <w:top w:val="nil"/>
              <w:left w:val="nil"/>
              <w:bottom w:val="single" w:sz="4" w:space="0" w:color="auto"/>
              <w:right w:val="single" w:sz="4" w:space="0" w:color="auto"/>
            </w:tcBorders>
            <w:noWrap/>
            <w:hideMark/>
          </w:tcPr>
          <w:p w:rsidR="00756160" w:rsidRPr="008F486F" w14:paraId="7131FE51"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25F64F1B"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noWrap/>
            <w:hideMark/>
          </w:tcPr>
          <w:p w:rsidR="00756160" w:rsidRPr="008F486F" w14:paraId="75458503"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noWrap/>
            <w:hideMark/>
          </w:tcPr>
          <w:p w:rsidR="00756160" w:rsidRPr="008F486F" w14:paraId="070CCBDD"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10F595DC"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3882D1B8" w14:textId="77777777">
            <w:pPr>
              <w:jc w:val="center"/>
              <w:rPr>
                <w:rFonts w:eastAsia="Times New Roman"/>
                <w:color w:val="000000"/>
              </w:rPr>
            </w:pPr>
            <w:r w:rsidRPr="004220E0">
              <w:t>1</w:t>
            </w:r>
          </w:p>
        </w:tc>
      </w:tr>
      <w:tr w14:paraId="2C30683C"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590FB532" w14:textId="77777777">
            <w:pPr>
              <w:jc w:val="center"/>
              <w:rPr>
                <w:rFonts w:eastAsia="Times New Roman"/>
                <w:color w:val="000000"/>
              </w:rPr>
            </w:pPr>
            <w:r w:rsidRPr="008F486F">
              <w:rPr>
                <w:rFonts w:eastAsia="Times New Roman"/>
                <w:color w:val="000000"/>
              </w:rPr>
              <w:t>2028</w:t>
            </w:r>
          </w:p>
        </w:tc>
        <w:tc>
          <w:tcPr>
            <w:tcW w:w="1599" w:type="dxa"/>
            <w:tcBorders>
              <w:top w:val="nil"/>
              <w:left w:val="nil"/>
              <w:bottom w:val="single" w:sz="4" w:space="0" w:color="auto"/>
              <w:right w:val="single" w:sz="4" w:space="0" w:color="auto"/>
            </w:tcBorders>
            <w:noWrap/>
            <w:hideMark/>
          </w:tcPr>
          <w:p w:rsidR="00756160" w:rsidRPr="008F486F" w14:paraId="4AA727FD"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noWrap/>
            <w:hideMark/>
          </w:tcPr>
          <w:p w:rsidR="00756160" w:rsidRPr="008F486F" w14:paraId="09B5F32C"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noWrap/>
            <w:hideMark/>
          </w:tcPr>
          <w:p w:rsidR="00756160" w:rsidRPr="008F486F" w14:paraId="243EA5CB"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noWrap/>
            <w:hideMark/>
          </w:tcPr>
          <w:p w:rsidR="00756160" w:rsidRPr="008F486F" w14:paraId="126B292D"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34176150"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noWrap/>
            <w:hideMark/>
          </w:tcPr>
          <w:p w:rsidR="00756160" w:rsidRPr="008F486F" w14:paraId="7FFD1C37" w14:textId="77777777">
            <w:pPr>
              <w:jc w:val="center"/>
              <w:rPr>
                <w:rFonts w:eastAsia="Times New Roman"/>
                <w:color w:val="000000"/>
              </w:rPr>
            </w:pPr>
            <w:r w:rsidRPr="004220E0">
              <w:t>1</w:t>
            </w:r>
          </w:p>
        </w:tc>
      </w:tr>
      <w:tr w14:paraId="7F0C8A29"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581BA22F" w14:textId="77777777">
            <w:pPr>
              <w:jc w:val="center"/>
              <w:rPr>
                <w:rFonts w:eastAsia="Times New Roman"/>
                <w:color w:val="000000"/>
              </w:rPr>
            </w:pPr>
            <w:r w:rsidRPr="008F486F">
              <w:rPr>
                <w:rFonts w:eastAsia="Times New Roman"/>
                <w:color w:val="000000"/>
              </w:rPr>
              <w:t>2029</w:t>
            </w:r>
          </w:p>
        </w:tc>
        <w:tc>
          <w:tcPr>
            <w:tcW w:w="1599" w:type="dxa"/>
            <w:tcBorders>
              <w:top w:val="nil"/>
              <w:left w:val="nil"/>
              <w:bottom w:val="single" w:sz="4" w:space="0" w:color="auto"/>
              <w:right w:val="single" w:sz="4" w:space="0" w:color="auto"/>
            </w:tcBorders>
            <w:noWrap/>
            <w:hideMark/>
          </w:tcPr>
          <w:p w:rsidR="00756160" w:rsidRPr="008F486F" w14:paraId="3729BD7E" w14:textId="77777777">
            <w:pPr>
              <w:jc w:val="center"/>
              <w:rPr>
                <w:rFonts w:eastAsia="Times New Roman"/>
                <w:color w:val="000000"/>
              </w:rPr>
            </w:pPr>
            <w:r w:rsidRPr="004220E0">
              <w:t>3</w:t>
            </w:r>
          </w:p>
        </w:tc>
        <w:tc>
          <w:tcPr>
            <w:tcW w:w="1186" w:type="dxa"/>
            <w:tcBorders>
              <w:top w:val="nil"/>
              <w:left w:val="nil"/>
              <w:bottom w:val="single" w:sz="4" w:space="0" w:color="auto"/>
              <w:right w:val="single" w:sz="4" w:space="0" w:color="auto"/>
            </w:tcBorders>
            <w:noWrap/>
            <w:hideMark/>
          </w:tcPr>
          <w:p w:rsidR="00756160" w:rsidRPr="008F486F" w14:paraId="57574B23"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noWrap/>
            <w:hideMark/>
          </w:tcPr>
          <w:p w:rsidR="00756160" w:rsidRPr="008F486F" w14:paraId="4AEA58AD"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noWrap/>
            <w:hideMark/>
          </w:tcPr>
          <w:p w:rsidR="00756160" w:rsidRPr="008F486F" w14:paraId="1B58D252"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398955BA" w14:textId="77777777">
            <w:pPr>
              <w:jc w:val="center"/>
              <w:rPr>
                <w:rFonts w:eastAsia="Times New Roman"/>
                <w:color w:val="000000"/>
              </w:rPr>
            </w:pPr>
            <w:r w:rsidRPr="004220E0">
              <w:t>3</w:t>
            </w:r>
          </w:p>
        </w:tc>
        <w:tc>
          <w:tcPr>
            <w:tcW w:w="1186" w:type="dxa"/>
            <w:tcBorders>
              <w:top w:val="nil"/>
              <w:left w:val="nil"/>
              <w:bottom w:val="single" w:sz="4" w:space="0" w:color="auto"/>
              <w:right w:val="single" w:sz="4" w:space="0" w:color="auto"/>
            </w:tcBorders>
            <w:noWrap/>
            <w:hideMark/>
          </w:tcPr>
          <w:p w:rsidR="00756160" w:rsidRPr="008F486F" w14:paraId="64AA946A" w14:textId="77777777">
            <w:pPr>
              <w:jc w:val="center"/>
              <w:rPr>
                <w:rFonts w:eastAsia="Times New Roman"/>
                <w:color w:val="000000"/>
              </w:rPr>
            </w:pPr>
            <w:r w:rsidRPr="004220E0">
              <w:t>1</w:t>
            </w:r>
          </w:p>
        </w:tc>
      </w:tr>
      <w:tr w14:paraId="39C1EC11"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1F1D3711" w14:textId="77777777">
            <w:pPr>
              <w:jc w:val="center"/>
              <w:rPr>
                <w:rFonts w:eastAsia="Times New Roman"/>
                <w:color w:val="000000"/>
              </w:rPr>
            </w:pPr>
            <w:r w:rsidRPr="008F486F">
              <w:rPr>
                <w:rFonts w:eastAsia="Times New Roman"/>
                <w:color w:val="000000"/>
              </w:rPr>
              <w:t>2030</w:t>
            </w:r>
          </w:p>
        </w:tc>
        <w:tc>
          <w:tcPr>
            <w:tcW w:w="1599" w:type="dxa"/>
            <w:tcBorders>
              <w:top w:val="nil"/>
              <w:left w:val="nil"/>
              <w:bottom w:val="single" w:sz="4" w:space="0" w:color="auto"/>
              <w:right w:val="single" w:sz="4" w:space="0" w:color="auto"/>
            </w:tcBorders>
            <w:noWrap/>
            <w:hideMark/>
          </w:tcPr>
          <w:p w:rsidR="00756160" w:rsidRPr="008F486F" w14:paraId="3ED63781" w14:textId="77777777">
            <w:pPr>
              <w:jc w:val="center"/>
              <w:rPr>
                <w:rFonts w:eastAsia="Times New Roman"/>
                <w:color w:val="000000"/>
              </w:rPr>
            </w:pPr>
            <w:r w:rsidRPr="004220E0">
              <w:t>4</w:t>
            </w:r>
          </w:p>
        </w:tc>
        <w:tc>
          <w:tcPr>
            <w:tcW w:w="1186" w:type="dxa"/>
            <w:tcBorders>
              <w:top w:val="nil"/>
              <w:left w:val="nil"/>
              <w:bottom w:val="single" w:sz="4" w:space="0" w:color="auto"/>
              <w:right w:val="single" w:sz="4" w:space="0" w:color="auto"/>
            </w:tcBorders>
            <w:noWrap/>
            <w:hideMark/>
          </w:tcPr>
          <w:p w:rsidR="00756160" w:rsidRPr="008F486F" w14:paraId="3B1C2FC6"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noWrap/>
            <w:hideMark/>
          </w:tcPr>
          <w:p w:rsidR="00756160" w:rsidRPr="008F486F" w14:paraId="43618596"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noWrap/>
            <w:hideMark/>
          </w:tcPr>
          <w:p w:rsidR="00756160" w:rsidRPr="008F486F" w14:paraId="0F4EB059"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58D00C8A" w14:textId="77777777">
            <w:pPr>
              <w:jc w:val="center"/>
              <w:rPr>
                <w:rFonts w:eastAsia="Times New Roman"/>
                <w:color w:val="000000"/>
              </w:rPr>
            </w:pPr>
            <w:r w:rsidRPr="004220E0">
              <w:t>4</w:t>
            </w:r>
          </w:p>
        </w:tc>
        <w:tc>
          <w:tcPr>
            <w:tcW w:w="1186" w:type="dxa"/>
            <w:tcBorders>
              <w:top w:val="nil"/>
              <w:left w:val="nil"/>
              <w:bottom w:val="single" w:sz="4" w:space="0" w:color="auto"/>
              <w:right w:val="single" w:sz="4" w:space="0" w:color="auto"/>
            </w:tcBorders>
            <w:noWrap/>
            <w:hideMark/>
          </w:tcPr>
          <w:p w:rsidR="00756160" w:rsidRPr="008F486F" w14:paraId="407DEB8A" w14:textId="77777777">
            <w:pPr>
              <w:jc w:val="center"/>
              <w:rPr>
                <w:rFonts w:eastAsia="Times New Roman"/>
                <w:color w:val="000000"/>
              </w:rPr>
            </w:pPr>
            <w:r w:rsidRPr="004220E0">
              <w:t>1</w:t>
            </w:r>
          </w:p>
        </w:tc>
      </w:tr>
      <w:tr w14:paraId="481D2946"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5F8A2755" w14:textId="77777777">
            <w:pPr>
              <w:jc w:val="center"/>
              <w:rPr>
                <w:rFonts w:eastAsia="Times New Roman"/>
                <w:color w:val="000000"/>
              </w:rPr>
            </w:pPr>
            <w:r w:rsidRPr="008F486F">
              <w:rPr>
                <w:rFonts w:eastAsia="Times New Roman"/>
                <w:color w:val="000000"/>
              </w:rPr>
              <w:t>2031</w:t>
            </w:r>
          </w:p>
        </w:tc>
        <w:tc>
          <w:tcPr>
            <w:tcW w:w="1599" w:type="dxa"/>
            <w:tcBorders>
              <w:top w:val="nil"/>
              <w:left w:val="nil"/>
              <w:bottom w:val="single" w:sz="4" w:space="0" w:color="auto"/>
              <w:right w:val="single" w:sz="4" w:space="0" w:color="auto"/>
            </w:tcBorders>
            <w:noWrap/>
            <w:hideMark/>
          </w:tcPr>
          <w:p w:rsidR="00756160" w:rsidRPr="008F486F" w14:paraId="5213DBF1"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noWrap/>
            <w:hideMark/>
          </w:tcPr>
          <w:p w:rsidR="00756160" w:rsidRPr="008F486F" w14:paraId="5EE99440" w14:textId="77777777">
            <w:pPr>
              <w:jc w:val="center"/>
              <w:rPr>
                <w:rFonts w:eastAsia="Times New Roman"/>
                <w:color w:val="000000"/>
              </w:rPr>
            </w:pPr>
            <w:r w:rsidRPr="004220E0">
              <w:t>1</w:t>
            </w:r>
          </w:p>
        </w:tc>
        <w:tc>
          <w:tcPr>
            <w:tcW w:w="1558" w:type="dxa"/>
            <w:tcBorders>
              <w:top w:val="nil"/>
              <w:left w:val="nil"/>
              <w:bottom w:val="single" w:sz="4" w:space="0" w:color="auto"/>
              <w:right w:val="single" w:sz="4" w:space="0" w:color="auto"/>
            </w:tcBorders>
            <w:noWrap/>
            <w:hideMark/>
          </w:tcPr>
          <w:p w:rsidR="00756160" w:rsidRPr="008F486F" w14:paraId="41E94413"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noWrap/>
            <w:hideMark/>
          </w:tcPr>
          <w:p w:rsidR="00756160" w:rsidRPr="008F486F" w14:paraId="2CE56B2A"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784CF110"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noWrap/>
            <w:hideMark/>
          </w:tcPr>
          <w:p w:rsidR="00756160" w:rsidRPr="008F486F" w14:paraId="3AC8E59A" w14:textId="77777777">
            <w:pPr>
              <w:jc w:val="center"/>
              <w:rPr>
                <w:rFonts w:eastAsia="Times New Roman"/>
                <w:color w:val="000000"/>
              </w:rPr>
            </w:pPr>
            <w:r w:rsidRPr="004220E0">
              <w:t>1</w:t>
            </w:r>
          </w:p>
        </w:tc>
      </w:tr>
      <w:tr w14:paraId="14903851"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21C54497" w14:textId="77777777">
            <w:pPr>
              <w:jc w:val="center"/>
              <w:rPr>
                <w:rFonts w:eastAsia="Times New Roman"/>
                <w:color w:val="000000"/>
              </w:rPr>
            </w:pPr>
            <w:r w:rsidRPr="008F486F">
              <w:rPr>
                <w:rFonts w:eastAsia="Times New Roman"/>
                <w:color w:val="000000"/>
              </w:rPr>
              <w:t>2032</w:t>
            </w:r>
          </w:p>
        </w:tc>
        <w:tc>
          <w:tcPr>
            <w:tcW w:w="1599" w:type="dxa"/>
            <w:tcBorders>
              <w:top w:val="nil"/>
              <w:left w:val="nil"/>
              <w:bottom w:val="single" w:sz="4" w:space="0" w:color="auto"/>
              <w:right w:val="single" w:sz="4" w:space="0" w:color="auto"/>
            </w:tcBorders>
            <w:noWrap/>
            <w:hideMark/>
          </w:tcPr>
          <w:p w:rsidR="00756160" w:rsidRPr="008F486F" w14:paraId="27E50663"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noWrap/>
            <w:hideMark/>
          </w:tcPr>
          <w:p w:rsidR="00756160" w:rsidRPr="008F486F" w14:paraId="1832B9EA" w14:textId="77777777">
            <w:pPr>
              <w:jc w:val="center"/>
              <w:rPr>
                <w:rFonts w:eastAsia="Times New Roman"/>
                <w:color w:val="000000"/>
              </w:rPr>
            </w:pPr>
            <w:r w:rsidRPr="004220E0">
              <w:t>0</w:t>
            </w:r>
          </w:p>
        </w:tc>
        <w:tc>
          <w:tcPr>
            <w:tcW w:w="1558" w:type="dxa"/>
            <w:tcBorders>
              <w:top w:val="nil"/>
              <w:left w:val="nil"/>
              <w:bottom w:val="single" w:sz="4" w:space="0" w:color="auto"/>
              <w:right w:val="single" w:sz="4" w:space="0" w:color="auto"/>
            </w:tcBorders>
            <w:noWrap/>
            <w:hideMark/>
          </w:tcPr>
          <w:p w:rsidR="00756160" w:rsidRPr="008F486F" w14:paraId="6D131774" w14:textId="77777777">
            <w:pPr>
              <w:jc w:val="center"/>
              <w:rPr>
                <w:rFonts w:eastAsia="Times New Roman"/>
                <w:color w:val="000000"/>
              </w:rPr>
            </w:pPr>
            <w:r w:rsidRPr="004220E0">
              <w:t>0</w:t>
            </w:r>
          </w:p>
        </w:tc>
        <w:tc>
          <w:tcPr>
            <w:tcW w:w="1460" w:type="dxa"/>
            <w:tcBorders>
              <w:top w:val="nil"/>
              <w:left w:val="nil"/>
              <w:bottom w:val="single" w:sz="4" w:space="0" w:color="auto"/>
              <w:right w:val="single" w:sz="4" w:space="0" w:color="auto"/>
            </w:tcBorders>
            <w:noWrap/>
            <w:hideMark/>
          </w:tcPr>
          <w:p w:rsidR="00756160" w:rsidRPr="008F486F" w14:paraId="1077A7FE"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59746FA6"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noWrap/>
            <w:hideMark/>
          </w:tcPr>
          <w:p w:rsidR="00756160" w:rsidRPr="008F486F" w14:paraId="62EC0BDE" w14:textId="77777777">
            <w:pPr>
              <w:jc w:val="center"/>
              <w:rPr>
                <w:rFonts w:eastAsia="Times New Roman"/>
                <w:color w:val="000000"/>
              </w:rPr>
            </w:pPr>
            <w:r w:rsidRPr="004220E0">
              <w:t>0</w:t>
            </w:r>
          </w:p>
        </w:tc>
      </w:tr>
      <w:tr w14:paraId="33536691"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7BCD27C8" w14:textId="77777777">
            <w:pPr>
              <w:jc w:val="center"/>
              <w:rPr>
                <w:rFonts w:eastAsia="Times New Roman"/>
                <w:color w:val="000000"/>
              </w:rPr>
            </w:pPr>
            <w:r w:rsidRPr="008F486F">
              <w:rPr>
                <w:rFonts w:eastAsia="Times New Roman"/>
                <w:color w:val="000000"/>
              </w:rPr>
              <w:t>2033</w:t>
            </w:r>
          </w:p>
        </w:tc>
        <w:tc>
          <w:tcPr>
            <w:tcW w:w="1599" w:type="dxa"/>
            <w:tcBorders>
              <w:top w:val="nil"/>
              <w:left w:val="nil"/>
              <w:bottom w:val="single" w:sz="4" w:space="0" w:color="auto"/>
              <w:right w:val="single" w:sz="4" w:space="0" w:color="auto"/>
            </w:tcBorders>
            <w:noWrap/>
            <w:hideMark/>
          </w:tcPr>
          <w:p w:rsidR="00756160" w:rsidRPr="008F486F" w14:paraId="087C11E1"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noWrap/>
            <w:hideMark/>
          </w:tcPr>
          <w:p w:rsidR="00756160" w:rsidRPr="008F486F" w14:paraId="1AC69FB6" w14:textId="77777777">
            <w:pPr>
              <w:jc w:val="center"/>
              <w:rPr>
                <w:rFonts w:eastAsia="Times New Roman"/>
                <w:color w:val="000000"/>
              </w:rPr>
            </w:pPr>
            <w:r w:rsidRPr="004220E0">
              <w:t>0</w:t>
            </w:r>
          </w:p>
        </w:tc>
        <w:tc>
          <w:tcPr>
            <w:tcW w:w="1558" w:type="dxa"/>
            <w:tcBorders>
              <w:top w:val="nil"/>
              <w:left w:val="nil"/>
              <w:bottom w:val="single" w:sz="4" w:space="0" w:color="auto"/>
              <w:right w:val="single" w:sz="4" w:space="0" w:color="auto"/>
            </w:tcBorders>
            <w:noWrap/>
            <w:hideMark/>
          </w:tcPr>
          <w:p w:rsidR="00756160" w:rsidRPr="008F486F" w14:paraId="50E9BAB8" w14:textId="77777777">
            <w:pPr>
              <w:jc w:val="center"/>
              <w:rPr>
                <w:rFonts w:eastAsia="Times New Roman"/>
                <w:color w:val="000000"/>
              </w:rPr>
            </w:pPr>
            <w:r w:rsidRPr="004220E0">
              <w:t>0</w:t>
            </w:r>
          </w:p>
        </w:tc>
        <w:tc>
          <w:tcPr>
            <w:tcW w:w="1460" w:type="dxa"/>
            <w:tcBorders>
              <w:top w:val="nil"/>
              <w:left w:val="nil"/>
              <w:bottom w:val="single" w:sz="4" w:space="0" w:color="auto"/>
              <w:right w:val="single" w:sz="4" w:space="0" w:color="auto"/>
            </w:tcBorders>
            <w:noWrap/>
            <w:hideMark/>
          </w:tcPr>
          <w:p w:rsidR="00756160" w:rsidRPr="008F486F" w14:paraId="31AD0820"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561D80F3" w14:textId="77777777">
            <w:pPr>
              <w:jc w:val="center"/>
              <w:rPr>
                <w:rFonts w:eastAsia="Times New Roman"/>
                <w:color w:val="000000"/>
              </w:rPr>
            </w:pPr>
            <w:r w:rsidRPr="004220E0">
              <w:t>5</w:t>
            </w:r>
          </w:p>
        </w:tc>
        <w:tc>
          <w:tcPr>
            <w:tcW w:w="1186" w:type="dxa"/>
            <w:tcBorders>
              <w:top w:val="nil"/>
              <w:left w:val="nil"/>
              <w:bottom w:val="single" w:sz="4" w:space="0" w:color="auto"/>
              <w:right w:val="single" w:sz="4" w:space="0" w:color="auto"/>
            </w:tcBorders>
            <w:noWrap/>
            <w:hideMark/>
          </w:tcPr>
          <w:p w:rsidR="00756160" w:rsidRPr="008F486F" w14:paraId="44E8D580" w14:textId="77777777">
            <w:pPr>
              <w:jc w:val="center"/>
              <w:rPr>
                <w:rFonts w:eastAsia="Times New Roman"/>
                <w:color w:val="000000"/>
              </w:rPr>
            </w:pPr>
            <w:r w:rsidRPr="004220E0">
              <w:t>0</w:t>
            </w:r>
          </w:p>
        </w:tc>
      </w:tr>
      <w:tr w14:paraId="3FCBD606"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2192A511" w14:textId="77777777">
            <w:pPr>
              <w:jc w:val="center"/>
              <w:rPr>
                <w:rFonts w:eastAsia="Times New Roman"/>
                <w:color w:val="000000"/>
              </w:rPr>
            </w:pPr>
            <w:r w:rsidRPr="008F486F">
              <w:rPr>
                <w:rFonts w:eastAsia="Times New Roman"/>
                <w:color w:val="000000"/>
              </w:rPr>
              <w:t>2034</w:t>
            </w:r>
          </w:p>
        </w:tc>
        <w:tc>
          <w:tcPr>
            <w:tcW w:w="1599" w:type="dxa"/>
            <w:tcBorders>
              <w:top w:val="nil"/>
              <w:left w:val="nil"/>
              <w:bottom w:val="single" w:sz="4" w:space="0" w:color="auto"/>
              <w:right w:val="single" w:sz="4" w:space="0" w:color="auto"/>
            </w:tcBorders>
            <w:noWrap/>
            <w:hideMark/>
          </w:tcPr>
          <w:p w:rsidR="00756160" w:rsidRPr="008F486F" w14:paraId="11D32F3B" w14:textId="77777777">
            <w:pPr>
              <w:jc w:val="center"/>
              <w:rPr>
                <w:rFonts w:eastAsia="Times New Roman"/>
                <w:color w:val="000000"/>
              </w:rPr>
            </w:pPr>
            <w:r w:rsidRPr="004220E0">
              <w:t>7</w:t>
            </w:r>
          </w:p>
        </w:tc>
        <w:tc>
          <w:tcPr>
            <w:tcW w:w="1186" w:type="dxa"/>
            <w:tcBorders>
              <w:top w:val="nil"/>
              <w:left w:val="nil"/>
              <w:bottom w:val="single" w:sz="4" w:space="0" w:color="auto"/>
              <w:right w:val="single" w:sz="4" w:space="0" w:color="auto"/>
            </w:tcBorders>
            <w:noWrap/>
            <w:hideMark/>
          </w:tcPr>
          <w:p w:rsidR="00756160" w:rsidRPr="008F486F" w14:paraId="6DC7AACB" w14:textId="77777777">
            <w:pPr>
              <w:jc w:val="center"/>
              <w:rPr>
                <w:rFonts w:eastAsia="Times New Roman"/>
                <w:color w:val="000000"/>
              </w:rPr>
            </w:pPr>
            <w:r w:rsidRPr="004220E0">
              <w:t>2</w:t>
            </w:r>
          </w:p>
        </w:tc>
        <w:tc>
          <w:tcPr>
            <w:tcW w:w="1558" w:type="dxa"/>
            <w:tcBorders>
              <w:top w:val="nil"/>
              <w:left w:val="nil"/>
              <w:bottom w:val="single" w:sz="4" w:space="0" w:color="auto"/>
              <w:right w:val="single" w:sz="4" w:space="0" w:color="auto"/>
            </w:tcBorders>
            <w:noWrap/>
            <w:hideMark/>
          </w:tcPr>
          <w:p w:rsidR="00756160" w:rsidRPr="008F486F" w14:paraId="1FF02F13" w14:textId="77777777">
            <w:pPr>
              <w:jc w:val="center"/>
              <w:rPr>
                <w:rFonts w:eastAsia="Times New Roman"/>
                <w:color w:val="000000"/>
              </w:rPr>
            </w:pPr>
            <w:r w:rsidRPr="004220E0">
              <w:t>2</w:t>
            </w:r>
          </w:p>
        </w:tc>
        <w:tc>
          <w:tcPr>
            <w:tcW w:w="1460" w:type="dxa"/>
            <w:tcBorders>
              <w:top w:val="nil"/>
              <w:left w:val="nil"/>
              <w:bottom w:val="single" w:sz="4" w:space="0" w:color="auto"/>
              <w:right w:val="single" w:sz="4" w:space="0" w:color="auto"/>
            </w:tcBorders>
            <w:noWrap/>
            <w:hideMark/>
          </w:tcPr>
          <w:p w:rsidR="00756160" w:rsidRPr="008F486F" w14:paraId="5C4AB328"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38C7FBC5" w14:textId="77777777">
            <w:pPr>
              <w:jc w:val="center"/>
              <w:rPr>
                <w:rFonts w:eastAsia="Times New Roman"/>
                <w:color w:val="000000"/>
              </w:rPr>
            </w:pPr>
            <w:r w:rsidRPr="004220E0">
              <w:t>6</w:t>
            </w:r>
          </w:p>
        </w:tc>
        <w:tc>
          <w:tcPr>
            <w:tcW w:w="1186" w:type="dxa"/>
            <w:tcBorders>
              <w:top w:val="nil"/>
              <w:left w:val="nil"/>
              <w:bottom w:val="single" w:sz="4" w:space="0" w:color="auto"/>
              <w:right w:val="single" w:sz="4" w:space="0" w:color="auto"/>
            </w:tcBorders>
            <w:noWrap/>
            <w:hideMark/>
          </w:tcPr>
          <w:p w:rsidR="00756160" w:rsidRPr="008F486F" w14:paraId="6B12802B" w14:textId="77777777">
            <w:pPr>
              <w:jc w:val="center"/>
              <w:rPr>
                <w:rFonts w:eastAsia="Times New Roman"/>
                <w:color w:val="000000"/>
              </w:rPr>
            </w:pPr>
            <w:r w:rsidRPr="004220E0">
              <w:t>1</w:t>
            </w:r>
          </w:p>
        </w:tc>
      </w:tr>
      <w:tr w14:paraId="7211DB21"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09DE8D4F" w14:textId="77777777">
            <w:pPr>
              <w:jc w:val="center"/>
              <w:rPr>
                <w:rFonts w:eastAsia="Times New Roman"/>
                <w:color w:val="000000"/>
              </w:rPr>
            </w:pPr>
            <w:r w:rsidRPr="008F486F">
              <w:rPr>
                <w:rFonts w:eastAsia="Times New Roman"/>
                <w:color w:val="000000"/>
              </w:rPr>
              <w:t>2035</w:t>
            </w:r>
          </w:p>
        </w:tc>
        <w:tc>
          <w:tcPr>
            <w:tcW w:w="1599" w:type="dxa"/>
            <w:tcBorders>
              <w:top w:val="nil"/>
              <w:left w:val="nil"/>
              <w:bottom w:val="single" w:sz="4" w:space="0" w:color="auto"/>
              <w:right w:val="single" w:sz="4" w:space="0" w:color="auto"/>
            </w:tcBorders>
            <w:noWrap/>
            <w:hideMark/>
          </w:tcPr>
          <w:p w:rsidR="00756160" w:rsidRPr="008F486F" w14:paraId="39DFBD1B" w14:textId="77777777">
            <w:pPr>
              <w:jc w:val="center"/>
              <w:rPr>
                <w:rFonts w:eastAsia="Times New Roman"/>
                <w:color w:val="000000"/>
              </w:rPr>
            </w:pPr>
            <w:r w:rsidRPr="004220E0">
              <w:t>9</w:t>
            </w:r>
          </w:p>
        </w:tc>
        <w:tc>
          <w:tcPr>
            <w:tcW w:w="1186" w:type="dxa"/>
            <w:tcBorders>
              <w:top w:val="nil"/>
              <w:left w:val="nil"/>
              <w:bottom w:val="single" w:sz="4" w:space="0" w:color="auto"/>
              <w:right w:val="single" w:sz="4" w:space="0" w:color="auto"/>
            </w:tcBorders>
            <w:noWrap/>
            <w:hideMark/>
          </w:tcPr>
          <w:p w:rsidR="00756160" w:rsidRPr="008F486F" w14:paraId="5766917E" w14:textId="77777777">
            <w:pPr>
              <w:jc w:val="center"/>
              <w:rPr>
                <w:rFonts w:eastAsia="Times New Roman"/>
                <w:color w:val="000000"/>
              </w:rPr>
            </w:pPr>
            <w:r w:rsidRPr="004220E0">
              <w:t>2</w:t>
            </w:r>
          </w:p>
        </w:tc>
        <w:tc>
          <w:tcPr>
            <w:tcW w:w="1558" w:type="dxa"/>
            <w:tcBorders>
              <w:top w:val="nil"/>
              <w:left w:val="nil"/>
              <w:bottom w:val="single" w:sz="4" w:space="0" w:color="auto"/>
              <w:right w:val="single" w:sz="4" w:space="0" w:color="auto"/>
            </w:tcBorders>
            <w:noWrap/>
            <w:hideMark/>
          </w:tcPr>
          <w:p w:rsidR="00756160" w:rsidRPr="008F486F" w14:paraId="14E88311" w14:textId="77777777">
            <w:pPr>
              <w:jc w:val="center"/>
              <w:rPr>
                <w:rFonts w:eastAsia="Times New Roman"/>
                <w:color w:val="000000"/>
              </w:rPr>
            </w:pPr>
            <w:r w:rsidRPr="004220E0">
              <w:t>1</w:t>
            </w:r>
          </w:p>
        </w:tc>
        <w:tc>
          <w:tcPr>
            <w:tcW w:w="1460" w:type="dxa"/>
            <w:tcBorders>
              <w:top w:val="nil"/>
              <w:left w:val="nil"/>
              <w:bottom w:val="single" w:sz="4" w:space="0" w:color="auto"/>
              <w:right w:val="single" w:sz="4" w:space="0" w:color="auto"/>
            </w:tcBorders>
            <w:noWrap/>
            <w:hideMark/>
          </w:tcPr>
          <w:p w:rsidR="00756160" w:rsidRPr="008F486F" w14:paraId="36F8D30E"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02C59C8D" w14:textId="77777777">
            <w:pPr>
              <w:jc w:val="center"/>
              <w:rPr>
                <w:rFonts w:eastAsia="Times New Roman"/>
                <w:color w:val="000000"/>
              </w:rPr>
            </w:pPr>
            <w:r w:rsidRPr="004220E0">
              <w:t>7</w:t>
            </w:r>
          </w:p>
        </w:tc>
        <w:tc>
          <w:tcPr>
            <w:tcW w:w="1186" w:type="dxa"/>
            <w:tcBorders>
              <w:top w:val="nil"/>
              <w:left w:val="nil"/>
              <w:bottom w:val="single" w:sz="4" w:space="0" w:color="auto"/>
              <w:right w:val="single" w:sz="4" w:space="0" w:color="auto"/>
            </w:tcBorders>
            <w:noWrap/>
            <w:hideMark/>
          </w:tcPr>
          <w:p w:rsidR="00756160" w:rsidRPr="008F486F" w14:paraId="7213863E" w14:textId="77777777">
            <w:pPr>
              <w:jc w:val="center"/>
              <w:rPr>
                <w:rFonts w:eastAsia="Times New Roman"/>
                <w:color w:val="000000"/>
              </w:rPr>
            </w:pPr>
            <w:r w:rsidRPr="004220E0">
              <w:t>1</w:t>
            </w:r>
          </w:p>
        </w:tc>
      </w:tr>
      <w:tr w14:paraId="06795BBC"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32107368" w14:textId="77777777">
            <w:pPr>
              <w:jc w:val="center"/>
              <w:rPr>
                <w:rFonts w:eastAsia="Times New Roman"/>
                <w:color w:val="000000"/>
              </w:rPr>
            </w:pPr>
            <w:r w:rsidRPr="008F486F">
              <w:rPr>
                <w:rFonts w:eastAsia="Times New Roman"/>
                <w:color w:val="000000"/>
              </w:rPr>
              <w:t>2036</w:t>
            </w:r>
          </w:p>
        </w:tc>
        <w:tc>
          <w:tcPr>
            <w:tcW w:w="1599" w:type="dxa"/>
            <w:tcBorders>
              <w:top w:val="nil"/>
              <w:left w:val="nil"/>
              <w:bottom w:val="single" w:sz="4" w:space="0" w:color="auto"/>
              <w:right w:val="single" w:sz="4" w:space="0" w:color="auto"/>
            </w:tcBorders>
            <w:noWrap/>
            <w:hideMark/>
          </w:tcPr>
          <w:p w:rsidR="00756160" w:rsidRPr="008F486F" w14:paraId="3C281E58" w14:textId="77777777">
            <w:pPr>
              <w:jc w:val="center"/>
              <w:rPr>
                <w:rFonts w:eastAsia="Times New Roman"/>
                <w:color w:val="000000"/>
              </w:rPr>
            </w:pPr>
            <w:r w:rsidRPr="004220E0">
              <w:t>17</w:t>
            </w:r>
          </w:p>
        </w:tc>
        <w:tc>
          <w:tcPr>
            <w:tcW w:w="1186" w:type="dxa"/>
            <w:tcBorders>
              <w:top w:val="nil"/>
              <w:left w:val="nil"/>
              <w:bottom w:val="single" w:sz="4" w:space="0" w:color="auto"/>
              <w:right w:val="single" w:sz="4" w:space="0" w:color="auto"/>
            </w:tcBorders>
            <w:noWrap/>
            <w:hideMark/>
          </w:tcPr>
          <w:p w:rsidR="00756160" w:rsidRPr="008F486F" w14:paraId="6A20ED55" w14:textId="77777777">
            <w:pPr>
              <w:jc w:val="center"/>
              <w:rPr>
                <w:rFonts w:eastAsia="Times New Roman"/>
                <w:color w:val="000000"/>
              </w:rPr>
            </w:pPr>
            <w:r w:rsidRPr="004220E0">
              <w:t>8</w:t>
            </w:r>
          </w:p>
        </w:tc>
        <w:tc>
          <w:tcPr>
            <w:tcW w:w="1558" w:type="dxa"/>
            <w:tcBorders>
              <w:top w:val="nil"/>
              <w:left w:val="nil"/>
              <w:bottom w:val="single" w:sz="4" w:space="0" w:color="auto"/>
              <w:right w:val="single" w:sz="4" w:space="0" w:color="auto"/>
            </w:tcBorders>
            <w:noWrap/>
            <w:hideMark/>
          </w:tcPr>
          <w:p w:rsidR="00756160" w:rsidRPr="008F486F" w14:paraId="0C3DCE24" w14:textId="77777777">
            <w:pPr>
              <w:jc w:val="center"/>
              <w:rPr>
                <w:rFonts w:eastAsia="Times New Roman"/>
                <w:color w:val="000000"/>
              </w:rPr>
            </w:pPr>
            <w:r w:rsidRPr="004220E0">
              <w:t>8</w:t>
            </w:r>
          </w:p>
        </w:tc>
        <w:tc>
          <w:tcPr>
            <w:tcW w:w="1460" w:type="dxa"/>
            <w:tcBorders>
              <w:top w:val="nil"/>
              <w:left w:val="nil"/>
              <w:bottom w:val="single" w:sz="4" w:space="0" w:color="auto"/>
              <w:right w:val="single" w:sz="4" w:space="0" w:color="auto"/>
            </w:tcBorders>
            <w:noWrap/>
            <w:hideMark/>
          </w:tcPr>
          <w:p w:rsidR="00756160" w:rsidRPr="008F486F" w14:paraId="3A1A0303"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12F24BF4" w14:textId="77777777">
            <w:pPr>
              <w:jc w:val="center"/>
              <w:rPr>
                <w:rFonts w:eastAsia="Times New Roman"/>
                <w:color w:val="000000"/>
              </w:rPr>
            </w:pPr>
            <w:r w:rsidRPr="004220E0">
              <w:t>13</w:t>
            </w:r>
          </w:p>
        </w:tc>
        <w:tc>
          <w:tcPr>
            <w:tcW w:w="1186" w:type="dxa"/>
            <w:tcBorders>
              <w:top w:val="nil"/>
              <w:left w:val="nil"/>
              <w:bottom w:val="single" w:sz="4" w:space="0" w:color="auto"/>
              <w:right w:val="single" w:sz="4" w:space="0" w:color="auto"/>
            </w:tcBorders>
            <w:noWrap/>
            <w:hideMark/>
          </w:tcPr>
          <w:p w:rsidR="00756160" w:rsidRPr="008F486F" w14:paraId="74589C84" w14:textId="77777777">
            <w:pPr>
              <w:jc w:val="center"/>
              <w:rPr>
                <w:rFonts w:eastAsia="Times New Roman"/>
                <w:color w:val="000000"/>
              </w:rPr>
            </w:pPr>
            <w:r w:rsidRPr="004220E0">
              <w:t>6</w:t>
            </w:r>
          </w:p>
        </w:tc>
      </w:tr>
      <w:tr w14:paraId="79199C69"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78C0DE6F" w14:textId="77777777">
            <w:pPr>
              <w:jc w:val="center"/>
              <w:rPr>
                <w:rFonts w:eastAsia="Times New Roman"/>
                <w:color w:val="000000"/>
              </w:rPr>
            </w:pPr>
            <w:r w:rsidRPr="008F486F">
              <w:rPr>
                <w:rFonts w:eastAsia="Times New Roman"/>
                <w:color w:val="000000"/>
              </w:rPr>
              <w:t>2037</w:t>
            </w:r>
          </w:p>
        </w:tc>
        <w:tc>
          <w:tcPr>
            <w:tcW w:w="1599" w:type="dxa"/>
            <w:tcBorders>
              <w:top w:val="nil"/>
              <w:left w:val="nil"/>
              <w:bottom w:val="single" w:sz="4" w:space="0" w:color="auto"/>
              <w:right w:val="single" w:sz="4" w:space="0" w:color="auto"/>
            </w:tcBorders>
            <w:noWrap/>
            <w:hideMark/>
          </w:tcPr>
          <w:p w:rsidR="00756160" w:rsidRPr="008F486F" w14:paraId="1A224FCC" w14:textId="77777777">
            <w:pPr>
              <w:jc w:val="center"/>
              <w:rPr>
                <w:rFonts w:eastAsia="Times New Roman"/>
                <w:color w:val="000000"/>
              </w:rPr>
            </w:pPr>
            <w:r w:rsidRPr="004220E0">
              <w:t>22</w:t>
            </w:r>
          </w:p>
        </w:tc>
        <w:tc>
          <w:tcPr>
            <w:tcW w:w="1186" w:type="dxa"/>
            <w:tcBorders>
              <w:top w:val="nil"/>
              <w:left w:val="nil"/>
              <w:bottom w:val="single" w:sz="4" w:space="0" w:color="auto"/>
              <w:right w:val="single" w:sz="4" w:space="0" w:color="auto"/>
            </w:tcBorders>
            <w:noWrap/>
            <w:hideMark/>
          </w:tcPr>
          <w:p w:rsidR="00756160" w:rsidRPr="008F486F" w14:paraId="315C082C" w14:textId="77777777">
            <w:pPr>
              <w:jc w:val="center"/>
              <w:rPr>
                <w:rFonts w:eastAsia="Times New Roman"/>
                <w:color w:val="000000"/>
              </w:rPr>
            </w:pPr>
            <w:r w:rsidRPr="004220E0">
              <w:t>5</w:t>
            </w:r>
          </w:p>
        </w:tc>
        <w:tc>
          <w:tcPr>
            <w:tcW w:w="1558" w:type="dxa"/>
            <w:tcBorders>
              <w:top w:val="nil"/>
              <w:left w:val="nil"/>
              <w:bottom w:val="single" w:sz="4" w:space="0" w:color="auto"/>
              <w:right w:val="single" w:sz="4" w:space="0" w:color="auto"/>
            </w:tcBorders>
            <w:noWrap/>
            <w:hideMark/>
          </w:tcPr>
          <w:p w:rsidR="00756160" w:rsidRPr="008F486F" w14:paraId="32B24944" w14:textId="77777777">
            <w:pPr>
              <w:jc w:val="center"/>
              <w:rPr>
                <w:rFonts w:eastAsia="Times New Roman"/>
                <w:color w:val="000000"/>
              </w:rPr>
            </w:pPr>
            <w:r w:rsidRPr="004220E0">
              <w:t>5</w:t>
            </w:r>
          </w:p>
        </w:tc>
        <w:tc>
          <w:tcPr>
            <w:tcW w:w="1460" w:type="dxa"/>
            <w:tcBorders>
              <w:top w:val="nil"/>
              <w:left w:val="nil"/>
              <w:bottom w:val="single" w:sz="4" w:space="0" w:color="auto"/>
              <w:right w:val="single" w:sz="4" w:space="0" w:color="auto"/>
            </w:tcBorders>
            <w:noWrap/>
            <w:hideMark/>
          </w:tcPr>
          <w:p w:rsidR="00756160" w:rsidRPr="008F486F" w14:paraId="7CB181E7"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40D170B5" w14:textId="77777777">
            <w:pPr>
              <w:jc w:val="center"/>
              <w:rPr>
                <w:rFonts w:eastAsia="Times New Roman"/>
                <w:color w:val="000000"/>
              </w:rPr>
            </w:pPr>
            <w:r w:rsidRPr="004220E0">
              <w:t>17</w:t>
            </w:r>
          </w:p>
        </w:tc>
        <w:tc>
          <w:tcPr>
            <w:tcW w:w="1186" w:type="dxa"/>
            <w:tcBorders>
              <w:top w:val="nil"/>
              <w:left w:val="nil"/>
              <w:bottom w:val="single" w:sz="4" w:space="0" w:color="auto"/>
              <w:right w:val="single" w:sz="4" w:space="0" w:color="auto"/>
            </w:tcBorders>
            <w:noWrap/>
            <w:hideMark/>
          </w:tcPr>
          <w:p w:rsidR="00756160" w:rsidRPr="008F486F" w14:paraId="3DDD97E9" w14:textId="77777777">
            <w:pPr>
              <w:jc w:val="center"/>
              <w:rPr>
                <w:rFonts w:eastAsia="Times New Roman"/>
                <w:color w:val="000000"/>
              </w:rPr>
            </w:pPr>
            <w:r w:rsidRPr="004220E0">
              <w:t>4</w:t>
            </w:r>
          </w:p>
        </w:tc>
      </w:tr>
      <w:tr w14:paraId="319B5DF2"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66924F05" w14:textId="77777777">
            <w:pPr>
              <w:jc w:val="center"/>
              <w:rPr>
                <w:rFonts w:eastAsia="Times New Roman"/>
                <w:color w:val="000000"/>
              </w:rPr>
            </w:pPr>
            <w:r w:rsidRPr="008F486F">
              <w:rPr>
                <w:rFonts w:eastAsia="Times New Roman"/>
                <w:color w:val="000000"/>
              </w:rPr>
              <w:t>2038</w:t>
            </w:r>
          </w:p>
        </w:tc>
        <w:tc>
          <w:tcPr>
            <w:tcW w:w="1599" w:type="dxa"/>
            <w:tcBorders>
              <w:top w:val="nil"/>
              <w:left w:val="nil"/>
              <w:bottom w:val="single" w:sz="4" w:space="0" w:color="auto"/>
              <w:right w:val="single" w:sz="4" w:space="0" w:color="auto"/>
            </w:tcBorders>
            <w:noWrap/>
            <w:hideMark/>
          </w:tcPr>
          <w:p w:rsidR="00756160" w:rsidRPr="008F486F" w14:paraId="15EE5BCB" w14:textId="77777777">
            <w:pPr>
              <w:jc w:val="center"/>
              <w:rPr>
                <w:rFonts w:eastAsia="Times New Roman"/>
                <w:color w:val="000000"/>
              </w:rPr>
            </w:pPr>
            <w:r w:rsidRPr="004220E0">
              <w:t>29</w:t>
            </w:r>
          </w:p>
        </w:tc>
        <w:tc>
          <w:tcPr>
            <w:tcW w:w="1186" w:type="dxa"/>
            <w:tcBorders>
              <w:top w:val="nil"/>
              <w:left w:val="nil"/>
              <w:bottom w:val="single" w:sz="4" w:space="0" w:color="auto"/>
              <w:right w:val="single" w:sz="4" w:space="0" w:color="auto"/>
            </w:tcBorders>
            <w:noWrap/>
            <w:hideMark/>
          </w:tcPr>
          <w:p w:rsidR="00756160" w:rsidRPr="008F486F" w14:paraId="74444094" w14:textId="77777777">
            <w:pPr>
              <w:jc w:val="center"/>
              <w:rPr>
                <w:rFonts w:eastAsia="Times New Roman"/>
                <w:color w:val="000000"/>
              </w:rPr>
            </w:pPr>
            <w:r w:rsidRPr="004220E0">
              <w:t>7</w:t>
            </w:r>
          </w:p>
        </w:tc>
        <w:tc>
          <w:tcPr>
            <w:tcW w:w="1558" w:type="dxa"/>
            <w:tcBorders>
              <w:top w:val="nil"/>
              <w:left w:val="nil"/>
              <w:bottom w:val="single" w:sz="4" w:space="0" w:color="auto"/>
              <w:right w:val="single" w:sz="4" w:space="0" w:color="auto"/>
            </w:tcBorders>
            <w:noWrap/>
            <w:hideMark/>
          </w:tcPr>
          <w:p w:rsidR="00756160" w:rsidRPr="008F486F" w14:paraId="796E52B1" w14:textId="77777777">
            <w:pPr>
              <w:jc w:val="center"/>
              <w:rPr>
                <w:rFonts w:eastAsia="Times New Roman"/>
                <w:color w:val="000000"/>
              </w:rPr>
            </w:pPr>
            <w:r w:rsidRPr="004220E0">
              <w:t>6</w:t>
            </w:r>
          </w:p>
        </w:tc>
        <w:tc>
          <w:tcPr>
            <w:tcW w:w="1460" w:type="dxa"/>
            <w:tcBorders>
              <w:top w:val="nil"/>
              <w:left w:val="nil"/>
              <w:bottom w:val="single" w:sz="4" w:space="0" w:color="auto"/>
              <w:right w:val="single" w:sz="4" w:space="0" w:color="auto"/>
            </w:tcBorders>
            <w:noWrap/>
            <w:hideMark/>
          </w:tcPr>
          <w:p w:rsidR="00756160" w:rsidRPr="008F486F" w14:paraId="186743EB"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4CA54C56" w14:textId="77777777">
            <w:pPr>
              <w:jc w:val="center"/>
              <w:rPr>
                <w:rFonts w:eastAsia="Times New Roman"/>
                <w:color w:val="000000"/>
              </w:rPr>
            </w:pPr>
            <w:r w:rsidRPr="004220E0">
              <w:t>18</w:t>
            </w:r>
          </w:p>
        </w:tc>
        <w:tc>
          <w:tcPr>
            <w:tcW w:w="1186" w:type="dxa"/>
            <w:tcBorders>
              <w:top w:val="nil"/>
              <w:left w:val="nil"/>
              <w:bottom w:val="single" w:sz="4" w:space="0" w:color="auto"/>
              <w:right w:val="single" w:sz="4" w:space="0" w:color="auto"/>
            </w:tcBorders>
            <w:noWrap/>
            <w:hideMark/>
          </w:tcPr>
          <w:p w:rsidR="00756160" w:rsidRPr="008F486F" w14:paraId="7C6E6165" w14:textId="77777777">
            <w:pPr>
              <w:jc w:val="center"/>
              <w:rPr>
                <w:rFonts w:eastAsia="Times New Roman"/>
                <w:color w:val="000000"/>
              </w:rPr>
            </w:pPr>
            <w:r w:rsidRPr="004220E0">
              <w:t>1</w:t>
            </w:r>
          </w:p>
        </w:tc>
      </w:tr>
      <w:tr w14:paraId="1CE8A1A0"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306FE94D" w14:textId="77777777">
            <w:pPr>
              <w:jc w:val="center"/>
              <w:rPr>
                <w:rFonts w:eastAsia="Times New Roman"/>
                <w:color w:val="000000"/>
              </w:rPr>
            </w:pPr>
            <w:r w:rsidRPr="008F486F">
              <w:rPr>
                <w:rFonts w:eastAsia="Times New Roman"/>
                <w:color w:val="000000"/>
              </w:rPr>
              <w:t>2039</w:t>
            </w:r>
          </w:p>
        </w:tc>
        <w:tc>
          <w:tcPr>
            <w:tcW w:w="1599" w:type="dxa"/>
            <w:tcBorders>
              <w:top w:val="nil"/>
              <w:left w:val="nil"/>
              <w:bottom w:val="single" w:sz="4" w:space="0" w:color="auto"/>
              <w:right w:val="single" w:sz="4" w:space="0" w:color="auto"/>
            </w:tcBorders>
            <w:noWrap/>
            <w:hideMark/>
          </w:tcPr>
          <w:p w:rsidR="00756160" w:rsidRPr="008F486F" w14:paraId="50560763" w14:textId="77777777">
            <w:pPr>
              <w:jc w:val="center"/>
              <w:rPr>
                <w:rFonts w:eastAsia="Times New Roman"/>
                <w:color w:val="000000"/>
              </w:rPr>
            </w:pPr>
            <w:r w:rsidRPr="004220E0">
              <w:t>41</w:t>
            </w:r>
          </w:p>
        </w:tc>
        <w:tc>
          <w:tcPr>
            <w:tcW w:w="1186" w:type="dxa"/>
            <w:tcBorders>
              <w:top w:val="nil"/>
              <w:left w:val="nil"/>
              <w:bottom w:val="single" w:sz="4" w:space="0" w:color="auto"/>
              <w:right w:val="single" w:sz="4" w:space="0" w:color="auto"/>
            </w:tcBorders>
            <w:noWrap/>
            <w:hideMark/>
          </w:tcPr>
          <w:p w:rsidR="00756160" w:rsidRPr="008F486F" w14:paraId="0F6647B2" w14:textId="77777777">
            <w:pPr>
              <w:jc w:val="center"/>
              <w:rPr>
                <w:rFonts w:eastAsia="Times New Roman"/>
                <w:color w:val="000000"/>
              </w:rPr>
            </w:pPr>
            <w:r w:rsidRPr="004220E0">
              <w:t>12</w:t>
            </w:r>
          </w:p>
        </w:tc>
        <w:tc>
          <w:tcPr>
            <w:tcW w:w="1558" w:type="dxa"/>
            <w:tcBorders>
              <w:top w:val="nil"/>
              <w:left w:val="nil"/>
              <w:bottom w:val="single" w:sz="4" w:space="0" w:color="auto"/>
              <w:right w:val="single" w:sz="4" w:space="0" w:color="auto"/>
            </w:tcBorders>
            <w:noWrap/>
            <w:hideMark/>
          </w:tcPr>
          <w:p w:rsidR="00756160" w:rsidRPr="008F486F" w14:paraId="61D92C43" w14:textId="77777777">
            <w:pPr>
              <w:jc w:val="center"/>
              <w:rPr>
                <w:rFonts w:eastAsia="Times New Roman"/>
                <w:color w:val="000000"/>
              </w:rPr>
            </w:pPr>
            <w:r w:rsidRPr="004220E0">
              <w:t>11</w:t>
            </w:r>
          </w:p>
        </w:tc>
        <w:tc>
          <w:tcPr>
            <w:tcW w:w="1460" w:type="dxa"/>
            <w:tcBorders>
              <w:top w:val="nil"/>
              <w:left w:val="nil"/>
              <w:bottom w:val="single" w:sz="4" w:space="0" w:color="auto"/>
              <w:right w:val="single" w:sz="4" w:space="0" w:color="auto"/>
            </w:tcBorders>
            <w:noWrap/>
            <w:hideMark/>
          </w:tcPr>
          <w:p w:rsidR="00756160" w:rsidRPr="008F486F" w14:paraId="6383F3CF"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582D3480" w14:textId="77777777">
            <w:pPr>
              <w:jc w:val="center"/>
              <w:rPr>
                <w:rFonts w:eastAsia="Times New Roman"/>
                <w:color w:val="000000"/>
              </w:rPr>
            </w:pPr>
            <w:r w:rsidRPr="004220E0">
              <w:t>19</w:t>
            </w:r>
          </w:p>
        </w:tc>
        <w:tc>
          <w:tcPr>
            <w:tcW w:w="1186" w:type="dxa"/>
            <w:tcBorders>
              <w:top w:val="nil"/>
              <w:left w:val="nil"/>
              <w:bottom w:val="single" w:sz="4" w:space="0" w:color="auto"/>
              <w:right w:val="single" w:sz="4" w:space="0" w:color="auto"/>
            </w:tcBorders>
            <w:noWrap/>
            <w:hideMark/>
          </w:tcPr>
          <w:p w:rsidR="00756160" w:rsidRPr="008F486F" w14:paraId="5943E658" w14:textId="77777777">
            <w:pPr>
              <w:jc w:val="center"/>
              <w:rPr>
                <w:rFonts w:eastAsia="Times New Roman"/>
                <w:color w:val="000000"/>
              </w:rPr>
            </w:pPr>
            <w:r w:rsidRPr="004220E0">
              <w:t>1</w:t>
            </w:r>
          </w:p>
        </w:tc>
      </w:tr>
      <w:tr w14:paraId="0F172847"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238D40EE" w14:textId="77777777">
            <w:pPr>
              <w:jc w:val="center"/>
              <w:rPr>
                <w:rFonts w:eastAsia="Times New Roman"/>
                <w:color w:val="000000"/>
              </w:rPr>
            </w:pPr>
            <w:r w:rsidRPr="008F486F">
              <w:rPr>
                <w:rFonts w:eastAsia="Times New Roman"/>
                <w:color w:val="000000"/>
              </w:rPr>
              <w:t>2040</w:t>
            </w:r>
          </w:p>
        </w:tc>
        <w:tc>
          <w:tcPr>
            <w:tcW w:w="1599" w:type="dxa"/>
            <w:tcBorders>
              <w:top w:val="nil"/>
              <w:left w:val="nil"/>
              <w:bottom w:val="single" w:sz="4" w:space="0" w:color="auto"/>
              <w:right w:val="single" w:sz="4" w:space="0" w:color="auto"/>
            </w:tcBorders>
            <w:noWrap/>
            <w:hideMark/>
          </w:tcPr>
          <w:p w:rsidR="00756160" w:rsidRPr="008F486F" w14:paraId="7D00C113" w14:textId="77777777">
            <w:pPr>
              <w:jc w:val="center"/>
              <w:rPr>
                <w:rFonts w:eastAsia="Times New Roman"/>
                <w:color w:val="000000"/>
              </w:rPr>
            </w:pPr>
            <w:r w:rsidRPr="004220E0">
              <w:t>53</w:t>
            </w:r>
          </w:p>
        </w:tc>
        <w:tc>
          <w:tcPr>
            <w:tcW w:w="1186" w:type="dxa"/>
            <w:tcBorders>
              <w:top w:val="nil"/>
              <w:left w:val="nil"/>
              <w:bottom w:val="single" w:sz="4" w:space="0" w:color="auto"/>
              <w:right w:val="single" w:sz="4" w:space="0" w:color="auto"/>
            </w:tcBorders>
            <w:noWrap/>
            <w:hideMark/>
          </w:tcPr>
          <w:p w:rsidR="00756160" w:rsidRPr="008F486F" w14:paraId="20FBF535" w14:textId="77777777">
            <w:pPr>
              <w:jc w:val="center"/>
              <w:rPr>
                <w:rFonts w:eastAsia="Times New Roman"/>
                <w:color w:val="000000"/>
              </w:rPr>
            </w:pPr>
            <w:r w:rsidRPr="004220E0">
              <w:t>12</w:t>
            </w:r>
          </w:p>
        </w:tc>
        <w:tc>
          <w:tcPr>
            <w:tcW w:w="1558" w:type="dxa"/>
            <w:tcBorders>
              <w:top w:val="nil"/>
              <w:left w:val="nil"/>
              <w:bottom w:val="single" w:sz="4" w:space="0" w:color="auto"/>
              <w:right w:val="single" w:sz="4" w:space="0" w:color="auto"/>
            </w:tcBorders>
            <w:noWrap/>
            <w:hideMark/>
          </w:tcPr>
          <w:p w:rsidR="00756160" w:rsidRPr="008F486F" w14:paraId="7CFABD1B" w14:textId="77777777">
            <w:pPr>
              <w:jc w:val="center"/>
              <w:rPr>
                <w:rFonts w:eastAsia="Times New Roman"/>
                <w:color w:val="000000"/>
              </w:rPr>
            </w:pPr>
            <w:r w:rsidRPr="004220E0">
              <w:t>12</w:t>
            </w:r>
          </w:p>
        </w:tc>
        <w:tc>
          <w:tcPr>
            <w:tcW w:w="1460" w:type="dxa"/>
            <w:tcBorders>
              <w:top w:val="nil"/>
              <w:left w:val="nil"/>
              <w:bottom w:val="single" w:sz="4" w:space="0" w:color="auto"/>
              <w:right w:val="single" w:sz="4" w:space="0" w:color="auto"/>
            </w:tcBorders>
            <w:noWrap/>
            <w:hideMark/>
          </w:tcPr>
          <w:p w:rsidR="00756160" w:rsidRPr="008F486F" w14:paraId="3A35A042" w14:textId="77777777">
            <w:pPr>
              <w:jc w:val="center"/>
              <w:rPr>
                <w:rFonts w:eastAsia="Times New Roman"/>
                <w:color w:val="000000"/>
              </w:rPr>
            </w:pPr>
            <w:r w:rsidRPr="004220E0">
              <w:t>0</w:t>
            </w:r>
          </w:p>
        </w:tc>
        <w:tc>
          <w:tcPr>
            <w:tcW w:w="1186" w:type="dxa"/>
            <w:tcBorders>
              <w:top w:val="nil"/>
              <w:left w:val="nil"/>
              <w:bottom w:val="single" w:sz="4" w:space="0" w:color="auto"/>
              <w:right w:val="single" w:sz="4" w:space="0" w:color="auto"/>
            </w:tcBorders>
            <w:noWrap/>
            <w:hideMark/>
          </w:tcPr>
          <w:p w:rsidR="00756160" w:rsidRPr="008F486F" w14:paraId="3651C9BC" w14:textId="77777777">
            <w:pPr>
              <w:jc w:val="center"/>
              <w:rPr>
                <w:rFonts w:eastAsia="Times New Roman"/>
                <w:color w:val="000000"/>
              </w:rPr>
            </w:pPr>
            <w:r w:rsidRPr="004220E0">
              <w:t>22</w:t>
            </w:r>
          </w:p>
        </w:tc>
        <w:tc>
          <w:tcPr>
            <w:tcW w:w="1186" w:type="dxa"/>
            <w:tcBorders>
              <w:top w:val="nil"/>
              <w:left w:val="nil"/>
              <w:bottom w:val="single" w:sz="4" w:space="0" w:color="auto"/>
              <w:right w:val="single" w:sz="4" w:space="0" w:color="auto"/>
            </w:tcBorders>
            <w:noWrap/>
            <w:hideMark/>
          </w:tcPr>
          <w:p w:rsidR="00756160" w:rsidRPr="008F486F" w14:paraId="7AB50F41" w14:textId="77777777">
            <w:pPr>
              <w:jc w:val="center"/>
              <w:rPr>
                <w:rFonts w:eastAsia="Times New Roman"/>
                <w:color w:val="000000"/>
              </w:rPr>
            </w:pPr>
            <w:r w:rsidRPr="004220E0">
              <w:t>3</w:t>
            </w:r>
          </w:p>
        </w:tc>
      </w:tr>
      <w:tr w14:paraId="247191BB"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0670E26B" w14:textId="77777777">
            <w:pPr>
              <w:jc w:val="center"/>
              <w:rPr>
                <w:rFonts w:eastAsia="Times New Roman"/>
                <w:color w:val="000000"/>
              </w:rPr>
            </w:pPr>
            <w:r w:rsidRPr="008F486F">
              <w:rPr>
                <w:rFonts w:eastAsia="Times New Roman"/>
                <w:color w:val="000000"/>
              </w:rPr>
              <w:t>2041</w:t>
            </w:r>
          </w:p>
        </w:tc>
        <w:tc>
          <w:tcPr>
            <w:tcW w:w="1599" w:type="dxa"/>
            <w:tcBorders>
              <w:top w:val="nil"/>
              <w:left w:val="nil"/>
              <w:bottom w:val="single" w:sz="4" w:space="0" w:color="auto"/>
              <w:right w:val="single" w:sz="4" w:space="0" w:color="auto"/>
            </w:tcBorders>
            <w:noWrap/>
            <w:hideMark/>
          </w:tcPr>
          <w:p w:rsidR="00756160" w:rsidRPr="008F486F" w14:paraId="33AAE64F" w14:textId="77777777">
            <w:pPr>
              <w:jc w:val="center"/>
              <w:rPr>
                <w:rFonts w:eastAsia="Times New Roman"/>
                <w:color w:val="000000"/>
              </w:rPr>
            </w:pPr>
            <w:r w:rsidRPr="004220E0">
              <w:t>66</w:t>
            </w:r>
          </w:p>
        </w:tc>
        <w:tc>
          <w:tcPr>
            <w:tcW w:w="1186" w:type="dxa"/>
            <w:tcBorders>
              <w:top w:val="nil"/>
              <w:left w:val="nil"/>
              <w:bottom w:val="single" w:sz="4" w:space="0" w:color="auto"/>
              <w:right w:val="single" w:sz="4" w:space="0" w:color="auto"/>
            </w:tcBorders>
            <w:noWrap/>
            <w:hideMark/>
          </w:tcPr>
          <w:p w:rsidR="00756160" w:rsidRPr="008F486F" w14:paraId="3E522A75" w14:textId="77777777">
            <w:pPr>
              <w:jc w:val="center"/>
              <w:rPr>
                <w:rFonts w:eastAsia="Times New Roman"/>
                <w:color w:val="000000"/>
              </w:rPr>
            </w:pPr>
            <w:r w:rsidRPr="004220E0">
              <w:t>13</w:t>
            </w:r>
          </w:p>
        </w:tc>
        <w:tc>
          <w:tcPr>
            <w:tcW w:w="1558" w:type="dxa"/>
            <w:tcBorders>
              <w:top w:val="nil"/>
              <w:left w:val="nil"/>
              <w:bottom w:val="single" w:sz="4" w:space="0" w:color="auto"/>
              <w:right w:val="single" w:sz="4" w:space="0" w:color="auto"/>
            </w:tcBorders>
            <w:noWrap/>
            <w:hideMark/>
          </w:tcPr>
          <w:p w:rsidR="00756160" w:rsidRPr="008F486F" w14:paraId="7133A876" w14:textId="77777777">
            <w:pPr>
              <w:jc w:val="center"/>
              <w:rPr>
                <w:rFonts w:eastAsia="Times New Roman"/>
                <w:color w:val="000000"/>
              </w:rPr>
            </w:pPr>
            <w:r w:rsidRPr="004220E0">
              <w:t>12</w:t>
            </w:r>
          </w:p>
        </w:tc>
        <w:tc>
          <w:tcPr>
            <w:tcW w:w="1460" w:type="dxa"/>
            <w:tcBorders>
              <w:top w:val="nil"/>
              <w:left w:val="nil"/>
              <w:bottom w:val="single" w:sz="4" w:space="0" w:color="auto"/>
              <w:right w:val="single" w:sz="4" w:space="0" w:color="auto"/>
            </w:tcBorders>
            <w:noWrap/>
            <w:hideMark/>
          </w:tcPr>
          <w:p w:rsidR="00756160" w:rsidRPr="008F486F" w14:paraId="65D2AE87"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5E7E4E07" w14:textId="77777777">
            <w:pPr>
              <w:jc w:val="center"/>
              <w:rPr>
                <w:rFonts w:eastAsia="Times New Roman"/>
                <w:color w:val="000000"/>
              </w:rPr>
            </w:pPr>
            <w:r w:rsidRPr="004220E0">
              <w:t>24</w:t>
            </w:r>
          </w:p>
        </w:tc>
        <w:tc>
          <w:tcPr>
            <w:tcW w:w="1186" w:type="dxa"/>
            <w:tcBorders>
              <w:top w:val="nil"/>
              <w:left w:val="nil"/>
              <w:bottom w:val="single" w:sz="4" w:space="0" w:color="auto"/>
              <w:right w:val="single" w:sz="4" w:space="0" w:color="auto"/>
            </w:tcBorders>
            <w:noWrap/>
            <w:hideMark/>
          </w:tcPr>
          <w:p w:rsidR="00756160" w:rsidRPr="008F486F" w14:paraId="2E844C58" w14:textId="77777777">
            <w:pPr>
              <w:jc w:val="center"/>
              <w:rPr>
                <w:rFonts w:eastAsia="Times New Roman"/>
                <w:color w:val="000000"/>
              </w:rPr>
            </w:pPr>
            <w:r w:rsidRPr="004220E0">
              <w:t>2</w:t>
            </w:r>
          </w:p>
        </w:tc>
      </w:tr>
      <w:tr w14:paraId="722121C9"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33F06A88" w14:textId="77777777">
            <w:pPr>
              <w:jc w:val="center"/>
              <w:rPr>
                <w:rFonts w:eastAsia="Times New Roman"/>
                <w:color w:val="000000"/>
              </w:rPr>
            </w:pPr>
            <w:r w:rsidRPr="008F486F">
              <w:rPr>
                <w:rFonts w:eastAsia="Times New Roman"/>
                <w:color w:val="000000"/>
              </w:rPr>
              <w:t>2042</w:t>
            </w:r>
          </w:p>
        </w:tc>
        <w:tc>
          <w:tcPr>
            <w:tcW w:w="1599" w:type="dxa"/>
            <w:tcBorders>
              <w:top w:val="nil"/>
              <w:left w:val="nil"/>
              <w:bottom w:val="single" w:sz="4" w:space="0" w:color="auto"/>
              <w:right w:val="single" w:sz="4" w:space="0" w:color="auto"/>
            </w:tcBorders>
            <w:noWrap/>
            <w:hideMark/>
          </w:tcPr>
          <w:p w:rsidR="00756160" w:rsidRPr="008F486F" w14:paraId="2933B4B5" w14:textId="77777777">
            <w:pPr>
              <w:jc w:val="center"/>
              <w:rPr>
                <w:rFonts w:eastAsia="Times New Roman"/>
                <w:color w:val="000000"/>
              </w:rPr>
            </w:pPr>
            <w:r w:rsidRPr="004220E0">
              <w:t>82</w:t>
            </w:r>
          </w:p>
        </w:tc>
        <w:tc>
          <w:tcPr>
            <w:tcW w:w="1186" w:type="dxa"/>
            <w:tcBorders>
              <w:top w:val="nil"/>
              <w:left w:val="nil"/>
              <w:bottom w:val="single" w:sz="4" w:space="0" w:color="auto"/>
              <w:right w:val="single" w:sz="4" w:space="0" w:color="auto"/>
            </w:tcBorders>
            <w:noWrap/>
            <w:hideMark/>
          </w:tcPr>
          <w:p w:rsidR="00756160" w:rsidRPr="008F486F" w14:paraId="3FA83A4D" w14:textId="77777777">
            <w:pPr>
              <w:jc w:val="center"/>
              <w:rPr>
                <w:rFonts w:eastAsia="Times New Roman"/>
                <w:color w:val="000000"/>
              </w:rPr>
            </w:pPr>
            <w:r w:rsidRPr="004220E0">
              <w:t>16</w:t>
            </w:r>
          </w:p>
        </w:tc>
        <w:tc>
          <w:tcPr>
            <w:tcW w:w="1558" w:type="dxa"/>
            <w:tcBorders>
              <w:top w:val="nil"/>
              <w:left w:val="nil"/>
              <w:bottom w:val="single" w:sz="4" w:space="0" w:color="auto"/>
              <w:right w:val="single" w:sz="4" w:space="0" w:color="auto"/>
            </w:tcBorders>
            <w:noWrap/>
            <w:hideMark/>
          </w:tcPr>
          <w:p w:rsidR="00756160" w:rsidRPr="008F486F" w14:paraId="33D17ECE" w14:textId="77777777">
            <w:pPr>
              <w:jc w:val="center"/>
              <w:rPr>
                <w:rFonts w:eastAsia="Times New Roman"/>
                <w:color w:val="000000"/>
              </w:rPr>
            </w:pPr>
            <w:r w:rsidRPr="004220E0">
              <w:t>14</w:t>
            </w:r>
          </w:p>
        </w:tc>
        <w:tc>
          <w:tcPr>
            <w:tcW w:w="1460" w:type="dxa"/>
            <w:tcBorders>
              <w:top w:val="nil"/>
              <w:left w:val="nil"/>
              <w:bottom w:val="single" w:sz="4" w:space="0" w:color="auto"/>
              <w:right w:val="single" w:sz="4" w:space="0" w:color="auto"/>
            </w:tcBorders>
            <w:noWrap/>
            <w:hideMark/>
          </w:tcPr>
          <w:p w:rsidR="00756160" w:rsidRPr="008F486F" w14:paraId="06FA6EB8"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noWrap/>
            <w:hideMark/>
          </w:tcPr>
          <w:p w:rsidR="00756160" w:rsidRPr="008F486F" w14:paraId="50764011" w14:textId="77777777">
            <w:pPr>
              <w:jc w:val="center"/>
              <w:rPr>
                <w:rFonts w:eastAsia="Times New Roman"/>
                <w:color w:val="000000"/>
              </w:rPr>
            </w:pPr>
            <w:r w:rsidRPr="004220E0">
              <w:t>24</w:t>
            </w:r>
          </w:p>
        </w:tc>
        <w:tc>
          <w:tcPr>
            <w:tcW w:w="1186" w:type="dxa"/>
            <w:tcBorders>
              <w:top w:val="nil"/>
              <w:left w:val="nil"/>
              <w:bottom w:val="single" w:sz="4" w:space="0" w:color="auto"/>
              <w:right w:val="single" w:sz="4" w:space="0" w:color="auto"/>
            </w:tcBorders>
            <w:noWrap/>
            <w:hideMark/>
          </w:tcPr>
          <w:p w:rsidR="00756160" w:rsidRPr="008F486F" w14:paraId="6384A0FE" w14:textId="77777777">
            <w:pPr>
              <w:jc w:val="center"/>
              <w:rPr>
                <w:rFonts w:eastAsia="Times New Roman"/>
                <w:color w:val="000000"/>
              </w:rPr>
            </w:pPr>
            <w:r w:rsidRPr="004220E0">
              <w:t>0</w:t>
            </w:r>
          </w:p>
        </w:tc>
      </w:tr>
      <w:tr w14:paraId="6DAB03FD"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7C1A2356" w14:textId="77777777">
            <w:pPr>
              <w:jc w:val="center"/>
              <w:rPr>
                <w:rFonts w:eastAsia="Times New Roman"/>
                <w:color w:val="000000"/>
              </w:rPr>
            </w:pPr>
            <w:r w:rsidRPr="008F486F">
              <w:rPr>
                <w:rFonts w:eastAsia="Times New Roman"/>
                <w:color w:val="000000"/>
              </w:rPr>
              <w:t>2043</w:t>
            </w:r>
          </w:p>
        </w:tc>
        <w:tc>
          <w:tcPr>
            <w:tcW w:w="1599" w:type="dxa"/>
            <w:tcBorders>
              <w:top w:val="nil"/>
              <w:left w:val="nil"/>
              <w:bottom w:val="single" w:sz="4" w:space="0" w:color="auto"/>
              <w:right w:val="single" w:sz="4" w:space="0" w:color="auto"/>
            </w:tcBorders>
            <w:noWrap/>
            <w:hideMark/>
          </w:tcPr>
          <w:p w:rsidR="00756160" w:rsidRPr="008F486F" w14:paraId="11CA9C3F" w14:textId="77777777">
            <w:pPr>
              <w:jc w:val="center"/>
              <w:rPr>
                <w:rFonts w:eastAsia="Times New Roman"/>
                <w:color w:val="000000"/>
              </w:rPr>
            </w:pPr>
            <w:r w:rsidRPr="004220E0">
              <w:t>101</w:t>
            </w:r>
          </w:p>
        </w:tc>
        <w:tc>
          <w:tcPr>
            <w:tcW w:w="1186" w:type="dxa"/>
            <w:tcBorders>
              <w:top w:val="nil"/>
              <w:left w:val="nil"/>
              <w:bottom w:val="single" w:sz="4" w:space="0" w:color="auto"/>
              <w:right w:val="single" w:sz="4" w:space="0" w:color="auto"/>
            </w:tcBorders>
            <w:noWrap/>
            <w:hideMark/>
          </w:tcPr>
          <w:p w:rsidR="00756160" w:rsidRPr="008F486F" w14:paraId="24D8D60F" w14:textId="77777777">
            <w:pPr>
              <w:jc w:val="center"/>
              <w:rPr>
                <w:rFonts w:eastAsia="Times New Roman"/>
                <w:color w:val="000000"/>
              </w:rPr>
            </w:pPr>
            <w:r w:rsidRPr="004220E0">
              <w:t>19</w:t>
            </w:r>
          </w:p>
        </w:tc>
        <w:tc>
          <w:tcPr>
            <w:tcW w:w="1558" w:type="dxa"/>
            <w:tcBorders>
              <w:top w:val="nil"/>
              <w:left w:val="nil"/>
              <w:bottom w:val="single" w:sz="4" w:space="0" w:color="auto"/>
              <w:right w:val="single" w:sz="4" w:space="0" w:color="auto"/>
            </w:tcBorders>
            <w:noWrap/>
            <w:hideMark/>
          </w:tcPr>
          <w:p w:rsidR="00756160" w:rsidRPr="008F486F" w14:paraId="2D98C7A1" w14:textId="77777777">
            <w:pPr>
              <w:jc w:val="center"/>
              <w:rPr>
                <w:rFonts w:eastAsia="Times New Roman"/>
                <w:color w:val="000000"/>
              </w:rPr>
            </w:pPr>
            <w:r w:rsidRPr="004220E0">
              <w:t>18</w:t>
            </w:r>
          </w:p>
        </w:tc>
        <w:tc>
          <w:tcPr>
            <w:tcW w:w="1460" w:type="dxa"/>
            <w:tcBorders>
              <w:top w:val="nil"/>
              <w:left w:val="nil"/>
              <w:bottom w:val="single" w:sz="4" w:space="0" w:color="auto"/>
              <w:right w:val="single" w:sz="4" w:space="0" w:color="auto"/>
            </w:tcBorders>
            <w:noWrap/>
            <w:hideMark/>
          </w:tcPr>
          <w:p w:rsidR="00756160" w:rsidRPr="008F486F" w14:paraId="592F3E95"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0480C4D5" w14:textId="77777777">
            <w:pPr>
              <w:jc w:val="center"/>
              <w:rPr>
                <w:rFonts w:eastAsia="Times New Roman"/>
                <w:color w:val="000000"/>
              </w:rPr>
            </w:pPr>
            <w:r w:rsidRPr="004220E0">
              <w:t>26</w:t>
            </w:r>
          </w:p>
        </w:tc>
        <w:tc>
          <w:tcPr>
            <w:tcW w:w="1186" w:type="dxa"/>
            <w:tcBorders>
              <w:top w:val="nil"/>
              <w:left w:val="nil"/>
              <w:bottom w:val="single" w:sz="4" w:space="0" w:color="auto"/>
              <w:right w:val="single" w:sz="4" w:space="0" w:color="auto"/>
            </w:tcBorders>
            <w:noWrap/>
            <w:hideMark/>
          </w:tcPr>
          <w:p w:rsidR="00756160" w:rsidRPr="008F486F" w14:paraId="5B0BC5AA" w14:textId="77777777">
            <w:pPr>
              <w:jc w:val="center"/>
              <w:rPr>
                <w:rFonts w:eastAsia="Times New Roman"/>
                <w:color w:val="000000"/>
              </w:rPr>
            </w:pPr>
            <w:r w:rsidRPr="004220E0">
              <w:t>2</w:t>
            </w:r>
          </w:p>
        </w:tc>
      </w:tr>
      <w:tr w14:paraId="7603CE4B"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54C4FD11" w14:textId="77777777">
            <w:pPr>
              <w:jc w:val="center"/>
              <w:rPr>
                <w:rFonts w:eastAsia="Times New Roman"/>
                <w:color w:val="000000"/>
              </w:rPr>
            </w:pPr>
            <w:r w:rsidRPr="008F486F">
              <w:rPr>
                <w:rFonts w:eastAsia="Times New Roman"/>
                <w:color w:val="000000"/>
              </w:rPr>
              <w:t>2044</w:t>
            </w:r>
          </w:p>
        </w:tc>
        <w:tc>
          <w:tcPr>
            <w:tcW w:w="1599" w:type="dxa"/>
            <w:tcBorders>
              <w:top w:val="nil"/>
              <w:left w:val="nil"/>
              <w:bottom w:val="single" w:sz="4" w:space="0" w:color="auto"/>
              <w:right w:val="single" w:sz="4" w:space="0" w:color="auto"/>
            </w:tcBorders>
            <w:noWrap/>
            <w:hideMark/>
          </w:tcPr>
          <w:p w:rsidR="00756160" w:rsidRPr="008F486F" w14:paraId="242D4E44" w14:textId="77777777">
            <w:pPr>
              <w:jc w:val="center"/>
              <w:rPr>
                <w:rFonts w:eastAsia="Times New Roman"/>
                <w:color w:val="000000"/>
              </w:rPr>
            </w:pPr>
            <w:r w:rsidRPr="004220E0">
              <w:t>124</w:t>
            </w:r>
          </w:p>
        </w:tc>
        <w:tc>
          <w:tcPr>
            <w:tcW w:w="1186" w:type="dxa"/>
            <w:tcBorders>
              <w:top w:val="nil"/>
              <w:left w:val="nil"/>
              <w:bottom w:val="single" w:sz="4" w:space="0" w:color="auto"/>
              <w:right w:val="single" w:sz="4" w:space="0" w:color="auto"/>
            </w:tcBorders>
            <w:noWrap/>
            <w:hideMark/>
          </w:tcPr>
          <w:p w:rsidR="00756160" w:rsidRPr="008F486F" w14:paraId="79205F6A" w14:textId="77777777">
            <w:pPr>
              <w:jc w:val="center"/>
              <w:rPr>
                <w:rFonts w:eastAsia="Times New Roman"/>
                <w:color w:val="000000"/>
              </w:rPr>
            </w:pPr>
            <w:r w:rsidRPr="004220E0">
              <w:t>23</w:t>
            </w:r>
          </w:p>
        </w:tc>
        <w:tc>
          <w:tcPr>
            <w:tcW w:w="1558" w:type="dxa"/>
            <w:tcBorders>
              <w:top w:val="nil"/>
              <w:left w:val="nil"/>
              <w:bottom w:val="single" w:sz="4" w:space="0" w:color="auto"/>
              <w:right w:val="single" w:sz="4" w:space="0" w:color="auto"/>
            </w:tcBorders>
            <w:noWrap/>
            <w:hideMark/>
          </w:tcPr>
          <w:p w:rsidR="00756160" w:rsidRPr="008F486F" w14:paraId="69F9681B" w14:textId="77777777">
            <w:pPr>
              <w:jc w:val="center"/>
              <w:rPr>
                <w:rFonts w:eastAsia="Times New Roman"/>
                <w:color w:val="000000"/>
              </w:rPr>
            </w:pPr>
            <w:r w:rsidRPr="004220E0">
              <w:t>21</w:t>
            </w:r>
          </w:p>
        </w:tc>
        <w:tc>
          <w:tcPr>
            <w:tcW w:w="1460" w:type="dxa"/>
            <w:tcBorders>
              <w:top w:val="nil"/>
              <w:left w:val="nil"/>
              <w:bottom w:val="single" w:sz="4" w:space="0" w:color="auto"/>
              <w:right w:val="single" w:sz="4" w:space="0" w:color="auto"/>
            </w:tcBorders>
            <w:noWrap/>
            <w:hideMark/>
          </w:tcPr>
          <w:p w:rsidR="00756160" w:rsidRPr="008F486F" w14:paraId="201BC4BA" w14:textId="77777777">
            <w:pPr>
              <w:jc w:val="center"/>
              <w:rPr>
                <w:rFonts w:eastAsia="Times New Roman"/>
                <w:color w:val="000000"/>
              </w:rPr>
            </w:pPr>
            <w:r w:rsidRPr="004220E0">
              <w:t>2</w:t>
            </w:r>
          </w:p>
        </w:tc>
        <w:tc>
          <w:tcPr>
            <w:tcW w:w="1186" w:type="dxa"/>
            <w:tcBorders>
              <w:top w:val="nil"/>
              <w:left w:val="nil"/>
              <w:bottom w:val="single" w:sz="4" w:space="0" w:color="auto"/>
              <w:right w:val="single" w:sz="4" w:space="0" w:color="auto"/>
            </w:tcBorders>
            <w:noWrap/>
            <w:hideMark/>
          </w:tcPr>
          <w:p w:rsidR="00756160" w:rsidRPr="008F486F" w14:paraId="6456E324" w14:textId="77777777">
            <w:pPr>
              <w:jc w:val="center"/>
              <w:rPr>
                <w:rFonts w:eastAsia="Times New Roman"/>
                <w:color w:val="000000"/>
              </w:rPr>
            </w:pPr>
            <w:r w:rsidRPr="004220E0">
              <w:t>28</w:t>
            </w:r>
          </w:p>
        </w:tc>
        <w:tc>
          <w:tcPr>
            <w:tcW w:w="1186" w:type="dxa"/>
            <w:tcBorders>
              <w:top w:val="nil"/>
              <w:left w:val="nil"/>
              <w:bottom w:val="single" w:sz="4" w:space="0" w:color="auto"/>
              <w:right w:val="single" w:sz="4" w:space="0" w:color="auto"/>
            </w:tcBorders>
            <w:noWrap/>
            <w:hideMark/>
          </w:tcPr>
          <w:p w:rsidR="00756160" w:rsidRPr="008F486F" w14:paraId="7454D888" w14:textId="77777777">
            <w:pPr>
              <w:jc w:val="center"/>
              <w:rPr>
                <w:rFonts w:eastAsia="Times New Roman"/>
                <w:color w:val="000000"/>
              </w:rPr>
            </w:pPr>
            <w:r w:rsidRPr="004220E0">
              <w:t>2</w:t>
            </w:r>
          </w:p>
        </w:tc>
      </w:tr>
      <w:tr w14:paraId="0D977438" w14:textId="77777777">
        <w:tblPrEx>
          <w:tblW w:w="9360" w:type="dxa"/>
          <w:tblLook w:val="04A0"/>
        </w:tblPrEx>
        <w:trPr>
          <w:trHeight w:val="280"/>
        </w:trPr>
        <w:tc>
          <w:tcPr>
            <w:tcW w:w="1185" w:type="dxa"/>
            <w:tcBorders>
              <w:top w:val="nil"/>
              <w:left w:val="single" w:sz="4" w:space="0" w:color="auto"/>
              <w:bottom w:val="single" w:sz="4" w:space="0" w:color="auto"/>
              <w:right w:val="single" w:sz="4" w:space="0" w:color="auto"/>
            </w:tcBorders>
            <w:noWrap/>
            <w:vAlign w:val="center"/>
            <w:hideMark/>
          </w:tcPr>
          <w:p w:rsidR="00756160" w:rsidRPr="008F486F" w14:paraId="0B0DFAE0" w14:textId="77777777">
            <w:pPr>
              <w:jc w:val="center"/>
              <w:rPr>
                <w:rFonts w:eastAsia="Times New Roman"/>
                <w:color w:val="000000"/>
              </w:rPr>
            </w:pPr>
            <w:r w:rsidRPr="008F486F">
              <w:rPr>
                <w:rFonts w:eastAsia="Times New Roman"/>
                <w:color w:val="000000"/>
              </w:rPr>
              <w:t>2045</w:t>
            </w:r>
          </w:p>
        </w:tc>
        <w:tc>
          <w:tcPr>
            <w:tcW w:w="1599" w:type="dxa"/>
            <w:tcBorders>
              <w:top w:val="nil"/>
              <w:left w:val="nil"/>
              <w:bottom w:val="single" w:sz="4" w:space="0" w:color="auto"/>
              <w:right w:val="single" w:sz="4" w:space="0" w:color="auto"/>
            </w:tcBorders>
            <w:noWrap/>
            <w:hideMark/>
          </w:tcPr>
          <w:p w:rsidR="00756160" w:rsidRPr="008F486F" w14:paraId="325E1EF2" w14:textId="77777777">
            <w:pPr>
              <w:jc w:val="center"/>
              <w:rPr>
                <w:rFonts w:eastAsia="Times New Roman"/>
                <w:color w:val="000000"/>
              </w:rPr>
            </w:pPr>
            <w:r w:rsidRPr="004220E0">
              <w:t>147</w:t>
            </w:r>
          </w:p>
        </w:tc>
        <w:tc>
          <w:tcPr>
            <w:tcW w:w="1186" w:type="dxa"/>
            <w:tcBorders>
              <w:top w:val="nil"/>
              <w:left w:val="nil"/>
              <w:bottom w:val="single" w:sz="4" w:space="0" w:color="auto"/>
              <w:right w:val="single" w:sz="4" w:space="0" w:color="auto"/>
            </w:tcBorders>
            <w:noWrap/>
            <w:hideMark/>
          </w:tcPr>
          <w:p w:rsidR="00756160" w:rsidRPr="008F486F" w14:paraId="5FD5ECE6" w14:textId="77777777">
            <w:pPr>
              <w:jc w:val="center"/>
              <w:rPr>
                <w:rFonts w:eastAsia="Times New Roman"/>
                <w:color w:val="000000"/>
              </w:rPr>
            </w:pPr>
            <w:r w:rsidRPr="004220E0">
              <w:t>23</w:t>
            </w:r>
          </w:p>
        </w:tc>
        <w:tc>
          <w:tcPr>
            <w:tcW w:w="1558" w:type="dxa"/>
            <w:tcBorders>
              <w:top w:val="nil"/>
              <w:left w:val="nil"/>
              <w:bottom w:val="single" w:sz="4" w:space="0" w:color="auto"/>
              <w:right w:val="single" w:sz="4" w:space="0" w:color="auto"/>
            </w:tcBorders>
            <w:noWrap/>
            <w:hideMark/>
          </w:tcPr>
          <w:p w:rsidR="00756160" w:rsidRPr="008F486F" w14:paraId="2CEE1C3B" w14:textId="77777777">
            <w:pPr>
              <w:jc w:val="center"/>
              <w:rPr>
                <w:rFonts w:eastAsia="Times New Roman"/>
                <w:color w:val="000000"/>
              </w:rPr>
            </w:pPr>
            <w:r w:rsidRPr="004220E0">
              <w:t>22</w:t>
            </w:r>
          </w:p>
        </w:tc>
        <w:tc>
          <w:tcPr>
            <w:tcW w:w="1460" w:type="dxa"/>
            <w:tcBorders>
              <w:top w:val="nil"/>
              <w:left w:val="nil"/>
              <w:bottom w:val="single" w:sz="4" w:space="0" w:color="auto"/>
              <w:right w:val="single" w:sz="4" w:space="0" w:color="auto"/>
            </w:tcBorders>
            <w:noWrap/>
            <w:hideMark/>
          </w:tcPr>
          <w:p w:rsidR="00756160" w:rsidRPr="008F486F" w14:paraId="45BDD3C2" w14:textId="77777777">
            <w:pPr>
              <w:jc w:val="center"/>
              <w:rPr>
                <w:rFonts w:eastAsia="Times New Roman"/>
                <w:color w:val="000000"/>
              </w:rPr>
            </w:pPr>
            <w:r w:rsidRPr="004220E0">
              <w:t>1</w:t>
            </w:r>
          </w:p>
        </w:tc>
        <w:tc>
          <w:tcPr>
            <w:tcW w:w="1186" w:type="dxa"/>
            <w:tcBorders>
              <w:top w:val="nil"/>
              <w:left w:val="nil"/>
              <w:bottom w:val="single" w:sz="4" w:space="0" w:color="auto"/>
              <w:right w:val="single" w:sz="4" w:space="0" w:color="auto"/>
            </w:tcBorders>
            <w:noWrap/>
            <w:hideMark/>
          </w:tcPr>
          <w:p w:rsidR="00756160" w:rsidRPr="008F486F" w14:paraId="1E718887" w14:textId="77777777">
            <w:pPr>
              <w:jc w:val="center"/>
              <w:rPr>
                <w:rFonts w:eastAsia="Times New Roman"/>
                <w:color w:val="000000"/>
              </w:rPr>
            </w:pPr>
            <w:r w:rsidRPr="004220E0">
              <w:t>28</w:t>
            </w:r>
          </w:p>
        </w:tc>
        <w:tc>
          <w:tcPr>
            <w:tcW w:w="1186" w:type="dxa"/>
            <w:tcBorders>
              <w:top w:val="nil"/>
              <w:left w:val="nil"/>
              <w:bottom w:val="single" w:sz="4" w:space="0" w:color="auto"/>
              <w:right w:val="single" w:sz="4" w:space="0" w:color="auto"/>
            </w:tcBorders>
            <w:noWrap/>
            <w:hideMark/>
          </w:tcPr>
          <w:p w:rsidR="00756160" w:rsidRPr="008F486F" w14:paraId="048F6EB9" w14:textId="77777777">
            <w:pPr>
              <w:jc w:val="center"/>
              <w:rPr>
                <w:rFonts w:eastAsia="Times New Roman"/>
                <w:color w:val="000000"/>
              </w:rPr>
            </w:pPr>
            <w:r w:rsidRPr="004220E0">
              <w:t>0</w:t>
            </w:r>
          </w:p>
        </w:tc>
      </w:tr>
    </w:tbl>
    <w:p w:rsidR="00756160" w:rsidRPr="008F486F" w:rsidP="00756160" w14:paraId="065246FD" w14:textId="77777777"/>
    <w:p w:rsidR="00756160" w:rsidP="00756160" w14:paraId="1D7A05B2" w14:textId="77777777">
      <w:pPr>
        <w:widowControl w:val="0"/>
        <w:rPr>
          <w:b/>
          <w:bCs/>
        </w:rPr>
      </w:pPr>
      <w:bookmarkStart w:id="196" w:name="_Toc171197460"/>
      <w:bookmarkStart w:id="197" w:name="_Toc177045607"/>
      <w:bookmarkStart w:id="198" w:name="_Hlk177044905"/>
      <w:r>
        <w:br w:type="page"/>
      </w:r>
    </w:p>
    <w:p w:rsidR="00756160" w:rsidRPr="008F486F" w:rsidP="00756160" w14:paraId="6D393077" w14:textId="77777777">
      <w:pPr>
        <w:pStyle w:val="TableHeading"/>
        <w:rPr>
          <w:b w:val="0"/>
          <w:bCs w:val="0"/>
          <w:i/>
          <w:iCs/>
        </w:rPr>
      </w:pPr>
      <w:bookmarkStart w:id="199" w:name="_Toc222796259"/>
      <w:r w:rsidRPr="008F486F">
        <w:t>Table A-</w:t>
      </w:r>
      <w:r w:rsidR="00B80CCF">
        <w:fldChar w:fldCharType="begin"/>
      </w:r>
      <w:r w:rsidR="00B80CCF">
        <w:instrText xml:space="preserve"> SEQ Table \* ARABIC </w:instrText>
      </w:r>
      <w:r w:rsidR="00B80CCF">
        <w:fldChar w:fldCharType="separate"/>
      </w:r>
      <w:r w:rsidRPr="008F486F">
        <w:rPr>
          <w:noProof/>
        </w:rPr>
        <w:t>2</w:t>
      </w:r>
      <w:r w:rsidR="00B80CCF">
        <w:rPr>
          <w:noProof/>
        </w:rPr>
        <w:fldChar w:fldCharType="end"/>
      </w:r>
      <w:r w:rsidRPr="008F486F">
        <w:t xml:space="preserve"> </w:t>
      </w:r>
      <w:r w:rsidRPr="008F486F">
        <w:tab/>
      </w:r>
      <w:r>
        <w:t xml:space="preserve">Alternative 1 </w:t>
      </w:r>
      <w:r w:rsidRPr="008F486F">
        <w:t xml:space="preserve">Benefit and Costs by Year During Period of </w:t>
      </w:r>
      <w:r w:rsidRPr="006D7B92">
        <w:t>Analysis</w:t>
      </w:r>
      <w:bookmarkEnd w:id="196"/>
      <w:bookmarkEnd w:id="197"/>
      <w:bookmarkEnd w:id="199"/>
    </w:p>
    <w:tbl>
      <w:tblPr>
        <w:tblW w:w="8935" w:type="dxa"/>
        <w:tblLook w:val="04A0"/>
      </w:tblPr>
      <w:tblGrid>
        <w:gridCol w:w="1040"/>
        <w:gridCol w:w="1721"/>
        <w:gridCol w:w="1293"/>
        <w:gridCol w:w="1721"/>
        <w:gridCol w:w="1400"/>
        <w:gridCol w:w="1760"/>
      </w:tblGrid>
      <w:tr w14:paraId="7D90D960" w14:textId="77777777">
        <w:tblPrEx>
          <w:tblW w:w="8935" w:type="dxa"/>
          <w:tblLook w:val="04A0"/>
        </w:tblPrEx>
        <w:trPr>
          <w:trHeight w:val="300"/>
        </w:trPr>
        <w:tc>
          <w:tcPr>
            <w:tcW w:w="1040" w:type="dxa"/>
            <w:vMerge w:val="restart"/>
            <w:tcBorders>
              <w:top w:val="single" w:sz="4" w:space="0" w:color="auto"/>
              <w:left w:val="single" w:sz="4" w:space="0" w:color="auto"/>
              <w:bottom w:val="single" w:sz="4" w:space="0" w:color="auto"/>
              <w:right w:val="single" w:sz="4" w:space="0" w:color="auto"/>
            </w:tcBorders>
            <w:noWrap/>
            <w:vAlign w:val="bottom"/>
            <w:hideMark/>
          </w:tcPr>
          <w:bookmarkEnd w:id="198"/>
          <w:p w:rsidR="00756160" w:rsidRPr="00895A1D" w14:paraId="460524EA" w14:textId="77777777">
            <w:pPr>
              <w:autoSpaceDE/>
              <w:autoSpaceDN/>
              <w:rPr>
                <w:rFonts w:eastAsia="Times New Roman"/>
                <w:color w:val="000000"/>
              </w:rPr>
            </w:pPr>
            <w:r w:rsidRPr="00895A1D">
              <w:rPr>
                <w:rFonts w:eastAsia="Times New Roman"/>
                <w:color w:val="000000"/>
              </w:rPr>
              <w:t>Year</w:t>
            </w:r>
          </w:p>
        </w:tc>
        <w:tc>
          <w:tcPr>
            <w:tcW w:w="3014" w:type="dxa"/>
            <w:gridSpan w:val="2"/>
            <w:tcBorders>
              <w:top w:val="single" w:sz="4" w:space="0" w:color="auto"/>
              <w:left w:val="nil"/>
              <w:bottom w:val="single" w:sz="4" w:space="0" w:color="auto"/>
              <w:right w:val="single" w:sz="4" w:space="0" w:color="auto"/>
            </w:tcBorders>
            <w:vAlign w:val="bottom"/>
            <w:hideMark/>
          </w:tcPr>
          <w:p w:rsidR="00756160" w:rsidRPr="00895A1D" w14:paraId="4E65FD33" w14:textId="77777777">
            <w:pPr>
              <w:autoSpaceDE/>
              <w:autoSpaceDN/>
              <w:jc w:val="center"/>
              <w:rPr>
                <w:rFonts w:eastAsia="Times New Roman"/>
                <w:color w:val="000000"/>
              </w:rPr>
            </w:pPr>
            <w:r w:rsidRPr="00895A1D">
              <w:rPr>
                <w:rFonts w:eastAsia="Times New Roman"/>
                <w:color w:val="000000"/>
              </w:rPr>
              <w:t>Agreement States</w:t>
            </w:r>
          </w:p>
        </w:tc>
        <w:tc>
          <w:tcPr>
            <w:tcW w:w="3121" w:type="dxa"/>
            <w:gridSpan w:val="2"/>
            <w:tcBorders>
              <w:top w:val="single" w:sz="4" w:space="0" w:color="auto"/>
              <w:left w:val="nil"/>
              <w:bottom w:val="single" w:sz="4" w:space="0" w:color="auto"/>
              <w:right w:val="single" w:sz="4" w:space="0" w:color="auto"/>
            </w:tcBorders>
            <w:vAlign w:val="bottom"/>
            <w:hideMark/>
          </w:tcPr>
          <w:p w:rsidR="00756160" w:rsidRPr="00895A1D" w14:paraId="39AF5F5A" w14:textId="77777777">
            <w:pPr>
              <w:autoSpaceDE/>
              <w:autoSpaceDN/>
              <w:jc w:val="center"/>
              <w:rPr>
                <w:rFonts w:eastAsia="Times New Roman"/>
                <w:color w:val="000000"/>
              </w:rPr>
            </w:pPr>
            <w:r w:rsidRPr="00895A1D">
              <w:rPr>
                <w:rFonts w:eastAsia="Times New Roman"/>
                <w:color w:val="000000"/>
              </w:rPr>
              <w:t>NRC</w:t>
            </w:r>
          </w:p>
        </w:tc>
        <w:tc>
          <w:tcPr>
            <w:tcW w:w="1760" w:type="dxa"/>
            <w:tcBorders>
              <w:top w:val="single" w:sz="4" w:space="0" w:color="auto"/>
              <w:left w:val="nil"/>
              <w:bottom w:val="single" w:sz="4" w:space="0" w:color="auto"/>
              <w:right w:val="single" w:sz="4" w:space="0" w:color="auto"/>
            </w:tcBorders>
            <w:vAlign w:val="bottom"/>
            <w:hideMark/>
          </w:tcPr>
          <w:p w:rsidR="00756160" w:rsidRPr="00895A1D" w14:paraId="17E9C0A9" w14:textId="77777777">
            <w:pPr>
              <w:autoSpaceDE/>
              <w:autoSpaceDN/>
              <w:jc w:val="center"/>
              <w:rPr>
                <w:rFonts w:eastAsia="Times New Roman"/>
                <w:color w:val="000000"/>
              </w:rPr>
            </w:pPr>
            <w:r w:rsidRPr="00895A1D">
              <w:rPr>
                <w:rFonts w:eastAsia="Times New Roman"/>
                <w:color w:val="000000"/>
              </w:rPr>
              <w:t>Industry</w:t>
            </w:r>
          </w:p>
        </w:tc>
      </w:tr>
      <w:tr w14:paraId="1D7BD381" w14:textId="77777777">
        <w:tblPrEx>
          <w:tblW w:w="8935" w:type="dxa"/>
          <w:tblLook w:val="04A0"/>
        </w:tblPrEx>
        <w:trPr>
          <w:trHeight w:val="29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56160" w:rsidRPr="00895A1D" w14:paraId="38F02ABE" w14:textId="77777777">
            <w:pPr>
              <w:autoSpaceDE/>
              <w:autoSpaceDN/>
              <w:rPr>
                <w:rFonts w:eastAsia="Times New Roman"/>
                <w:color w:val="000000"/>
              </w:rPr>
            </w:pPr>
          </w:p>
        </w:tc>
        <w:tc>
          <w:tcPr>
            <w:tcW w:w="1721" w:type="dxa"/>
            <w:tcBorders>
              <w:top w:val="nil"/>
              <w:left w:val="nil"/>
              <w:bottom w:val="single" w:sz="4" w:space="0" w:color="auto"/>
              <w:right w:val="single" w:sz="4" w:space="0" w:color="auto"/>
            </w:tcBorders>
            <w:vAlign w:val="bottom"/>
            <w:hideMark/>
          </w:tcPr>
          <w:p w:rsidR="00756160" w:rsidRPr="00895A1D" w14:paraId="70A48008" w14:textId="77777777">
            <w:pPr>
              <w:autoSpaceDE/>
              <w:autoSpaceDN/>
              <w:jc w:val="center"/>
              <w:rPr>
                <w:rFonts w:eastAsia="Times New Roman"/>
                <w:color w:val="000000"/>
              </w:rPr>
            </w:pPr>
            <w:r w:rsidRPr="00895A1D">
              <w:rPr>
                <w:rFonts w:eastAsia="Times New Roman"/>
                <w:color w:val="000000"/>
              </w:rPr>
              <w:t>Costs</w:t>
            </w:r>
          </w:p>
        </w:tc>
        <w:tc>
          <w:tcPr>
            <w:tcW w:w="1293" w:type="dxa"/>
            <w:tcBorders>
              <w:top w:val="nil"/>
              <w:left w:val="nil"/>
              <w:bottom w:val="single" w:sz="4" w:space="0" w:color="auto"/>
              <w:right w:val="single" w:sz="4" w:space="0" w:color="auto"/>
            </w:tcBorders>
            <w:vAlign w:val="bottom"/>
            <w:hideMark/>
          </w:tcPr>
          <w:p w:rsidR="00756160" w:rsidRPr="00895A1D" w14:paraId="71D097E8" w14:textId="77777777">
            <w:pPr>
              <w:autoSpaceDE/>
              <w:autoSpaceDN/>
              <w:jc w:val="center"/>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noWrap/>
            <w:vAlign w:val="bottom"/>
            <w:hideMark/>
          </w:tcPr>
          <w:p w:rsidR="00756160" w:rsidRPr="00895A1D" w14:paraId="6A6099C9" w14:textId="77777777">
            <w:pPr>
              <w:autoSpaceDE/>
              <w:autoSpaceDN/>
              <w:jc w:val="center"/>
              <w:rPr>
                <w:rFonts w:eastAsia="Times New Roman"/>
                <w:color w:val="000000"/>
              </w:rPr>
            </w:pPr>
            <w:r w:rsidRPr="00895A1D">
              <w:rPr>
                <w:rFonts w:eastAsia="Times New Roman"/>
                <w:color w:val="000000"/>
              </w:rPr>
              <w:t>Costs</w:t>
            </w:r>
          </w:p>
        </w:tc>
        <w:tc>
          <w:tcPr>
            <w:tcW w:w="1400" w:type="dxa"/>
            <w:tcBorders>
              <w:top w:val="nil"/>
              <w:left w:val="nil"/>
              <w:bottom w:val="single" w:sz="4" w:space="0" w:color="auto"/>
              <w:right w:val="single" w:sz="4" w:space="0" w:color="auto"/>
            </w:tcBorders>
            <w:noWrap/>
            <w:vAlign w:val="bottom"/>
            <w:hideMark/>
          </w:tcPr>
          <w:p w:rsidR="00756160" w:rsidRPr="00895A1D" w14:paraId="16F8B3A0" w14:textId="77777777">
            <w:pPr>
              <w:autoSpaceDE/>
              <w:autoSpaceDN/>
              <w:jc w:val="center"/>
              <w:rPr>
                <w:rFonts w:eastAsia="Times New Roman"/>
                <w:color w:val="000000"/>
              </w:rPr>
            </w:pPr>
            <w:r w:rsidRPr="00895A1D">
              <w:rPr>
                <w:rFonts w:eastAsia="Times New Roman"/>
                <w:color w:val="000000"/>
              </w:rPr>
              <w:t>Benefits</w:t>
            </w:r>
          </w:p>
        </w:tc>
        <w:tc>
          <w:tcPr>
            <w:tcW w:w="1760" w:type="dxa"/>
            <w:tcBorders>
              <w:top w:val="nil"/>
              <w:left w:val="nil"/>
              <w:bottom w:val="single" w:sz="4" w:space="0" w:color="auto"/>
              <w:right w:val="single" w:sz="4" w:space="0" w:color="auto"/>
            </w:tcBorders>
            <w:noWrap/>
            <w:vAlign w:val="bottom"/>
            <w:hideMark/>
          </w:tcPr>
          <w:p w:rsidR="00756160" w:rsidRPr="00895A1D" w14:paraId="5E0FC169" w14:textId="77777777">
            <w:pPr>
              <w:autoSpaceDE/>
              <w:autoSpaceDN/>
              <w:jc w:val="center"/>
              <w:rPr>
                <w:rFonts w:eastAsia="Times New Roman"/>
                <w:color w:val="000000"/>
              </w:rPr>
            </w:pPr>
            <w:r w:rsidRPr="00895A1D">
              <w:rPr>
                <w:rFonts w:eastAsia="Times New Roman"/>
                <w:color w:val="000000"/>
              </w:rPr>
              <w:t>Benefits</w:t>
            </w:r>
          </w:p>
        </w:tc>
      </w:tr>
      <w:tr w14:paraId="7A2B3298" w14:textId="77777777">
        <w:tblPrEx>
          <w:tblW w:w="8935" w:type="dxa"/>
          <w:tblLook w:val="04A0"/>
        </w:tblPrEx>
        <w:trPr>
          <w:trHeight w:val="2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756160" w:rsidRPr="00895A1D" w14:paraId="326DC718" w14:textId="77777777">
            <w:pPr>
              <w:autoSpaceDE/>
              <w:autoSpaceDN/>
              <w:rPr>
                <w:rFonts w:eastAsia="Times New Roman"/>
                <w:color w:val="000000"/>
              </w:rPr>
            </w:pPr>
          </w:p>
        </w:tc>
        <w:tc>
          <w:tcPr>
            <w:tcW w:w="1721" w:type="dxa"/>
            <w:tcBorders>
              <w:top w:val="nil"/>
              <w:left w:val="nil"/>
              <w:bottom w:val="single" w:sz="4" w:space="0" w:color="auto"/>
              <w:right w:val="single" w:sz="4" w:space="0" w:color="auto"/>
            </w:tcBorders>
            <w:vAlign w:val="bottom"/>
            <w:hideMark/>
          </w:tcPr>
          <w:p w:rsidR="00756160" w:rsidRPr="00895A1D" w14:paraId="387BA548" w14:textId="77777777">
            <w:pPr>
              <w:autoSpaceDE/>
              <w:autoSpaceDN/>
              <w:jc w:val="center"/>
              <w:rPr>
                <w:rFonts w:eastAsia="Times New Roman"/>
                <w:color w:val="000000"/>
              </w:rPr>
            </w:pPr>
            <w:r w:rsidRPr="00895A1D">
              <w:rPr>
                <w:rFonts w:eastAsia="Times New Roman"/>
                <w:color w:val="000000"/>
              </w:rPr>
              <w:t>Implementation</w:t>
            </w:r>
          </w:p>
        </w:tc>
        <w:tc>
          <w:tcPr>
            <w:tcW w:w="1293" w:type="dxa"/>
            <w:tcBorders>
              <w:top w:val="nil"/>
              <w:left w:val="nil"/>
              <w:bottom w:val="single" w:sz="4" w:space="0" w:color="auto"/>
              <w:right w:val="single" w:sz="4" w:space="0" w:color="auto"/>
            </w:tcBorders>
            <w:vAlign w:val="bottom"/>
            <w:hideMark/>
          </w:tcPr>
          <w:p w:rsidR="00756160" w:rsidRPr="00895A1D" w14:paraId="7A809285" w14:textId="77777777">
            <w:pPr>
              <w:autoSpaceDE/>
              <w:autoSpaceDN/>
              <w:jc w:val="center"/>
              <w:rPr>
                <w:rFonts w:eastAsia="Times New Roman"/>
                <w:color w:val="000000"/>
              </w:rPr>
            </w:pPr>
            <w:r w:rsidRPr="00895A1D">
              <w:rPr>
                <w:rFonts w:eastAsia="Times New Roman"/>
                <w:color w:val="000000"/>
              </w:rPr>
              <w:t>Operations</w:t>
            </w:r>
          </w:p>
        </w:tc>
        <w:tc>
          <w:tcPr>
            <w:tcW w:w="1721" w:type="dxa"/>
            <w:tcBorders>
              <w:top w:val="nil"/>
              <w:left w:val="nil"/>
              <w:bottom w:val="single" w:sz="4" w:space="0" w:color="auto"/>
              <w:right w:val="single" w:sz="4" w:space="0" w:color="auto"/>
            </w:tcBorders>
            <w:vAlign w:val="bottom"/>
            <w:hideMark/>
          </w:tcPr>
          <w:p w:rsidR="00756160" w:rsidRPr="00895A1D" w14:paraId="3181F094" w14:textId="77777777">
            <w:pPr>
              <w:autoSpaceDE/>
              <w:autoSpaceDN/>
              <w:jc w:val="center"/>
              <w:rPr>
                <w:rFonts w:eastAsia="Times New Roman"/>
                <w:color w:val="000000"/>
              </w:rPr>
            </w:pPr>
            <w:r w:rsidRPr="00895A1D">
              <w:rPr>
                <w:rFonts w:eastAsia="Times New Roman"/>
                <w:color w:val="000000"/>
              </w:rPr>
              <w:t>Implementation</w:t>
            </w:r>
          </w:p>
        </w:tc>
        <w:tc>
          <w:tcPr>
            <w:tcW w:w="1400" w:type="dxa"/>
            <w:tcBorders>
              <w:top w:val="nil"/>
              <w:left w:val="nil"/>
              <w:bottom w:val="single" w:sz="4" w:space="0" w:color="auto"/>
              <w:right w:val="single" w:sz="4" w:space="0" w:color="auto"/>
            </w:tcBorders>
            <w:vAlign w:val="bottom"/>
            <w:hideMark/>
          </w:tcPr>
          <w:p w:rsidR="00756160" w:rsidRPr="00895A1D" w14:paraId="60F725C5" w14:textId="77777777">
            <w:pPr>
              <w:autoSpaceDE/>
              <w:autoSpaceDN/>
              <w:jc w:val="center"/>
              <w:rPr>
                <w:rFonts w:eastAsia="Times New Roman"/>
                <w:color w:val="000000"/>
              </w:rPr>
            </w:pPr>
            <w:r w:rsidRPr="00895A1D">
              <w:rPr>
                <w:rFonts w:eastAsia="Times New Roman"/>
                <w:color w:val="000000"/>
              </w:rPr>
              <w:t>Operations</w:t>
            </w:r>
          </w:p>
        </w:tc>
        <w:tc>
          <w:tcPr>
            <w:tcW w:w="1760" w:type="dxa"/>
            <w:tcBorders>
              <w:top w:val="nil"/>
              <w:left w:val="nil"/>
              <w:bottom w:val="single" w:sz="4" w:space="0" w:color="auto"/>
              <w:right w:val="single" w:sz="4" w:space="0" w:color="auto"/>
            </w:tcBorders>
            <w:vAlign w:val="bottom"/>
            <w:hideMark/>
          </w:tcPr>
          <w:p w:rsidR="00756160" w:rsidRPr="00895A1D" w14:paraId="0470E5C4" w14:textId="77777777">
            <w:pPr>
              <w:autoSpaceDE/>
              <w:autoSpaceDN/>
              <w:jc w:val="center"/>
              <w:rPr>
                <w:rFonts w:eastAsia="Times New Roman"/>
                <w:color w:val="000000"/>
              </w:rPr>
            </w:pPr>
            <w:r w:rsidRPr="00895A1D">
              <w:rPr>
                <w:rFonts w:eastAsia="Times New Roman"/>
                <w:color w:val="000000"/>
              </w:rPr>
              <w:t>Operations</w:t>
            </w:r>
          </w:p>
        </w:tc>
      </w:tr>
      <w:tr w14:paraId="2535F01A"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6640D95E" w14:textId="77777777">
            <w:pPr>
              <w:autoSpaceDE/>
              <w:autoSpaceDN/>
              <w:jc w:val="right"/>
              <w:rPr>
                <w:rFonts w:eastAsia="Times New Roman"/>
                <w:color w:val="000000"/>
              </w:rPr>
            </w:pPr>
            <w:r w:rsidRPr="00895A1D">
              <w:rPr>
                <w:rFonts w:eastAsia="Times New Roman"/>
                <w:color w:val="000000"/>
              </w:rPr>
              <w:t>2025</w:t>
            </w:r>
          </w:p>
        </w:tc>
        <w:tc>
          <w:tcPr>
            <w:tcW w:w="1721" w:type="dxa"/>
            <w:tcBorders>
              <w:top w:val="nil"/>
              <w:left w:val="nil"/>
              <w:bottom w:val="single" w:sz="4" w:space="0" w:color="auto"/>
              <w:right w:val="single" w:sz="4" w:space="0" w:color="auto"/>
            </w:tcBorders>
            <w:noWrap/>
            <w:vAlign w:val="bottom"/>
            <w:hideMark/>
          </w:tcPr>
          <w:p w:rsidR="00756160" w:rsidRPr="00895A1D" w14:paraId="60DFD791"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noWrap/>
            <w:vAlign w:val="bottom"/>
            <w:hideMark/>
          </w:tcPr>
          <w:p w:rsidR="00756160" w:rsidRPr="00895A1D" w14:paraId="065DCF83"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noWrap/>
            <w:vAlign w:val="bottom"/>
            <w:hideMark/>
          </w:tcPr>
          <w:p w:rsidR="00756160" w:rsidRPr="00895A1D" w14:paraId="57EE9567" w14:textId="77777777">
            <w:pPr>
              <w:autoSpaceDE/>
              <w:autoSpaceDN/>
              <w:jc w:val="right"/>
              <w:rPr>
                <w:rFonts w:eastAsia="Times New Roman"/>
                <w:color w:val="000000"/>
              </w:rPr>
            </w:pPr>
            <w:r w:rsidRPr="00895A1D">
              <w:rPr>
                <w:rFonts w:eastAsia="Times New Roman"/>
                <w:color w:val="000000"/>
              </w:rPr>
              <w:t>($359,103)</w:t>
            </w:r>
          </w:p>
        </w:tc>
        <w:tc>
          <w:tcPr>
            <w:tcW w:w="1400" w:type="dxa"/>
            <w:tcBorders>
              <w:top w:val="nil"/>
              <w:left w:val="nil"/>
              <w:bottom w:val="single" w:sz="4" w:space="0" w:color="auto"/>
              <w:right w:val="single" w:sz="4" w:space="0" w:color="auto"/>
            </w:tcBorders>
            <w:noWrap/>
            <w:vAlign w:val="bottom"/>
            <w:hideMark/>
          </w:tcPr>
          <w:p w:rsidR="00756160" w:rsidRPr="00895A1D" w14:paraId="76E66ED3"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01368FC4" w14:textId="77777777">
            <w:pPr>
              <w:autoSpaceDE/>
              <w:autoSpaceDN/>
              <w:rPr>
                <w:rFonts w:eastAsia="Times New Roman"/>
                <w:color w:val="000000"/>
              </w:rPr>
            </w:pPr>
            <w:r w:rsidRPr="00895A1D">
              <w:rPr>
                <w:rFonts w:eastAsia="Times New Roman"/>
                <w:color w:val="000000"/>
              </w:rPr>
              <w:t> </w:t>
            </w:r>
          </w:p>
        </w:tc>
      </w:tr>
      <w:tr w14:paraId="471BB274"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2148DB22" w14:textId="77777777">
            <w:pPr>
              <w:autoSpaceDE/>
              <w:autoSpaceDN/>
              <w:jc w:val="right"/>
              <w:rPr>
                <w:rFonts w:eastAsia="Times New Roman"/>
                <w:color w:val="000000"/>
              </w:rPr>
            </w:pPr>
            <w:r w:rsidRPr="00895A1D">
              <w:rPr>
                <w:rFonts w:eastAsia="Times New Roman"/>
                <w:color w:val="000000"/>
              </w:rPr>
              <w:t>2026</w:t>
            </w:r>
          </w:p>
        </w:tc>
        <w:tc>
          <w:tcPr>
            <w:tcW w:w="1721" w:type="dxa"/>
            <w:tcBorders>
              <w:top w:val="nil"/>
              <w:left w:val="nil"/>
              <w:bottom w:val="single" w:sz="4" w:space="0" w:color="auto"/>
              <w:right w:val="single" w:sz="4" w:space="0" w:color="auto"/>
            </w:tcBorders>
            <w:noWrap/>
            <w:vAlign w:val="bottom"/>
            <w:hideMark/>
          </w:tcPr>
          <w:p w:rsidR="00756160" w:rsidRPr="00895A1D" w14:paraId="030B637C"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noWrap/>
            <w:vAlign w:val="bottom"/>
            <w:hideMark/>
          </w:tcPr>
          <w:p w:rsidR="00756160" w:rsidRPr="00895A1D" w14:paraId="66F449C0"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noWrap/>
            <w:vAlign w:val="bottom"/>
            <w:hideMark/>
          </w:tcPr>
          <w:p w:rsidR="00756160" w:rsidRPr="00895A1D" w14:paraId="44BE27B3"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4E05E820"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53A6F541" w14:textId="77777777">
            <w:pPr>
              <w:autoSpaceDE/>
              <w:autoSpaceDN/>
              <w:rPr>
                <w:rFonts w:eastAsia="Times New Roman"/>
                <w:color w:val="000000"/>
              </w:rPr>
            </w:pPr>
            <w:r w:rsidRPr="00895A1D">
              <w:rPr>
                <w:rFonts w:eastAsia="Times New Roman"/>
                <w:color w:val="000000"/>
              </w:rPr>
              <w:t> </w:t>
            </w:r>
          </w:p>
        </w:tc>
      </w:tr>
      <w:tr w14:paraId="3F81BF1C"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0C99DEF1" w14:textId="77777777">
            <w:pPr>
              <w:autoSpaceDE/>
              <w:autoSpaceDN/>
              <w:jc w:val="right"/>
              <w:rPr>
                <w:rFonts w:eastAsia="Times New Roman"/>
                <w:color w:val="000000"/>
              </w:rPr>
            </w:pPr>
            <w:r w:rsidRPr="00895A1D">
              <w:rPr>
                <w:rFonts w:eastAsia="Times New Roman"/>
                <w:color w:val="000000"/>
              </w:rPr>
              <w:t>2027</w:t>
            </w:r>
          </w:p>
        </w:tc>
        <w:tc>
          <w:tcPr>
            <w:tcW w:w="1721" w:type="dxa"/>
            <w:tcBorders>
              <w:top w:val="nil"/>
              <w:left w:val="nil"/>
              <w:bottom w:val="single" w:sz="4" w:space="0" w:color="auto"/>
              <w:right w:val="single" w:sz="4" w:space="0" w:color="auto"/>
            </w:tcBorders>
            <w:noWrap/>
            <w:vAlign w:val="bottom"/>
            <w:hideMark/>
          </w:tcPr>
          <w:p w:rsidR="00756160" w:rsidRPr="00895A1D" w14:paraId="060A6C04"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58DE8C39"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noWrap/>
            <w:vAlign w:val="bottom"/>
            <w:hideMark/>
          </w:tcPr>
          <w:p w:rsidR="00756160" w:rsidRPr="00895A1D" w14:paraId="6CB65E71"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2B51F8EF"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02C7A140" w14:textId="77777777">
            <w:pPr>
              <w:autoSpaceDE/>
              <w:autoSpaceDN/>
              <w:jc w:val="right"/>
              <w:rPr>
                <w:rFonts w:eastAsia="Times New Roman"/>
                <w:color w:val="000000"/>
              </w:rPr>
            </w:pPr>
            <w:r w:rsidRPr="00895A1D">
              <w:rPr>
                <w:rFonts w:eastAsia="Times New Roman"/>
                <w:color w:val="000000"/>
              </w:rPr>
              <w:t xml:space="preserve">$48,452 </w:t>
            </w:r>
          </w:p>
        </w:tc>
      </w:tr>
      <w:tr w14:paraId="64705B27"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6F8D6B1D" w14:textId="77777777">
            <w:pPr>
              <w:autoSpaceDE/>
              <w:autoSpaceDN/>
              <w:jc w:val="right"/>
              <w:rPr>
                <w:rFonts w:eastAsia="Times New Roman"/>
                <w:color w:val="000000"/>
              </w:rPr>
            </w:pPr>
            <w:r w:rsidRPr="00895A1D">
              <w:rPr>
                <w:rFonts w:eastAsia="Times New Roman"/>
                <w:color w:val="000000"/>
              </w:rPr>
              <w:t>2028</w:t>
            </w:r>
          </w:p>
        </w:tc>
        <w:tc>
          <w:tcPr>
            <w:tcW w:w="1721" w:type="dxa"/>
            <w:tcBorders>
              <w:top w:val="nil"/>
              <w:left w:val="nil"/>
              <w:bottom w:val="single" w:sz="4" w:space="0" w:color="auto"/>
              <w:right w:val="single" w:sz="4" w:space="0" w:color="auto"/>
            </w:tcBorders>
            <w:noWrap/>
            <w:vAlign w:val="bottom"/>
            <w:hideMark/>
          </w:tcPr>
          <w:p w:rsidR="00756160" w:rsidRPr="00895A1D" w14:paraId="1F53357E"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5637E349"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noWrap/>
            <w:vAlign w:val="bottom"/>
            <w:hideMark/>
          </w:tcPr>
          <w:p w:rsidR="00756160" w:rsidRPr="00895A1D" w14:paraId="3917506B"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4E74FE19"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7944EE21" w14:textId="77777777">
            <w:pPr>
              <w:autoSpaceDE/>
              <w:autoSpaceDN/>
              <w:jc w:val="right"/>
              <w:rPr>
                <w:rFonts w:eastAsia="Times New Roman"/>
                <w:color w:val="000000"/>
              </w:rPr>
            </w:pPr>
            <w:r w:rsidRPr="00895A1D">
              <w:rPr>
                <w:rFonts w:eastAsia="Times New Roman"/>
                <w:color w:val="000000"/>
              </w:rPr>
              <w:t xml:space="preserve">$48,452 </w:t>
            </w:r>
          </w:p>
        </w:tc>
      </w:tr>
      <w:tr w14:paraId="20CFCA35"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4565C80D" w14:textId="77777777">
            <w:pPr>
              <w:autoSpaceDE/>
              <w:autoSpaceDN/>
              <w:jc w:val="right"/>
              <w:rPr>
                <w:rFonts w:eastAsia="Times New Roman"/>
                <w:color w:val="000000"/>
              </w:rPr>
            </w:pPr>
            <w:r w:rsidRPr="00895A1D">
              <w:rPr>
                <w:rFonts w:eastAsia="Times New Roman"/>
                <w:color w:val="000000"/>
              </w:rPr>
              <w:t>2029</w:t>
            </w:r>
          </w:p>
        </w:tc>
        <w:tc>
          <w:tcPr>
            <w:tcW w:w="1721" w:type="dxa"/>
            <w:tcBorders>
              <w:top w:val="nil"/>
              <w:left w:val="nil"/>
              <w:bottom w:val="single" w:sz="4" w:space="0" w:color="auto"/>
              <w:right w:val="single" w:sz="4" w:space="0" w:color="auto"/>
            </w:tcBorders>
            <w:noWrap/>
            <w:vAlign w:val="bottom"/>
            <w:hideMark/>
          </w:tcPr>
          <w:p w:rsidR="00756160" w:rsidRPr="00895A1D" w14:paraId="6CB86F3D"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7A90732A"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noWrap/>
            <w:vAlign w:val="bottom"/>
            <w:hideMark/>
          </w:tcPr>
          <w:p w:rsidR="00756160" w:rsidRPr="00895A1D" w14:paraId="129F03C7"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7960A3F5"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0B7EF6D4" w14:textId="77777777">
            <w:pPr>
              <w:autoSpaceDE/>
              <w:autoSpaceDN/>
              <w:jc w:val="right"/>
              <w:rPr>
                <w:rFonts w:eastAsia="Times New Roman"/>
                <w:color w:val="000000"/>
              </w:rPr>
            </w:pPr>
            <w:r w:rsidRPr="00895A1D">
              <w:rPr>
                <w:rFonts w:eastAsia="Times New Roman"/>
                <w:color w:val="000000"/>
              </w:rPr>
              <w:t xml:space="preserve">$48,452 </w:t>
            </w:r>
          </w:p>
        </w:tc>
      </w:tr>
      <w:tr w14:paraId="73694A3E"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5E8D06A7" w14:textId="77777777">
            <w:pPr>
              <w:autoSpaceDE/>
              <w:autoSpaceDN/>
              <w:jc w:val="right"/>
              <w:rPr>
                <w:rFonts w:eastAsia="Times New Roman"/>
                <w:color w:val="000000"/>
              </w:rPr>
            </w:pPr>
            <w:r w:rsidRPr="00895A1D">
              <w:rPr>
                <w:rFonts w:eastAsia="Times New Roman"/>
                <w:color w:val="000000"/>
              </w:rPr>
              <w:t>2030</w:t>
            </w:r>
          </w:p>
        </w:tc>
        <w:tc>
          <w:tcPr>
            <w:tcW w:w="1721" w:type="dxa"/>
            <w:tcBorders>
              <w:top w:val="nil"/>
              <w:left w:val="nil"/>
              <w:bottom w:val="single" w:sz="4" w:space="0" w:color="auto"/>
              <w:right w:val="single" w:sz="4" w:space="0" w:color="auto"/>
            </w:tcBorders>
            <w:noWrap/>
            <w:vAlign w:val="bottom"/>
            <w:hideMark/>
          </w:tcPr>
          <w:p w:rsidR="00756160" w:rsidRPr="00895A1D" w14:paraId="634525BC"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6EC57ACE"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noWrap/>
            <w:vAlign w:val="bottom"/>
            <w:hideMark/>
          </w:tcPr>
          <w:p w:rsidR="00756160" w:rsidRPr="00895A1D" w14:paraId="2905250D"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456B3312"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3C932117" w14:textId="77777777">
            <w:pPr>
              <w:autoSpaceDE/>
              <w:autoSpaceDN/>
              <w:jc w:val="right"/>
              <w:rPr>
                <w:rFonts w:eastAsia="Times New Roman"/>
                <w:color w:val="000000"/>
              </w:rPr>
            </w:pPr>
            <w:r w:rsidRPr="00895A1D">
              <w:rPr>
                <w:rFonts w:eastAsia="Times New Roman"/>
                <w:color w:val="000000"/>
              </w:rPr>
              <w:t xml:space="preserve">$48,452 </w:t>
            </w:r>
          </w:p>
        </w:tc>
      </w:tr>
      <w:tr w14:paraId="05052870"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29521307" w14:textId="77777777">
            <w:pPr>
              <w:autoSpaceDE/>
              <w:autoSpaceDN/>
              <w:jc w:val="right"/>
              <w:rPr>
                <w:rFonts w:eastAsia="Times New Roman"/>
                <w:color w:val="000000"/>
              </w:rPr>
            </w:pPr>
            <w:r w:rsidRPr="00895A1D">
              <w:rPr>
                <w:rFonts w:eastAsia="Times New Roman"/>
                <w:color w:val="000000"/>
              </w:rPr>
              <w:t>2031</w:t>
            </w:r>
          </w:p>
        </w:tc>
        <w:tc>
          <w:tcPr>
            <w:tcW w:w="1721" w:type="dxa"/>
            <w:tcBorders>
              <w:top w:val="nil"/>
              <w:left w:val="nil"/>
              <w:bottom w:val="single" w:sz="4" w:space="0" w:color="auto"/>
              <w:right w:val="single" w:sz="4" w:space="0" w:color="auto"/>
            </w:tcBorders>
            <w:noWrap/>
            <w:vAlign w:val="bottom"/>
            <w:hideMark/>
          </w:tcPr>
          <w:p w:rsidR="00756160" w:rsidRPr="00895A1D" w14:paraId="4CB0B99A"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32CD1C6B"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noWrap/>
            <w:vAlign w:val="bottom"/>
            <w:hideMark/>
          </w:tcPr>
          <w:p w:rsidR="00756160" w:rsidRPr="00895A1D" w14:paraId="01C7F5B0"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6F2918FB"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16B0504C" w14:textId="77777777">
            <w:pPr>
              <w:autoSpaceDE/>
              <w:autoSpaceDN/>
              <w:jc w:val="right"/>
              <w:rPr>
                <w:rFonts w:eastAsia="Times New Roman"/>
                <w:color w:val="000000"/>
              </w:rPr>
            </w:pPr>
            <w:r w:rsidRPr="00895A1D">
              <w:rPr>
                <w:rFonts w:eastAsia="Times New Roman"/>
                <w:color w:val="000000"/>
              </w:rPr>
              <w:t xml:space="preserve">$48,452 </w:t>
            </w:r>
          </w:p>
        </w:tc>
      </w:tr>
      <w:tr w14:paraId="27655F20"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31ED0656" w14:textId="77777777">
            <w:pPr>
              <w:autoSpaceDE/>
              <w:autoSpaceDN/>
              <w:jc w:val="right"/>
              <w:rPr>
                <w:rFonts w:eastAsia="Times New Roman"/>
                <w:color w:val="000000"/>
              </w:rPr>
            </w:pPr>
            <w:r w:rsidRPr="00895A1D">
              <w:rPr>
                <w:rFonts w:eastAsia="Times New Roman"/>
                <w:color w:val="000000"/>
              </w:rPr>
              <w:t>2032</w:t>
            </w:r>
          </w:p>
        </w:tc>
        <w:tc>
          <w:tcPr>
            <w:tcW w:w="1721" w:type="dxa"/>
            <w:tcBorders>
              <w:top w:val="nil"/>
              <w:left w:val="nil"/>
              <w:bottom w:val="single" w:sz="4" w:space="0" w:color="auto"/>
              <w:right w:val="single" w:sz="4" w:space="0" w:color="auto"/>
            </w:tcBorders>
            <w:noWrap/>
            <w:vAlign w:val="bottom"/>
            <w:hideMark/>
          </w:tcPr>
          <w:p w:rsidR="00756160" w:rsidRPr="00895A1D" w14:paraId="6D18ED2D"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noWrap/>
            <w:vAlign w:val="bottom"/>
            <w:hideMark/>
          </w:tcPr>
          <w:p w:rsidR="00756160" w:rsidRPr="00895A1D" w14:paraId="704FD2AD"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noWrap/>
            <w:vAlign w:val="bottom"/>
            <w:hideMark/>
          </w:tcPr>
          <w:p w:rsidR="00756160" w:rsidRPr="00895A1D" w14:paraId="41523673"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09FFC082"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3388EFD4" w14:textId="77777777">
            <w:pPr>
              <w:autoSpaceDE/>
              <w:autoSpaceDN/>
              <w:rPr>
                <w:rFonts w:eastAsia="Times New Roman"/>
                <w:color w:val="000000"/>
              </w:rPr>
            </w:pPr>
            <w:r w:rsidRPr="00895A1D">
              <w:rPr>
                <w:rFonts w:eastAsia="Times New Roman"/>
                <w:color w:val="000000"/>
              </w:rPr>
              <w:t> </w:t>
            </w:r>
          </w:p>
        </w:tc>
      </w:tr>
      <w:tr w14:paraId="1D3711F7"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76FF108F" w14:textId="77777777">
            <w:pPr>
              <w:autoSpaceDE/>
              <w:autoSpaceDN/>
              <w:jc w:val="right"/>
              <w:rPr>
                <w:rFonts w:eastAsia="Times New Roman"/>
                <w:color w:val="000000"/>
              </w:rPr>
            </w:pPr>
            <w:r w:rsidRPr="00895A1D">
              <w:rPr>
                <w:rFonts w:eastAsia="Times New Roman"/>
                <w:color w:val="000000"/>
              </w:rPr>
              <w:t>2033</w:t>
            </w:r>
          </w:p>
        </w:tc>
        <w:tc>
          <w:tcPr>
            <w:tcW w:w="1721" w:type="dxa"/>
            <w:tcBorders>
              <w:top w:val="nil"/>
              <w:left w:val="nil"/>
              <w:bottom w:val="single" w:sz="4" w:space="0" w:color="auto"/>
              <w:right w:val="single" w:sz="4" w:space="0" w:color="auto"/>
            </w:tcBorders>
            <w:noWrap/>
            <w:vAlign w:val="bottom"/>
            <w:hideMark/>
          </w:tcPr>
          <w:p w:rsidR="00756160" w:rsidRPr="00895A1D" w14:paraId="322B3829"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noWrap/>
            <w:vAlign w:val="bottom"/>
            <w:hideMark/>
          </w:tcPr>
          <w:p w:rsidR="00756160" w:rsidRPr="00895A1D" w14:paraId="3F163A43"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noWrap/>
            <w:vAlign w:val="bottom"/>
            <w:hideMark/>
          </w:tcPr>
          <w:p w:rsidR="00756160" w:rsidRPr="00895A1D" w14:paraId="52C5ED1D"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0E264409"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6D0CC038" w14:textId="77777777">
            <w:pPr>
              <w:autoSpaceDE/>
              <w:autoSpaceDN/>
              <w:rPr>
                <w:rFonts w:eastAsia="Times New Roman"/>
                <w:color w:val="000000"/>
              </w:rPr>
            </w:pPr>
            <w:r w:rsidRPr="00895A1D">
              <w:rPr>
                <w:rFonts w:eastAsia="Times New Roman"/>
                <w:color w:val="000000"/>
              </w:rPr>
              <w:t> </w:t>
            </w:r>
          </w:p>
        </w:tc>
      </w:tr>
      <w:tr w14:paraId="39A29C1E"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64B900AD" w14:textId="77777777">
            <w:pPr>
              <w:autoSpaceDE/>
              <w:autoSpaceDN/>
              <w:jc w:val="right"/>
              <w:rPr>
                <w:rFonts w:eastAsia="Times New Roman"/>
                <w:color w:val="000000"/>
              </w:rPr>
            </w:pPr>
            <w:r w:rsidRPr="00895A1D">
              <w:rPr>
                <w:rFonts w:eastAsia="Times New Roman"/>
                <w:color w:val="000000"/>
              </w:rPr>
              <w:t>2034</w:t>
            </w:r>
          </w:p>
        </w:tc>
        <w:tc>
          <w:tcPr>
            <w:tcW w:w="1721" w:type="dxa"/>
            <w:tcBorders>
              <w:top w:val="nil"/>
              <w:left w:val="nil"/>
              <w:bottom w:val="single" w:sz="4" w:space="0" w:color="auto"/>
              <w:right w:val="single" w:sz="4" w:space="0" w:color="auto"/>
            </w:tcBorders>
            <w:noWrap/>
            <w:vAlign w:val="bottom"/>
            <w:hideMark/>
          </w:tcPr>
          <w:p w:rsidR="00756160" w:rsidRPr="00895A1D" w14:paraId="285BE5C9"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noWrap/>
            <w:vAlign w:val="bottom"/>
            <w:hideMark/>
          </w:tcPr>
          <w:p w:rsidR="00756160" w:rsidRPr="00895A1D" w14:paraId="688B09F0" w14:textId="77777777">
            <w:pPr>
              <w:autoSpaceDE/>
              <w:autoSpaceDN/>
              <w:rPr>
                <w:rFonts w:eastAsia="Times New Roman"/>
                <w:color w:val="000000"/>
              </w:rPr>
            </w:pPr>
            <w:r w:rsidRPr="00895A1D">
              <w:rPr>
                <w:rFonts w:eastAsia="Times New Roman"/>
                <w:color w:val="000000"/>
              </w:rPr>
              <w:t> </w:t>
            </w:r>
          </w:p>
        </w:tc>
        <w:tc>
          <w:tcPr>
            <w:tcW w:w="1721" w:type="dxa"/>
            <w:tcBorders>
              <w:top w:val="nil"/>
              <w:left w:val="nil"/>
              <w:bottom w:val="single" w:sz="4" w:space="0" w:color="auto"/>
              <w:right w:val="single" w:sz="4" w:space="0" w:color="auto"/>
            </w:tcBorders>
            <w:noWrap/>
            <w:vAlign w:val="bottom"/>
            <w:hideMark/>
          </w:tcPr>
          <w:p w:rsidR="00756160" w:rsidRPr="00895A1D" w14:paraId="390925B0"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2EF7A130"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6CEF7684" w14:textId="77777777">
            <w:pPr>
              <w:autoSpaceDE/>
              <w:autoSpaceDN/>
              <w:jc w:val="right"/>
              <w:rPr>
                <w:rFonts w:eastAsia="Times New Roman"/>
                <w:color w:val="000000"/>
              </w:rPr>
            </w:pPr>
            <w:r w:rsidRPr="00895A1D">
              <w:rPr>
                <w:rFonts w:eastAsia="Times New Roman"/>
                <w:color w:val="000000"/>
              </w:rPr>
              <w:t xml:space="preserve">$96,905 </w:t>
            </w:r>
          </w:p>
        </w:tc>
      </w:tr>
      <w:tr w14:paraId="726E6325"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2E4BEF9C" w14:textId="77777777">
            <w:pPr>
              <w:autoSpaceDE/>
              <w:autoSpaceDN/>
              <w:jc w:val="right"/>
              <w:rPr>
                <w:rFonts w:eastAsia="Times New Roman"/>
                <w:color w:val="000000"/>
              </w:rPr>
            </w:pPr>
            <w:r w:rsidRPr="00895A1D">
              <w:rPr>
                <w:rFonts w:eastAsia="Times New Roman"/>
                <w:color w:val="000000"/>
              </w:rPr>
              <w:t>2035</w:t>
            </w:r>
          </w:p>
        </w:tc>
        <w:tc>
          <w:tcPr>
            <w:tcW w:w="1721" w:type="dxa"/>
            <w:tcBorders>
              <w:top w:val="nil"/>
              <w:left w:val="nil"/>
              <w:bottom w:val="single" w:sz="4" w:space="0" w:color="auto"/>
              <w:right w:val="single" w:sz="4" w:space="0" w:color="auto"/>
            </w:tcBorders>
            <w:noWrap/>
            <w:vAlign w:val="bottom"/>
            <w:hideMark/>
          </w:tcPr>
          <w:p w:rsidR="00756160" w:rsidRPr="00895A1D" w14:paraId="3233FCCE"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0F76291B" w14:textId="77777777">
            <w:pPr>
              <w:autoSpaceDE/>
              <w:autoSpaceDN/>
              <w:jc w:val="right"/>
              <w:rPr>
                <w:rFonts w:eastAsia="Times New Roman"/>
                <w:color w:val="000000"/>
              </w:rPr>
            </w:pPr>
            <w:r w:rsidRPr="00895A1D">
              <w:rPr>
                <w:rFonts w:eastAsia="Times New Roman"/>
                <w:color w:val="000000"/>
              </w:rPr>
              <w:t xml:space="preserve">$4,540 </w:t>
            </w:r>
          </w:p>
        </w:tc>
        <w:tc>
          <w:tcPr>
            <w:tcW w:w="1721" w:type="dxa"/>
            <w:tcBorders>
              <w:top w:val="nil"/>
              <w:left w:val="nil"/>
              <w:bottom w:val="single" w:sz="4" w:space="0" w:color="auto"/>
              <w:right w:val="single" w:sz="4" w:space="0" w:color="auto"/>
            </w:tcBorders>
            <w:noWrap/>
            <w:vAlign w:val="bottom"/>
            <w:hideMark/>
          </w:tcPr>
          <w:p w:rsidR="00756160" w:rsidRPr="00895A1D" w14:paraId="4313A21D"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633EF9F1"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noWrap/>
            <w:vAlign w:val="bottom"/>
            <w:hideMark/>
          </w:tcPr>
          <w:p w:rsidR="00756160" w:rsidRPr="00895A1D" w14:paraId="0207705D" w14:textId="77777777">
            <w:pPr>
              <w:autoSpaceDE/>
              <w:autoSpaceDN/>
              <w:jc w:val="right"/>
              <w:rPr>
                <w:rFonts w:eastAsia="Times New Roman"/>
                <w:color w:val="000000"/>
              </w:rPr>
            </w:pPr>
            <w:r w:rsidRPr="00895A1D">
              <w:rPr>
                <w:rFonts w:eastAsia="Times New Roman"/>
                <w:color w:val="000000"/>
              </w:rPr>
              <w:t xml:space="preserve">$96,905 </w:t>
            </w:r>
          </w:p>
        </w:tc>
      </w:tr>
      <w:tr w14:paraId="69382186"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0FDE679A" w14:textId="77777777">
            <w:pPr>
              <w:autoSpaceDE/>
              <w:autoSpaceDN/>
              <w:jc w:val="right"/>
              <w:rPr>
                <w:rFonts w:eastAsia="Times New Roman"/>
                <w:color w:val="000000"/>
              </w:rPr>
            </w:pPr>
            <w:r w:rsidRPr="00895A1D">
              <w:rPr>
                <w:rFonts w:eastAsia="Times New Roman"/>
                <w:color w:val="000000"/>
              </w:rPr>
              <w:t>2036</w:t>
            </w:r>
          </w:p>
        </w:tc>
        <w:tc>
          <w:tcPr>
            <w:tcW w:w="1721" w:type="dxa"/>
            <w:tcBorders>
              <w:top w:val="nil"/>
              <w:left w:val="nil"/>
              <w:bottom w:val="single" w:sz="4" w:space="0" w:color="auto"/>
              <w:right w:val="single" w:sz="4" w:space="0" w:color="auto"/>
            </w:tcBorders>
            <w:noWrap/>
            <w:vAlign w:val="bottom"/>
            <w:hideMark/>
          </w:tcPr>
          <w:p w:rsidR="00756160" w:rsidRPr="00895A1D" w14:paraId="62392B60" w14:textId="77777777">
            <w:pPr>
              <w:autoSpaceDE/>
              <w:autoSpaceDN/>
              <w:jc w:val="right"/>
              <w:rPr>
                <w:rFonts w:eastAsia="Times New Roman"/>
                <w:color w:val="000000"/>
              </w:rPr>
            </w:pPr>
            <w:r w:rsidRPr="00895A1D">
              <w:rPr>
                <w:rFonts w:eastAsia="Times New Roman"/>
                <w:color w:val="000000"/>
              </w:rPr>
              <w:t>($302,358)</w:t>
            </w:r>
          </w:p>
        </w:tc>
        <w:tc>
          <w:tcPr>
            <w:tcW w:w="1293" w:type="dxa"/>
            <w:tcBorders>
              <w:top w:val="nil"/>
              <w:left w:val="nil"/>
              <w:bottom w:val="single" w:sz="4" w:space="0" w:color="auto"/>
              <w:right w:val="single" w:sz="4" w:space="0" w:color="auto"/>
            </w:tcBorders>
            <w:noWrap/>
            <w:vAlign w:val="bottom"/>
            <w:hideMark/>
          </w:tcPr>
          <w:p w:rsidR="00756160" w:rsidRPr="00895A1D" w14:paraId="4641F710" w14:textId="77777777">
            <w:pPr>
              <w:autoSpaceDE/>
              <w:autoSpaceDN/>
              <w:jc w:val="right"/>
              <w:rPr>
                <w:rFonts w:eastAsia="Times New Roman"/>
                <w:color w:val="000000"/>
              </w:rPr>
            </w:pPr>
            <w:r w:rsidRPr="00895A1D">
              <w:rPr>
                <w:rFonts w:eastAsia="Times New Roman"/>
                <w:color w:val="000000"/>
              </w:rPr>
              <w:t xml:space="preserve">$36,319 </w:t>
            </w:r>
          </w:p>
        </w:tc>
        <w:tc>
          <w:tcPr>
            <w:tcW w:w="1721" w:type="dxa"/>
            <w:tcBorders>
              <w:top w:val="nil"/>
              <w:left w:val="nil"/>
              <w:bottom w:val="single" w:sz="4" w:space="0" w:color="auto"/>
              <w:right w:val="single" w:sz="4" w:space="0" w:color="auto"/>
            </w:tcBorders>
            <w:noWrap/>
            <w:vAlign w:val="bottom"/>
            <w:hideMark/>
          </w:tcPr>
          <w:p w:rsidR="00756160" w:rsidRPr="00895A1D" w14:paraId="6BAFFDF2"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59AE24A6"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08C0D856" w14:textId="77777777">
            <w:pPr>
              <w:autoSpaceDE/>
              <w:autoSpaceDN/>
              <w:jc w:val="right"/>
              <w:rPr>
                <w:rFonts w:eastAsia="Times New Roman"/>
                <w:color w:val="000000"/>
              </w:rPr>
            </w:pPr>
            <w:r w:rsidRPr="00895A1D">
              <w:rPr>
                <w:rFonts w:eastAsia="Times New Roman"/>
                <w:color w:val="000000"/>
              </w:rPr>
              <w:t xml:space="preserve">$387,619 </w:t>
            </w:r>
          </w:p>
        </w:tc>
      </w:tr>
      <w:tr w14:paraId="3472B633"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296AFA0E" w14:textId="77777777">
            <w:pPr>
              <w:autoSpaceDE/>
              <w:autoSpaceDN/>
              <w:jc w:val="right"/>
              <w:rPr>
                <w:rFonts w:eastAsia="Times New Roman"/>
                <w:color w:val="000000"/>
              </w:rPr>
            </w:pPr>
            <w:r w:rsidRPr="00895A1D">
              <w:rPr>
                <w:rFonts w:eastAsia="Times New Roman"/>
                <w:color w:val="000000"/>
              </w:rPr>
              <w:t>2037</w:t>
            </w:r>
          </w:p>
        </w:tc>
        <w:tc>
          <w:tcPr>
            <w:tcW w:w="1721" w:type="dxa"/>
            <w:tcBorders>
              <w:top w:val="nil"/>
              <w:left w:val="nil"/>
              <w:bottom w:val="single" w:sz="4" w:space="0" w:color="auto"/>
              <w:right w:val="single" w:sz="4" w:space="0" w:color="auto"/>
            </w:tcBorders>
            <w:noWrap/>
            <w:vAlign w:val="bottom"/>
            <w:hideMark/>
          </w:tcPr>
          <w:p w:rsidR="00756160" w:rsidRPr="00895A1D" w14:paraId="0807C5E7" w14:textId="77777777">
            <w:pPr>
              <w:autoSpaceDE/>
              <w:autoSpaceDN/>
              <w:jc w:val="right"/>
              <w:rPr>
                <w:rFonts w:eastAsia="Times New Roman"/>
                <w:color w:val="000000"/>
              </w:rPr>
            </w:pPr>
            <w:r w:rsidRPr="00895A1D">
              <w:rPr>
                <w:rFonts w:eastAsia="Times New Roman"/>
                <w:color w:val="000000"/>
              </w:rPr>
              <w:t>($201,572)</w:t>
            </w:r>
          </w:p>
        </w:tc>
        <w:tc>
          <w:tcPr>
            <w:tcW w:w="1293" w:type="dxa"/>
            <w:tcBorders>
              <w:top w:val="nil"/>
              <w:left w:val="nil"/>
              <w:bottom w:val="single" w:sz="4" w:space="0" w:color="auto"/>
              <w:right w:val="single" w:sz="4" w:space="0" w:color="auto"/>
            </w:tcBorders>
            <w:noWrap/>
            <w:vAlign w:val="bottom"/>
            <w:hideMark/>
          </w:tcPr>
          <w:p w:rsidR="00756160" w:rsidRPr="00895A1D" w14:paraId="2D3FE817" w14:textId="77777777">
            <w:pPr>
              <w:autoSpaceDE/>
              <w:autoSpaceDN/>
              <w:jc w:val="right"/>
              <w:rPr>
                <w:rFonts w:eastAsia="Times New Roman"/>
                <w:color w:val="000000"/>
              </w:rPr>
            </w:pPr>
            <w:r w:rsidRPr="00895A1D">
              <w:rPr>
                <w:rFonts w:eastAsia="Times New Roman"/>
                <w:color w:val="000000"/>
              </w:rPr>
              <w:t xml:space="preserve">$22,700 </w:t>
            </w:r>
          </w:p>
        </w:tc>
        <w:tc>
          <w:tcPr>
            <w:tcW w:w="1721" w:type="dxa"/>
            <w:tcBorders>
              <w:top w:val="nil"/>
              <w:left w:val="nil"/>
              <w:bottom w:val="single" w:sz="4" w:space="0" w:color="auto"/>
              <w:right w:val="single" w:sz="4" w:space="0" w:color="auto"/>
            </w:tcBorders>
            <w:noWrap/>
            <w:vAlign w:val="bottom"/>
            <w:hideMark/>
          </w:tcPr>
          <w:p w:rsidR="00756160" w:rsidRPr="00895A1D" w14:paraId="07B7848A"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26644EDE"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71325EFB" w14:textId="77777777">
            <w:pPr>
              <w:autoSpaceDE/>
              <w:autoSpaceDN/>
              <w:jc w:val="right"/>
              <w:rPr>
                <w:rFonts w:eastAsia="Times New Roman"/>
                <w:color w:val="000000"/>
              </w:rPr>
            </w:pPr>
            <w:r w:rsidRPr="00895A1D">
              <w:rPr>
                <w:rFonts w:eastAsia="Times New Roman"/>
                <w:color w:val="000000"/>
              </w:rPr>
              <w:t xml:space="preserve">$242,262 </w:t>
            </w:r>
          </w:p>
        </w:tc>
      </w:tr>
      <w:tr w14:paraId="7E767F15"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2FC49579" w14:textId="77777777">
            <w:pPr>
              <w:autoSpaceDE/>
              <w:autoSpaceDN/>
              <w:jc w:val="right"/>
              <w:rPr>
                <w:rFonts w:eastAsia="Times New Roman"/>
                <w:color w:val="000000"/>
              </w:rPr>
            </w:pPr>
            <w:r w:rsidRPr="00895A1D">
              <w:rPr>
                <w:rFonts w:eastAsia="Times New Roman"/>
                <w:color w:val="000000"/>
              </w:rPr>
              <w:t>2038</w:t>
            </w:r>
          </w:p>
        </w:tc>
        <w:tc>
          <w:tcPr>
            <w:tcW w:w="1721" w:type="dxa"/>
            <w:tcBorders>
              <w:top w:val="nil"/>
              <w:left w:val="nil"/>
              <w:bottom w:val="single" w:sz="4" w:space="0" w:color="auto"/>
              <w:right w:val="single" w:sz="4" w:space="0" w:color="auto"/>
            </w:tcBorders>
            <w:noWrap/>
            <w:vAlign w:val="bottom"/>
            <w:hideMark/>
          </w:tcPr>
          <w:p w:rsidR="00756160" w:rsidRPr="00895A1D" w14:paraId="23A71FB8"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5D78AABC" w14:textId="77777777">
            <w:pPr>
              <w:autoSpaceDE/>
              <w:autoSpaceDN/>
              <w:jc w:val="right"/>
              <w:rPr>
                <w:rFonts w:eastAsia="Times New Roman"/>
                <w:color w:val="000000"/>
              </w:rPr>
            </w:pPr>
            <w:r w:rsidRPr="00895A1D">
              <w:rPr>
                <w:rFonts w:eastAsia="Times New Roman"/>
                <w:color w:val="000000"/>
              </w:rPr>
              <w:t xml:space="preserve">$27,239 </w:t>
            </w:r>
          </w:p>
        </w:tc>
        <w:tc>
          <w:tcPr>
            <w:tcW w:w="1721" w:type="dxa"/>
            <w:tcBorders>
              <w:top w:val="nil"/>
              <w:left w:val="nil"/>
              <w:bottom w:val="single" w:sz="4" w:space="0" w:color="auto"/>
              <w:right w:val="single" w:sz="4" w:space="0" w:color="auto"/>
            </w:tcBorders>
            <w:noWrap/>
            <w:vAlign w:val="bottom"/>
            <w:hideMark/>
          </w:tcPr>
          <w:p w:rsidR="00756160" w:rsidRPr="00895A1D" w14:paraId="793AE6C7"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63B4637E"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noWrap/>
            <w:vAlign w:val="bottom"/>
            <w:hideMark/>
          </w:tcPr>
          <w:p w:rsidR="00756160" w:rsidRPr="00895A1D" w14:paraId="1A59B4B7" w14:textId="77777777">
            <w:pPr>
              <w:autoSpaceDE/>
              <w:autoSpaceDN/>
              <w:jc w:val="right"/>
              <w:rPr>
                <w:rFonts w:eastAsia="Times New Roman"/>
                <w:color w:val="000000"/>
              </w:rPr>
            </w:pPr>
            <w:r w:rsidRPr="00895A1D">
              <w:rPr>
                <w:rFonts w:eastAsia="Times New Roman"/>
                <w:color w:val="000000"/>
              </w:rPr>
              <w:t xml:space="preserve">$339,167 </w:t>
            </w:r>
          </w:p>
        </w:tc>
      </w:tr>
      <w:tr w14:paraId="3D4CF669"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22F64816" w14:textId="77777777">
            <w:pPr>
              <w:autoSpaceDE/>
              <w:autoSpaceDN/>
              <w:jc w:val="right"/>
              <w:rPr>
                <w:rFonts w:eastAsia="Times New Roman"/>
                <w:color w:val="000000"/>
              </w:rPr>
            </w:pPr>
            <w:r w:rsidRPr="00895A1D">
              <w:rPr>
                <w:rFonts w:eastAsia="Times New Roman"/>
                <w:color w:val="000000"/>
              </w:rPr>
              <w:t>2039</w:t>
            </w:r>
          </w:p>
        </w:tc>
        <w:tc>
          <w:tcPr>
            <w:tcW w:w="1721" w:type="dxa"/>
            <w:tcBorders>
              <w:top w:val="nil"/>
              <w:left w:val="nil"/>
              <w:bottom w:val="single" w:sz="4" w:space="0" w:color="auto"/>
              <w:right w:val="single" w:sz="4" w:space="0" w:color="auto"/>
            </w:tcBorders>
            <w:noWrap/>
            <w:vAlign w:val="bottom"/>
            <w:hideMark/>
          </w:tcPr>
          <w:p w:rsidR="00756160" w:rsidRPr="00895A1D" w14:paraId="5D38266B" w14:textId="77777777">
            <w:pPr>
              <w:autoSpaceDE/>
              <w:autoSpaceDN/>
              <w:jc w:val="right"/>
              <w:rPr>
                <w:rFonts w:eastAsia="Times New Roman"/>
                <w:color w:val="000000"/>
              </w:rPr>
            </w:pPr>
            <w:r w:rsidRPr="00895A1D">
              <w:rPr>
                <w:rFonts w:eastAsia="Times New Roman"/>
                <w:color w:val="000000"/>
              </w:rPr>
              <w:t>($50,393)</w:t>
            </w:r>
          </w:p>
        </w:tc>
        <w:tc>
          <w:tcPr>
            <w:tcW w:w="1293" w:type="dxa"/>
            <w:tcBorders>
              <w:top w:val="nil"/>
              <w:left w:val="nil"/>
              <w:bottom w:val="single" w:sz="4" w:space="0" w:color="auto"/>
              <w:right w:val="single" w:sz="4" w:space="0" w:color="auto"/>
            </w:tcBorders>
            <w:noWrap/>
            <w:vAlign w:val="bottom"/>
            <w:hideMark/>
          </w:tcPr>
          <w:p w:rsidR="00756160" w:rsidRPr="00895A1D" w14:paraId="4E26BA13" w14:textId="77777777">
            <w:pPr>
              <w:autoSpaceDE/>
              <w:autoSpaceDN/>
              <w:jc w:val="right"/>
              <w:rPr>
                <w:rFonts w:eastAsia="Times New Roman"/>
                <w:color w:val="000000"/>
              </w:rPr>
            </w:pPr>
            <w:r w:rsidRPr="00895A1D">
              <w:rPr>
                <w:rFonts w:eastAsia="Times New Roman"/>
                <w:color w:val="000000"/>
              </w:rPr>
              <w:t xml:space="preserve">$49,939 </w:t>
            </w:r>
          </w:p>
        </w:tc>
        <w:tc>
          <w:tcPr>
            <w:tcW w:w="1721" w:type="dxa"/>
            <w:tcBorders>
              <w:top w:val="nil"/>
              <w:left w:val="nil"/>
              <w:bottom w:val="single" w:sz="4" w:space="0" w:color="auto"/>
              <w:right w:val="single" w:sz="4" w:space="0" w:color="auto"/>
            </w:tcBorders>
            <w:noWrap/>
            <w:vAlign w:val="bottom"/>
            <w:hideMark/>
          </w:tcPr>
          <w:p w:rsidR="00756160" w:rsidRPr="00895A1D" w14:paraId="3EBD57A0"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00D75E1C"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noWrap/>
            <w:vAlign w:val="bottom"/>
            <w:hideMark/>
          </w:tcPr>
          <w:p w:rsidR="00756160" w:rsidRPr="00895A1D" w14:paraId="61420880" w14:textId="77777777">
            <w:pPr>
              <w:autoSpaceDE/>
              <w:autoSpaceDN/>
              <w:jc w:val="right"/>
              <w:rPr>
                <w:rFonts w:eastAsia="Times New Roman"/>
                <w:color w:val="000000"/>
              </w:rPr>
            </w:pPr>
            <w:r w:rsidRPr="00895A1D">
              <w:rPr>
                <w:rFonts w:eastAsia="Times New Roman"/>
                <w:color w:val="000000"/>
              </w:rPr>
              <w:t xml:space="preserve">$581,429 </w:t>
            </w:r>
          </w:p>
        </w:tc>
      </w:tr>
      <w:tr w14:paraId="09474C06"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4C95EC44" w14:textId="77777777">
            <w:pPr>
              <w:autoSpaceDE/>
              <w:autoSpaceDN/>
              <w:jc w:val="right"/>
              <w:rPr>
                <w:rFonts w:eastAsia="Times New Roman"/>
                <w:color w:val="000000"/>
              </w:rPr>
            </w:pPr>
            <w:r w:rsidRPr="00895A1D">
              <w:rPr>
                <w:rFonts w:eastAsia="Times New Roman"/>
                <w:color w:val="000000"/>
              </w:rPr>
              <w:t>2040</w:t>
            </w:r>
          </w:p>
        </w:tc>
        <w:tc>
          <w:tcPr>
            <w:tcW w:w="1721" w:type="dxa"/>
            <w:tcBorders>
              <w:top w:val="nil"/>
              <w:left w:val="nil"/>
              <w:bottom w:val="single" w:sz="4" w:space="0" w:color="auto"/>
              <w:right w:val="single" w:sz="4" w:space="0" w:color="auto"/>
            </w:tcBorders>
            <w:noWrap/>
            <w:vAlign w:val="bottom"/>
            <w:hideMark/>
          </w:tcPr>
          <w:p w:rsidR="00756160" w:rsidRPr="00895A1D" w14:paraId="2E95C98A" w14:textId="77777777">
            <w:pPr>
              <w:autoSpaceDE/>
              <w:autoSpaceDN/>
              <w:jc w:val="right"/>
              <w:rPr>
                <w:rFonts w:eastAsia="Times New Roman"/>
                <w:color w:val="000000"/>
              </w:rPr>
            </w:pPr>
            <w:r w:rsidRPr="00895A1D">
              <w:rPr>
                <w:rFonts w:eastAsia="Times New Roman"/>
                <w:color w:val="000000"/>
              </w:rPr>
              <w:t>($151,179)</w:t>
            </w:r>
          </w:p>
        </w:tc>
        <w:tc>
          <w:tcPr>
            <w:tcW w:w="1293" w:type="dxa"/>
            <w:tcBorders>
              <w:top w:val="nil"/>
              <w:left w:val="nil"/>
              <w:bottom w:val="single" w:sz="4" w:space="0" w:color="auto"/>
              <w:right w:val="single" w:sz="4" w:space="0" w:color="auto"/>
            </w:tcBorders>
            <w:noWrap/>
            <w:vAlign w:val="bottom"/>
            <w:hideMark/>
          </w:tcPr>
          <w:p w:rsidR="00756160" w:rsidRPr="00895A1D" w14:paraId="43618EFF" w14:textId="77777777">
            <w:pPr>
              <w:autoSpaceDE/>
              <w:autoSpaceDN/>
              <w:jc w:val="right"/>
              <w:rPr>
                <w:rFonts w:eastAsia="Times New Roman"/>
                <w:color w:val="000000"/>
              </w:rPr>
            </w:pPr>
            <w:r w:rsidRPr="00895A1D">
              <w:rPr>
                <w:rFonts w:eastAsia="Times New Roman"/>
                <w:color w:val="000000"/>
              </w:rPr>
              <w:t xml:space="preserve">$54,479 </w:t>
            </w:r>
          </w:p>
        </w:tc>
        <w:tc>
          <w:tcPr>
            <w:tcW w:w="1721" w:type="dxa"/>
            <w:tcBorders>
              <w:top w:val="nil"/>
              <w:left w:val="nil"/>
              <w:bottom w:val="single" w:sz="4" w:space="0" w:color="auto"/>
              <w:right w:val="single" w:sz="4" w:space="0" w:color="auto"/>
            </w:tcBorders>
            <w:noWrap/>
            <w:vAlign w:val="bottom"/>
            <w:hideMark/>
          </w:tcPr>
          <w:p w:rsidR="00756160" w:rsidRPr="00895A1D" w14:paraId="10B79AA4"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6EB43C6C" w14:textId="77777777">
            <w:pPr>
              <w:autoSpaceDE/>
              <w:autoSpaceDN/>
              <w:rPr>
                <w:rFonts w:eastAsia="Times New Roman"/>
                <w:color w:val="000000"/>
              </w:rPr>
            </w:pPr>
            <w:r w:rsidRPr="00895A1D">
              <w:rPr>
                <w:rFonts w:eastAsia="Times New Roman"/>
                <w:color w:val="000000"/>
              </w:rPr>
              <w:t> </w:t>
            </w:r>
          </w:p>
        </w:tc>
        <w:tc>
          <w:tcPr>
            <w:tcW w:w="1760" w:type="dxa"/>
            <w:tcBorders>
              <w:top w:val="nil"/>
              <w:left w:val="nil"/>
              <w:bottom w:val="single" w:sz="4" w:space="0" w:color="auto"/>
              <w:right w:val="single" w:sz="4" w:space="0" w:color="auto"/>
            </w:tcBorders>
            <w:noWrap/>
            <w:vAlign w:val="bottom"/>
            <w:hideMark/>
          </w:tcPr>
          <w:p w:rsidR="00756160" w:rsidRPr="00895A1D" w14:paraId="137EF9F1" w14:textId="77777777">
            <w:pPr>
              <w:autoSpaceDE/>
              <w:autoSpaceDN/>
              <w:jc w:val="right"/>
              <w:rPr>
                <w:rFonts w:eastAsia="Times New Roman"/>
                <w:color w:val="000000"/>
              </w:rPr>
            </w:pPr>
            <w:r w:rsidRPr="00895A1D">
              <w:rPr>
                <w:rFonts w:eastAsia="Times New Roman"/>
                <w:color w:val="000000"/>
              </w:rPr>
              <w:t xml:space="preserve">$581,429 </w:t>
            </w:r>
          </w:p>
        </w:tc>
      </w:tr>
      <w:tr w14:paraId="32CB1ED4"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0F3C41DF" w14:textId="77777777">
            <w:pPr>
              <w:autoSpaceDE/>
              <w:autoSpaceDN/>
              <w:jc w:val="right"/>
              <w:rPr>
                <w:rFonts w:eastAsia="Times New Roman"/>
                <w:color w:val="000000"/>
              </w:rPr>
            </w:pPr>
            <w:r w:rsidRPr="00895A1D">
              <w:rPr>
                <w:rFonts w:eastAsia="Times New Roman"/>
                <w:color w:val="000000"/>
              </w:rPr>
              <w:t>2041</w:t>
            </w:r>
          </w:p>
        </w:tc>
        <w:tc>
          <w:tcPr>
            <w:tcW w:w="1721" w:type="dxa"/>
            <w:tcBorders>
              <w:top w:val="nil"/>
              <w:left w:val="nil"/>
              <w:bottom w:val="single" w:sz="4" w:space="0" w:color="auto"/>
              <w:right w:val="single" w:sz="4" w:space="0" w:color="auto"/>
            </w:tcBorders>
            <w:noWrap/>
            <w:vAlign w:val="bottom"/>
            <w:hideMark/>
          </w:tcPr>
          <w:p w:rsidR="00756160" w:rsidRPr="00895A1D" w14:paraId="15B7CAA0" w14:textId="77777777">
            <w:pPr>
              <w:autoSpaceDE/>
              <w:autoSpaceDN/>
              <w:jc w:val="right"/>
              <w:rPr>
                <w:rFonts w:eastAsia="Times New Roman"/>
                <w:color w:val="000000"/>
              </w:rPr>
            </w:pPr>
            <w:r w:rsidRPr="00895A1D">
              <w:rPr>
                <w:rFonts w:eastAsia="Times New Roman"/>
                <w:color w:val="000000"/>
              </w:rPr>
              <w:t>($100,786)</w:t>
            </w:r>
          </w:p>
        </w:tc>
        <w:tc>
          <w:tcPr>
            <w:tcW w:w="1293" w:type="dxa"/>
            <w:tcBorders>
              <w:top w:val="nil"/>
              <w:left w:val="nil"/>
              <w:bottom w:val="single" w:sz="4" w:space="0" w:color="auto"/>
              <w:right w:val="single" w:sz="4" w:space="0" w:color="auto"/>
            </w:tcBorders>
            <w:noWrap/>
            <w:vAlign w:val="bottom"/>
            <w:hideMark/>
          </w:tcPr>
          <w:p w:rsidR="00756160" w:rsidRPr="00895A1D" w14:paraId="46E521F5" w14:textId="77777777">
            <w:pPr>
              <w:autoSpaceDE/>
              <w:autoSpaceDN/>
              <w:jc w:val="right"/>
              <w:rPr>
                <w:rFonts w:eastAsia="Times New Roman"/>
                <w:color w:val="000000"/>
              </w:rPr>
            </w:pPr>
            <w:r w:rsidRPr="00895A1D">
              <w:rPr>
                <w:rFonts w:eastAsia="Times New Roman"/>
                <w:color w:val="000000"/>
              </w:rPr>
              <w:t xml:space="preserve">$54,479 </w:t>
            </w:r>
          </w:p>
        </w:tc>
        <w:tc>
          <w:tcPr>
            <w:tcW w:w="1721" w:type="dxa"/>
            <w:tcBorders>
              <w:top w:val="nil"/>
              <w:left w:val="nil"/>
              <w:bottom w:val="single" w:sz="4" w:space="0" w:color="auto"/>
              <w:right w:val="single" w:sz="4" w:space="0" w:color="auto"/>
            </w:tcBorders>
            <w:noWrap/>
            <w:vAlign w:val="bottom"/>
            <w:hideMark/>
          </w:tcPr>
          <w:p w:rsidR="00756160" w:rsidRPr="00895A1D" w14:paraId="5F5498EE"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4B7BD600"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noWrap/>
            <w:vAlign w:val="bottom"/>
            <w:hideMark/>
          </w:tcPr>
          <w:p w:rsidR="00756160" w:rsidRPr="00895A1D" w14:paraId="68CD9B49" w14:textId="77777777">
            <w:pPr>
              <w:autoSpaceDE/>
              <w:autoSpaceDN/>
              <w:jc w:val="right"/>
              <w:rPr>
                <w:rFonts w:eastAsia="Times New Roman"/>
                <w:color w:val="000000"/>
              </w:rPr>
            </w:pPr>
            <w:r w:rsidRPr="00895A1D">
              <w:rPr>
                <w:rFonts w:eastAsia="Times New Roman"/>
                <w:color w:val="000000"/>
              </w:rPr>
              <w:t xml:space="preserve">$629,882 </w:t>
            </w:r>
          </w:p>
        </w:tc>
      </w:tr>
      <w:tr w14:paraId="02E4F558"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356A86A7" w14:textId="77777777">
            <w:pPr>
              <w:autoSpaceDE/>
              <w:autoSpaceDN/>
              <w:jc w:val="right"/>
              <w:rPr>
                <w:rFonts w:eastAsia="Times New Roman"/>
                <w:color w:val="000000"/>
              </w:rPr>
            </w:pPr>
            <w:r w:rsidRPr="00895A1D">
              <w:rPr>
                <w:rFonts w:eastAsia="Times New Roman"/>
                <w:color w:val="000000"/>
              </w:rPr>
              <w:t>2042</w:t>
            </w:r>
          </w:p>
        </w:tc>
        <w:tc>
          <w:tcPr>
            <w:tcW w:w="1721" w:type="dxa"/>
            <w:tcBorders>
              <w:top w:val="nil"/>
              <w:left w:val="nil"/>
              <w:bottom w:val="single" w:sz="4" w:space="0" w:color="auto"/>
              <w:right w:val="single" w:sz="4" w:space="0" w:color="auto"/>
            </w:tcBorders>
            <w:noWrap/>
            <w:vAlign w:val="bottom"/>
            <w:hideMark/>
          </w:tcPr>
          <w:p w:rsidR="00756160" w:rsidRPr="00895A1D" w14:paraId="52BC9420"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noWrap/>
            <w:vAlign w:val="bottom"/>
            <w:hideMark/>
          </w:tcPr>
          <w:p w:rsidR="00756160" w:rsidRPr="00895A1D" w14:paraId="278B7933" w14:textId="77777777">
            <w:pPr>
              <w:autoSpaceDE/>
              <w:autoSpaceDN/>
              <w:jc w:val="right"/>
              <w:rPr>
                <w:rFonts w:eastAsia="Times New Roman"/>
                <w:color w:val="000000"/>
              </w:rPr>
            </w:pPr>
            <w:r w:rsidRPr="00895A1D">
              <w:rPr>
                <w:rFonts w:eastAsia="Times New Roman"/>
                <w:color w:val="000000"/>
              </w:rPr>
              <w:t xml:space="preserve">$63,559 </w:t>
            </w:r>
          </w:p>
        </w:tc>
        <w:tc>
          <w:tcPr>
            <w:tcW w:w="1721" w:type="dxa"/>
            <w:tcBorders>
              <w:top w:val="nil"/>
              <w:left w:val="nil"/>
              <w:bottom w:val="single" w:sz="4" w:space="0" w:color="auto"/>
              <w:right w:val="single" w:sz="4" w:space="0" w:color="auto"/>
            </w:tcBorders>
            <w:noWrap/>
            <w:vAlign w:val="bottom"/>
            <w:hideMark/>
          </w:tcPr>
          <w:p w:rsidR="00756160" w:rsidRPr="00895A1D" w14:paraId="2CB570BF"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47B31359" w14:textId="77777777">
            <w:pPr>
              <w:autoSpaceDE/>
              <w:autoSpaceDN/>
              <w:jc w:val="right"/>
              <w:rPr>
                <w:rFonts w:eastAsia="Times New Roman"/>
                <w:color w:val="000000"/>
              </w:rPr>
            </w:pPr>
            <w:r w:rsidRPr="00895A1D">
              <w:rPr>
                <w:rFonts w:eastAsia="Times New Roman"/>
                <w:color w:val="000000"/>
              </w:rPr>
              <w:t xml:space="preserve">$24,523 </w:t>
            </w:r>
          </w:p>
        </w:tc>
        <w:tc>
          <w:tcPr>
            <w:tcW w:w="1760" w:type="dxa"/>
            <w:tcBorders>
              <w:top w:val="nil"/>
              <w:left w:val="nil"/>
              <w:bottom w:val="single" w:sz="4" w:space="0" w:color="auto"/>
              <w:right w:val="single" w:sz="4" w:space="0" w:color="auto"/>
            </w:tcBorders>
            <w:noWrap/>
            <w:vAlign w:val="bottom"/>
            <w:hideMark/>
          </w:tcPr>
          <w:p w:rsidR="00756160" w:rsidRPr="00895A1D" w14:paraId="3BFA0D82" w14:textId="77777777">
            <w:pPr>
              <w:autoSpaceDE/>
              <w:autoSpaceDN/>
              <w:jc w:val="right"/>
              <w:rPr>
                <w:rFonts w:eastAsia="Times New Roman"/>
                <w:color w:val="000000"/>
              </w:rPr>
            </w:pPr>
            <w:r w:rsidRPr="00895A1D">
              <w:rPr>
                <w:rFonts w:eastAsia="Times New Roman"/>
                <w:color w:val="000000"/>
              </w:rPr>
              <w:t xml:space="preserve">$775,239 </w:t>
            </w:r>
          </w:p>
        </w:tc>
      </w:tr>
      <w:tr w14:paraId="383EFCF6"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24A4DE87" w14:textId="77777777">
            <w:pPr>
              <w:autoSpaceDE/>
              <w:autoSpaceDN/>
              <w:jc w:val="right"/>
              <w:rPr>
                <w:rFonts w:eastAsia="Times New Roman"/>
                <w:color w:val="000000"/>
              </w:rPr>
            </w:pPr>
            <w:r w:rsidRPr="00895A1D">
              <w:rPr>
                <w:rFonts w:eastAsia="Times New Roman"/>
                <w:color w:val="000000"/>
              </w:rPr>
              <w:t>2043</w:t>
            </w:r>
          </w:p>
        </w:tc>
        <w:tc>
          <w:tcPr>
            <w:tcW w:w="1721" w:type="dxa"/>
            <w:tcBorders>
              <w:top w:val="nil"/>
              <w:left w:val="nil"/>
              <w:bottom w:val="single" w:sz="4" w:space="0" w:color="auto"/>
              <w:right w:val="single" w:sz="4" w:space="0" w:color="auto"/>
            </w:tcBorders>
            <w:noWrap/>
            <w:vAlign w:val="bottom"/>
            <w:hideMark/>
          </w:tcPr>
          <w:p w:rsidR="00756160" w:rsidRPr="00895A1D" w14:paraId="63F9A54E" w14:textId="77777777">
            <w:pPr>
              <w:autoSpaceDE/>
              <w:autoSpaceDN/>
              <w:jc w:val="right"/>
              <w:rPr>
                <w:rFonts w:eastAsia="Times New Roman"/>
                <w:color w:val="000000"/>
              </w:rPr>
            </w:pPr>
            <w:r w:rsidRPr="00895A1D">
              <w:rPr>
                <w:rFonts w:eastAsia="Times New Roman"/>
                <w:color w:val="000000"/>
              </w:rPr>
              <w:t>($100,786)</w:t>
            </w:r>
          </w:p>
        </w:tc>
        <w:tc>
          <w:tcPr>
            <w:tcW w:w="1293" w:type="dxa"/>
            <w:tcBorders>
              <w:top w:val="nil"/>
              <w:left w:val="nil"/>
              <w:bottom w:val="single" w:sz="4" w:space="0" w:color="auto"/>
              <w:right w:val="single" w:sz="4" w:space="0" w:color="auto"/>
            </w:tcBorders>
            <w:noWrap/>
            <w:vAlign w:val="bottom"/>
            <w:hideMark/>
          </w:tcPr>
          <w:p w:rsidR="00756160" w:rsidRPr="00895A1D" w14:paraId="7B477E05" w14:textId="77777777">
            <w:pPr>
              <w:autoSpaceDE/>
              <w:autoSpaceDN/>
              <w:jc w:val="right"/>
              <w:rPr>
                <w:rFonts w:eastAsia="Times New Roman"/>
                <w:color w:val="000000"/>
              </w:rPr>
            </w:pPr>
            <w:r w:rsidRPr="00895A1D">
              <w:rPr>
                <w:rFonts w:eastAsia="Times New Roman"/>
                <w:color w:val="000000"/>
              </w:rPr>
              <w:t xml:space="preserve">$81,718 </w:t>
            </w:r>
          </w:p>
        </w:tc>
        <w:tc>
          <w:tcPr>
            <w:tcW w:w="1721" w:type="dxa"/>
            <w:tcBorders>
              <w:top w:val="nil"/>
              <w:left w:val="nil"/>
              <w:bottom w:val="single" w:sz="4" w:space="0" w:color="auto"/>
              <w:right w:val="single" w:sz="4" w:space="0" w:color="auto"/>
            </w:tcBorders>
            <w:noWrap/>
            <w:vAlign w:val="bottom"/>
            <w:hideMark/>
          </w:tcPr>
          <w:p w:rsidR="00756160" w:rsidRPr="00895A1D" w14:paraId="00BA7A1C"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0CEB340E"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noWrap/>
            <w:vAlign w:val="bottom"/>
            <w:hideMark/>
          </w:tcPr>
          <w:p w:rsidR="00756160" w:rsidRPr="00895A1D" w14:paraId="3638B330" w14:textId="77777777">
            <w:pPr>
              <w:autoSpaceDE/>
              <w:autoSpaceDN/>
              <w:jc w:val="right"/>
              <w:rPr>
                <w:rFonts w:eastAsia="Times New Roman"/>
                <w:color w:val="000000"/>
              </w:rPr>
            </w:pPr>
            <w:r w:rsidRPr="00895A1D">
              <w:rPr>
                <w:rFonts w:eastAsia="Times New Roman"/>
                <w:color w:val="000000"/>
              </w:rPr>
              <w:t xml:space="preserve">$920,596 </w:t>
            </w:r>
          </w:p>
        </w:tc>
      </w:tr>
      <w:tr w14:paraId="02DF49B0"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637B344B" w14:textId="77777777">
            <w:pPr>
              <w:autoSpaceDE/>
              <w:autoSpaceDN/>
              <w:jc w:val="right"/>
              <w:rPr>
                <w:rFonts w:eastAsia="Times New Roman"/>
                <w:color w:val="000000"/>
              </w:rPr>
            </w:pPr>
            <w:r w:rsidRPr="00895A1D">
              <w:rPr>
                <w:rFonts w:eastAsia="Times New Roman"/>
                <w:color w:val="000000"/>
              </w:rPr>
              <w:t>2044</w:t>
            </w:r>
          </w:p>
        </w:tc>
        <w:tc>
          <w:tcPr>
            <w:tcW w:w="1721" w:type="dxa"/>
            <w:tcBorders>
              <w:top w:val="nil"/>
              <w:left w:val="nil"/>
              <w:bottom w:val="single" w:sz="4" w:space="0" w:color="auto"/>
              <w:right w:val="single" w:sz="4" w:space="0" w:color="auto"/>
            </w:tcBorders>
            <w:noWrap/>
            <w:vAlign w:val="bottom"/>
            <w:hideMark/>
          </w:tcPr>
          <w:p w:rsidR="00756160" w:rsidRPr="00895A1D" w14:paraId="089213AA" w14:textId="77777777">
            <w:pPr>
              <w:autoSpaceDE/>
              <w:autoSpaceDN/>
              <w:jc w:val="right"/>
              <w:rPr>
                <w:rFonts w:eastAsia="Times New Roman"/>
                <w:color w:val="000000"/>
              </w:rPr>
            </w:pPr>
            <w:r w:rsidRPr="00895A1D">
              <w:rPr>
                <w:rFonts w:eastAsia="Times New Roman"/>
                <w:color w:val="000000"/>
              </w:rPr>
              <w:t>($100,786)</w:t>
            </w:r>
          </w:p>
        </w:tc>
        <w:tc>
          <w:tcPr>
            <w:tcW w:w="1293" w:type="dxa"/>
            <w:tcBorders>
              <w:top w:val="nil"/>
              <w:left w:val="nil"/>
              <w:bottom w:val="single" w:sz="4" w:space="0" w:color="auto"/>
              <w:right w:val="single" w:sz="4" w:space="0" w:color="auto"/>
            </w:tcBorders>
            <w:noWrap/>
            <w:vAlign w:val="bottom"/>
            <w:hideMark/>
          </w:tcPr>
          <w:p w:rsidR="00756160" w:rsidRPr="00895A1D" w14:paraId="6709223E" w14:textId="77777777">
            <w:pPr>
              <w:autoSpaceDE/>
              <w:autoSpaceDN/>
              <w:jc w:val="right"/>
              <w:rPr>
                <w:rFonts w:eastAsia="Times New Roman"/>
                <w:color w:val="000000"/>
              </w:rPr>
            </w:pPr>
            <w:r w:rsidRPr="00895A1D">
              <w:rPr>
                <w:rFonts w:eastAsia="Times New Roman"/>
                <w:color w:val="000000"/>
              </w:rPr>
              <w:t xml:space="preserve">$95,338 </w:t>
            </w:r>
          </w:p>
        </w:tc>
        <w:tc>
          <w:tcPr>
            <w:tcW w:w="1721" w:type="dxa"/>
            <w:tcBorders>
              <w:top w:val="nil"/>
              <w:left w:val="nil"/>
              <w:bottom w:val="single" w:sz="4" w:space="0" w:color="auto"/>
              <w:right w:val="single" w:sz="4" w:space="0" w:color="auto"/>
            </w:tcBorders>
            <w:noWrap/>
            <w:vAlign w:val="bottom"/>
            <w:hideMark/>
          </w:tcPr>
          <w:p w:rsidR="00756160" w:rsidRPr="00895A1D" w14:paraId="64739B48"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4219158A" w14:textId="77777777">
            <w:pPr>
              <w:autoSpaceDE/>
              <w:autoSpaceDN/>
              <w:jc w:val="right"/>
              <w:rPr>
                <w:rFonts w:eastAsia="Times New Roman"/>
                <w:color w:val="000000"/>
              </w:rPr>
            </w:pPr>
            <w:r w:rsidRPr="00895A1D">
              <w:rPr>
                <w:rFonts w:eastAsia="Times New Roman"/>
                <w:color w:val="000000"/>
              </w:rPr>
              <w:t xml:space="preserve">$24,523 </w:t>
            </w:r>
          </w:p>
        </w:tc>
        <w:tc>
          <w:tcPr>
            <w:tcW w:w="1760" w:type="dxa"/>
            <w:tcBorders>
              <w:top w:val="nil"/>
              <w:left w:val="nil"/>
              <w:bottom w:val="single" w:sz="4" w:space="0" w:color="auto"/>
              <w:right w:val="single" w:sz="4" w:space="0" w:color="auto"/>
            </w:tcBorders>
            <w:noWrap/>
            <w:vAlign w:val="bottom"/>
            <w:hideMark/>
          </w:tcPr>
          <w:p w:rsidR="00756160" w:rsidRPr="00895A1D" w14:paraId="575C16B0" w14:textId="77777777">
            <w:pPr>
              <w:autoSpaceDE/>
              <w:autoSpaceDN/>
              <w:jc w:val="right"/>
              <w:rPr>
                <w:rFonts w:eastAsia="Times New Roman"/>
                <w:color w:val="000000"/>
              </w:rPr>
            </w:pPr>
            <w:r w:rsidRPr="00895A1D">
              <w:rPr>
                <w:rFonts w:eastAsia="Times New Roman"/>
                <w:color w:val="000000"/>
              </w:rPr>
              <w:t xml:space="preserve">$1,114,406 </w:t>
            </w:r>
          </w:p>
        </w:tc>
      </w:tr>
      <w:tr w14:paraId="417AE0A2" w14:textId="77777777">
        <w:tblPrEx>
          <w:tblW w:w="8935" w:type="dxa"/>
          <w:tblLook w:val="04A0"/>
        </w:tblPrEx>
        <w:trPr>
          <w:trHeight w:val="280"/>
        </w:trPr>
        <w:tc>
          <w:tcPr>
            <w:tcW w:w="1040" w:type="dxa"/>
            <w:tcBorders>
              <w:top w:val="nil"/>
              <w:left w:val="single" w:sz="4" w:space="0" w:color="auto"/>
              <w:bottom w:val="single" w:sz="4" w:space="0" w:color="auto"/>
              <w:right w:val="single" w:sz="4" w:space="0" w:color="auto"/>
            </w:tcBorders>
            <w:noWrap/>
            <w:vAlign w:val="bottom"/>
            <w:hideMark/>
          </w:tcPr>
          <w:p w:rsidR="00756160" w:rsidRPr="00895A1D" w14:paraId="4B1AA00E" w14:textId="77777777">
            <w:pPr>
              <w:autoSpaceDE/>
              <w:autoSpaceDN/>
              <w:jc w:val="right"/>
              <w:rPr>
                <w:rFonts w:eastAsia="Times New Roman"/>
                <w:color w:val="000000"/>
              </w:rPr>
            </w:pPr>
            <w:r w:rsidRPr="00895A1D">
              <w:rPr>
                <w:rFonts w:eastAsia="Times New Roman"/>
                <w:color w:val="000000"/>
              </w:rPr>
              <w:t>2045</w:t>
            </w:r>
          </w:p>
        </w:tc>
        <w:tc>
          <w:tcPr>
            <w:tcW w:w="1721" w:type="dxa"/>
            <w:tcBorders>
              <w:top w:val="nil"/>
              <w:left w:val="nil"/>
              <w:bottom w:val="single" w:sz="4" w:space="0" w:color="auto"/>
              <w:right w:val="single" w:sz="4" w:space="0" w:color="auto"/>
            </w:tcBorders>
            <w:noWrap/>
            <w:vAlign w:val="bottom"/>
            <w:hideMark/>
          </w:tcPr>
          <w:p w:rsidR="00756160" w:rsidRPr="00895A1D" w14:paraId="577B1EFD" w14:textId="77777777">
            <w:pPr>
              <w:autoSpaceDE/>
              <w:autoSpaceDN/>
              <w:rPr>
                <w:rFonts w:eastAsia="Times New Roman"/>
                <w:color w:val="000000"/>
              </w:rPr>
            </w:pPr>
            <w:r w:rsidRPr="00895A1D">
              <w:rPr>
                <w:rFonts w:eastAsia="Times New Roman"/>
                <w:color w:val="000000"/>
              </w:rPr>
              <w:t> </w:t>
            </w:r>
          </w:p>
        </w:tc>
        <w:tc>
          <w:tcPr>
            <w:tcW w:w="1293" w:type="dxa"/>
            <w:tcBorders>
              <w:top w:val="nil"/>
              <w:left w:val="nil"/>
              <w:bottom w:val="single" w:sz="4" w:space="0" w:color="auto"/>
              <w:right w:val="single" w:sz="4" w:space="0" w:color="auto"/>
            </w:tcBorders>
            <w:noWrap/>
            <w:vAlign w:val="bottom"/>
            <w:hideMark/>
          </w:tcPr>
          <w:p w:rsidR="00756160" w:rsidRPr="00895A1D" w14:paraId="2960C1F4" w14:textId="77777777">
            <w:pPr>
              <w:autoSpaceDE/>
              <w:autoSpaceDN/>
              <w:jc w:val="right"/>
              <w:rPr>
                <w:rFonts w:eastAsia="Times New Roman"/>
                <w:color w:val="000000"/>
              </w:rPr>
            </w:pPr>
            <w:r w:rsidRPr="00895A1D">
              <w:rPr>
                <w:rFonts w:eastAsia="Times New Roman"/>
                <w:color w:val="000000"/>
              </w:rPr>
              <w:t xml:space="preserve">$99,878 </w:t>
            </w:r>
          </w:p>
        </w:tc>
        <w:tc>
          <w:tcPr>
            <w:tcW w:w="1721" w:type="dxa"/>
            <w:tcBorders>
              <w:top w:val="nil"/>
              <w:left w:val="nil"/>
              <w:bottom w:val="single" w:sz="4" w:space="0" w:color="auto"/>
              <w:right w:val="single" w:sz="4" w:space="0" w:color="auto"/>
            </w:tcBorders>
            <w:noWrap/>
            <w:vAlign w:val="bottom"/>
            <w:hideMark/>
          </w:tcPr>
          <w:p w:rsidR="00756160" w:rsidRPr="00895A1D" w14:paraId="7FFD72A5" w14:textId="77777777">
            <w:pPr>
              <w:autoSpaceDE/>
              <w:autoSpaceDN/>
              <w:rPr>
                <w:rFonts w:eastAsia="Times New Roman"/>
                <w:color w:val="000000"/>
              </w:rPr>
            </w:pPr>
            <w:r w:rsidRPr="00895A1D">
              <w:rPr>
                <w:rFonts w:eastAsia="Times New Roman"/>
                <w:color w:val="000000"/>
              </w:rPr>
              <w:t> </w:t>
            </w:r>
          </w:p>
        </w:tc>
        <w:tc>
          <w:tcPr>
            <w:tcW w:w="1400" w:type="dxa"/>
            <w:tcBorders>
              <w:top w:val="nil"/>
              <w:left w:val="nil"/>
              <w:bottom w:val="single" w:sz="4" w:space="0" w:color="auto"/>
              <w:right w:val="single" w:sz="4" w:space="0" w:color="auto"/>
            </w:tcBorders>
            <w:noWrap/>
            <w:vAlign w:val="bottom"/>
            <w:hideMark/>
          </w:tcPr>
          <w:p w:rsidR="00756160" w:rsidRPr="00895A1D" w14:paraId="39242F4F" w14:textId="77777777">
            <w:pPr>
              <w:autoSpaceDE/>
              <w:autoSpaceDN/>
              <w:jc w:val="right"/>
              <w:rPr>
                <w:rFonts w:eastAsia="Times New Roman"/>
                <w:color w:val="000000"/>
              </w:rPr>
            </w:pPr>
            <w:r w:rsidRPr="00895A1D">
              <w:rPr>
                <w:rFonts w:eastAsia="Times New Roman"/>
                <w:color w:val="000000"/>
              </w:rPr>
              <w:t xml:space="preserve">$12,261 </w:t>
            </w:r>
          </w:p>
        </w:tc>
        <w:tc>
          <w:tcPr>
            <w:tcW w:w="1760" w:type="dxa"/>
            <w:tcBorders>
              <w:top w:val="nil"/>
              <w:left w:val="nil"/>
              <w:bottom w:val="single" w:sz="4" w:space="0" w:color="auto"/>
              <w:right w:val="single" w:sz="4" w:space="0" w:color="auto"/>
            </w:tcBorders>
            <w:noWrap/>
            <w:vAlign w:val="bottom"/>
            <w:hideMark/>
          </w:tcPr>
          <w:p w:rsidR="00756160" w:rsidRPr="00895A1D" w14:paraId="3C37BDD8" w14:textId="77777777">
            <w:pPr>
              <w:autoSpaceDE/>
              <w:autoSpaceDN/>
              <w:jc w:val="right"/>
              <w:rPr>
                <w:rFonts w:eastAsia="Times New Roman"/>
                <w:color w:val="000000"/>
              </w:rPr>
            </w:pPr>
            <w:r w:rsidRPr="00895A1D">
              <w:rPr>
                <w:rFonts w:eastAsia="Times New Roman"/>
                <w:color w:val="000000"/>
              </w:rPr>
              <w:t xml:space="preserve">$1,114,406 </w:t>
            </w:r>
          </w:p>
        </w:tc>
      </w:tr>
    </w:tbl>
    <w:p w:rsidR="00756160" w:rsidRPr="008F486F" w:rsidP="00756160" w14:paraId="2208868A" w14:textId="77777777">
      <w:pPr>
        <w:widowControl w:val="0"/>
        <w:sectPr w:rsidSect="00756160">
          <w:headerReference w:type="default" r:id="rId28"/>
          <w:footerReference w:type="default" r:id="rId29"/>
          <w:pgSz w:w="12240" w:h="15840"/>
          <w:pgMar w:top="1440" w:right="1440" w:bottom="1440" w:left="1440" w:header="0" w:footer="766" w:gutter="0"/>
          <w:pgNumType w:start="1"/>
          <w:cols w:space="720"/>
        </w:sectPr>
      </w:pPr>
    </w:p>
    <w:p w:rsidR="00756160" w:rsidRPr="008F486F" w:rsidP="00756160" w14:paraId="3C1E0DE3" w14:textId="77777777">
      <w:pPr>
        <w:pStyle w:val="Heading1"/>
        <w:jc w:val="center"/>
      </w:pPr>
      <w:bookmarkStart w:id="200" w:name="_Toc176884030"/>
      <w:bookmarkStart w:id="201" w:name="_Toc222796537"/>
      <w:r w:rsidRPr="008F486F">
        <w:t>Appendix B Analysis Input Variables</w:t>
      </w:r>
      <w:bookmarkEnd w:id="200"/>
      <w:bookmarkEnd w:id="201"/>
    </w:p>
    <w:p w:rsidR="00756160" w:rsidRPr="008F486F" w:rsidP="00756160" w14:paraId="68078851" w14:textId="77777777"/>
    <w:p w:rsidR="00756160" w:rsidRPr="001A2C7D" w:rsidP="00756160" w14:paraId="040576E0" w14:textId="2FE8BE00">
      <w:pPr>
        <w:pStyle w:val="TableHeading"/>
        <w:rPr>
          <w:b w:val="0"/>
          <w:i/>
        </w:rPr>
      </w:pPr>
      <w:bookmarkStart w:id="202" w:name="_Toc177538240"/>
      <w:bookmarkStart w:id="203" w:name="_Toc176947871"/>
      <w:bookmarkStart w:id="204" w:name="_Toc177045608"/>
      <w:bookmarkStart w:id="205" w:name="_Toc222796260"/>
      <w:r w:rsidRPr="008F486F">
        <w:t>Table B</w:t>
      </w:r>
      <w:r w:rsidRPr="008F486F">
        <w:noBreakHyphen/>
      </w:r>
      <w:r w:rsidRPr="008F486F">
        <w:fldChar w:fldCharType="begin"/>
      </w:r>
      <w:r w:rsidRPr="008F486F">
        <w:instrText xml:space="preserve"> SEQ Table \* ARABIC \r 1</w:instrText>
      </w:r>
      <w:r w:rsidRPr="008F486F">
        <w:fldChar w:fldCharType="separate"/>
      </w:r>
      <w:r w:rsidRPr="008F486F">
        <w:rPr>
          <w:noProof/>
        </w:rPr>
        <w:t>1</w:t>
      </w:r>
      <w:r w:rsidRPr="008F486F">
        <w:fldChar w:fldCharType="end"/>
      </w:r>
      <w:r w:rsidRPr="008F486F">
        <w:t xml:space="preserve"> </w:t>
      </w:r>
      <w:r w:rsidRPr="008F486F">
        <w:tab/>
        <w:t>Analysis Input Variables</w:t>
      </w:r>
      <w:bookmarkEnd w:id="202"/>
      <w:bookmarkEnd w:id="203"/>
      <w:bookmarkEnd w:id="204"/>
      <w:bookmarkEnd w:id="205"/>
    </w:p>
    <w:tbl>
      <w:tblPr>
        <w:tblW w:w="9260" w:type="dxa"/>
        <w:tblLook w:val="04A0"/>
      </w:tblPr>
      <w:tblGrid>
        <w:gridCol w:w="1880"/>
        <w:gridCol w:w="1350"/>
        <w:gridCol w:w="1176"/>
        <w:gridCol w:w="990"/>
        <w:gridCol w:w="1080"/>
        <w:gridCol w:w="1355"/>
        <w:gridCol w:w="1429"/>
      </w:tblGrid>
      <w:tr w14:paraId="50CBC6AE" w14:textId="77777777" w:rsidTr="005D09BA">
        <w:tblPrEx>
          <w:tblW w:w="9260" w:type="dxa"/>
          <w:tblLook w:val="04A0"/>
        </w:tblPrEx>
        <w:trPr>
          <w:trHeight w:val="320"/>
        </w:trPr>
        <w:tc>
          <w:tcPr>
            <w:tcW w:w="1880" w:type="dxa"/>
            <w:tcBorders>
              <w:top w:val="single" w:sz="4" w:space="0" w:color="auto"/>
              <w:left w:val="single" w:sz="4" w:space="0" w:color="auto"/>
              <w:bottom w:val="single" w:sz="4" w:space="0" w:color="auto"/>
              <w:right w:val="single" w:sz="4" w:space="0" w:color="auto"/>
            </w:tcBorders>
            <w:noWrap/>
            <w:vAlign w:val="center"/>
            <w:hideMark/>
          </w:tcPr>
          <w:p w:rsidR="00756160" w:rsidRPr="005B781D" w14:paraId="60AE34FB" w14:textId="77777777">
            <w:pPr>
              <w:autoSpaceDE/>
              <w:autoSpaceDN/>
              <w:jc w:val="center"/>
              <w:rPr>
                <w:rFonts w:eastAsia="Times New Roman"/>
                <w:b/>
                <w:bCs/>
                <w:sz w:val="16"/>
                <w:szCs w:val="16"/>
              </w:rPr>
            </w:pPr>
            <w:r w:rsidRPr="005B781D">
              <w:rPr>
                <w:rFonts w:eastAsia="Times New Roman"/>
                <w:b/>
                <w:bCs/>
                <w:sz w:val="16"/>
                <w:szCs w:val="16"/>
              </w:rPr>
              <w:t>Activity</w:t>
            </w:r>
          </w:p>
        </w:tc>
        <w:tc>
          <w:tcPr>
            <w:tcW w:w="1350" w:type="dxa"/>
            <w:tcBorders>
              <w:top w:val="single" w:sz="4" w:space="0" w:color="auto"/>
              <w:left w:val="nil"/>
              <w:bottom w:val="single" w:sz="4" w:space="0" w:color="auto"/>
              <w:right w:val="single" w:sz="4" w:space="0" w:color="auto"/>
            </w:tcBorders>
            <w:vAlign w:val="center"/>
            <w:hideMark/>
          </w:tcPr>
          <w:p w:rsidR="00756160" w:rsidRPr="005B781D" w14:paraId="16337793" w14:textId="77777777">
            <w:pPr>
              <w:autoSpaceDE/>
              <w:autoSpaceDN/>
              <w:jc w:val="center"/>
              <w:rPr>
                <w:rFonts w:eastAsia="Times New Roman"/>
                <w:b/>
                <w:bCs/>
                <w:sz w:val="16"/>
                <w:szCs w:val="16"/>
              </w:rPr>
            </w:pPr>
            <w:r w:rsidRPr="005B781D">
              <w:rPr>
                <w:rFonts w:eastAsia="Times New Roman"/>
                <w:b/>
                <w:bCs/>
                <w:sz w:val="16"/>
                <w:szCs w:val="16"/>
              </w:rPr>
              <w:t>Mean estimate</w:t>
            </w:r>
          </w:p>
        </w:tc>
        <w:tc>
          <w:tcPr>
            <w:tcW w:w="1176" w:type="dxa"/>
            <w:tcBorders>
              <w:top w:val="single" w:sz="4" w:space="0" w:color="auto"/>
              <w:left w:val="nil"/>
              <w:bottom w:val="single" w:sz="4" w:space="0" w:color="auto"/>
              <w:right w:val="single" w:sz="4" w:space="0" w:color="auto"/>
            </w:tcBorders>
            <w:noWrap/>
            <w:vAlign w:val="center"/>
            <w:hideMark/>
          </w:tcPr>
          <w:p w:rsidR="00756160" w:rsidRPr="005B781D" w14:paraId="4F7EF594" w14:textId="12E61590">
            <w:pPr>
              <w:autoSpaceDE/>
              <w:autoSpaceDN/>
              <w:jc w:val="center"/>
              <w:rPr>
                <w:rFonts w:eastAsia="Times New Roman"/>
                <w:b/>
                <w:bCs/>
                <w:sz w:val="16"/>
                <w:szCs w:val="16"/>
              </w:rPr>
            </w:pPr>
            <w:r w:rsidRPr="005B781D">
              <w:rPr>
                <w:rFonts w:eastAsia="Times New Roman"/>
                <w:b/>
                <w:bCs/>
                <w:sz w:val="16"/>
                <w:szCs w:val="16"/>
              </w:rPr>
              <w:t>Distribution</w:t>
            </w:r>
            <w:r w:rsidR="00EA2A47">
              <w:rPr>
                <w:rFonts w:eastAsia="Times New Roman"/>
                <w:b/>
                <w:bCs/>
                <w:sz w:val="16"/>
                <w:szCs w:val="16"/>
              </w:rPr>
              <w:t>*</w:t>
            </w:r>
          </w:p>
        </w:tc>
        <w:tc>
          <w:tcPr>
            <w:tcW w:w="990" w:type="dxa"/>
            <w:tcBorders>
              <w:top w:val="single" w:sz="4" w:space="0" w:color="auto"/>
              <w:left w:val="nil"/>
              <w:bottom w:val="single" w:sz="4" w:space="0" w:color="auto"/>
              <w:right w:val="single" w:sz="4" w:space="0" w:color="auto"/>
            </w:tcBorders>
            <w:vAlign w:val="center"/>
            <w:hideMark/>
          </w:tcPr>
          <w:p w:rsidR="00756160" w:rsidRPr="005B781D" w14:paraId="54A00AED" w14:textId="77777777">
            <w:pPr>
              <w:autoSpaceDE/>
              <w:autoSpaceDN/>
              <w:jc w:val="center"/>
              <w:rPr>
                <w:rFonts w:eastAsia="Times New Roman"/>
                <w:b/>
                <w:bCs/>
                <w:sz w:val="16"/>
                <w:szCs w:val="16"/>
              </w:rPr>
            </w:pPr>
            <w:r w:rsidRPr="005B781D">
              <w:rPr>
                <w:rFonts w:eastAsia="Times New Roman"/>
                <w:b/>
                <w:bCs/>
                <w:sz w:val="16"/>
                <w:szCs w:val="16"/>
              </w:rPr>
              <w:t>Low Estimate</w:t>
            </w:r>
          </w:p>
        </w:tc>
        <w:tc>
          <w:tcPr>
            <w:tcW w:w="1080" w:type="dxa"/>
            <w:tcBorders>
              <w:top w:val="single" w:sz="4" w:space="0" w:color="auto"/>
              <w:left w:val="nil"/>
              <w:bottom w:val="single" w:sz="4" w:space="0" w:color="auto"/>
              <w:right w:val="single" w:sz="4" w:space="0" w:color="auto"/>
            </w:tcBorders>
            <w:vAlign w:val="center"/>
            <w:hideMark/>
          </w:tcPr>
          <w:p w:rsidR="00756160" w:rsidRPr="005B781D" w14:paraId="1AD00FF9" w14:textId="77777777">
            <w:pPr>
              <w:autoSpaceDE/>
              <w:autoSpaceDN/>
              <w:jc w:val="center"/>
              <w:rPr>
                <w:rFonts w:eastAsia="Times New Roman"/>
                <w:b/>
                <w:bCs/>
                <w:sz w:val="16"/>
                <w:szCs w:val="16"/>
              </w:rPr>
            </w:pPr>
            <w:r w:rsidRPr="005B781D">
              <w:rPr>
                <w:rFonts w:eastAsia="Times New Roman"/>
                <w:b/>
                <w:bCs/>
                <w:sz w:val="16"/>
                <w:szCs w:val="16"/>
              </w:rPr>
              <w:t>Best Estimate</w:t>
            </w:r>
          </w:p>
        </w:tc>
        <w:tc>
          <w:tcPr>
            <w:tcW w:w="1355" w:type="dxa"/>
            <w:tcBorders>
              <w:top w:val="single" w:sz="4" w:space="0" w:color="auto"/>
              <w:left w:val="nil"/>
              <w:bottom w:val="single" w:sz="4" w:space="0" w:color="auto"/>
              <w:right w:val="single" w:sz="4" w:space="0" w:color="auto"/>
            </w:tcBorders>
            <w:vAlign w:val="center"/>
            <w:hideMark/>
          </w:tcPr>
          <w:p w:rsidR="00756160" w:rsidRPr="005B781D" w14:paraId="3B01902F" w14:textId="77777777">
            <w:pPr>
              <w:autoSpaceDE/>
              <w:autoSpaceDN/>
              <w:jc w:val="center"/>
              <w:rPr>
                <w:rFonts w:eastAsia="Times New Roman"/>
                <w:b/>
                <w:bCs/>
                <w:sz w:val="16"/>
                <w:szCs w:val="16"/>
              </w:rPr>
            </w:pPr>
            <w:r w:rsidRPr="005B781D">
              <w:rPr>
                <w:rFonts w:eastAsia="Times New Roman"/>
                <w:b/>
                <w:bCs/>
                <w:sz w:val="16"/>
                <w:szCs w:val="16"/>
              </w:rPr>
              <w:t>High Estimate</w:t>
            </w:r>
          </w:p>
        </w:tc>
        <w:tc>
          <w:tcPr>
            <w:tcW w:w="1429" w:type="dxa"/>
            <w:tcBorders>
              <w:top w:val="single" w:sz="4" w:space="0" w:color="auto"/>
              <w:left w:val="nil"/>
              <w:bottom w:val="single" w:sz="4" w:space="0" w:color="auto"/>
              <w:right w:val="single" w:sz="4" w:space="0" w:color="auto"/>
            </w:tcBorders>
            <w:vAlign w:val="center"/>
            <w:hideMark/>
          </w:tcPr>
          <w:p w:rsidR="00756160" w:rsidRPr="005B781D" w14:paraId="460534EA" w14:textId="77777777">
            <w:pPr>
              <w:autoSpaceDE/>
              <w:autoSpaceDN/>
              <w:jc w:val="center"/>
              <w:rPr>
                <w:rFonts w:eastAsia="Times New Roman"/>
                <w:b/>
                <w:bCs/>
                <w:sz w:val="16"/>
                <w:szCs w:val="16"/>
              </w:rPr>
            </w:pPr>
            <w:r w:rsidRPr="005B781D">
              <w:rPr>
                <w:rFonts w:eastAsia="Times New Roman"/>
                <w:b/>
                <w:bCs/>
                <w:sz w:val="16"/>
                <w:szCs w:val="16"/>
              </w:rPr>
              <w:t>Source or Basis of Estimate</w:t>
            </w:r>
          </w:p>
        </w:tc>
      </w:tr>
      <w:tr w14:paraId="5A7C142B" w14:textId="77777777">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6160" w:rsidRPr="005B781D" w14:paraId="3491DA9A" w14:textId="77777777">
            <w:pPr>
              <w:autoSpaceDE/>
              <w:autoSpaceDN/>
              <w:jc w:val="center"/>
              <w:rPr>
                <w:rFonts w:eastAsia="Times New Roman"/>
                <w:b/>
                <w:bCs/>
                <w:sz w:val="16"/>
                <w:szCs w:val="16"/>
              </w:rPr>
            </w:pPr>
            <w:r w:rsidRPr="005B781D">
              <w:rPr>
                <w:rFonts w:eastAsia="Times New Roman"/>
                <w:b/>
                <w:bCs/>
                <w:sz w:val="16"/>
                <w:szCs w:val="16"/>
              </w:rPr>
              <w:t>General</w:t>
            </w:r>
          </w:p>
        </w:tc>
      </w:tr>
      <w:tr w14:paraId="348E372C"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651EA7BC" w14:textId="77777777">
            <w:pPr>
              <w:autoSpaceDE/>
              <w:autoSpaceDN/>
              <w:jc w:val="center"/>
              <w:rPr>
                <w:rFonts w:eastAsia="Times New Roman"/>
                <w:sz w:val="16"/>
                <w:szCs w:val="16"/>
              </w:rPr>
            </w:pPr>
            <w:r w:rsidRPr="005B781D">
              <w:rPr>
                <w:rFonts w:eastAsia="Times New Roman"/>
                <w:sz w:val="16"/>
                <w:szCs w:val="16"/>
              </w:rPr>
              <w:t>Base Year</w:t>
            </w:r>
          </w:p>
        </w:tc>
        <w:tc>
          <w:tcPr>
            <w:tcW w:w="1350" w:type="dxa"/>
            <w:tcBorders>
              <w:top w:val="nil"/>
              <w:left w:val="nil"/>
              <w:bottom w:val="single" w:sz="4" w:space="0" w:color="auto"/>
              <w:right w:val="single" w:sz="4" w:space="0" w:color="auto"/>
            </w:tcBorders>
            <w:vAlign w:val="bottom"/>
            <w:hideMark/>
          </w:tcPr>
          <w:p w:rsidR="00756160" w:rsidRPr="005B781D" w14:paraId="6415C9A3" w14:textId="77777777">
            <w:pPr>
              <w:autoSpaceDE/>
              <w:autoSpaceDN/>
              <w:jc w:val="center"/>
              <w:rPr>
                <w:rFonts w:eastAsia="Times New Roman"/>
                <w:sz w:val="16"/>
                <w:szCs w:val="16"/>
              </w:rPr>
            </w:pPr>
            <w:bookmarkStart w:id="206" w:name="RANGE!B3"/>
            <w:r w:rsidRPr="005B781D">
              <w:rPr>
                <w:rFonts w:eastAsia="Times New Roman"/>
                <w:sz w:val="16"/>
                <w:szCs w:val="16"/>
              </w:rPr>
              <w:t>2023</w:t>
            </w:r>
            <w:bookmarkEnd w:id="206"/>
          </w:p>
        </w:tc>
        <w:tc>
          <w:tcPr>
            <w:tcW w:w="1176" w:type="dxa"/>
            <w:tcBorders>
              <w:top w:val="nil"/>
              <w:left w:val="nil"/>
              <w:bottom w:val="nil"/>
              <w:right w:val="nil"/>
            </w:tcBorders>
            <w:shd w:val="clear" w:color="000000" w:fill="D9D9D9"/>
            <w:vAlign w:val="bottom"/>
            <w:hideMark/>
          </w:tcPr>
          <w:p w:rsidR="00756160" w:rsidRPr="005B781D" w14:paraId="32E55319"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22B1BA9A"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vAlign w:val="bottom"/>
            <w:hideMark/>
          </w:tcPr>
          <w:p w:rsidR="00756160" w:rsidRPr="005B781D" w14:paraId="17507B97" w14:textId="77777777">
            <w:pPr>
              <w:autoSpaceDE/>
              <w:autoSpaceDN/>
              <w:jc w:val="center"/>
              <w:rPr>
                <w:rFonts w:eastAsia="Times New Roman"/>
                <w:sz w:val="16"/>
                <w:szCs w:val="16"/>
              </w:rPr>
            </w:pPr>
            <w:r w:rsidRPr="005B781D">
              <w:rPr>
                <w:rFonts w:eastAsia="Times New Roman"/>
                <w:sz w:val="16"/>
                <w:szCs w:val="16"/>
              </w:rPr>
              <w:t>2023</w:t>
            </w:r>
          </w:p>
        </w:tc>
        <w:tc>
          <w:tcPr>
            <w:tcW w:w="1355" w:type="dxa"/>
            <w:tcBorders>
              <w:top w:val="nil"/>
              <w:left w:val="nil"/>
              <w:bottom w:val="nil"/>
              <w:right w:val="nil"/>
            </w:tcBorders>
            <w:shd w:val="clear" w:color="000000" w:fill="D9D9D9"/>
            <w:vAlign w:val="bottom"/>
            <w:hideMark/>
          </w:tcPr>
          <w:p w:rsidR="00756160" w:rsidRPr="005B781D" w14:paraId="05A21AF0" w14:textId="77777777">
            <w:pPr>
              <w:autoSpaceDE/>
              <w:autoSpaceDN/>
              <w:jc w:val="center"/>
              <w:rPr>
                <w:rFonts w:eastAsia="Times New Roman"/>
                <w:sz w:val="16"/>
                <w:szCs w:val="16"/>
              </w:rPr>
            </w:pPr>
          </w:p>
        </w:tc>
        <w:tc>
          <w:tcPr>
            <w:tcW w:w="1429" w:type="dxa"/>
            <w:tcBorders>
              <w:top w:val="nil"/>
              <w:left w:val="single" w:sz="4" w:space="0" w:color="auto"/>
              <w:bottom w:val="single" w:sz="4" w:space="0" w:color="auto"/>
              <w:right w:val="single" w:sz="4" w:space="0" w:color="auto"/>
            </w:tcBorders>
            <w:vAlign w:val="bottom"/>
            <w:hideMark/>
          </w:tcPr>
          <w:p w:rsidR="00756160" w:rsidRPr="005B781D" w14:paraId="36F01CD0" w14:textId="77777777">
            <w:pPr>
              <w:autoSpaceDE/>
              <w:autoSpaceDN/>
              <w:jc w:val="center"/>
              <w:rPr>
                <w:rFonts w:eastAsia="Times New Roman"/>
                <w:sz w:val="16"/>
                <w:szCs w:val="16"/>
              </w:rPr>
            </w:pPr>
            <w:r w:rsidRPr="005B781D">
              <w:rPr>
                <w:rFonts w:eastAsia="Times New Roman"/>
                <w:sz w:val="16"/>
                <w:szCs w:val="16"/>
              </w:rPr>
              <w:t>Price level Available</w:t>
            </w:r>
          </w:p>
        </w:tc>
      </w:tr>
      <w:tr w14:paraId="6EEC9C60"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4EE76422" w14:textId="77777777">
            <w:pPr>
              <w:autoSpaceDE/>
              <w:autoSpaceDN/>
              <w:jc w:val="center"/>
              <w:rPr>
                <w:rFonts w:eastAsia="Times New Roman"/>
                <w:sz w:val="16"/>
                <w:szCs w:val="16"/>
              </w:rPr>
            </w:pPr>
            <w:r w:rsidRPr="005B781D">
              <w:rPr>
                <w:rFonts w:eastAsia="Times New Roman"/>
                <w:sz w:val="16"/>
                <w:szCs w:val="16"/>
              </w:rPr>
              <w:t>Year Rule is Active</w:t>
            </w:r>
          </w:p>
        </w:tc>
        <w:tc>
          <w:tcPr>
            <w:tcW w:w="1350" w:type="dxa"/>
            <w:tcBorders>
              <w:top w:val="nil"/>
              <w:left w:val="nil"/>
              <w:bottom w:val="single" w:sz="4" w:space="0" w:color="auto"/>
              <w:right w:val="single" w:sz="4" w:space="0" w:color="auto"/>
            </w:tcBorders>
            <w:vAlign w:val="bottom"/>
            <w:hideMark/>
          </w:tcPr>
          <w:p w:rsidR="00756160" w:rsidRPr="005B781D" w14:paraId="1DF93B54" w14:textId="77777777">
            <w:pPr>
              <w:autoSpaceDE/>
              <w:autoSpaceDN/>
              <w:jc w:val="center"/>
              <w:rPr>
                <w:rFonts w:eastAsia="Times New Roman"/>
                <w:sz w:val="16"/>
                <w:szCs w:val="16"/>
              </w:rPr>
            </w:pPr>
            <w:r w:rsidRPr="005B781D">
              <w:rPr>
                <w:rFonts w:eastAsia="Times New Roman"/>
                <w:sz w:val="16"/>
                <w:szCs w:val="16"/>
              </w:rPr>
              <w:t>2026</w:t>
            </w:r>
          </w:p>
        </w:tc>
        <w:tc>
          <w:tcPr>
            <w:tcW w:w="1176" w:type="dxa"/>
            <w:tcBorders>
              <w:top w:val="nil"/>
              <w:left w:val="nil"/>
              <w:bottom w:val="nil"/>
              <w:right w:val="nil"/>
            </w:tcBorders>
            <w:shd w:val="clear" w:color="000000" w:fill="D9D9D9"/>
            <w:vAlign w:val="bottom"/>
            <w:hideMark/>
          </w:tcPr>
          <w:p w:rsidR="00756160" w:rsidRPr="005B781D" w14:paraId="7D65CA39"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450BDC33"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vAlign w:val="bottom"/>
            <w:hideMark/>
          </w:tcPr>
          <w:p w:rsidR="00756160" w:rsidRPr="005B781D" w14:paraId="730B7527" w14:textId="77777777">
            <w:pPr>
              <w:autoSpaceDE/>
              <w:autoSpaceDN/>
              <w:jc w:val="center"/>
              <w:rPr>
                <w:rFonts w:eastAsia="Times New Roman"/>
                <w:sz w:val="16"/>
                <w:szCs w:val="16"/>
              </w:rPr>
            </w:pPr>
            <w:r w:rsidRPr="005B781D">
              <w:rPr>
                <w:rFonts w:eastAsia="Times New Roman"/>
                <w:sz w:val="16"/>
                <w:szCs w:val="16"/>
              </w:rPr>
              <w:t>2026</w:t>
            </w:r>
          </w:p>
        </w:tc>
        <w:tc>
          <w:tcPr>
            <w:tcW w:w="1355" w:type="dxa"/>
            <w:tcBorders>
              <w:top w:val="nil"/>
              <w:left w:val="nil"/>
              <w:bottom w:val="nil"/>
              <w:right w:val="nil"/>
            </w:tcBorders>
            <w:shd w:val="clear" w:color="000000" w:fill="D9D9D9"/>
            <w:vAlign w:val="bottom"/>
            <w:hideMark/>
          </w:tcPr>
          <w:p w:rsidR="00756160" w:rsidRPr="005B781D" w14:paraId="199A5733" w14:textId="77777777">
            <w:pPr>
              <w:autoSpaceDE/>
              <w:autoSpaceDN/>
              <w:jc w:val="center"/>
              <w:rPr>
                <w:rFonts w:eastAsia="Times New Roman"/>
                <w:sz w:val="16"/>
                <w:szCs w:val="16"/>
              </w:rPr>
            </w:pPr>
          </w:p>
        </w:tc>
        <w:tc>
          <w:tcPr>
            <w:tcW w:w="1429" w:type="dxa"/>
            <w:tcBorders>
              <w:top w:val="nil"/>
              <w:left w:val="single" w:sz="4" w:space="0" w:color="auto"/>
              <w:bottom w:val="single" w:sz="4" w:space="0" w:color="auto"/>
              <w:right w:val="single" w:sz="4" w:space="0" w:color="auto"/>
            </w:tcBorders>
            <w:vAlign w:val="bottom"/>
            <w:hideMark/>
          </w:tcPr>
          <w:p w:rsidR="00756160" w:rsidRPr="005B781D" w14:paraId="51100715" w14:textId="77777777">
            <w:pPr>
              <w:autoSpaceDE/>
              <w:autoSpaceDN/>
              <w:jc w:val="center"/>
              <w:rPr>
                <w:rFonts w:eastAsia="Times New Roman"/>
                <w:sz w:val="16"/>
                <w:szCs w:val="16"/>
              </w:rPr>
            </w:pPr>
            <w:r w:rsidRPr="005B781D">
              <w:rPr>
                <w:rFonts w:eastAsia="Times New Roman"/>
                <w:sz w:val="16"/>
                <w:szCs w:val="16"/>
              </w:rPr>
              <w:t>Staff assumption.</w:t>
            </w:r>
          </w:p>
        </w:tc>
      </w:tr>
      <w:tr w14:paraId="2B2D439A"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637F05C" w14:textId="77777777">
            <w:pPr>
              <w:autoSpaceDE/>
              <w:autoSpaceDN/>
              <w:jc w:val="center"/>
              <w:rPr>
                <w:rFonts w:eastAsia="Times New Roman"/>
                <w:sz w:val="16"/>
                <w:szCs w:val="16"/>
              </w:rPr>
            </w:pPr>
            <w:r w:rsidRPr="005B781D">
              <w:rPr>
                <w:rFonts w:eastAsia="Times New Roman"/>
                <w:sz w:val="16"/>
                <w:szCs w:val="16"/>
              </w:rPr>
              <w:t>Analysis Horizon</w:t>
            </w:r>
          </w:p>
        </w:tc>
        <w:tc>
          <w:tcPr>
            <w:tcW w:w="1350" w:type="dxa"/>
            <w:tcBorders>
              <w:top w:val="nil"/>
              <w:left w:val="nil"/>
              <w:bottom w:val="single" w:sz="4" w:space="0" w:color="auto"/>
              <w:right w:val="single" w:sz="4" w:space="0" w:color="auto"/>
            </w:tcBorders>
            <w:vAlign w:val="bottom"/>
            <w:hideMark/>
          </w:tcPr>
          <w:p w:rsidR="00756160" w:rsidRPr="005B781D" w14:paraId="2B0CB90A" w14:textId="77777777">
            <w:pPr>
              <w:autoSpaceDE/>
              <w:autoSpaceDN/>
              <w:jc w:val="center"/>
              <w:rPr>
                <w:rFonts w:eastAsia="Times New Roman"/>
                <w:sz w:val="16"/>
                <w:szCs w:val="16"/>
              </w:rPr>
            </w:pPr>
            <w:r w:rsidRPr="005B781D">
              <w:rPr>
                <w:rFonts w:eastAsia="Times New Roman"/>
                <w:sz w:val="16"/>
                <w:szCs w:val="16"/>
              </w:rPr>
              <w:t>2045</w:t>
            </w:r>
          </w:p>
        </w:tc>
        <w:tc>
          <w:tcPr>
            <w:tcW w:w="1176" w:type="dxa"/>
            <w:tcBorders>
              <w:top w:val="nil"/>
              <w:left w:val="nil"/>
              <w:bottom w:val="nil"/>
              <w:right w:val="nil"/>
            </w:tcBorders>
            <w:shd w:val="clear" w:color="000000" w:fill="D9D9D9"/>
            <w:vAlign w:val="bottom"/>
            <w:hideMark/>
          </w:tcPr>
          <w:p w:rsidR="00756160" w:rsidRPr="005B781D" w14:paraId="22237047"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44971DBF"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vAlign w:val="bottom"/>
            <w:hideMark/>
          </w:tcPr>
          <w:p w:rsidR="00756160" w:rsidRPr="005B781D" w14:paraId="745D0CF0" w14:textId="77777777">
            <w:pPr>
              <w:autoSpaceDE/>
              <w:autoSpaceDN/>
              <w:jc w:val="center"/>
              <w:rPr>
                <w:rFonts w:eastAsia="Times New Roman"/>
                <w:sz w:val="16"/>
                <w:szCs w:val="16"/>
              </w:rPr>
            </w:pPr>
            <w:r w:rsidRPr="005B781D">
              <w:rPr>
                <w:rFonts w:eastAsia="Times New Roman"/>
                <w:sz w:val="16"/>
                <w:szCs w:val="16"/>
              </w:rPr>
              <w:t>2045</w:t>
            </w:r>
          </w:p>
        </w:tc>
        <w:tc>
          <w:tcPr>
            <w:tcW w:w="1355" w:type="dxa"/>
            <w:tcBorders>
              <w:top w:val="nil"/>
              <w:left w:val="nil"/>
              <w:bottom w:val="nil"/>
              <w:right w:val="nil"/>
            </w:tcBorders>
            <w:shd w:val="clear" w:color="000000" w:fill="D9D9D9"/>
            <w:vAlign w:val="bottom"/>
            <w:hideMark/>
          </w:tcPr>
          <w:p w:rsidR="00756160" w:rsidRPr="005B781D" w14:paraId="30C64A40" w14:textId="77777777">
            <w:pPr>
              <w:autoSpaceDE/>
              <w:autoSpaceDN/>
              <w:jc w:val="center"/>
              <w:rPr>
                <w:rFonts w:eastAsia="Times New Roman"/>
                <w:sz w:val="16"/>
                <w:szCs w:val="16"/>
              </w:rPr>
            </w:pPr>
          </w:p>
        </w:tc>
        <w:tc>
          <w:tcPr>
            <w:tcW w:w="1429" w:type="dxa"/>
            <w:tcBorders>
              <w:top w:val="nil"/>
              <w:left w:val="single" w:sz="4" w:space="0" w:color="auto"/>
              <w:bottom w:val="single" w:sz="4" w:space="0" w:color="auto"/>
              <w:right w:val="single" w:sz="4" w:space="0" w:color="auto"/>
            </w:tcBorders>
            <w:vAlign w:val="bottom"/>
            <w:hideMark/>
          </w:tcPr>
          <w:p w:rsidR="00756160" w:rsidRPr="005B781D" w14:paraId="421B44DA" w14:textId="77777777">
            <w:pPr>
              <w:autoSpaceDE/>
              <w:autoSpaceDN/>
              <w:jc w:val="center"/>
              <w:rPr>
                <w:rFonts w:eastAsia="Times New Roman"/>
                <w:sz w:val="16"/>
                <w:szCs w:val="16"/>
              </w:rPr>
            </w:pPr>
            <w:r w:rsidRPr="005B781D">
              <w:rPr>
                <w:rFonts w:eastAsia="Times New Roman"/>
                <w:sz w:val="16"/>
                <w:szCs w:val="16"/>
              </w:rPr>
              <w:t>Staff assumption</w:t>
            </w:r>
          </w:p>
        </w:tc>
      </w:tr>
      <w:tr w14:paraId="06CBF2CF"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2872DB6" w14:textId="77777777">
            <w:pPr>
              <w:autoSpaceDE/>
              <w:autoSpaceDN/>
              <w:jc w:val="center"/>
              <w:rPr>
                <w:rFonts w:eastAsia="Times New Roman"/>
                <w:sz w:val="16"/>
                <w:szCs w:val="16"/>
              </w:rPr>
            </w:pPr>
            <w:r w:rsidRPr="005B781D">
              <w:rPr>
                <w:rFonts w:eastAsia="Times New Roman"/>
                <w:sz w:val="16"/>
                <w:szCs w:val="16"/>
              </w:rPr>
              <w:t>Discount Rate</w:t>
            </w:r>
          </w:p>
        </w:tc>
        <w:tc>
          <w:tcPr>
            <w:tcW w:w="1350" w:type="dxa"/>
            <w:tcBorders>
              <w:top w:val="nil"/>
              <w:left w:val="nil"/>
              <w:bottom w:val="single" w:sz="4" w:space="0" w:color="auto"/>
              <w:right w:val="single" w:sz="4" w:space="0" w:color="auto"/>
            </w:tcBorders>
            <w:vAlign w:val="bottom"/>
            <w:hideMark/>
          </w:tcPr>
          <w:p w:rsidR="00756160" w:rsidRPr="005B781D" w14:paraId="16F14C87" w14:textId="77777777">
            <w:pPr>
              <w:autoSpaceDE/>
              <w:autoSpaceDN/>
              <w:jc w:val="center"/>
              <w:rPr>
                <w:rFonts w:eastAsia="Times New Roman"/>
                <w:sz w:val="16"/>
                <w:szCs w:val="16"/>
              </w:rPr>
            </w:pPr>
            <w:bookmarkStart w:id="207" w:name="RANGE!B6"/>
            <w:r w:rsidRPr="005B781D">
              <w:rPr>
                <w:rFonts w:eastAsia="Times New Roman"/>
                <w:sz w:val="16"/>
                <w:szCs w:val="16"/>
              </w:rPr>
              <w:t>7%</w:t>
            </w:r>
            <w:bookmarkEnd w:id="207"/>
          </w:p>
        </w:tc>
        <w:tc>
          <w:tcPr>
            <w:tcW w:w="1176" w:type="dxa"/>
            <w:tcBorders>
              <w:top w:val="nil"/>
              <w:left w:val="nil"/>
              <w:bottom w:val="nil"/>
              <w:right w:val="nil"/>
            </w:tcBorders>
            <w:shd w:val="clear" w:color="000000" w:fill="D9D9D9"/>
            <w:vAlign w:val="bottom"/>
            <w:hideMark/>
          </w:tcPr>
          <w:p w:rsidR="00756160" w:rsidRPr="005B781D" w14:paraId="42118D5E"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36693414"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vAlign w:val="bottom"/>
            <w:hideMark/>
          </w:tcPr>
          <w:p w:rsidR="00756160" w:rsidRPr="005B781D" w14:paraId="7CFFB070" w14:textId="77777777">
            <w:pPr>
              <w:autoSpaceDE/>
              <w:autoSpaceDN/>
              <w:jc w:val="center"/>
              <w:rPr>
                <w:rFonts w:eastAsia="Times New Roman"/>
                <w:sz w:val="16"/>
                <w:szCs w:val="16"/>
              </w:rPr>
            </w:pPr>
            <w:r w:rsidRPr="005B781D">
              <w:rPr>
                <w:rFonts w:eastAsia="Times New Roman"/>
                <w:sz w:val="16"/>
                <w:szCs w:val="16"/>
              </w:rPr>
              <w:t>7%</w:t>
            </w:r>
          </w:p>
        </w:tc>
        <w:tc>
          <w:tcPr>
            <w:tcW w:w="1355" w:type="dxa"/>
            <w:tcBorders>
              <w:top w:val="nil"/>
              <w:left w:val="nil"/>
              <w:bottom w:val="nil"/>
              <w:right w:val="nil"/>
            </w:tcBorders>
            <w:shd w:val="clear" w:color="000000" w:fill="D9D9D9"/>
            <w:vAlign w:val="bottom"/>
            <w:hideMark/>
          </w:tcPr>
          <w:p w:rsidR="00756160" w:rsidRPr="005B781D" w14:paraId="7820BC55" w14:textId="77777777">
            <w:pPr>
              <w:autoSpaceDE/>
              <w:autoSpaceDN/>
              <w:jc w:val="center"/>
              <w:rPr>
                <w:rFonts w:eastAsia="Times New Roman"/>
                <w:sz w:val="16"/>
                <w:szCs w:val="16"/>
              </w:rPr>
            </w:pPr>
          </w:p>
        </w:tc>
        <w:tc>
          <w:tcPr>
            <w:tcW w:w="1429" w:type="dxa"/>
            <w:tcBorders>
              <w:top w:val="nil"/>
              <w:left w:val="single" w:sz="4" w:space="0" w:color="auto"/>
              <w:bottom w:val="single" w:sz="4" w:space="0" w:color="auto"/>
              <w:right w:val="single" w:sz="4" w:space="0" w:color="auto"/>
            </w:tcBorders>
            <w:vAlign w:val="bottom"/>
            <w:hideMark/>
          </w:tcPr>
          <w:p w:rsidR="00756160" w:rsidRPr="005B781D" w14:paraId="1AE60EA1" w14:textId="77777777">
            <w:pPr>
              <w:autoSpaceDE/>
              <w:autoSpaceDN/>
              <w:jc w:val="center"/>
              <w:rPr>
                <w:rFonts w:eastAsia="Times New Roman"/>
                <w:sz w:val="16"/>
                <w:szCs w:val="16"/>
              </w:rPr>
            </w:pPr>
            <w:r w:rsidRPr="005B781D">
              <w:rPr>
                <w:rFonts w:eastAsia="Times New Roman"/>
                <w:sz w:val="16"/>
                <w:szCs w:val="16"/>
              </w:rPr>
              <w:t>NUREG/BR-0058</w:t>
            </w:r>
          </w:p>
        </w:tc>
      </w:tr>
      <w:tr w14:paraId="49A3EBA5"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92EAB24" w14:textId="77777777">
            <w:pPr>
              <w:autoSpaceDE/>
              <w:autoSpaceDN/>
              <w:jc w:val="center"/>
              <w:rPr>
                <w:rFonts w:eastAsia="Times New Roman"/>
                <w:sz w:val="16"/>
                <w:szCs w:val="16"/>
              </w:rPr>
            </w:pPr>
            <w:r w:rsidRPr="005B781D">
              <w:rPr>
                <w:rFonts w:eastAsia="Times New Roman"/>
                <w:sz w:val="16"/>
                <w:szCs w:val="16"/>
              </w:rPr>
              <w:t>Supplemental Discount Rate</w:t>
            </w:r>
          </w:p>
        </w:tc>
        <w:tc>
          <w:tcPr>
            <w:tcW w:w="1350" w:type="dxa"/>
            <w:tcBorders>
              <w:top w:val="nil"/>
              <w:left w:val="nil"/>
              <w:bottom w:val="single" w:sz="4" w:space="0" w:color="auto"/>
              <w:right w:val="single" w:sz="4" w:space="0" w:color="auto"/>
            </w:tcBorders>
            <w:vAlign w:val="bottom"/>
            <w:hideMark/>
          </w:tcPr>
          <w:p w:rsidR="00756160" w:rsidRPr="005B781D" w14:paraId="6E6869E7" w14:textId="77777777">
            <w:pPr>
              <w:autoSpaceDE/>
              <w:autoSpaceDN/>
              <w:jc w:val="center"/>
              <w:rPr>
                <w:rFonts w:eastAsia="Times New Roman"/>
                <w:sz w:val="16"/>
                <w:szCs w:val="16"/>
              </w:rPr>
            </w:pPr>
            <w:bookmarkStart w:id="208" w:name="RANGE!B7"/>
            <w:r w:rsidRPr="005B781D">
              <w:rPr>
                <w:rFonts w:eastAsia="Times New Roman"/>
                <w:sz w:val="16"/>
                <w:szCs w:val="16"/>
              </w:rPr>
              <w:t>3%</w:t>
            </w:r>
            <w:bookmarkEnd w:id="208"/>
          </w:p>
        </w:tc>
        <w:tc>
          <w:tcPr>
            <w:tcW w:w="1176" w:type="dxa"/>
            <w:tcBorders>
              <w:top w:val="nil"/>
              <w:left w:val="nil"/>
              <w:bottom w:val="nil"/>
              <w:right w:val="nil"/>
            </w:tcBorders>
            <w:shd w:val="clear" w:color="000000" w:fill="D9D9D9"/>
            <w:vAlign w:val="bottom"/>
            <w:hideMark/>
          </w:tcPr>
          <w:p w:rsidR="00756160" w:rsidRPr="005B781D" w14:paraId="36B3BD5A"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2873F80B"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vAlign w:val="bottom"/>
            <w:hideMark/>
          </w:tcPr>
          <w:p w:rsidR="00756160" w:rsidRPr="005B781D" w14:paraId="03FF8961" w14:textId="77777777">
            <w:pPr>
              <w:autoSpaceDE/>
              <w:autoSpaceDN/>
              <w:jc w:val="center"/>
              <w:rPr>
                <w:rFonts w:eastAsia="Times New Roman"/>
                <w:sz w:val="16"/>
                <w:szCs w:val="16"/>
              </w:rPr>
            </w:pPr>
            <w:r w:rsidRPr="005B781D">
              <w:rPr>
                <w:rFonts w:eastAsia="Times New Roman"/>
                <w:sz w:val="16"/>
                <w:szCs w:val="16"/>
              </w:rPr>
              <w:t>3%</w:t>
            </w:r>
          </w:p>
        </w:tc>
        <w:tc>
          <w:tcPr>
            <w:tcW w:w="1355" w:type="dxa"/>
            <w:tcBorders>
              <w:top w:val="nil"/>
              <w:left w:val="nil"/>
              <w:bottom w:val="nil"/>
              <w:right w:val="nil"/>
            </w:tcBorders>
            <w:shd w:val="clear" w:color="000000" w:fill="D9D9D9"/>
            <w:vAlign w:val="bottom"/>
            <w:hideMark/>
          </w:tcPr>
          <w:p w:rsidR="00756160" w:rsidRPr="005B781D" w14:paraId="7D45F75F" w14:textId="77777777">
            <w:pPr>
              <w:autoSpaceDE/>
              <w:autoSpaceDN/>
              <w:jc w:val="center"/>
              <w:rPr>
                <w:rFonts w:eastAsia="Times New Roman"/>
                <w:sz w:val="16"/>
                <w:szCs w:val="16"/>
              </w:rPr>
            </w:pPr>
          </w:p>
        </w:tc>
        <w:tc>
          <w:tcPr>
            <w:tcW w:w="1429" w:type="dxa"/>
            <w:tcBorders>
              <w:top w:val="nil"/>
              <w:left w:val="single" w:sz="4" w:space="0" w:color="auto"/>
              <w:bottom w:val="single" w:sz="4" w:space="0" w:color="auto"/>
              <w:right w:val="single" w:sz="4" w:space="0" w:color="auto"/>
            </w:tcBorders>
            <w:vAlign w:val="bottom"/>
            <w:hideMark/>
          </w:tcPr>
          <w:p w:rsidR="00756160" w:rsidRPr="005B781D" w14:paraId="002FED01" w14:textId="77777777">
            <w:pPr>
              <w:autoSpaceDE/>
              <w:autoSpaceDN/>
              <w:jc w:val="center"/>
              <w:rPr>
                <w:rFonts w:eastAsia="Times New Roman"/>
                <w:sz w:val="16"/>
                <w:szCs w:val="16"/>
              </w:rPr>
            </w:pPr>
            <w:r w:rsidRPr="005B781D">
              <w:rPr>
                <w:rFonts w:eastAsia="Times New Roman"/>
                <w:sz w:val="16"/>
                <w:szCs w:val="16"/>
              </w:rPr>
              <w:t>NUREG/BR-0058</w:t>
            </w:r>
          </w:p>
        </w:tc>
      </w:tr>
      <w:tr w14:paraId="3584D6B4"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30940032" w14:textId="77777777">
            <w:pPr>
              <w:autoSpaceDE/>
              <w:autoSpaceDN/>
              <w:jc w:val="center"/>
              <w:rPr>
                <w:rFonts w:eastAsia="Times New Roman"/>
                <w:sz w:val="16"/>
                <w:szCs w:val="16"/>
              </w:rPr>
            </w:pPr>
            <w:r w:rsidRPr="005B781D">
              <w:rPr>
                <w:rFonts w:eastAsia="Times New Roman"/>
                <w:sz w:val="16"/>
                <w:szCs w:val="16"/>
              </w:rPr>
              <w:t>NRC Staff labor rate</w:t>
            </w:r>
          </w:p>
        </w:tc>
        <w:tc>
          <w:tcPr>
            <w:tcW w:w="1350" w:type="dxa"/>
            <w:tcBorders>
              <w:top w:val="nil"/>
              <w:left w:val="nil"/>
              <w:bottom w:val="single" w:sz="4" w:space="0" w:color="auto"/>
              <w:right w:val="single" w:sz="4" w:space="0" w:color="auto"/>
            </w:tcBorders>
            <w:vAlign w:val="bottom"/>
            <w:hideMark/>
          </w:tcPr>
          <w:p w:rsidR="00756160" w:rsidRPr="005B781D" w14:paraId="38D84B91" w14:textId="77777777">
            <w:pPr>
              <w:autoSpaceDE/>
              <w:autoSpaceDN/>
              <w:jc w:val="center"/>
              <w:rPr>
                <w:rFonts w:eastAsia="Times New Roman"/>
                <w:sz w:val="16"/>
                <w:szCs w:val="16"/>
              </w:rPr>
            </w:pPr>
            <w:bookmarkStart w:id="209" w:name="RANGE!B8"/>
            <w:r w:rsidRPr="005B781D">
              <w:rPr>
                <w:rFonts w:eastAsia="Times New Roman"/>
                <w:sz w:val="16"/>
                <w:szCs w:val="16"/>
              </w:rPr>
              <w:t>$152</w:t>
            </w:r>
            <w:bookmarkEnd w:id="209"/>
          </w:p>
        </w:tc>
        <w:tc>
          <w:tcPr>
            <w:tcW w:w="1176" w:type="dxa"/>
            <w:tcBorders>
              <w:top w:val="nil"/>
              <w:left w:val="nil"/>
              <w:bottom w:val="nil"/>
              <w:right w:val="nil"/>
            </w:tcBorders>
            <w:shd w:val="clear" w:color="000000" w:fill="D9D9D9"/>
            <w:vAlign w:val="bottom"/>
            <w:hideMark/>
          </w:tcPr>
          <w:p w:rsidR="00756160" w:rsidRPr="005B781D" w14:paraId="5CD7C580"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5CC0B8CF"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vAlign w:val="bottom"/>
            <w:hideMark/>
          </w:tcPr>
          <w:p w:rsidR="00756160" w:rsidRPr="005B781D" w14:paraId="687EB9F5" w14:textId="77777777">
            <w:pPr>
              <w:autoSpaceDE/>
              <w:autoSpaceDN/>
              <w:jc w:val="center"/>
              <w:rPr>
                <w:rFonts w:eastAsia="Times New Roman"/>
                <w:sz w:val="16"/>
                <w:szCs w:val="16"/>
              </w:rPr>
            </w:pPr>
            <w:r w:rsidRPr="005B781D">
              <w:rPr>
                <w:rFonts w:eastAsia="Times New Roman"/>
                <w:sz w:val="16"/>
                <w:szCs w:val="16"/>
              </w:rPr>
              <w:t>$152</w:t>
            </w:r>
          </w:p>
        </w:tc>
        <w:tc>
          <w:tcPr>
            <w:tcW w:w="1355" w:type="dxa"/>
            <w:tcBorders>
              <w:top w:val="nil"/>
              <w:left w:val="nil"/>
              <w:bottom w:val="nil"/>
              <w:right w:val="nil"/>
            </w:tcBorders>
            <w:shd w:val="clear" w:color="000000" w:fill="D9D9D9"/>
            <w:vAlign w:val="bottom"/>
            <w:hideMark/>
          </w:tcPr>
          <w:p w:rsidR="00756160" w:rsidRPr="005B781D" w14:paraId="60B0E742" w14:textId="77777777">
            <w:pPr>
              <w:autoSpaceDE/>
              <w:autoSpaceDN/>
              <w:jc w:val="center"/>
              <w:rPr>
                <w:rFonts w:eastAsia="Times New Roman"/>
                <w:sz w:val="16"/>
                <w:szCs w:val="16"/>
              </w:rPr>
            </w:pPr>
          </w:p>
        </w:tc>
        <w:tc>
          <w:tcPr>
            <w:tcW w:w="1429" w:type="dxa"/>
            <w:tcBorders>
              <w:top w:val="nil"/>
              <w:left w:val="single" w:sz="4" w:space="0" w:color="auto"/>
              <w:bottom w:val="single" w:sz="4" w:space="0" w:color="auto"/>
              <w:right w:val="single" w:sz="4" w:space="0" w:color="auto"/>
            </w:tcBorders>
            <w:vAlign w:val="bottom"/>
            <w:hideMark/>
          </w:tcPr>
          <w:p w:rsidR="00756160" w:rsidRPr="005B781D" w14:paraId="7DA4C775" w14:textId="77777777">
            <w:pPr>
              <w:autoSpaceDE/>
              <w:autoSpaceDN/>
              <w:jc w:val="center"/>
              <w:rPr>
                <w:rFonts w:eastAsia="Times New Roman"/>
                <w:sz w:val="16"/>
                <w:szCs w:val="16"/>
              </w:rPr>
            </w:pPr>
            <w:r w:rsidRPr="005B781D">
              <w:rPr>
                <w:rFonts w:eastAsia="Times New Roman"/>
                <w:sz w:val="16"/>
                <w:szCs w:val="16"/>
              </w:rPr>
              <w:t>Calculated value based on NRC actuals</w:t>
            </w:r>
          </w:p>
        </w:tc>
      </w:tr>
      <w:tr w14:paraId="47B53618"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442D9354" w14:textId="77777777">
            <w:pPr>
              <w:autoSpaceDE/>
              <w:autoSpaceDN/>
              <w:jc w:val="center"/>
              <w:rPr>
                <w:rFonts w:eastAsia="Times New Roman"/>
                <w:sz w:val="16"/>
                <w:szCs w:val="16"/>
              </w:rPr>
            </w:pPr>
            <w:r w:rsidRPr="005B781D">
              <w:rPr>
                <w:rFonts w:eastAsia="Times New Roman"/>
                <w:sz w:val="16"/>
                <w:szCs w:val="16"/>
              </w:rPr>
              <w:t>NRC FTE Hours</w:t>
            </w:r>
          </w:p>
        </w:tc>
        <w:tc>
          <w:tcPr>
            <w:tcW w:w="1350" w:type="dxa"/>
            <w:tcBorders>
              <w:top w:val="nil"/>
              <w:left w:val="nil"/>
              <w:bottom w:val="single" w:sz="4" w:space="0" w:color="auto"/>
              <w:right w:val="single" w:sz="4" w:space="0" w:color="auto"/>
            </w:tcBorders>
            <w:vAlign w:val="bottom"/>
            <w:hideMark/>
          </w:tcPr>
          <w:p w:rsidR="00756160" w:rsidRPr="005B781D" w14:paraId="2379D27D" w14:textId="77777777">
            <w:pPr>
              <w:autoSpaceDE/>
              <w:autoSpaceDN/>
              <w:jc w:val="center"/>
              <w:rPr>
                <w:rFonts w:eastAsia="Times New Roman"/>
                <w:sz w:val="16"/>
                <w:szCs w:val="16"/>
              </w:rPr>
            </w:pPr>
            <w:r w:rsidRPr="005B781D">
              <w:rPr>
                <w:rFonts w:eastAsia="Times New Roman"/>
                <w:sz w:val="16"/>
                <w:szCs w:val="16"/>
              </w:rPr>
              <w:t>1510</w:t>
            </w:r>
          </w:p>
        </w:tc>
        <w:tc>
          <w:tcPr>
            <w:tcW w:w="1176" w:type="dxa"/>
            <w:tcBorders>
              <w:top w:val="nil"/>
              <w:left w:val="nil"/>
              <w:bottom w:val="nil"/>
              <w:right w:val="nil"/>
            </w:tcBorders>
            <w:shd w:val="clear" w:color="000000" w:fill="D9D9D9"/>
            <w:vAlign w:val="bottom"/>
            <w:hideMark/>
          </w:tcPr>
          <w:p w:rsidR="00756160" w:rsidRPr="005B781D" w14:paraId="138CB824" w14:textId="77777777">
            <w:pPr>
              <w:autoSpaceDE/>
              <w:autoSpaceDN/>
              <w:jc w:val="center"/>
              <w:rPr>
                <w:rFonts w:eastAsia="Times New Roman"/>
                <w:sz w:val="16"/>
                <w:szCs w:val="16"/>
              </w:rPr>
            </w:pPr>
          </w:p>
        </w:tc>
        <w:tc>
          <w:tcPr>
            <w:tcW w:w="990" w:type="dxa"/>
            <w:tcBorders>
              <w:top w:val="nil"/>
              <w:left w:val="nil"/>
              <w:bottom w:val="nil"/>
              <w:right w:val="nil"/>
            </w:tcBorders>
            <w:shd w:val="clear" w:color="000000" w:fill="D9D9D9"/>
            <w:vAlign w:val="bottom"/>
            <w:hideMark/>
          </w:tcPr>
          <w:p w:rsidR="00756160" w:rsidRPr="005B781D" w14:paraId="1880EF6F" w14:textId="77777777">
            <w:pPr>
              <w:autoSpaceDE/>
              <w:autoSpaceDN/>
              <w:jc w:val="center"/>
              <w:rPr>
                <w:rFonts w:eastAsia="Times New Roman"/>
                <w:sz w:val="16"/>
                <w:szCs w:val="16"/>
              </w:rPr>
            </w:pPr>
          </w:p>
        </w:tc>
        <w:tc>
          <w:tcPr>
            <w:tcW w:w="1080" w:type="dxa"/>
            <w:tcBorders>
              <w:top w:val="nil"/>
              <w:left w:val="single" w:sz="4" w:space="0" w:color="auto"/>
              <w:bottom w:val="single" w:sz="4" w:space="0" w:color="auto"/>
              <w:right w:val="single" w:sz="4" w:space="0" w:color="auto"/>
            </w:tcBorders>
            <w:vAlign w:val="bottom"/>
            <w:hideMark/>
          </w:tcPr>
          <w:p w:rsidR="00756160" w:rsidRPr="005B781D" w14:paraId="256E2B33" w14:textId="77777777">
            <w:pPr>
              <w:autoSpaceDE/>
              <w:autoSpaceDN/>
              <w:jc w:val="center"/>
              <w:rPr>
                <w:rFonts w:eastAsia="Times New Roman"/>
                <w:sz w:val="16"/>
                <w:szCs w:val="16"/>
              </w:rPr>
            </w:pPr>
            <w:r w:rsidRPr="005B781D">
              <w:rPr>
                <w:rFonts w:eastAsia="Times New Roman"/>
                <w:sz w:val="16"/>
                <w:szCs w:val="16"/>
              </w:rPr>
              <w:t>1510</w:t>
            </w:r>
          </w:p>
        </w:tc>
        <w:tc>
          <w:tcPr>
            <w:tcW w:w="1355" w:type="dxa"/>
            <w:tcBorders>
              <w:top w:val="nil"/>
              <w:left w:val="nil"/>
              <w:bottom w:val="nil"/>
              <w:right w:val="nil"/>
            </w:tcBorders>
            <w:shd w:val="clear" w:color="000000" w:fill="D9D9D9"/>
            <w:vAlign w:val="bottom"/>
            <w:hideMark/>
          </w:tcPr>
          <w:p w:rsidR="00756160" w:rsidRPr="005B781D" w14:paraId="0E7C0E02" w14:textId="77777777">
            <w:pPr>
              <w:autoSpaceDE/>
              <w:autoSpaceDN/>
              <w:jc w:val="center"/>
              <w:rPr>
                <w:rFonts w:eastAsia="Times New Roman"/>
                <w:sz w:val="16"/>
                <w:szCs w:val="16"/>
              </w:rPr>
            </w:pPr>
          </w:p>
        </w:tc>
        <w:tc>
          <w:tcPr>
            <w:tcW w:w="1429" w:type="dxa"/>
            <w:tcBorders>
              <w:top w:val="nil"/>
              <w:left w:val="single" w:sz="4" w:space="0" w:color="auto"/>
              <w:bottom w:val="single" w:sz="4" w:space="0" w:color="auto"/>
              <w:right w:val="single" w:sz="4" w:space="0" w:color="auto"/>
            </w:tcBorders>
            <w:vAlign w:val="bottom"/>
            <w:hideMark/>
          </w:tcPr>
          <w:p w:rsidR="00756160" w:rsidRPr="005B781D" w14:paraId="48322B55" w14:textId="77777777">
            <w:pPr>
              <w:autoSpaceDE/>
              <w:autoSpaceDN/>
              <w:jc w:val="center"/>
              <w:rPr>
                <w:rFonts w:eastAsia="Times New Roman"/>
                <w:sz w:val="16"/>
                <w:szCs w:val="16"/>
              </w:rPr>
            </w:pPr>
          </w:p>
        </w:tc>
      </w:tr>
      <w:tr w14:paraId="5B2309DF"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DE904DF" w14:textId="77777777">
            <w:pPr>
              <w:autoSpaceDE/>
              <w:autoSpaceDN/>
              <w:jc w:val="center"/>
              <w:rPr>
                <w:rFonts w:eastAsia="Times New Roman"/>
                <w:sz w:val="16"/>
                <w:szCs w:val="16"/>
              </w:rPr>
            </w:pPr>
            <w:r w:rsidRPr="005B781D">
              <w:rPr>
                <w:rFonts w:eastAsia="Times New Roman"/>
                <w:sz w:val="16"/>
                <w:szCs w:val="16"/>
              </w:rPr>
              <w:t>Agreement State staff labor rate</w:t>
            </w:r>
          </w:p>
        </w:tc>
        <w:tc>
          <w:tcPr>
            <w:tcW w:w="1350" w:type="dxa"/>
            <w:tcBorders>
              <w:top w:val="nil"/>
              <w:left w:val="nil"/>
              <w:bottom w:val="single" w:sz="4" w:space="0" w:color="auto"/>
              <w:right w:val="single" w:sz="4" w:space="0" w:color="auto"/>
            </w:tcBorders>
            <w:vAlign w:val="bottom"/>
            <w:hideMark/>
          </w:tcPr>
          <w:p w:rsidR="00756160" w:rsidRPr="005B781D" w14:paraId="3F6CA3CC" w14:textId="77777777">
            <w:pPr>
              <w:autoSpaceDE/>
              <w:autoSpaceDN/>
              <w:jc w:val="center"/>
              <w:rPr>
                <w:rFonts w:eastAsia="Times New Roman"/>
                <w:sz w:val="16"/>
                <w:szCs w:val="16"/>
              </w:rPr>
            </w:pPr>
            <w:bookmarkStart w:id="210" w:name="RANGE!B10"/>
            <w:r w:rsidRPr="005B781D">
              <w:rPr>
                <w:rFonts w:eastAsia="Times New Roman"/>
                <w:sz w:val="16"/>
                <w:szCs w:val="16"/>
              </w:rPr>
              <w:t>$56</w:t>
            </w:r>
            <w:bookmarkEnd w:id="210"/>
          </w:p>
        </w:tc>
        <w:tc>
          <w:tcPr>
            <w:tcW w:w="1176" w:type="dxa"/>
            <w:tcBorders>
              <w:top w:val="single" w:sz="4" w:space="0" w:color="auto"/>
              <w:left w:val="nil"/>
              <w:bottom w:val="single" w:sz="4" w:space="0" w:color="auto"/>
              <w:right w:val="single" w:sz="4" w:space="0" w:color="auto"/>
            </w:tcBorders>
            <w:vAlign w:val="bottom"/>
            <w:hideMark/>
          </w:tcPr>
          <w:p w:rsidR="00756160" w:rsidRPr="005B781D" w14:paraId="45D49935"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single" w:sz="4" w:space="0" w:color="auto"/>
              <w:left w:val="nil"/>
              <w:bottom w:val="single" w:sz="4" w:space="0" w:color="auto"/>
              <w:right w:val="single" w:sz="4" w:space="0" w:color="auto"/>
            </w:tcBorders>
            <w:vAlign w:val="bottom"/>
            <w:hideMark/>
          </w:tcPr>
          <w:p w:rsidR="00756160" w:rsidRPr="005B781D" w14:paraId="080666C4" w14:textId="77777777">
            <w:pPr>
              <w:autoSpaceDE/>
              <w:autoSpaceDN/>
              <w:jc w:val="center"/>
              <w:rPr>
                <w:rFonts w:eastAsia="Times New Roman"/>
                <w:sz w:val="16"/>
                <w:szCs w:val="16"/>
              </w:rPr>
            </w:pPr>
            <w:r w:rsidRPr="005B781D">
              <w:rPr>
                <w:rFonts w:eastAsia="Times New Roman"/>
                <w:sz w:val="16"/>
                <w:szCs w:val="16"/>
              </w:rPr>
              <w:t>$40.75</w:t>
            </w:r>
          </w:p>
        </w:tc>
        <w:tc>
          <w:tcPr>
            <w:tcW w:w="1080" w:type="dxa"/>
            <w:tcBorders>
              <w:top w:val="nil"/>
              <w:left w:val="nil"/>
              <w:bottom w:val="single" w:sz="4" w:space="0" w:color="auto"/>
              <w:right w:val="single" w:sz="4" w:space="0" w:color="auto"/>
            </w:tcBorders>
            <w:vAlign w:val="bottom"/>
            <w:hideMark/>
          </w:tcPr>
          <w:p w:rsidR="00756160" w:rsidRPr="005B781D" w14:paraId="78A11EE1" w14:textId="77777777">
            <w:pPr>
              <w:autoSpaceDE/>
              <w:autoSpaceDN/>
              <w:jc w:val="center"/>
              <w:rPr>
                <w:rFonts w:eastAsia="Times New Roman"/>
                <w:sz w:val="16"/>
                <w:szCs w:val="16"/>
              </w:rPr>
            </w:pPr>
            <w:r w:rsidRPr="005B781D">
              <w:rPr>
                <w:rFonts w:eastAsia="Times New Roman"/>
                <w:sz w:val="16"/>
                <w:szCs w:val="16"/>
              </w:rPr>
              <w:t>$56.84</w:t>
            </w:r>
          </w:p>
        </w:tc>
        <w:tc>
          <w:tcPr>
            <w:tcW w:w="1355" w:type="dxa"/>
            <w:tcBorders>
              <w:top w:val="single" w:sz="4" w:space="0" w:color="auto"/>
              <w:left w:val="nil"/>
              <w:bottom w:val="single" w:sz="4" w:space="0" w:color="auto"/>
              <w:right w:val="single" w:sz="4" w:space="0" w:color="auto"/>
            </w:tcBorders>
            <w:vAlign w:val="bottom"/>
            <w:hideMark/>
          </w:tcPr>
          <w:p w:rsidR="00756160" w:rsidRPr="005B781D" w14:paraId="582A87FC" w14:textId="77777777">
            <w:pPr>
              <w:autoSpaceDE/>
              <w:autoSpaceDN/>
              <w:jc w:val="center"/>
              <w:rPr>
                <w:rFonts w:eastAsia="Times New Roman"/>
                <w:sz w:val="16"/>
                <w:szCs w:val="16"/>
              </w:rPr>
            </w:pPr>
            <w:r w:rsidRPr="005B781D">
              <w:rPr>
                <w:rFonts w:eastAsia="Times New Roman"/>
                <w:sz w:val="16"/>
                <w:szCs w:val="16"/>
              </w:rPr>
              <w:t>$69.58</w:t>
            </w:r>
          </w:p>
        </w:tc>
        <w:tc>
          <w:tcPr>
            <w:tcW w:w="1429" w:type="dxa"/>
            <w:tcBorders>
              <w:top w:val="nil"/>
              <w:left w:val="nil"/>
              <w:bottom w:val="single" w:sz="4" w:space="0" w:color="auto"/>
              <w:right w:val="single" w:sz="4" w:space="0" w:color="auto"/>
            </w:tcBorders>
            <w:vAlign w:val="bottom"/>
            <w:hideMark/>
          </w:tcPr>
          <w:p w:rsidR="00756160" w:rsidRPr="005B781D" w14:paraId="72AFBE43"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BLS OEWS data</w:t>
            </w:r>
          </w:p>
        </w:tc>
      </w:tr>
      <w:tr w14:paraId="0ED4C10E"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6A3EA1D3" w14:textId="77777777">
            <w:pPr>
              <w:autoSpaceDE/>
              <w:autoSpaceDN/>
              <w:jc w:val="center"/>
              <w:rPr>
                <w:rFonts w:eastAsia="Times New Roman"/>
                <w:sz w:val="16"/>
                <w:szCs w:val="16"/>
              </w:rPr>
            </w:pPr>
            <w:r w:rsidRPr="005B781D">
              <w:rPr>
                <w:rFonts w:eastAsia="Times New Roman"/>
                <w:sz w:val="16"/>
                <w:szCs w:val="16"/>
              </w:rPr>
              <w:t>Industry labor rate</w:t>
            </w:r>
          </w:p>
        </w:tc>
        <w:tc>
          <w:tcPr>
            <w:tcW w:w="1350" w:type="dxa"/>
            <w:tcBorders>
              <w:top w:val="nil"/>
              <w:left w:val="nil"/>
              <w:bottom w:val="single" w:sz="4" w:space="0" w:color="auto"/>
              <w:right w:val="single" w:sz="4" w:space="0" w:color="auto"/>
            </w:tcBorders>
            <w:vAlign w:val="bottom"/>
            <w:hideMark/>
          </w:tcPr>
          <w:p w:rsidR="00756160" w:rsidRPr="005B781D" w14:paraId="7FD3187B" w14:textId="77777777">
            <w:pPr>
              <w:autoSpaceDE/>
              <w:autoSpaceDN/>
              <w:jc w:val="center"/>
              <w:rPr>
                <w:rFonts w:eastAsia="Times New Roman"/>
                <w:sz w:val="16"/>
                <w:szCs w:val="16"/>
              </w:rPr>
            </w:pPr>
            <w:bookmarkStart w:id="211" w:name="RANGE!B11"/>
            <w:r w:rsidRPr="005B781D">
              <w:rPr>
                <w:rFonts w:eastAsia="Times New Roman"/>
                <w:sz w:val="16"/>
                <w:szCs w:val="16"/>
              </w:rPr>
              <w:t>$100</w:t>
            </w:r>
            <w:bookmarkEnd w:id="211"/>
          </w:p>
        </w:tc>
        <w:tc>
          <w:tcPr>
            <w:tcW w:w="1176" w:type="dxa"/>
            <w:tcBorders>
              <w:top w:val="nil"/>
              <w:left w:val="nil"/>
              <w:bottom w:val="single" w:sz="4" w:space="0" w:color="auto"/>
              <w:right w:val="single" w:sz="4" w:space="0" w:color="auto"/>
            </w:tcBorders>
            <w:vAlign w:val="bottom"/>
            <w:hideMark/>
          </w:tcPr>
          <w:p w:rsidR="00756160" w:rsidRPr="005B781D" w14:paraId="605F180C"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vAlign w:val="bottom"/>
            <w:hideMark/>
          </w:tcPr>
          <w:p w:rsidR="00756160" w:rsidRPr="005B781D" w14:paraId="3B2A7DD2" w14:textId="77777777">
            <w:pPr>
              <w:autoSpaceDE/>
              <w:autoSpaceDN/>
              <w:jc w:val="center"/>
              <w:rPr>
                <w:rFonts w:eastAsia="Times New Roman"/>
                <w:sz w:val="16"/>
                <w:szCs w:val="16"/>
              </w:rPr>
            </w:pPr>
            <w:r w:rsidRPr="005B781D">
              <w:rPr>
                <w:rFonts w:eastAsia="Times New Roman"/>
                <w:sz w:val="16"/>
                <w:szCs w:val="16"/>
              </w:rPr>
              <w:t>$85.29</w:t>
            </w:r>
          </w:p>
        </w:tc>
        <w:tc>
          <w:tcPr>
            <w:tcW w:w="1080" w:type="dxa"/>
            <w:tcBorders>
              <w:top w:val="nil"/>
              <w:left w:val="nil"/>
              <w:bottom w:val="single" w:sz="4" w:space="0" w:color="auto"/>
              <w:right w:val="single" w:sz="4" w:space="0" w:color="auto"/>
            </w:tcBorders>
            <w:vAlign w:val="bottom"/>
            <w:hideMark/>
          </w:tcPr>
          <w:p w:rsidR="00756160" w:rsidRPr="005B781D" w14:paraId="6829A59F" w14:textId="77777777">
            <w:pPr>
              <w:autoSpaceDE/>
              <w:autoSpaceDN/>
              <w:jc w:val="center"/>
              <w:rPr>
                <w:rFonts w:eastAsia="Times New Roman"/>
                <w:sz w:val="16"/>
                <w:szCs w:val="16"/>
              </w:rPr>
            </w:pPr>
            <w:r w:rsidRPr="005B781D">
              <w:rPr>
                <w:rFonts w:eastAsia="Times New Roman"/>
                <w:sz w:val="16"/>
                <w:szCs w:val="16"/>
              </w:rPr>
              <w:t>$100.57</w:t>
            </w:r>
          </w:p>
        </w:tc>
        <w:tc>
          <w:tcPr>
            <w:tcW w:w="1355" w:type="dxa"/>
            <w:tcBorders>
              <w:top w:val="nil"/>
              <w:left w:val="nil"/>
              <w:bottom w:val="single" w:sz="4" w:space="0" w:color="auto"/>
              <w:right w:val="single" w:sz="4" w:space="0" w:color="auto"/>
            </w:tcBorders>
            <w:vAlign w:val="bottom"/>
            <w:hideMark/>
          </w:tcPr>
          <w:p w:rsidR="00756160" w:rsidRPr="005B781D" w14:paraId="20C3B7C7" w14:textId="77777777">
            <w:pPr>
              <w:autoSpaceDE/>
              <w:autoSpaceDN/>
              <w:jc w:val="center"/>
              <w:rPr>
                <w:rFonts w:eastAsia="Times New Roman"/>
                <w:sz w:val="16"/>
                <w:szCs w:val="16"/>
              </w:rPr>
            </w:pPr>
            <w:r w:rsidRPr="005B781D">
              <w:rPr>
                <w:rFonts w:eastAsia="Times New Roman"/>
                <w:sz w:val="16"/>
                <w:szCs w:val="16"/>
              </w:rPr>
              <w:t>$113.07</w:t>
            </w:r>
          </w:p>
        </w:tc>
        <w:tc>
          <w:tcPr>
            <w:tcW w:w="1429" w:type="dxa"/>
            <w:tcBorders>
              <w:top w:val="nil"/>
              <w:left w:val="nil"/>
              <w:bottom w:val="single" w:sz="4" w:space="0" w:color="auto"/>
              <w:right w:val="single" w:sz="4" w:space="0" w:color="auto"/>
            </w:tcBorders>
            <w:vAlign w:val="bottom"/>
            <w:hideMark/>
          </w:tcPr>
          <w:p w:rsidR="00756160" w:rsidRPr="005B781D" w14:paraId="0F6E202B"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BLS OEWS data</w:t>
            </w:r>
          </w:p>
        </w:tc>
      </w:tr>
      <w:tr w14:paraId="58336C68"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12FEE8BE" w14:textId="77777777">
            <w:pPr>
              <w:autoSpaceDE/>
              <w:autoSpaceDN/>
              <w:jc w:val="center"/>
              <w:rPr>
                <w:rFonts w:eastAsia="Times New Roman"/>
                <w:b/>
                <w:bCs/>
                <w:sz w:val="16"/>
                <w:szCs w:val="16"/>
              </w:rPr>
            </w:pPr>
            <w:r w:rsidRPr="005B781D">
              <w:rPr>
                <w:rFonts w:eastAsia="Times New Roman"/>
                <w:b/>
                <w:bCs/>
                <w:sz w:val="16"/>
                <w:szCs w:val="16"/>
              </w:rPr>
              <w:t>NRC Implementation</w:t>
            </w:r>
          </w:p>
        </w:tc>
      </w:tr>
      <w:tr w14:paraId="6380AC33" w14:textId="77777777" w:rsidTr="005D09BA">
        <w:tblPrEx>
          <w:tblW w:w="9260" w:type="dxa"/>
          <w:tblLook w:val="04A0"/>
        </w:tblPrEx>
        <w:trPr>
          <w:trHeight w:val="290"/>
        </w:trPr>
        <w:tc>
          <w:tcPr>
            <w:tcW w:w="7831"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6160" w:rsidRPr="005B781D" w14:paraId="47D2B224" w14:textId="77777777">
            <w:pPr>
              <w:autoSpaceDE/>
              <w:autoSpaceDN/>
              <w:jc w:val="center"/>
              <w:rPr>
                <w:rFonts w:eastAsia="Times New Roman"/>
                <w:i/>
                <w:iCs/>
                <w:sz w:val="16"/>
                <w:szCs w:val="16"/>
              </w:rPr>
            </w:pPr>
            <w:r w:rsidRPr="005B781D">
              <w:rPr>
                <w:rFonts w:eastAsia="Times New Roman"/>
                <w:i/>
                <w:iCs/>
                <w:sz w:val="16"/>
                <w:szCs w:val="16"/>
              </w:rPr>
              <w:t>Rulemaking</w:t>
            </w:r>
          </w:p>
        </w:tc>
        <w:tc>
          <w:tcPr>
            <w:tcW w:w="1429" w:type="dxa"/>
            <w:tcBorders>
              <w:top w:val="nil"/>
              <w:left w:val="nil"/>
              <w:bottom w:val="single" w:sz="4" w:space="0" w:color="auto"/>
              <w:right w:val="single" w:sz="4" w:space="0" w:color="auto"/>
            </w:tcBorders>
            <w:vAlign w:val="bottom"/>
            <w:hideMark/>
          </w:tcPr>
          <w:p w:rsidR="00756160" w:rsidRPr="005B781D" w14:paraId="7908D92E" w14:textId="77777777">
            <w:pPr>
              <w:autoSpaceDE/>
              <w:autoSpaceDN/>
              <w:jc w:val="center"/>
              <w:rPr>
                <w:rFonts w:eastAsia="Times New Roman"/>
                <w:i/>
                <w:iCs/>
                <w:sz w:val="16"/>
                <w:szCs w:val="16"/>
              </w:rPr>
            </w:pPr>
          </w:p>
        </w:tc>
      </w:tr>
      <w:tr w14:paraId="336FB31B" w14:textId="77777777" w:rsidTr="005D09BA">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shd w:val="clear" w:color="000000" w:fill="FFFFFF"/>
            <w:vAlign w:val="bottom"/>
            <w:hideMark/>
          </w:tcPr>
          <w:p w:rsidR="00756160" w:rsidRPr="005B781D" w14:paraId="5A5B0F58" w14:textId="77777777">
            <w:pPr>
              <w:autoSpaceDE/>
              <w:autoSpaceDN/>
              <w:jc w:val="center"/>
              <w:rPr>
                <w:rFonts w:eastAsia="Times New Roman"/>
                <w:sz w:val="16"/>
                <w:szCs w:val="16"/>
              </w:rPr>
            </w:pPr>
            <w:r w:rsidRPr="005B781D">
              <w:rPr>
                <w:rFonts w:eastAsia="Times New Roman"/>
                <w:sz w:val="16"/>
                <w:szCs w:val="16"/>
              </w:rPr>
              <w:t>Prepare final rule and supporting documents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7268959B" w14:textId="77777777">
            <w:pPr>
              <w:autoSpaceDE/>
              <w:autoSpaceDN/>
              <w:jc w:val="center"/>
              <w:rPr>
                <w:rFonts w:eastAsia="Times New Roman"/>
                <w:sz w:val="16"/>
                <w:szCs w:val="16"/>
              </w:rPr>
            </w:pPr>
            <w:r w:rsidRPr="005B781D">
              <w:rPr>
                <w:rFonts w:eastAsia="Times New Roman"/>
                <w:sz w:val="16"/>
                <w:szCs w:val="16"/>
              </w:rPr>
              <w:t>1,979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31405811"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noWrap/>
            <w:vAlign w:val="bottom"/>
            <w:hideMark/>
          </w:tcPr>
          <w:p w:rsidR="00756160" w:rsidRPr="005B781D" w14:paraId="0C7F484A" w14:textId="77777777">
            <w:pPr>
              <w:autoSpaceDE/>
              <w:autoSpaceDN/>
              <w:jc w:val="center"/>
              <w:rPr>
                <w:rFonts w:eastAsia="Times New Roman"/>
                <w:sz w:val="16"/>
                <w:szCs w:val="16"/>
              </w:rPr>
            </w:pPr>
            <w:r w:rsidRPr="005B781D">
              <w:rPr>
                <w:rFonts w:eastAsia="Times New Roman"/>
                <w:sz w:val="16"/>
                <w:szCs w:val="16"/>
              </w:rPr>
              <w:t>1,472</w:t>
            </w:r>
          </w:p>
        </w:tc>
        <w:tc>
          <w:tcPr>
            <w:tcW w:w="1080" w:type="dxa"/>
            <w:tcBorders>
              <w:top w:val="nil"/>
              <w:left w:val="nil"/>
              <w:bottom w:val="single" w:sz="4" w:space="0" w:color="auto"/>
              <w:right w:val="single" w:sz="4" w:space="0" w:color="auto"/>
            </w:tcBorders>
            <w:noWrap/>
            <w:vAlign w:val="bottom"/>
            <w:hideMark/>
          </w:tcPr>
          <w:p w:rsidR="00756160" w:rsidRPr="005B781D" w14:paraId="0A04F6A2" w14:textId="77777777">
            <w:pPr>
              <w:autoSpaceDE/>
              <w:autoSpaceDN/>
              <w:jc w:val="center"/>
              <w:rPr>
                <w:rFonts w:eastAsia="Times New Roman"/>
                <w:sz w:val="16"/>
                <w:szCs w:val="16"/>
              </w:rPr>
            </w:pPr>
            <w:r w:rsidRPr="005B781D">
              <w:rPr>
                <w:rFonts w:eastAsia="Times New Roman"/>
                <w:sz w:val="16"/>
                <w:szCs w:val="16"/>
              </w:rPr>
              <w:t>1,963</w:t>
            </w:r>
          </w:p>
        </w:tc>
        <w:tc>
          <w:tcPr>
            <w:tcW w:w="1355" w:type="dxa"/>
            <w:tcBorders>
              <w:top w:val="nil"/>
              <w:left w:val="nil"/>
              <w:bottom w:val="single" w:sz="4" w:space="0" w:color="auto"/>
              <w:right w:val="single" w:sz="4" w:space="0" w:color="auto"/>
            </w:tcBorders>
            <w:noWrap/>
            <w:vAlign w:val="bottom"/>
            <w:hideMark/>
          </w:tcPr>
          <w:p w:rsidR="00756160" w:rsidRPr="005B781D" w14:paraId="7B765DB8" w14:textId="77777777">
            <w:pPr>
              <w:autoSpaceDE/>
              <w:autoSpaceDN/>
              <w:jc w:val="center"/>
              <w:rPr>
                <w:rFonts w:eastAsia="Times New Roman"/>
                <w:sz w:val="16"/>
                <w:szCs w:val="16"/>
              </w:rPr>
            </w:pPr>
            <w:r w:rsidRPr="005B781D">
              <w:rPr>
                <w:rFonts w:eastAsia="Times New Roman"/>
                <w:sz w:val="16"/>
                <w:szCs w:val="16"/>
              </w:rPr>
              <w:t>2,552</w:t>
            </w:r>
          </w:p>
        </w:tc>
        <w:tc>
          <w:tcPr>
            <w:tcW w:w="1429" w:type="dxa"/>
            <w:tcBorders>
              <w:top w:val="nil"/>
              <w:left w:val="nil"/>
              <w:bottom w:val="single" w:sz="4" w:space="0" w:color="auto"/>
              <w:right w:val="single" w:sz="4" w:space="0" w:color="auto"/>
            </w:tcBorders>
            <w:vAlign w:val="bottom"/>
            <w:hideMark/>
          </w:tcPr>
          <w:p w:rsidR="00756160" w:rsidRPr="005B781D" w14:paraId="06F656E1" w14:textId="77777777">
            <w:pPr>
              <w:autoSpaceDE/>
              <w:autoSpaceDN/>
              <w:jc w:val="center"/>
              <w:rPr>
                <w:rFonts w:eastAsia="Times New Roman"/>
                <w:sz w:val="16"/>
                <w:szCs w:val="16"/>
              </w:rPr>
            </w:pPr>
            <w:r w:rsidRPr="005B781D">
              <w:rPr>
                <w:rFonts w:eastAsia="Times New Roman"/>
                <w:sz w:val="16"/>
                <w:szCs w:val="16"/>
              </w:rPr>
              <w:t>NRC estimate based on prior rules.</w:t>
            </w:r>
          </w:p>
        </w:tc>
      </w:tr>
      <w:tr w14:paraId="0B101555"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000000" w:fill="FFFFFF"/>
            <w:vAlign w:val="bottom"/>
            <w:hideMark/>
          </w:tcPr>
          <w:p w:rsidR="00756160" w:rsidRPr="005B781D" w14:paraId="5F36E394" w14:textId="77777777">
            <w:pPr>
              <w:autoSpaceDE/>
              <w:autoSpaceDN/>
              <w:jc w:val="center"/>
              <w:rPr>
                <w:rFonts w:eastAsia="Times New Roman"/>
                <w:sz w:val="16"/>
                <w:szCs w:val="16"/>
              </w:rPr>
            </w:pPr>
            <w:r w:rsidRPr="005B781D">
              <w:rPr>
                <w:rFonts w:eastAsia="Times New Roman"/>
                <w:sz w:val="16"/>
                <w:szCs w:val="16"/>
              </w:rPr>
              <w:t>Prepare and issue guidance</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57C59DA0" w14:textId="77777777">
            <w:pPr>
              <w:autoSpaceDE/>
              <w:autoSpaceDN/>
              <w:jc w:val="center"/>
              <w:rPr>
                <w:rFonts w:eastAsia="Times New Roman"/>
                <w:sz w:val="16"/>
                <w:szCs w:val="16"/>
              </w:rPr>
            </w:pPr>
            <w:r w:rsidRPr="005B781D">
              <w:rPr>
                <w:rFonts w:eastAsia="Times New Roman"/>
                <w:sz w:val="16"/>
                <w:szCs w:val="16"/>
              </w:rPr>
              <w:t>383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533CDC70"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vAlign w:val="bottom"/>
            <w:hideMark/>
          </w:tcPr>
          <w:p w:rsidR="00756160" w:rsidRPr="005B781D" w14:paraId="60E1A24E" w14:textId="77777777">
            <w:pPr>
              <w:autoSpaceDE/>
              <w:autoSpaceDN/>
              <w:jc w:val="center"/>
              <w:rPr>
                <w:rFonts w:eastAsia="Times New Roman"/>
                <w:sz w:val="16"/>
                <w:szCs w:val="16"/>
              </w:rPr>
            </w:pPr>
            <w:r w:rsidRPr="005B781D">
              <w:rPr>
                <w:rFonts w:eastAsia="Times New Roman"/>
                <w:sz w:val="16"/>
                <w:szCs w:val="16"/>
              </w:rPr>
              <w:t>285</w:t>
            </w:r>
          </w:p>
        </w:tc>
        <w:tc>
          <w:tcPr>
            <w:tcW w:w="1080" w:type="dxa"/>
            <w:tcBorders>
              <w:top w:val="nil"/>
              <w:left w:val="nil"/>
              <w:bottom w:val="single" w:sz="4" w:space="0" w:color="auto"/>
              <w:right w:val="single" w:sz="4" w:space="0" w:color="auto"/>
            </w:tcBorders>
            <w:noWrap/>
            <w:vAlign w:val="bottom"/>
            <w:hideMark/>
          </w:tcPr>
          <w:p w:rsidR="00756160" w:rsidRPr="005B781D" w14:paraId="4B1C8093" w14:textId="77777777">
            <w:pPr>
              <w:autoSpaceDE/>
              <w:autoSpaceDN/>
              <w:jc w:val="center"/>
              <w:rPr>
                <w:rFonts w:eastAsia="Times New Roman"/>
                <w:sz w:val="16"/>
                <w:szCs w:val="16"/>
              </w:rPr>
            </w:pPr>
            <w:r w:rsidRPr="005B781D">
              <w:rPr>
                <w:rFonts w:eastAsia="Times New Roman"/>
                <w:sz w:val="16"/>
                <w:szCs w:val="16"/>
              </w:rPr>
              <w:t>380</w:t>
            </w:r>
          </w:p>
        </w:tc>
        <w:tc>
          <w:tcPr>
            <w:tcW w:w="1355" w:type="dxa"/>
            <w:tcBorders>
              <w:top w:val="nil"/>
              <w:left w:val="nil"/>
              <w:bottom w:val="single" w:sz="4" w:space="0" w:color="auto"/>
              <w:right w:val="single" w:sz="4" w:space="0" w:color="auto"/>
            </w:tcBorders>
            <w:vAlign w:val="bottom"/>
            <w:hideMark/>
          </w:tcPr>
          <w:p w:rsidR="00756160" w:rsidRPr="005B781D" w14:paraId="1F7D5302" w14:textId="77777777">
            <w:pPr>
              <w:autoSpaceDE/>
              <w:autoSpaceDN/>
              <w:jc w:val="center"/>
              <w:rPr>
                <w:rFonts w:eastAsia="Times New Roman"/>
                <w:sz w:val="16"/>
                <w:szCs w:val="16"/>
              </w:rPr>
            </w:pPr>
            <w:r w:rsidRPr="005B781D">
              <w:rPr>
                <w:rFonts w:eastAsia="Times New Roman"/>
                <w:sz w:val="16"/>
                <w:szCs w:val="16"/>
              </w:rPr>
              <w:t>494</w:t>
            </w:r>
          </w:p>
        </w:tc>
        <w:tc>
          <w:tcPr>
            <w:tcW w:w="1429" w:type="dxa"/>
            <w:tcBorders>
              <w:top w:val="nil"/>
              <w:left w:val="nil"/>
              <w:bottom w:val="single" w:sz="4" w:space="0" w:color="auto"/>
              <w:right w:val="single" w:sz="4" w:space="0" w:color="auto"/>
            </w:tcBorders>
            <w:vAlign w:val="bottom"/>
            <w:hideMark/>
          </w:tcPr>
          <w:p w:rsidR="00756160" w:rsidRPr="005B781D" w14:paraId="25E631C5"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prior rules.</w:t>
            </w:r>
          </w:p>
        </w:tc>
      </w:tr>
      <w:tr w14:paraId="3A97F5B2"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shd w:val="clear" w:color="000000" w:fill="FFFFFF"/>
            <w:vAlign w:val="bottom"/>
            <w:hideMark/>
          </w:tcPr>
          <w:p w:rsidR="00756160" w:rsidRPr="005B781D" w14:paraId="030F0B4A" w14:textId="77777777">
            <w:pPr>
              <w:autoSpaceDE/>
              <w:autoSpaceDN/>
              <w:jc w:val="center"/>
              <w:rPr>
                <w:rFonts w:eastAsia="Times New Roman"/>
                <w:sz w:val="16"/>
                <w:szCs w:val="16"/>
              </w:rPr>
            </w:pPr>
            <w:r w:rsidRPr="005B781D">
              <w:rPr>
                <w:rFonts w:eastAsia="Times New Roman"/>
                <w:sz w:val="16"/>
                <w:szCs w:val="16"/>
              </w:rPr>
              <w:t>Prepare draft guidance without rule</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7330CC34" w14:textId="77777777">
            <w:pPr>
              <w:autoSpaceDE/>
              <w:autoSpaceDN/>
              <w:jc w:val="center"/>
              <w:rPr>
                <w:rFonts w:eastAsia="Times New Roman"/>
                <w:sz w:val="16"/>
                <w:szCs w:val="16"/>
              </w:rPr>
            </w:pPr>
            <w:r w:rsidRPr="005B781D">
              <w:rPr>
                <w:rFonts w:eastAsia="Times New Roman"/>
                <w:sz w:val="16"/>
                <w:szCs w:val="16"/>
              </w:rPr>
              <w:t>766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3216DB2F"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vAlign w:val="bottom"/>
            <w:hideMark/>
          </w:tcPr>
          <w:p w:rsidR="00756160" w:rsidRPr="005B781D" w14:paraId="31E36108" w14:textId="77777777">
            <w:pPr>
              <w:autoSpaceDE/>
              <w:autoSpaceDN/>
              <w:jc w:val="center"/>
              <w:rPr>
                <w:rFonts w:eastAsia="Times New Roman"/>
                <w:sz w:val="16"/>
                <w:szCs w:val="16"/>
              </w:rPr>
            </w:pPr>
            <w:r w:rsidRPr="005B781D">
              <w:rPr>
                <w:rFonts w:eastAsia="Times New Roman"/>
                <w:sz w:val="16"/>
                <w:szCs w:val="16"/>
              </w:rPr>
              <w:t>570</w:t>
            </w:r>
          </w:p>
        </w:tc>
        <w:tc>
          <w:tcPr>
            <w:tcW w:w="1080" w:type="dxa"/>
            <w:tcBorders>
              <w:top w:val="nil"/>
              <w:left w:val="nil"/>
              <w:bottom w:val="single" w:sz="4" w:space="0" w:color="auto"/>
              <w:right w:val="single" w:sz="4" w:space="0" w:color="auto"/>
            </w:tcBorders>
            <w:vAlign w:val="bottom"/>
            <w:hideMark/>
          </w:tcPr>
          <w:p w:rsidR="00756160" w:rsidRPr="005B781D" w14:paraId="7B0E4A44" w14:textId="77777777">
            <w:pPr>
              <w:autoSpaceDE/>
              <w:autoSpaceDN/>
              <w:jc w:val="center"/>
              <w:rPr>
                <w:rFonts w:eastAsia="Times New Roman"/>
                <w:sz w:val="16"/>
                <w:szCs w:val="16"/>
              </w:rPr>
            </w:pPr>
            <w:r w:rsidRPr="005B781D">
              <w:rPr>
                <w:rFonts w:eastAsia="Times New Roman"/>
                <w:sz w:val="16"/>
                <w:szCs w:val="16"/>
              </w:rPr>
              <w:t>760</w:t>
            </w:r>
          </w:p>
        </w:tc>
        <w:tc>
          <w:tcPr>
            <w:tcW w:w="1355" w:type="dxa"/>
            <w:tcBorders>
              <w:top w:val="nil"/>
              <w:left w:val="nil"/>
              <w:bottom w:val="single" w:sz="4" w:space="0" w:color="auto"/>
              <w:right w:val="single" w:sz="4" w:space="0" w:color="auto"/>
            </w:tcBorders>
            <w:vAlign w:val="bottom"/>
            <w:hideMark/>
          </w:tcPr>
          <w:p w:rsidR="00756160" w:rsidRPr="005B781D" w14:paraId="6E441527" w14:textId="77777777">
            <w:pPr>
              <w:autoSpaceDE/>
              <w:autoSpaceDN/>
              <w:jc w:val="center"/>
              <w:rPr>
                <w:rFonts w:eastAsia="Times New Roman"/>
                <w:sz w:val="16"/>
                <w:szCs w:val="16"/>
              </w:rPr>
            </w:pPr>
            <w:r w:rsidRPr="005B781D">
              <w:rPr>
                <w:rFonts w:eastAsia="Times New Roman"/>
                <w:sz w:val="16"/>
                <w:szCs w:val="16"/>
              </w:rPr>
              <w:t>988</w:t>
            </w:r>
          </w:p>
        </w:tc>
        <w:tc>
          <w:tcPr>
            <w:tcW w:w="1429" w:type="dxa"/>
            <w:tcBorders>
              <w:top w:val="nil"/>
              <w:left w:val="nil"/>
              <w:bottom w:val="single" w:sz="4" w:space="0" w:color="auto"/>
              <w:right w:val="single" w:sz="4" w:space="0" w:color="auto"/>
            </w:tcBorders>
            <w:vAlign w:val="bottom"/>
            <w:hideMark/>
          </w:tcPr>
          <w:p w:rsidR="00756160" w:rsidRPr="005B781D" w14:paraId="44EC5C26"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prior rules.</w:t>
            </w:r>
          </w:p>
        </w:tc>
      </w:tr>
      <w:tr w14:paraId="52EF0D44"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72B989F9" w14:textId="77777777">
            <w:pPr>
              <w:autoSpaceDE/>
              <w:autoSpaceDN/>
              <w:jc w:val="center"/>
              <w:rPr>
                <w:rFonts w:eastAsia="Times New Roman"/>
                <w:b/>
                <w:bCs/>
                <w:sz w:val="16"/>
                <w:szCs w:val="16"/>
              </w:rPr>
            </w:pPr>
            <w:r w:rsidRPr="005B781D">
              <w:rPr>
                <w:rFonts w:eastAsia="Times New Roman"/>
                <w:b/>
                <w:bCs/>
                <w:sz w:val="16"/>
                <w:szCs w:val="16"/>
              </w:rPr>
              <w:t>NRC Operation</w:t>
            </w:r>
          </w:p>
        </w:tc>
      </w:tr>
      <w:tr w14:paraId="00F30316" w14:textId="77777777" w:rsidTr="005D09BA">
        <w:tblPrEx>
          <w:tblW w:w="9260" w:type="dxa"/>
          <w:tblLook w:val="04A0"/>
        </w:tblPrEx>
        <w:trPr>
          <w:trHeight w:val="290"/>
        </w:trPr>
        <w:tc>
          <w:tcPr>
            <w:tcW w:w="7831"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56160" w:rsidRPr="005B781D" w14:paraId="37DCD4A0" w14:textId="77777777">
            <w:pPr>
              <w:autoSpaceDE/>
              <w:autoSpaceDN/>
              <w:jc w:val="center"/>
              <w:rPr>
                <w:rFonts w:eastAsia="Times New Roman"/>
                <w:i/>
                <w:iCs/>
                <w:sz w:val="16"/>
                <w:szCs w:val="16"/>
              </w:rPr>
            </w:pPr>
            <w:r w:rsidRPr="005B781D">
              <w:rPr>
                <w:rFonts w:eastAsia="Times New Roman"/>
                <w:i/>
                <w:iCs/>
                <w:sz w:val="16"/>
                <w:szCs w:val="16"/>
              </w:rPr>
              <w:t>Licensing</w:t>
            </w:r>
          </w:p>
        </w:tc>
        <w:tc>
          <w:tcPr>
            <w:tcW w:w="1429" w:type="dxa"/>
            <w:tcBorders>
              <w:top w:val="nil"/>
              <w:left w:val="nil"/>
              <w:bottom w:val="single" w:sz="4" w:space="0" w:color="auto"/>
              <w:right w:val="single" w:sz="4" w:space="0" w:color="auto"/>
            </w:tcBorders>
            <w:vAlign w:val="bottom"/>
            <w:hideMark/>
          </w:tcPr>
          <w:p w:rsidR="00756160" w:rsidRPr="005B781D" w14:paraId="2DD5DFAF" w14:textId="77777777">
            <w:pPr>
              <w:autoSpaceDE/>
              <w:autoSpaceDN/>
              <w:jc w:val="center"/>
              <w:rPr>
                <w:rFonts w:eastAsia="Times New Roman"/>
                <w:sz w:val="16"/>
                <w:szCs w:val="16"/>
              </w:rPr>
            </w:pPr>
          </w:p>
        </w:tc>
      </w:tr>
      <w:tr w14:paraId="7A426EEC" w14:textId="77777777" w:rsidTr="005D09BA">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5CA138D" w14:textId="77777777">
            <w:pPr>
              <w:autoSpaceDE/>
              <w:autoSpaceDN/>
              <w:jc w:val="center"/>
              <w:rPr>
                <w:rFonts w:eastAsia="Times New Roman"/>
                <w:color w:val="000000"/>
                <w:sz w:val="16"/>
                <w:szCs w:val="16"/>
              </w:rPr>
            </w:pPr>
            <w:r w:rsidRPr="005B781D">
              <w:rPr>
                <w:rFonts w:eastAsia="Times New Roman"/>
                <w:color w:val="000000"/>
                <w:sz w:val="16"/>
                <w:szCs w:val="16"/>
              </w:rPr>
              <w:t>Hours saved for each licensing due to clarified regulations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345CB050" w14:textId="77777777">
            <w:pPr>
              <w:autoSpaceDE/>
              <w:autoSpaceDN/>
              <w:jc w:val="center"/>
              <w:rPr>
                <w:rFonts w:eastAsia="Times New Roman"/>
                <w:sz w:val="16"/>
                <w:szCs w:val="16"/>
              </w:rPr>
            </w:pPr>
            <w:r w:rsidRPr="005B781D">
              <w:rPr>
                <w:rFonts w:eastAsia="Times New Roman"/>
                <w:sz w:val="16"/>
                <w:szCs w:val="16"/>
              </w:rPr>
              <w:t>81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62E4B2DA"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noWrap/>
            <w:vAlign w:val="bottom"/>
            <w:hideMark/>
          </w:tcPr>
          <w:p w:rsidR="00756160" w:rsidRPr="005B781D" w14:paraId="7AAE422D" w14:textId="77777777">
            <w:pPr>
              <w:autoSpaceDE/>
              <w:autoSpaceDN/>
              <w:jc w:val="center"/>
              <w:rPr>
                <w:rFonts w:eastAsia="Times New Roman"/>
                <w:sz w:val="16"/>
                <w:szCs w:val="16"/>
              </w:rPr>
            </w:pPr>
            <w:r w:rsidRPr="005B781D">
              <w:rPr>
                <w:rFonts w:eastAsia="Times New Roman"/>
                <w:sz w:val="16"/>
                <w:szCs w:val="16"/>
              </w:rPr>
              <w:t>60</w:t>
            </w:r>
          </w:p>
        </w:tc>
        <w:tc>
          <w:tcPr>
            <w:tcW w:w="1080" w:type="dxa"/>
            <w:tcBorders>
              <w:top w:val="nil"/>
              <w:left w:val="nil"/>
              <w:bottom w:val="single" w:sz="4" w:space="0" w:color="auto"/>
              <w:right w:val="single" w:sz="4" w:space="0" w:color="auto"/>
            </w:tcBorders>
            <w:noWrap/>
            <w:vAlign w:val="bottom"/>
            <w:hideMark/>
          </w:tcPr>
          <w:p w:rsidR="00756160" w:rsidRPr="005B781D" w14:paraId="0A2DACF1" w14:textId="77777777">
            <w:pPr>
              <w:autoSpaceDE/>
              <w:autoSpaceDN/>
              <w:jc w:val="center"/>
              <w:rPr>
                <w:rFonts w:eastAsia="Times New Roman"/>
                <w:sz w:val="16"/>
                <w:szCs w:val="16"/>
              </w:rPr>
            </w:pPr>
            <w:r w:rsidRPr="005B781D">
              <w:rPr>
                <w:rFonts w:eastAsia="Times New Roman"/>
                <w:sz w:val="16"/>
                <w:szCs w:val="16"/>
              </w:rPr>
              <w:t>80</w:t>
            </w:r>
          </w:p>
        </w:tc>
        <w:tc>
          <w:tcPr>
            <w:tcW w:w="1355" w:type="dxa"/>
            <w:tcBorders>
              <w:top w:val="nil"/>
              <w:left w:val="nil"/>
              <w:bottom w:val="single" w:sz="4" w:space="0" w:color="auto"/>
              <w:right w:val="single" w:sz="4" w:space="0" w:color="auto"/>
            </w:tcBorders>
            <w:noWrap/>
            <w:vAlign w:val="bottom"/>
            <w:hideMark/>
          </w:tcPr>
          <w:p w:rsidR="00756160" w:rsidRPr="005B781D" w14:paraId="15503EF1" w14:textId="77777777">
            <w:pPr>
              <w:autoSpaceDE/>
              <w:autoSpaceDN/>
              <w:jc w:val="center"/>
              <w:rPr>
                <w:rFonts w:eastAsia="Times New Roman"/>
                <w:sz w:val="16"/>
                <w:szCs w:val="16"/>
              </w:rPr>
            </w:pPr>
            <w:r w:rsidRPr="005B781D">
              <w:rPr>
                <w:rFonts w:eastAsia="Times New Roman"/>
                <w:sz w:val="16"/>
                <w:szCs w:val="16"/>
              </w:rPr>
              <w:t>104</w:t>
            </w:r>
          </w:p>
        </w:tc>
        <w:tc>
          <w:tcPr>
            <w:tcW w:w="1429" w:type="dxa"/>
            <w:tcBorders>
              <w:top w:val="nil"/>
              <w:left w:val="nil"/>
              <w:bottom w:val="single" w:sz="4" w:space="0" w:color="auto"/>
              <w:right w:val="single" w:sz="4" w:space="0" w:color="auto"/>
            </w:tcBorders>
            <w:vAlign w:val="bottom"/>
            <w:hideMark/>
          </w:tcPr>
          <w:p w:rsidR="00756160" w:rsidRPr="005B781D" w14:paraId="428B6F87" w14:textId="77777777">
            <w:pPr>
              <w:autoSpaceDE/>
              <w:autoSpaceDN/>
              <w:jc w:val="center"/>
              <w:rPr>
                <w:rFonts w:eastAsia="Times New Roman"/>
                <w:color w:val="000000"/>
                <w:sz w:val="16"/>
                <w:szCs w:val="16"/>
              </w:rPr>
            </w:pPr>
            <w:r w:rsidRPr="005B781D">
              <w:rPr>
                <w:rFonts w:eastAsia="Times New Roman"/>
                <w:color w:val="000000"/>
                <w:sz w:val="16"/>
                <w:szCs w:val="16"/>
              </w:rPr>
              <w:t>NRC estimate</w:t>
            </w:r>
          </w:p>
        </w:tc>
      </w:tr>
      <w:tr w14:paraId="4422D90B"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61A64E9D" w14:textId="77777777">
            <w:pPr>
              <w:autoSpaceDE/>
              <w:autoSpaceDN/>
              <w:jc w:val="center"/>
              <w:rPr>
                <w:rFonts w:eastAsia="Times New Roman"/>
                <w:b/>
                <w:bCs/>
                <w:sz w:val="16"/>
                <w:szCs w:val="16"/>
              </w:rPr>
            </w:pPr>
            <w:r w:rsidRPr="005B781D">
              <w:rPr>
                <w:rFonts w:eastAsia="Times New Roman"/>
                <w:b/>
                <w:bCs/>
                <w:sz w:val="16"/>
                <w:szCs w:val="16"/>
              </w:rPr>
              <w:t>Industry Operation</w:t>
            </w:r>
          </w:p>
        </w:tc>
      </w:tr>
      <w:tr w14:paraId="2B861B1C" w14:textId="77777777" w:rsidTr="005D09BA">
        <w:tblPrEx>
          <w:tblW w:w="9260" w:type="dxa"/>
          <w:tblLook w:val="04A0"/>
        </w:tblPrEx>
        <w:trPr>
          <w:trHeight w:val="290"/>
        </w:trPr>
        <w:tc>
          <w:tcPr>
            <w:tcW w:w="7831" w:type="dxa"/>
            <w:gridSpan w:val="6"/>
            <w:tcBorders>
              <w:top w:val="nil"/>
              <w:left w:val="single" w:sz="4" w:space="0" w:color="auto"/>
              <w:bottom w:val="single" w:sz="4" w:space="0" w:color="auto"/>
              <w:right w:val="single" w:sz="4" w:space="0" w:color="auto"/>
            </w:tcBorders>
            <w:noWrap/>
            <w:vAlign w:val="bottom"/>
            <w:hideMark/>
          </w:tcPr>
          <w:p w:rsidR="005D09BA" w:rsidRPr="005B781D" w14:paraId="47232A8E" w14:textId="5E762B01">
            <w:pPr>
              <w:autoSpaceDE/>
              <w:autoSpaceDN/>
              <w:jc w:val="center"/>
              <w:rPr>
                <w:rFonts w:eastAsia="Times New Roman"/>
                <w:color w:val="000000"/>
                <w:sz w:val="16"/>
                <w:szCs w:val="16"/>
              </w:rPr>
            </w:pPr>
            <w:r>
              <w:rPr>
                <w:rFonts w:eastAsia="Times New Roman"/>
                <w:i/>
                <w:iCs/>
                <w:sz w:val="16"/>
                <w:szCs w:val="16"/>
              </w:rPr>
              <w:t>L</w:t>
            </w:r>
            <w:r w:rsidRPr="005B781D">
              <w:rPr>
                <w:rFonts w:eastAsia="Times New Roman"/>
                <w:i/>
                <w:iCs/>
                <w:sz w:val="16"/>
                <w:szCs w:val="16"/>
              </w:rPr>
              <w:t>icensing</w:t>
            </w:r>
          </w:p>
        </w:tc>
        <w:tc>
          <w:tcPr>
            <w:tcW w:w="1429" w:type="dxa"/>
            <w:tcBorders>
              <w:top w:val="nil"/>
              <w:left w:val="nil"/>
              <w:bottom w:val="single" w:sz="4" w:space="0" w:color="auto"/>
              <w:right w:val="single" w:sz="4" w:space="0" w:color="auto"/>
            </w:tcBorders>
            <w:vAlign w:val="bottom"/>
            <w:hideMark/>
          </w:tcPr>
          <w:p w:rsidR="005D09BA" w:rsidRPr="005B781D" w14:paraId="2B2452B8" w14:textId="77777777">
            <w:pPr>
              <w:autoSpaceDE/>
              <w:autoSpaceDN/>
              <w:jc w:val="center"/>
              <w:rPr>
                <w:rFonts w:eastAsia="Times New Roman"/>
                <w:color w:val="000000"/>
                <w:sz w:val="16"/>
                <w:szCs w:val="16"/>
              </w:rPr>
            </w:pPr>
          </w:p>
        </w:tc>
      </w:tr>
      <w:tr w14:paraId="39E37AE2" w14:textId="77777777" w:rsidTr="005D09BA">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2CAD8D6" w14:textId="77777777">
            <w:pPr>
              <w:autoSpaceDE/>
              <w:autoSpaceDN/>
              <w:jc w:val="center"/>
              <w:rPr>
                <w:rFonts w:eastAsia="Times New Roman"/>
                <w:color w:val="000000"/>
                <w:sz w:val="16"/>
                <w:szCs w:val="16"/>
              </w:rPr>
            </w:pPr>
            <w:r w:rsidRPr="005B781D">
              <w:rPr>
                <w:rFonts w:eastAsia="Times New Roman"/>
                <w:color w:val="000000"/>
                <w:sz w:val="16"/>
                <w:szCs w:val="16"/>
              </w:rPr>
              <w:t>Hours save for each licensing due to clarified regulations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4AED7783" w14:textId="77777777">
            <w:pPr>
              <w:autoSpaceDE/>
              <w:autoSpaceDN/>
              <w:jc w:val="center"/>
              <w:rPr>
                <w:rFonts w:eastAsia="Times New Roman"/>
                <w:sz w:val="16"/>
                <w:szCs w:val="16"/>
              </w:rPr>
            </w:pPr>
            <w:r w:rsidRPr="005B781D">
              <w:rPr>
                <w:rFonts w:eastAsia="Times New Roman"/>
                <w:sz w:val="16"/>
                <w:szCs w:val="16"/>
              </w:rPr>
              <w:t>484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130EBA67"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noWrap/>
            <w:vAlign w:val="bottom"/>
            <w:hideMark/>
          </w:tcPr>
          <w:p w:rsidR="00756160" w:rsidRPr="005B781D" w14:paraId="3711C4C8" w14:textId="77777777">
            <w:pPr>
              <w:autoSpaceDE/>
              <w:autoSpaceDN/>
              <w:jc w:val="center"/>
              <w:rPr>
                <w:rFonts w:eastAsia="Times New Roman"/>
                <w:sz w:val="16"/>
                <w:szCs w:val="16"/>
              </w:rPr>
            </w:pPr>
            <w:r w:rsidRPr="005B781D">
              <w:rPr>
                <w:rFonts w:eastAsia="Times New Roman"/>
                <w:sz w:val="16"/>
                <w:szCs w:val="16"/>
              </w:rPr>
              <w:t>360</w:t>
            </w:r>
          </w:p>
        </w:tc>
        <w:tc>
          <w:tcPr>
            <w:tcW w:w="1080" w:type="dxa"/>
            <w:tcBorders>
              <w:top w:val="nil"/>
              <w:left w:val="nil"/>
              <w:bottom w:val="single" w:sz="4" w:space="0" w:color="auto"/>
              <w:right w:val="single" w:sz="4" w:space="0" w:color="auto"/>
            </w:tcBorders>
            <w:noWrap/>
            <w:vAlign w:val="bottom"/>
            <w:hideMark/>
          </w:tcPr>
          <w:p w:rsidR="00756160" w:rsidRPr="005B781D" w14:paraId="3FB6EB72" w14:textId="77777777">
            <w:pPr>
              <w:autoSpaceDE/>
              <w:autoSpaceDN/>
              <w:jc w:val="center"/>
              <w:rPr>
                <w:rFonts w:eastAsia="Times New Roman"/>
                <w:sz w:val="16"/>
                <w:szCs w:val="16"/>
              </w:rPr>
            </w:pPr>
            <w:r w:rsidRPr="005B781D">
              <w:rPr>
                <w:rFonts w:eastAsia="Times New Roman"/>
                <w:sz w:val="16"/>
                <w:szCs w:val="16"/>
              </w:rPr>
              <w:t>480</w:t>
            </w:r>
          </w:p>
        </w:tc>
        <w:tc>
          <w:tcPr>
            <w:tcW w:w="1355" w:type="dxa"/>
            <w:tcBorders>
              <w:top w:val="nil"/>
              <w:left w:val="nil"/>
              <w:bottom w:val="single" w:sz="4" w:space="0" w:color="auto"/>
              <w:right w:val="single" w:sz="4" w:space="0" w:color="auto"/>
            </w:tcBorders>
            <w:noWrap/>
            <w:vAlign w:val="bottom"/>
            <w:hideMark/>
          </w:tcPr>
          <w:p w:rsidR="00756160" w:rsidRPr="005B781D" w14:paraId="6773567E" w14:textId="77777777">
            <w:pPr>
              <w:autoSpaceDE/>
              <w:autoSpaceDN/>
              <w:jc w:val="center"/>
              <w:rPr>
                <w:rFonts w:eastAsia="Times New Roman"/>
                <w:sz w:val="16"/>
                <w:szCs w:val="16"/>
              </w:rPr>
            </w:pPr>
            <w:r w:rsidRPr="005B781D">
              <w:rPr>
                <w:rFonts w:eastAsia="Times New Roman"/>
                <w:sz w:val="16"/>
                <w:szCs w:val="16"/>
              </w:rPr>
              <w:t>624</w:t>
            </w:r>
          </w:p>
        </w:tc>
        <w:tc>
          <w:tcPr>
            <w:tcW w:w="1429" w:type="dxa"/>
            <w:tcBorders>
              <w:top w:val="nil"/>
              <w:left w:val="nil"/>
              <w:bottom w:val="single" w:sz="4" w:space="0" w:color="auto"/>
              <w:right w:val="single" w:sz="4" w:space="0" w:color="auto"/>
            </w:tcBorders>
            <w:vAlign w:val="bottom"/>
            <w:hideMark/>
          </w:tcPr>
          <w:p w:rsidR="00756160" w:rsidRPr="005B781D" w14:paraId="4ECA170F" w14:textId="77777777">
            <w:pPr>
              <w:autoSpaceDE/>
              <w:autoSpaceDN/>
              <w:jc w:val="center"/>
              <w:rPr>
                <w:rFonts w:eastAsia="Times New Roman"/>
                <w:color w:val="000000"/>
                <w:sz w:val="16"/>
                <w:szCs w:val="16"/>
              </w:rPr>
            </w:pPr>
            <w:r w:rsidRPr="005B781D">
              <w:rPr>
                <w:rFonts w:eastAsia="Times New Roman"/>
                <w:color w:val="000000"/>
                <w:sz w:val="16"/>
                <w:szCs w:val="16"/>
              </w:rPr>
              <w:t>NRC estimate</w:t>
            </w:r>
          </w:p>
        </w:tc>
      </w:tr>
      <w:tr w14:paraId="53AFE35A"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9E08FF" w14:paraId="66EE012C" w14:textId="77777777">
            <w:pPr>
              <w:autoSpaceDE/>
              <w:autoSpaceDN/>
              <w:jc w:val="center"/>
              <w:rPr>
                <w:rFonts w:eastAsia="Times New Roman"/>
                <w:b/>
                <w:bCs/>
                <w:sz w:val="16"/>
                <w:szCs w:val="16"/>
              </w:rPr>
            </w:pPr>
            <w:r w:rsidRPr="005B781D">
              <w:rPr>
                <w:rFonts w:eastAsia="Times New Roman"/>
                <w:b/>
                <w:bCs/>
                <w:sz w:val="16"/>
                <w:szCs w:val="16"/>
              </w:rPr>
              <w:t>Agreement State Implementation</w:t>
            </w:r>
          </w:p>
        </w:tc>
      </w:tr>
      <w:tr w14:paraId="6DE6D3BA" w14:textId="77777777" w:rsidTr="00AB1B03">
        <w:tblPrEx>
          <w:tblW w:w="9260" w:type="dxa"/>
          <w:tblLook w:val="04A0"/>
        </w:tblPrEx>
        <w:trPr>
          <w:trHeight w:val="290"/>
        </w:trPr>
        <w:tc>
          <w:tcPr>
            <w:tcW w:w="7831" w:type="dxa"/>
            <w:gridSpan w:val="6"/>
            <w:tcBorders>
              <w:top w:val="nil"/>
              <w:left w:val="single" w:sz="4" w:space="0" w:color="auto"/>
              <w:bottom w:val="single" w:sz="4" w:space="0" w:color="auto"/>
              <w:right w:val="single" w:sz="4" w:space="0" w:color="auto"/>
            </w:tcBorders>
            <w:shd w:val="clear" w:color="000000" w:fill="FFFFFF"/>
            <w:noWrap/>
            <w:vAlign w:val="bottom"/>
            <w:hideMark/>
          </w:tcPr>
          <w:p w:rsidR="005D09BA" w:rsidRPr="005B781D" w14:paraId="03DE552D" w14:textId="09DF8DE5">
            <w:pPr>
              <w:autoSpaceDE/>
              <w:autoSpaceDN/>
              <w:jc w:val="center"/>
              <w:rPr>
                <w:rFonts w:eastAsia="Times New Roman"/>
                <w:color w:val="000000"/>
                <w:sz w:val="16"/>
                <w:szCs w:val="16"/>
              </w:rPr>
            </w:pPr>
            <w:r w:rsidRPr="005B781D">
              <w:rPr>
                <w:rFonts w:eastAsia="Times New Roman"/>
                <w:i/>
                <w:iCs/>
                <w:sz w:val="16"/>
                <w:szCs w:val="16"/>
              </w:rPr>
              <w:t>Rulemaking</w:t>
            </w:r>
          </w:p>
        </w:tc>
        <w:tc>
          <w:tcPr>
            <w:tcW w:w="1429" w:type="dxa"/>
            <w:tcBorders>
              <w:top w:val="nil"/>
              <w:left w:val="nil"/>
              <w:bottom w:val="single" w:sz="4" w:space="0" w:color="auto"/>
              <w:right w:val="single" w:sz="4" w:space="0" w:color="auto"/>
            </w:tcBorders>
            <w:vAlign w:val="bottom"/>
            <w:hideMark/>
          </w:tcPr>
          <w:p w:rsidR="005D09BA" w:rsidRPr="005B781D" w14:paraId="037656A6" w14:textId="77777777">
            <w:pPr>
              <w:autoSpaceDE/>
              <w:autoSpaceDN/>
              <w:jc w:val="center"/>
              <w:rPr>
                <w:rFonts w:eastAsia="Times New Roman"/>
                <w:color w:val="000000"/>
                <w:sz w:val="16"/>
                <w:szCs w:val="16"/>
              </w:rPr>
            </w:pPr>
          </w:p>
        </w:tc>
      </w:tr>
      <w:tr w14:paraId="70791A26" w14:textId="77777777" w:rsidTr="005D09BA">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noWrap/>
            <w:vAlign w:val="bottom"/>
            <w:hideMark/>
          </w:tcPr>
          <w:p w:rsidR="00756160" w:rsidRPr="005B781D" w14:paraId="4B5573F7" w14:textId="77777777">
            <w:pPr>
              <w:autoSpaceDE/>
              <w:autoSpaceDN/>
              <w:jc w:val="center"/>
              <w:rPr>
                <w:rFonts w:eastAsia="Times New Roman"/>
                <w:color w:val="000000"/>
                <w:sz w:val="16"/>
                <w:szCs w:val="16"/>
              </w:rPr>
            </w:pPr>
            <w:r w:rsidRPr="005B781D">
              <w:rPr>
                <w:rFonts w:eastAsia="Times New Roman"/>
                <w:color w:val="000000"/>
                <w:sz w:val="16"/>
                <w:szCs w:val="16"/>
              </w:rPr>
              <w:t>Updating guidance only</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284EAC10" w14:textId="77777777">
            <w:pPr>
              <w:autoSpaceDE/>
              <w:autoSpaceDN/>
              <w:jc w:val="center"/>
              <w:rPr>
                <w:rFonts w:eastAsia="Times New Roman"/>
                <w:sz w:val="16"/>
                <w:szCs w:val="16"/>
              </w:rPr>
            </w:pPr>
            <w:r w:rsidRPr="005B781D">
              <w:rPr>
                <w:rFonts w:eastAsia="Times New Roman"/>
                <w:sz w:val="16"/>
                <w:szCs w:val="16"/>
              </w:rPr>
              <w:t>173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6D2BB9C7"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noWrap/>
            <w:vAlign w:val="bottom"/>
            <w:hideMark/>
          </w:tcPr>
          <w:p w:rsidR="00756160" w:rsidRPr="005B781D" w14:paraId="4182EA93" w14:textId="77777777">
            <w:pPr>
              <w:autoSpaceDE/>
              <w:autoSpaceDN/>
              <w:jc w:val="center"/>
              <w:rPr>
                <w:rFonts w:eastAsia="Times New Roman"/>
                <w:sz w:val="16"/>
                <w:szCs w:val="16"/>
              </w:rPr>
            </w:pPr>
            <w:r w:rsidRPr="005B781D">
              <w:rPr>
                <w:rFonts w:eastAsia="Times New Roman"/>
                <w:sz w:val="16"/>
                <w:szCs w:val="16"/>
              </w:rPr>
              <w:t>129</w:t>
            </w:r>
          </w:p>
        </w:tc>
        <w:tc>
          <w:tcPr>
            <w:tcW w:w="1080" w:type="dxa"/>
            <w:tcBorders>
              <w:top w:val="nil"/>
              <w:left w:val="nil"/>
              <w:bottom w:val="single" w:sz="4" w:space="0" w:color="auto"/>
              <w:right w:val="single" w:sz="4" w:space="0" w:color="auto"/>
            </w:tcBorders>
            <w:noWrap/>
            <w:vAlign w:val="bottom"/>
            <w:hideMark/>
          </w:tcPr>
          <w:p w:rsidR="00756160" w:rsidRPr="005B781D" w14:paraId="566DD6CD" w14:textId="77777777">
            <w:pPr>
              <w:autoSpaceDE/>
              <w:autoSpaceDN/>
              <w:jc w:val="center"/>
              <w:rPr>
                <w:rFonts w:eastAsia="Times New Roman"/>
                <w:sz w:val="16"/>
                <w:szCs w:val="16"/>
              </w:rPr>
            </w:pPr>
            <w:r w:rsidRPr="005B781D">
              <w:rPr>
                <w:rFonts w:eastAsia="Times New Roman"/>
                <w:sz w:val="16"/>
                <w:szCs w:val="16"/>
              </w:rPr>
              <w:t>172</w:t>
            </w:r>
          </w:p>
        </w:tc>
        <w:tc>
          <w:tcPr>
            <w:tcW w:w="1355" w:type="dxa"/>
            <w:tcBorders>
              <w:top w:val="nil"/>
              <w:left w:val="nil"/>
              <w:bottom w:val="single" w:sz="4" w:space="0" w:color="auto"/>
              <w:right w:val="single" w:sz="4" w:space="0" w:color="auto"/>
            </w:tcBorders>
            <w:noWrap/>
            <w:vAlign w:val="bottom"/>
            <w:hideMark/>
          </w:tcPr>
          <w:p w:rsidR="00756160" w:rsidRPr="005B781D" w14:paraId="4ED668AA" w14:textId="77777777">
            <w:pPr>
              <w:autoSpaceDE/>
              <w:autoSpaceDN/>
              <w:jc w:val="center"/>
              <w:rPr>
                <w:rFonts w:eastAsia="Times New Roman"/>
                <w:sz w:val="16"/>
                <w:szCs w:val="16"/>
              </w:rPr>
            </w:pPr>
            <w:r w:rsidRPr="005B781D">
              <w:rPr>
                <w:rFonts w:eastAsia="Times New Roman"/>
                <w:sz w:val="16"/>
                <w:szCs w:val="16"/>
              </w:rPr>
              <w:t>223</w:t>
            </w:r>
          </w:p>
        </w:tc>
        <w:tc>
          <w:tcPr>
            <w:tcW w:w="1429" w:type="dxa"/>
            <w:tcBorders>
              <w:top w:val="nil"/>
              <w:left w:val="nil"/>
              <w:bottom w:val="single" w:sz="4" w:space="0" w:color="auto"/>
              <w:right w:val="single" w:sz="4" w:space="0" w:color="auto"/>
            </w:tcBorders>
            <w:vAlign w:val="bottom"/>
            <w:hideMark/>
          </w:tcPr>
          <w:p w:rsidR="00756160" w:rsidRPr="005B781D" w14:paraId="127A14B5"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previous rulemaking.</w:t>
            </w:r>
          </w:p>
        </w:tc>
      </w:tr>
      <w:tr w14:paraId="07F12DB6" w14:textId="77777777" w:rsidTr="005D09BA">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noWrap/>
            <w:vAlign w:val="bottom"/>
            <w:hideMark/>
          </w:tcPr>
          <w:p w:rsidR="00756160" w:rsidRPr="005B781D" w14:paraId="70ED1F0F" w14:textId="77777777">
            <w:pPr>
              <w:autoSpaceDE/>
              <w:autoSpaceDN/>
              <w:jc w:val="center"/>
              <w:rPr>
                <w:rFonts w:eastAsia="Times New Roman"/>
                <w:color w:val="000000"/>
                <w:sz w:val="16"/>
                <w:szCs w:val="16"/>
              </w:rPr>
            </w:pPr>
            <w:r w:rsidRPr="005B781D">
              <w:rPr>
                <w:rFonts w:eastAsia="Times New Roman"/>
                <w:color w:val="000000"/>
                <w:sz w:val="16"/>
                <w:szCs w:val="16"/>
              </w:rPr>
              <w:t>Rulemaking and updating guidance</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53CD7B02" w14:textId="77777777">
            <w:pPr>
              <w:autoSpaceDE/>
              <w:autoSpaceDN/>
              <w:jc w:val="center"/>
              <w:rPr>
                <w:rFonts w:eastAsia="Times New Roman"/>
                <w:sz w:val="16"/>
                <w:szCs w:val="16"/>
              </w:rPr>
            </w:pPr>
            <w:r w:rsidRPr="005B781D">
              <w:rPr>
                <w:rFonts w:eastAsia="Times New Roman"/>
                <w:sz w:val="16"/>
                <w:szCs w:val="16"/>
              </w:rPr>
              <w:t>895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0CF4DF9C"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noWrap/>
            <w:vAlign w:val="bottom"/>
            <w:hideMark/>
          </w:tcPr>
          <w:p w:rsidR="00756160" w:rsidRPr="005B781D" w14:paraId="29331C05" w14:textId="77777777">
            <w:pPr>
              <w:autoSpaceDE/>
              <w:autoSpaceDN/>
              <w:jc w:val="center"/>
              <w:rPr>
                <w:rFonts w:eastAsia="Times New Roman"/>
                <w:sz w:val="16"/>
                <w:szCs w:val="16"/>
              </w:rPr>
            </w:pPr>
            <w:r w:rsidRPr="005B781D">
              <w:rPr>
                <w:rFonts w:eastAsia="Times New Roman"/>
                <w:sz w:val="16"/>
                <w:szCs w:val="16"/>
              </w:rPr>
              <w:t>666</w:t>
            </w:r>
          </w:p>
        </w:tc>
        <w:tc>
          <w:tcPr>
            <w:tcW w:w="1080" w:type="dxa"/>
            <w:tcBorders>
              <w:top w:val="nil"/>
              <w:left w:val="nil"/>
              <w:bottom w:val="single" w:sz="4" w:space="0" w:color="auto"/>
              <w:right w:val="single" w:sz="4" w:space="0" w:color="auto"/>
            </w:tcBorders>
            <w:noWrap/>
            <w:vAlign w:val="bottom"/>
            <w:hideMark/>
          </w:tcPr>
          <w:p w:rsidR="00756160" w:rsidRPr="005B781D" w14:paraId="28C6B612" w14:textId="77777777">
            <w:pPr>
              <w:autoSpaceDE/>
              <w:autoSpaceDN/>
              <w:jc w:val="center"/>
              <w:rPr>
                <w:rFonts w:eastAsia="Times New Roman"/>
                <w:sz w:val="16"/>
                <w:szCs w:val="16"/>
              </w:rPr>
            </w:pPr>
            <w:r w:rsidRPr="005B781D">
              <w:rPr>
                <w:rFonts w:eastAsia="Times New Roman"/>
                <w:sz w:val="16"/>
                <w:szCs w:val="16"/>
              </w:rPr>
              <w:t>888</w:t>
            </w:r>
          </w:p>
        </w:tc>
        <w:tc>
          <w:tcPr>
            <w:tcW w:w="1355" w:type="dxa"/>
            <w:tcBorders>
              <w:top w:val="nil"/>
              <w:left w:val="nil"/>
              <w:bottom w:val="single" w:sz="4" w:space="0" w:color="auto"/>
              <w:right w:val="single" w:sz="4" w:space="0" w:color="auto"/>
            </w:tcBorders>
            <w:noWrap/>
            <w:vAlign w:val="bottom"/>
            <w:hideMark/>
          </w:tcPr>
          <w:p w:rsidR="00756160" w:rsidRPr="005B781D" w14:paraId="6A43AA9A" w14:textId="77777777">
            <w:pPr>
              <w:autoSpaceDE/>
              <w:autoSpaceDN/>
              <w:jc w:val="center"/>
              <w:rPr>
                <w:rFonts w:eastAsia="Times New Roman"/>
                <w:sz w:val="16"/>
                <w:szCs w:val="16"/>
              </w:rPr>
            </w:pPr>
            <w:r w:rsidRPr="005B781D">
              <w:rPr>
                <w:rFonts w:eastAsia="Times New Roman"/>
                <w:sz w:val="16"/>
                <w:szCs w:val="16"/>
              </w:rPr>
              <w:t>1,154</w:t>
            </w:r>
          </w:p>
        </w:tc>
        <w:tc>
          <w:tcPr>
            <w:tcW w:w="1429" w:type="dxa"/>
            <w:tcBorders>
              <w:top w:val="nil"/>
              <w:left w:val="nil"/>
              <w:bottom w:val="single" w:sz="4" w:space="0" w:color="auto"/>
              <w:right w:val="single" w:sz="4" w:space="0" w:color="auto"/>
            </w:tcBorders>
            <w:vAlign w:val="bottom"/>
            <w:hideMark/>
          </w:tcPr>
          <w:p w:rsidR="00756160" w:rsidRPr="005B781D" w14:paraId="40F4BC86" w14:textId="77777777">
            <w:pPr>
              <w:autoSpaceDE/>
              <w:autoSpaceDN/>
              <w:jc w:val="center"/>
              <w:rPr>
                <w:rFonts w:eastAsia="Times New Roman"/>
                <w:color w:val="000000"/>
                <w:sz w:val="16"/>
                <w:szCs w:val="16"/>
              </w:rPr>
            </w:pPr>
            <w:r w:rsidRPr="005B781D">
              <w:rPr>
                <w:rFonts w:eastAsia="Times New Roman"/>
                <w:color w:val="000000"/>
                <w:sz w:val="16"/>
                <w:szCs w:val="16"/>
              </w:rPr>
              <w:t>NRC estimate based on previous rulemaking.</w:t>
            </w:r>
          </w:p>
        </w:tc>
      </w:tr>
      <w:tr w14:paraId="43A1F4FF" w14:textId="77777777" w:rsidTr="009E08FF">
        <w:tblPrEx>
          <w:tblW w:w="9260" w:type="dxa"/>
          <w:tblLook w:val="04A0"/>
        </w:tblPrEx>
        <w:trPr>
          <w:trHeight w:val="310"/>
        </w:trPr>
        <w:tc>
          <w:tcPr>
            <w:tcW w:w="9260"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756160" w:rsidRPr="005B781D" w:rsidP="007373E6" w14:paraId="4A73481A" w14:textId="77777777">
            <w:pPr>
              <w:keepNext/>
              <w:keepLines/>
              <w:autoSpaceDE/>
              <w:autoSpaceDN/>
              <w:jc w:val="center"/>
              <w:rPr>
                <w:rFonts w:eastAsia="Times New Roman"/>
                <w:b/>
                <w:bCs/>
                <w:sz w:val="16"/>
                <w:szCs w:val="16"/>
              </w:rPr>
            </w:pPr>
            <w:r w:rsidRPr="005B781D">
              <w:rPr>
                <w:rFonts w:eastAsia="Times New Roman"/>
                <w:b/>
                <w:bCs/>
                <w:sz w:val="16"/>
                <w:szCs w:val="16"/>
              </w:rPr>
              <w:t>Agreement State Operation</w:t>
            </w:r>
          </w:p>
        </w:tc>
      </w:tr>
      <w:tr w14:paraId="3BCC1656" w14:textId="77777777" w:rsidTr="005D09BA">
        <w:tblPrEx>
          <w:tblW w:w="9260" w:type="dxa"/>
          <w:tblLook w:val="04A0"/>
        </w:tblPrEx>
        <w:trPr>
          <w:trHeight w:val="580"/>
        </w:trPr>
        <w:tc>
          <w:tcPr>
            <w:tcW w:w="1880" w:type="dxa"/>
            <w:tcBorders>
              <w:top w:val="nil"/>
              <w:left w:val="single" w:sz="4" w:space="0" w:color="auto"/>
              <w:bottom w:val="single" w:sz="4" w:space="0" w:color="auto"/>
              <w:right w:val="single" w:sz="4" w:space="0" w:color="auto"/>
            </w:tcBorders>
            <w:vAlign w:val="bottom"/>
            <w:hideMark/>
          </w:tcPr>
          <w:p w:rsidR="00756160" w:rsidRPr="005B781D" w14:paraId="3740B587" w14:textId="77777777">
            <w:pPr>
              <w:autoSpaceDE/>
              <w:autoSpaceDN/>
              <w:jc w:val="center"/>
              <w:rPr>
                <w:rFonts w:eastAsia="Times New Roman"/>
                <w:color w:val="000000"/>
                <w:sz w:val="16"/>
                <w:szCs w:val="16"/>
              </w:rPr>
            </w:pPr>
            <w:r w:rsidRPr="005B781D">
              <w:rPr>
                <w:rFonts w:eastAsia="Times New Roman"/>
                <w:color w:val="000000"/>
                <w:sz w:val="16"/>
                <w:szCs w:val="16"/>
              </w:rPr>
              <w:t>Hours saved for each licensing due to clarified regulations</w:t>
            </w:r>
          </w:p>
        </w:tc>
        <w:tc>
          <w:tcPr>
            <w:tcW w:w="1350" w:type="dxa"/>
            <w:tcBorders>
              <w:top w:val="nil"/>
              <w:left w:val="nil"/>
              <w:bottom w:val="single" w:sz="4" w:space="0" w:color="auto"/>
              <w:right w:val="single" w:sz="4" w:space="0" w:color="auto"/>
            </w:tcBorders>
            <w:shd w:val="clear" w:color="000000" w:fill="FFFFFF"/>
            <w:noWrap/>
            <w:vAlign w:val="bottom"/>
            <w:hideMark/>
          </w:tcPr>
          <w:p w:rsidR="00756160" w:rsidRPr="005B781D" w14:paraId="4880BC2E" w14:textId="77777777">
            <w:pPr>
              <w:autoSpaceDE/>
              <w:autoSpaceDN/>
              <w:jc w:val="center"/>
              <w:rPr>
                <w:rFonts w:eastAsia="Times New Roman"/>
                <w:sz w:val="16"/>
                <w:szCs w:val="16"/>
              </w:rPr>
            </w:pPr>
            <w:r w:rsidRPr="005B781D">
              <w:rPr>
                <w:rFonts w:eastAsia="Times New Roman"/>
                <w:sz w:val="16"/>
                <w:szCs w:val="16"/>
              </w:rPr>
              <w:t>81 hours</w:t>
            </w:r>
          </w:p>
        </w:tc>
        <w:tc>
          <w:tcPr>
            <w:tcW w:w="1176" w:type="dxa"/>
            <w:tcBorders>
              <w:top w:val="nil"/>
              <w:left w:val="nil"/>
              <w:bottom w:val="single" w:sz="4" w:space="0" w:color="auto"/>
              <w:right w:val="single" w:sz="4" w:space="0" w:color="auto"/>
            </w:tcBorders>
            <w:shd w:val="clear" w:color="000000" w:fill="FFFFFF"/>
            <w:noWrap/>
            <w:vAlign w:val="bottom"/>
            <w:hideMark/>
          </w:tcPr>
          <w:p w:rsidR="00756160" w:rsidRPr="005B781D" w14:paraId="0DC01D23"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nil"/>
              <w:left w:val="nil"/>
              <w:bottom w:val="single" w:sz="4" w:space="0" w:color="auto"/>
              <w:right w:val="single" w:sz="4" w:space="0" w:color="auto"/>
            </w:tcBorders>
            <w:noWrap/>
            <w:vAlign w:val="bottom"/>
            <w:hideMark/>
          </w:tcPr>
          <w:p w:rsidR="00756160" w:rsidRPr="005B781D" w14:paraId="1E2A74D3" w14:textId="77777777">
            <w:pPr>
              <w:autoSpaceDE/>
              <w:autoSpaceDN/>
              <w:jc w:val="center"/>
              <w:rPr>
                <w:rFonts w:eastAsia="Times New Roman"/>
                <w:sz w:val="16"/>
                <w:szCs w:val="16"/>
              </w:rPr>
            </w:pPr>
            <w:r w:rsidRPr="005B781D">
              <w:rPr>
                <w:rFonts w:eastAsia="Times New Roman"/>
                <w:sz w:val="16"/>
                <w:szCs w:val="16"/>
              </w:rPr>
              <w:t>60</w:t>
            </w:r>
          </w:p>
        </w:tc>
        <w:tc>
          <w:tcPr>
            <w:tcW w:w="1080" w:type="dxa"/>
            <w:tcBorders>
              <w:top w:val="nil"/>
              <w:left w:val="nil"/>
              <w:bottom w:val="single" w:sz="4" w:space="0" w:color="auto"/>
              <w:right w:val="single" w:sz="4" w:space="0" w:color="auto"/>
            </w:tcBorders>
            <w:noWrap/>
            <w:vAlign w:val="bottom"/>
            <w:hideMark/>
          </w:tcPr>
          <w:p w:rsidR="00756160" w:rsidRPr="005B781D" w14:paraId="5DD08377" w14:textId="77777777">
            <w:pPr>
              <w:autoSpaceDE/>
              <w:autoSpaceDN/>
              <w:jc w:val="center"/>
              <w:rPr>
                <w:rFonts w:eastAsia="Times New Roman"/>
                <w:sz w:val="16"/>
                <w:szCs w:val="16"/>
              </w:rPr>
            </w:pPr>
            <w:r w:rsidRPr="005B781D">
              <w:rPr>
                <w:rFonts w:eastAsia="Times New Roman"/>
                <w:sz w:val="16"/>
                <w:szCs w:val="16"/>
              </w:rPr>
              <w:t>80</w:t>
            </w:r>
          </w:p>
        </w:tc>
        <w:tc>
          <w:tcPr>
            <w:tcW w:w="1355" w:type="dxa"/>
            <w:tcBorders>
              <w:top w:val="nil"/>
              <w:left w:val="nil"/>
              <w:bottom w:val="single" w:sz="4" w:space="0" w:color="auto"/>
              <w:right w:val="single" w:sz="4" w:space="0" w:color="auto"/>
            </w:tcBorders>
            <w:noWrap/>
            <w:vAlign w:val="bottom"/>
            <w:hideMark/>
          </w:tcPr>
          <w:p w:rsidR="00756160" w:rsidRPr="005B781D" w14:paraId="23504AA4" w14:textId="77777777">
            <w:pPr>
              <w:autoSpaceDE/>
              <w:autoSpaceDN/>
              <w:jc w:val="center"/>
              <w:rPr>
                <w:rFonts w:eastAsia="Times New Roman"/>
                <w:sz w:val="16"/>
                <w:szCs w:val="16"/>
              </w:rPr>
            </w:pPr>
            <w:r w:rsidRPr="005B781D">
              <w:rPr>
                <w:rFonts w:eastAsia="Times New Roman"/>
                <w:sz w:val="16"/>
                <w:szCs w:val="16"/>
              </w:rPr>
              <w:t>104</w:t>
            </w:r>
          </w:p>
        </w:tc>
        <w:tc>
          <w:tcPr>
            <w:tcW w:w="1429" w:type="dxa"/>
            <w:tcBorders>
              <w:top w:val="nil"/>
              <w:left w:val="nil"/>
              <w:bottom w:val="single" w:sz="4" w:space="0" w:color="auto"/>
              <w:right w:val="single" w:sz="4" w:space="0" w:color="auto"/>
            </w:tcBorders>
            <w:vAlign w:val="bottom"/>
            <w:hideMark/>
          </w:tcPr>
          <w:p w:rsidR="00756160" w:rsidRPr="005B781D" w14:paraId="5A4C4A52" w14:textId="77777777">
            <w:pPr>
              <w:autoSpaceDE/>
              <w:autoSpaceDN/>
              <w:jc w:val="center"/>
              <w:rPr>
                <w:rFonts w:eastAsia="Times New Roman"/>
                <w:color w:val="000000"/>
                <w:sz w:val="16"/>
                <w:szCs w:val="16"/>
              </w:rPr>
            </w:pPr>
            <w:r w:rsidRPr="005B781D">
              <w:rPr>
                <w:rFonts w:eastAsia="Times New Roman"/>
                <w:color w:val="000000"/>
                <w:sz w:val="16"/>
                <w:szCs w:val="16"/>
              </w:rPr>
              <w:t>NRC estimate</w:t>
            </w:r>
          </w:p>
        </w:tc>
      </w:tr>
      <w:tr w14:paraId="50A212E7" w14:textId="77777777" w:rsidTr="009E08FF">
        <w:tblPrEx>
          <w:tblW w:w="9260" w:type="dxa"/>
          <w:tblLook w:val="04A0"/>
        </w:tblPrEx>
        <w:trPr>
          <w:trHeight w:val="310"/>
        </w:trPr>
        <w:tc>
          <w:tcPr>
            <w:tcW w:w="9260" w:type="dxa"/>
            <w:gridSpan w:val="7"/>
            <w:tcBorders>
              <w:top w:val="single" w:sz="4" w:space="0" w:color="auto"/>
              <w:left w:val="single" w:sz="4" w:space="0" w:color="auto"/>
              <w:right w:val="single" w:sz="4" w:space="0" w:color="000000"/>
            </w:tcBorders>
            <w:shd w:val="clear" w:color="000000" w:fill="D9D9D9"/>
            <w:noWrap/>
            <w:vAlign w:val="center"/>
            <w:hideMark/>
          </w:tcPr>
          <w:p w:rsidR="00756160" w:rsidRPr="005B781D" w:rsidP="009E08FF" w14:paraId="1F81C653" w14:textId="0B8076B0">
            <w:pPr>
              <w:autoSpaceDE/>
              <w:autoSpaceDN/>
              <w:jc w:val="center"/>
              <w:rPr>
                <w:rFonts w:eastAsia="Times New Roman"/>
                <w:b/>
                <w:bCs/>
                <w:sz w:val="16"/>
                <w:szCs w:val="16"/>
              </w:rPr>
            </w:pPr>
            <w:r w:rsidRPr="005B781D">
              <w:rPr>
                <w:rFonts w:eastAsia="Times New Roman"/>
                <w:b/>
                <w:bCs/>
                <w:sz w:val="16"/>
                <w:szCs w:val="16"/>
              </w:rPr>
              <w:t>Fusion Machines by State at end of Analysis Period</w:t>
            </w:r>
            <w:r w:rsidR="00E45674">
              <w:rPr>
                <w:rFonts w:eastAsia="Times New Roman"/>
                <w:b/>
                <w:bCs/>
                <w:sz w:val="16"/>
                <w:szCs w:val="16"/>
              </w:rPr>
              <w:t>*</w:t>
            </w:r>
            <w:r w:rsidR="00EA2A47">
              <w:rPr>
                <w:rFonts w:eastAsia="Times New Roman"/>
                <w:b/>
                <w:bCs/>
                <w:sz w:val="16"/>
                <w:szCs w:val="16"/>
              </w:rPr>
              <w:t>*</w:t>
            </w:r>
          </w:p>
        </w:tc>
      </w:tr>
      <w:tr w14:paraId="3869526D"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74BBFCF5" w14:textId="77777777">
            <w:pPr>
              <w:autoSpaceDE/>
              <w:autoSpaceDN/>
              <w:jc w:val="center"/>
              <w:rPr>
                <w:rFonts w:eastAsia="Times New Roman"/>
                <w:color w:val="000000"/>
                <w:sz w:val="16"/>
                <w:szCs w:val="16"/>
              </w:rPr>
            </w:pPr>
            <w:r w:rsidRPr="005B781D">
              <w:rPr>
                <w:rFonts w:eastAsia="Times New Roman"/>
                <w:color w:val="000000"/>
                <w:sz w:val="16"/>
                <w:szCs w:val="16"/>
              </w:rPr>
              <w:t>Alabama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AE4496C" w14:textId="77777777">
            <w:pPr>
              <w:autoSpaceDE/>
              <w:autoSpaceDN/>
              <w:jc w:val="center"/>
              <w:rPr>
                <w:rFonts w:eastAsia="Times New Roman"/>
                <w:sz w:val="16"/>
                <w:szCs w:val="16"/>
              </w:rPr>
            </w:pPr>
            <w:r w:rsidRPr="005B781D">
              <w:rPr>
                <w:rFonts w:eastAsia="Times New Roman"/>
                <w:sz w:val="16"/>
                <w:szCs w:val="16"/>
              </w:rPr>
              <w:t>5.10</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756160" w:rsidRPr="005B781D" w14:paraId="52E1AF57" w14:textId="77777777">
            <w:pPr>
              <w:autoSpaceDE/>
              <w:autoSpaceDN/>
              <w:jc w:val="center"/>
              <w:rPr>
                <w:rFonts w:eastAsia="Times New Roman"/>
                <w:color w:val="FFFFFF"/>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3710873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1020A81F"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4FDE5DE4" w14:textId="77777777">
            <w:pPr>
              <w:autoSpaceDE/>
              <w:autoSpaceDN/>
              <w:jc w:val="center"/>
              <w:rPr>
                <w:rFonts w:eastAsia="Times New Roman"/>
                <w:sz w:val="16"/>
                <w:szCs w:val="16"/>
              </w:rPr>
            </w:pPr>
            <w:r w:rsidRPr="005B781D">
              <w:rPr>
                <w:rFonts w:eastAsia="Times New Roman"/>
                <w:sz w:val="16"/>
                <w:szCs w:val="16"/>
              </w:rPr>
              <w:t>27</w:t>
            </w:r>
          </w:p>
        </w:tc>
        <w:tc>
          <w:tcPr>
            <w:tcW w:w="1429" w:type="dxa"/>
            <w:tcBorders>
              <w:top w:val="nil"/>
              <w:left w:val="nil"/>
              <w:bottom w:val="single" w:sz="4" w:space="0" w:color="auto"/>
              <w:right w:val="single" w:sz="4" w:space="0" w:color="auto"/>
            </w:tcBorders>
            <w:vAlign w:val="bottom"/>
            <w:hideMark/>
          </w:tcPr>
          <w:p w:rsidR="00756160" w:rsidRPr="005B781D" w14:paraId="20C4C940" w14:textId="0B7B67FF">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6862E07" w14:textId="77777777" w:rsidTr="005D09BA">
        <w:tblPrEx>
          <w:tblW w:w="9260" w:type="dxa"/>
          <w:tblLook w:val="04A0"/>
        </w:tblPrEx>
        <w:trPr>
          <w:trHeight w:val="290"/>
        </w:trPr>
        <w:tc>
          <w:tcPr>
            <w:tcW w:w="1880" w:type="dxa"/>
            <w:tcBorders>
              <w:top w:val="single" w:sz="4" w:space="0" w:color="auto"/>
              <w:left w:val="single" w:sz="4" w:space="0" w:color="auto"/>
              <w:bottom w:val="single" w:sz="4" w:space="0" w:color="auto"/>
              <w:right w:val="single" w:sz="4" w:space="0" w:color="auto"/>
            </w:tcBorders>
            <w:vAlign w:val="bottom"/>
            <w:hideMark/>
          </w:tcPr>
          <w:p w:rsidR="00756160" w:rsidRPr="005B781D" w14:paraId="3B8BDF96" w14:textId="77777777">
            <w:pPr>
              <w:autoSpaceDE/>
              <w:autoSpaceDN/>
              <w:jc w:val="center"/>
              <w:rPr>
                <w:rFonts w:eastAsia="Times New Roman"/>
                <w:color w:val="000000"/>
                <w:sz w:val="16"/>
                <w:szCs w:val="16"/>
              </w:rPr>
            </w:pPr>
            <w:r w:rsidRPr="005B781D">
              <w:rPr>
                <w:rFonts w:eastAsia="Times New Roman"/>
                <w:color w:val="000000"/>
                <w:sz w:val="16"/>
                <w:szCs w:val="16"/>
              </w:rPr>
              <w:t>Alaska</w:t>
            </w:r>
          </w:p>
        </w:tc>
        <w:tc>
          <w:tcPr>
            <w:tcW w:w="1350" w:type="dxa"/>
            <w:tcBorders>
              <w:top w:val="single" w:sz="4" w:space="0" w:color="auto"/>
              <w:left w:val="nil"/>
              <w:bottom w:val="single" w:sz="4" w:space="0" w:color="auto"/>
              <w:right w:val="nil"/>
            </w:tcBorders>
            <w:shd w:val="clear" w:color="000000" w:fill="FFFFFF"/>
            <w:noWrap/>
            <w:vAlign w:val="bottom"/>
            <w:hideMark/>
          </w:tcPr>
          <w:p w:rsidR="00756160" w:rsidRPr="005B781D" w14:paraId="000D5BFB" w14:textId="77777777">
            <w:pPr>
              <w:autoSpaceDE/>
              <w:autoSpaceDN/>
              <w:jc w:val="center"/>
              <w:rPr>
                <w:rFonts w:eastAsia="Times New Roman"/>
                <w:sz w:val="16"/>
                <w:szCs w:val="16"/>
              </w:rPr>
            </w:pPr>
            <w:r w:rsidRPr="005B781D">
              <w:rPr>
                <w:rFonts w:eastAsia="Times New Roman"/>
                <w:sz w:val="16"/>
                <w:szCs w:val="16"/>
              </w:rPr>
              <w:t>1.51</w:t>
            </w:r>
          </w:p>
        </w:tc>
        <w:tc>
          <w:tcPr>
            <w:tcW w:w="1176" w:type="dxa"/>
            <w:tcBorders>
              <w:top w:val="single" w:sz="4" w:space="0" w:color="auto"/>
              <w:left w:val="single" w:sz="4" w:space="0" w:color="auto"/>
              <w:bottom w:val="nil"/>
              <w:right w:val="single" w:sz="4" w:space="0" w:color="auto"/>
            </w:tcBorders>
            <w:shd w:val="clear" w:color="000000" w:fill="D9D9D9"/>
            <w:noWrap/>
            <w:vAlign w:val="bottom"/>
            <w:hideMark/>
          </w:tcPr>
          <w:p w:rsidR="00756160" w:rsidRPr="005B781D" w14:paraId="1B8E6189" w14:textId="77777777">
            <w:pPr>
              <w:autoSpaceDE/>
              <w:autoSpaceDN/>
              <w:jc w:val="center"/>
              <w:rPr>
                <w:rFonts w:eastAsia="Times New Roman"/>
                <w:color w:val="D9D9D9"/>
                <w:sz w:val="16"/>
                <w:szCs w:val="16"/>
              </w:rPr>
            </w:pPr>
          </w:p>
        </w:tc>
        <w:tc>
          <w:tcPr>
            <w:tcW w:w="990" w:type="dxa"/>
            <w:tcBorders>
              <w:top w:val="single" w:sz="4" w:space="0" w:color="auto"/>
              <w:left w:val="nil"/>
              <w:bottom w:val="single" w:sz="4" w:space="0" w:color="auto"/>
              <w:right w:val="single" w:sz="4" w:space="0" w:color="auto"/>
            </w:tcBorders>
            <w:noWrap/>
            <w:vAlign w:val="bottom"/>
            <w:hideMark/>
          </w:tcPr>
          <w:p w:rsidR="00756160" w:rsidRPr="005B781D" w14:paraId="404084D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single" w:sz="4" w:space="0" w:color="auto"/>
              <w:left w:val="nil"/>
              <w:bottom w:val="single" w:sz="4" w:space="0" w:color="auto"/>
              <w:right w:val="single" w:sz="4" w:space="0" w:color="auto"/>
            </w:tcBorders>
            <w:noWrap/>
            <w:vAlign w:val="bottom"/>
            <w:hideMark/>
          </w:tcPr>
          <w:p w:rsidR="00756160" w:rsidRPr="005B781D" w14:paraId="0634D279"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single" w:sz="4" w:space="0" w:color="auto"/>
              <w:left w:val="nil"/>
              <w:bottom w:val="single" w:sz="4" w:space="0" w:color="auto"/>
              <w:right w:val="single" w:sz="4" w:space="0" w:color="auto"/>
            </w:tcBorders>
            <w:noWrap/>
            <w:vAlign w:val="bottom"/>
            <w:hideMark/>
          </w:tcPr>
          <w:p w:rsidR="00756160" w:rsidRPr="005B781D" w14:paraId="337B1F6F" w14:textId="77777777">
            <w:pPr>
              <w:autoSpaceDE/>
              <w:autoSpaceDN/>
              <w:jc w:val="center"/>
              <w:rPr>
                <w:rFonts w:eastAsia="Times New Roman"/>
                <w:sz w:val="16"/>
                <w:szCs w:val="16"/>
              </w:rPr>
            </w:pPr>
            <w:r w:rsidRPr="005B781D">
              <w:rPr>
                <w:rFonts w:eastAsia="Times New Roman"/>
                <w:sz w:val="16"/>
                <w:szCs w:val="16"/>
              </w:rPr>
              <w:t>8</w:t>
            </w:r>
          </w:p>
        </w:tc>
        <w:tc>
          <w:tcPr>
            <w:tcW w:w="1429" w:type="dxa"/>
            <w:tcBorders>
              <w:top w:val="single" w:sz="4" w:space="0" w:color="auto"/>
              <w:left w:val="nil"/>
              <w:bottom w:val="single" w:sz="4" w:space="0" w:color="auto"/>
              <w:right w:val="single" w:sz="4" w:space="0" w:color="auto"/>
            </w:tcBorders>
            <w:vAlign w:val="bottom"/>
            <w:hideMark/>
          </w:tcPr>
          <w:p w:rsidR="00756160" w:rsidRPr="005B781D" w14:paraId="1571B700"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F2DDC91"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4A090C5" w14:textId="77777777">
            <w:pPr>
              <w:autoSpaceDE/>
              <w:autoSpaceDN/>
              <w:jc w:val="center"/>
              <w:rPr>
                <w:rFonts w:eastAsia="Times New Roman"/>
                <w:color w:val="000000"/>
                <w:sz w:val="16"/>
                <w:szCs w:val="16"/>
              </w:rPr>
            </w:pPr>
            <w:r w:rsidRPr="005B781D">
              <w:rPr>
                <w:rFonts w:eastAsia="Times New Roman"/>
                <w:color w:val="000000"/>
                <w:sz w:val="16"/>
                <w:szCs w:val="16"/>
              </w:rPr>
              <w:t>Arizona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EDEA152" w14:textId="77777777">
            <w:pPr>
              <w:autoSpaceDE/>
              <w:autoSpaceDN/>
              <w:jc w:val="center"/>
              <w:rPr>
                <w:rFonts w:eastAsia="Times New Roman"/>
                <w:sz w:val="16"/>
                <w:szCs w:val="16"/>
              </w:rPr>
            </w:pPr>
            <w:r w:rsidRPr="005B781D">
              <w:rPr>
                <w:rFonts w:eastAsia="Times New Roman"/>
                <w:sz w:val="16"/>
                <w:szCs w:val="16"/>
              </w:rPr>
              <w:t>7.74</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DDF92C3"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50E4A1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103D0297"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F99111B" w14:textId="77777777">
            <w:pPr>
              <w:autoSpaceDE/>
              <w:autoSpaceDN/>
              <w:jc w:val="center"/>
              <w:rPr>
                <w:rFonts w:eastAsia="Times New Roman"/>
                <w:sz w:val="16"/>
                <w:szCs w:val="16"/>
              </w:rPr>
            </w:pPr>
            <w:r w:rsidRPr="005B781D">
              <w:rPr>
                <w:rFonts w:eastAsia="Times New Roman"/>
                <w:sz w:val="16"/>
                <w:szCs w:val="16"/>
              </w:rPr>
              <w:t>41</w:t>
            </w:r>
          </w:p>
        </w:tc>
        <w:tc>
          <w:tcPr>
            <w:tcW w:w="1429" w:type="dxa"/>
            <w:tcBorders>
              <w:top w:val="nil"/>
              <w:left w:val="nil"/>
              <w:bottom w:val="single" w:sz="4" w:space="0" w:color="auto"/>
              <w:right w:val="single" w:sz="4" w:space="0" w:color="auto"/>
            </w:tcBorders>
            <w:vAlign w:val="bottom"/>
            <w:hideMark/>
          </w:tcPr>
          <w:p w:rsidR="00756160" w:rsidRPr="005B781D" w14:paraId="7E31FFC3"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1D49797"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7D7382E9" w14:textId="77777777">
            <w:pPr>
              <w:autoSpaceDE/>
              <w:autoSpaceDN/>
              <w:jc w:val="center"/>
              <w:rPr>
                <w:rFonts w:eastAsia="Times New Roman"/>
                <w:color w:val="000000"/>
                <w:sz w:val="16"/>
                <w:szCs w:val="16"/>
              </w:rPr>
            </w:pPr>
            <w:r w:rsidRPr="005B781D">
              <w:rPr>
                <w:rFonts w:eastAsia="Times New Roman"/>
                <w:color w:val="000000"/>
                <w:sz w:val="16"/>
                <w:szCs w:val="16"/>
              </w:rPr>
              <w:t>Arkansas</w:t>
            </w:r>
          </w:p>
        </w:tc>
        <w:tc>
          <w:tcPr>
            <w:tcW w:w="1350" w:type="dxa"/>
            <w:tcBorders>
              <w:top w:val="nil"/>
              <w:left w:val="nil"/>
              <w:bottom w:val="single" w:sz="4" w:space="0" w:color="auto"/>
              <w:right w:val="nil"/>
            </w:tcBorders>
            <w:shd w:val="clear" w:color="000000" w:fill="FFFFFF"/>
            <w:noWrap/>
            <w:vAlign w:val="bottom"/>
            <w:hideMark/>
          </w:tcPr>
          <w:p w:rsidR="00756160" w:rsidRPr="005B781D" w14:paraId="5372157C" w14:textId="77777777">
            <w:pPr>
              <w:autoSpaceDE/>
              <w:autoSpaceDN/>
              <w:jc w:val="center"/>
              <w:rPr>
                <w:rFonts w:eastAsia="Times New Roman"/>
                <w:sz w:val="16"/>
                <w:szCs w:val="16"/>
              </w:rPr>
            </w:pPr>
            <w:r w:rsidRPr="005B781D">
              <w:rPr>
                <w:rFonts w:eastAsia="Times New Roman"/>
                <w:sz w:val="16"/>
                <w:szCs w:val="16"/>
              </w:rPr>
              <w:t>6.04</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5AAF252A"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C31A46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677D160D"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44C3DC9F" w14:textId="77777777">
            <w:pPr>
              <w:autoSpaceDE/>
              <w:autoSpaceDN/>
              <w:jc w:val="center"/>
              <w:rPr>
                <w:rFonts w:eastAsia="Times New Roman"/>
                <w:sz w:val="16"/>
                <w:szCs w:val="16"/>
              </w:rPr>
            </w:pPr>
            <w:r w:rsidRPr="005B781D">
              <w:rPr>
                <w:rFonts w:eastAsia="Times New Roman"/>
                <w:sz w:val="16"/>
                <w:szCs w:val="16"/>
              </w:rPr>
              <w:t>32</w:t>
            </w:r>
          </w:p>
        </w:tc>
        <w:tc>
          <w:tcPr>
            <w:tcW w:w="1429" w:type="dxa"/>
            <w:tcBorders>
              <w:top w:val="nil"/>
              <w:left w:val="nil"/>
              <w:bottom w:val="single" w:sz="4" w:space="0" w:color="auto"/>
              <w:right w:val="single" w:sz="4" w:space="0" w:color="auto"/>
            </w:tcBorders>
            <w:vAlign w:val="bottom"/>
            <w:hideMark/>
          </w:tcPr>
          <w:p w:rsidR="00756160" w:rsidRPr="005B781D" w14:paraId="28F388D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70EDA62"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73C83147" w14:textId="77777777">
            <w:pPr>
              <w:autoSpaceDE/>
              <w:autoSpaceDN/>
              <w:jc w:val="center"/>
              <w:rPr>
                <w:rFonts w:eastAsia="Times New Roman"/>
                <w:color w:val="000000"/>
                <w:sz w:val="16"/>
                <w:szCs w:val="16"/>
              </w:rPr>
            </w:pPr>
            <w:r w:rsidRPr="005B781D">
              <w:rPr>
                <w:rFonts w:eastAsia="Times New Roman"/>
                <w:color w:val="000000"/>
                <w:sz w:val="16"/>
                <w:szCs w:val="16"/>
              </w:rPr>
              <w:t>California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2175E30" w14:textId="77777777">
            <w:pPr>
              <w:autoSpaceDE/>
              <w:autoSpaceDN/>
              <w:jc w:val="center"/>
              <w:rPr>
                <w:rFonts w:eastAsia="Times New Roman"/>
                <w:sz w:val="16"/>
                <w:szCs w:val="16"/>
              </w:rPr>
            </w:pPr>
            <w:r w:rsidRPr="005B781D">
              <w:rPr>
                <w:rFonts w:eastAsia="Times New Roman"/>
                <w:sz w:val="16"/>
                <w:szCs w:val="16"/>
              </w:rPr>
              <w:t>13.21</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358538C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2DFB588"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noWrap/>
            <w:vAlign w:val="bottom"/>
            <w:hideMark/>
          </w:tcPr>
          <w:p w:rsidR="00756160" w:rsidRPr="005B781D" w14:paraId="6B4405AF" w14:textId="77777777">
            <w:pPr>
              <w:autoSpaceDE/>
              <w:autoSpaceDN/>
              <w:jc w:val="center"/>
              <w:rPr>
                <w:rFonts w:eastAsia="Times New Roman"/>
                <w:sz w:val="16"/>
                <w:szCs w:val="16"/>
              </w:rPr>
            </w:pPr>
            <w:r w:rsidRPr="005B781D">
              <w:rPr>
                <w:rFonts w:eastAsia="Times New Roman"/>
                <w:sz w:val="16"/>
                <w:szCs w:val="16"/>
              </w:rPr>
              <w:t>3</w:t>
            </w:r>
          </w:p>
        </w:tc>
        <w:tc>
          <w:tcPr>
            <w:tcW w:w="1355" w:type="dxa"/>
            <w:tcBorders>
              <w:top w:val="nil"/>
              <w:left w:val="nil"/>
              <w:bottom w:val="single" w:sz="4" w:space="0" w:color="auto"/>
              <w:right w:val="single" w:sz="4" w:space="0" w:color="auto"/>
            </w:tcBorders>
            <w:noWrap/>
            <w:vAlign w:val="bottom"/>
            <w:hideMark/>
          </w:tcPr>
          <w:p w:rsidR="00756160" w:rsidRPr="005B781D" w14:paraId="2B9AFE44" w14:textId="77777777">
            <w:pPr>
              <w:autoSpaceDE/>
              <w:autoSpaceDN/>
              <w:jc w:val="center"/>
              <w:rPr>
                <w:rFonts w:eastAsia="Times New Roman"/>
                <w:sz w:val="16"/>
                <w:szCs w:val="16"/>
              </w:rPr>
            </w:pPr>
            <w:r w:rsidRPr="005B781D">
              <w:rPr>
                <w:rFonts w:eastAsia="Times New Roman"/>
                <w:sz w:val="16"/>
                <w:szCs w:val="16"/>
              </w:rPr>
              <w:t>70</w:t>
            </w:r>
          </w:p>
        </w:tc>
        <w:tc>
          <w:tcPr>
            <w:tcW w:w="1429" w:type="dxa"/>
            <w:tcBorders>
              <w:top w:val="nil"/>
              <w:left w:val="nil"/>
              <w:bottom w:val="single" w:sz="4" w:space="0" w:color="auto"/>
              <w:right w:val="single" w:sz="4" w:space="0" w:color="auto"/>
            </w:tcBorders>
            <w:vAlign w:val="bottom"/>
            <w:hideMark/>
          </w:tcPr>
          <w:p w:rsidR="00756160" w:rsidRPr="005B781D" w14:paraId="74193B8F"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53DE548"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FDC97C6" w14:textId="77777777">
            <w:pPr>
              <w:autoSpaceDE/>
              <w:autoSpaceDN/>
              <w:jc w:val="center"/>
              <w:rPr>
                <w:rFonts w:eastAsia="Times New Roman"/>
                <w:color w:val="000000"/>
                <w:sz w:val="16"/>
                <w:szCs w:val="16"/>
              </w:rPr>
            </w:pPr>
            <w:r w:rsidRPr="005B781D">
              <w:rPr>
                <w:rFonts w:eastAsia="Times New Roman"/>
                <w:color w:val="000000"/>
                <w:sz w:val="16"/>
                <w:szCs w:val="16"/>
              </w:rPr>
              <w:t>Colorado</w:t>
            </w:r>
          </w:p>
        </w:tc>
        <w:tc>
          <w:tcPr>
            <w:tcW w:w="1350" w:type="dxa"/>
            <w:tcBorders>
              <w:top w:val="nil"/>
              <w:left w:val="nil"/>
              <w:bottom w:val="single" w:sz="4" w:space="0" w:color="auto"/>
              <w:right w:val="nil"/>
            </w:tcBorders>
            <w:shd w:val="clear" w:color="000000" w:fill="FFFFFF"/>
            <w:noWrap/>
            <w:vAlign w:val="bottom"/>
            <w:hideMark/>
          </w:tcPr>
          <w:p w:rsidR="00756160" w:rsidRPr="005B781D" w14:paraId="2CB76D49" w14:textId="77777777">
            <w:pPr>
              <w:autoSpaceDE/>
              <w:autoSpaceDN/>
              <w:jc w:val="center"/>
              <w:rPr>
                <w:rFonts w:eastAsia="Times New Roman"/>
                <w:sz w:val="16"/>
                <w:szCs w:val="16"/>
              </w:rPr>
            </w:pPr>
            <w:r w:rsidRPr="005B781D">
              <w:rPr>
                <w:rFonts w:eastAsia="Times New Roman"/>
                <w:sz w:val="16"/>
                <w:szCs w:val="16"/>
              </w:rPr>
              <w:t>3.78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13E841A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02B0C4A"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noWrap/>
            <w:vAlign w:val="bottom"/>
            <w:hideMark/>
          </w:tcPr>
          <w:p w:rsidR="00756160" w:rsidRPr="005B781D" w14:paraId="1E835950" w14:textId="77777777">
            <w:pPr>
              <w:autoSpaceDE/>
              <w:autoSpaceDN/>
              <w:jc w:val="center"/>
              <w:rPr>
                <w:rFonts w:eastAsia="Times New Roman"/>
                <w:sz w:val="16"/>
                <w:szCs w:val="16"/>
              </w:rPr>
            </w:pPr>
            <w:r w:rsidRPr="005B781D">
              <w:rPr>
                <w:rFonts w:eastAsia="Times New Roman"/>
                <w:sz w:val="16"/>
                <w:szCs w:val="16"/>
              </w:rPr>
              <w:t>3</w:t>
            </w:r>
          </w:p>
        </w:tc>
        <w:tc>
          <w:tcPr>
            <w:tcW w:w="1355" w:type="dxa"/>
            <w:tcBorders>
              <w:top w:val="nil"/>
              <w:left w:val="nil"/>
              <w:bottom w:val="single" w:sz="4" w:space="0" w:color="auto"/>
              <w:right w:val="single" w:sz="4" w:space="0" w:color="auto"/>
            </w:tcBorders>
            <w:noWrap/>
            <w:vAlign w:val="bottom"/>
            <w:hideMark/>
          </w:tcPr>
          <w:p w:rsidR="00756160" w:rsidRPr="005B781D" w14:paraId="30061127" w14:textId="77777777">
            <w:pPr>
              <w:autoSpaceDE/>
              <w:autoSpaceDN/>
              <w:jc w:val="center"/>
              <w:rPr>
                <w:rFonts w:eastAsia="Times New Roman"/>
                <w:sz w:val="16"/>
                <w:szCs w:val="16"/>
              </w:rPr>
            </w:pPr>
            <w:r w:rsidRPr="005B781D">
              <w:rPr>
                <w:rFonts w:eastAsia="Times New Roman"/>
                <w:sz w:val="16"/>
                <w:szCs w:val="16"/>
              </w:rPr>
              <w:t>20</w:t>
            </w:r>
          </w:p>
        </w:tc>
        <w:tc>
          <w:tcPr>
            <w:tcW w:w="1429" w:type="dxa"/>
            <w:tcBorders>
              <w:top w:val="nil"/>
              <w:left w:val="nil"/>
              <w:bottom w:val="single" w:sz="4" w:space="0" w:color="auto"/>
              <w:right w:val="single" w:sz="4" w:space="0" w:color="auto"/>
            </w:tcBorders>
            <w:vAlign w:val="bottom"/>
            <w:hideMark/>
          </w:tcPr>
          <w:p w:rsidR="00756160" w:rsidRPr="005B781D" w14:paraId="73CCDCC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549988A"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291B6BA" w14:textId="77777777">
            <w:pPr>
              <w:autoSpaceDE/>
              <w:autoSpaceDN/>
              <w:jc w:val="center"/>
              <w:rPr>
                <w:rFonts w:eastAsia="Times New Roman"/>
                <w:color w:val="000000"/>
                <w:sz w:val="16"/>
                <w:szCs w:val="16"/>
              </w:rPr>
            </w:pPr>
            <w:r w:rsidRPr="005B781D">
              <w:rPr>
                <w:rFonts w:eastAsia="Times New Roman"/>
                <w:color w:val="000000"/>
                <w:sz w:val="16"/>
                <w:szCs w:val="16"/>
              </w:rPr>
              <w:t>Connecticut</w:t>
            </w:r>
          </w:p>
        </w:tc>
        <w:tc>
          <w:tcPr>
            <w:tcW w:w="1350" w:type="dxa"/>
            <w:tcBorders>
              <w:top w:val="nil"/>
              <w:left w:val="nil"/>
              <w:bottom w:val="single" w:sz="4" w:space="0" w:color="auto"/>
              <w:right w:val="nil"/>
            </w:tcBorders>
            <w:shd w:val="clear" w:color="000000" w:fill="FFFFFF"/>
            <w:noWrap/>
            <w:vAlign w:val="bottom"/>
            <w:hideMark/>
          </w:tcPr>
          <w:p w:rsidR="00756160" w:rsidRPr="005B781D" w14:paraId="2B1BC08F"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62B6F043"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1F2C21A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B14631A"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582ACF4F"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7D5FF511"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4615D4F"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36DE0A4" w14:textId="77777777">
            <w:pPr>
              <w:autoSpaceDE/>
              <w:autoSpaceDN/>
              <w:jc w:val="center"/>
              <w:rPr>
                <w:rFonts w:eastAsia="Times New Roman"/>
                <w:color w:val="000000"/>
                <w:sz w:val="16"/>
                <w:szCs w:val="16"/>
              </w:rPr>
            </w:pPr>
            <w:r w:rsidRPr="005B781D">
              <w:rPr>
                <w:rFonts w:eastAsia="Times New Roman"/>
                <w:color w:val="000000"/>
                <w:sz w:val="16"/>
                <w:szCs w:val="16"/>
              </w:rPr>
              <w:t>Delaware</w:t>
            </w:r>
          </w:p>
        </w:tc>
        <w:tc>
          <w:tcPr>
            <w:tcW w:w="1350" w:type="dxa"/>
            <w:tcBorders>
              <w:top w:val="nil"/>
              <w:left w:val="nil"/>
              <w:bottom w:val="single" w:sz="4" w:space="0" w:color="auto"/>
              <w:right w:val="nil"/>
            </w:tcBorders>
            <w:shd w:val="clear" w:color="000000" w:fill="FFFFFF"/>
            <w:noWrap/>
            <w:vAlign w:val="bottom"/>
            <w:hideMark/>
          </w:tcPr>
          <w:p w:rsidR="00756160" w:rsidRPr="005B781D" w14:paraId="394FCCBE"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56E74B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39801BD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2BA04DF"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35597DBC"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45395AE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9C99C8A"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6645702C" w14:textId="77777777">
            <w:pPr>
              <w:autoSpaceDE/>
              <w:autoSpaceDN/>
              <w:jc w:val="center"/>
              <w:rPr>
                <w:rFonts w:eastAsia="Times New Roman"/>
                <w:color w:val="000000"/>
                <w:sz w:val="16"/>
                <w:szCs w:val="16"/>
              </w:rPr>
            </w:pPr>
            <w:r w:rsidRPr="005B781D">
              <w:rPr>
                <w:rFonts w:eastAsia="Times New Roman"/>
                <w:color w:val="000000"/>
                <w:sz w:val="16"/>
                <w:szCs w:val="16"/>
              </w:rPr>
              <w:t>District of Columbia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10ED24F9" w14:textId="77777777">
            <w:pPr>
              <w:autoSpaceDE/>
              <w:autoSpaceDN/>
              <w:jc w:val="center"/>
              <w:rPr>
                <w:rFonts w:eastAsia="Times New Roman"/>
                <w:sz w:val="16"/>
                <w:szCs w:val="16"/>
              </w:rPr>
            </w:pPr>
            <w:r w:rsidRPr="005B781D">
              <w:rPr>
                <w:rFonts w:eastAsia="Times New Roman"/>
                <w:sz w:val="16"/>
                <w:szCs w:val="16"/>
              </w:rPr>
              <w:t>0.00</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4B027E4"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24F741F4"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3CA9E550"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5CCF0654" w14:textId="77777777">
            <w:pPr>
              <w:autoSpaceDE/>
              <w:autoSpaceDN/>
              <w:jc w:val="center"/>
              <w:rPr>
                <w:rFonts w:eastAsia="Times New Roman"/>
                <w:sz w:val="16"/>
                <w:szCs w:val="16"/>
              </w:rPr>
            </w:pPr>
            <w:r w:rsidRPr="005B781D">
              <w:rPr>
                <w:rFonts w:eastAsia="Times New Roman"/>
                <w:sz w:val="16"/>
                <w:szCs w:val="16"/>
              </w:rPr>
              <w:t>0</w:t>
            </w:r>
          </w:p>
        </w:tc>
        <w:tc>
          <w:tcPr>
            <w:tcW w:w="1429" w:type="dxa"/>
            <w:tcBorders>
              <w:top w:val="nil"/>
              <w:left w:val="nil"/>
              <w:bottom w:val="single" w:sz="4" w:space="0" w:color="auto"/>
              <w:right w:val="single" w:sz="4" w:space="0" w:color="auto"/>
            </w:tcBorders>
            <w:vAlign w:val="bottom"/>
            <w:hideMark/>
          </w:tcPr>
          <w:p w:rsidR="00756160" w:rsidRPr="005B781D" w14:paraId="0D329D4F"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DCC11BC"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768746DA" w14:textId="77777777">
            <w:pPr>
              <w:autoSpaceDE/>
              <w:autoSpaceDN/>
              <w:jc w:val="center"/>
              <w:rPr>
                <w:rFonts w:eastAsia="Times New Roman"/>
                <w:color w:val="000000"/>
                <w:sz w:val="16"/>
                <w:szCs w:val="16"/>
              </w:rPr>
            </w:pPr>
            <w:r w:rsidRPr="005B781D">
              <w:rPr>
                <w:rFonts w:eastAsia="Times New Roman"/>
                <w:color w:val="000000"/>
                <w:sz w:val="16"/>
                <w:szCs w:val="16"/>
              </w:rPr>
              <w:t>Florida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EB6088A" w14:textId="77777777">
            <w:pPr>
              <w:autoSpaceDE/>
              <w:autoSpaceDN/>
              <w:jc w:val="center"/>
              <w:rPr>
                <w:rFonts w:eastAsia="Times New Roman"/>
                <w:sz w:val="16"/>
                <w:szCs w:val="16"/>
              </w:rPr>
            </w:pPr>
            <w:r w:rsidRPr="005B781D">
              <w:rPr>
                <w:rFonts w:eastAsia="Times New Roman"/>
                <w:sz w:val="16"/>
                <w:szCs w:val="16"/>
              </w:rPr>
              <w:t>28.51</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68726CF9"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8CB7A4E"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11FC0C1"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3A326B5A" w14:textId="501D5992">
            <w:pPr>
              <w:autoSpaceDE/>
              <w:autoSpaceDN/>
              <w:jc w:val="center"/>
              <w:rPr>
                <w:rFonts w:eastAsia="Times New Roman"/>
                <w:sz w:val="16"/>
                <w:szCs w:val="16"/>
              </w:rPr>
            </w:pPr>
            <w:r w:rsidRPr="005B781D">
              <w:rPr>
                <w:rFonts w:eastAsia="Times New Roman"/>
                <w:sz w:val="16"/>
                <w:szCs w:val="16"/>
              </w:rPr>
              <w:t>151</w:t>
            </w:r>
          </w:p>
        </w:tc>
        <w:tc>
          <w:tcPr>
            <w:tcW w:w="1429" w:type="dxa"/>
            <w:tcBorders>
              <w:top w:val="nil"/>
              <w:left w:val="nil"/>
              <w:bottom w:val="single" w:sz="4" w:space="0" w:color="auto"/>
              <w:right w:val="single" w:sz="4" w:space="0" w:color="auto"/>
            </w:tcBorders>
            <w:vAlign w:val="bottom"/>
            <w:hideMark/>
          </w:tcPr>
          <w:p w:rsidR="00756160" w:rsidRPr="005B781D" w14:paraId="3B4D413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C05D1BF"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38D10D99" w14:textId="77777777">
            <w:pPr>
              <w:autoSpaceDE/>
              <w:autoSpaceDN/>
              <w:jc w:val="center"/>
              <w:rPr>
                <w:rFonts w:eastAsia="Times New Roman"/>
                <w:color w:val="000000"/>
                <w:sz w:val="16"/>
                <w:szCs w:val="16"/>
              </w:rPr>
            </w:pPr>
            <w:r w:rsidRPr="005B781D">
              <w:rPr>
                <w:rFonts w:eastAsia="Times New Roman"/>
                <w:color w:val="000000"/>
                <w:sz w:val="16"/>
                <w:szCs w:val="16"/>
              </w:rPr>
              <w:t>Georgia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4703782E" w14:textId="77777777">
            <w:pPr>
              <w:autoSpaceDE/>
              <w:autoSpaceDN/>
              <w:jc w:val="center"/>
              <w:rPr>
                <w:rFonts w:eastAsia="Times New Roman"/>
                <w:sz w:val="16"/>
                <w:szCs w:val="16"/>
              </w:rPr>
            </w:pPr>
            <w:r w:rsidRPr="005B781D">
              <w:rPr>
                <w:rFonts w:eastAsia="Times New Roman"/>
                <w:sz w:val="16"/>
                <w:szCs w:val="16"/>
              </w:rPr>
              <w:t>5.66</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6B264F2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37B69DB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3CCA77A"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D41F027" w14:textId="77777777">
            <w:pPr>
              <w:autoSpaceDE/>
              <w:autoSpaceDN/>
              <w:jc w:val="center"/>
              <w:rPr>
                <w:rFonts w:eastAsia="Times New Roman"/>
                <w:sz w:val="16"/>
                <w:szCs w:val="16"/>
              </w:rPr>
            </w:pPr>
            <w:r w:rsidRPr="005B781D">
              <w:rPr>
                <w:rFonts w:eastAsia="Times New Roman"/>
                <w:sz w:val="16"/>
                <w:szCs w:val="16"/>
              </w:rPr>
              <w:t>30</w:t>
            </w:r>
          </w:p>
        </w:tc>
        <w:tc>
          <w:tcPr>
            <w:tcW w:w="1429" w:type="dxa"/>
            <w:tcBorders>
              <w:top w:val="nil"/>
              <w:left w:val="nil"/>
              <w:bottom w:val="single" w:sz="4" w:space="0" w:color="auto"/>
              <w:right w:val="single" w:sz="4" w:space="0" w:color="auto"/>
            </w:tcBorders>
            <w:vAlign w:val="bottom"/>
            <w:hideMark/>
          </w:tcPr>
          <w:p w:rsidR="00756160" w:rsidRPr="005B781D" w14:paraId="35A6D35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2B1F2E1"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664C67DF" w14:textId="77777777">
            <w:pPr>
              <w:autoSpaceDE/>
              <w:autoSpaceDN/>
              <w:jc w:val="center"/>
              <w:rPr>
                <w:rFonts w:eastAsia="Times New Roman"/>
                <w:color w:val="000000"/>
                <w:sz w:val="16"/>
                <w:szCs w:val="16"/>
              </w:rPr>
            </w:pPr>
            <w:r w:rsidRPr="005B781D">
              <w:rPr>
                <w:rFonts w:eastAsia="Times New Roman"/>
                <w:color w:val="000000"/>
                <w:sz w:val="16"/>
                <w:szCs w:val="16"/>
              </w:rPr>
              <w:t>Hawaii</w:t>
            </w:r>
          </w:p>
        </w:tc>
        <w:tc>
          <w:tcPr>
            <w:tcW w:w="1350" w:type="dxa"/>
            <w:tcBorders>
              <w:top w:val="nil"/>
              <w:left w:val="nil"/>
              <w:bottom w:val="single" w:sz="4" w:space="0" w:color="auto"/>
              <w:right w:val="nil"/>
            </w:tcBorders>
            <w:shd w:val="clear" w:color="000000" w:fill="FFFFFF"/>
            <w:noWrap/>
            <w:vAlign w:val="bottom"/>
            <w:hideMark/>
          </w:tcPr>
          <w:p w:rsidR="00756160" w:rsidRPr="005B781D" w14:paraId="1C39CDE6"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09CBC0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47E56F3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47E79C51"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1B64B063"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00CF7B1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F30644A"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6FBF6D31" w14:textId="77777777">
            <w:pPr>
              <w:autoSpaceDE/>
              <w:autoSpaceDN/>
              <w:jc w:val="center"/>
              <w:rPr>
                <w:rFonts w:eastAsia="Times New Roman"/>
                <w:color w:val="000000"/>
                <w:sz w:val="16"/>
                <w:szCs w:val="16"/>
              </w:rPr>
            </w:pPr>
            <w:r w:rsidRPr="005B781D">
              <w:rPr>
                <w:rFonts w:eastAsia="Times New Roman"/>
                <w:color w:val="000000"/>
                <w:sz w:val="16"/>
                <w:szCs w:val="16"/>
              </w:rPr>
              <w:t>Idaho</w:t>
            </w:r>
          </w:p>
        </w:tc>
        <w:tc>
          <w:tcPr>
            <w:tcW w:w="1350" w:type="dxa"/>
            <w:tcBorders>
              <w:top w:val="nil"/>
              <w:left w:val="nil"/>
              <w:bottom w:val="single" w:sz="4" w:space="0" w:color="auto"/>
              <w:right w:val="nil"/>
            </w:tcBorders>
            <w:shd w:val="clear" w:color="000000" w:fill="FFFFFF"/>
            <w:noWrap/>
            <w:vAlign w:val="bottom"/>
            <w:hideMark/>
          </w:tcPr>
          <w:p w:rsidR="00756160" w:rsidRPr="005B781D" w14:paraId="1DCCD2C6"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55BEA94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E700CB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BA483BF"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715F2A39"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6AE3C603"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5D6A8CD"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3E8446D2" w14:textId="77777777">
            <w:pPr>
              <w:autoSpaceDE/>
              <w:autoSpaceDN/>
              <w:jc w:val="center"/>
              <w:rPr>
                <w:rFonts w:eastAsia="Times New Roman"/>
                <w:color w:val="000000"/>
                <w:sz w:val="16"/>
                <w:szCs w:val="16"/>
              </w:rPr>
            </w:pPr>
            <w:r w:rsidRPr="005B781D">
              <w:rPr>
                <w:rFonts w:eastAsia="Times New Roman"/>
                <w:color w:val="000000"/>
                <w:sz w:val="16"/>
                <w:szCs w:val="16"/>
              </w:rPr>
              <w:t>Illinois</w:t>
            </w:r>
          </w:p>
        </w:tc>
        <w:tc>
          <w:tcPr>
            <w:tcW w:w="1350" w:type="dxa"/>
            <w:tcBorders>
              <w:top w:val="nil"/>
              <w:left w:val="nil"/>
              <w:bottom w:val="single" w:sz="4" w:space="0" w:color="auto"/>
              <w:right w:val="nil"/>
            </w:tcBorders>
            <w:shd w:val="clear" w:color="000000" w:fill="FFFFFF"/>
            <w:noWrap/>
            <w:vAlign w:val="bottom"/>
            <w:hideMark/>
          </w:tcPr>
          <w:p w:rsidR="00756160" w:rsidRPr="005B781D" w14:paraId="739DBB41" w14:textId="77777777">
            <w:pPr>
              <w:autoSpaceDE/>
              <w:autoSpaceDN/>
              <w:jc w:val="center"/>
              <w:rPr>
                <w:rFonts w:eastAsia="Times New Roman"/>
                <w:sz w:val="16"/>
                <w:szCs w:val="16"/>
              </w:rPr>
            </w:pPr>
            <w:r w:rsidRPr="005B781D">
              <w:rPr>
                <w:rFonts w:eastAsia="Times New Roman"/>
                <w:sz w:val="16"/>
                <w:szCs w:val="16"/>
              </w:rPr>
              <w:t>0.57</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0525AC12"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1146E0F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673146EF"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687B2B8B" w14:textId="77777777">
            <w:pPr>
              <w:autoSpaceDE/>
              <w:autoSpaceDN/>
              <w:jc w:val="center"/>
              <w:rPr>
                <w:rFonts w:eastAsia="Times New Roman"/>
                <w:sz w:val="16"/>
                <w:szCs w:val="16"/>
              </w:rPr>
            </w:pPr>
            <w:r w:rsidRPr="005B781D">
              <w:rPr>
                <w:rFonts w:eastAsia="Times New Roman"/>
                <w:sz w:val="16"/>
                <w:szCs w:val="16"/>
              </w:rPr>
              <w:t>3</w:t>
            </w:r>
          </w:p>
        </w:tc>
        <w:tc>
          <w:tcPr>
            <w:tcW w:w="1429" w:type="dxa"/>
            <w:tcBorders>
              <w:top w:val="nil"/>
              <w:left w:val="nil"/>
              <w:bottom w:val="single" w:sz="4" w:space="0" w:color="auto"/>
              <w:right w:val="single" w:sz="4" w:space="0" w:color="auto"/>
            </w:tcBorders>
            <w:vAlign w:val="bottom"/>
            <w:hideMark/>
          </w:tcPr>
          <w:p w:rsidR="00756160" w:rsidRPr="005B781D" w14:paraId="584262D7"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105641C"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7167A05" w14:textId="77777777">
            <w:pPr>
              <w:autoSpaceDE/>
              <w:autoSpaceDN/>
              <w:jc w:val="center"/>
              <w:rPr>
                <w:rFonts w:eastAsia="Times New Roman"/>
                <w:color w:val="000000"/>
                <w:sz w:val="16"/>
                <w:szCs w:val="16"/>
              </w:rPr>
            </w:pPr>
            <w:r w:rsidRPr="005B781D">
              <w:rPr>
                <w:rFonts w:eastAsia="Times New Roman"/>
                <w:color w:val="000000"/>
                <w:sz w:val="16"/>
                <w:szCs w:val="16"/>
              </w:rPr>
              <w:t>Indiana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5453D879" w14:textId="77777777">
            <w:pPr>
              <w:autoSpaceDE/>
              <w:autoSpaceDN/>
              <w:jc w:val="center"/>
              <w:rPr>
                <w:rFonts w:eastAsia="Times New Roman"/>
                <w:sz w:val="16"/>
                <w:szCs w:val="16"/>
              </w:rPr>
            </w:pPr>
            <w:r w:rsidRPr="005B781D">
              <w:rPr>
                <w:rFonts w:eastAsia="Times New Roman"/>
                <w:sz w:val="16"/>
                <w:szCs w:val="16"/>
              </w:rPr>
              <w:t>2.08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2FA47ED0"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4A1B7C5"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5B13E1F9"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24D0EC65" w14:textId="77777777">
            <w:pPr>
              <w:autoSpaceDE/>
              <w:autoSpaceDN/>
              <w:jc w:val="center"/>
              <w:rPr>
                <w:rFonts w:eastAsia="Times New Roman"/>
                <w:sz w:val="16"/>
                <w:szCs w:val="16"/>
              </w:rPr>
            </w:pPr>
            <w:r w:rsidRPr="005B781D">
              <w:rPr>
                <w:rFonts w:eastAsia="Times New Roman"/>
                <w:sz w:val="16"/>
                <w:szCs w:val="16"/>
              </w:rPr>
              <w:t>11</w:t>
            </w:r>
          </w:p>
        </w:tc>
        <w:tc>
          <w:tcPr>
            <w:tcW w:w="1429" w:type="dxa"/>
            <w:tcBorders>
              <w:top w:val="nil"/>
              <w:left w:val="nil"/>
              <w:bottom w:val="single" w:sz="4" w:space="0" w:color="auto"/>
              <w:right w:val="single" w:sz="4" w:space="0" w:color="auto"/>
            </w:tcBorders>
            <w:vAlign w:val="bottom"/>
            <w:hideMark/>
          </w:tcPr>
          <w:p w:rsidR="00756160" w:rsidRPr="005B781D" w14:paraId="7E09977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DF9083E"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6DE6DF2" w14:textId="77777777">
            <w:pPr>
              <w:autoSpaceDE/>
              <w:autoSpaceDN/>
              <w:jc w:val="center"/>
              <w:rPr>
                <w:rFonts w:eastAsia="Times New Roman"/>
                <w:color w:val="000000"/>
                <w:sz w:val="16"/>
                <w:szCs w:val="16"/>
              </w:rPr>
            </w:pPr>
            <w:r w:rsidRPr="005B781D">
              <w:rPr>
                <w:rFonts w:eastAsia="Times New Roman"/>
                <w:color w:val="000000"/>
                <w:sz w:val="16"/>
                <w:szCs w:val="16"/>
              </w:rPr>
              <w:t>Iowa</w:t>
            </w:r>
          </w:p>
        </w:tc>
        <w:tc>
          <w:tcPr>
            <w:tcW w:w="1350" w:type="dxa"/>
            <w:tcBorders>
              <w:top w:val="nil"/>
              <w:left w:val="nil"/>
              <w:bottom w:val="single" w:sz="4" w:space="0" w:color="auto"/>
              <w:right w:val="nil"/>
            </w:tcBorders>
            <w:shd w:val="clear" w:color="000000" w:fill="FFFFFF"/>
            <w:noWrap/>
            <w:vAlign w:val="bottom"/>
            <w:hideMark/>
          </w:tcPr>
          <w:p w:rsidR="00756160" w:rsidRPr="005B781D" w14:paraId="2E2CCCB5" w14:textId="77777777">
            <w:pPr>
              <w:autoSpaceDE/>
              <w:autoSpaceDN/>
              <w:jc w:val="center"/>
              <w:rPr>
                <w:rFonts w:eastAsia="Times New Roman"/>
                <w:sz w:val="16"/>
                <w:szCs w:val="16"/>
              </w:rPr>
            </w:pPr>
            <w:r w:rsidRPr="005B781D">
              <w:rPr>
                <w:rFonts w:eastAsia="Times New Roman"/>
                <w:sz w:val="16"/>
                <w:szCs w:val="16"/>
              </w:rPr>
              <w:t>1.70</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07B615E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F72B95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1F3E60C8"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3713A875" w14:textId="77777777">
            <w:pPr>
              <w:autoSpaceDE/>
              <w:autoSpaceDN/>
              <w:jc w:val="center"/>
              <w:rPr>
                <w:rFonts w:eastAsia="Times New Roman"/>
                <w:sz w:val="16"/>
                <w:szCs w:val="16"/>
              </w:rPr>
            </w:pPr>
            <w:r w:rsidRPr="005B781D">
              <w:rPr>
                <w:rFonts w:eastAsia="Times New Roman"/>
                <w:sz w:val="16"/>
                <w:szCs w:val="16"/>
              </w:rPr>
              <w:t>9</w:t>
            </w:r>
          </w:p>
        </w:tc>
        <w:tc>
          <w:tcPr>
            <w:tcW w:w="1429" w:type="dxa"/>
            <w:tcBorders>
              <w:top w:val="nil"/>
              <w:left w:val="nil"/>
              <w:bottom w:val="single" w:sz="4" w:space="0" w:color="auto"/>
              <w:right w:val="single" w:sz="4" w:space="0" w:color="auto"/>
            </w:tcBorders>
            <w:vAlign w:val="bottom"/>
            <w:hideMark/>
          </w:tcPr>
          <w:p w:rsidR="00756160" w:rsidRPr="005B781D" w14:paraId="08325524"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8F9C74E"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5BDF4E9" w14:textId="77777777">
            <w:pPr>
              <w:autoSpaceDE/>
              <w:autoSpaceDN/>
              <w:jc w:val="center"/>
              <w:rPr>
                <w:rFonts w:eastAsia="Times New Roman"/>
                <w:color w:val="000000"/>
                <w:sz w:val="16"/>
                <w:szCs w:val="16"/>
              </w:rPr>
            </w:pPr>
            <w:r w:rsidRPr="005B781D">
              <w:rPr>
                <w:rFonts w:eastAsia="Times New Roman"/>
                <w:color w:val="000000"/>
                <w:sz w:val="16"/>
                <w:szCs w:val="16"/>
              </w:rPr>
              <w:t>Kansas</w:t>
            </w:r>
          </w:p>
        </w:tc>
        <w:tc>
          <w:tcPr>
            <w:tcW w:w="1350" w:type="dxa"/>
            <w:tcBorders>
              <w:top w:val="nil"/>
              <w:left w:val="nil"/>
              <w:bottom w:val="single" w:sz="4" w:space="0" w:color="auto"/>
              <w:right w:val="nil"/>
            </w:tcBorders>
            <w:shd w:val="clear" w:color="000000" w:fill="FFFFFF"/>
            <w:noWrap/>
            <w:vAlign w:val="bottom"/>
            <w:hideMark/>
          </w:tcPr>
          <w:p w:rsidR="00756160" w:rsidRPr="005B781D" w14:paraId="036965F1"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D78731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10E511F4"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3EEE7F34"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5E92C541"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3FA646E0"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0D73E56"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15FE38F" w14:textId="77777777">
            <w:pPr>
              <w:autoSpaceDE/>
              <w:autoSpaceDN/>
              <w:jc w:val="center"/>
              <w:rPr>
                <w:rFonts w:eastAsia="Times New Roman"/>
                <w:color w:val="000000"/>
                <w:sz w:val="16"/>
                <w:szCs w:val="16"/>
              </w:rPr>
            </w:pPr>
            <w:r w:rsidRPr="005B781D">
              <w:rPr>
                <w:rFonts w:eastAsia="Times New Roman"/>
                <w:color w:val="000000"/>
                <w:sz w:val="16"/>
                <w:szCs w:val="16"/>
              </w:rPr>
              <w:t>Kentucky</w:t>
            </w:r>
          </w:p>
        </w:tc>
        <w:tc>
          <w:tcPr>
            <w:tcW w:w="1350" w:type="dxa"/>
            <w:tcBorders>
              <w:top w:val="nil"/>
              <w:left w:val="nil"/>
              <w:bottom w:val="single" w:sz="4" w:space="0" w:color="auto"/>
              <w:right w:val="nil"/>
            </w:tcBorders>
            <w:shd w:val="clear" w:color="000000" w:fill="FFFFFF"/>
            <w:noWrap/>
            <w:vAlign w:val="bottom"/>
            <w:hideMark/>
          </w:tcPr>
          <w:p w:rsidR="00756160" w:rsidRPr="005B781D" w14:paraId="66A9D830" w14:textId="77777777">
            <w:pPr>
              <w:autoSpaceDE/>
              <w:autoSpaceDN/>
              <w:jc w:val="center"/>
              <w:rPr>
                <w:rFonts w:eastAsia="Times New Roman"/>
                <w:sz w:val="16"/>
                <w:szCs w:val="16"/>
              </w:rPr>
            </w:pPr>
            <w:r w:rsidRPr="005B781D">
              <w:rPr>
                <w:rFonts w:eastAsia="Times New Roman"/>
                <w:sz w:val="16"/>
                <w:szCs w:val="16"/>
              </w:rPr>
              <w:t>1.32</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1CD7913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14EAB46A"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B17FA49"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31E989B4" w14:textId="77777777">
            <w:pPr>
              <w:autoSpaceDE/>
              <w:autoSpaceDN/>
              <w:jc w:val="center"/>
              <w:rPr>
                <w:rFonts w:eastAsia="Times New Roman"/>
                <w:sz w:val="16"/>
                <w:szCs w:val="16"/>
              </w:rPr>
            </w:pPr>
            <w:r w:rsidRPr="005B781D">
              <w:rPr>
                <w:rFonts w:eastAsia="Times New Roman"/>
                <w:sz w:val="16"/>
                <w:szCs w:val="16"/>
              </w:rPr>
              <w:t>7</w:t>
            </w:r>
          </w:p>
        </w:tc>
        <w:tc>
          <w:tcPr>
            <w:tcW w:w="1429" w:type="dxa"/>
            <w:tcBorders>
              <w:top w:val="nil"/>
              <w:left w:val="nil"/>
              <w:bottom w:val="single" w:sz="4" w:space="0" w:color="auto"/>
              <w:right w:val="single" w:sz="4" w:space="0" w:color="auto"/>
            </w:tcBorders>
            <w:vAlign w:val="bottom"/>
            <w:hideMark/>
          </w:tcPr>
          <w:p w:rsidR="00756160" w:rsidRPr="005B781D" w14:paraId="6754874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E93EDC9"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4C7F26E8" w14:textId="77777777">
            <w:pPr>
              <w:autoSpaceDE/>
              <w:autoSpaceDN/>
              <w:jc w:val="center"/>
              <w:rPr>
                <w:rFonts w:eastAsia="Times New Roman"/>
                <w:color w:val="000000"/>
                <w:sz w:val="16"/>
                <w:szCs w:val="16"/>
              </w:rPr>
            </w:pPr>
            <w:r w:rsidRPr="005B781D">
              <w:rPr>
                <w:rFonts w:eastAsia="Times New Roman"/>
                <w:color w:val="000000"/>
                <w:sz w:val="16"/>
                <w:szCs w:val="16"/>
              </w:rPr>
              <w:t>Louisiana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45047EED" w14:textId="77777777">
            <w:pPr>
              <w:autoSpaceDE/>
              <w:autoSpaceDN/>
              <w:jc w:val="center"/>
              <w:rPr>
                <w:rFonts w:eastAsia="Times New Roman"/>
                <w:sz w:val="16"/>
                <w:szCs w:val="16"/>
              </w:rPr>
            </w:pPr>
            <w:r w:rsidRPr="005B781D">
              <w:rPr>
                <w:rFonts w:eastAsia="Times New Roman"/>
                <w:sz w:val="16"/>
                <w:szCs w:val="16"/>
              </w:rPr>
              <w:t>6.42</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58863279"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2F4B26C5"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11B3319"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3B8436A0" w14:textId="77777777">
            <w:pPr>
              <w:autoSpaceDE/>
              <w:autoSpaceDN/>
              <w:jc w:val="center"/>
              <w:rPr>
                <w:rFonts w:eastAsia="Times New Roman"/>
                <w:sz w:val="16"/>
                <w:szCs w:val="16"/>
              </w:rPr>
            </w:pPr>
            <w:r w:rsidRPr="005B781D">
              <w:rPr>
                <w:rFonts w:eastAsia="Times New Roman"/>
                <w:sz w:val="16"/>
                <w:szCs w:val="16"/>
              </w:rPr>
              <w:t>34</w:t>
            </w:r>
          </w:p>
        </w:tc>
        <w:tc>
          <w:tcPr>
            <w:tcW w:w="1429" w:type="dxa"/>
            <w:tcBorders>
              <w:top w:val="nil"/>
              <w:left w:val="nil"/>
              <w:bottom w:val="single" w:sz="4" w:space="0" w:color="auto"/>
              <w:right w:val="single" w:sz="4" w:space="0" w:color="auto"/>
            </w:tcBorders>
            <w:vAlign w:val="bottom"/>
            <w:hideMark/>
          </w:tcPr>
          <w:p w:rsidR="00756160" w:rsidRPr="005B781D" w14:paraId="5A306B5E"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5BF5886"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C15FC6D" w14:textId="77777777">
            <w:pPr>
              <w:autoSpaceDE/>
              <w:autoSpaceDN/>
              <w:jc w:val="center"/>
              <w:rPr>
                <w:rFonts w:eastAsia="Times New Roman"/>
                <w:color w:val="000000"/>
                <w:sz w:val="16"/>
                <w:szCs w:val="16"/>
              </w:rPr>
            </w:pPr>
            <w:r w:rsidRPr="005B781D">
              <w:rPr>
                <w:rFonts w:eastAsia="Times New Roman"/>
                <w:color w:val="000000"/>
                <w:sz w:val="16"/>
                <w:szCs w:val="16"/>
              </w:rPr>
              <w:t>Maine</w:t>
            </w:r>
          </w:p>
        </w:tc>
        <w:tc>
          <w:tcPr>
            <w:tcW w:w="1350" w:type="dxa"/>
            <w:tcBorders>
              <w:top w:val="nil"/>
              <w:left w:val="nil"/>
              <w:bottom w:val="single" w:sz="4" w:space="0" w:color="auto"/>
              <w:right w:val="nil"/>
            </w:tcBorders>
            <w:shd w:val="clear" w:color="000000" w:fill="FFFFFF"/>
            <w:noWrap/>
            <w:vAlign w:val="bottom"/>
            <w:hideMark/>
          </w:tcPr>
          <w:p w:rsidR="00756160" w:rsidRPr="005B781D" w14:paraId="5281DB95"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5AD1B1E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39A1DAE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1157CBC7"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70314E6F"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2E9ADA8E"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2E11203"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8B3C57A" w14:textId="77777777">
            <w:pPr>
              <w:autoSpaceDE/>
              <w:autoSpaceDN/>
              <w:jc w:val="center"/>
              <w:rPr>
                <w:rFonts w:eastAsia="Times New Roman"/>
                <w:color w:val="000000"/>
                <w:sz w:val="16"/>
                <w:szCs w:val="16"/>
              </w:rPr>
            </w:pPr>
            <w:r w:rsidRPr="005B781D">
              <w:rPr>
                <w:rFonts w:eastAsia="Times New Roman"/>
                <w:color w:val="000000"/>
                <w:sz w:val="16"/>
                <w:szCs w:val="16"/>
              </w:rPr>
              <w:t>Maryland</w:t>
            </w:r>
          </w:p>
        </w:tc>
        <w:tc>
          <w:tcPr>
            <w:tcW w:w="1350" w:type="dxa"/>
            <w:tcBorders>
              <w:top w:val="nil"/>
              <w:left w:val="nil"/>
              <w:bottom w:val="single" w:sz="4" w:space="0" w:color="auto"/>
              <w:right w:val="nil"/>
            </w:tcBorders>
            <w:shd w:val="clear" w:color="000000" w:fill="FFFFFF"/>
            <w:noWrap/>
            <w:vAlign w:val="bottom"/>
            <w:hideMark/>
          </w:tcPr>
          <w:p w:rsidR="00756160" w:rsidRPr="005B781D" w14:paraId="43ABA705" w14:textId="77777777">
            <w:pPr>
              <w:autoSpaceDE/>
              <w:autoSpaceDN/>
              <w:jc w:val="center"/>
              <w:rPr>
                <w:rFonts w:eastAsia="Times New Roman"/>
                <w:sz w:val="16"/>
                <w:szCs w:val="16"/>
              </w:rPr>
            </w:pPr>
            <w:r w:rsidRPr="005B781D">
              <w:rPr>
                <w:rFonts w:eastAsia="Times New Roman"/>
                <w:sz w:val="16"/>
                <w:szCs w:val="16"/>
              </w:rPr>
              <w:t>0.57</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2B33528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AF17AC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4D00028D"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146EC88C" w14:textId="77777777">
            <w:pPr>
              <w:autoSpaceDE/>
              <w:autoSpaceDN/>
              <w:jc w:val="center"/>
              <w:rPr>
                <w:rFonts w:eastAsia="Times New Roman"/>
                <w:sz w:val="16"/>
                <w:szCs w:val="16"/>
              </w:rPr>
            </w:pPr>
            <w:r w:rsidRPr="005B781D">
              <w:rPr>
                <w:rFonts w:eastAsia="Times New Roman"/>
                <w:sz w:val="16"/>
                <w:szCs w:val="16"/>
              </w:rPr>
              <w:t>3</w:t>
            </w:r>
          </w:p>
        </w:tc>
        <w:tc>
          <w:tcPr>
            <w:tcW w:w="1429" w:type="dxa"/>
            <w:tcBorders>
              <w:top w:val="nil"/>
              <w:left w:val="nil"/>
              <w:bottom w:val="single" w:sz="4" w:space="0" w:color="auto"/>
              <w:right w:val="single" w:sz="4" w:space="0" w:color="auto"/>
            </w:tcBorders>
            <w:vAlign w:val="bottom"/>
            <w:hideMark/>
          </w:tcPr>
          <w:p w:rsidR="00756160" w:rsidRPr="005B781D" w14:paraId="791056D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3420D33"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F7CB9B6" w14:textId="77777777">
            <w:pPr>
              <w:autoSpaceDE/>
              <w:autoSpaceDN/>
              <w:jc w:val="center"/>
              <w:rPr>
                <w:rFonts w:eastAsia="Times New Roman"/>
                <w:color w:val="000000"/>
                <w:sz w:val="16"/>
                <w:szCs w:val="16"/>
              </w:rPr>
            </w:pPr>
            <w:r w:rsidRPr="005B781D">
              <w:rPr>
                <w:rFonts w:eastAsia="Times New Roman"/>
                <w:color w:val="000000"/>
                <w:sz w:val="16"/>
                <w:szCs w:val="16"/>
              </w:rPr>
              <w:t>Massachusetts</w:t>
            </w:r>
          </w:p>
        </w:tc>
        <w:tc>
          <w:tcPr>
            <w:tcW w:w="1350" w:type="dxa"/>
            <w:tcBorders>
              <w:top w:val="nil"/>
              <w:left w:val="nil"/>
              <w:bottom w:val="single" w:sz="4" w:space="0" w:color="auto"/>
              <w:right w:val="nil"/>
            </w:tcBorders>
            <w:shd w:val="clear" w:color="000000" w:fill="FFFFFF"/>
            <w:noWrap/>
            <w:vAlign w:val="bottom"/>
            <w:hideMark/>
          </w:tcPr>
          <w:p w:rsidR="00756160" w:rsidRPr="005B781D" w14:paraId="3EED2C93" w14:textId="77777777">
            <w:pPr>
              <w:autoSpaceDE/>
              <w:autoSpaceDN/>
              <w:jc w:val="center"/>
              <w:rPr>
                <w:rFonts w:eastAsia="Times New Roman"/>
                <w:sz w:val="16"/>
                <w:szCs w:val="16"/>
              </w:rPr>
            </w:pPr>
            <w:r w:rsidRPr="005B781D">
              <w:rPr>
                <w:rFonts w:eastAsia="Times New Roman"/>
                <w:sz w:val="16"/>
                <w:szCs w:val="16"/>
              </w:rPr>
              <w:t>1.00</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2BD3C963"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76E1A777"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noWrap/>
            <w:vAlign w:val="bottom"/>
            <w:hideMark/>
          </w:tcPr>
          <w:p w:rsidR="00756160" w:rsidRPr="005B781D" w14:paraId="49E26B87" w14:textId="77777777">
            <w:pPr>
              <w:autoSpaceDE/>
              <w:autoSpaceDN/>
              <w:jc w:val="center"/>
              <w:rPr>
                <w:rFonts w:eastAsia="Times New Roman"/>
                <w:sz w:val="16"/>
                <w:szCs w:val="16"/>
              </w:rPr>
            </w:pPr>
            <w:r w:rsidRPr="005B781D">
              <w:rPr>
                <w:rFonts w:eastAsia="Times New Roman"/>
                <w:sz w:val="16"/>
                <w:szCs w:val="16"/>
              </w:rPr>
              <w:t>3</w:t>
            </w:r>
          </w:p>
        </w:tc>
        <w:tc>
          <w:tcPr>
            <w:tcW w:w="1355" w:type="dxa"/>
            <w:tcBorders>
              <w:top w:val="nil"/>
              <w:left w:val="nil"/>
              <w:bottom w:val="single" w:sz="4" w:space="0" w:color="auto"/>
              <w:right w:val="single" w:sz="4" w:space="0" w:color="auto"/>
            </w:tcBorders>
            <w:noWrap/>
            <w:vAlign w:val="bottom"/>
            <w:hideMark/>
          </w:tcPr>
          <w:p w:rsidR="00756160" w:rsidRPr="005B781D" w14:paraId="0E43F815" w14:textId="77777777">
            <w:pPr>
              <w:autoSpaceDE/>
              <w:autoSpaceDN/>
              <w:jc w:val="center"/>
              <w:rPr>
                <w:rFonts w:eastAsia="Times New Roman"/>
                <w:sz w:val="16"/>
                <w:szCs w:val="16"/>
              </w:rPr>
            </w:pPr>
            <w:r w:rsidRPr="005B781D">
              <w:rPr>
                <w:rFonts w:eastAsia="Times New Roman"/>
                <w:sz w:val="16"/>
                <w:szCs w:val="16"/>
              </w:rPr>
              <w:t>5</w:t>
            </w:r>
          </w:p>
        </w:tc>
        <w:tc>
          <w:tcPr>
            <w:tcW w:w="1429" w:type="dxa"/>
            <w:tcBorders>
              <w:top w:val="nil"/>
              <w:left w:val="nil"/>
              <w:bottom w:val="single" w:sz="4" w:space="0" w:color="auto"/>
              <w:right w:val="single" w:sz="4" w:space="0" w:color="auto"/>
            </w:tcBorders>
            <w:vAlign w:val="bottom"/>
            <w:hideMark/>
          </w:tcPr>
          <w:p w:rsidR="00756160" w:rsidRPr="005B781D" w14:paraId="6090EF8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8000AF9"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8011A5F" w14:textId="77777777">
            <w:pPr>
              <w:autoSpaceDE/>
              <w:autoSpaceDN/>
              <w:jc w:val="center"/>
              <w:rPr>
                <w:rFonts w:eastAsia="Times New Roman"/>
                <w:color w:val="000000"/>
                <w:sz w:val="16"/>
                <w:szCs w:val="16"/>
              </w:rPr>
            </w:pPr>
            <w:r w:rsidRPr="005B781D">
              <w:rPr>
                <w:rFonts w:eastAsia="Times New Roman"/>
                <w:color w:val="000000"/>
                <w:sz w:val="16"/>
                <w:szCs w:val="16"/>
              </w:rPr>
              <w:t>Michigan</w:t>
            </w:r>
          </w:p>
        </w:tc>
        <w:tc>
          <w:tcPr>
            <w:tcW w:w="1350" w:type="dxa"/>
            <w:tcBorders>
              <w:top w:val="nil"/>
              <w:left w:val="nil"/>
              <w:bottom w:val="single" w:sz="4" w:space="0" w:color="auto"/>
              <w:right w:val="nil"/>
            </w:tcBorders>
            <w:shd w:val="clear" w:color="000000" w:fill="FFFFFF"/>
            <w:noWrap/>
            <w:vAlign w:val="bottom"/>
            <w:hideMark/>
          </w:tcPr>
          <w:p w:rsidR="00756160" w:rsidRPr="005B781D" w14:paraId="2D5D74DF" w14:textId="77777777">
            <w:pPr>
              <w:autoSpaceDE/>
              <w:autoSpaceDN/>
              <w:jc w:val="center"/>
              <w:rPr>
                <w:rFonts w:eastAsia="Times New Roman"/>
                <w:sz w:val="16"/>
                <w:szCs w:val="16"/>
              </w:rPr>
            </w:pPr>
            <w:r w:rsidRPr="005B781D">
              <w:rPr>
                <w:rFonts w:eastAsia="Times New Roman"/>
                <w:sz w:val="16"/>
                <w:szCs w:val="16"/>
              </w:rPr>
              <w:t>5.10</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55957F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7F9181F6"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C33C0B8"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3874FA2F" w14:textId="77777777">
            <w:pPr>
              <w:autoSpaceDE/>
              <w:autoSpaceDN/>
              <w:jc w:val="center"/>
              <w:rPr>
                <w:rFonts w:eastAsia="Times New Roman"/>
                <w:sz w:val="16"/>
                <w:szCs w:val="16"/>
              </w:rPr>
            </w:pPr>
            <w:r w:rsidRPr="005B781D">
              <w:rPr>
                <w:rFonts w:eastAsia="Times New Roman"/>
                <w:sz w:val="16"/>
                <w:szCs w:val="16"/>
              </w:rPr>
              <w:t>27</w:t>
            </w:r>
          </w:p>
        </w:tc>
        <w:tc>
          <w:tcPr>
            <w:tcW w:w="1429" w:type="dxa"/>
            <w:tcBorders>
              <w:top w:val="nil"/>
              <w:left w:val="nil"/>
              <w:bottom w:val="single" w:sz="4" w:space="0" w:color="auto"/>
              <w:right w:val="single" w:sz="4" w:space="0" w:color="auto"/>
            </w:tcBorders>
            <w:vAlign w:val="bottom"/>
            <w:hideMark/>
          </w:tcPr>
          <w:p w:rsidR="00756160" w:rsidRPr="005B781D" w14:paraId="7AAE9E69"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74E41265"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4B1AA6D" w14:textId="77777777">
            <w:pPr>
              <w:autoSpaceDE/>
              <w:autoSpaceDN/>
              <w:jc w:val="center"/>
              <w:rPr>
                <w:rFonts w:eastAsia="Times New Roman"/>
                <w:color w:val="000000"/>
                <w:sz w:val="16"/>
                <w:szCs w:val="16"/>
              </w:rPr>
            </w:pPr>
            <w:r w:rsidRPr="005B781D">
              <w:rPr>
                <w:rFonts w:eastAsia="Times New Roman"/>
                <w:color w:val="000000"/>
                <w:sz w:val="16"/>
                <w:szCs w:val="16"/>
              </w:rPr>
              <w:t>Minnesota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EE40BBD" w14:textId="77777777">
            <w:pPr>
              <w:autoSpaceDE/>
              <w:autoSpaceDN/>
              <w:jc w:val="center"/>
              <w:rPr>
                <w:rFonts w:eastAsia="Times New Roman"/>
                <w:sz w:val="16"/>
                <w:szCs w:val="16"/>
              </w:rPr>
            </w:pPr>
            <w:r w:rsidRPr="005B781D">
              <w:rPr>
                <w:rFonts w:eastAsia="Times New Roman"/>
                <w:sz w:val="16"/>
                <w:szCs w:val="16"/>
              </w:rPr>
              <w:t>2.27</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DA319F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527FD70"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6A3269F5"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2B17C5A8" w14:textId="77777777">
            <w:pPr>
              <w:autoSpaceDE/>
              <w:autoSpaceDN/>
              <w:jc w:val="center"/>
              <w:rPr>
                <w:rFonts w:eastAsia="Times New Roman"/>
                <w:sz w:val="16"/>
                <w:szCs w:val="16"/>
              </w:rPr>
            </w:pPr>
            <w:r w:rsidRPr="005B781D">
              <w:rPr>
                <w:rFonts w:eastAsia="Times New Roman"/>
                <w:sz w:val="16"/>
                <w:szCs w:val="16"/>
              </w:rPr>
              <w:t>12</w:t>
            </w:r>
          </w:p>
        </w:tc>
        <w:tc>
          <w:tcPr>
            <w:tcW w:w="1429" w:type="dxa"/>
            <w:tcBorders>
              <w:top w:val="nil"/>
              <w:left w:val="nil"/>
              <w:bottom w:val="single" w:sz="4" w:space="0" w:color="auto"/>
              <w:right w:val="single" w:sz="4" w:space="0" w:color="auto"/>
            </w:tcBorders>
            <w:vAlign w:val="bottom"/>
            <w:hideMark/>
          </w:tcPr>
          <w:p w:rsidR="00756160" w:rsidRPr="005B781D" w14:paraId="4A0675D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7E0647C9"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6CA2A39A" w14:textId="77777777">
            <w:pPr>
              <w:autoSpaceDE/>
              <w:autoSpaceDN/>
              <w:jc w:val="center"/>
              <w:rPr>
                <w:rFonts w:eastAsia="Times New Roman"/>
                <w:color w:val="000000"/>
                <w:sz w:val="16"/>
                <w:szCs w:val="16"/>
              </w:rPr>
            </w:pPr>
            <w:r w:rsidRPr="005B781D">
              <w:rPr>
                <w:rFonts w:eastAsia="Times New Roman"/>
                <w:color w:val="000000"/>
                <w:sz w:val="16"/>
                <w:szCs w:val="16"/>
              </w:rPr>
              <w:t>Mississippi</w:t>
            </w:r>
          </w:p>
        </w:tc>
        <w:tc>
          <w:tcPr>
            <w:tcW w:w="1350" w:type="dxa"/>
            <w:tcBorders>
              <w:top w:val="nil"/>
              <w:left w:val="nil"/>
              <w:bottom w:val="single" w:sz="4" w:space="0" w:color="auto"/>
              <w:right w:val="nil"/>
            </w:tcBorders>
            <w:shd w:val="clear" w:color="000000" w:fill="FFFFFF"/>
            <w:noWrap/>
            <w:vAlign w:val="bottom"/>
            <w:hideMark/>
          </w:tcPr>
          <w:p w:rsidR="00756160" w:rsidRPr="005B781D" w14:paraId="366B2EFA" w14:textId="77777777">
            <w:pPr>
              <w:autoSpaceDE/>
              <w:autoSpaceDN/>
              <w:jc w:val="center"/>
              <w:rPr>
                <w:rFonts w:eastAsia="Times New Roman"/>
                <w:sz w:val="16"/>
                <w:szCs w:val="16"/>
              </w:rPr>
            </w:pPr>
            <w:r w:rsidRPr="005B781D">
              <w:rPr>
                <w:rFonts w:eastAsia="Times New Roman"/>
                <w:sz w:val="16"/>
                <w:szCs w:val="16"/>
              </w:rPr>
              <w:t>10.95</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8F5F32E"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1E7EF4B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77E00FF"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7F8F02F" w14:textId="77777777">
            <w:pPr>
              <w:autoSpaceDE/>
              <w:autoSpaceDN/>
              <w:jc w:val="center"/>
              <w:rPr>
                <w:rFonts w:eastAsia="Times New Roman"/>
                <w:sz w:val="16"/>
                <w:szCs w:val="16"/>
              </w:rPr>
            </w:pPr>
            <w:r w:rsidRPr="005B781D">
              <w:rPr>
                <w:rFonts w:eastAsia="Times New Roman"/>
                <w:sz w:val="16"/>
                <w:szCs w:val="16"/>
              </w:rPr>
              <w:t>58</w:t>
            </w:r>
          </w:p>
        </w:tc>
        <w:tc>
          <w:tcPr>
            <w:tcW w:w="1429" w:type="dxa"/>
            <w:tcBorders>
              <w:top w:val="nil"/>
              <w:left w:val="nil"/>
              <w:bottom w:val="single" w:sz="4" w:space="0" w:color="auto"/>
              <w:right w:val="single" w:sz="4" w:space="0" w:color="auto"/>
            </w:tcBorders>
            <w:vAlign w:val="bottom"/>
            <w:hideMark/>
          </w:tcPr>
          <w:p w:rsidR="00756160" w:rsidRPr="005B781D" w14:paraId="742301BB"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9E1C9F8"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1FCD6BD" w14:textId="77777777">
            <w:pPr>
              <w:autoSpaceDE/>
              <w:autoSpaceDN/>
              <w:jc w:val="center"/>
              <w:rPr>
                <w:rFonts w:eastAsia="Times New Roman"/>
                <w:color w:val="000000"/>
                <w:sz w:val="16"/>
                <w:szCs w:val="16"/>
              </w:rPr>
            </w:pPr>
            <w:r w:rsidRPr="005B781D">
              <w:rPr>
                <w:rFonts w:eastAsia="Times New Roman"/>
                <w:color w:val="000000"/>
                <w:sz w:val="16"/>
                <w:szCs w:val="16"/>
              </w:rPr>
              <w:t>Missouri</w:t>
            </w:r>
          </w:p>
        </w:tc>
        <w:tc>
          <w:tcPr>
            <w:tcW w:w="1350" w:type="dxa"/>
            <w:tcBorders>
              <w:top w:val="nil"/>
              <w:left w:val="nil"/>
              <w:bottom w:val="single" w:sz="4" w:space="0" w:color="auto"/>
              <w:right w:val="nil"/>
            </w:tcBorders>
            <w:shd w:val="clear" w:color="000000" w:fill="FFFFFF"/>
            <w:noWrap/>
            <w:vAlign w:val="bottom"/>
            <w:hideMark/>
          </w:tcPr>
          <w:p w:rsidR="00756160" w:rsidRPr="005B781D" w14:paraId="6BC70014" w14:textId="77777777">
            <w:pPr>
              <w:autoSpaceDE/>
              <w:autoSpaceDN/>
              <w:jc w:val="center"/>
              <w:rPr>
                <w:rFonts w:eastAsia="Times New Roman"/>
                <w:sz w:val="16"/>
                <w:szCs w:val="16"/>
              </w:rPr>
            </w:pPr>
            <w:r w:rsidRPr="005B781D">
              <w:rPr>
                <w:rFonts w:eastAsia="Times New Roman"/>
                <w:sz w:val="16"/>
                <w:szCs w:val="16"/>
              </w:rPr>
              <w:t>1.32</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C5ADCE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4DA4C0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55A3CA3D"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7925F41" w14:textId="77777777">
            <w:pPr>
              <w:autoSpaceDE/>
              <w:autoSpaceDN/>
              <w:jc w:val="center"/>
              <w:rPr>
                <w:rFonts w:eastAsia="Times New Roman"/>
                <w:sz w:val="16"/>
                <w:szCs w:val="16"/>
              </w:rPr>
            </w:pPr>
            <w:r w:rsidRPr="005B781D">
              <w:rPr>
                <w:rFonts w:eastAsia="Times New Roman"/>
                <w:sz w:val="16"/>
                <w:szCs w:val="16"/>
              </w:rPr>
              <w:t>7</w:t>
            </w:r>
          </w:p>
        </w:tc>
        <w:tc>
          <w:tcPr>
            <w:tcW w:w="1429" w:type="dxa"/>
            <w:tcBorders>
              <w:top w:val="nil"/>
              <w:left w:val="nil"/>
              <w:bottom w:val="single" w:sz="4" w:space="0" w:color="auto"/>
              <w:right w:val="single" w:sz="4" w:space="0" w:color="auto"/>
            </w:tcBorders>
            <w:vAlign w:val="bottom"/>
            <w:hideMark/>
          </w:tcPr>
          <w:p w:rsidR="00756160" w:rsidRPr="005B781D" w14:paraId="155CF2F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0CB30C6"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60DF992" w14:textId="77777777">
            <w:pPr>
              <w:autoSpaceDE/>
              <w:autoSpaceDN/>
              <w:jc w:val="center"/>
              <w:rPr>
                <w:rFonts w:eastAsia="Times New Roman"/>
                <w:color w:val="000000"/>
                <w:sz w:val="16"/>
                <w:szCs w:val="16"/>
              </w:rPr>
            </w:pPr>
            <w:r w:rsidRPr="005B781D">
              <w:rPr>
                <w:rFonts w:eastAsia="Times New Roman"/>
                <w:color w:val="000000"/>
                <w:sz w:val="16"/>
                <w:szCs w:val="16"/>
              </w:rPr>
              <w:t>Montana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712C4501"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A6037F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84EE6B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35F54C2D"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1E782A73"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030137E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20FE908"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6E1B062E" w14:textId="77777777">
            <w:pPr>
              <w:autoSpaceDE/>
              <w:autoSpaceDN/>
              <w:jc w:val="center"/>
              <w:rPr>
                <w:rFonts w:eastAsia="Times New Roman"/>
                <w:color w:val="000000"/>
                <w:sz w:val="16"/>
                <w:szCs w:val="16"/>
              </w:rPr>
            </w:pPr>
            <w:r w:rsidRPr="005B781D">
              <w:rPr>
                <w:rFonts w:eastAsia="Times New Roman"/>
                <w:color w:val="000000"/>
                <w:sz w:val="16"/>
                <w:szCs w:val="16"/>
              </w:rPr>
              <w:t>Nebraska</w:t>
            </w:r>
          </w:p>
        </w:tc>
        <w:tc>
          <w:tcPr>
            <w:tcW w:w="1350" w:type="dxa"/>
            <w:tcBorders>
              <w:top w:val="nil"/>
              <w:left w:val="nil"/>
              <w:bottom w:val="single" w:sz="4" w:space="0" w:color="auto"/>
              <w:right w:val="nil"/>
            </w:tcBorders>
            <w:shd w:val="clear" w:color="000000" w:fill="FFFFFF"/>
            <w:noWrap/>
            <w:vAlign w:val="bottom"/>
            <w:hideMark/>
          </w:tcPr>
          <w:p w:rsidR="00756160" w:rsidRPr="005B781D" w14:paraId="1DC8F2EC" w14:textId="77777777">
            <w:pPr>
              <w:autoSpaceDE/>
              <w:autoSpaceDN/>
              <w:jc w:val="center"/>
              <w:rPr>
                <w:rFonts w:eastAsia="Times New Roman"/>
                <w:sz w:val="16"/>
                <w:szCs w:val="16"/>
              </w:rPr>
            </w:pPr>
            <w:r w:rsidRPr="005B781D">
              <w:rPr>
                <w:rFonts w:eastAsia="Times New Roman"/>
                <w:sz w:val="16"/>
                <w:szCs w:val="16"/>
              </w:rPr>
              <w:t>1.13</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11C03E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ACE894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1075A398"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C11AB41" w14:textId="77777777">
            <w:pPr>
              <w:autoSpaceDE/>
              <w:autoSpaceDN/>
              <w:jc w:val="center"/>
              <w:rPr>
                <w:rFonts w:eastAsia="Times New Roman"/>
                <w:sz w:val="16"/>
                <w:szCs w:val="16"/>
              </w:rPr>
            </w:pPr>
            <w:r w:rsidRPr="005B781D">
              <w:rPr>
                <w:rFonts w:eastAsia="Times New Roman"/>
                <w:sz w:val="16"/>
                <w:szCs w:val="16"/>
              </w:rPr>
              <w:t>6</w:t>
            </w:r>
          </w:p>
        </w:tc>
        <w:tc>
          <w:tcPr>
            <w:tcW w:w="1429" w:type="dxa"/>
            <w:tcBorders>
              <w:top w:val="nil"/>
              <w:left w:val="nil"/>
              <w:bottom w:val="single" w:sz="4" w:space="0" w:color="auto"/>
              <w:right w:val="single" w:sz="4" w:space="0" w:color="auto"/>
            </w:tcBorders>
            <w:vAlign w:val="bottom"/>
            <w:hideMark/>
          </w:tcPr>
          <w:p w:rsidR="00756160" w:rsidRPr="005B781D" w14:paraId="1CE3967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0041C30"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76BD2A4" w14:textId="77777777">
            <w:pPr>
              <w:autoSpaceDE/>
              <w:autoSpaceDN/>
              <w:jc w:val="center"/>
              <w:rPr>
                <w:rFonts w:eastAsia="Times New Roman"/>
                <w:color w:val="000000"/>
                <w:sz w:val="16"/>
                <w:szCs w:val="16"/>
              </w:rPr>
            </w:pPr>
            <w:r w:rsidRPr="005B781D">
              <w:rPr>
                <w:rFonts w:eastAsia="Times New Roman"/>
                <w:color w:val="000000"/>
                <w:sz w:val="16"/>
                <w:szCs w:val="16"/>
              </w:rPr>
              <w:t>Nevada</w:t>
            </w:r>
          </w:p>
        </w:tc>
        <w:tc>
          <w:tcPr>
            <w:tcW w:w="1350" w:type="dxa"/>
            <w:tcBorders>
              <w:top w:val="nil"/>
              <w:left w:val="nil"/>
              <w:bottom w:val="single" w:sz="4" w:space="0" w:color="auto"/>
              <w:right w:val="nil"/>
            </w:tcBorders>
            <w:shd w:val="clear" w:color="000000" w:fill="FFFFFF"/>
            <w:noWrap/>
            <w:vAlign w:val="bottom"/>
            <w:hideMark/>
          </w:tcPr>
          <w:p w:rsidR="00756160" w:rsidRPr="005B781D" w14:paraId="1E7CA549" w14:textId="77777777">
            <w:pPr>
              <w:autoSpaceDE/>
              <w:autoSpaceDN/>
              <w:jc w:val="center"/>
              <w:rPr>
                <w:rFonts w:eastAsia="Times New Roman"/>
                <w:sz w:val="16"/>
                <w:szCs w:val="16"/>
              </w:rPr>
            </w:pPr>
            <w:r w:rsidRPr="005B781D">
              <w:rPr>
                <w:rFonts w:eastAsia="Times New Roman"/>
                <w:sz w:val="16"/>
                <w:szCs w:val="16"/>
              </w:rPr>
              <w:t>7.55</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2EDDB4D7"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A6F7559"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0F5979E"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18C682C2" w14:textId="77777777">
            <w:pPr>
              <w:autoSpaceDE/>
              <w:autoSpaceDN/>
              <w:jc w:val="center"/>
              <w:rPr>
                <w:rFonts w:eastAsia="Times New Roman"/>
                <w:sz w:val="16"/>
                <w:szCs w:val="16"/>
              </w:rPr>
            </w:pPr>
            <w:r w:rsidRPr="005B781D">
              <w:rPr>
                <w:rFonts w:eastAsia="Times New Roman"/>
                <w:sz w:val="16"/>
                <w:szCs w:val="16"/>
              </w:rPr>
              <w:t>40</w:t>
            </w:r>
          </w:p>
        </w:tc>
        <w:tc>
          <w:tcPr>
            <w:tcW w:w="1429" w:type="dxa"/>
            <w:tcBorders>
              <w:top w:val="nil"/>
              <w:left w:val="nil"/>
              <w:bottom w:val="single" w:sz="4" w:space="0" w:color="auto"/>
              <w:right w:val="single" w:sz="4" w:space="0" w:color="auto"/>
            </w:tcBorders>
            <w:vAlign w:val="bottom"/>
            <w:hideMark/>
          </w:tcPr>
          <w:p w:rsidR="00756160" w:rsidRPr="005B781D" w14:paraId="129317C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D622DFF"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8BA30AF" w14:textId="77777777">
            <w:pPr>
              <w:autoSpaceDE/>
              <w:autoSpaceDN/>
              <w:jc w:val="center"/>
              <w:rPr>
                <w:rFonts w:eastAsia="Times New Roman"/>
                <w:color w:val="000000"/>
                <w:sz w:val="16"/>
                <w:szCs w:val="16"/>
              </w:rPr>
            </w:pPr>
            <w:r w:rsidRPr="005B781D">
              <w:rPr>
                <w:rFonts w:eastAsia="Times New Roman"/>
                <w:color w:val="000000"/>
                <w:sz w:val="16"/>
                <w:szCs w:val="16"/>
              </w:rPr>
              <w:t>New Hampshire</w:t>
            </w:r>
          </w:p>
        </w:tc>
        <w:tc>
          <w:tcPr>
            <w:tcW w:w="1350" w:type="dxa"/>
            <w:tcBorders>
              <w:top w:val="nil"/>
              <w:left w:val="nil"/>
              <w:bottom w:val="single" w:sz="4" w:space="0" w:color="auto"/>
              <w:right w:val="nil"/>
            </w:tcBorders>
            <w:shd w:val="clear" w:color="000000" w:fill="FFFFFF"/>
            <w:noWrap/>
            <w:vAlign w:val="bottom"/>
            <w:hideMark/>
          </w:tcPr>
          <w:p w:rsidR="00756160" w:rsidRPr="005B781D" w14:paraId="09EA7BD9"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039DF83F"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E493624"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39AEF831"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87445F9"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6FAD109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4B54960"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A8B71DF" w14:textId="77777777">
            <w:pPr>
              <w:autoSpaceDE/>
              <w:autoSpaceDN/>
              <w:jc w:val="center"/>
              <w:rPr>
                <w:rFonts w:eastAsia="Times New Roman"/>
                <w:color w:val="000000"/>
                <w:sz w:val="16"/>
                <w:szCs w:val="16"/>
              </w:rPr>
            </w:pPr>
            <w:r w:rsidRPr="005B781D">
              <w:rPr>
                <w:rFonts w:eastAsia="Times New Roman"/>
                <w:color w:val="000000"/>
                <w:sz w:val="16"/>
                <w:szCs w:val="16"/>
              </w:rPr>
              <w:t>New Jersey</w:t>
            </w:r>
          </w:p>
        </w:tc>
        <w:tc>
          <w:tcPr>
            <w:tcW w:w="1350" w:type="dxa"/>
            <w:tcBorders>
              <w:top w:val="nil"/>
              <w:left w:val="nil"/>
              <w:bottom w:val="single" w:sz="4" w:space="0" w:color="auto"/>
              <w:right w:val="nil"/>
            </w:tcBorders>
            <w:shd w:val="clear" w:color="000000" w:fill="FFFFFF"/>
            <w:noWrap/>
            <w:vAlign w:val="bottom"/>
            <w:hideMark/>
          </w:tcPr>
          <w:p w:rsidR="00756160" w:rsidRPr="005B781D" w14:paraId="729C3081" w14:textId="77777777">
            <w:pPr>
              <w:autoSpaceDE/>
              <w:autoSpaceDN/>
              <w:jc w:val="center"/>
              <w:rPr>
                <w:rFonts w:eastAsia="Times New Roman"/>
                <w:sz w:val="16"/>
                <w:szCs w:val="16"/>
              </w:rPr>
            </w:pPr>
            <w:r w:rsidRPr="005B781D">
              <w:rPr>
                <w:rFonts w:eastAsia="Times New Roman"/>
                <w:sz w:val="16"/>
                <w:szCs w:val="16"/>
              </w:rPr>
              <w:t>0.57</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6CFDC36A"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E3EB1C4"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26369A93" w14:textId="77777777">
            <w:pPr>
              <w:autoSpaceDE/>
              <w:autoSpaceDN/>
              <w:jc w:val="center"/>
              <w:rPr>
                <w:rFonts w:eastAsia="Times New Roman"/>
                <w:sz w:val="16"/>
                <w:szCs w:val="16"/>
              </w:rPr>
            </w:pPr>
            <w:r w:rsidRPr="005B781D">
              <w:rPr>
                <w:rFonts w:eastAsia="Times New Roman"/>
                <w:sz w:val="16"/>
                <w:szCs w:val="16"/>
              </w:rPr>
              <w:t>3</w:t>
            </w:r>
          </w:p>
        </w:tc>
        <w:tc>
          <w:tcPr>
            <w:tcW w:w="1355" w:type="dxa"/>
            <w:tcBorders>
              <w:top w:val="nil"/>
              <w:left w:val="nil"/>
              <w:bottom w:val="single" w:sz="4" w:space="0" w:color="auto"/>
              <w:right w:val="single" w:sz="4" w:space="0" w:color="auto"/>
            </w:tcBorders>
            <w:noWrap/>
            <w:vAlign w:val="bottom"/>
            <w:hideMark/>
          </w:tcPr>
          <w:p w:rsidR="00756160" w:rsidRPr="005B781D" w14:paraId="17D4C23C" w14:textId="77777777">
            <w:pPr>
              <w:autoSpaceDE/>
              <w:autoSpaceDN/>
              <w:jc w:val="center"/>
              <w:rPr>
                <w:rFonts w:eastAsia="Times New Roman"/>
                <w:sz w:val="16"/>
                <w:szCs w:val="16"/>
              </w:rPr>
            </w:pPr>
            <w:r w:rsidRPr="005B781D">
              <w:rPr>
                <w:rFonts w:eastAsia="Times New Roman"/>
                <w:sz w:val="16"/>
                <w:szCs w:val="16"/>
              </w:rPr>
              <w:t>3</w:t>
            </w:r>
          </w:p>
        </w:tc>
        <w:tc>
          <w:tcPr>
            <w:tcW w:w="1429" w:type="dxa"/>
            <w:tcBorders>
              <w:top w:val="nil"/>
              <w:left w:val="nil"/>
              <w:bottom w:val="single" w:sz="4" w:space="0" w:color="auto"/>
              <w:right w:val="single" w:sz="4" w:space="0" w:color="auto"/>
            </w:tcBorders>
            <w:vAlign w:val="bottom"/>
            <w:hideMark/>
          </w:tcPr>
          <w:p w:rsidR="00756160" w:rsidRPr="005B781D" w14:paraId="582C408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20326A3"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9CCADC9" w14:textId="77777777">
            <w:pPr>
              <w:autoSpaceDE/>
              <w:autoSpaceDN/>
              <w:jc w:val="center"/>
              <w:rPr>
                <w:rFonts w:eastAsia="Times New Roman"/>
                <w:color w:val="000000"/>
                <w:sz w:val="16"/>
                <w:szCs w:val="16"/>
              </w:rPr>
            </w:pPr>
            <w:r w:rsidRPr="005B781D">
              <w:rPr>
                <w:rFonts w:eastAsia="Times New Roman"/>
                <w:color w:val="000000"/>
                <w:sz w:val="16"/>
                <w:szCs w:val="16"/>
              </w:rPr>
              <w:t>New Mexico</w:t>
            </w:r>
          </w:p>
        </w:tc>
        <w:tc>
          <w:tcPr>
            <w:tcW w:w="1350" w:type="dxa"/>
            <w:tcBorders>
              <w:top w:val="nil"/>
              <w:left w:val="nil"/>
              <w:bottom w:val="single" w:sz="4" w:space="0" w:color="auto"/>
              <w:right w:val="nil"/>
            </w:tcBorders>
            <w:shd w:val="clear" w:color="000000" w:fill="FFFFFF"/>
            <w:noWrap/>
            <w:vAlign w:val="bottom"/>
            <w:hideMark/>
          </w:tcPr>
          <w:p w:rsidR="00756160" w:rsidRPr="005B781D" w14:paraId="2C33BD8E" w14:textId="77777777">
            <w:pPr>
              <w:autoSpaceDE/>
              <w:autoSpaceDN/>
              <w:jc w:val="center"/>
              <w:rPr>
                <w:rFonts w:eastAsia="Times New Roman"/>
                <w:sz w:val="16"/>
                <w:szCs w:val="16"/>
              </w:rPr>
            </w:pPr>
            <w:r w:rsidRPr="005B781D">
              <w:rPr>
                <w:rFonts w:eastAsia="Times New Roman"/>
                <w:sz w:val="16"/>
                <w:szCs w:val="16"/>
              </w:rPr>
              <w:t>1.32</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57FBB9A4"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F0DA63C"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9AF4DF2"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554E2A62" w14:textId="77777777">
            <w:pPr>
              <w:autoSpaceDE/>
              <w:autoSpaceDN/>
              <w:jc w:val="center"/>
              <w:rPr>
                <w:rFonts w:eastAsia="Times New Roman"/>
                <w:sz w:val="16"/>
                <w:szCs w:val="16"/>
              </w:rPr>
            </w:pPr>
            <w:r w:rsidRPr="005B781D">
              <w:rPr>
                <w:rFonts w:eastAsia="Times New Roman"/>
                <w:sz w:val="16"/>
                <w:szCs w:val="16"/>
              </w:rPr>
              <w:t>7</w:t>
            </w:r>
          </w:p>
        </w:tc>
        <w:tc>
          <w:tcPr>
            <w:tcW w:w="1429" w:type="dxa"/>
            <w:tcBorders>
              <w:top w:val="nil"/>
              <w:left w:val="nil"/>
              <w:bottom w:val="single" w:sz="4" w:space="0" w:color="auto"/>
              <w:right w:val="single" w:sz="4" w:space="0" w:color="auto"/>
            </w:tcBorders>
            <w:vAlign w:val="bottom"/>
            <w:hideMark/>
          </w:tcPr>
          <w:p w:rsidR="00756160" w:rsidRPr="005B781D" w14:paraId="32BCD9F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544B728"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DEDF463" w14:textId="77777777">
            <w:pPr>
              <w:autoSpaceDE/>
              <w:autoSpaceDN/>
              <w:jc w:val="center"/>
              <w:rPr>
                <w:rFonts w:eastAsia="Times New Roman"/>
                <w:color w:val="000000"/>
                <w:sz w:val="16"/>
                <w:szCs w:val="16"/>
              </w:rPr>
            </w:pPr>
            <w:r w:rsidRPr="005B781D">
              <w:rPr>
                <w:rFonts w:eastAsia="Times New Roman"/>
                <w:color w:val="000000"/>
                <w:sz w:val="16"/>
                <w:szCs w:val="16"/>
              </w:rPr>
              <w:t>New York</w:t>
            </w:r>
          </w:p>
        </w:tc>
        <w:tc>
          <w:tcPr>
            <w:tcW w:w="1350" w:type="dxa"/>
            <w:tcBorders>
              <w:top w:val="nil"/>
              <w:left w:val="nil"/>
              <w:bottom w:val="single" w:sz="4" w:space="0" w:color="auto"/>
              <w:right w:val="nil"/>
            </w:tcBorders>
            <w:shd w:val="clear" w:color="000000" w:fill="FFFFFF"/>
            <w:noWrap/>
            <w:vAlign w:val="bottom"/>
            <w:hideMark/>
          </w:tcPr>
          <w:p w:rsidR="00756160" w:rsidRPr="005B781D" w14:paraId="4CC54425" w14:textId="77777777">
            <w:pPr>
              <w:autoSpaceDE/>
              <w:autoSpaceDN/>
              <w:jc w:val="center"/>
              <w:rPr>
                <w:rFonts w:eastAsia="Times New Roman"/>
                <w:sz w:val="16"/>
                <w:szCs w:val="16"/>
              </w:rPr>
            </w:pPr>
            <w:r w:rsidRPr="005B781D">
              <w:rPr>
                <w:rFonts w:eastAsia="Times New Roman"/>
                <w:sz w:val="16"/>
                <w:szCs w:val="16"/>
              </w:rPr>
              <w:t>0.94</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6D41289"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0D7FC7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8FD5440" w14:textId="77777777">
            <w:pPr>
              <w:autoSpaceDE/>
              <w:autoSpaceDN/>
              <w:jc w:val="center"/>
              <w:rPr>
                <w:rFonts w:eastAsia="Times New Roman"/>
                <w:sz w:val="16"/>
                <w:szCs w:val="16"/>
              </w:rPr>
            </w:pPr>
            <w:r w:rsidRPr="005B781D">
              <w:rPr>
                <w:rFonts w:eastAsia="Times New Roman"/>
                <w:sz w:val="16"/>
                <w:szCs w:val="16"/>
              </w:rPr>
              <w:t>3</w:t>
            </w:r>
          </w:p>
        </w:tc>
        <w:tc>
          <w:tcPr>
            <w:tcW w:w="1355" w:type="dxa"/>
            <w:tcBorders>
              <w:top w:val="nil"/>
              <w:left w:val="nil"/>
              <w:bottom w:val="single" w:sz="4" w:space="0" w:color="auto"/>
              <w:right w:val="single" w:sz="4" w:space="0" w:color="auto"/>
            </w:tcBorders>
            <w:noWrap/>
            <w:vAlign w:val="bottom"/>
            <w:hideMark/>
          </w:tcPr>
          <w:p w:rsidR="00756160" w:rsidRPr="005B781D" w14:paraId="7995C7C1" w14:textId="77777777">
            <w:pPr>
              <w:autoSpaceDE/>
              <w:autoSpaceDN/>
              <w:jc w:val="center"/>
              <w:rPr>
                <w:rFonts w:eastAsia="Times New Roman"/>
                <w:sz w:val="16"/>
                <w:szCs w:val="16"/>
              </w:rPr>
            </w:pPr>
            <w:r w:rsidRPr="005B781D">
              <w:rPr>
                <w:rFonts w:eastAsia="Times New Roman"/>
                <w:sz w:val="16"/>
                <w:szCs w:val="16"/>
              </w:rPr>
              <w:t>5</w:t>
            </w:r>
          </w:p>
        </w:tc>
        <w:tc>
          <w:tcPr>
            <w:tcW w:w="1429" w:type="dxa"/>
            <w:tcBorders>
              <w:top w:val="nil"/>
              <w:left w:val="nil"/>
              <w:bottom w:val="single" w:sz="4" w:space="0" w:color="auto"/>
              <w:right w:val="single" w:sz="4" w:space="0" w:color="auto"/>
            </w:tcBorders>
            <w:vAlign w:val="bottom"/>
            <w:hideMark/>
          </w:tcPr>
          <w:p w:rsidR="00756160" w:rsidRPr="005B781D" w14:paraId="021D3346"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59E0CAA"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8335240" w14:textId="77777777">
            <w:pPr>
              <w:autoSpaceDE/>
              <w:autoSpaceDN/>
              <w:jc w:val="center"/>
              <w:rPr>
                <w:rFonts w:eastAsia="Times New Roman"/>
                <w:color w:val="000000"/>
                <w:sz w:val="16"/>
                <w:szCs w:val="16"/>
              </w:rPr>
            </w:pPr>
            <w:r w:rsidRPr="005B781D">
              <w:rPr>
                <w:rFonts w:eastAsia="Times New Roman"/>
                <w:color w:val="000000"/>
                <w:sz w:val="16"/>
                <w:szCs w:val="16"/>
              </w:rPr>
              <w:t>North Carolina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53E72E20" w14:textId="77777777">
            <w:pPr>
              <w:autoSpaceDE/>
              <w:autoSpaceDN/>
              <w:jc w:val="center"/>
              <w:rPr>
                <w:rFonts w:eastAsia="Times New Roman"/>
                <w:sz w:val="16"/>
                <w:szCs w:val="16"/>
              </w:rPr>
            </w:pPr>
            <w:r w:rsidRPr="005B781D">
              <w:rPr>
                <w:rFonts w:eastAsia="Times New Roman"/>
                <w:sz w:val="16"/>
                <w:szCs w:val="16"/>
              </w:rPr>
              <w:t>5.66</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66E1696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70955DD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2D3E27F9"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449042B7" w14:textId="77777777">
            <w:pPr>
              <w:autoSpaceDE/>
              <w:autoSpaceDN/>
              <w:jc w:val="center"/>
              <w:rPr>
                <w:rFonts w:eastAsia="Times New Roman"/>
                <w:sz w:val="16"/>
                <w:szCs w:val="16"/>
              </w:rPr>
            </w:pPr>
            <w:r w:rsidRPr="005B781D">
              <w:rPr>
                <w:rFonts w:eastAsia="Times New Roman"/>
                <w:sz w:val="16"/>
                <w:szCs w:val="16"/>
              </w:rPr>
              <w:t>30</w:t>
            </w:r>
          </w:p>
        </w:tc>
        <w:tc>
          <w:tcPr>
            <w:tcW w:w="1429" w:type="dxa"/>
            <w:tcBorders>
              <w:top w:val="nil"/>
              <w:left w:val="nil"/>
              <w:bottom w:val="single" w:sz="4" w:space="0" w:color="auto"/>
              <w:right w:val="single" w:sz="4" w:space="0" w:color="auto"/>
            </w:tcBorders>
            <w:vAlign w:val="bottom"/>
            <w:hideMark/>
          </w:tcPr>
          <w:p w:rsidR="00756160" w:rsidRPr="005B781D" w14:paraId="6D5C365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73EDE69"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B5893E0" w14:textId="77777777">
            <w:pPr>
              <w:autoSpaceDE/>
              <w:autoSpaceDN/>
              <w:jc w:val="center"/>
              <w:rPr>
                <w:rFonts w:eastAsia="Times New Roman"/>
                <w:color w:val="000000"/>
                <w:sz w:val="16"/>
                <w:szCs w:val="16"/>
              </w:rPr>
            </w:pPr>
            <w:r w:rsidRPr="005B781D">
              <w:rPr>
                <w:rFonts w:eastAsia="Times New Roman"/>
                <w:color w:val="000000"/>
                <w:sz w:val="16"/>
                <w:szCs w:val="16"/>
              </w:rPr>
              <w:t>North Dakota</w:t>
            </w:r>
          </w:p>
        </w:tc>
        <w:tc>
          <w:tcPr>
            <w:tcW w:w="1350" w:type="dxa"/>
            <w:tcBorders>
              <w:top w:val="nil"/>
              <w:left w:val="nil"/>
              <w:bottom w:val="single" w:sz="4" w:space="0" w:color="auto"/>
              <w:right w:val="nil"/>
            </w:tcBorders>
            <w:shd w:val="clear" w:color="000000" w:fill="FFFFFF"/>
            <w:noWrap/>
            <w:vAlign w:val="bottom"/>
            <w:hideMark/>
          </w:tcPr>
          <w:p w:rsidR="00756160" w:rsidRPr="005B781D" w14:paraId="302DC21B"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756160" w:rsidRPr="005B781D" w14:paraId="667C557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4AE74691"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258AF315"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5E9C2E44"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28A7C50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B16CD13" w14:textId="77777777" w:rsidTr="005D09BA">
        <w:tblPrEx>
          <w:tblW w:w="9260" w:type="dxa"/>
          <w:tblLook w:val="04A0"/>
        </w:tblPrEx>
        <w:trPr>
          <w:trHeight w:val="290"/>
        </w:trPr>
        <w:tc>
          <w:tcPr>
            <w:tcW w:w="1880" w:type="dxa"/>
            <w:tcBorders>
              <w:top w:val="single" w:sz="4" w:space="0" w:color="auto"/>
              <w:left w:val="single" w:sz="4" w:space="0" w:color="auto"/>
              <w:bottom w:val="single" w:sz="4" w:space="0" w:color="auto"/>
              <w:right w:val="single" w:sz="4" w:space="0" w:color="auto"/>
            </w:tcBorders>
            <w:vAlign w:val="bottom"/>
            <w:hideMark/>
          </w:tcPr>
          <w:p w:rsidR="00756160" w:rsidRPr="005B781D" w14:paraId="51E72A73" w14:textId="77777777">
            <w:pPr>
              <w:autoSpaceDE/>
              <w:autoSpaceDN/>
              <w:jc w:val="center"/>
              <w:rPr>
                <w:rFonts w:eastAsia="Times New Roman"/>
                <w:color w:val="000000"/>
                <w:sz w:val="16"/>
                <w:szCs w:val="16"/>
              </w:rPr>
            </w:pPr>
            <w:r w:rsidRPr="005B781D">
              <w:rPr>
                <w:rFonts w:eastAsia="Times New Roman"/>
                <w:color w:val="000000"/>
                <w:sz w:val="16"/>
                <w:szCs w:val="16"/>
              </w:rPr>
              <w:t>Ohio</w:t>
            </w:r>
          </w:p>
        </w:tc>
        <w:tc>
          <w:tcPr>
            <w:tcW w:w="1350" w:type="dxa"/>
            <w:tcBorders>
              <w:top w:val="single" w:sz="4" w:space="0" w:color="auto"/>
              <w:left w:val="nil"/>
              <w:bottom w:val="single" w:sz="4" w:space="0" w:color="auto"/>
              <w:right w:val="nil"/>
            </w:tcBorders>
            <w:shd w:val="clear" w:color="000000" w:fill="FFFFFF"/>
            <w:noWrap/>
            <w:vAlign w:val="bottom"/>
            <w:hideMark/>
          </w:tcPr>
          <w:p w:rsidR="00756160" w:rsidRPr="005B781D" w14:paraId="2C54627C" w14:textId="77777777">
            <w:pPr>
              <w:autoSpaceDE/>
              <w:autoSpaceDN/>
              <w:jc w:val="center"/>
              <w:rPr>
                <w:rFonts w:eastAsia="Times New Roman"/>
                <w:sz w:val="16"/>
                <w:szCs w:val="16"/>
              </w:rPr>
            </w:pPr>
            <w:r w:rsidRPr="005B781D">
              <w:rPr>
                <w:rFonts w:eastAsia="Times New Roman"/>
                <w:sz w:val="16"/>
                <w:szCs w:val="16"/>
              </w:rPr>
              <w:t>1.13</w:t>
            </w:r>
          </w:p>
        </w:tc>
        <w:tc>
          <w:tcPr>
            <w:tcW w:w="1176" w:type="dxa"/>
            <w:tcBorders>
              <w:top w:val="single" w:sz="4" w:space="0" w:color="auto"/>
              <w:left w:val="single" w:sz="4" w:space="0" w:color="auto"/>
              <w:bottom w:val="nil"/>
              <w:right w:val="single" w:sz="4" w:space="0" w:color="auto"/>
            </w:tcBorders>
            <w:shd w:val="clear" w:color="000000" w:fill="D9D9D9"/>
            <w:noWrap/>
            <w:vAlign w:val="bottom"/>
            <w:hideMark/>
          </w:tcPr>
          <w:p w:rsidR="00756160" w:rsidRPr="005B781D" w14:paraId="3C52E752" w14:textId="77777777">
            <w:pPr>
              <w:autoSpaceDE/>
              <w:autoSpaceDN/>
              <w:jc w:val="center"/>
              <w:rPr>
                <w:rFonts w:eastAsia="Times New Roman"/>
                <w:color w:val="D9D9D9"/>
                <w:sz w:val="16"/>
                <w:szCs w:val="16"/>
              </w:rPr>
            </w:pPr>
          </w:p>
        </w:tc>
        <w:tc>
          <w:tcPr>
            <w:tcW w:w="990" w:type="dxa"/>
            <w:tcBorders>
              <w:top w:val="single" w:sz="4" w:space="0" w:color="auto"/>
              <w:left w:val="nil"/>
              <w:bottom w:val="single" w:sz="4" w:space="0" w:color="auto"/>
              <w:right w:val="single" w:sz="4" w:space="0" w:color="auto"/>
            </w:tcBorders>
            <w:noWrap/>
            <w:vAlign w:val="bottom"/>
            <w:hideMark/>
          </w:tcPr>
          <w:p w:rsidR="00756160" w:rsidRPr="005B781D" w14:paraId="5380F81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single" w:sz="4" w:space="0" w:color="auto"/>
              <w:left w:val="nil"/>
              <w:bottom w:val="single" w:sz="4" w:space="0" w:color="auto"/>
              <w:right w:val="single" w:sz="4" w:space="0" w:color="auto"/>
            </w:tcBorders>
            <w:noWrap/>
            <w:vAlign w:val="bottom"/>
            <w:hideMark/>
          </w:tcPr>
          <w:p w:rsidR="00756160" w:rsidRPr="005B781D" w14:paraId="15B9CF17"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single" w:sz="4" w:space="0" w:color="auto"/>
              <w:left w:val="nil"/>
              <w:bottom w:val="single" w:sz="4" w:space="0" w:color="auto"/>
              <w:right w:val="single" w:sz="4" w:space="0" w:color="auto"/>
            </w:tcBorders>
            <w:noWrap/>
            <w:vAlign w:val="bottom"/>
            <w:hideMark/>
          </w:tcPr>
          <w:p w:rsidR="00756160" w:rsidRPr="005B781D" w14:paraId="144A6533" w14:textId="77777777">
            <w:pPr>
              <w:autoSpaceDE/>
              <w:autoSpaceDN/>
              <w:jc w:val="center"/>
              <w:rPr>
                <w:rFonts w:eastAsia="Times New Roman"/>
                <w:sz w:val="16"/>
                <w:szCs w:val="16"/>
              </w:rPr>
            </w:pPr>
            <w:r w:rsidRPr="005B781D">
              <w:rPr>
                <w:rFonts w:eastAsia="Times New Roman"/>
                <w:sz w:val="16"/>
                <w:szCs w:val="16"/>
              </w:rPr>
              <w:t>6</w:t>
            </w:r>
          </w:p>
        </w:tc>
        <w:tc>
          <w:tcPr>
            <w:tcW w:w="1429" w:type="dxa"/>
            <w:tcBorders>
              <w:top w:val="single" w:sz="4" w:space="0" w:color="auto"/>
              <w:left w:val="nil"/>
              <w:bottom w:val="single" w:sz="4" w:space="0" w:color="auto"/>
              <w:right w:val="single" w:sz="4" w:space="0" w:color="auto"/>
            </w:tcBorders>
            <w:vAlign w:val="bottom"/>
            <w:hideMark/>
          </w:tcPr>
          <w:p w:rsidR="00756160" w:rsidRPr="005B781D" w14:paraId="0518FFB7"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7044738"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4C61138" w14:textId="77777777">
            <w:pPr>
              <w:autoSpaceDE/>
              <w:autoSpaceDN/>
              <w:jc w:val="center"/>
              <w:rPr>
                <w:rFonts w:eastAsia="Times New Roman"/>
                <w:color w:val="000000"/>
                <w:sz w:val="16"/>
                <w:szCs w:val="16"/>
              </w:rPr>
            </w:pPr>
            <w:r w:rsidRPr="005B781D">
              <w:rPr>
                <w:rFonts w:eastAsia="Times New Roman"/>
                <w:color w:val="000000"/>
                <w:sz w:val="16"/>
                <w:szCs w:val="16"/>
              </w:rPr>
              <w:t>Oklahoma</w:t>
            </w:r>
          </w:p>
        </w:tc>
        <w:tc>
          <w:tcPr>
            <w:tcW w:w="1350" w:type="dxa"/>
            <w:tcBorders>
              <w:top w:val="nil"/>
              <w:left w:val="nil"/>
              <w:bottom w:val="single" w:sz="4" w:space="0" w:color="auto"/>
              <w:right w:val="nil"/>
            </w:tcBorders>
            <w:shd w:val="clear" w:color="000000" w:fill="FFFFFF"/>
            <w:noWrap/>
            <w:vAlign w:val="bottom"/>
            <w:hideMark/>
          </w:tcPr>
          <w:p w:rsidR="00756160" w:rsidRPr="005B781D" w14:paraId="5D8F577A" w14:textId="77777777">
            <w:pPr>
              <w:autoSpaceDE/>
              <w:autoSpaceDN/>
              <w:jc w:val="center"/>
              <w:rPr>
                <w:rFonts w:eastAsia="Times New Roman"/>
                <w:sz w:val="16"/>
                <w:szCs w:val="16"/>
              </w:rPr>
            </w:pPr>
            <w:r w:rsidRPr="005B781D">
              <w:rPr>
                <w:rFonts w:eastAsia="Times New Roman"/>
                <w:sz w:val="16"/>
                <w:szCs w:val="16"/>
              </w:rPr>
              <w:t>6.04</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5F1BBDC2"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464B9E88"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5E0DA630"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4CAD7706" w14:textId="77777777">
            <w:pPr>
              <w:autoSpaceDE/>
              <w:autoSpaceDN/>
              <w:jc w:val="center"/>
              <w:rPr>
                <w:rFonts w:eastAsia="Times New Roman"/>
                <w:sz w:val="16"/>
                <w:szCs w:val="16"/>
              </w:rPr>
            </w:pPr>
            <w:r w:rsidRPr="005B781D">
              <w:rPr>
                <w:rFonts w:eastAsia="Times New Roman"/>
                <w:sz w:val="16"/>
                <w:szCs w:val="16"/>
              </w:rPr>
              <w:t>32</w:t>
            </w:r>
          </w:p>
        </w:tc>
        <w:tc>
          <w:tcPr>
            <w:tcW w:w="1429" w:type="dxa"/>
            <w:tcBorders>
              <w:top w:val="nil"/>
              <w:left w:val="nil"/>
              <w:bottom w:val="single" w:sz="4" w:space="0" w:color="auto"/>
              <w:right w:val="single" w:sz="4" w:space="0" w:color="auto"/>
            </w:tcBorders>
            <w:vAlign w:val="bottom"/>
            <w:hideMark/>
          </w:tcPr>
          <w:p w:rsidR="00756160" w:rsidRPr="005B781D" w14:paraId="35BBF720"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69445565"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4A2CD27C" w14:textId="77777777">
            <w:pPr>
              <w:autoSpaceDE/>
              <w:autoSpaceDN/>
              <w:jc w:val="center"/>
              <w:rPr>
                <w:rFonts w:eastAsia="Times New Roman"/>
                <w:color w:val="000000"/>
                <w:sz w:val="16"/>
                <w:szCs w:val="16"/>
              </w:rPr>
            </w:pPr>
            <w:r w:rsidRPr="005B781D">
              <w:rPr>
                <w:rFonts w:eastAsia="Times New Roman"/>
                <w:color w:val="000000"/>
                <w:sz w:val="16"/>
                <w:szCs w:val="16"/>
              </w:rPr>
              <w:t>Oregon</w:t>
            </w:r>
          </w:p>
        </w:tc>
        <w:tc>
          <w:tcPr>
            <w:tcW w:w="1350" w:type="dxa"/>
            <w:tcBorders>
              <w:top w:val="nil"/>
              <w:left w:val="nil"/>
              <w:bottom w:val="single" w:sz="4" w:space="0" w:color="auto"/>
              <w:right w:val="nil"/>
            </w:tcBorders>
            <w:shd w:val="clear" w:color="000000" w:fill="FFFFFF"/>
            <w:noWrap/>
            <w:vAlign w:val="bottom"/>
            <w:hideMark/>
          </w:tcPr>
          <w:p w:rsidR="00756160" w:rsidRPr="005B781D" w14:paraId="3493C028" w14:textId="77777777">
            <w:pPr>
              <w:autoSpaceDE/>
              <w:autoSpaceDN/>
              <w:jc w:val="center"/>
              <w:rPr>
                <w:rFonts w:eastAsia="Times New Roman"/>
                <w:sz w:val="16"/>
                <w:szCs w:val="16"/>
              </w:rPr>
            </w:pPr>
            <w:r w:rsidRPr="005B781D">
              <w:rPr>
                <w:rFonts w:eastAsia="Times New Roman"/>
                <w:sz w:val="16"/>
                <w:szCs w:val="16"/>
              </w:rPr>
              <w:t>2.83</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233F8198"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65B6D7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C8493B5"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55232FD0" w14:textId="77777777">
            <w:pPr>
              <w:autoSpaceDE/>
              <w:autoSpaceDN/>
              <w:jc w:val="center"/>
              <w:rPr>
                <w:rFonts w:eastAsia="Times New Roman"/>
                <w:sz w:val="16"/>
                <w:szCs w:val="16"/>
              </w:rPr>
            </w:pPr>
            <w:r w:rsidRPr="005B781D">
              <w:rPr>
                <w:rFonts w:eastAsia="Times New Roman"/>
                <w:sz w:val="16"/>
                <w:szCs w:val="16"/>
              </w:rPr>
              <w:t>15</w:t>
            </w:r>
          </w:p>
        </w:tc>
        <w:tc>
          <w:tcPr>
            <w:tcW w:w="1429" w:type="dxa"/>
            <w:tcBorders>
              <w:top w:val="nil"/>
              <w:left w:val="nil"/>
              <w:bottom w:val="single" w:sz="4" w:space="0" w:color="auto"/>
              <w:right w:val="single" w:sz="4" w:space="0" w:color="auto"/>
            </w:tcBorders>
            <w:vAlign w:val="bottom"/>
            <w:hideMark/>
          </w:tcPr>
          <w:p w:rsidR="00756160" w:rsidRPr="005B781D" w14:paraId="41EE2D15"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F82DA2F"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7D8CEA91" w14:textId="77777777">
            <w:pPr>
              <w:autoSpaceDE/>
              <w:autoSpaceDN/>
              <w:jc w:val="center"/>
              <w:rPr>
                <w:rFonts w:eastAsia="Times New Roman"/>
                <w:color w:val="000000"/>
                <w:sz w:val="16"/>
                <w:szCs w:val="16"/>
              </w:rPr>
            </w:pPr>
            <w:r w:rsidRPr="005B781D">
              <w:rPr>
                <w:rFonts w:eastAsia="Times New Roman"/>
                <w:color w:val="000000"/>
                <w:sz w:val="16"/>
                <w:szCs w:val="16"/>
              </w:rPr>
              <w:t>Pennsylvania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220FA594"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D4FDDA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BF6528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03C944F0"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5B6665A1"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0255C56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8834092"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49F907C8" w14:textId="77777777">
            <w:pPr>
              <w:autoSpaceDE/>
              <w:autoSpaceDN/>
              <w:jc w:val="center"/>
              <w:rPr>
                <w:rFonts w:eastAsia="Times New Roman"/>
                <w:color w:val="000000"/>
                <w:sz w:val="16"/>
                <w:szCs w:val="16"/>
              </w:rPr>
            </w:pPr>
            <w:r w:rsidRPr="005B781D">
              <w:rPr>
                <w:rFonts w:eastAsia="Times New Roman"/>
                <w:color w:val="000000"/>
                <w:sz w:val="16"/>
                <w:szCs w:val="16"/>
              </w:rPr>
              <w:t>Rhode Island</w:t>
            </w:r>
          </w:p>
        </w:tc>
        <w:tc>
          <w:tcPr>
            <w:tcW w:w="1350" w:type="dxa"/>
            <w:tcBorders>
              <w:top w:val="nil"/>
              <w:left w:val="nil"/>
              <w:bottom w:val="single" w:sz="4" w:space="0" w:color="auto"/>
              <w:right w:val="nil"/>
            </w:tcBorders>
            <w:shd w:val="clear" w:color="000000" w:fill="FFFFFF"/>
            <w:noWrap/>
            <w:vAlign w:val="bottom"/>
            <w:hideMark/>
          </w:tcPr>
          <w:p w:rsidR="00756160" w:rsidRPr="005B781D" w14:paraId="71AC51CE"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ACB36FB"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10931C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38C82744"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71973278"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50780C78"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7426D68B"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4E50E6DF" w14:textId="77777777">
            <w:pPr>
              <w:autoSpaceDE/>
              <w:autoSpaceDN/>
              <w:jc w:val="center"/>
              <w:rPr>
                <w:rFonts w:eastAsia="Times New Roman"/>
                <w:color w:val="000000"/>
                <w:sz w:val="16"/>
                <w:szCs w:val="16"/>
              </w:rPr>
            </w:pPr>
            <w:r w:rsidRPr="005B781D">
              <w:rPr>
                <w:rFonts w:eastAsia="Times New Roman"/>
                <w:color w:val="000000"/>
                <w:sz w:val="16"/>
                <w:szCs w:val="16"/>
              </w:rPr>
              <w:t>South Carolina</w:t>
            </w:r>
          </w:p>
        </w:tc>
        <w:tc>
          <w:tcPr>
            <w:tcW w:w="1350" w:type="dxa"/>
            <w:tcBorders>
              <w:top w:val="nil"/>
              <w:left w:val="nil"/>
              <w:bottom w:val="single" w:sz="4" w:space="0" w:color="auto"/>
              <w:right w:val="nil"/>
            </w:tcBorders>
            <w:shd w:val="clear" w:color="000000" w:fill="FFFFFF"/>
            <w:noWrap/>
            <w:vAlign w:val="bottom"/>
            <w:hideMark/>
          </w:tcPr>
          <w:p w:rsidR="00756160" w:rsidRPr="005B781D" w14:paraId="10B5DDF1" w14:textId="77777777">
            <w:pPr>
              <w:autoSpaceDE/>
              <w:autoSpaceDN/>
              <w:jc w:val="center"/>
              <w:rPr>
                <w:rFonts w:eastAsia="Times New Roman"/>
                <w:sz w:val="16"/>
                <w:szCs w:val="16"/>
              </w:rPr>
            </w:pPr>
            <w:r w:rsidRPr="005B781D">
              <w:rPr>
                <w:rFonts w:eastAsia="Times New Roman"/>
                <w:sz w:val="16"/>
                <w:szCs w:val="16"/>
              </w:rPr>
              <w:t>3.21</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2C1033BA"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49D43DC"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204107DF"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79D7AB48" w14:textId="77777777">
            <w:pPr>
              <w:autoSpaceDE/>
              <w:autoSpaceDN/>
              <w:jc w:val="center"/>
              <w:rPr>
                <w:rFonts w:eastAsia="Times New Roman"/>
                <w:sz w:val="16"/>
                <w:szCs w:val="16"/>
              </w:rPr>
            </w:pPr>
            <w:r w:rsidRPr="005B781D">
              <w:rPr>
                <w:rFonts w:eastAsia="Times New Roman"/>
                <w:sz w:val="16"/>
                <w:szCs w:val="16"/>
              </w:rPr>
              <w:t>17</w:t>
            </w:r>
          </w:p>
        </w:tc>
        <w:tc>
          <w:tcPr>
            <w:tcW w:w="1429" w:type="dxa"/>
            <w:tcBorders>
              <w:top w:val="nil"/>
              <w:left w:val="nil"/>
              <w:bottom w:val="single" w:sz="4" w:space="0" w:color="auto"/>
              <w:right w:val="single" w:sz="4" w:space="0" w:color="auto"/>
            </w:tcBorders>
            <w:vAlign w:val="bottom"/>
            <w:hideMark/>
          </w:tcPr>
          <w:p w:rsidR="00756160" w:rsidRPr="005B781D" w14:paraId="61D2EEF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6214117"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10177A7" w14:textId="77777777">
            <w:pPr>
              <w:autoSpaceDE/>
              <w:autoSpaceDN/>
              <w:jc w:val="center"/>
              <w:rPr>
                <w:rFonts w:eastAsia="Times New Roman"/>
                <w:color w:val="000000"/>
                <w:sz w:val="16"/>
                <w:szCs w:val="16"/>
              </w:rPr>
            </w:pPr>
            <w:r w:rsidRPr="005B781D">
              <w:rPr>
                <w:rFonts w:eastAsia="Times New Roman"/>
                <w:color w:val="000000"/>
                <w:sz w:val="16"/>
                <w:szCs w:val="16"/>
              </w:rPr>
              <w:t>South Dakota</w:t>
            </w:r>
          </w:p>
        </w:tc>
        <w:tc>
          <w:tcPr>
            <w:tcW w:w="1350" w:type="dxa"/>
            <w:tcBorders>
              <w:top w:val="nil"/>
              <w:left w:val="nil"/>
              <w:bottom w:val="single" w:sz="4" w:space="0" w:color="auto"/>
              <w:right w:val="nil"/>
            </w:tcBorders>
            <w:shd w:val="clear" w:color="000000" w:fill="FFFFFF"/>
            <w:noWrap/>
            <w:vAlign w:val="bottom"/>
            <w:hideMark/>
          </w:tcPr>
          <w:p w:rsidR="00756160" w:rsidRPr="005B781D" w14:paraId="0057FD8A"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AA64FA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949ABAE"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4A4C126B"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636B7566"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2C83C4C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537F85A"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4CAE2AD" w14:textId="77777777">
            <w:pPr>
              <w:autoSpaceDE/>
              <w:autoSpaceDN/>
              <w:jc w:val="center"/>
              <w:rPr>
                <w:rFonts w:eastAsia="Times New Roman"/>
                <w:color w:val="000000"/>
                <w:sz w:val="16"/>
                <w:szCs w:val="16"/>
              </w:rPr>
            </w:pPr>
            <w:r w:rsidRPr="005B781D">
              <w:rPr>
                <w:rFonts w:eastAsia="Times New Roman"/>
                <w:color w:val="000000"/>
                <w:sz w:val="16"/>
                <w:szCs w:val="16"/>
              </w:rPr>
              <w:t>Tennessee</w:t>
            </w:r>
          </w:p>
        </w:tc>
        <w:tc>
          <w:tcPr>
            <w:tcW w:w="1350" w:type="dxa"/>
            <w:tcBorders>
              <w:top w:val="nil"/>
              <w:left w:val="nil"/>
              <w:bottom w:val="single" w:sz="4" w:space="0" w:color="auto"/>
              <w:right w:val="nil"/>
            </w:tcBorders>
            <w:shd w:val="clear" w:color="000000" w:fill="FFFFFF"/>
            <w:noWrap/>
            <w:vAlign w:val="bottom"/>
            <w:hideMark/>
          </w:tcPr>
          <w:p w:rsidR="00756160" w:rsidRPr="005B781D" w14:paraId="0666E017" w14:textId="77777777">
            <w:pPr>
              <w:autoSpaceDE/>
              <w:autoSpaceDN/>
              <w:jc w:val="center"/>
              <w:rPr>
                <w:rFonts w:eastAsia="Times New Roman"/>
                <w:sz w:val="16"/>
                <w:szCs w:val="16"/>
              </w:rPr>
            </w:pPr>
            <w:r w:rsidRPr="005B781D">
              <w:rPr>
                <w:rFonts w:eastAsia="Times New Roman"/>
                <w:sz w:val="16"/>
                <w:szCs w:val="16"/>
              </w:rPr>
              <w:t>1.89</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33AF92A5"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719997EF"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2C669D6B"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77B1D36E" w14:textId="77777777">
            <w:pPr>
              <w:autoSpaceDE/>
              <w:autoSpaceDN/>
              <w:jc w:val="center"/>
              <w:rPr>
                <w:rFonts w:eastAsia="Times New Roman"/>
                <w:sz w:val="16"/>
                <w:szCs w:val="16"/>
              </w:rPr>
            </w:pPr>
            <w:r w:rsidRPr="005B781D">
              <w:rPr>
                <w:rFonts w:eastAsia="Times New Roman"/>
                <w:sz w:val="16"/>
                <w:szCs w:val="16"/>
              </w:rPr>
              <w:t>10</w:t>
            </w:r>
          </w:p>
        </w:tc>
        <w:tc>
          <w:tcPr>
            <w:tcW w:w="1429" w:type="dxa"/>
            <w:tcBorders>
              <w:top w:val="nil"/>
              <w:left w:val="nil"/>
              <w:bottom w:val="single" w:sz="4" w:space="0" w:color="auto"/>
              <w:right w:val="single" w:sz="4" w:space="0" w:color="auto"/>
            </w:tcBorders>
            <w:vAlign w:val="bottom"/>
            <w:hideMark/>
          </w:tcPr>
          <w:p w:rsidR="00756160" w:rsidRPr="005B781D" w14:paraId="7C0920B0"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44378D04"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4F3F4446" w14:textId="77777777">
            <w:pPr>
              <w:autoSpaceDE/>
              <w:autoSpaceDN/>
              <w:jc w:val="center"/>
              <w:rPr>
                <w:rFonts w:eastAsia="Times New Roman"/>
                <w:color w:val="000000"/>
                <w:sz w:val="16"/>
                <w:szCs w:val="16"/>
              </w:rPr>
            </w:pPr>
            <w:r w:rsidRPr="005B781D">
              <w:rPr>
                <w:rFonts w:eastAsia="Times New Roman"/>
                <w:color w:val="000000"/>
                <w:sz w:val="16"/>
                <w:szCs w:val="16"/>
              </w:rPr>
              <w:t>Texas</w:t>
            </w:r>
          </w:p>
        </w:tc>
        <w:tc>
          <w:tcPr>
            <w:tcW w:w="1350" w:type="dxa"/>
            <w:tcBorders>
              <w:top w:val="nil"/>
              <w:left w:val="nil"/>
              <w:bottom w:val="single" w:sz="4" w:space="0" w:color="auto"/>
              <w:right w:val="nil"/>
            </w:tcBorders>
            <w:shd w:val="clear" w:color="000000" w:fill="FFFFFF"/>
            <w:noWrap/>
            <w:vAlign w:val="bottom"/>
            <w:hideMark/>
          </w:tcPr>
          <w:p w:rsidR="00756160" w:rsidRPr="005B781D" w14:paraId="492B1862" w14:textId="77777777">
            <w:pPr>
              <w:autoSpaceDE/>
              <w:autoSpaceDN/>
              <w:jc w:val="center"/>
              <w:rPr>
                <w:rFonts w:eastAsia="Times New Roman"/>
                <w:sz w:val="16"/>
                <w:szCs w:val="16"/>
              </w:rPr>
            </w:pPr>
            <w:r w:rsidRPr="005B781D">
              <w:rPr>
                <w:rFonts w:eastAsia="Times New Roman"/>
                <w:sz w:val="16"/>
                <w:szCs w:val="16"/>
              </w:rPr>
              <w:t>8.87</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1553311C"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338FB9EB"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2BDC2F6F" w14:textId="77777777">
            <w:pPr>
              <w:autoSpaceDE/>
              <w:autoSpaceDN/>
              <w:jc w:val="center"/>
              <w:rPr>
                <w:rFonts w:eastAsia="Times New Roman"/>
                <w:sz w:val="16"/>
                <w:szCs w:val="16"/>
              </w:rPr>
            </w:pPr>
            <w:r w:rsidRPr="005B781D">
              <w:rPr>
                <w:rFonts w:eastAsia="Times New Roman"/>
                <w:sz w:val="16"/>
                <w:szCs w:val="16"/>
              </w:rPr>
              <w:t>5</w:t>
            </w:r>
          </w:p>
        </w:tc>
        <w:tc>
          <w:tcPr>
            <w:tcW w:w="1355" w:type="dxa"/>
            <w:tcBorders>
              <w:top w:val="nil"/>
              <w:left w:val="nil"/>
              <w:bottom w:val="single" w:sz="4" w:space="0" w:color="auto"/>
              <w:right w:val="single" w:sz="4" w:space="0" w:color="auto"/>
            </w:tcBorders>
            <w:noWrap/>
            <w:vAlign w:val="bottom"/>
            <w:hideMark/>
          </w:tcPr>
          <w:p w:rsidR="00756160" w:rsidRPr="005B781D" w14:paraId="39147E9B" w14:textId="77777777">
            <w:pPr>
              <w:autoSpaceDE/>
              <w:autoSpaceDN/>
              <w:jc w:val="center"/>
              <w:rPr>
                <w:rFonts w:eastAsia="Times New Roman"/>
                <w:sz w:val="16"/>
                <w:szCs w:val="16"/>
              </w:rPr>
            </w:pPr>
            <w:r w:rsidRPr="005B781D">
              <w:rPr>
                <w:rFonts w:eastAsia="Times New Roman"/>
                <w:sz w:val="16"/>
                <w:szCs w:val="16"/>
              </w:rPr>
              <w:t>47</w:t>
            </w:r>
          </w:p>
        </w:tc>
        <w:tc>
          <w:tcPr>
            <w:tcW w:w="1429" w:type="dxa"/>
            <w:tcBorders>
              <w:top w:val="nil"/>
              <w:left w:val="nil"/>
              <w:bottom w:val="single" w:sz="4" w:space="0" w:color="auto"/>
              <w:right w:val="single" w:sz="4" w:space="0" w:color="auto"/>
            </w:tcBorders>
            <w:vAlign w:val="bottom"/>
            <w:hideMark/>
          </w:tcPr>
          <w:p w:rsidR="00756160" w:rsidRPr="005B781D" w14:paraId="6249CC8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79930AB4"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2299A9C" w14:textId="77777777">
            <w:pPr>
              <w:autoSpaceDE/>
              <w:autoSpaceDN/>
              <w:jc w:val="center"/>
              <w:rPr>
                <w:rFonts w:eastAsia="Times New Roman"/>
                <w:color w:val="000000"/>
                <w:sz w:val="16"/>
                <w:szCs w:val="16"/>
              </w:rPr>
            </w:pPr>
            <w:r w:rsidRPr="005B781D">
              <w:rPr>
                <w:rFonts w:eastAsia="Times New Roman"/>
                <w:color w:val="000000"/>
                <w:sz w:val="16"/>
                <w:szCs w:val="16"/>
              </w:rPr>
              <w:t>Utah</w:t>
            </w:r>
          </w:p>
        </w:tc>
        <w:tc>
          <w:tcPr>
            <w:tcW w:w="1350" w:type="dxa"/>
            <w:tcBorders>
              <w:top w:val="nil"/>
              <w:left w:val="nil"/>
              <w:bottom w:val="single" w:sz="4" w:space="0" w:color="auto"/>
              <w:right w:val="nil"/>
            </w:tcBorders>
            <w:shd w:val="clear" w:color="000000" w:fill="FFFFFF"/>
            <w:noWrap/>
            <w:vAlign w:val="bottom"/>
            <w:hideMark/>
          </w:tcPr>
          <w:p w:rsidR="00756160" w:rsidRPr="005B781D" w14:paraId="311D2971" w14:textId="77777777">
            <w:pPr>
              <w:autoSpaceDE/>
              <w:autoSpaceDN/>
              <w:jc w:val="center"/>
              <w:rPr>
                <w:rFonts w:eastAsia="Times New Roman"/>
                <w:sz w:val="16"/>
                <w:szCs w:val="16"/>
              </w:rPr>
            </w:pPr>
            <w:r w:rsidRPr="005B781D">
              <w:rPr>
                <w:rFonts w:eastAsia="Times New Roman"/>
                <w:sz w:val="16"/>
                <w:szCs w:val="16"/>
              </w:rPr>
              <w:t>2.08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46CB9490"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0B0F4137"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634599D8"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02BDC86" w14:textId="77777777">
            <w:pPr>
              <w:autoSpaceDE/>
              <w:autoSpaceDN/>
              <w:jc w:val="center"/>
              <w:rPr>
                <w:rFonts w:eastAsia="Times New Roman"/>
                <w:sz w:val="16"/>
                <w:szCs w:val="16"/>
              </w:rPr>
            </w:pPr>
            <w:r w:rsidRPr="005B781D">
              <w:rPr>
                <w:rFonts w:eastAsia="Times New Roman"/>
                <w:sz w:val="16"/>
                <w:szCs w:val="16"/>
              </w:rPr>
              <w:t>11</w:t>
            </w:r>
          </w:p>
        </w:tc>
        <w:tc>
          <w:tcPr>
            <w:tcW w:w="1429" w:type="dxa"/>
            <w:tcBorders>
              <w:top w:val="nil"/>
              <w:left w:val="nil"/>
              <w:bottom w:val="single" w:sz="4" w:space="0" w:color="auto"/>
              <w:right w:val="single" w:sz="4" w:space="0" w:color="auto"/>
            </w:tcBorders>
            <w:vAlign w:val="bottom"/>
            <w:hideMark/>
          </w:tcPr>
          <w:p w:rsidR="00756160" w:rsidRPr="005B781D" w14:paraId="2DB7A71F"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EF282E0"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90E9DB2" w14:textId="77777777">
            <w:pPr>
              <w:autoSpaceDE/>
              <w:autoSpaceDN/>
              <w:jc w:val="center"/>
              <w:rPr>
                <w:rFonts w:eastAsia="Times New Roman"/>
                <w:color w:val="000000"/>
                <w:sz w:val="16"/>
                <w:szCs w:val="16"/>
              </w:rPr>
            </w:pPr>
            <w:r w:rsidRPr="005B781D">
              <w:rPr>
                <w:rFonts w:eastAsia="Times New Roman"/>
                <w:color w:val="000000"/>
                <w:sz w:val="16"/>
                <w:szCs w:val="16"/>
              </w:rPr>
              <w:t>Vermont</w:t>
            </w:r>
          </w:p>
        </w:tc>
        <w:tc>
          <w:tcPr>
            <w:tcW w:w="1350" w:type="dxa"/>
            <w:tcBorders>
              <w:top w:val="nil"/>
              <w:left w:val="nil"/>
              <w:bottom w:val="single" w:sz="4" w:space="0" w:color="auto"/>
              <w:right w:val="nil"/>
            </w:tcBorders>
            <w:shd w:val="clear" w:color="000000" w:fill="FFFFFF"/>
            <w:noWrap/>
            <w:vAlign w:val="bottom"/>
            <w:hideMark/>
          </w:tcPr>
          <w:p w:rsidR="00756160" w:rsidRPr="005B781D" w14:paraId="60C46458"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694A640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65EC352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31BF5C54"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1545C97A"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314F015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1F612AC"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7893AE47" w14:textId="77777777">
            <w:pPr>
              <w:autoSpaceDE/>
              <w:autoSpaceDN/>
              <w:jc w:val="center"/>
              <w:rPr>
                <w:rFonts w:eastAsia="Times New Roman"/>
                <w:color w:val="000000"/>
                <w:sz w:val="16"/>
                <w:szCs w:val="16"/>
              </w:rPr>
            </w:pPr>
            <w:r w:rsidRPr="005B781D">
              <w:rPr>
                <w:rFonts w:eastAsia="Times New Roman"/>
                <w:color w:val="000000"/>
                <w:sz w:val="16"/>
                <w:szCs w:val="16"/>
              </w:rPr>
              <w:t>Virginia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5491D101" w14:textId="77777777">
            <w:pPr>
              <w:autoSpaceDE/>
              <w:autoSpaceDN/>
              <w:jc w:val="center"/>
              <w:rPr>
                <w:rFonts w:eastAsia="Times New Roman"/>
                <w:sz w:val="16"/>
                <w:szCs w:val="16"/>
              </w:rPr>
            </w:pPr>
            <w:r w:rsidRPr="005B781D">
              <w:rPr>
                <w:rFonts w:eastAsia="Times New Roman"/>
                <w:sz w:val="16"/>
                <w:szCs w:val="16"/>
              </w:rPr>
              <w:t>4.91</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90BECE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98C3614"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3038749"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6969FC8B" w14:textId="77777777">
            <w:pPr>
              <w:autoSpaceDE/>
              <w:autoSpaceDN/>
              <w:jc w:val="center"/>
              <w:rPr>
                <w:rFonts w:eastAsia="Times New Roman"/>
                <w:sz w:val="16"/>
                <w:szCs w:val="16"/>
              </w:rPr>
            </w:pPr>
            <w:r w:rsidRPr="005B781D">
              <w:rPr>
                <w:rFonts w:eastAsia="Times New Roman"/>
                <w:sz w:val="16"/>
                <w:szCs w:val="16"/>
              </w:rPr>
              <w:t>26</w:t>
            </w:r>
          </w:p>
        </w:tc>
        <w:tc>
          <w:tcPr>
            <w:tcW w:w="1429" w:type="dxa"/>
            <w:tcBorders>
              <w:top w:val="nil"/>
              <w:left w:val="nil"/>
              <w:bottom w:val="single" w:sz="4" w:space="0" w:color="auto"/>
              <w:right w:val="single" w:sz="4" w:space="0" w:color="auto"/>
            </w:tcBorders>
            <w:vAlign w:val="bottom"/>
            <w:hideMark/>
          </w:tcPr>
          <w:p w:rsidR="00756160" w:rsidRPr="005B781D" w14:paraId="220A589C"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172CD03"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836F439" w14:textId="77777777">
            <w:pPr>
              <w:autoSpaceDE/>
              <w:autoSpaceDN/>
              <w:jc w:val="center"/>
              <w:rPr>
                <w:rFonts w:eastAsia="Times New Roman"/>
                <w:color w:val="000000"/>
                <w:sz w:val="16"/>
                <w:szCs w:val="16"/>
              </w:rPr>
            </w:pPr>
            <w:r w:rsidRPr="005B781D">
              <w:rPr>
                <w:rFonts w:eastAsia="Times New Roman"/>
                <w:color w:val="000000"/>
                <w:sz w:val="16"/>
                <w:szCs w:val="16"/>
              </w:rPr>
              <w:t>Washington</w:t>
            </w:r>
          </w:p>
        </w:tc>
        <w:tc>
          <w:tcPr>
            <w:tcW w:w="1350" w:type="dxa"/>
            <w:tcBorders>
              <w:top w:val="nil"/>
              <w:left w:val="nil"/>
              <w:bottom w:val="single" w:sz="4" w:space="0" w:color="auto"/>
              <w:right w:val="nil"/>
            </w:tcBorders>
            <w:shd w:val="clear" w:color="000000" w:fill="FFFFFF"/>
            <w:noWrap/>
            <w:vAlign w:val="bottom"/>
            <w:hideMark/>
          </w:tcPr>
          <w:p w:rsidR="00756160" w:rsidRPr="005B781D" w14:paraId="4F442133" w14:textId="77777777">
            <w:pPr>
              <w:autoSpaceDE/>
              <w:autoSpaceDN/>
              <w:jc w:val="center"/>
              <w:rPr>
                <w:rFonts w:eastAsia="Times New Roman"/>
                <w:sz w:val="16"/>
                <w:szCs w:val="16"/>
              </w:rPr>
            </w:pPr>
            <w:r w:rsidRPr="005B781D">
              <w:rPr>
                <w:rFonts w:eastAsia="Times New Roman"/>
                <w:sz w:val="16"/>
                <w:szCs w:val="16"/>
              </w:rPr>
              <w:t>3.21</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03BA80FD"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24F32D1F"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noWrap/>
            <w:vAlign w:val="bottom"/>
            <w:hideMark/>
          </w:tcPr>
          <w:p w:rsidR="00756160" w:rsidRPr="005B781D" w14:paraId="2016D57B" w14:textId="77777777">
            <w:pPr>
              <w:autoSpaceDE/>
              <w:autoSpaceDN/>
              <w:jc w:val="center"/>
              <w:rPr>
                <w:rFonts w:eastAsia="Times New Roman"/>
                <w:sz w:val="16"/>
                <w:szCs w:val="16"/>
              </w:rPr>
            </w:pPr>
            <w:r w:rsidRPr="005B781D">
              <w:rPr>
                <w:rFonts w:eastAsia="Times New Roman"/>
                <w:sz w:val="16"/>
                <w:szCs w:val="16"/>
              </w:rPr>
              <w:t>5</w:t>
            </w:r>
          </w:p>
        </w:tc>
        <w:tc>
          <w:tcPr>
            <w:tcW w:w="1355" w:type="dxa"/>
            <w:tcBorders>
              <w:top w:val="nil"/>
              <w:left w:val="nil"/>
              <w:bottom w:val="single" w:sz="4" w:space="0" w:color="auto"/>
              <w:right w:val="single" w:sz="4" w:space="0" w:color="auto"/>
            </w:tcBorders>
            <w:noWrap/>
            <w:vAlign w:val="bottom"/>
            <w:hideMark/>
          </w:tcPr>
          <w:p w:rsidR="00756160" w:rsidRPr="005B781D" w14:paraId="270893A5" w14:textId="77777777">
            <w:pPr>
              <w:autoSpaceDE/>
              <w:autoSpaceDN/>
              <w:jc w:val="center"/>
              <w:rPr>
                <w:rFonts w:eastAsia="Times New Roman"/>
                <w:sz w:val="16"/>
                <w:szCs w:val="16"/>
              </w:rPr>
            </w:pPr>
            <w:r w:rsidRPr="005B781D">
              <w:rPr>
                <w:rFonts w:eastAsia="Times New Roman"/>
                <w:sz w:val="16"/>
                <w:szCs w:val="16"/>
              </w:rPr>
              <w:t>17</w:t>
            </w:r>
          </w:p>
        </w:tc>
        <w:tc>
          <w:tcPr>
            <w:tcW w:w="1429" w:type="dxa"/>
            <w:tcBorders>
              <w:top w:val="nil"/>
              <w:left w:val="nil"/>
              <w:bottom w:val="single" w:sz="4" w:space="0" w:color="auto"/>
              <w:right w:val="single" w:sz="4" w:space="0" w:color="auto"/>
            </w:tcBorders>
            <w:vAlign w:val="bottom"/>
            <w:hideMark/>
          </w:tcPr>
          <w:p w:rsidR="00756160" w:rsidRPr="005B781D" w14:paraId="0F14F11E"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CE80186"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1C2FC003" w14:textId="77777777">
            <w:pPr>
              <w:autoSpaceDE/>
              <w:autoSpaceDN/>
              <w:jc w:val="center"/>
              <w:rPr>
                <w:rFonts w:eastAsia="Times New Roman"/>
                <w:color w:val="000000"/>
                <w:sz w:val="16"/>
                <w:szCs w:val="16"/>
              </w:rPr>
            </w:pPr>
            <w:r w:rsidRPr="005B781D">
              <w:rPr>
                <w:rFonts w:eastAsia="Times New Roman"/>
                <w:color w:val="000000"/>
                <w:sz w:val="16"/>
                <w:szCs w:val="16"/>
              </w:rPr>
              <w:t>West Virginia</w:t>
            </w:r>
          </w:p>
        </w:tc>
        <w:tc>
          <w:tcPr>
            <w:tcW w:w="1350" w:type="dxa"/>
            <w:tcBorders>
              <w:top w:val="nil"/>
              <w:left w:val="nil"/>
              <w:bottom w:val="single" w:sz="4" w:space="0" w:color="auto"/>
              <w:right w:val="nil"/>
            </w:tcBorders>
            <w:shd w:val="clear" w:color="000000" w:fill="FFFFFF"/>
            <w:noWrap/>
            <w:vAlign w:val="bottom"/>
            <w:hideMark/>
          </w:tcPr>
          <w:p w:rsidR="00756160" w:rsidRPr="005B781D" w14:paraId="6EE5F759"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074EFD62"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7C5B4960"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551AF198"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05B328AB"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452BD06F"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69CB3C0"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B8F4B4C" w14:textId="77777777">
            <w:pPr>
              <w:autoSpaceDE/>
              <w:autoSpaceDN/>
              <w:jc w:val="center"/>
              <w:rPr>
                <w:rFonts w:eastAsia="Times New Roman"/>
                <w:color w:val="000000"/>
                <w:sz w:val="16"/>
                <w:szCs w:val="16"/>
              </w:rPr>
            </w:pPr>
            <w:r w:rsidRPr="005B781D">
              <w:rPr>
                <w:rFonts w:eastAsia="Times New Roman"/>
                <w:color w:val="000000"/>
                <w:sz w:val="16"/>
                <w:szCs w:val="16"/>
              </w:rPr>
              <w:t>Wisconsin</w:t>
            </w:r>
          </w:p>
        </w:tc>
        <w:tc>
          <w:tcPr>
            <w:tcW w:w="1350" w:type="dxa"/>
            <w:tcBorders>
              <w:top w:val="nil"/>
              <w:left w:val="nil"/>
              <w:bottom w:val="single" w:sz="4" w:space="0" w:color="auto"/>
              <w:right w:val="nil"/>
            </w:tcBorders>
            <w:shd w:val="clear" w:color="000000" w:fill="FFFFFF"/>
            <w:noWrap/>
            <w:vAlign w:val="bottom"/>
            <w:hideMark/>
          </w:tcPr>
          <w:p w:rsidR="00756160" w:rsidRPr="005B781D" w14:paraId="33485F61" w14:textId="77777777">
            <w:pPr>
              <w:autoSpaceDE/>
              <w:autoSpaceDN/>
              <w:jc w:val="center"/>
              <w:rPr>
                <w:rFonts w:eastAsia="Times New Roman"/>
                <w:sz w:val="16"/>
                <w:szCs w:val="16"/>
              </w:rPr>
            </w:pPr>
            <w:r w:rsidRPr="005B781D">
              <w:rPr>
                <w:rFonts w:eastAsia="Times New Roman"/>
                <w:sz w:val="16"/>
                <w:szCs w:val="16"/>
              </w:rPr>
              <w:t>3.40</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7A7FCBA0"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13B3AC98" w14:textId="77777777">
            <w:pPr>
              <w:autoSpaceDE/>
              <w:autoSpaceDN/>
              <w:jc w:val="center"/>
              <w:rPr>
                <w:rFonts w:eastAsia="Times New Roman"/>
                <w:sz w:val="16"/>
                <w:szCs w:val="16"/>
              </w:rPr>
            </w:pPr>
            <w:r w:rsidRPr="005B781D">
              <w:rPr>
                <w:rFonts w:eastAsia="Times New Roman"/>
                <w:sz w:val="16"/>
                <w:szCs w:val="16"/>
              </w:rPr>
              <w:t>1</w:t>
            </w:r>
          </w:p>
        </w:tc>
        <w:tc>
          <w:tcPr>
            <w:tcW w:w="1080" w:type="dxa"/>
            <w:tcBorders>
              <w:top w:val="nil"/>
              <w:left w:val="nil"/>
              <w:bottom w:val="single" w:sz="4" w:space="0" w:color="auto"/>
              <w:right w:val="single" w:sz="4" w:space="0" w:color="auto"/>
            </w:tcBorders>
            <w:noWrap/>
            <w:vAlign w:val="bottom"/>
            <w:hideMark/>
          </w:tcPr>
          <w:p w:rsidR="00756160" w:rsidRPr="005B781D" w14:paraId="6EF0F33F" w14:textId="77777777">
            <w:pPr>
              <w:autoSpaceDE/>
              <w:autoSpaceDN/>
              <w:jc w:val="center"/>
              <w:rPr>
                <w:rFonts w:eastAsia="Times New Roman"/>
                <w:sz w:val="16"/>
                <w:szCs w:val="16"/>
              </w:rPr>
            </w:pPr>
            <w:r w:rsidRPr="005B781D">
              <w:rPr>
                <w:rFonts w:eastAsia="Times New Roman"/>
                <w:sz w:val="16"/>
                <w:szCs w:val="16"/>
              </w:rPr>
              <w:t>3</w:t>
            </w:r>
          </w:p>
        </w:tc>
        <w:tc>
          <w:tcPr>
            <w:tcW w:w="1355" w:type="dxa"/>
            <w:tcBorders>
              <w:top w:val="nil"/>
              <w:left w:val="nil"/>
              <w:bottom w:val="single" w:sz="4" w:space="0" w:color="auto"/>
              <w:right w:val="single" w:sz="4" w:space="0" w:color="auto"/>
            </w:tcBorders>
            <w:noWrap/>
            <w:vAlign w:val="bottom"/>
            <w:hideMark/>
          </w:tcPr>
          <w:p w:rsidR="00756160" w:rsidRPr="005B781D" w14:paraId="2CB0A249" w14:textId="77777777">
            <w:pPr>
              <w:autoSpaceDE/>
              <w:autoSpaceDN/>
              <w:jc w:val="center"/>
              <w:rPr>
                <w:rFonts w:eastAsia="Times New Roman"/>
                <w:sz w:val="16"/>
                <w:szCs w:val="16"/>
              </w:rPr>
            </w:pPr>
            <w:r w:rsidRPr="005B781D">
              <w:rPr>
                <w:rFonts w:eastAsia="Times New Roman"/>
                <w:sz w:val="16"/>
                <w:szCs w:val="16"/>
              </w:rPr>
              <w:t>18</w:t>
            </w:r>
          </w:p>
        </w:tc>
        <w:tc>
          <w:tcPr>
            <w:tcW w:w="1429" w:type="dxa"/>
            <w:tcBorders>
              <w:top w:val="nil"/>
              <w:left w:val="nil"/>
              <w:bottom w:val="single" w:sz="4" w:space="0" w:color="auto"/>
              <w:right w:val="single" w:sz="4" w:space="0" w:color="auto"/>
            </w:tcBorders>
            <w:vAlign w:val="bottom"/>
            <w:hideMark/>
          </w:tcPr>
          <w:p w:rsidR="00756160" w:rsidRPr="005B781D" w14:paraId="0F4EA1A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1F26747C"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54A8A10B" w14:textId="77777777">
            <w:pPr>
              <w:autoSpaceDE/>
              <w:autoSpaceDN/>
              <w:jc w:val="center"/>
              <w:rPr>
                <w:rFonts w:eastAsia="Times New Roman"/>
                <w:color w:val="000000"/>
                <w:sz w:val="16"/>
                <w:szCs w:val="16"/>
              </w:rPr>
            </w:pPr>
            <w:r w:rsidRPr="005B781D">
              <w:rPr>
                <w:rFonts w:eastAsia="Times New Roman"/>
                <w:color w:val="000000"/>
                <w:sz w:val="16"/>
                <w:szCs w:val="16"/>
              </w:rPr>
              <w:t>Wyoming</w:t>
            </w:r>
          </w:p>
        </w:tc>
        <w:tc>
          <w:tcPr>
            <w:tcW w:w="1350" w:type="dxa"/>
            <w:tcBorders>
              <w:top w:val="nil"/>
              <w:left w:val="nil"/>
              <w:bottom w:val="single" w:sz="4" w:space="0" w:color="auto"/>
              <w:right w:val="nil"/>
            </w:tcBorders>
            <w:shd w:val="clear" w:color="000000" w:fill="FFFFFF"/>
            <w:noWrap/>
            <w:vAlign w:val="bottom"/>
            <w:hideMark/>
          </w:tcPr>
          <w:p w:rsidR="00756160" w:rsidRPr="005B781D" w14:paraId="64370A18" w14:textId="77777777">
            <w:pPr>
              <w:autoSpaceDE/>
              <w:autoSpaceDN/>
              <w:jc w:val="center"/>
              <w:rPr>
                <w:rFonts w:eastAsia="Times New Roman"/>
                <w:sz w:val="16"/>
                <w:szCs w:val="16"/>
              </w:rPr>
            </w:pPr>
            <w:r w:rsidRPr="005B781D">
              <w:rPr>
                <w:rFonts w:eastAsia="Times New Roman"/>
                <w:sz w:val="16"/>
                <w:szCs w:val="16"/>
              </w:rPr>
              <w:t>0.57</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2E8B3886"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2E04458C"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74ECCFAB"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3BE7BBB9" w14:textId="77777777">
            <w:pPr>
              <w:autoSpaceDE/>
              <w:autoSpaceDN/>
              <w:jc w:val="center"/>
              <w:rPr>
                <w:rFonts w:eastAsia="Times New Roman"/>
                <w:sz w:val="16"/>
                <w:szCs w:val="16"/>
              </w:rPr>
            </w:pPr>
            <w:r w:rsidRPr="005B781D">
              <w:rPr>
                <w:rFonts w:eastAsia="Times New Roman"/>
                <w:sz w:val="16"/>
                <w:szCs w:val="16"/>
              </w:rPr>
              <w:t>3</w:t>
            </w:r>
          </w:p>
        </w:tc>
        <w:tc>
          <w:tcPr>
            <w:tcW w:w="1429" w:type="dxa"/>
            <w:tcBorders>
              <w:top w:val="nil"/>
              <w:left w:val="nil"/>
              <w:bottom w:val="single" w:sz="4" w:space="0" w:color="auto"/>
              <w:right w:val="single" w:sz="4" w:space="0" w:color="auto"/>
            </w:tcBorders>
            <w:vAlign w:val="bottom"/>
            <w:hideMark/>
          </w:tcPr>
          <w:p w:rsidR="00756160" w:rsidRPr="005B781D" w14:paraId="44197190"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02EE6A33"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14F845A" w14:textId="77777777">
            <w:pPr>
              <w:autoSpaceDE/>
              <w:autoSpaceDN/>
              <w:jc w:val="center"/>
              <w:rPr>
                <w:rFonts w:eastAsia="Times New Roman"/>
                <w:color w:val="000000"/>
                <w:sz w:val="16"/>
                <w:szCs w:val="16"/>
              </w:rPr>
            </w:pPr>
            <w:r w:rsidRPr="005B781D">
              <w:rPr>
                <w:rFonts w:eastAsia="Times New Roman"/>
                <w:color w:val="000000"/>
                <w:sz w:val="16"/>
                <w:szCs w:val="16"/>
              </w:rPr>
              <w:t>Puerto Rico</w:t>
            </w:r>
          </w:p>
        </w:tc>
        <w:tc>
          <w:tcPr>
            <w:tcW w:w="1350" w:type="dxa"/>
            <w:tcBorders>
              <w:top w:val="nil"/>
              <w:left w:val="nil"/>
              <w:bottom w:val="single" w:sz="4" w:space="0" w:color="auto"/>
              <w:right w:val="nil"/>
            </w:tcBorders>
            <w:shd w:val="clear" w:color="000000" w:fill="FFFFFF"/>
            <w:noWrap/>
            <w:vAlign w:val="bottom"/>
            <w:hideMark/>
          </w:tcPr>
          <w:p w:rsidR="00756160" w:rsidRPr="005B781D" w14:paraId="0295393B" w14:textId="77777777">
            <w:pPr>
              <w:autoSpaceDE/>
              <w:autoSpaceDN/>
              <w:jc w:val="center"/>
              <w:rPr>
                <w:rFonts w:eastAsia="Times New Roman"/>
                <w:sz w:val="16"/>
                <w:szCs w:val="16"/>
              </w:rPr>
            </w:pPr>
            <w:r w:rsidRPr="005B781D">
              <w:rPr>
                <w:rFonts w:eastAsia="Times New Roman"/>
                <w:sz w:val="16"/>
                <w:szCs w:val="16"/>
              </w:rPr>
              <w:t>0.38</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31C13951"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5CC0AAB3"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66617070"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4323699B" w14:textId="77777777">
            <w:pPr>
              <w:autoSpaceDE/>
              <w:autoSpaceDN/>
              <w:jc w:val="center"/>
              <w:rPr>
                <w:rFonts w:eastAsia="Times New Roman"/>
                <w:sz w:val="16"/>
                <w:szCs w:val="16"/>
              </w:rPr>
            </w:pPr>
            <w:r w:rsidRPr="005B781D">
              <w:rPr>
                <w:rFonts w:eastAsia="Times New Roman"/>
                <w:sz w:val="16"/>
                <w:szCs w:val="16"/>
              </w:rPr>
              <w:t>2</w:t>
            </w:r>
          </w:p>
        </w:tc>
        <w:tc>
          <w:tcPr>
            <w:tcW w:w="1429" w:type="dxa"/>
            <w:tcBorders>
              <w:top w:val="nil"/>
              <w:left w:val="nil"/>
              <w:bottom w:val="single" w:sz="4" w:space="0" w:color="auto"/>
              <w:right w:val="single" w:sz="4" w:space="0" w:color="auto"/>
            </w:tcBorders>
            <w:vAlign w:val="bottom"/>
            <w:hideMark/>
          </w:tcPr>
          <w:p w:rsidR="00756160" w:rsidRPr="005B781D" w14:paraId="40972EE2"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94E0544"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0F6CCEB1" w14:textId="77777777">
            <w:pPr>
              <w:autoSpaceDE/>
              <w:autoSpaceDN/>
              <w:jc w:val="center"/>
              <w:rPr>
                <w:rFonts w:eastAsia="Times New Roman"/>
                <w:color w:val="000000"/>
                <w:sz w:val="16"/>
                <w:szCs w:val="16"/>
              </w:rPr>
            </w:pPr>
            <w:r w:rsidRPr="005B781D">
              <w:rPr>
                <w:rFonts w:eastAsia="Times New Roman"/>
                <w:color w:val="000000"/>
                <w:sz w:val="16"/>
                <w:szCs w:val="16"/>
              </w:rPr>
              <w:t>U.S. Pacific Territories</w:t>
            </w:r>
          </w:p>
        </w:tc>
        <w:tc>
          <w:tcPr>
            <w:tcW w:w="1350" w:type="dxa"/>
            <w:tcBorders>
              <w:top w:val="nil"/>
              <w:left w:val="nil"/>
              <w:bottom w:val="single" w:sz="4" w:space="0" w:color="auto"/>
              <w:right w:val="nil"/>
            </w:tcBorders>
            <w:shd w:val="clear" w:color="000000" w:fill="FFFFFF"/>
            <w:noWrap/>
            <w:vAlign w:val="bottom"/>
            <w:hideMark/>
          </w:tcPr>
          <w:p w:rsidR="00756160" w:rsidRPr="005B781D" w14:paraId="5C421D90" w14:textId="77777777">
            <w:pPr>
              <w:autoSpaceDE/>
              <w:autoSpaceDN/>
              <w:jc w:val="center"/>
              <w:rPr>
                <w:rFonts w:eastAsia="Times New Roman"/>
                <w:sz w:val="16"/>
                <w:szCs w:val="16"/>
              </w:rPr>
            </w:pPr>
            <w:r w:rsidRPr="005B781D">
              <w:rPr>
                <w:rFonts w:eastAsia="Times New Roman"/>
                <w:sz w:val="16"/>
                <w:szCs w:val="16"/>
              </w:rPr>
              <w:t>0.57</w:t>
            </w:r>
          </w:p>
        </w:tc>
        <w:tc>
          <w:tcPr>
            <w:tcW w:w="1176" w:type="dxa"/>
            <w:tcBorders>
              <w:top w:val="nil"/>
              <w:left w:val="single" w:sz="4" w:space="0" w:color="auto"/>
              <w:bottom w:val="nil"/>
              <w:right w:val="single" w:sz="4" w:space="0" w:color="auto"/>
            </w:tcBorders>
            <w:shd w:val="clear" w:color="000000" w:fill="D9D9D9"/>
            <w:noWrap/>
            <w:vAlign w:val="bottom"/>
            <w:hideMark/>
          </w:tcPr>
          <w:p w:rsidR="00756160" w:rsidRPr="005B781D" w14:paraId="6F75162B"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79E06F4C"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321AA43B"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431B3B62" w14:textId="77777777">
            <w:pPr>
              <w:autoSpaceDE/>
              <w:autoSpaceDN/>
              <w:jc w:val="center"/>
              <w:rPr>
                <w:rFonts w:eastAsia="Times New Roman"/>
                <w:sz w:val="16"/>
                <w:szCs w:val="16"/>
              </w:rPr>
            </w:pPr>
            <w:r w:rsidRPr="005B781D">
              <w:rPr>
                <w:rFonts w:eastAsia="Times New Roman"/>
                <w:sz w:val="16"/>
                <w:szCs w:val="16"/>
              </w:rPr>
              <w:t>3</w:t>
            </w:r>
          </w:p>
        </w:tc>
        <w:tc>
          <w:tcPr>
            <w:tcW w:w="1429" w:type="dxa"/>
            <w:tcBorders>
              <w:top w:val="nil"/>
              <w:left w:val="nil"/>
              <w:bottom w:val="single" w:sz="4" w:space="0" w:color="auto"/>
              <w:right w:val="single" w:sz="4" w:space="0" w:color="auto"/>
            </w:tcBorders>
            <w:vAlign w:val="bottom"/>
            <w:hideMark/>
          </w:tcPr>
          <w:p w:rsidR="00756160" w:rsidRPr="005B781D" w14:paraId="06C1F12D"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3AAA41BD" w14:textId="77777777" w:rsidTr="005D09BA">
        <w:tblPrEx>
          <w:tblW w:w="9260" w:type="dxa"/>
          <w:tblLook w:val="04A0"/>
        </w:tblPrEx>
        <w:trPr>
          <w:trHeight w:val="290"/>
        </w:trPr>
        <w:tc>
          <w:tcPr>
            <w:tcW w:w="1880" w:type="dxa"/>
            <w:tcBorders>
              <w:top w:val="nil"/>
              <w:left w:val="single" w:sz="4" w:space="0" w:color="auto"/>
              <w:bottom w:val="single" w:sz="4" w:space="0" w:color="auto"/>
              <w:right w:val="single" w:sz="4" w:space="0" w:color="auto"/>
            </w:tcBorders>
            <w:vAlign w:val="bottom"/>
            <w:hideMark/>
          </w:tcPr>
          <w:p w:rsidR="00756160" w:rsidRPr="005B781D" w14:paraId="212CEB34" w14:textId="77777777">
            <w:pPr>
              <w:autoSpaceDE/>
              <w:autoSpaceDN/>
              <w:jc w:val="center"/>
              <w:rPr>
                <w:rFonts w:eastAsia="Times New Roman"/>
                <w:color w:val="000000"/>
                <w:sz w:val="16"/>
                <w:szCs w:val="16"/>
              </w:rPr>
            </w:pPr>
            <w:r w:rsidRPr="005B781D">
              <w:rPr>
                <w:rFonts w:eastAsia="Times New Roman"/>
                <w:color w:val="000000"/>
                <w:sz w:val="16"/>
                <w:szCs w:val="16"/>
              </w:rPr>
              <w:t>U.S. Virgin Islands</w:t>
            </w:r>
          </w:p>
        </w:tc>
        <w:tc>
          <w:tcPr>
            <w:tcW w:w="1350" w:type="dxa"/>
            <w:tcBorders>
              <w:top w:val="nil"/>
              <w:left w:val="nil"/>
              <w:bottom w:val="single" w:sz="4" w:space="0" w:color="auto"/>
              <w:right w:val="nil"/>
            </w:tcBorders>
            <w:shd w:val="clear" w:color="000000" w:fill="FFFFFF"/>
            <w:noWrap/>
            <w:vAlign w:val="bottom"/>
            <w:hideMark/>
          </w:tcPr>
          <w:p w:rsidR="00756160" w:rsidRPr="005B781D" w14:paraId="5347FA23" w14:textId="77777777">
            <w:pPr>
              <w:autoSpaceDE/>
              <w:autoSpaceDN/>
              <w:jc w:val="center"/>
              <w:rPr>
                <w:rFonts w:eastAsia="Times New Roman"/>
                <w:sz w:val="16"/>
                <w:szCs w:val="16"/>
              </w:rPr>
            </w:pPr>
            <w:r w:rsidRPr="005B781D">
              <w:rPr>
                <w:rFonts w:eastAsia="Times New Roman"/>
                <w:sz w:val="16"/>
                <w:szCs w:val="16"/>
              </w:rPr>
              <w:t>0.19</w:t>
            </w:r>
          </w:p>
        </w:tc>
        <w:tc>
          <w:tcPr>
            <w:tcW w:w="1176" w:type="dxa"/>
            <w:tcBorders>
              <w:top w:val="nil"/>
              <w:left w:val="single" w:sz="4" w:space="0" w:color="auto"/>
              <w:bottom w:val="single" w:sz="4" w:space="0" w:color="auto"/>
              <w:right w:val="single" w:sz="4" w:space="0" w:color="auto"/>
            </w:tcBorders>
            <w:shd w:val="clear" w:color="000000" w:fill="D9D9D9"/>
            <w:noWrap/>
            <w:vAlign w:val="bottom"/>
            <w:hideMark/>
          </w:tcPr>
          <w:p w:rsidR="00756160" w:rsidRPr="005B781D" w14:paraId="0B53FF2A" w14:textId="77777777">
            <w:pPr>
              <w:autoSpaceDE/>
              <w:autoSpaceDN/>
              <w:jc w:val="center"/>
              <w:rPr>
                <w:rFonts w:eastAsia="Times New Roman"/>
                <w:color w:val="D9D9D9"/>
                <w:sz w:val="16"/>
                <w:szCs w:val="16"/>
              </w:rPr>
            </w:pPr>
          </w:p>
        </w:tc>
        <w:tc>
          <w:tcPr>
            <w:tcW w:w="990" w:type="dxa"/>
            <w:tcBorders>
              <w:top w:val="nil"/>
              <w:left w:val="nil"/>
              <w:bottom w:val="single" w:sz="4" w:space="0" w:color="auto"/>
              <w:right w:val="single" w:sz="4" w:space="0" w:color="auto"/>
            </w:tcBorders>
            <w:noWrap/>
            <w:vAlign w:val="bottom"/>
            <w:hideMark/>
          </w:tcPr>
          <w:p w:rsidR="00756160" w:rsidRPr="005B781D" w14:paraId="307097B2" w14:textId="77777777">
            <w:pPr>
              <w:autoSpaceDE/>
              <w:autoSpaceDN/>
              <w:jc w:val="center"/>
              <w:rPr>
                <w:rFonts w:eastAsia="Times New Roman"/>
                <w:sz w:val="16"/>
                <w:szCs w:val="16"/>
              </w:rPr>
            </w:pPr>
            <w:r w:rsidRPr="005B781D">
              <w:rPr>
                <w:rFonts w:eastAsia="Times New Roman"/>
                <w:sz w:val="16"/>
                <w:szCs w:val="16"/>
              </w:rPr>
              <w:t>0</w:t>
            </w:r>
          </w:p>
        </w:tc>
        <w:tc>
          <w:tcPr>
            <w:tcW w:w="1080" w:type="dxa"/>
            <w:tcBorders>
              <w:top w:val="nil"/>
              <w:left w:val="nil"/>
              <w:bottom w:val="single" w:sz="4" w:space="0" w:color="auto"/>
              <w:right w:val="single" w:sz="4" w:space="0" w:color="auto"/>
            </w:tcBorders>
            <w:noWrap/>
            <w:vAlign w:val="bottom"/>
            <w:hideMark/>
          </w:tcPr>
          <w:p w:rsidR="00756160" w:rsidRPr="005B781D" w14:paraId="6A784C4C" w14:textId="77777777">
            <w:pPr>
              <w:autoSpaceDE/>
              <w:autoSpaceDN/>
              <w:jc w:val="center"/>
              <w:rPr>
                <w:rFonts w:eastAsia="Times New Roman"/>
                <w:sz w:val="16"/>
                <w:szCs w:val="16"/>
              </w:rPr>
            </w:pPr>
            <w:r w:rsidRPr="005B781D">
              <w:rPr>
                <w:rFonts w:eastAsia="Times New Roman"/>
                <w:sz w:val="16"/>
                <w:szCs w:val="16"/>
              </w:rPr>
              <w:t>0</w:t>
            </w:r>
          </w:p>
        </w:tc>
        <w:tc>
          <w:tcPr>
            <w:tcW w:w="1355" w:type="dxa"/>
            <w:tcBorders>
              <w:top w:val="nil"/>
              <w:left w:val="nil"/>
              <w:bottom w:val="single" w:sz="4" w:space="0" w:color="auto"/>
              <w:right w:val="single" w:sz="4" w:space="0" w:color="auto"/>
            </w:tcBorders>
            <w:noWrap/>
            <w:vAlign w:val="bottom"/>
            <w:hideMark/>
          </w:tcPr>
          <w:p w:rsidR="00756160" w:rsidRPr="005B781D" w14:paraId="2413E823" w14:textId="77777777">
            <w:pPr>
              <w:autoSpaceDE/>
              <w:autoSpaceDN/>
              <w:jc w:val="center"/>
              <w:rPr>
                <w:rFonts w:eastAsia="Times New Roman"/>
                <w:sz w:val="16"/>
                <w:szCs w:val="16"/>
              </w:rPr>
            </w:pPr>
            <w:r w:rsidRPr="005B781D">
              <w:rPr>
                <w:rFonts w:eastAsia="Times New Roman"/>
                <w:sz w:val="16"/>
                <w:szCs w:val="16"/>
              </w:rPr>
              <w:t>1</w:t>
            </w:r>
          </w:p>
        </w:tc>
        <w:tc>
          <w:tcPr>
            <w:tcW w:w="1429" w:type="dxa"/>
            <w:tcBorders>
              <w:top w:val="nil"/>
              <w:left w:val="nil"/>
              <w:bottom w:val="single" w:sz="4" w:space="0" w:color="auto"/>
              <w:right w:val="single" w:sz="4" w:space="0" w:color="auto"/>
            </w:tcBorders>
            <w:vAlign w:val="bottom"/>
            <w:hideMark/>
          </w:tcPr>
          <w:p w:rsidR="00756160" w:rsidRPr="005B781D" w14:paraId="2ABD491A"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54C7C935" w14:textId="77777777" w:rsidTr="005D09BA">
        <w:tblPrEx>
          <w:tblW w:w="9260" w:type="dxa"/>
          <w:tblLook w:val="04A0"/>
        </w:tblPrEx>
        <w:trPr>
          <w:trHeight w:val="290"/>
        </w:trPr>
        <w:tc>
          <w:tcPr>
            <w:tcW w:w="1880" w:type="dxa"/>
            <w:tcBorders>
              <w:top w:val="single" w:sz="4" w:space="0" w:color="auto"/>
              <w:left w:val="single" w:sz="4" w:space="0" w:color="auto"/>
              <w:bottom w:val="single" w:sz="4" w:space="0" w:color="auto"/>
              <w:right w:val="single" w:sz="4" w:space="0" w:color="auto"/>
            </w:tcBorders>
            <w:vAlign w:val="bottom"/>
            <w:hideMark/>
          </w:tcPr>
          <w:p w:rsidR="00756160" w:rsidRPr="005B781D" w14:paraId="30A8BA97" w14:textId="5731313E">
            <w:pPr>
              <w:autoSpaceDE/>
              <w:autoSpaceDN/>
              <w:jc w:val="center"/>
              <w:rPr>
                <w:rFonts w:eastAsia="Times New Roman"/>
                <w:color w:val="000000"/>
                <w:sz w:val="16"/>
                <w:szCs w:val="16"/>
              </w:rPr>
            </w:pPr>
            <w:r w:rsidRPr="005B781D">
              <w:rPr>
                <w:rFonts w:eastAsia="Times New Roman"/>
                <w:color w:val="000000"/>
                <w:sz w:val="16"/>
                <w:szCs w:val="16"/>
              </w:rPr>
              <w:t>Total U</w:t>
            </w:r>
            <w:r w:rsidR="00904212">
              <w:rPr>
                <w:rFonts w:eastAsia="Times New Roman"/>
                <w:color w:val="000000"/>
                <w:sz w:val="16"/>
                <w:szCs w:val="16"/>
              </w:rPr>
              <w:t>.</w:t>
            </w:r>
            <w:r w:rsidRPr="005B781D">
              <w:rPr>
                <w:rFonts w:eastAsia="Times New Roman"/>
                <w:color w:val="000000"/>
                <w:sz w:val="16"/>
                <w:szCs w:val="16"/>
              </w:rPr>
              <w:t>S</w:t>
            </w:r>
            <w:r w:rsidR="00904212">
              <w:rPr>
                <w:rFonts w:eastAsia="Times New Roman"/>
                <w:color w:val="000000"/>
                <w:sz w:val="16"/>
                <w:szCs w:val="16"/>
              </w:rPr>
              <w:t>.</w:t>
            </w:r>
            <w:r w:rsidRPr="005B781D">
              <w:rPr>
                <w:rFonts w:eastAsia="Times New Roman"/>
                <w:color w:val="000000"/>
                <w:sz w:val="16"/>
                <w:szCs w:val="16"/>
              </w:rPr>
              <w:t xml:space="preserve"> Applications</w:t>
            </w:r>
          </w:p>
        </w:tc>
        <w:tc>
          <w:tcPr>
            <w:tcW w:w="1350" w:type="dxa"/>
            <w:tcBorders>
              <w:top w:val="single" w:sz="4" w:space="0" w:color="auto"/>
              <w:left w:val="nil"/>
              <w:bottom w:val="single" w:sz="4" w:space="0" w:color="auto"/>
              <w:right w:val="single" w:sz="4" w:space="0" w:color="auto"/>
            </w:tcBorders>
            <w:shd w:val="clear" w:color="000000" w:fill="FFFFFF"/>
            <w:noWrap/>
            <w:vAlign w:val="bottom"/>
            <w:hideMark/>
          </w:tcPr>
          <w:p w:rsidR="00756160" w:rsidRPr="005B781D" w14:paraId="540AFEE8" w14:textId="77777777">
            <w:pPr>
              <w:autoSpaceDE/>
              <w:autoSpaceDN/>
              <w:jc w:val="center"/>
              <w:rPr>
                <w:rFonts w:eastAsia="Times New Roman"/>
                <w:sz w:val="16"/>
                <w:szCs w:val="16"/>
              </w:rPr>
            </w:pPr>
            <w:r w:rsidRPr="005B781D">
              <w:rPr>
                <w:rFonts w:eastAsia="Times New Roman"/>
                <w:sz w:val="16"/>
                <w:szCs w:val="16"/>
              </w:rPr>
              <w:t>166.50</w:t>
            </w:r>
          </w:p>
        </w:tc>
        <w:tc>
          <w:tcPr>
            <w:tcW w:w="1176" w:type="dxa"/>
            <w:tcBorders>
              <w:top w:val="single" w:sz="4" w:space="0" w:color="auto"/>
              <w:left w:val="nil"/>
              <w:bottom w:val="single" w:sz="4" w:space="0" w:color="auto"/>
              <w:right w:val="single" w:sz="4" w:space="0" w:color="auto"/>
            </w:tcBorders>
            <w:shd w:val="clear" w:color="000000" w:fill="FFFFFF"/>
            <w:noWrap/>
            <w:vAlign w:val="bottom"/>
            <w:hideMark/>
          </w:tcPr>
          <w:p w:rsidR="00756160" w:rsidRPr="005B781D" w14:paraId="44E1F222" w14:textId="77777777">
            <w:pPr>
              <w:autoSpaceDE/>
              <w:autoSpaceDN/>
              <w:jc w:val="center"/>
              <w:rPr>
                <w:rFonts w:eastAsia="Times New Roman"/>
                <w:sz w:val="16"/>
                <w:szCs w:val="16"/>
              </w:rPr>
            </w:pPr>
            <w:r w:rsidRPr="005B781D">
              <w:rPr>
                <w:rFonts w:eastAsia="Times New Roman"/>
                <w:sz w:val="16"/>
                <w:szCs w:val="16"/>
              </w:rPr>
              <w:t>PERT</w:t>
            </w:r>
          </w:p>
        </w:tc>
        <w:tc>
          <w:tcPr>
            <w:tcW w:w="990" w:type="dxa"/>
            <w:tcBorders>
              <w:top w:val="single" w:sz="4" w:space="0" w:color="auto"/>
              <w:left w:val="nil"/>
              <w:bottom w:val="single" w:sz="4" w:space="0" w:color="auto"/>
              <w:right w:val="single" w:sz="4" w:space="0" w:color="auto"/>
            </w:tcBorders>
            <w:noWrap/>
            <w:vAlign w:val="bottom"/>
            <w:hideMark/>
          </w:tcPr>
          <w:p w:rsidR="00756160" w:rsidRPr="005B781D" w14:paraId="2B12D2C0" w14:textId="77777777">
            <w:pPr>
              <w:autoSpaceDE/>
              <w:autoSpaceDN/>
              <w:jc w:val="center"/>
              <w:rPr>
                <w:rFonts w:eastAsia="Times New Roman"/>
                <w:sz w:val="16"/>
                <w:szCs w:val="16"/>
              </w:rPr>
            </w:pPr>
            <w:r w:rsidRPr="005B781D">
              <w:rPr>
                <w:rFonts w:eastAsia="Times New Roman"/>
                <w:sz w:val="16"/>
                <w:szCs w:val="16"/>
              </w:rPr>
              <w:t>5</w:t>
            </w:r>
          </w:p>
        </w:tc>
        <w:tc>
          <w:tcPr>
            <w:tcW w:w="1080" w:type="dxa"/>
            <w:tcBorders>
              <w:top w:val="single" w:sz="4" w:space="0" w:color="auto"/>
              <w:left w:val="nil"/>
              <w:bottom w:val="single" w:sz="4" w:space="0" w:color="auto"/>
              <w:right w:val="single" w:sz="4" w:space="0" w:color="auto"/>
            </w:tcBorders>
            <w:noWrap/>
            <w:vAlign w:val="bottom"/>
            <w:hideMark/>
          </w:tcPr>
          <w:p w:rsidR="00756160" w:rsidRPr="005B781D" w14:paraId="0C2BE5C5" w14:textId="77777777">
            <w:pPr>
              <w:autoSpaceDE/>
              <w:autoSpaceDN/>
              <w:jc w:val="center"/>
              <w:rPr>
                <w:rFonts w:eastAsia="Times New Roman"/>
                <w:sz w:val="16"/>
                <w:szCs w:val="16"/>
              </w:rPr>
            </w:pPr>
            <w:r w:rsidRPr="005B781D">
              <w:rPr>
                <w:rFonts w:eastAsia="Times New Roman"/>
                <w:sz w:val="16"/>
                <w:szCs w:val="16"/>
              </w:rPr>
              <w:t>28</w:t>
            </w:r>
          </w:p>
        </w:tc>
        <w:tc>
          <w:tcPr>
            <w:tcW w:w="1355" w:type="dxa"/>
            <w:tcBorders>
              <w:top w:val="single" w:sz="4" w:space="0" w:color="auto"/>
              <w:left w:val="nil"/>
              <w:bottom w:val="single" w:sz="4" w:space="0" w:color="auto"/>
              <w:right w:val="single" w:sz="4" w:space="0" w:color="auto"/>
            </w:tcBorders>
            <w:noWrap/>
            <w:vAlign w:val="bottom"/>
            <w:hideMark/>
          </w:tcPr>
          <w:p w:rsidR="00756160" w:rsidRPr="005B781D" w14:paraId="0B1A7E20" w14:textId="77777777">
            <w:pPr>
              <w:autoSpaceDE/>
              <w:autoSpaceDN/>
              <w:jc w:val="center"/>
              <w:rPr>
                <w:rFonts w:eastAsia="Times New Roman"/>
                <w:sz w:val="16"/>
                <w:szCs w:val="16"/>
              </w:rPr>
            </w:pPr>
            <w:r w:rsidRPr="005B781D">
              <w:rPr>
                <w:rFonts w:eastAsia="Times New Roman"/>
                <w:sz w:val="16"/>
                <w:szCs w:val="16"/>
              </w:rPr>
              <w:t>882</w:t>
            </w:r>
          </w:p>
        </w:tc>
        <w:tc>
          <w:tcPr>
            <w:tcW w:w="1429" w:type="dxa"/>
            <w:tcBorders>
              <w:top w:val="single" w:sz="4" w:space="0" w:color="auto"/>
              <w:left w:val="nil"/>
              <w:bottom w:val="single" w:sz="4" w:space="0" w:color="auto"/>
              <w:right w:val="single" w:sz="4" w:space="0" w:color="auto"/>
            </w:tcBorders>
            <w:vAlign w:val="bottom"/>
            <w:hideMark/>
          </w:tcPr>
          <w:p w:rsidR="00756160" w:rsidRPr="005B781D" w14:paraId="12655703" w14:textId="77777777">
            <w:pPr>
              <w:autoSpaceDE/>
              <w:autoSpaceDN/>
              <w:jc w:val="center"/>
              <w:rPr>
                <w:rFonts w:eastAsia="Times New Roman"/>
                <w:color w:val="000000"/>
                <w:sz w:val="16"/>
                <w:szCs w:val="16"/>
              </w:rPr>
            </w:pPr>
            <w:r w:rsidRPr="005B781D">
              <w:rPr>
                <w:rFonts w:eastAsia="Times New Roman"/>
                <w:color w:val="000000"/>
                <w:sz w:val="16"/>
                <w:szCs w:val="16"/>
              </w:rPr>
              <w:t>Staff Model Assumptions</w:t>
            </w:r>
          </w:p>
        </w:tc>
      </w:tr>
      <w:tr w14:paraId="2D62B350" w14:textId="77777777" w:rsidTr="008A336D">
        <w:tblPrEx>
          <w:tblW w:w="9260" w:type="dxa"/>
          <w:tblLook w:val="04A0"/>
        </w:tblPrEx>
        <w:trPr>
          <w:trHeight w:val="290"/>
        </w:trPr>
        <w:tc>
          <w:tcPr>
            <w:tcW w:w="9260" w:type="dxa"/>
            <w:gridSpan w:val="7"/>
            <w:tcBorders>
              <w:top w:val="single" w:sz="4" w:space="0" w:color="auto"/>
              <w:left w:val="single" w:sz="4" w:space="0" w:color="auto"/>
              <w:bottom w:val="single" w:sz="4" w:space="0" w:color="auto"/>
              <w:right w:val="single" w:sz="4" w:space="0" w:color="auto"/>
            </w:tcBorders>
            <w:vAlign w:val="bottom"/>
          </w:tcPr>
          <w:p w:rsidR="007F2D63" w14:paraId="3F345359" w14:textId="022AF966">
            <w:pPr>
              <w:autoSpaceDE/>
              <w:autoSpaceDN/>
              <w:rPr>
                <w:rFonts w:eastAsia="Times New Roman"/>
                <w:color w:val="000000"/>
                <w:sz w:val="16"/>
                <w:szCs w:val="16"/>
              </w:rPr>
            </w:pPr>
            <w:r>
              <w:rPr>
                <w:rFonts w:eastAsia="Times New Roman"/>
                <w:color w:val="000000"/>
                <w:sz w:val="16"/>
                <w:szCs w:val="16"/>
              </w:rPr>
              <w:t>*</w:t>
            </w:r>
            <w:r w:rsidR="00FB0B8C">
              <w:rPr>
                <w:rFonts w:eastAsia="Times New Roman"/>
                <w:color w:val="000000"/>
                <w:sz w:val="16"/>
                <w:szCs w:val="16"/>
              </w:rPr>
              <w:t>PERT distributions were used to describe stochastic variables</w:t>
            </w:r>
            <w:r w:rsidR="00F31801">
              <w:rPr>
                <w:rFonts w:eastAsia="Times New Roman"/>
                <w:color w:val="000000"/>
                <w:sz w:val="16"/>
                <w:szCs w:val="16"/>
              </w:rPr>
              <w:t>, with the</w:t>
            </w:r>
            <w:r w:rsidR="00200C30">
              <w:rPr>
                <w:rFonts w:eastAsia="Times New Roman"/>
                <w:color w:val="000000"/>
                <w:sz w:val="16"/>
                <w:szCs w:val="16"/>
              </w:rPr>
              <w:t xml:space="preserve"> distributions defined by the low, best, and high estimates provided in </w:t>
            </w:r>
            <w:r w:rsidR="000925DF">
              <w:rPr>
                <w:rFonts w:eastAsia="Times New Roman"/>
                <w:color w:val="000000"/>
                <w:sz w:val="16"/>
                <w:szCs w:val="16"/>
              </w:rPr>
              <w:t>the table.</w:t>
            </w:r>
            <w:r w:rsidR="00F04C18">
              <w:rPr>
                <w:rFonts w:eastAsia="Times New Roman"/>
                <w:color w:val="000000"/>
                <w:sz w:val="16"/>
                <w:szCs w:val="16"/>
              </w:rPr>
              <w:t xml:space="preserve"> These PERT parameters </w:t>
            </w:r>
            <w:r w:rsidR="00C12D60">
              <w:rPr>
                <w:rFonts w:eastAsia="Times New Roman"/>
                <w:color w:val="000000"/>
                <w:sz w:val="16"/>
                <w:szCs w:val="16"/>
              </w:rPr>
              <w:t>are also referred to as minimum, most likely (or mode), and maximum</w:t>
            </w:r>
            <w:r w:rsidR="00CA7E73">
              <w:rPr>
                <w:rFonts w:eastAsia="Times New Roman"/>
                <w:color w:val="000000"/>
                <w:sz w:val="16"/>
                <w:szCs w:val="16"/>
              </w:rPr>
              <w:t xml:space="preserve"> values.</w:t>
            </w:r>
          </w:p>
          <w:p w:rsidR="00AC7F8A" w:rsidRPr="005B781D" w:rsidP="004D0D14" w14:paraId="7C0A2CB9" w14:textId="1B15630E">
            <w:pPr>
              <w:autoSpaceDE/>
              <w:autoSpaceDN/>
              <w:rPr>
                <w:rFonts w:eastAsia="Times New Roman"/>
                <w:color w:val="000000"/>
                <w:sz w:val="16"/>
                <w:szCs w:val="16"/>
              </w:rPr>
            </w:pPr>
            <w:r>
              <w:rPr>
                <w:rFonts w:eastAsia="Times New Roman"/>
                <w:color w:val="000000"/>
                <w:sz w:val="16"/>
                <w:szCs w:val="16"/>
              </w:rPr>
              <w:t>*</w:t>
            </w:r>
            <w:r w:rsidR="0076682C">
              <w:rPr>
                <w:rFonts w:eastAsia="Times New Roman"/>
                <w:color w:val="000000"/>
                <w:sz w:val="16"/>
                <w:szCs w:val="16"/>
              </w:rPr>
              <w:t>*</w:t>
            </w:r>
            <w:r w:rsidR="00D376FE">
              <w:rPr>
                <w:rFonts w:eastAsia="Times New Roman"/>
                <w:color w:val="000000"/>
                <w:sz w:val="16"/>
                <w:szCs w:val="16"/>
              </w:rPr>
              <w:t>A PERT distribution was assumed for the</w:t>
            </w:r>
            <w:r w:rsidR="006F497A">
              <w:rPr>
                <w:rFonts w:eastAsia="Times New Roman"/>
                <w:color w:val="000000"/>
                <w:sz w:val="16"/>
                <w:szCs w:val="16"/>
              </w:rPr>
              <w:t xml:space="preserve"> cumulative total fusion machines licensed in the </w:t>
            </w:r>
            <w:r w:rsidR="000C67C9">
              <w:rPr>
                <w:rFonts w:eastAsia="Times New Roman"/>
                <w:color w:val="000000"/>
                <w:sz w:val="16"/>
                <w:szCs w:val="16"/>
              </w:rPr>
              <w:t>United States</w:t>
            </w:r>
            <w:r w:rsidR="00561988">
              <w:rPr>
                <w:rFonts w:eastAsia="Times New Roman"/>
                <w:color w:val="000000"/>
                <w:sz w:val="16"/>
                <w:szCs w:val="16"/>
              </w:rPr>
              <w:t>. A PERT distribution is defined by a low, best</w:t>
            </w:r>
            <w:r w:rsidR="00091D6D">
              <w:rPr>
                <w:rFonts w:eastAsia="Times New Roman"/>
                <w:color w:val="000000"/>
                <w:sz w:val="16"/>
                <w:szCs w:val="16"/>
              </w:rPr>
              <w:t>,</w:t>
            </w:r>
            <w:r w:rsidR="00561988">
              <w:rPr>
                <w:rFonts w:eastAsia="Times New Roman"/>
                <w:color w:val="000000"/>
                <w:sz w:val="16"/>
                <w:szCs w:val="16"/>
              </w:rPr>
              <w:t xml:space="preserve"> and </w:t>
            </w:r>
            <w:r w:rsidR="00817B13">
              <w:rPr>
                <w:rFonts w:eastAsia="Times New Roman"/>
                <w:color w:val="000000"/>
                <w:sz w:val="16"/>
                <w:szCs w:val="16"/>
              </w:rPr>
              <w:t>high</w:t>
            </w:r>
            <w:r w:rsidR="00561988">
              <w:rPr>
                <w:rFonts w:eastAsia="Times New Roman"/>
                <w:color w:val="000000"/>
                <w:sz w:val="16"/>
                <w:szCs w:val="16"/>
              </w:rPr>
              <w:t xml:space="preserve"> estimate</w:t>
            </w:r>
            <w:r w:rsidR="00817B13">
              <w:rPr>
                <w:rFonts w:eastAsia="Times New Roman"/>
                <w:color w:val="000000"/>
                <w:sz w:val="16"/>
                <w:szCs w:val="16"/>
              </w:rPr>
              <w:t>, which were</w:t>
            </w:r>
            <w:r w:rsidR="001B4947">
              <w:rPr>
                <w:rFonts w:eastAsia="Times New Roman"/>
                <w:color w:val="000000"/>
                <w:sz w:val="16"/>
                <w:szCs w:val="16"/>
              </w:rPr>
              <w:t xml:space="preserve"> summed from the low, best</w:t>
            </w:r>
            <w:r w:rsidR="00AA52A0">
              <w:rPr>
                <w:rFonts w:eastAsia="Times New Roman"/>
                <w:color w:val="000000"/>
                <w:sz w:val="16"/>
                <w:szCs w:val="16"/>
              </w:rPr>
              <w:t>,</w:t>
            </w:r>
            <w:r w:rsidR="001B4947">
              <w:rPr>
                <w:rFonts w:eastAsia="Times New Roman"/>
                <w:color w:val="000000"/>
                <w:sz w:val="16"/>
                <w:szCs w:val="16"/>
              </w:rPr>
              <w:t xml:space="preserve"> and high estimates</w:t>
            </w:r>
            <w:r w:rsidR="00A07E21">
              <w:rPr>
                <w:rFonts w:eastAsia="Times New Roman"/>
                <w:color w:val="000000"/>
                <w:sz w:val="16"/>
                <w:szCs w:val="16"/>
              </w:rPr>
              <w:t>.</w:t>
            </w:r>
            <w:r w:rsidR="00C92EA5">
              <w:rPr>
                <w:rFonts w:eastAsia="Times New Roman"/>
                <w:color w:val="000000"/>
                <w:sz w:val="16"/>
                <w:szCs w:val="16"/>
              </w:rPr>
              <w:t xml:space="preserve"> </w:t>
            </w:r>
            <w:r w:rsidRPr="0076682C" w:rsidR="0076682C">
              <w:rPr>
                <w:rFonts w:eastAsia="Times New Roman"/>
                <w:color w:val="000000"/>
                <w:sz w:val="16"/>
                <w:szCs w:val="16"/>
              </w:rPr>
              <w:t xml:space="preserve">The low estimate </w:t>
            </w:r>
            <w:r w:rsidR="00C5608D">
              <w:rPr>
                <w:rFonts w:eastAsia="Times New Roman"/>
                <w:color w:val="000000"/>
                <w:sz w:val="16"/>
                <w:szCs w:val="16"/>
              </w:rPr>
              <w:t>f</w:t>
            </w:r>
            <w:r w:rsidR="00A07E21">
              <w:rPr>
                <w:rFonts w:eastAsia="Times New Roman"/>
                <w:color w:val="000000"/>
                <w:sz w:val="16"/>
                <w:szCs w:val="16"/>
              </w:rPr>
              <w:t>o</w:t>
            </w:r>
            <w:r w:rsidR="00C5608D">
              <w:rPr>
                <w:rFonts w:eastAsia="Times New Roman"/>
                <w:color w:val="000000"/>
                <w:sz w:val="16"/>
                <w:szCs w:val="16"/>
              </w:rPr>
              <w:t xml:space="preserve">r each </w:t>
            </w:r>
            <w:r w:rsidR="00136C93">
              <w:rPr>
                <w:rFonts w:eastAsia="Times New Roman"/>
                <w:color w:val="000000"/>
                <w:sz w:val="16"/>
                <w:szCs w:val="16"/>
              </w:rPr>
              <w:t>S</w:t>
            </w:r>
            <w:r w:rsidR="00C5608D">
              <w:rPr>
                <w:rFonts w:eastAsia="Times New Roman"/>
                <w:color w:val="000000"/>
                <w:sz w:val="16"/>
                <w:szCs w:val="16"/>
              </w:rPr>
              <w:t xml:space="preserve">tate </w:t>
            </w:r>
            <w:r w:rsidRPr="0076682C" w:rsidR="0076682C">
              <w:rPr>
                <w:rFonts w:eastAsia="Times New Roman"/>
                <w:color w:val="000000"/>
                <w:sz w:val="16"/>
                <w:szCs w:val="16"/>
              </w:rPr>
              <w:t xml:space="preserve">is based on the anticipated near-term number of expected fusion machines. The best estimate is biased toward the low estimate because of the risk of failure of a newly emerging technology. The </w:t>
            </w:r>
            <w:r w:rsidRPr="0076682C" w:rsidR="0076682C">
              <w:rPr>
                <w:rFonts w:eastAsia="Times New Roman"/>
                <w:color w:val="000000"/>
                <w:sz w:val="16"/>
                <w:szCs w:val="16"/>
              </w:rPr>
              <w:t>high</w:t>
            </w:r>
            <w:r w:rsidRPr="0076682C" w:rsidR="0076682C">
              <w:rPr>
                <w:rFonts w:eastAsia="Times New Roman"/>
                <w:color w:val="000000"/>
                <w:sz w:val="16"/>
                <w:szCs w:val="16"/>
              </w:rPr>
              <w:t xml:space="preserve"> estimate is the total number of electrical utility sector CCGT plants </w:t>
            </w:r>
            <w:r w:rsidRPr="0076682C" w:rsidR="0076682C">
              <w:rPr>
                <w:rFonts w:eastAsia="Times New Roman"/>
                <w:color w:val="000000"/>
                <w:sz w:val="16"/>
                <w:szCs w:val="16"/>
              </w:rPr>
              <w:t>operating</w:t>
            </w:r>
            <w:r w:rsidRPr="0076682C" w:rsidR="0076682C">
              <w:rPr>
                <w:rFonts w:eastAsia="Times New Roman"/>
                <w:color w:val="000000"/>
                <w:sz w:val="16"/>
                <w:szCs w:val="16"/>
              </w:rPr>
              <w:t xml:space="preserve"> in the </w:t>
            </w:r>
            <w:r w:rsidR="00AD0EB4">
              <w:rPr>
                <w:rFonts w:eastAsia="Times New Roman"/>
                <w:color w:val="000000"/>
                <w:sz w:val="16"/>
                <w:szCs w:val="16"/>
              </w:rPr>
              <w:t>S</w:t>
            </w:r>
            <w:r w:rsidRPr="0076682C" w:rsidR="0076682C">
              <w:rPr>
                <w:rFonts w:eastAsia="Times New Roman"/>
                <w:color w:val="000000"/>
                <w:sz w:val="16"/>
                <w:szCs w:val="16"/>
              </w:rPr>
              <w:t>tate currently</w:t>
            </w:r>
            <w:r w:rsidR="007568DE">
              <w:rPr>
                <w:rFonts w:eastAsia="Times New Roman"/>
                <w:color w:val="000000"/>
                <w:sz w:val="16"/>
                <w:szCs w:val="16"/>
              </w:rPr>
              <w:t xml:space="preserve"> </w:t>
            </w:r>
            <w:r w:rsidR="00F126DC">
              <w:rPr>
                <w:rFonts w:eastAsia="Times New Roman"/>
                <w:color w:val="000000"/>
                <w:sz w:val="16"/>
                <w:szCs w:val="16"/>
              </w:rPr>
              <w:t xml:space="preserve">with </w:t>
            </w:r>
            <w:r w:rsidR="00EE7BCC">
              <w:rPr>
                <w:rFonts w:eastAsia="Times New Roman"/>
                <w:color w:val="000000"/>
                <w:sz w:val="16"/>
                <w:szCs w:val="16"/>
              </w:rPr>
              <w:t>2</w:t>
            </w:r>
            <w:r w:rsidR="00F126DC">
              <w:rPr>
                <w:rFonts w:eastAsia="Times New Roman"/>
                <w:color w:val="000000"/>
                <w:sz w:val="16"/>
                <w:szCs w:val="16"/>
              </w:rPr>
              <w:t xml:space="preserve"> assumed in </w:t>
            </w:r>
            <w:r w:rsidR="00AC172D">
              <w:rPr>
                <w:rFonts w:eastAsia="Times New Roman"/>
                <w:color w:val="000000"/>
                <w:sz w:val="16"/>
                <w:szCs w:val="16"/>
              </w:rPr>
              <w:t>S</w:t>
            </w:r>
            <w:r w:rsidR="00F126DC">
              <w:rPr>
                <w:rFonts w:eastAsia="Times New Roman"/>
                <w:color w:val="000000"/>
                <w:sz w:val="16"/>
                <w:szCs w:val="16"/>
              </w:rPr>
              <w:t>tates without CCGT plants</w:t>
            </w:r>
            <w:r w:rsidR="000B4CE2">
              <w:rPr>
                <w:rFonts w:eastAsia="Times New Roman"/>
                <w:color w:val="000000"/>
                <w:sz w:val="16"/>
                <w:szCs w:val="16"/>
              </w:rPr>
              <w:t xml:space="preserve"> and Puerto Rico</w:t>
            </w:r>
            <w:r w:rsidRPr="0076682C" w:rsidR="0076682C">
              <w:rPr>
                <w:rFonts w:eastAsia="Times New Roman"/>
                <w:color w:val="000000"/>
                <w:sz w:val="16"/>
                <w:szCs w:val="16"/>
              </w:rPr>
              <w:t>.</w:t>
            </w:r>
            <w:r w:rsidR="00FD6B91">
              <w:rPr>
                <w:rFonts w:eastAsia="Times New Roman"/>
                <w:color w:val="000000"/>
                <w:sz w:val="16"/>
                <w:szCs w:val="16"/>
              </w:rPr>
              <w:t xml:space="preserve"> Additionally</w:t>
            </w:r>
            <w:r w:rsidR="00A52830">
              <w:rPr>
                <w:rFonts w:eastAsia="Times New Roman"/>
                <w:color w:val="000000"/>
                <w:sz w:val="16"/>
                <w:szCs w:val="16"/>
              </w:rPr>
              <w:t xml:space="preserve"> for the high estimate, 3 was assumed in New Jersey</w:t>
            </w:r>
            <w:r w:rsidR="00E72BA9">
              <w:rPr>
                <w:rFonts w:eastAsia="Times New Roman"/>
                <w:color w:val="000000"/>
                <w:sz w:val="16"/>
                <w:szCs w:val="16"/>
              </w:rPr>
              <w:t xml:space="preserve"> because of </w:t>
            </w:r>
            <w:r w:rsidR="008E5B06">
              <w:rPr>
                <w:rFonts w:eastAsia="Times New Roman"/>
                <w:color w:val="000000"/>
                <w:sz w:val="16"/>
                <w:szCs w:val="16"/>
              </w:rPr>
              <w:t xml:space="preserve">fusion machine activity in the </w:t>
            </w:r>
            <w:r w:rsidR="00AD0EB4">
              <w:rPr>
                <w:rFonts w:eastAsia="Times New Roman"/>
                <w:color w:val="000000"/>
                <w:sz w:val="16"/>
                <w:szCs w:val="16"/>
              </w:rPr>
              <w:t>S</w:t>
            </w:r>
            <w:r w:rsidR="008E5B06">
              <w:rPr>
                <w:rFonts w:eastAsia="Times New Roman"/>
                <w:color w:val="000000"/>
                <w:sz w:val="16"/>
                <w:szCs w:val="16"/>
              </w:rPr>
              <w:t>tate</w:t>
            </w:r>
            <w:r w:rsidR="00EB32EA">
              <w:rPr>
                <w:rFonts w:eastAsia="Times New Roman"/>
                <w:color w:val="000000"/>
                <w:sz w:val="16"/>
                <w:szCs w:val="16"/>
              </w:rPr>
              <w:t xml:space="preserve">, 3 for </w:t>
            </w:r>
            <w:r w:rsidR="009A7B04">
              <w:rPr>
                <w:rFonts w:eastAsia="Times New Roman"/>
                <w:color w:val="000000"/>
                <w:sz w:val="16"/>
                <w:szCs w:val="16"/>
              </w:rPr>
              <w:t>U.S.</w:t>
            </w:r>
            <w:r w:rsidR="00091D6D">
              <w:rPr>
                <w:rFonts w:eastAsia="Times New Roman"/>
                <w:color w:val="000000"/>
                <w:sz w:val="16"/>
                <w:szCs w:val="16"/>
              </w:rPr>
              <w:t> </w:t>
            </w:r>
            <w:r w:rsidR="009A7B04">
              <w:rPr>
                <w:rFonts w:eastAsia="Times New Roman"/>
                <w:color w:val="000000"/>
                <w:sz w:val="16"/>
                <w:szCs w:val="16"/>
              </w:rPr>
              <w:t xml:space="preserve">Pacific Territories because of the </w:t>
            </w:r>
            <w:r w:rsidR="008A5760">
              <w:rPr>
                <w:rFonts w:eastAsia="Times New Roman"/>
                <w:color w:val="000000"/>
                <w:sz w:val="16"/>
                <w:szCs w:val="16"/>
              </w:rPr>
              <w:t>unconnected locations, and 1 for the U.S. Virgin Islands because of the small population</w:t>
            </w:r>
            <w:r w:rsidR="008E5B06">
              <w:rPr>
                <w:rFonts w:eastAsia="Times New Roman"/>
                <w:color w:val="000000"/>
                <w:sz w:val="16"/>
                <w:szCs w:val="16"/>
              </w:rPr>
              <w:t>.</w:t>
            </w:r>
            <w:r w:rsidR="00182DBB">
              <w:rPr>
                <w:rFonts w:eastAsia="Times New Roman"/>
                <w:color w:val="000000"/>
                <w:sz w:val="16"/>
                <w:szCs w:val="16"/>
              </w:rPr>
              <w:t xml:space="preserve"> The growth was distributed among </w:t>
            </w:r>
            <w:r w:rsidR="00136C93">
              <w:rPr>
                <w:rFonts w:eastAsia="Times New Roman"/>
                <w:color w:val="000000"/>
                <w:sz w:val="16"/>
                <w:szCs w:val="16"/>
              </w:rPr>
              <w:t>S</w:t>
            </w:r>
            <w:r w:rsidR="00182DBB">
              <w:rPr>
                <w:rFonts w:eastAsia="Times New Roman"/>
                <w:color w:val="000000"/>
                <w:sz w:val="16"/>
                <w:szCs w:val="16"/>
              </w:rPr>
              <w:t>tates</w:t>
            </w:r>
            <w:r w:rsidR="00194D22">
              <w:rPr>
                <w:rFonts w:eastAsia="Times New Roman"/>
                <w:color w:val="000000"/>
                <w:sz w:val="16"/>
                <w:szCs w:val="16"/>
              </w:rPr>
              <w:t xml:space="preserve"> proportionate to the</w:t>
            </w:r>
            <w:r w:rsidR="002A15DC">
              <w:rPr>
                <w:rFonts w:eastAsia="Times New Roman"/>
                <w:color w:val="000000"/>
                <w:sz w:val="16"/>
                <w:szCs w:val="16"/>
              </w:rPr>
              <w:t xml:space="preserve"> Total US PERT distribution using the high estimate</w:t>
            </w:r>
            <w:r w:rsidR="009824B1">
              <w:rPr>
                <w:rFonts w:eastAsia="Times New Roman"/>
                <w:color w:val="000000"/>
                <w:sz w:val="16"/>
                <w:szCs w:val="16"/>
              </w:rPr>
              <w:t xml:space="preserve"> for each </w:t>
            </w:r>
            <w:r w:rsidR="00136C93">
              <w:rPr>
                <w:rFonts w:eastAsia="Times New Roman"/>
                <w:color w:val="000000"/>
                <w:sz w:val="16"/>
                <w:szCs w:val="16"/>
              </w:rPr>
              <w:t>S</w:t>
            </w:r>
            <w:r w:rsidR="009824B1">
              <w:rPr>
                <w:rFonts w:eastAsia="Times New Roman"/>
                <w:color w:val="000000"/>
                <w:sz w:val="16"/>
                <w:szCs w:val="16"/>
              </w:rPr>
              <w:t>tate.</w:t>
            </w:r>
          </w:p>
        </w:tc>
      </w:tr>
    </w:tbl>
    <w:p w:rsidR="00756160" w:rsidRPr="008F486F" w:rsidP="00756160" w14:paraId="0F7EDC29" w14:textId="77777777"/>
    <w:p w:rsidR="00AA7971" w:rsidRPr="00756160" w:rsidP="00756160" w14:paraId="10D0C593" w14:textId="77777777"/>
    <w:sectPr w:rsidSect="00504911">
      <w:headerReference w:type="default" r:id="rId30"/>
      <w:footerReference w:type="default" r:id="rId31"/>
      <w:pgSz w:w="12240" w:h="15840"/>
      <w:pgMar w:top="1440" w:right="1440" w:bottom="1440" w:left="1440" w:header="0" w:footer="76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3FB781C" w14:textId="77777777" w:rsidTr="0083056B">
      <w:tblPrEx>
        <w:tblW w:w="0" w:type="auto"/>
        <w:tblLayout w:type="fixed"/>
        <w:tblLook w:val="06A0"/>
      </w:tblPrEx>
      <w:trPr>
        <w:trHeight w:val="300"/>
      </w:trPr>
      <w:tc>
        <w:tcPr>
          <w:tcW w:w="3120" w:type="dxa"/>
        </w:tcPr>
        <w:p w:rsidR="7873955C" w:rsidP="0083056B" w14:paraId="00149201" w14:textId="77777777">
          <w:pPr>
            <w:pStyle w:val="Header"/>
            <w:ind w:left="-115"/>
          </w:pPr>
        </w:p>
      </w:tc>
      <w:tc>
        <w:tcPr>
          <w:tcW w:w="3120" w:type="dxa"/>
        </w:tcPr>
        <w:p w:rsidR="7873955C" w:rsidP="0083056B" w14:paraId="3031F260" w14:textId="77777777">
          <w:pPr>
            <w:pStyle w:val="Header"/>
            <w:jc w:val="center"/>
          </w:pPr>
        </w:p>
      </w:tc>
      <w:tc>
        <w:tcPr>
          <w:tcW w:w="3120" w:type="dxa"/>
        </w:tcPr>
        <w:p w:rsidR="7873955C" w:rsidP="0083056B" w14:paraId="072C27B1" w14:textId="77777777">
          <w:pPr>
            <w:pStyle w:val="Header"/>
            <w:ind w:right="-115"/>
            <w:jc w:val="right"/>
          </w:pPr>
        </w:p>
      </w:tc>
    </w:tr>
  </w:tbl>
  <w:p w:rsidR="7873955C" w:rsidP="00176CCB" w14:paraId="060D4FEA" w14:textId="01185F08">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rsidP="00CF26BC" w14:paraId="69F520E3" w14:textId="6E1F7824">
    <w:pPr>
      <w:pStyle w:val="Footer"/>
      <w:jc w:val="right"/>
    </w:pPr>
    <w:r>
      <w:t>ML25168A337</w:t>
    </w:r>
  </w:p>
  <w:p w:rsidR="00756160" w:rsidP="00F073F2" w14:paraId="0005C481" w14:textId="25192090">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rsidP="00450AF2" w14:paraId="28BEB1AE" w14:textId="77777777">
    <w:pPr>
      <w:pStyle w:val="BodyText"/>
      <w:jc w:val="center"/>
    </w:pPr>
    <w:r>
      <w:ptab w:relativeTo="margin" w:alignment="center" w:leader="none"/>
    </w:r>
    <w:r w:rsidRPr="00190F7C">
      <w:fldChar w:fldCharType="begin"/>
    </w:r>
    <w:r w:rsidRPr="00190F7C">
      <w:instrText xml:space="preserve"> PAGE   \* MERGEFORMAT </w:instrText>
    </w:r>
    <w:r w:rsidRPr="00190F7C">
      <w:fldChar w:fldCharType="separate"/>
    </w:r>
    <w:r w:rsidRPr="00190F7C">
      <w:t>1</w:t>
    </w:r>
    <w:r w:rsidRPr="00190F7C">
      <w:fldChar w:fldCharType="end"/>
    </w:r>
    <w:r>
      <w:ptab w:relativeTo="margin" w:alignment="right" w:leader="none"/>
    </w:r>
  </w:p>
  <w:p w:rsidR="00176CCB" w:rsidRPr="00190F7C" w:rsidP="00176CCB" w14:paraId="107CC7CD" w14:textId="7C89FE1B">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rsidP="00B71C18" w14:paraId="1DBE9565" w14:textId="77777777">
    <w:pPr>
      <w:pStyle w:val="BodyText"/>
      <w:jc w:val="center"/>
    </w:pPr>
    <w:r>
      <w:ptab w:relativeTo="margin" w:alignment="center" w:leader="none"/>
    </w:r>
    <w:r w:rsidRPr="001C7DBF">
      <w:fldChar w:fldCharType="begin"/>
    </w:r>
    <w:r w:rsidRPr="001C7DBF">
      <w:instrText xml:space="preserve"> PAGE   \* MERGEFORMAT </w:instrText>
    </w:r>
    <w:r w:rsidRPr="001C7DBF">
      <w:fldChar w:fldCharType="separate"/>
    </w:r>
    <w:r>
      <w:t>ii</w:t>
    </w:r>
    <w:r w:rsidRPr="001C7DBF">
      <w:rPr>
        <w:noProof/>
      </w:rPr>
      <w:fldChar w:fldCharType="end"/>
    </w:r>
    <w:r>
      <w:ptab w:relativeTo="margin" w:alignment="right" w:leader="none"/>
    </w:r>
  </w:p>
  <w:p w:rsidR="00176CCB" w:rsidRPr="00853C7A" w:rsidP="00176CCB" w14:paraId="51D9C44C" w14:textId="039219E5">
    <w:pPr>
      <w:pStyle w:val="Head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160" w:rsidP="00B71C18" w14:paraId="504B7C31" w14:textId="77777777">
    <w:pPr>
      <w:pStyle w:val="BodyText"/>
      <w:jc w:val="center"/>
      <w:rPr>
        <w:szCs w:val="24"/>
      </w:rPr>
    </w:pPr>
    <w:r w:rsidRPr="00190F7C">
      <w:rPr>
        <w:szCs w:val="24"/>
      </w:rPr>
      <w:t>A-</w:t>
    </w:r>
    <w:r w:rsidRPr="00190F7C">
      <w:rPr>
        <w:szCs w:val="24"/>
      </w:rPr>
      <w:fldChar w:fldCharType="begin"/>
    </w:r>
    <w:r w:rsidRPr="00190F7C">
      <w:rPr>
        <w:szCs w:val="24"/>
      </w:rPr>
      <w:instrText xml:space="preserve"> PAGE   \* MERGEFORMAT </w:instrText>
    </w:r>
    <w:r w:rsidRPr="00190F7C">
      <w:rPr>
        <w:szCs w:val="24"/>
      </w:rPr>
      <w:fldChar w:fldCharType="separate"/>
    </w:r>
    <w:r w:rsidRPr="00190F7C">
      <w:rPr>
        <w:szCs w:val="24"/>
      </w:rPr>
      <w:t>1</w:t>
    </w:r>
    <w:r w:rsidRPr="00190F7C">
      <w:rPr>
        <w:szCs w:val="24"/>
      </w:rPr>
      <w:fldChar w:fldCharType="end"/>
    </w:r>
  </w:p>
  <w:p w:rsidR="00176CCB" w:rsidRPr="00176CCB" w:rsidP="00176CCB" w14:paraId="3D37EFBB" w14:textId="430E1C93">
    <w:pPr>
      <w:pStyle w:val="Head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FC9" w:rsidP="005F34F9" w14:paraId="084A6622" w14:textId="77777777">
    <w:pPr>
      <w:pStyle w:val="BodyText"/>
      <w:jc w:val="center"/>
      <w:rPr>
        <w:noProof/>
      </w:rPr>
    </w:pPr>
    <w:r w:rsidRPr="00756160">
      <w:t>B-</w:t>
    </w:r>
    <w:r w:rsidRPr="00756160">
      <w:fldChar w:fldCharType="begin"/>
    </w:r>
    <w:r w:rsidRPr="00756160">
      <w:instrText xml:space="preserve"> PAGE   \* MERGEFORMAT </w:instrText>
    </w:r>
    <w:r w:rsidRPr="00756160">
      <w:fldChar w:fldCharType="separate"/>
    </w:r>
    <w:r w:rsidRPr="00756160">
      <w:rPr>
        <w:noProof/>
      </w:rPr>
      <w:t>1</w:t>
    </w:r>
    <w:r w:rsidRPr="00756160">
      <w:rPr>
        <w:noProof/>
      </w:rPr>
      <w:fldChar w:fldCharType="end"/>
    </w:r>
  </w:p>
  <w:p w:rsidR="00176CCB" w:rsidRPr="00756160" w:rsidP="00176CCB" w14:paraId="1EFEC5DF" w14:textId="387908F9">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3CCA" w:rsidP="00212BDD" w14:paraId="61284A50" w14:textId="77777777">
      <w:r>
        <w:separator/>
      </w:r>
    </w:p>
  </w:footnote>
  <w:footnote w:type="continuationSeparator" w:id="1">
    <w:p w:rsidR="005D3CCA" w:rsidP="00212BDD" w14:paraId="65422DC7" w14:textId="77777777">
      <w:r>
        <w:continuationSeparator/>
      </w:r>
    </w:p>
  </w:footnote>
  <w:footnote w:type="continuationNotice" w:id="2">
    <w:p w:rsidR="005D3CCA" w:rsidP="00212BDD" w14:paraId="43DD5AC0" w14:textId="77777777"/>
  </w:footnote>
  <w:footnote w:id="3">
    <w:p w:rsidR="009D1ED0" w14:paraId="756C4C61" w14:textId="302BB75F">
      <w:pPr>
        <w:pStyle w:val="FootnoteText"/>
      </w:pPr>
      <w:r>
        <w:rPr>
          <w:rStyle w:val="FootnoteReference"/>
        </w:rPr>
        <w:footnoteRef/>
      </w:r>
      <w:r>
        <w:t xml:space="preserve"> </w:t>
      </w:r>
      <w:r w:rsidRPr="003A2A17">
        <w:rPr>
          <w:sz w:val="18"/>
          <w:szCs w:val="18"/>
        </w:rPr>
        <w:t>The Accelerating Deployment of Versatile, Advanced Nuclear for Clean Energy (ADVANCE) Act of 2024 was signed into law on July 9, 2024; Public Law No: 118-67 (</w:t>
      </w:r>
      <w:hyperlink r:id="rId1" w:history="1">
        <w:r w:rsidRPr="00FC5F13" w:rsidR="005028B6">
          <w:rPr>
            <w:rStyle w:val="Hyperlink"/>
            <w:sz w:val="18"/>
            <w:szCs w:val="18"/>
          </w:rPr>
          <w:t>https://www.congress.gov/118/plaws/publ67/PLAW-118publ67.pdf</w:t>
        </w:r>
      </w:hyperlink>
      <w:r w:rsidRPr="003A2A17">
        <w:rPr>
          <w:sz w:val="18"/>
          <w:szCs w:val="18"/>
        </w:rPr>
        <w:t>).</w:t>
      </w:r>
    </w:p>
  </w:footnote>
  <w:footnote w:id="4">
    <w:p w:rsidR="00756160" w:rsidRPr="009932CF" w:rsidP="00756160" w14:paraId="56BB110F" w14:textId="77777777">
      <w:pPr>
        <w:pStyle w:val="FootnoteText"/>
        <w:rPr>
          <w:sz w:val="18"/>
          <w:szCs w:val="18"/>
        </w:rPr>
      </w:pPr>
      <w:r w:rsidRPr="009932CF">
        <w:rPr>
          <w:rStyle w:val="FootnoteReference"/>
          <w:sz w:val="18"/>
          <w:szCs w:val="18"/>
        </w:rPr>
        <w:footnoteRef/>
      </w:r>
      <w:r w:rsidRPr="009932CF">
        <w:rPr>
          <w:sz w:val="18"/>
          <w:szCs w:val="18"/>
        </w:rPr>
        <w:t xml:space="preserve"> The </w:t>
      </w:r>
      <w:r w:rsidRPr="00CC62AD">
        <w:rPr>
          <w:sz w:val="18"/>
          <w:szCs w:val="18"/>
        </w:rPr>
        <w:t xml:space="preserve">ADVANCE Act </w:t>
      </w:r>
      <w:r w:rsidRPr="009932CF">
        <w:rPr>
          <w:sz w:val="18"/>
          <w:szCs w:val="18"/>
        </w:rPr>
        <w:t>amended NEIMA to replace “fusion reactor” with “fusion machine.”</w:t>
      </w:r>
    </w:p>
  </w:footnote>
  <w:footnote w:id="5">
    <w:p w:rsidR="00756160" w:rsidRPr="00211A66" w:rsidP="00756160" w14:paraId="618A54F9" w14:textId="77777777">
      <w:pPr>
        <w:pStyle w:val="FootnoteText"/>
        <w:rPr>
          <w:sz w:val="18"/>
          <w:szCs w:val="18"/>
        </w:rPr>
      </w:pPr>
      <w:r w:rsidRPr="00211A66">
        <w:rPr>
          <w:rStyle w:val="FootnoteReference"/>
          <w:sz w:val="18"/>
          <w:szCs w:val="18"/>
        </w:rPr>
        <w:footnoteRef/>
      </w:r>
      <w:r w:rsidRPr="00211A66">
        <w:rPr>
          <w:sz w:val="18"/>
          <w:szCs w:val="18"/>
        </w:rPr>
        <w:t xml:space="preserve"> Many stakeholders, including the ACRS, expect fusion machines to generate significant quantities of tritium-contaminated waste in addition to activation products. Class A tritium is addressed in the existing 10 CFR 61.55 waste classification tables. The NRC addresses tritium disposed with Class B waste in the draft guidance accompanying the proposed rule. There is no concentration limit for tritium in Class C waste because the calculated value exceeds the specific activity of tritium.</w:t>
      </w:r>
    </w:p>
  </w:footnote>
  <w:footnote w:id="6">
    <w:p w:rsidR="00756160" w:rsidRPr="00211A66" w:rsidP="00756160" w14:paraId="12EABD36" w14:textId="77777777">
      <w:pPr>
        <w:pStyle w:val="FootnoteText"/>
        <w:rPr>
          <w:sz w:val="18"/>
          <w:szCs w:val="18"/>
        </w:rPr>
      </w:pPr>
      <w:r w:rsidRPr="00211A66">
        <w:rPr>
          <w:rStyle w:val="FootnoteReference"/>
          <w:sz w:val="18"/>
          <w:szCs w:val="18"/>
        </w:rPr>
        <w:footnoteRef/>
      </w:r>
      <w:r w:rsidRPr="00211A66">
        <w:rPr>
          <w:sz w:val="18"/>
          <w:szCs w:val="18"/>
        </w:rPr>
        <w:t xml:space="preserve"> This is the status at the time this analysis was prepared. The NRC understands that one license has been granted by an Agreement State for</w:t>
      </w:r>
      <w:r w:rsidRPr="00F6195E" w:rsidR="00F6195E">
        <w:rPr>
          <w:sz w:val="18"/>
          <w:szCs w:val="18"/>
        </w:rPr>
        <w:t xml:space="preserve"> </w:t>
      </w:r>
      <w:r w:rsidRPr="00211A66">
        <w:rPr>
          <w:sz w:val="18"/>
          <w:szCs w:val="18"/>
        </w:rPr>
        <w:t>a fusion machine that is currently under construction and others may be granted by Agreement States before any rule change is final, or new NRC guidance is issued.</w:t>
      </w:r>
    </w:p>
  </w:footnote>
  <w:footnote w:id="7">
    <w:p w:rsidR="00756160" w:rsidRPr="007568C1" w:rsidP="00756160" w14:paraId="5269718B" w14:textId="63FDBCE7">
      <w:pPr>
        <w:pStyle w:val="FootnoteText"/>
        <w:rPr>
          <w:sz w:val="22"/>
          <w:szCs w:val="22"/>
        </w:rPr>
      </w:pPr>
      <w:r>
        <w:rPr>
          <w:rStyle w:val="FootnoteReference"/>
        </w:rPr>
        <w:footnoteRef/>
      </w:r>
      <w:r w:rsidR="4EBE36D9">
        <w:t xml:space="preserve"> </w:t>
      </w:r>
      <w:r w:rsidRPr="006D7B92" w:rsidR="4EBE36D9">
        <w:rPr>
          <w:sz w:val="18"/>
          <w:szCs w:val="18"/>
        </w:rPr>
        <w:t xml:space="preserve">Information about the @Risk software is available at </w:t>
      </w:r>
      <w:r w:rsidRPr="4EBE36D9" w:rsidR="4EBE36D9">
        <w:rPr>
          <w:sz w:val="18"/>
          <w:szCs w:val="18"/>
        </w:rPr>
        <w:t xml:space="preserve"> </w:t>
      </w:r>
      <w:hyperlink r:id="rId2" w:history="1">
        <w:r w:rsidRPr="0014034C" w:rsidR="005028B6">
          <w:rPr>
            <w:rStyle w:val="Hyperlink"/>
            <w:sz w:val="18"/>
            <w:szCs w:val="18"/>
          </w:rPr>
          <w:t>https://lumivero.com/products/at-risk/</w:t>
        </w:r>
      </w:hyperlink>
      <w:r w:rsidRPr="4EBE36D9" w:rsidR="4EBE36D9">
        <w:rPr>
          <w:sz w:val="18"/>
          <w:szCs w:val="18"/>
        </w:rPr>
        <w:t>.</w:t>
      </w:r>
    </w:p>
  </w:footnote>
  <w:footnote w:id="8">
    <w:p w:rsidR="00756160" w:rsidP="00756160" w14:paraId="3235D2CA" w14:textId="77777777">
      <w:pPr>
        <w:pStyle w:val="FootnoteText"/>
      </w:pPr>
      <w:r>
        <w:rPr>
          <w:rStyle w:val="FootnoteReference"/>
        </w:rPr>
        <w:footnoteRef/>
      </w:r>
      <w:r>
        <w:t xml:space="preserve"> </w:t>
      </w:r>
      <w:r w:rsidRPr="006D7B92">
        <w:rPr>
          <w:sz w:val="18"/>
          <w:szCs w:val="18"/>
        </w:rPr>
        <w:t>A PERT distribution is a special form of the beta distribution with specified minimum and maximum values. The shape parameter is calculated from the defined “most likely” value. The PERT distribution is similar to a triangular distribution in that it has the same set of three parameters.</w:t>
      </w:r>
    </w:p>
  </w:footnote>
  <w:footnote w:id="9">
    <w:p w:rsidR="004D34E0" w:rsidRPr="00CF26BC" w:rsidP="004D34E0" w14:paraId="1526C7AA" w14:textId="77777777">
      <w:pPr>
        <w:pStyle w:val="FootnoteText"/>
        <w:rPr>
          <w:sz w:val="18"/>
          <w:szCs w:val="18"/>
        </w:rPr>
      </w:pPr>
      <w:r w:rsidRPr="00CF26BC">
        <w:rPr>
          <w:rStyle w:val="FootnoteReference"/>
          <w:sz w:val="18"/>
          <w:szCs w:val="18"/>
        </w:rPr>
        <w:footnoteRef/>
      </w:r>
      <w:r w:rsidRPr="00CF26BC">
        <w:rPr>
          <w:sz w:val="18"/>
          <w:szCs w:val="18"/>
        </w:rPr>
        <w:t xml:space="preserve"> </w:t>
      </w:r>
      <w:hyperlink r:id="rId3" w:history="1">
        <w:r w:rsidRPr="00CF26BC">
          <w:rPr>
            <w:rStyle w:val="Hyperlink"/>
            <w:sz w:val="18"/>
            <w:szCs w:val="18"/>
          </w:rPr>
          <w:t>https://www.federalregister.gov/documents/2005/01/14/05-769/final-information-quality-bulletin-for-peer-review</w:t>
        </w:r>
      </w:hyperlink>
    </w:p>
    <w:p w:rsidR="004D34E0" w:rsidRPr="00CF26BC" w14:paraId="56339207" w14:textId="0BC68739">
      <w:pPr>
        <w:pStyle w:val="FootnoteText"/>
        <w:rPr>
          <w:sz w:val="18"/>
          <w:szCs w:val="18"/>
        </w:rPr>
      </w:pPr>
    </w:p>
  </w:footnote>
  <w:footnote w:id="10">
    <w:p w:rsidR="00B81DD2" w:rsidRPr="00CF26BC" w:rsidP="00B81DD2" w14:paraId="5B8DB690" w14:textId="5CDC508F">
      <w:pPr>
        <w:pStyle w:val="FootnoteText"/>
        <w:rPr>
          <w:sz w:val="18"/>
          <w:szCs w:val="18"/>
        </w:rPr>
      </w:pPr>
      <w:r w:rsidRPr="00CF26BC">
        <w:rPr>
          <w:rStyle w:val="FootnoteReference"/>
          <w:sz w:val="18"/>
          <w:szCs w:val="18"/>
        </w:rPr>
        <w:footnoteRef/>
      </w:r>
      <w:r w:rsidRPr="00CF26BC" w:rsidR="00CE1A39">
        <w:rPr>
          <w:sz w:val="18"/>
          <w:szCs w:val="18"/>
        </w:rPr>
        <w:t xml:space="preserve"> </w:t>
      </w:r>
      <w:hyperlink r:id="rId4" w:history="1">
        <w:r w:rsidRPr="00CF26BC" w:rsidR="00CE1A39">
          <w:rPr>
            <w:rStyle w:val="Hyperlink"/>
            <w:sz w:val="18"/>
            <w:szCs w:val="18"/>
          </w:rPr>
          <w:t>https://www.govinfo.gov/content/pkg/FR-2002-10-01/pdf/02-24944.pdf</w:t>
        </w:r>
      </w:hyperlink>
      <w:r w:rsidRPr="00CF26BC" w:rsidR="00CE1A39">
        <w:rPr>
          <w:sz w:val="18"/>
          <w:szCs w:val="18"/>
        </w:rPr>
        <w:t xml:space="preserve"> and </w:t>
      </w:r>
      <w:hyperlink r:id="rId5" w:history="1">
        <w:r w:rsidRPr="00CF26BC">
          <w:rPr>
            <w:rStyle w:val="Hyperlink"/>
            <w:sz w:val="18"/>
            <w:szCs w:val="18"/>
          </w:rPr>
          <w:t>https://www.nrc.gov/docs/ML1610/ML16105A321.pdf</w:t>
        </w:r>
      </w:hyperlink>
    </w:p>
    <w:p w:rsidR="00B81DD2" w14:paraId="71B83232" w14:textId="66A18DA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7873955C" w:rsidP="005170E8" w14:paraId="21F3C651" w14:textId="36ADB5C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73F2" w:rsidP="00F073F2" w14:paraId="686BD318" w14:textId="5E3853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C007E26" w14:textId="77777777" w:rsidTr="0083056B">
      <w:tblPrEx>
        <w:tblW w:w="0" w:type="auto"/>
        <w:tblLayout w:type="fixed"/>
        <w:tblLook w:val="06A0"/>
      </w:tblPrEx>
      <w:trPr>
        <w:trHeight w:val="300"/>
      </w:trPr>
      <w:tc>
        <w:tcPr>
          <w:tcW w:w="3120" w:type="dxa"/>
        </w:tcPr>
        <w:p w:rsidR="7873955C" w:rsidP="0083056B" w14:paraId="38A92CF8" w14:textId="77777777">
          <w:pPr>
            <w:pStyle w:val="Header"/>
            <w:ind w:left="-115"/>
          </w:pPr>
        </w:p>
      </w:tc>
      <w:tc>
        <w:tcPr>
          <w:tcW w:w="3120" w:type="dxa"/>
        </w:tcPr>
        <w:p w:rsidR="7873955C" w:rsidP="0083056B" w14:paraId="4D2F02EE" w14:textId="77777777">
          <w:pPr>
            <w:pStyle w:val="Header"/>
            <w:jc w:val="center"/>
          </w:pPr>
        </w:p>
      </w:tc>
      <w:tc>
        <w:tcPr>
          <w:tcW w:w="3120" w:type="dxa"/>
        </w:tcPr>
        <w:p w:rsidR="7873955C" w:rsidP="0083056B" w14:paraId="1F904053" w14:textId="77777777">
          <w:pPr>
            <w:pStyle w:val="Header"/>
            <w:ind w:right="-115"/>
            <w:jc w:val="right"/>
          </w:pPr>
        </w:p>
      </w:tc>
    </w:tr>
  </w:tbl>
  <w:p w:rsidR="7873955C" w:rsidP="00176CCB" w14:paraId="493EDD86" w14:textId="62EC8C57">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4B6861" w14:textId="77777777" w:rsidTr="0083056B">
      <w:tblPrEx>
        <w:tblW w:w="0" w:type="auto"/>
        <w:tblLayout w:type="fixed"/>
        <w:tblLook w:val="06A0"/>
      </w:tblPrEx>
      <w:trPr>
        <w:trHeight w:val="300"/>
      </w:trPr>
      <w:tc>
        <w:tcPr>
          <w:tcW w:w="3120" w:type="dxa"/>
        </w:tcPr>
        <w:p w:rsidR="7873955C" w:rsidP="0083056B" w14:paraId="75DED865" w14:textId="77777777">
          <w:pPr>
            <w:pStyle w:val="Header"/>
            <w:ind w:left="-115"/>
          </w:pPr>
        </w:p>
      </w:tc>
      <w:tc>
        <w:tcPr>
          <w:tcW w:w="3120" w:type="dxa"/>
        </w:tcPr>
        <w:p w:rsidR="7873955C" w:rsidP="0083056B" w14:paraId="01208F5C" w14:textId="77777777">
          <w:pPr>
            <w:pStyle w:val="Header"/>
            <w:jc w:val="center"/>
          </w:pPr>
        </w:p>
      </w:tc>
      <w:tc>
        <w:tcPr>
          <w:tcW w:w="3120" w:type="dxa"/>
        </w:tcPr>
        <w:p w:rsidR="7873955C" w:rsidP="0083056B" w14:paraId="592868DA" w14:textId="77777777">
          <w:pPr>
            <w:pStyle w:val="Header"/>
            <w:ind w:right="-115"/>
            <w:jc w:val="right"/>
          </w:pPr>
        </w:p>
      </w:tc>
    </w:tr>
  </w:tbl>
  <w:p w:rsidR="00176CCB" w:rsidP="00176CCB" w14:paraId="2823680F" w14:textId="11E4EAE4">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6274F32" w14:textId="77777777" w:rsidTr="00327247">
      <w:tblPrEx>
        <w:tblW w:w="0" w:type="auto"/>
        <w:tblLayout w:type="fixed"/>
        <w:tblLook w:val="06A0"/>
      </w:tblPrEx>
      <w:trPr>
        <w:trHeight w:val="300"/>
      </w:trPr>
      <w:tc>
        <w:tcPr>
          <w:tcW w:w="3120" w:type="dxa"/>
        </w:tcPr>
        <w:p w:rsidR="7873955C" w:rsidP="00327247" w14:paraId="6AB6BE62" w14:textId="77777777">
          <w:pPr>
            <w:pStyle w:val="Header"/>
            <w:ind w:left="-115"/>
          </w:pPr>
        </w:p>
      </w:tc>
      <w:tc>
        <w:tcPr>
          <w:tcW w:w="3120" w:type="dxa"/>
        </w:tcPr>
        <w:p w:rsidR="7873955C" w:rsidP="00327247" w14:paraId="7FB2A71D" w14:textId="77777777">
          <w:pPr>
            <w:pStyle w:val="Header"/>
            <w:jc w:val="center"/>
          </w:pPr>
        </w:p>
      </w:tc>
      <w:tc>
        <w:tcPr>
          <w:tcW w:w="3120" w:type="dxa"/>
        </w:tcPr>
        <w:p w:rsidR="7873955C" w:rsidP="00327247" w14:paraId="03C20ADC" w14:textId="77777777">
          <w:pPr>
            <w:pStyle w:val="Header"/>
            <w:ind w:right="-115"/>
            <w:jc w:val="right"/>
          </w:pPr>
        </w:p>
      </w:tc>
    </w:tr>
  </w:tbl>
  <w:p w:rsidR="7873955C" w:rsidP="00327247" w14:paraId="6D16109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33B436B" w14:textId="77777777" w:rsidTr="00327247">
      <w:tblPrEx>
        <w:tblW w:w="0" w:type="auto"/>
        <w:tblLayout w:type="fixed"/>
        <w:tblLook w:val="06A0"/>
      </w:tblPrEx>
      <w:trPr>
        <w:trHeight w:val="300"/>
      </w:trPr>
      <w:tc>
        <w:tcPr>
          <w:tcW w:w="3120" w:type="dxa"/>
        </w:tcPr>
        <w:p w:rsidR="7873955C" w:rsidP="00327247" w14:paraId="4BA2F389" w14:textId="77777777">
          <w:pPr>
            <w:pStyle w:val="Header"/>
            <w:ind w:left="-115"/>
          </w:pPr>
        </w:p>
      </w:tc>
      <w:tc>
        <w:tcPr>
          <w:tcW w:w="3120" w:type="dxa"/>
        </w:tcPr>
        <w:p w:rsidR="7873955C" w:rsidP="00327247" w14:paraId="456599B3" w14:textId="77777777">
          <w:pPr>
            <w:pStyle w:val="Header"/>
            <w:jc w:val="center"/>
          </w:pPr>
        </w:p>
      </w:tc>
      <w:tc>
        <w:tcPr>
          <w:tcW w:w="3120" w:type="dxa"/>
        </w:tcPr>
        <w:p w:rsidR="7873955C" w:rsidP="00327247" w14:paraId="65C64B15" w14:textId="77777777">
          <w:pPr>
            <w:pStyle w:val="Header"/>
            <w:ind w:right="-115"/>
            <w:jc w:val="right"/>
          </w:pPr>
        </w:p>
      </w:tc>
    </w:tr>
  </w:tbl>
  <w:p w:rsidR="7873955C" w:rsidP="00176CCB" w14:paraId="7E267DE0" w14:textId="36AED100">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BCCFA7D" w14:textId="77777777" w:rsidTr="00327247">
      <w:tblPrEx>
        <w:tblW w:w="0" w:type="auto"/>
        <w:tblLayout w:type="fixed"/>
        <w:tblLook w:val="06A0"/>
      </w:tblPrEx>
      <w:trPr>
        <w:trHeight w:val="300"/>
      </w:trPr>
      <w:tc>
        <w:tcPr>
          <w:tcW w:w="3120" w:type="dxa"/>
        </w:tcPr>
        <w:p w:rsidR="7873955C" w:rsidP="00327247" w14:paraId="53F0A032" w14:textId="77777777">
          <w:pPr>
            <w:pStyle w:val="Header"/>
            <w:ind w:left="-115"/>
          </w:pPr>
        </w:p>
      </w:tc>
      <w:tc>
        <w:tcPr>
          <w:tcW w:w="3120" w:type="dxa"/>
        </w:tcPr>
        <w:p w:rsidR="7873955C" w:rsidP="00327247" w14:paraId="513E7EF8" w14:textId="77777777">
          <w:pPr>
            <w:pStyle w:val="Header"/>
            <w:jc w:val="center"/>
          </w:pPr>
        </w:p>
      </w:tc>
      <w:tc>
        <w:tcPr>
          <w:tcW w:w="3120" w:type="dxa"/>
        </w:tcPr>
        <w:p w:rsidR="7873955C" w:rsidP="00327247" w14:paraId="6599E401" w14:textId="77777777">
          <w:pPr>
            <w:pStyle w:val="Header"/>
            <w:ind w:right="-115"/>
            <w:jc w:val="right"/>
          </w:pPr>
        </w:p>
      </w:tc>
    </w:tr>
  </w:tbl>
  <w:p w:rsidR="7873955C" w:rsidP="00327247" w14:paraId="61B27E7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CAD9040" w14:textId="77777777" w:rsidTr="007F6A3F">
      <w:tblPrEx>
        <w:tblW w:w="0" w:type="auto"/>
        <w:tblLayout w:type="fixed"/>
        <w:tblLook w:val="06A0"/>
      </w:tblPrEx>
      <w:trPr>
        <w:trHeight w:val="300"/>
      </w:trPr>
      <w:tc>
        <w:tcPr>
          <w:tcW w:w="3120" w:type="dxa"/>
        </w:tcPr>
        <w:p w:rsidR="7873955C" w:rsidP="007F6A3F" w14:paraId="1326183C" w14:textId="77777777">
          <w:pPr>
            <w:pStyle w:val="Header"/>
            <w:ind w:left="-115"/>
          </w:pPr>
        </w:p>
      </w:tc>
      <w:tc>
        <w:tcPr>
          <w:tcW w:w="3120" w:type="dxa"/>
        </w:tcPr>
        <w:p w:rsidR="7873955C" w:rsidP="007F6A3F" w14:paraId="377C5EB5" w14:textId="77777777">
          <w:pPr>
            <w:pStyle w:val="Header"/>
            <w:jc w:val="center"/>
          </w:pPr>
        </w:p>
      </w:tc>
      <w:tc>
        <w:tcPr>
          <w:tcW w:w="3120" w:type="dxa"/>
        </w:tcPr>
        <w:p w:rsidR="7873955C" w:rsidP="007F6A3F" w14:paraId="394A2656" w14:textId="77777777">
          <w:pPr>
            <w:pStyle w:val="Header"/>
            <w:ind w:right="-115"/>
            <w:jc w:val="right"/>
          </w:pPr>
        </w:p>
      </w:tc>
    </w:tr>
  </w:tbl>
  <w:p w:rsidR="7873955C" w:rsidP="00176CCB" w14:paraId="0C1CD8E0" w14:textId="7A12810B">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92D2074" w14:textId="77777777" w:rsidTr="007F6A3F">
      <w:tblPrEx>
        <w:tblW w:w="0" w:type="auto"/>
        <w:tblLayout w:type="fixed"/>
        <w:tblLook w:val="06A0"/>
      </w:tblPrEx>
      <w:trPr>
        <w:trHeight w:val="300"/>
      </w:trPr>
      <w:tc>
        <w:tcPr>
          <w:tcW w:w="3120" w:type="dxa"/>
        </w:tcPr>
        <w:p w:rsidR="7873955C" w:rsidP="007F6A3F" w14:paraId="356A3F66" w14:textId="77777777">
          <w:pPr>
            <w:pStyle w:val="Header"/>
            <w:ind w:left="-115"/>
          </w:pPr>
        </w:p>
      </w:tc>
      <w:tc>
        <w:tcPr>
          <w:tcW w:w="3120" w:type="dxa"/>
        </w:tcPr>
        <w:p w:rsidR="7873955C" w:rsidP="007F6A3F" w14:paraId="480EFC74" w14:textId="77777777">
          <w:pPr>
            <w:pStyle w:val="Header"/>
            <w:jc w:val="center"/>
          </w:pPr>
        </w:p>
      </w:tc>
      <w:tc>
        <w:tcPr>
          <w:tcW w:w="3120" w:type="dxa"/>
        </w:tcPr>
        <w:p w:rsidR="7873955C" w:rsidP="007F6A3F" w14:paraId="01F7C42A" w14:textId="77777777">
          <w:pPr>
            <w:pStyle w:val="Header"/>
            <w:ind w:right="-115"/>
            <w:jc w:val="right"/>
          </w:pPr>
        </w:p>
      </w:tc>
    </w:tr>
  </w:tbl>
  <w:p w:rsidR="7873955C" w:rsidP="00194F1D" w14:paraId="235C2019" w14:textId="1711826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D7CAB"/>
    <w:multiLevelType w:val="hybridMultilevel"/>
    <w:tmpl w:val="DF38F554"/>
    <w:lvl w:ilvl="0">
      <w:start w:val="0"/>
      <w:numFmt w:val="bullet"/>
      <w:lvlText w:val="•"/>
      <w:lvlJc w:val="left"/>
      <w:pPr>
        <w:ind w:left="1080" w:hanging="720"/>
      </w:pPr>
      <w:rPr>
        <w:rFonts w:ascii="Arial" w:eastAsia="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544607"/>
    <w:multiLevelType w:val="multilevel"/>
    <w:tmpl w:val="D0AACABE"/>
    <w:lvl w:ilvl="0">
      <w:start w:val="3"/>
      <w:numFmt w:val="decimal"/>
      <w:lvlText w:val="%1"/>
      <w:lvlJc w:val="left"/>
      <w:pPr>
        <w:ind w:left="3540" w:hanging="915"/>
      </w:pPr>
      <w:rPr>
        <w:rFonts w:hint="default"/>
      </w:rPr>
    </w:lvl>
    <w:lvl w:ilvl="1">
      <w:start w:val="0"/>
      <w:numFmt w:val="decimal"/>
      <w:lvlText w:val="%1.%2"/>
      <w:lvlJc w:val="left"/>
      <w:pPr>
        <w:ind w:left="3540" w:hanging="915"/>
        <w:jc w:val="right"/>
      </w:pPr>
      <w:rPr>
        <w:rFonts w:hint="default"/>
        <w:b/>
        <w:bCs/>
        <w:w w:val="99"/>
      </w:rPr>
    </w:lvl>
    <w:lvl w:ilvl="2">
      <w:start w:val="1"/>
      <w:numFmt w:val="decimal"/>
      <w:lvlText w:val="%1.%2.%3"/>
      <w:lvlJc w:val="left"/>
      <w:pPr>
        <w:ind w:left="1055" w:hanging="936"/>
      </w:pPr>
      <w:rPr>
        <w:rFonts w:ascii="Arial" w:eastAsia="Arial" w:hAnsi="Arial" w:cs="Arial" w:hint="default"/>
        <w:b/>
        <w:bCs/>
        <w:w w:val="99"/>
        <w:sz w:val="22"/>
        <w:szCs w:val="22"/>
      </w:rPr>
    </w:lvl>
    <w:lvl w:ilvl="3">
      <w:start w:val="0"/>
      <w:numFmt w:val="bullet"/>
      <w:lvlText w:val=""/>
      <w:lvlJc w:val="left"/>
      <w:pPr>
        <w:ind w:left="479" w:hanging="217"/>
      </w:pPr>
      <w:rPr>
        <w:rFonts w:ascii="Symbol" w:eastAsia="Symbol" w:hAnsi="Symbol" w:cs="Symbol" w:hint="default"/>
        <w:w w:val="99"/>
        <w:sz w:val="22"/>
        <w:szCs w:val="22"/>
      </w:rPr>
    </w:lvl>
    <w:lvl w:ilvl="4">
      <w:start w:val="0"/>
      <w:numFmt w:val="bullet"/>
      <w:lvlText w:val="•"/>
      <w:lvlJc w:val="left"/>
      <w:pPr>
        <w:ind w:left="5125" w:hanging="217"/>
      </w:pPr>
      <w:rPr>
        <w:rFonts w:hint="default"/>
      </w:rPr>
    </w:lvl>
    <w:lvl w:ilvl="5">
      <w:start w:val="0"/>
      <w:numFmt w:val="bullet"/>
      <w:lvlText w:val="•"/>
      <w:lvlJc w:val="left"/>
      <w:pPr>
        <w:ind w:left="5917" w:hanging="217"/>
      </w:pPr>
      <w:rPr>
        <w:rFonts w:hint="default"/>
      </w:rPr>
    </w:lvl>
    <w:lvl w:ilvl="6">
      <w:start w:val="0"/>
      <w:numFmt w:val="bullet"/>
      <w:lvlText w:val="•"/>
      <w:lvlJc w:val="left"/>
      <w:pPr>
        <w:ind w:left="6710" w:hanging="217"/>
      </w:pPr>
      <w:rPr>
        <w:rFonts w:hint="default"/>
      </w:rPr>
    </w:lvl>
    <w:lvl w:ilvl="7">
      <w:start w:val="0"/>
      <w:numFmt w:val="bullet"/>
      <w:lvlText w:val="•"/>
      <w:lvlJc w:val="left"/>
      <w:pPr>
        <w:ind w:left="7502" w:hanging="217"/>
      </w:pPr>
      <w:rPr>
        <w:rFonts w:hint="default"/>
      </w:rPr>
    </w:lvl>
    <w:lvl w:ilvl="8">
      <w:start w:val="0"/>
      <w:numFmt w:val="bullet"/>
      <w:lvlText w:val="•"/>
      <w:lvlJc w:val="left"/>
      <w:pPr>
        <w:ind w:left="8295" w:hanging="217"/>
      </w:pPr>
      <w:rPr>
        <w:rFonts w:hint="default"/>
      </w:rPr>
    </w:lvl>
  </w:abstractNum>
  <w:abstractNum w:abstractNumId="2">
    <w:nsid w:val="102D4CC0"/>
    <w:multiLevelType w:val="hybridMultilevel"/>
    <w:tmpl w:val="5DE6C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9135D0"/>
    <w:multiLevelType w:val="hybridMultilevel"/>
    <w:tmpl w:val="46963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B24454"/>
    <w:multiLevelType w:val="hybridMultilevel"/>
    <w:tmpl w:val="B62C3490"/>
    <w:lvl w:ilvl="0">
      <w:start w:val="1"/>
      <w:numFmt w:val="decimal"/>
      <w:lvlText w:val="%1."/>
      <w:lvlJc w:val="left"/>
      <w:pPr>
        <w:ind w:left="-720" w:hanging="72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5">
    <w:nsid w:val="18E01132"/>
    <w:multiLevelType w:val="hybridMultilevel"/>
    <w:tmpl w:val="AB706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AB4A77"/>
    <w:multiLevelType w:val="multilevel"/>
    <w:tmpl w:val="EBBC1976"/>
    <w:lvl w:ilvl="0">
      <w:start w:val="3"/>
      <w:numFmt w:val="decimal"/>
      <w:lvlText w:val="%1"/>
      <w:lvlJc w:val="left"/>
      <w:pPr>
        <w:ind w:left="3540" w:hanging="915"/>
      </w:pPr>
      <w:rPr>
        <w:rFonts w:hint="default"/>
      </w:rPr>
    </w:lvl>
    <w:lvl w:ilvl="1">
      <w:start w:val="0"/>
      <w:numFmt w:val="decimal"/>
      <w:lvlText w:val="%1.%2"/>
      <w:lvlJc w:val="left"/>
      <w:pPr>
        <w:ind w:left="3540" w:hanging="915"/>
        <w:jc w:val="right"/>
      </w:pPr>
      <w:rPr>
        <w:rFonts w:hint="default"/>
        <w:b/>
        <w:bCs/>
        <w:w w:val="99"/>
      </w:rPr>
    </w:lvl>
    <w:lvl w:ilvl="2">
      <w:start w:val="1"/>
      <w:numFmt w:val="decimal"/>
      <w:lvlText w:val="%1.%2.%3"/>
      <w:lvlJc w:val="left"/>
      <w:pPr>
        <w:ind w:left="1055" w:hanging="936"/>
      </w:pPr>
      <w:rPr>
        <w:rFonts w:ascii="Arial" w:eastAsia="Arial" w:hAnsi="Arial" w:cs="Arial" w:hint="default"/>
        <w:b/>
        <w:bCs/>
        <w:w w:val="99"/>
        <w:sz w:val="22"/>
        <w:szCs w:val="22"/>
      </w:rPr>
    </w:lvl>
    <w:lvl w:ilvl="3">
      <w:start w:val="1"/>
      <w:numFmt w:val="bullet"/>
      <w:lvlText w:val=""/>
      <w:lvlJc w:val="left"/>
      <w:pPr>
        <w:ind w:left="479" w:hanging="217"/>
      </w:pPr>
      <w:rPr>
        <w:rFonts w:ascii="Symbol" w:hAnsi="Symbol" w:hint="default"/>
        <w:w w:val="99"/>
        <w:sz w:val="22"/>
        <w:szCs w:val="22"/>
      </w:rPr>
    </w:lvl>
    <w:lvl w:ilvl="4">
      <w:start w:val="0"/>
      <w:numFmt w:val="bullet"/>
      <w:lvlText w:val="•"/>
      <w:lvlJc w:val="left"/>
      <w:pPr>
        <w:ind w:left="5125" w:hanging="217"/>
      </w:pPr>
      <w:rPr>
        <w:rFonts w:hint="default"/>
      </w:rPr>
    </w:lvl>
    <w:lvl w:ilvl="5">
      <w:start w:val="0"/>
      <w:numFmt w:val="bullet"/>
      <w:lvlText w:val="•"/>
      <w:lvlJc w:val="left"/>
      <w:pPr>
        <w:ind w:left="5917" w:hanging="217"/>
      </w:pPr>
      <w:rPr>
        <w:rFonts w:hint="default"/>
      </w:rPr>
    </w:lvl>
    <w:lvl w:ilvl="6">
      <w:start w:val="0"/>
      <w:numFmt w:val="bullet"/>
      <w:lvlText w:val="•"/>
      <w:lvlJc w:val="left"/>
      <w:pPr>
        <w:ind w:left="6710" w:hanging="217"/>
      </w:pPr>
      <w:rPr>
        <w:rFonts w:hint="default"/>
      </w:rPr>
    </w:lvl>
    <w:lvl w:ilvl="7">
      <w:start w:val="0"/>
      <w:numFmt w:val="bullet"/>
      <w:lvlText w:val="•"/>
      <w:lvlJc w:val="left"/>
      <w:pPr>
        <w:ind w:left="7502" w:hanging="217"/>
      </w:pPr>
      <w:rPr>
        <w:rFonts w:hint="default"/>
      </w:rPr>
    </w:lvl>
    <w:lvl w:ilvl="8">
      <w:start w:val="0"/>
      <w:numFmt w:val="bullet"/>
      <w:lvlText w:val="•"/>
      <w:lvlJc w:val="left"/>
      <w:pPr>
        <w:ind w:left="8295" w:hanging="217"/>
      </w:pPr>
      <w:rPr>
        <w:rFonts w:hint="default"/>
      </w:rPr>
    </w:lvl>
  </w:abstractNum>
  <w:abstractNum w:abstractNumId="7">
    <w:nsid w:val="1ADD572D"/>
    <w:multiLevelType w:val="hybridMultilevel"/>
    <w:tmpl w:val="6846E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786D2D"/>
    <w:multiLevelType w:val="hybridMultilevel"/>
    <w:tmpl w:val="B0A4FF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524ACE"/>
    <w:multiLevelType w:val="hybridMultilevel"/>
    <w:tmpl w:val="1F568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7C3D2D"/>
    <w:multiLevelType w:val="hybridMultilevel"/>
    <w:tmpl w:val="93F6B9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90772D"/>
    <w:multiLevelType w:val="hybridMultilevel"/>
    <w:tmpl w:val="9F420CF2"/>
    <w:lvl w:ilvl="0">
      <w:start w:val="1"/>
      <w:numFmt w:val="lowerLetter"/>
      <w:lvlText w:val="(%1)"/>
      <w:lvlJc w:val="left"/>
      <w:pPr>
        <w:ind w:left="400" w:hanging="335"/>
      </w:pPr>
      <w:rPr>
        <w:rFonts w:ascii="Arial" w:eastAsia="Arial" w:hAnsi="Arial" w:cs="Arial" w:hint="default"/>
        <w:spacing w:val="-1"/>
        <w:w w:val="100"/>
        <w:sz w:val="18"/>
        <w:szCs w:val="18"/>
      </w:rPr>
    </w:lvl>
    <w:lvl w:ilvl="1">
      <w:start w:val="0"/>
      <w:numFmt w:val="bullet"/>
      <w:lvlText w:val="•"/>
      <w:lvlJc w:val="left"/>
      <w:pPr>
        <w:ind w:left="1296" w:hanging="335"/>
      </w:pPr>
      <w:rPr>
        <w:rFonts w:hint="default"/>
      </w:rPr>
    </w:lvl>
    <w:lvl w:ilvl="2">
      <w:start w:val="0"/>
      <w:numFmt w:val="bullet"/>
      <w:lvlText w:val="•"/>
      <w:lvlJc w:val="left"/>
      <w:pPr>
        <w:ind w:left="2193" w:hanging="335"/>
      </w:pPr>
      <w:rPr>
        <w:rFonts w:hint="default"/>
      </w:rPr>
    </w:lvl>
    <w:lvl w:ilvl="3">
      <w:start w:val="0"/>
      <w:numFmt w:val="bullet"/>
      <w:lvlText w:val="•"/>
      <w:lvlJc w:val="left"/>
      <w:pPr>
        <w:ind w:left="3090" w:hanging="335"/>
      </w:pPr>
      <w:rPr>
        <w:rFonts w:hint="default"/>
      </w:rPr>
    </w:lvl>
    <w:lvl w:ilvl="4">
      <w:start w:val="0"/>
      <w:numFmt w:val="bullet"/>
      <w:lvlText w:val="•"/>
      <w:lvlJc w:val="left"/>
      <w:pPr>
        <w:ind w:left="3987" w:hanging="335"/>
      </w:pPr>
      <w:rPr>
        <w:rFonts w:hint="default"/>
      </w:rPr>
    </w:lvl>
    <w:lvl w:ilvl="5">
      <w:start w:val="0"/>
      <w:numFmt w:val="bullet"/>
      <w:lvlText w:val="•"/>
      <w:lvlJc w:val="left"/>
      <w:pPr>
        <w:ind w:left="4884" w:hanging="335"/>
      </w:pPr>
      <w:rPr>
        <w:rFonts w:hint="default"/>
      </w:rPr>
    </w:lvl>
    <w:lvl w:ilvl="6">
      <w:start w:val="0"/>
      <w:numFmt w:val="bullet"/>
      <w:lvlText w:val="•"/>
      <w:lvlJc w:val="left"/>
      <w:pPr>
        <w:ind w:left="5781" w:hanging="335"/>
      </w:pPr>
      <w:rPr>
        <w:rFonts w:hint="default"/>
      </w:rPr>
    </w:lvl>
    <w:lvl w:ilvl="7">
      <w:start w:val="0"/>
      <w:numFmt w:val="bullet"/>
      <w:lvlText w:val="•"/>
      <w:lvlJc w:val="left"/>
      <w:pPr>
        <w:ind w:left="6678" w:hanging="335"/>
      </w:pPr>
      <w:rPr>
        <w:rFonts w:hint="default"/>
      </w:rPr>
    </w:lvl>
    <w:lvl w:ilvl="8">
      <w:start w:val="0"/>
      <w:numFmt w:val="bullet"/>
      <w:lvlText w:val="•"/>
      <w:lvlJc w:val="left"/>
      <w:pPr>
        <w:ind w:left="7575" w:hanging="335"/>
      </w:pPr>
      <w:rPr>
        <w:rFonts w:hint="default"/>
      </w:rPr>
    </w:lvl>
  </w:abstractNum>
  <w:abstractNum w:abstractNumId="12">
    <w:nsid w:val="30D055D0"/>
    <w:multiLevelType w:val="hybridMultilevel"/>
    <w:tmpl w:val="F1E809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8B5BC8"/>
    <w:multiLevelType w:val="hybridMultilevel"/>
    <w:tmpl w:val="C69E2862"/>
    <w:lvl w:ilvl="0">
      <w:start w:val="1"/>
      <w:numFmt w:val="lowerLetter"/>
      <w:lvlText w:val="%1."/>
      <w:lvlJc w:val="left"/>
      <w:pPr>
        <w:ind w:left="425" w:hanging="360"/>
      </w:pPr>
      <w:rPr>
        <w:rFonts w:hint="default"/>
        <w:spacing w:val="-1"/>
        <w:w w:val="100"/>
        <w:sz w:val="18"/>
        <w:szCs w:val="18"/>
      </w:rPr>
    </w:lvl>
    <w:lvl w:ilvl="1">
      <w:start w:val="0"/>
      <w:numFmt w:val="bullet"/>
      <w:lvlText w:val="•"/>
      <w:lvlJc w:val="left"/>
      <w:pPr>
        <w:ind w:left="1314" w:hanging="360"/>
      </w:pPr>
      <w:rPr>
        <w:rFonts w:hint="default"/>
      </w:rPr>
    </w:lvl>
    <w:lvl w:ilvl="2">
      <w:start w:val="0"/>
      <w:numFmt w:val="bullet"/>
      <w:lvlText w:val="•"/>
      <w:lvlJc w:val="left"/>
      <w:pPr>
        <w:ind w:left="2209"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3998" w:hanging="360"/>
      </w:pPr>
      <w:rPr>
        <w:rFonts w:hint="default"/>
      </w:rPr>
    </w:lvl>
    <w:lvl w:ilvl="5">
      <w:start w:val="0"/>
      <w:numFmt w:val="bullet"/>
      <w:lvlText w:val="•"/>
      <w:lvlJc w:val="left"/>
      <w:pPr>
        <w:ind w:left="4893"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682" w:hanging="360"/>
      </w:pPr>
      <w:rPr>
        <w:rFonts w:hint="default"/>
      </w:rPr>
    </w:lvl>
    <w:lvl w:ilvl="8">
      <w:start w:val="0"/>
      <w:numFmt w:val="bullet"/>
      <w:lvlText w:val="•"/>
      <w:lvlJc w:val="left"/>
      <w:pPr>
        <w:ind w:left="7577" w:hanging="360"/>
      </w:pPr>
      <w:rPr>
        <w:rFonts w:hint="default"/>
      </w:rPr>
    </w:lvl>
  </w:abstractNum>
  <w:abstractNum w:abstractNumId="14">
    <w:nsid w:val="3AA46A29"/>
    <w:multiLevelType w:val="hybridMultilevel"/>
    <w:tmpl w:val="09A201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F1E33E9"/>
    <w:multiLevelType w:val="multilevel"/>
    <w:tmpl w:val="6BC02B78"/>
    <w:lvl w:ilvl="0">
      <w:start w:val="4"/>
      <w:numFmt w:val="decimal"/>
      <w:lvlText w:val="%1"/>
      <w:lvlJc w:val="left"/>
      <w:pPr>
        <w:ind w:left="768" w:hanging="649"/>
      </w:pPr>
      <w:rPr>
        <w:rFonts w:hint="default"/>
      </w:rPr>
    </w:lvl>
    <w:lvl w:ilvl="1">
      <w:start w:val="0"/>
      <w:numFmt w:val="decimal"/>
      <w:lvlText w:val="%1.%2"/>
      <w:lvlJc w:val="left"/>
      <w:pPr>
        <w:ind w:left="768" w:hanging="649"/>
      </w:pPr>
      <w:rPr>
        <w:rFonts w:hint="default"/>
        <w:b/>
        <w:bCs/>
        <w:w w:val="99"/>
      </w:rPr>
    </w:lvl>
    <w:lvl w:ilvl="2">
      <w:start w:val="1"/>
      <w:numFmt w:val="decimal"/>
      <w:lvlText w:val="%1.%2.%3"/>
      <w:lvlJc w:val="left"/>
      <w:pPr>
        <w:ind w:left="1156" w:hanging="1037"/>
      </w:pPr>
      <w:rPr>
        <w:rFonts w:ascii="Arial" w:eastAsia="Arial" w:hAnsi="Arial" w:cs="Arial" w:hint="default"/>
        <w:i/>
        <w:w w:val="99"/>
        <w:sz w:val="22"/>
        <w:szCs w:val="22"/>
      </w:rPr>
    </w:lvl>
    <w:lvl w:ilvl="3">
      <w:start w:val="1"/>
      <w:numFmt w:val="decimal"/>
      <w:lvlText w:val="%1.%2.%3.%4"/>
      <w:lvlJc w:val="left"/>
      <w:pPr>
        <w:ind w:left="854" w:hanging="735"/>
      </w:pPr>
      <w:rPr>
        <w:rFonts w:ascii="Arial" w:eastAsia="Arial" w:hAnsi="Arial" w:cs="Arial" w:hint="default"/>
        <w:i/>
        <w:w w:val="99"/>
        <w:sz w:val="22"/>
        <w:szCs w:val="22"/>
      </w:rPr>
    </w:lvl>
    <w:lvl w:ilvl="4">
      <w:start w:val="0"/>
      <w:numFmt w:val="bullet"/>
      <w:lvlText w:val="•"/>
      <w:lvlJc w:val="left"/>
      <w:pPr>
        <w:ind w:left="3340" w:hanging="735"/>
      </w:pPr>
      <w:rPr>
        <w:rFonts w:hint="default"/>
      </w:rPr>
    </w:lvl>
    <w:lvl w:ilvl="5">
      <w:start w:val="0"/>
      <w:numFmt w:val="bullet"/>
      <w:lvlText w:val="•"/>
      <w:lvlJc w:val="left"/>
      <w:pPr>
        <w:ind w:left="4430" w:hanging="735"/>
      </w:pPr>
      <w:rPr>
        <w:rFonts w:hint="default"/>
      </w:rPr>
    </w:lvl>
    <w:lvl w:ilvl="6">
      <w:start w:val="0"/>
      <w:numFmt w:val="bullet"/>
      <w:lvlText w:val="•"/>
      <w:lvlJc w:val="left"/>
      <w:pPr>
        <w:ind w:left="5520" w:hanging="735"/>
      </w:pPr>
      <w:rPr>
        <w:rFonts w:hint="default"/>
      </w:rPr>
    </w:lvl>
    <w:lvl w:ilvl="7">
      <w:start w:val="0"/>
      <w:numFmt w:val="bullet"/>
      <w:lvlText w:val="•"/>
      <w:lvlJc w:val="left"/>
      <w:pPr>
        <w:ind w:left="6610" w:hanging="735"/>
      </w:pPr>
      <w:rPr>
        <w:rFonts w:hint="default"/>
      </w:rPr>
    </w:lvl>
    <w:lvl w:ilvl="8">
      <w:start w:val="0"/>
      <w:numFmt w:val="bullet"/>
      <w:lvlText w:val="•"/>
      <w:lvlJc w:val="left"/>
      <w:pPr>
        <w:ind w:left="7700" w:hanging="735"/>
      </w:pPr>
      <w:rPr>
        <w:rFonts w:hint="default"/>
      </w:rPr>
    </w:lvl>
  </w:abstractNum>
  <w:abstractNum w:abstractNumId="16">
    <w:nsid w:val="4C9D6606"/>
    <w:multiLevelType w:val="multilevel"/>
    <w:tmpl w:val="D056E9D4"/>
    <w:lvl w:ilvl="0">
      <w:start w:val="5"/>
      <w:numFmt w:val="decimal"/>
      <w:lvlText w:val="%1"/>
      <w:lvlJc w:val="left"/>
      <w:pPr>
        <w:ind w:left="768" w:hanging="649"/>
      </w:pPr>
      <w:rPr>
        <w:rFonts w:hint="default"/>
      </w:rPr>
    </w:lvl>
    <w:lvl w:ilvl="1">
      <w:start w:val="0"/>
      <w:numFmt w:val="decimal"/>
      <w:lvlText w:val="%1.%2"/>
      <w:lvlJc w:val="left"/>
      <w:pPr>
        <w:ind w:left="768" w:hanging="649"/>
      </w:pPr>
      <w:rPr>
        <w:rFonts w:hint="default"/>
        <w:b/>
        <w:bCs/>
        <w:w w:val="99"/>
      </w:rPr>
    </w:lvl>
    <w:lvl w:ilvl="2">
      <w:start w:val="0"/>
      <w:numFmt w:val="bullet"/>
      <w:lvlText w:val="•"/>
      <w:lvlJc w:val="left"/>
      <w:pPr>
        <w:ind w:left="2584" w:hanging="649"/>
      </w:pPr>
      <w:rPr>
        <w:rFonts w:hint="default"/>
      </w:rPr>
    </w:lvl>
    <w:lvl w:ilvl="3">
      <w:start w:val="0"/>
      <w:numFmt w:val="bullet"/>
      <w:lvlText w:val="•"/>
      <w:lvlJc w:val="left"/>
      <w:pPr>
        <w:ind w:left="3496" w:hanging="649"/>
      </w:pPr>
      <w:rPr>
        <w:rFonts w:hint="default"/>
      </w:rPr>
    </w:lvl>
    <w:lvl w:ilvl="4">
      <w:start w:val="0"/>
      <w:numFmt w:val="bullet"/>
      <w:lvlText w:val="•"/>
      <w:lvlJc w:val="left"/>
      <w:pPr>
        <w:ind w:left="4408" w:hanging="649"/>
      </w:pPr>
      <w:rPr>
        <w:rFonts w:hint="default"/>
      </w:rPr>
    </w:lvl>
    <w:lvl w:ilvl="5">
      <w:start w:val="0"/>
      <w:numFmt w:val="bullet"/>
      <w:lvlText w:val="•"/>
      <w:lvlJc w:val="left"/>
      <w:pPr>
        <w:ind w:left="5320" w:hanging="649"/>
      </w:pPr>
      <w:rPr>
        <w:rFonts w:hint="default"/>
      </w:rPr>
    </w:lvl>
    <w:lvl w:ilvl="6">
      <w:start w:val="0"/>
      <w:numFmt w:val="bullet"/>
      <w:lvlText w:val="•"/>
      <w:lvlJc w:val="left"/>
      <w:pPr>
        <w:ind w:left="6232" w:hanging="649"/>
      </w:pPr>
      <w:rPr>
        <w:rFonts w:hint="default"/>
      </w:rPr>
    </w:lvl>
    <w:lvl w:ilvl="7">
      <w:start w:val="0"/>
      <w:numFmt w:val="bullet"/>
      <w:lvlText w:val="•"/>
      <w:lvlJc w:val="left"/>
      <w:pPr>
        <w:ind w:left="7144" w:hanging="649"/>
      </w:pPr>
      <w:rPr>
        <w:rFonts w:hint="default"/>
      </w:rPr>
    </w:lvl>
    <w:lvl w:ilvl="8">
      <w:start w:val="0"/>
      <w:numFmt w:val="bullet"/>
      <w:lvlText w:val="•"/>
      <w:lvlJc w:val="left"/>
      <w:pPr>
        <w:ind w:left="8056" w:hanging="649"/>
      </w:pPr>
      <w:rPr>
        <w:rFonts w:hint="default"/>
      </w:rPr>
    </w:lvl>
  </w:abstractNum>
  <w:abstractNum w:abstractNumId="17">
    <w:nsid w:val="4CDC60AD"/>
    <w:multiLevelType w:val="hybridMultilevel"/>
    <w:tmpl w:val="1682C8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EE3849"/>
    <w:multiLevelType w:val="hybridMultilevel"/>
    <w:tmpl w:val="15604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CE2289"/>
    <w:multiLevelType w:val="hybridMultilevel"/>
    <w:tmpl w:val="1842F1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7284659"/>
    <w:multiLevelType w:val="multilevel"/>
    <w:tmpl w:val="8FD674DC"/>
    <w:lvl w:ilvl="0">
      <w:start w:val="1"/>
      <w:numFmt w:val="decimal"/>
      <w:lvlText w:val="%1"/>
      <w:lvlJc w:val="left"/>
      <w:pPr>
        <w:ind w:left="3979" w:hanging="699"/>
      </w:pPr>
      <w:rPr>
        <w:rFonts w:hint="default"/>
      </w:rPr>
    </w:lvl>
    <w:lvl w:ilvl="1">
      <w:start w:val="0"/>
      <w:numFmt w:val="decimal"/>
      <w:lvlText w:val="%1.%2"/>
      <w:lvlJc w:val="left"/>
      <w:pPr>
        <w:ind w:left="3979" w:hanging="699"/>
        <w:jc w:val="right"/>
      </w:pPr>
      <w:rPr>
        <w:rFonts w:hint="default"/>
        <w:b/>
        <w:bCs/>
        <w:w w:val="99"/>
      </w:rPr>
    </w:lvl>
    <w:lvl w:ilvl="2">
      <w:start w:val="0"/>
      <w:numFmt w:val="bullet"/>
      <w:lvlText w:val="•"/>
      <w:lvlJc w:val="left"/>
      <w:pPr>
        <w:ind w:left="5160" w:hanging="699"/>
      </w:pPr>
      <w:rPr>
        <w:rFonts w:hint="default"/>
      </w:rPr>
    </w:lvl>
    <w:lvl w:ilvl="3">
      <w:start w:val="0"/>
      <w:numFmt w:val="bullet"/>
      <w:lvlText w:val="•"/>
      <w:lvlJc w:val="left"/>
      <w:pPr>
        <w:ind w:left="5750" w:hanging="699"/>
      </w:pPr>
      <w:rPr>
        <w:rFonts w:hint="default"/>
      </w:rPr>
    </w:lvl>
    <w:lvl w:ilvl="4">
      <w:start w:val="0"/>
      <w:numFmt w:val="bullet"/>
      <w:lvlText w:val="•"/>
      <w:lvlJc w:val="left"/>
      <w:pPr>
        <w:ind w:left="6340" w:hanging="699"/>
      </w:pPr>
      <w:rPr>
        <w:rFonts w:hint="default"/>
      </w:rPr>
    </w:lvl>
    <w:lvl w:ilvl="5">
      <w:start w:val="0"/>
      <w:numFmt w:val="bullet"/>
      <w:lvlText w:val="•"/>
      <w:lvlJc w:val="left"/>
      <w:pPr>
        <w:ind w:left="6930" w:hanging="699"/>
      </w:pPr>
      <w:rPr>
        <w:rFonts w:hint="default"/>
      </w:rPr>
    </w:lvl>
    <w:lvl w:ilvl="6">
      <w:start w:val="0"/>
      <w:numFmt w:val="bullet"/>
      <w:lvlText w:val="•"/>
      <w:lvlJc w:val="left"/>
      <w:pPr>
        <w:ind w:left="7520" w:hanging="699"/>
      </w:pPr>
      <w:rPr>
        <w:rFonts w:hint="default"/>
      </w:rPr>
    </w:lvl>
    <w:lvl w:ilvl="7">
      <w:start w:val="0"/>
      <w:numFmt w:val="bullet"/>
      <w:lvlText w:val="•"/>
      <w:lvlJc w:val="left"/>
      <w:pPr>
        <w:ind w:left="8110" w:hanging="699"/>
      </w:pPr>
      <w:rPr>
        <w:rFonts w:hint="default"/>
      </w:rPr>
    </w:lvl>
    <w:lvl w:ilvl="8">
      <w:start w:val="0"/>
      <w:numFmt w:val="bullet"/>
      <w:lvlText w:val="•"/>
      <w:lvlJc w:val="left"/>
      <w:pPr>
        <w:ind w:left="8700" w:hanging="699"/>
      </w:pPr>
      <w:rPr>
        <w:rFonts w:hint="default"/>
      </w:rPr>
    </w:lvl>
  </w:abstractNum>
  <w:abstractNum w:abstractNumId="21">
    <w:nsid w:val="6AC377E6"/>
    <w:multiLevelType w:val="hybridMultilevel"/>
    <w:tmpl w:val="04382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1D1524"/>
    <w:multiLevelType w:val="hybridMultilevel"/>
    <w:tmpl w:val="82E28028"/>
    <w:lvl w:ilvl="0">
      <w:start w:val="1"/>
      <w:numFmt w:val="lowerLetter"/>
      <w:lvlText w:val="(%1)"/>
      <w:lvlJc w:val="left"/>
      <w:pPr>
        <w:ind w:left="425" w:hanging="360"/>
      </w:pPr>
      <w:rPr>
        <w:rFonts w:ascii="Arial" w:eastAsia="Arial" w:hAnsi="Arial" w:cs="Arial" w:hint="default"/>
        <w:spacing w:val="-1"/>
        <w:w w:val="100"/>
        <w:sz w:val="18"/>
        <w:szCs w:val="18"/>
      </w:rPr>
    </w:lvl>
    <w:lvl w:ilvl="1">
      <w:start w:val="0"/>
      <w:numFmt w:val="bullet"/>
      <w:lvlText w:val="•"/>
      <w:lvlJc w:val="left"/>
      <w:pPr>
        <w:ind w:left="1314" w:hanging="360"/>
      </w:pPr>
      <w:rPr>
        <w:rFonts w:hint="default"/>
      </w:rPr>
    </w:lvl>
    <w:lvl w:ilvl="2">
      <w:start w:val="0"/>
      <w:numFmt w:val="bullet"/>
      <w:lvlText w:val="•"/>
      <w:lvlJc w:val="left"/>
      <w:pPr>
        <w:ind w:left="2209" w:hanging="360"/>
      </w:pPr>
      <w:rPr>
        <w:rFonts w:hint="default"/>
      </w:rPr>
    </w:lvl>
    <w:lvl w:ilvl="3">
      <w:start w:val="0"/>
      <w:numFmt w:val="bullet"/>
      <w:lvlText w:val="•"/>
      <w:lvlJc w:val="left"/>
      <w:pPr>
        <w:ind w:left="3104" w:hanging="360"/>
      </w:pPr>
      <w:rPr>
        <w:rFonts w:hint="default"/>
      </w:rPr>
    </w:lvl>
    <w:lvl w:ilvl="4">
      <w:start w:val="0"/>
      <w:numFmt w:val="bullet"/>
      <w:lvlText w:val="•"/>
      <w:lvlJc w:val="left"/>
      <w:pPr>
        <w:ind w:left="3998" w:hanging="360"/>
      </w:pPr>
      <w:rPr>
        <w:rFonts w:hint="default"/>
      </w:rPr>
    </w:lvl>
    <w:lvl w:ilvl="5">
      <w:start w:val="0"/>
      <w:numFmt w:val="bullet"/>
      <w:lvlText w:val="•"/>
      <w:lvlJc w:val="left"/>
      <w:pPr>
        <w:ind w:left="4893" w:hanging="360"/>
      </w:pPr>
      <w:rPr>
        <w:rFonts w:hint="default"/>
      </w:rPr>
    </w:lvl>
    <w:lvl w:ilvl="6">
      <w:start w:val="0"/>
      <w:numFmt w:val="bullet"/>
      <w:lvlText w:val="•"/>
      <w:lvlJc w:val="left"/>
      <w:pPr>
        <w:ind w:left="5788" w:hanging="360"/>
      </w:pPr>
      <w:rPr>
        <w:rFonts w:hint="default"/>
      </w:rPr>
    </w:lvl>
    <w:lvl w:ilvl="7">
      <w:start w:val="0"/>
      <w:numFmt w:val="bullet"/>
      <w:lvlText w:val="•"/>
      <w:lvlJc w:val="left"/>
      <w:pPr>
        <w:ind w:left="6682" w:hanging="360"/>
      </w:pPr>
      <w:rPr>
        <w:rFonts w:hint="default"/>
      </w:rPr>
    </w:lvl>
    <w:lvl w:ilvl="8">
      <w:start w:val="0"/>
      <w:numFmt w:val="bullet"/>
      <w:lvlText w:val="•"/>
      <w:lvlJc w:val="left"/>
      <w:pPr>
        <w:ind w:left="7577" w:hanging="360"/>
      </w:pPr>
      <w:rPr>
        <w:rFonts w:hint="default"/>
      </w:rPr>
    </w:lvl>
  </w:abstractNum>
  <w:abstractNum w:abstractNumId="23">
    <w:nsid w:val="74C90FB2"/>
    <w:multiLevelType w:val="multilevel"/>
    <w:tmpl w:val="9D30D43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74B3FF8"/>
    <w:multiLevelType w:val="hybridMultilevel"/>
    <w:tmpl w:val="B08EC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DE634F"/>
    <w:multiLevelType w:val="multilevel"/>
    <w:tmpl w:val="1A06E284"/>
    <w:lvl w:ilvl="0">
      <w:start w:val="2"/>
      <w:numFmt w:val="decimal"/>
      <w:lvlText w:val="%1"/>
      <w:lvlJc w:val="left"/>
      <w:pPr>
        <w:ind w:left="360" w:hanging="360"/>
      </w:pPr>
      <w:rPr>
        <w:rFonts w:hint="default"/>
      </w:rPr>
    </w:lvl>
    <w:lvl w:ilvl="1">
      <w:start w:val="0"/>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70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64" w:hanging="1800"/>
      </w:pPr>
      <w:rPr>
        <w:rFonts w:hint="default"/>
      </w:rPr>
    </w:lvl>
    <w:lvl w:ilvl="8">
      <w:start w:val="1"/>
      <w:numFmt w:val="decimal"/>
      <w:lvlText w:val="%1.%2.%3.%4.%5.%6.%7.%8.%9"/>
      <w:lvlJc w:val="left"/>
      <w:pPr>
        <w:ind w:left="8616" w:hanging="1800"/>
      </w:pPr>
      <w:rPr>
        <w:rFonts w:hint="default"/>
      </w:rPr>
    </w:lvl>
  </w:abstractNum>
  <w:num w:numId="1" w16cid:durableId="1728185351">
    <w:abstractNumId w:val="22"/>
  </w:num>
  <w:num w:numId="2" w16cid:durableId="103614883">
    <w:abstractNumId w:val="11"/>
  </w:num>
  <w:num w:numId="3" w16cid:durableId="1547795901">
    <w:abstractNumId w:val="1"/>
  </w:num>
  <w:num w:numId="4" w16cid:durableId="26492511">
    <w:abstractNumId w:val="20"/>
  </w:num>
  <w:num w:numId="5" w16cid:durableId="2101834249">
    <w:abstractNumId w:val="18"/>
  </w:num>
  <w:num w:numId="6" w16cid:durableId="463668406">
    <w:abstractNumId w:val="25"/>
  </w:num>
  <w:num w:numId="7" w16cid:durableId="677849486">
    <w:abstractNumId w:val="14"/>
  </w:num>
  <w:num w:numId="8" w16cid:durableId="1320841447">
    <w:abstractNumId w:val="24"/>
  </w:num>
  <w:num w:numId="9" w16cid:durableId="1141652392">
    <w:abstractNumId w:val="9"/>
  </w:num>
  <w:num w:numId="10" w16cid:durableId="536352766">
    <w:abstractNumId w:val="2"/>
  </w:num>
  <w:num w:numId="11" w16cid:durableId="629943307">
    <w:abstractNumId w:val="3"/>
  </w:num>
  <w:num w:numId="12" w16cid:durableId="515970598">
    <w:abstractNumId w:val="4"/>
  </w:num>
  <w:num w:numId="13" w16cid:durableId="507062447">
    <w:abstractNumId w:val="5"/>
  </w:num>
  <w:num w:numId="14" w16cid:durableId="1543446790">
    <w:abstractNumId w:val="17"/>
  </w:num>
  <w:num w:numId="15" w16cid:durableId="1860006167">
    <w:abstractNumId w:val="6"/>
  </w:num>
  <w:num w:numId="16" w16cid:durableId="1780178855">
    <w:abstractNumId w:val="12"/>
  </w:num>
  <w:num w:numId="17" w16cid:durableId="1249999408">
    <w:abstractNumId w:val="15"/>
  </w:num>
  <w:num w:numId="18" w16cid:durableId="581067592">
    <w:abstractNumId w:val="16"/>
  </w:num>
  <w:num w:numId="19" w16cid:durableId="128788700">
    <w:abstractNumId w:val="13"/>
  </w:num>
  <w:num w:numId="20" w16cid:durableId="1504708256">
    <w:abstractNumId w:val="8"/>
  </w:num>
  <w:num w:numId="21" w16cid:durableId="1537154033">
    <w:abstractNumId w:val="23"/>
  </w:num>
  <w:num w:numId="22" w16cid:durableId="94180736">
    <w:abstractNumId w:val="21"/>
  </w:num>
  <w:num w:numId="23" w16cid:durableId="858473217">
    <w:abstractNumId w:val="7"/>
  </w:num>
  <w:num w:numId="24" w16cid:durableId="1558470275">
    <w:abstractNumId w:val="0"/>
  </w:num>
  <w:num w:numId="25" w16cid:durableId="176962362">
    <w:abstractNumId w:val="19"/>
  </w:num>
  <w:num w:numId="26" w16cid:durableId="26542820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51"/>
  <w:removePersonalInformation/>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99"/>
    <w:rsid w:val="000001B7"/>
    <w:rsid w:val="000001C7"/>
    <w:rsid w:val="0000035F"/>
    <w:rsid w:val="00000573"/>
    <w:rsid w:val="00000877"/>
    <w:rsid w:val="0000093B"/>
    <w:rsid w:val="00000C9E"/>
    <w:rsid w:val="00001172"/>
    <w:rsid w:val="0000155C"/>
    <w:rsid w:val="00001DAA"/>
    <w:rsid w:val="00002ADE"/>
    <w:rsid w:val="00002BB0"/>
    <w:rsid w:val="00002BC6"/>
    <w:rsid w:val="00003333"/>
    <w:rsid w:val="000033EE"/>
    <w:rsid w:val="0000343F"/>
    <w:rsid w:val="000038D9"/>
    <w:rsid w:val="00003AAB"/>
    <w:rsid w:val="00003EB5"/>
    <w:rsid w:val="00003F48"/>
    <w:rsid w:val="00004201"/>
    <w:rsid w:val="000042E6"/>
    <w:rsid w:val="00004801"/>
    <w:rsid w:val="00005877"/>
    <w:rsid w:val="00005E6A"/>
    <w:rsid w:val="00006128"/>
    <w:rsid w:val="00006504"/>
    <w:rsid w:val="000068DC"/>
    <w:rsid w:val="00006AA7"/>
    <w:rsid w:val="00007047"/>
    <w:rsid w:val="000071CC"/>
    <w:rsid w:val="00007206"/>
    <w:rsid w:val="000078FA"/>
    <w:rsid w:val="00007AF5"/>
    <w:rsid w:val="00007E03"/>
    <w:rsid w:val="00007ED4"/>
    <w:rsid w:val="00010A0D"/>
    <w:rsid w:val="00010B63"/>
    <w:rsid w:val="00010CEE"/>
    <w:rsid w:val="000111C5"/>
    <w:rsid w:val="00011E45"/>
    <w:rsid w:val="00012B91"/>
    <w:rsid w:val="00012CE8"/>
    <w:rsid w:val="000133C7"/>
    <w:rsid w:val="00013506"/>
    <w:rsid w:val="00013541"/>
    <w:rsid w:val="000136FE"/>
    <w:rsid w:val="00013A59"/>
    <w:rsid w:val="000147CD"/>
    <w:rsid w:val="00014AC8"/>
    <w:rsid w:val="00014DEC"/>
    <w:rsid w:val="00014FD9"/>
    <w:rsid w:val="00015117"/>
    <w:rsid w:val="00015CC0"/>
    <w:rsid w:val="00015F0B"/>
    <w:rsid w:val="00016174"/>
    <w:rsid w:val="0001635B"/>
    <w:rsid w:val="00017B78"/>
    <w:rsid w:val="00017E5E"/>
    <w:rsid w:val="00020054"/>
    <w:rsid w:val="0002038C"/>
    <w:rsid w:val="0002067D"/>
    <w:rsid w:val="00020780"/>
    <w:rsid w:val="000209C3"/>
    <w:rsid w:val="00021156"/>
    <w:rsid w:val="000215B7"/>
    <w:rsid w:val="00021AD5"/>
    <w:rsid w:val="00021D88"/>
    <w:rsid w:val="00022294"/>
    <w:rsid w:val="00022624"/>
    <w:rsid w:val="00022638"/>
    <w:rsid w:val="00022CE8"/>
    <w:rsid w:val="00022D34"/>
    <w:rsid w:val="00022D5B"/>
    <w:rsid w:val="00022FE3"/>
    <w:rsid w:val="0002329A"/>
    <w:rsid w:val="0002340B"/>
    <w:rsid w:val="00023AE5"/>
    <w:rsid w:val="00023C53"/>
    <w:rsid w:val="00023C76"/>
    <w:rsid w:val="00024033"/>
    <w:rsid w:val="00024681"/>
    <w:rsid w:val="000248A4"/>
    <w:rsid w:val="000248FA"/>
    <w:rsid w:val="00024DCE"/>
    <w:rsid w:val="000256C2"/>
    <w:rsid w:val="00025989"/>
    <w:rsid w:val="00025AC4"/>
    <w:rsid w:val="00025C9D"/>
    <w:rsid w:val="0002628F"/>
    <w:rsid w:val="00026A83"/>
    <w:rsid w:val="0002743B"/>
    <w:rsid w:val="00027820"/>
    <w:rsid w:val="00027C23"/>
    <w:rsid w:val="00027FE0"/>
    <w:rsid w:val="00030027"/>
    <w:rsid w:val="000304CF"/>
    <w:rsid w:val="00030738"/>
    <w:rsid w:val="00031566"/>
    <w:rsid w:val="00031904"/>
    <w:rsid w:val="00032036"/>
    <w:rsid w:val="000320A0"/>
    <w:rsid w:val="000323F1"/>
    <w:rsid w:val="0003257C"/>
    <w:rsid w:val="00032662"/>
    <w:rsid w:val="00032A43"/>
    <w:rsid w:val="00032BAD"/>
    <w:rsid w:val="0003306E"/>
    <w:rsid w:val="000338D3"/>
    <w:rsid w:val="00033A46"/>
    <w:rsid w:val="00033C66"/>
    <w:rsid w:val="0003430F"/>
    <w:rsid w:val="000346BD"/>
    <w:rsid w:val="000347F0"/>
    <w:rsid w:val="00034CAC"/>
    <w:rsid w:val="00034D0C"/>
    <w:rsid w:val="0003540E"/>
    <w:rsid w:val="00035539"/>
    <w:rsid w:val="00035721"/>
    <w:rsid w:val="00035A9C"/>
    <w:rsid w:val="00036259"/>
    <w:rsid w:val="0003633B"/>
    <w:rsid w:val="000368F1"/>
    <w:rsid w:val="00036DEC"/>
    <w:rsid w:val="00036E24"/>
    <w:rsid w:val="00036F09"/>
    <w:rsid w:val="000374F3"/>
    <w:rsid w:val="00037D0A"/>
    <w:rsid w:val="000401DF"/>
    <w:rsid w:val="000409F7"/>
    <w:rsid w:val="00040E0F"/>
    <w:rsid w:val="00040F0D"/>
    <w:rsid w:val="0004114E"/>
    <w:rsid w:val="00041B01"/>
    <w:rsid w:val="00042C03"/>
    <w:rsid w:val="00042DD9"/>
    <w:rsid w:val="0004386A"/>
    <w:rsid w:val="00043906"/>
    <w:rsid w:val="00043928"/>
    <w:rsid w:val="00043D22"/>
    <w:rsid w:val="000440E5"/>
    <w:rsid w:val="00044962"/>
    <w:rsid w:val="00045135"/>
    <w:rsid w:val="00045251"/>
    <w:rsid w:val="00045E19"/>
    <w:rsid w:val="000463A5"/>
    <w:rsid w:val="00046A97"/>
    <w:rsid w:val="00046D25"/>
    <w:rsid w:val="000470CB"/>
    <w:rsid w:val="000471C9"/>
    <w:rsid w:val="00047883"/>
    <w:rsid w:val="00047C3F"/>
    <w:rsid w:val="00047D67"/>
    <w:rsid w:val="00047DDC"/>
    <w:rsid w:val="000501A1"/>
    <w:rsid w:val="00050347"/>
    <w:rsid w:val="00050CDB"/>
    <w:rsid w:val="00050E18"/>
    <w:rsid w:val="000510FD"/>
    <w:rsid w:val="0005110C"/>
    <w:rsid w:val="0005132B"/>
    <w:rsid w:val="000513C4"/>
    <w:rsid w:val="0005152A"/>
    <w:rsid w:val="0005158F"/>
    <w:rsid w:val="000519D1"/>
    <w:rsid w:val="00051CB3"/>
    <w:rsid w:val="00051CB9"/>
    <w:rsid w:val="00051FC6"/>
    <w:rsid w:val="00052D79"/>
    <w:rsid w:val="0005313B"/>
    <w:rsid w:val="00053C76"/>
    <w:rsid w:val="00053DA3"/>
    <w:rsid w:val="00053DBA"/>
    <w:rsid w:val="000541FC"/>
    <w:rsid w:val="000542EF"/>
    <w:rsid w:val="0005463E"/>
    <w:rsid w:val="00054CA6"/>
    <w:rsid w:val="0005507E"/>
    <w:rsid w:val="00055619"/>
    <w:rsid w:val="000557A9"/>
    <w:rsid w:val="00056538"/>
    <w:rsid w:val="00057025"/>
    <w:rsid w:val="0005799F"/>
    <w:rsid w:val="000601B8"/>
    <w:rsid w:val="00060675"/>
    <w:rsid w:val="000606C8"/>
    <w:rsid w:val="00060801"/>
    <w:rsid w:val="00060EAF"/>
    <w:rsid w:val="0006124E"/>
    <w:rsid w:val="00061306"/>
    <w:rsid w:val="0006141B"/>
    <w:rsid w:val="000617E1"/>
    <w:rsid w:val="00061CD0"/>
    <w:rsid w:val="00061E61"/>
    <w:rsid w:val="0006234F"/>
    <w:rsid w:val="0006291A"/>
    <w:rsid w:val="000631D1"/>
    <w:rsid w:val="0006342D"/>
    <w:rsid w:val="00063EF2"/>
    <w:rsid w:val="0006402D"/>
    <w:rsid w:val="000642D4"/>
    <w:rsid w:val="00064784"/>
    <w:rsid w:val="00064A6F"/>
    <w:rsid w:val="00065192"/>
    <w:rsid w:val="00065C8E"/>
    <w:rsid w:val="000661C2"/>
    <w:rsid w:val="0006631E"/>
    <w:rsid w:val="00066379"/>
    <w:rsid w:val="000665FB"/>
    <w:rsid w:val="00066791"/>
    <w:rsid w:val="00067D6F"/>
    <w:rsid w:val="000705C8"/>
    <w:rsid w:val="0007061D"/>
    <w:rsid w:val="00070857"/>
    <w:rsid w:val="00070B00"/>
    <w:rsid w:val="00070F02"/>
    <w:rsid w:val="00070F14"/>
    <w:rsid w:val="000715EA"/>
    <w:rsid w:val="00071786"/>
    <w:rsid w:val="00071B39"/>
    <w:rsid w:val="0007251D"/>
    <w:rsid w:val="00072D0E"/>
    <w:rsid w:val="00072FA2"/>
    <w:rsid w:val="00073A19"/>
    <w:rsid w:val="00073B85"/>
    <w:rsid w:val="00073C49"/>
    <w:rsid w:val="0007411A"/>
    <w:rsid w:val="000742BB"/>
    <w:rsid w:val="0007451B"/>
    <w:rsid w:val="0007459F"/>
    <w:rsid w:val="00074D85"/>
    <w:rsid w:val="00075710"/>
    <w:rsid w:val="00075A7B"/>
    <w:rsid w:val="00075AAD"/>
    <w:rsid w:val="00076511"/>
    <w:rsid w:val="000767EB"/>
    <w:rsid w:val="00076C7A"/>
    <w:rsid w:val="00076E4A"/>
    <w:rsid w:val="00076ECE"/>
    <w:rsid w:val="0007706F"/>
    <w:rsid w:val="000771E8"/>
    <w:rsid w:val="00077C40"/>
    <w:rsid w:val="00077DBD"/>
    <w:rsid w:val="00077FAA"/>
    <w:rsid w:val="00080592"/>
    <w:rsid w:val="00080832"/>
    <w:rsid w:val="0008118D"/>
    <w:rsid w:val="0008189E"/>
    <w:rsid w:val="00082960"/>
    <w:rsid w:val="0008299B"/>
    <w:rsid w:val="000831A9"/>
    <w:rsid w:val="00083642"/>
    <w:rsid w:val="00083888"/>
    <w:rsid w:val="000839EA"/>
    <w:rsid w:val="00083D49"/>
    <w:rsid w:val="00084108"/>
    <w:rsid w:val="0008417D"/>
    <w:rsid w:val="00084431"/>
    <w:rsid w:val="00084725"/>
    <w:rsid w:val="00084A8C"/>
    <w:rsid w:val="00084C43"/>
    <w:rsid w:val="00085147"/>
    <w:rsid w:val="000851ED"/>
    <w:rsid w:val="00086314"/>
    <w:rsid w:val="00086736"/>
    <w:rsid w:val="0008685B"/>
    <w:rsid w:val="00086C5A"/>
    <w:rsid w:val="00086EA8"/>
    <w:rsid w:val="00087976"/>
    <w:rsid w:val="00087A25"/>
    <w:rsid w:val="00087B9C"/>
    <w:rsid w:val="00087C7E"/>
    <w:rsid w:val="00087F11"/>
    <w:rsid w:val="00087F9C"/>
    <w:rsid w:val="000903F7"/>
    <w:rsid w:val="000905F4"/>
    <w:rsid w:val="00090712"/>
    <w:rsid w:val="00090912"/>
    <w:rsid w:val="000909FC"/>
    <w:rsid w:val="00090B44"/>
    <w:rsid w:val="00090B51"/>
    <w:rsid w:val="00091351"/>
    <w:rsid w:val="0009183E"/>
    <w:rsid w:val="000918D8"/>
    <w:rsid w:val="00091AC1"/>
    <w:rsid w:val="00091D6D"/>
    <w:rsid w:val="00091DFB"/>
    <w:rsid w:val="00091F42"/>
    <w:rsid w:val="00091FFA"/>
    <w:rsid w:val="00092102"/>
    <w:rsid w:val="000924E2"/>
    <w:rsid w:val="0009253F"/>
    <w:rsid w:val="000925DF"/>
    <w:rsid w:val="0009274A"/>
    <w:rsid w:val="00093302"/>
    <w:rsid w:val="00093BFE"/>
    <w:rsid w:val="000947D0"/>
    <w:rsid w:val="0009499C"/>
    <w:rsid w:val="00094F2A"/>
    <w:rsid w:val="00095081"/>
    <w:rsid w:val="00095232"/>
    <w:rsid w:val="000956E2"/>
    <w:rsid w:val="000956FB"/>
    <w:rsid w:val="00095945"/>
    <w:rsid w:val="00095985"/>
    <w:rsid w:val="00095A45"/>
    <w:rsid w:val="00095A76"/>
    <w:rsid w:val="00095D20"/>
    <w:rsid w:val="0009646B"/>
    <w:rsid w:val="000964E2"/>
    <w:rsid w:val="00096644"/>
    <w:rsid w:val="000966FE"/>
    <w:rsid w:val="00096A7C"/>
    <w:rsid w:val="00096B1F"/>
    <w:rsid w:val="00096F50"/>
    <w:rsid w:val="00096F59"/>
    <w:rsid w:val="00097200"/>
    <w:rsid w:val="000972C9"/>
    <w:rsid w:val="000979F0"/>
    <w:rsid w:val="00097B23"/>
    <w:rsid w:val="000A0377"/>
    <w:rsid w:val="000A0383"/>
    <w:rsid w:val="000A0408"/>
    <w:rsid w:val="000A0737"/>
    <w:rsid w:val="000A0881"/>
    <w:rsid w:val="000A09DA"/>
    <w:rsid w:val="000A15EE"/>
    <w:rsid w:val="000A1765"/>
    <w:rsid w:val="000A1871"/>
    <w:rsid w:val="000A18A2"/>
    <w:rsid w:val="000A191F"/>
    <w:rsid w:val="000A1A78"/>
    <w:rsid w:val="000A1D29"/>
    <w:rsid w:val="000A25AC"/>
    <w:rsid w:val="000A3398"/>
    <w:rsid w:val="000A3611"/>
    <w:rsid w:val="000A39CD"/>
    <w:rsid w:val="000A4236"/>
    <w:rsid w:val="000A459A"/>
    <w:rsid w:val="000A4684"/>
    <w:rsid w:val="000A52A3"/>
    <w:rsid w:val="000A5524"/>
    <w:rsid w:val="000A5AAC"/>
    <w:rsid w:val="000A5B57"/>
    <w:rsid w:val="000A6A81"/>
    <w:rsid w:val="000A7144"/>
    <w:rsid w:val="000A748A"/>
    <w:rsid w:val="000A7D2F"/>
    <w:rsid w:val="000A7FCC"/>
    <w:rsid w:val="000B008C"/>
    <w:rsid w:val="000B02F5"/>
    <w:rsid w:val="000B07F6"/>
    <w:rsid w:val="000B0B54"/>
    <w:rsid w:val="000B0BF6"/>
    <w:rsid w:val="000B0D36"/>
    <w:rsid w:val="000B0DF7"/>
    <w:rsid w:val="000B0EBD"/>
    <w:rsid w:val="000B0EFC"/>
    <w:rsid w:val="000B1233"/>
    <w:rsid w:val="000B13DC"/>
    <w:rsid w:val="000B167E"/>
    <w:rsid w:val="000B16D1"/>
    <w:rsid w:val="000B1B6E"/>
    <w:rsid w:val="000B1D05"/>
    <w:rsid w:val="000B1D2B"/>
    <w:rsid w:val="000B20F2"/>
    <w:rsid w:val="000B231A"/>
    <w:rsid w:val="000B2416"/>
    <w:rsid w:val="000B25F8"/>
    <w:rsid w:val="000B2A19"/>
    <w:rsid w:val="000B2B5D"/>
    <w:rsid w:val="000B2E57"/>
    <w:rsid w:val="000B3A6A"/>
    <w:rsid w:val="000B47F5"/>
    <w:rsid w:val="000B4915"/>
    <w:rsid w:val="000B4C70"/>
    <w:rsid w:val="000B4CE2"/>
    <w:rsid w:val="000B6201"/>
    <w:rsid w:val="000B6C25"/>
    <w:rsid w:val="000B730E"/>
    <w:rsid w:val="000B77FC"/>
    <w:rsid w:val="000B7AE6"/>
    <w:rsid w:val="000B7D14"/>
    <w:rsid w:val="000C026E"/>
    <w:rsid w:val="000C069A"/>
    <w:rsid w:val="000C0B74"/>
    <w:rsid w:val="000C1842"/>
    <w:rsid w:val="000C1AE0"/>
    <w:rsid w:val="000C2536"/>
    <w:rsid w:val="000C275C"/>
    <w:rsid w:val="000C2C55"/>
    <w:rsid w:val="000C2CEA"/>
    <w:rsid w:val="000C2D9C"/>
    <w:rsid w:val="000C2DDD"/>
    <w:rsid w:val="000C3443"/>
    <w:rsid w:val="000C3868"/>
    <w:rsid w:val="000C3BA4"/>
    <w:rsid w:val="000C3C1B"/>
    <w:rsid w:val="000C46B7"/>
    <w:rsid w:val="000C46B8"/>
    <w:rsid w:val="000C4C8F"/>
    <w:rsid w:val="000C4CED"/>
    <w:rsid w:val="000C5445"/>
    <w:rsid w:val="000C55B2"/>
    <w:rsid w:val="000C5C96"/>
    <w:rsid w:val="000C65A5"/>
    <w:rsid w:val="000C67C9"/>
    <w:rsid w:val="000C6DA9"/>
    <w:rsid w:val="000C6EF8"/>
    <w:rsid w:val="000C7BBF"/>
    <w:rsid w:val="000C7BCD"/>
    <w:rsid w:val="000C7F2D"/>
    <w:rsid w:val="000D0240"/>
    <w:rsid w:val="000D033F"/>
    <w:rsid w:val="000D03E6"/>
    <w:rsid w:val="000D053A"/>
    <w:rsid w:val="000D05B3"/>
    <w:rsid w:val="000D07E3"/>
    <w:rsid w:val="000D0B00"/>
    <w:rsid w:val="000D0B11"/>
    <w:rsid w:val="000D0EF8"/>
    <w:rsid w:val="000D11B0"/>
    <w:rsid w:val="000D151A"/>
    <w:rsid w:val="000D1BAE"/>
    <w:rsid w:val="000D1EF1"/>
    <w:rsid w:val="000D2240"/>
    <w:rsid w:val="000D2307"/>
    <w:rsid w:val="000D26D2"/>
    <w:rsid w:val="000D2A81"/>
    <w:rsid w:val="000D2DA8"/>
    <w:rsid w:val="000D2E37"/>
    <w:rsid w:val="000D30F8"/>
    <w:rsid w:val="000D32C5"/>
    <w:rsid w:val="000D3369"/>
    <w:rsid w:val="000D341B"/>
    <w:rsid w:val="000D348F"/>
    <w:rsid w:val="000D35A6"/>
    <w:rsid w:val="000D3C96"/>
    <w:rsid w:val="000D4FE3"/>
    <w:rsid w:val="000D5153"/>
    <w:rsid w:val="000D53C9"/>
    <w:rsid w:val="000D59E6"/>
    <w:rsid w:val="000D5A5F"/>
    <w:rsid w:val="000D5D6C"/>
    <w:rsid w:val="000D5E23"/>
    <w:rsid w:val="000D66DD"/>
    <w:rsid w:val="000D66E4"/>
    <w:rsid w:val="000D69FA"/>
    <w:rsid w:val="000D6C29"/>
    <w:rsid w:val="000D769B"/>
    <w:rsid w:val="000D7758"/>
    <w:rsid w:val="000D77F2"/>
    <w:rsid w:val="000E00A9"/>
    <w:rsid w:val="000E00C2"/>
    <w:rsid w:val="000E03AA"/>
    <w:rsid w:val="000E067F"/>
    <w:rsid w:val="000E0C13"/>
    <w:rsid w:val="000E1125"/>
    <w:rsid w:val="000E1294"/>
    <w:rsid w:val="000E1355"/>
    <w:rsid w:val="000E249C"/>
    <w:rsid w:val="000E25D3"/>
    <w:rsid w:val="000E2601"/>
    <w:rsid w:val="000E276C"/>
    <w:rsid w:val="000E2B82"/>
    <w:rsid w:val="000E320F"/>
    <w:rsid w:val="000E375A"/>
    <w:rsid w:val="000E3937"/>
    <w:rsid w:val="000E3DA0"/>
    <w:rsid w:val="000E3E1C"/>
    <w:rsid w:val="000E4A8B"/>
    <w:rsid w:val="000E50B4"/>
    <w:rsid w:val="000E543A"/>
    <w:rsid w:val="000E55EF"/>
    <w:rsid w:val="000E5613"/>
    <w:rsid w:val="000E5808"/>
    <w:rsid w:val="000E5E43"/>
    <w:rsid w:val="000E5F11"/>
    <w:rsid w:val="000E6886"/>
    <w:rsid w:val="000E6C42"/>
    <w:rsid w:val="000E74AF"/>
    <w:rsid w:val="000E74E9"/>
    <w:rsid w:val="000E798E"/>
    <w:rsid w:val="000E7A05"/>
    <w:rsid w:val="000E7BE7"/>
    <w:rsid w:val="000E7F4F"/>
    <w:rsid w:val="000F00E7"/>
    <w:rsid w:val="000F0393"/>
    <w:rsid w:val="000F0867"/>
    <w:rsid w:val="000F0954"/>
    <w:rsid w:val="000F0D81"/>
    <w:rsid w:val="000F110D"/>
    <w:rsid w:val="000F11AF"/>
    <w:rsid w:val="000F17E1"/>
    <w:rsid w:val="000F1898"/>
    <w:rsid w:val="000F19FF"/>
    <w:rsid w:val="000F1BF1"/>
    <w:rsid w:val="000F1CB1"/>
    <w:rsid w:val="000F203E"/>
    <w:rsid w:val="000F2D9E"/>
    <w:rsid w:val="000F2FA8"/>
    <w:rsid w:val="000F335E"/>
    <w:rsid w:val="000F375A"/>
    <w:rsid w:val="000F4F2E"/>
    <w:rsid w:val="000F506B"/>
    <w:rsid w:val="000F5E78"/>
    <w:rsid w:val="000F652E"/>
    <w:rsid w:val="000F65A6"/>
    <w:rsid w:val="000F673E"/>
    <w:rsid w:val="000F6812"/>
    <w:rsid w:val="000F6971"/>
    <w:rsid w:val="000F6C49"/>
    <w:rsid w:val="000F6F5B"/>
    <w:rsid w:val="000F71A4"/>
    <w:rsid w:val="000F75A5"/>
    <w:rsid w:val="000F7B69"/>
    <w:rsid w:val="00100A84"/>
    <w:rsid w:val="00100FA7"/>
    <w:rsid w:val="001012FB"/>
    <w:rsid w:val="0010135D"/>
    <w:rsid w:val="001015B9"/>
    <w:rsid w:val="00101895"/>
    <w:rsid w:val="00101952"/>
    <w:rsid w:val="00102093"/>
    <w:rsid w:val="00102FAC"/>
    <w:rsid w:val="0010340D"/>
    <w:rsid w:val="00103590"/>
    <w:rsid w:val="001037D6"/>
    <w:rsid w:val="0010381B"/>
    <w:rsid w:val="0010392B"/>
    <w:rsid w:val="00103D59"/>
    <w:rsid w:val="001040C4"/>
    <w:rsid w:val="0010439D"/>
    <w:rsid w:val="001043FD"/>
    <w:rsid w:val="00104460"/>
    <w:rsid w:val="00104BC9"/>
    <w:rsid w:val="00105261"/>
    <w:rsid w:val="0010546B"/>
    <w:rsid w:val="0010555F"/>
    <w:rsid w:val="00105847"/>
    <w:rsid w:val="0010591A"/>
    <w:rsid w:val="00105D2A"/>
    <w:rsid w:val="0010655F"/>
    <w:rsid w:val="001068D2"/>
    <w:rsid w:val="00107434"/>
    <w:rsid w:val="00107BD9"/>
    <w:rsid w:val="001101BF"/>
    <w:rsid w:val="00110B73"/>
    <w:rsid w:val="00110BCD"/>
    <w:rsid w:val="0011188E"/>
    <w:rsid w:val="00111F52"/>
    <w:rsid w:val="00112056"/>
    <w:rsid w:val="001123F5"/>
    <w:rsid w:val="0011243A"/>
    <w:rsid w:val="001131FA"/>
    <w:rsid w:val="0011342B"/>
    <w:rsid w:val="00113D40"/>
    <w:rsid w:val="001146CE"/>
    <w:rsid w:val="00115262"/>
    <w:rsid w:val="001153C5"/>
    <w:rsid w:val="00115AAD"/>
    <w:rsid w:val="00115C3C"/>
    <w:rsid w:val="00115F93"/>
    <w:rsid w:val="0011606E"/>
    <w:rsid w:val="0011632A"/>
    <w:rsid w:val="0011641A"/>
    <w:rsid w:val="00116B77"/>
    <w:rsid w:val="00117421"/>
    <w:rsid w:val="001176B0"/>
    <w:rsid w:val="00117B71"/>
    <w:rsid w:val="001203B0"/>
    <w:rsid w:val="001207D7"/>
    <w:rsid w:val="001209D7"/>
    <w:rsid w:val="00120A88"/>
    <w:rsid w:val="00120B5E"/>
    <w:rsid w:val="00120E5B"/>
    <w:rsid w:val="00120F5D"/>
    <w:rsid w:val="0012140A"/>
    <w:rsid w:val="00121B51"/>
    <w:rsid w:val="00121EBE"/>
    <w:rsid w:val="001227EF"/>
    <w:rsid w:val="00122F75"/>
    <w:rsid w:val="001233BD"/>
    <w:rsid w:val="0012368D"/>
    <w:rsid w:val="00123784"/>
    <w:rsid w:val="00123B0C"/>
    <w:rsid w:val="001249C8"/>
    <w:rsid w:val="00124A29"/>
    <w:rsid w:val="00124EDE"/>
    <w:rsid w:val="00124FD2"/>
    <w:rsid w:val="001252C0"/>
    <w:rsid w:val="001254F2"/>
    <w:rsid w:val="0012555F"/>
    <w:rsid w:val="001258A7"/>
    <w:rsid w:val="00125AA0"/>
    <w:rsid w:val="00125B05"/>
    <w:rsid w:val="00126122"/>
    <w:rsid w:val="0012632D"/>
    <w:rsid w:val="00126512"/>
    <w:rsid w:val="001268A6"/>
    <w:rsid w:val="0012735F"/>
    <w:rsid w:val="001273E4"/>
    <w:rsid w:val="001278AB"/>
    <w:rsid w:val="00130607"/>
    <w:rsid w:val="00130B7C"/>
    <w:rsid w:val="00130BA8"/>
    <w:rsid w:val="00130DAD"/>
    <w:rsid w:val="00130E94"/>
    <w:rsid w:val="00130F8B"/>
    <w:rsid w:val="0013122B"/>
    <w:rsid w:val="001315F1"/>
    <w:rsid w:val="00131B9E"/>
    <w:rsid w:val="00131F16"/>
    <w:rsid w:val="001321D8"/>
    <w:rsid w:val="00132408"/>
    <w:rsid w:val="00132550"/>
    <w:rsid w:val="0013259A"/>
    <w:rsid w:val="0013262F"/>
    <w:rsid w:val="0013360C"/>
    <w:rsid w:val="00133755"/>
    <w:rsid w:val="001341EA"/>
    <w:rsid w:val="0013439A"/>
    <w:rsid w:val="001348FD"/>
    <w:rsid w:val="001349C8"/>
    <w:rsid w:val="00134AFD"/>
    <w:rsid w:val="00134C12"/>
    <w:rsid w:val="00134C9F"/>
    <w:rsid w:val="00134F7B"/>
    <w:rsid w:val="001356E4"/>
    <w:rsid w:val="00135E42"/>
    <w:rsid w:val="00136690"/>
    <w:rsid w:val="00136C93"/>
    <w:rsid w:val="00136E04"/>
    <w:rsid w:val="0013705E"/>
    <w:rsid w:val="001373D9"/>
    <w:rsid w:val="00137584"/>
    <w:rsid w:val="00137848"/>
    <w:rsid w:val="00137E1B"/>
    <w:rsid w:val="00140125"/>
    <w:rsid w:val="0014034C"/>
    <w:rsid w:val="001406CD"/>
    <w:rsid w:val="001406D8"/>
    <w:rsid w:val="00140E14"/>
    <w:rsid w:val="00140ECB"/>
    <w:rsid w:val="00141A70"/>
    <w:rsid w:val="00142FEC"/>
    <w:rsid w:val="0014358A"/>
    <w:rsid w:val="00143B25"/>
    <w:rsid w:val="00143C2C"/>
    <w:rsid w:val="0014434F"/>
    <w:rsid w:val="00144488"/>
    <w:rsid w:val="001446A8"/>
    <w:rsid w:val="0014489B"/>
    <w:rsid w:val="0014537A"/>
    <w:rsid w:val="00146395"/>
    <w:rsid w:val="00146FB5"/>
    <w:rsid w:val="001472B0"/>
    <w:rsid w:val="0014734F"/>
    <w:rsid w:val="0014778A"/>
    <w:rsid w:val="00147F54"/>
    <w:rsid w:val="00147FFE"/>
    <w:rsid w:val="00150080"/>
    <w:rsid w:val="00150151"/>
    <w:rsid w:val="00150377"/>
    <w:rsid w:val="00150B07"/>
    <w:rsid w:val="00150F0C"/>
    <w:rsid w:val="00150F47"/>
    <w:rsid w:val="0015171C"/>
    <w:rsid w:val="001517F9"/>
    <w:rsid w:val="001518DE"/>
    <w:rsid w:val="00151979"/>
    <w:rsid w:val="00151B19"/>
    <w:rsid w:val="00151F06"/>
    <w:rsid w:val="00152213"/>
    <w:rsid w:val="00152FB9"/>
    <w:rsid w:val="0015342E"/>
    <w:rsid w:val="00153997"/>
    <w:rsid w:val="00153A9C"/>
    <w:rsid w:val="00153C05"/>
    <w:rsid w:val="00153D1B"/>
    <w:rsid w:val="00153E5D"/>
    <w:rsid w:val="00154418"/>
    <w:rsid w:val="001544A7"/>
    <w:rsid w:val="0015471C"/>
    <w:rsid w:val="00155374"/>
    <w:rsid w:val="0015556D"/>
    <w:rsid w:val="00155692"/>
    <w:rsid w:val="00155B57"/>
    <w:rsid w:val="00155D39"/>
    <w:rsid w:val="00156B60"/>
    <w:rsid w:val="00157119"/>
    <w:rsid w:val="0015745E"/>
    <w:rsid w:val="001576DE"/>
    <w:rsid w:val="001576E3"/>
    <w:rsid w:val="00157A46"/>
    <w:rsid w:val="00157F42"/>
    <w:rsid w:val="00157F9A"/>
    <w:rsid w:val="00160968"/>
    <w:rsid w:val="00160A5E"/>
    <w:rsid w:val="00160F90"/>
    <w:rsid w:val="001611E8"/>
    <w:rsid w:val="001613D0"/>
    <w:rsid w:val="00161F89"/>
    <w:rsid w:val="001622D3"/>
    <w:rsid w:val="0016255A"/>
    <w:rsid w:val="00162AEC"/>
    <w:rsid w:val="00162DFA"/>
    <w:rsid w:val="00162ECF"/>
    <w:rsid w:val="00162FA4"/>
    <w:rsid w:val="001637D5"/>
    <w:rsid w:val="00163C71"/>
    <w:rsid w:val="00164164"/>
    <w:rsid w:val="00164291"/>
    <w:rsid w:val="001647C5"/>
    <w:rsid w:val="001648AF"/>
    <w:rsid w:val="001648DC"/>
    <w:rsid w:val="00164A6B"/>
    <w:rsid w:val="00164E0C"/>
    <w:rsid w:val="00164E5E"/>
    <w:rsid w:val="00164E83"/>
    <w:rsid w:val="00165045"/>
    <w:rsid w:val="0016513F"/>
    <w:rsid w:val="00166163"/>
    <w:rsid w:val="0016638D"/>
    <w:rsid w:val="00166515"/>
    <w:rsid w:val="001669AD"/>
    <w:rsid w:val="001672D0"/>
    <w:rsid w:val="00167714"/>
    <w:rsid w:val="00167CBA"/>
    <w:rsid w:val="001705BF"/>
    <w:rsid w:val="001707E6"/>
    <w:rsid w:val="0017084B"/>
    <w:rsid w:val="00170D6D"/>
    <w:rsid w:val="00170E67"/>
    <w:rsid w:val="001710F0"/>
    <w:rsid w:val="0017190A"/>
    <w:rsid w:val="00172553"/>
    <w:rsid w:val="001726A6"/>
    <w:rsid w:val="00172921"/>
    <w:rsid w:val="001729D9"/>
    <w:rsid w:val="00172C38"/>
    <w:rsid w:val="00172DEE"/>
    <w:rsid w:val="00173312"/>
    <w:rsid w:val="001734CF"/>
    <w:rsid w:val="001737F0"/>
    <w:rsid w:val="001743E5"/>
    <w:rsid w:val="00174A30"/>
    <w:rsid w:val="00174BA9"/>
    <w:rsid w:val="00174C16"/>
    <w:rsid w:val="00174D6B"/>
    <w:rsid w:val="00175704"/>
    <w:rsid w:val="0017570D"/>
    <w:rsid w:val="001760D0"/>
    <w:rsid w:val="001761E8"/>
    <w:rsid w:val="001764E9"/>
    <w:rsid w:val="00176586"/>
    <w:rsid w:val="00176C87"/>
    <w:rsid w:val="00176CCB"/>
    <w:rsid w:val="001771E8"/>
    <w:rsid w:val="001774D6"/>
    <w:rsid w:val="00177984"/>
    <w:rsid w:val="00177A7A"/>
    <w:rsid w:val="00177ECA"/>
    <w:rsid w:val="00177EE3"/>
    <w:rsid w:val="00180031"/>
    <w:rsid w:val="00180BFF"/>
    <w:rsid w:val="00180DF2"/>
    <w:rsid w:val="0018162D"/>
    <w:rsid w:val="00181809"/>
    <w:rsid w:val="00181BAA"/>
    <w:rsid w:val="00181F87"/>
    <w:rsid w:val="00182171"/>
    <w:rsid w:val="0018247D"/>
    <w:rsid w:val="00182AB0"/>
    <w:rsid w:val="00182DBB"/>
    <w:rsid w:val="0018368B"/>
    <w:rsid w:val="00183C87"/>
    <w:rsid w:val="001841CE"/>
    <w:rsid w:val="00184D0F"/>
    <w:rsid w:val="001859D4"/>
    <w:rsid w:val="001859F4"/>
    <w:rsid w:val="00185DE8"/>
    <w:rsid w:val="00185F90"/>
    <w:rsid w:val="00186082"/>
    <w:rsid w:val="001860F2"/>
    <w:rsid w:val="0018631A"/>
    <w:rsid w:val="001869C1"/>
    <w:rsid w:val="00186FB5"/>
    <w:rsid w:val="00187390"/>
    <w:rsid w:val="0019059B"/>
    <w:rsid w:val="001906C6"/>
    <w:rsid w:val="00190C59"/>
    <w:rsid w:val="00190F7C"/>
    <w:rsid w:val="0019121A"/>
    <w:rsid w:val="0019197E"/>
    <w:rsid w:val="00192BC2"/>
    <w:rsid w:val="00192C23"/>
    <w:rsid w:val="00192D20"/>
    <w:rsid w:val="00192D24"/>
    <w:rsid w:val="00192D98"/>
    <w:rsid w:val="00193722"/>
    <w:rsid w:val="001937BF"/>
    <w:rsid w:val="001943DB"/>
    <w:rsid w:val="001945AB"/>
    <w:rsid w:val="0019467C"/>
    <w:rsid w:val="00194D22"/>
    <w:rsid w:val="00194F1D"/>
    <w:rsid w:val="00194F8A"/>
    <w:rsid w:val="001960BB"/>
    <w:rsid w:val="001965D7"/>
    <w:rsid w:val="001966EE"/>
    <w:rsid w:val="00196825"/>
    <w:rsid w:val="00196C4C"/>
    <w:rsid w:val="00197000"/>
    <w:rsid w:val="001974EB"/>
    <w:rsid w:val="00197C32"/>
    <w:rsid w:val="00197E44"/>
    <w:rsid w:val="001A0310"/>
    <w:rsid w:val="001A0550"/>
    <w:rsid w:val="001A05E7"/>
    <w:rsid w:val="001A0A1D"/>
    <w:rsid w:val="001A0B29"/>
    <w:rsid w:val="001A1ED5"/>
    <w:rsid w:val="001A20BB"/>
    <w:rsid w:val="001A23CE"/>
    <w:rsid w:val="001A24E3"/>
    <w:rsid w:val="001A2C7D"/>
    <w:rsid w:val="001A2DB6"/>
    <w:rsid w:val="001A3593"/>
    <w:rsid w:val="001A371D"/>
    <w:rsid w:val="001A40AD"/>
    <w:rsid w:val="001A40C8"/>
    <w:rsid w:val="001A4400"/>
    <w:rsid w:val="001A459B"/>
    <w:rsid w:val="001A4705"/>
    <w:rsid w:val="001A510C"/>
    <w:rsid w:val="001A552C"/>
    <w:rsid w:val="001A5594"/>
    <w:rsid w:val="001A5A52"/>
    <w:rsid w:val="001A5D32"/>
    <w:rsid w:val="001A64C2"/>
    <w:rsid w:val="001A6C03"/>
    <w:rsid w:val="001A6F4B"/>
    <w:rsid w:val="001A7151"/>
    <w:rsid w:val="001A7464"/>
    <w:rsid w:val="001A7545"/>
    <w:rsid w:val="001A7966"/>
    <w:rsid w:val="001B02DD"/>
    <w:rsid w:val="001B041B"/>
    <w:rsid w:val="001B0620"/>
    <w:rsid w:val="001B0653"/>
    <w:rsid w:val="001B0ACA"/>
    <w:rsid w:val="001B0B8D"/>
    <w:rsid w:val="001B1262"/>
    <w:rsid w:val="001B128C"/>
    <w:rsid w:val="001B15CC"/>
    <w:rsid w:val="001B1E59"/>
    <w:rsid w:val="001B2975"/>
    <w:rsid w:val="001B3680"/>
    <w:rsid w:val="001B3EED"/>
    <w:rsid w:val="001B422D"/>
    <w:rsid w:val="001B48A9"/>
    <w:rsid w:val="001B4947"/>
    <w:rsid w:val="001B4A02"/>
    <w:rsid w:val="001B4C2E"/>
    <w:rsid w:val="001B4C58"/>
    <w:rsid w:val="001B4D61"/>
    <w:rsid w:val="001B4FFF"/>
    <w:rsid w:val="001B519F"/>
    <w:rsid w:val="001B5338"/>
    <w:rsid w:val="001B5490"/>
    <w:rsid w:val="001B5530"/>
    <w:rsid w:val="001B55EA"/>
    <w:rsid w:val="001B58AD"/>
    <w:rsid w:val="001B59BD"/>
    <w:rsid w:val="001B61D7"/>
    <w:rsid w:val="001B653B"/>
    <w:rsid w:val="001B67AC"/>
    <w:rsid w:val="001B6984"/>
    <w:rsid w:val="001B6B3F"/>
    <w:rsid w:val="001B6F61"/>
    <w:rsid w:val="001B7128"/>
    <w:rsid w:val="001B7388"/>
    <w:rsid w:val="001B739B"/>
    <w:rsid w:val="001B7463"/>
    <w:rsid w:val="001B7AE7"/>
    <w:rsid w:val="001C07C4"/>
    <w:rsid w:val="001C0B55"/>
    <w:rsid w:val="001C0D88"/>
    <w:rsid w:val="001C0FBA"/>
    <w:rsid w:val="001C1274"/>
    <w:rsid w:val="001C129A"/>
    <w:rsid w:val="001C14E7"/>
    <w:rsid w:val="001C1547"/>
    <w:rsid w:val="001C163E"/>
    <w:rsid w:val="001C1660"/>
    <w:rsid w:val="001C1802"/>
    <w:rsid w:val="001C19CD"/>
    <w:rsid w:val="001C1A42"/>
    <w:rsid w:val="001C1C5D"/>
    <w:rsid w:val="001C22CA"/>
    <w:rsid w:val="001C2AC3"/>
    <w:rsid w:val="001C2D10"/>
    <w:rsid w:val="001C2D52"/>
    <w:rsid w:val="001C31EE"/>
    <w:rsid w:val="001C39A7"/>
    <w:rsid w:val="001C3F20"/>
    <w:rsid w:val="001C4147"/>
    <w:rsid w:val="001C42E1"/>
    <w:rsid w:val="001C4408"/>
    <w:rsid w:val="001C45E5"/>
    <w:rsid w:val="001C49C7"/>
    <w:rsid w:val="001C50C2"/>
    <w:rsid w:val="001C55EA"/>
    <w:rsid w:val="001C576B"/>
    <w:rsid w:val="001C577D"/>
    <w:rsid w:val="001C59A6"/>
    <w:rsid w:val="001C5A84"/>
    <w:rsid w:val="001C5BE2"/>
    <w:rsid w:val="001C65B0"/>
    <w:rsid w:val="001C663E"/>
    <w:rsid w:val="001C66ED"/>
    <w:rsid w:val="001C696E"/>
    <w:rsid w:val="001C6B95"/>
    <w:rsid w:val="001C6BE4"/>
    <w:rsid w:val="001C6BEC"/>
    <w:rsid w:val="001C6C9B"/>
    <w:rsid w:val="001C6CE8"/>
    <w:rsid w:val="001C6D7B"/>
    <w:rsid w:val="001C6DD8"/>
    <w:rsid w:val="001C6F88"/>
    <w:rsid w:val="001C76B9"/>
    <w:rsid w:val="001C7A52"/>
    <w:rsid w:val="001C7DBF"/>
    <w:rsid w:val="001C7E41"/>
    <w:rsid w:val="001C7E5E"/>
    <w:rsid w:val="001C7FF6"/>
    <w:rsid w:val="001D015B"/>
    <w:rsid w:val="001D05FF"/>
    <w:rsid w:val="001D0712"/>
    <w:rsid w:val="001D0E4F"/>
    <w:rsid w:val="001D0E54"/>
    <w:rsid w:val="001D1568"/>
    <w:rsid w:val="001D1B84"/>
    <w:rsid w:val="001D1D36"/>
    <w:rsid w:val="001D1EBD"/>
    <w:rsid w:val="001D1FD9"/>
    <w:rsid w:val="001D29AF"/>
    <w:rsid w:val="001D350B"/>
    <w:rsid w:val="001D35F4"/>
    <w:rsid w:val="001D4157"/>
    <w:rsid w:val="001D4694"/>
    <w:rsid w:val="001D4AC0"/>
    <w:rsid w:val="001D4C60"/>
    <w:rsid w:val="001D5287"/>
    <w:rsid w:val="001D5355"/>
    <w:rsid w:val="001D5D0A"/>
    <w:rsid w:val="001D63D0"/>
    <w:rsid w:val="001D6DB1"/>
    <w:rsid w:val="001D7649"/>
    <w:rsid w:val="001D7830"/>
    <w:rsid w:val="001D7BED"/>
    <w:rsid w:val="001D7C08"/>
    <w:rsid w:val="001E0BF7"/>
    <w:rsid w:val="001E0F88"/>
    <w:rsid w:val="001E1522"/>
    <w:rsid w:val="001E16C7"/>
    <w:rsid w:val="001E1923"/>
    <w:rsid w:val="001E1A34"/>
    <w:rsid w:val="001E23E0"/>
    <w:rsid w:val="001E2952"/>
    <w:rsid w:val="001E2C92"/>
    <w:rsid w:val="001E2C99"/>
    <w:rsid w:val="001E3636"/>
    <w:rsid w:val="001E3987"/>
    <w:rsid w:val="001E3D30"/>
    <w:rsid w:val="001E3D49"/>
    <w:rsid w:val="001E3D56"/>
    <w:rsid w:val="001E3FDD"/>
    <w:rsid w:val="001E4224"/>
    <w:rsid w:val="001E4658"/>
    <w:rsid w:val="001E4878"/>
    <w:rsid w:val="001E4D33"/>
    <w:rsid w:val="001E4FD2"/>
    <w:rsid w:val="001E57B3"/>
    <w:rsid w:val="001E6456"/>
    <w:rsid w:val="001E69EA"/>
    <w:rsid w:val="001E706B"/>
    <w:rsid w:val="001E726B"/>
    <w:rsid w:val="001E7426"/>
    <w:rsid w:val="001E76A7"/>
    <w:rsid w:val="001E78C3"/>
    <w:rsid w:val="001E798D"/>
    <w:rsid w:val="001E7DDE"/>
    <w:rsid w:val="001E7F45"/>
    <w:rsid w:val="001F01E5"/>
    <w:rsid w:val="001F0569"/>
    <w:rsid w:val="001F0CC0"/>
    <w:rsid w:val="001F0E92"/>
    <w:rsid w:val="001F16D3"/>
    <w:rsid w:val="001F1760"/>
    <w:rsid w:val="001F196A"/>
    <w:rsid w:val="001F276D"/>
    <w:rsid w:val="001F2A17"/>
    <w:rsid w:val="001F2BE3"/>
    <w:rsid w:val="001F3088"/>
    <w:rsid w:val="001F38E4"/>
    <w:rsid w:val="001F3910"/>
    <w:rsid w:val="001F3AF8"/>
    <w:rsid w:val="001F3D0E"/>
    <w:rsid w:val="001F3DF7"/>
    <w:rsid w:val="001F3EC1"/>
    <w:rsid w:val="001F4A03"/>
    <w:rsid w:val="001F4ED6"/>
    <w:rsid w:val="001F5043"/>
    <w:rsid w:val="001F52C6"/>
    <w:rsid w:val="001F567D"/>
    <w:rsid w:val="001F5699"/>
    <w:rsid w:val="001F5975"/>
    <w:rsid w:val="001F5B3C"/>
    <w:rsid w:val="001F5E1E"/>
    <w:rsid w:val="001F62BD"/>
    <w:rsid w:val="001F6631"/>
    <w:rsid w:val="001F6813"/>
    <w:rsid w:val="001F6995"/>
    <w:rsid w:val="001F6A54"/>
    <w:rsid w:val="001F6A87"/>
    <w:rsid w:val="001F74A1"/>
    <w:rsid w:val="001F7538"/>
    <w:rsid w:val="001F7B47"/>
    <w:rsid w:val="00200355"/>
    <w:rsid w:val="002004BB"/>
    <w:rsid w:val="00200516"/>
    <w:rsid w:val="00200C30"/>
    <w:rsid w:val="00200CBA"/>
    <w:rsid w:val="00200DF4"/>
    <w:rsid w:val="0020116C"/>
    <w:rsid w:val="00201678"/>
    <w:rsid w:val="002018A1"/>
    <w:rsid w:val="00201F53"/>
    <w:rsid w:val="00201FD6"/>
    <w:rsid w:val="002023EB"/>
    <w:rsid w:val="00202518"/>
    <w:rsid w:val="00202774"/>
    <w:rsid w:val="0020304D"/>
    <w:rsid w:val="00203172"/>
    <w:rsid w:val="002033AF"/>
    <w:rsid w:val="00203431"/>
    <w:rsid w:val="00203B51"/>
    <w:rsid w:val="00203F40"/>
    <w:rsid w:val="0020425C"/>
    <w:rsid w:val="00204A8F"/>
    <w:rsid w:val="00204D71"/>
    <w:rsid w:val="002051DE"/>
    <w:rsid w:val="00205943"/>
    <w:rsid w:val="00205BEC"/>
    <w:rsid w:val="00205D72"/>
    <w:rsid w:val="00206158"/>
    <w:rsid w:val="0020659D"/>
    <w:rsid w:val="00206710"/>
    <w:rsid w:val="0020682D"/>
    <w:rsid w:val="00206B9F"/>
    <w:rsid w:val="00206EFE"/>
    <w:rsid w:val="00207403"/>
    <w:rsid w:val="00207883"/>
    <w:rsid w:val="00207F18"/>
    <w:rsid w:val="00210A6D"/>
    <w:rsid w:val="00210B5D"/>
    <w:rsid w:val="00211437"/>
    <w:rsid w:val="0021168A"/>
    <w:rsid w:val="00211A66"/>
    <w:rsid w:val="00211A76"/>
    <w:rsid w:val="00211C68"/>
    <w:rsid w:val="002122E2"/>
    <w:rsid w:val="002124F2"/>
    <w:rsid w:val="0021276C"/>
    <w:rsid w:val="00212BDD"/>
    <w:rsid w:val="00212D26"/>
    <w:rsid w:val="00212D8B"/>
    <w:rsid w:val="00212E39"/>
    <w:rsid w:val="0021348A"/>
    <w:rsid w:val="00213536"/>
    <w:rsid w:val="00213684"/>
    <w:rsid w:val="002137A0"/>
    <w:rsid w:val="00213BFD"/>
    <w:rsid w:val="00213C8E"/>
    <w:rsid w:val="00213CA2"/>
    <w:rsid w:val="0021404A"/>
    <w:rsid w:val="0021436D"/>
    <w:rsid w:val="00214401"/>
    <w:rsid w:val="00214452"/>
    <w:rsid w:val="00214B05"/>
    <w:rsid w:val="002154AC"/>
    <w:rsid w:val="002159B9"/>
    <w:rsid w:val="00215C24"/>
    <w:rsid w:val="002164CF"/>
    <w:rsid w:val="002165D1"/>
    <w:rsid w:val="002167D9"/>
    <w:rsid w:val="00216F6B"/>
    <w:rsid w:val="002178C1"/>
    <w:rsid w:val="00220245"/>
    <w:rsid w:val="00220692"/>
    <w:rsid w:val="00220A7C"/>
    <w:rsid w:val="00220ECE"/>
    <w:rsid w:val="0022287B"/>
    <w:rsid w:val="002228F0"/>
    <w:rsid w:val="00222D3D"/>
    <w:rsid w:val="002239A4"/>
    <w:rsid w:val="002247EB"/>
    <w:rsid w:val="00224812"/>
    <w:rsid w:val="00224FF2"/>
    <w:rsid w:val="0022503E"/>
    <w:rsid w:val="0022506F"/>
    <w:rsid w:val="00225140"/>
    <w:rsid w:val="002255E8"/>
    <w:rsid w:val="00225808"/>
    <w:rsid w:val="002258A5"/>
    <w:rsid w:val="00225900"/>
    <w:rsid w:val="00225A48"/>
    <w:rsid w:val="00225AE0"/>
    <w:rsid w:val="00225F7C"/>
    <w:rsid w:val="0022601A"/>
    <w:rsid w:val="002260EA"/>
    <w:rsid w:val="002261ED"/>
    <w:rsid w:val="00226259"/>
    <w:rsid w:val="002264DC"/>
    <w:rsid w:val="002265A0"/>
    <w:rsid w:val="00226A0A"/>
    <w:rsid w:val="0022713C"/>
    <w:rsid w:val="0022774F"/>
    <w:rsid w:val="00230260"/>
    <w:rsid w:val="00230488"/>
    <w:rsid w:val="00230905"/>
    <w:rsid w:val="00230AEE"/>
    <w:rsid w:val="00231077"/>
    <w:rsid w:val="002310C7"/>
    <w:rsid w:val="002317CA"/>
    <w:rsid w:val="00231E4F"/>
    <w:rsid w:val="00232AF8"/>
    <w:rsid w:val="00232E5B"/>
    <w:rsid w:val="00233451"/>
    <w:rsid w:val="0023441A"/>
    <w:rsid w:val="00234680"/>
    <w:rsid w:val="00234DF7"/>
    <w:rsid w:val="00234E07"/>
    <w:rsid w:val="00234F3D"/>
    <w:rsid w:val="00235669"/>
    <w:rsid w:val="0023585A"/>
    <w:rsid w:val="00235B3A"/>
    <w:rsid w:val="00235F98"/>
    <w:rsid w:val="002365C0"/>
    <w:rsid w:val="00236A88"/>
    <w:rsid w:val="00236BF7"/>
    <w:rsid w:val="00236F1F"/>
    <w:rsid w:val="002370C4"/>
    <w:rsid w:val="002374D7"/>
    <w:rsid w:val="00237AD0"/>
    <w:rsid w:val="00237DA1"/>
    <w:rsid w:val="002409AB"/>
    <w:rsid w:val="00240AA5"/>
    <w:rsid w:val="00240D7E"/>
    <w:rsid w:val="00240DE0"/>
    <w:rsid w:val="002410A4"/>
    <w:rsid w:val="00241220"/>
    <w:rsid w:val="00241B36"/>
    <w:rsid w:val="00242070"/>
    <w:rsid w:val="00242318"/>
    <w:rsid w:val="00242862"/>
    <w:rsid w:val="00242C3A"/>
    <w:rsid w:val="00242D1C"/>
    <w:rsid w:val="00243970"/>
    <w:rsid w:val="00243EDF"/>
    <w:rsid w:val="00243F29"/>
    <w:rsid w:val="00244D59"/>
    <w:rsid w:val="00244FCC"/>
    <w:rsid w:val="00245341"/>
    <w:rsid w:val="00245E42"/>
    <w:rsid w:val="0024605E"/>
    <w:rsid w:val="0024628E"/>
    <w:rsid w:val="00246434"/>
    <w:rsid w:val="0024647E"/>
    <w:rsid w:val="00247903"/>
    <w:rsid w:val="00247C8C"/>
    <w:rsid w:val="00247D39"/>
    <w:rsid w:val="00247E49"/>
    <w:rsid w:val="00247FC9"/>
    <w:rsid w:val="002500A0"/>
    <w:rsid w:val="002502E1"/>
    <w:rsid w:val="0025030F"/>
    <w:rsid w:val="0025078A"/>
    <w:rsid w:val="00250D05"/>
    <w:rsid w:val="0025142D"/>
    <w:rsid w:val="00251A45"/>
    <w:rsid w:val="00251AB3"/>
    <w:rsid w:val="00252587"/>
    <w:rsid w:val="002526A9"/>
    <w:rsid w:val="00252833"/>
    <w:rsid w:val="00252937"/>
    <w:rsid w:val="00252A7C"/>
    <w:rsid w:val="002533E2"/>
    <w:rsid w:val="0025356F"/>
    <w:rsid w:val="0025376D"/>
    <w:rsid w:val="002537E1"/>
    <w:rsid w:val="00253886"/>
    <w:rsid w:val="00253E17"/>
    <w:rsid w:val="00253EEC"/>
    <w:rsid w:val="002545EB"/>
    <w:rsid w:val="002546B0"/>
    <w:rsid w:val="00255132"/>
    <w:rsid w:val="0025552C"/>
    <w:rsid w:val="0025557B"/>
    <w:rsid w:val="00255955"/>
    <w:rsid w:val="0025597B"/>
    <w:rsid w:val="00255A7A"/>
    <w:rsid w:val="00256747"/>
    <w:rsid w:val="002569D4"/>
    <w:rsid w:val="00256EA0"/>
    <w:rsid w:val="0025712C"/>
    <w:rsid w:val="002574CA"/>
    <w:rsid w:val="002575A4"/>
    <w:rsid w:val="00257F27"/>
    <w:rsid w:val="0026010F"/>
    <w:rsid w:val="00260122"/>
    <w:rsid w:val="00260206"/>
    <w:rsid w:val="002607A1"/>
    <w:rsid w:val="00260CCC"/>
    <w:rsid w:val="00260E13"/>
    <w:rsid w:val="00261283"/>
    <w:rsid w:val="00261645"/>
    <w:rsid w:val="00262431"/>
    <w:rsid w:val="0026275E"/>
    <w:rsid w:val="002627B3"/>
    <w:rsid w:val="00262A51"/>
    <w:rsid w:val="00262BA7"/>
    <w:rsid w:val="00263209"/>
    <w:rsid w:val="00263266"/>
    <w:rsid w:val="00263789"/>
    <w:rsid w:val="00263CB1"/>
    <w:rsid w:val="00264440"/>
    <w:rsid w:val="00264C12"/>
    <w:rsid w:val="002651B5"/>
    <w:rsid w:val="00265339"/>
    <w:rsid w:val="002657A6"/>
    <w:rsid w:val="002658C3"/>
    <w:rsid w:val="00265937"/>
    <w:rsid w:val="0026604B"/>
    <w:rsid w:val="00266C86"/>
    <w:rsid w:val="00266F35"/>
    <w:rsid w:val="0026728F"/>
    <w:rsid w:val="002672DF"/>
    <w:rsid w:val="00267425"/>
    <w:rsid w:val="002675F9"/>
    <w:rsid w:val="0026779D"/>
    <w:rsid w:val="002679EC"/>
    <w:rsid w:val="00270471"/>
    <w:rsid w:val="00270934"/>
    <w:rsid w:val="0027124C"/>
    <w:rsid w:val="0027168B"/>
    <w:rsid w:val="00271994"/>
    <w:rsid w:val="00271C16"/>
    <w:rsid w:val="00271C58"/>
    <w:rsid w:val="00271D96"/>
    <w:rsid w:val="002722B4"/>
    <w:rsid w:val="002724ED"/>
    <w:rsid w:val="002726EF"/>
    <w:rsid w:val="00272844"/>
    <w:rsid w:val="00272AA0"/>
    <w:rsid w:val="00272BC7"/>
    <w:rsid w:val="00272DA5"/>
    <w:rsid w:val="00272DFA"/>
    <w:rsid w:val="00272E10"/>
    <w:rsid w:val="0027315A"/>
    <w:rsid w:val="002735A6"/>
    <w:rsid w:val="00273695"/>
    <w:rsid w:val="00273996"/>
    <w:rsid w:val="00273ABA"/>
    <w:rsid w:val="00273EC6"/>
    <w:rsid w:val="0027425A"/>
    <w:rsid w:val="00274537"/>
    <w:rsid w:val="00274EEC"/>
    <w:rsid w:val="002752B4"/>
    <w:rsid w:val="00275471"/>
    <w:rsid w:val="002754C0"/>
    <w:rsid w:val="0027616C"/>
    <w:rsid w:val="00276866"/>
    <w:rsid w:val="0027699A"/>
    <w:rsid w:val="00276C9F"/>
    <w:rsid w:val="00276F04"/>
    <w:rsid w:val="00277F05"/>
    <w:rsid w:val="00280289"/>
    <w:rsid w:val="0028051F"/>
    <w:rsid w:val="0028080A"/>
    <w:rsid w:val="0028096B"/>
    <w:rsid w:val="00280AA4"/>
    <w:rsid w:val="00280C08"/>
    <w:rsid w:val="00280C45"/>
    <w:rsid w:val="00280CE7"/>
    <w:rsid w:val="00280FEB"/>
    <w:rsid w:val="0028172E"/>
    <w:rsid w:val="002817B6"/>
    <w:rsid w:val="002818A0"/>
    <w:rsid w:val="00281AB7"/>
    <w:rsid w:val="00281C1B"/>
    <w:rsid w:val="00282053"/>
    <w:rsid w:val="00283003"/>
    <w:rsid w:val="00283972"/>
    <w:rsid w:val="00283BED"/>
    <w:rsid w:val="00283CF6"/>
    <w:rsid w:val="002841E4"/>
    <w:rsid w:val="00284CB6"/>
    <w:rsid w:val="002852C5"/>
    <w:rsid w:val="0028584B"/>
    <w:rsid w:val="002859B5"/>
    <w:rsid w:val="00285B50"/>
    <w:rsid w:val="00286767"/>
    <w:rsid w:val="00286ED0"/>
    <w:rsid w:val="002870F1"/>
    <w:rsid w:val="0028721B"/>
    <w:rsid w:val="002873B3"/>
    <w:rsid w:val="002875CE"/>
    <w:rsid w:val="00287A26"/>
    <w:rsid w:val="00287F87"/>
    <w:rsid w:val="00290292"/>
    <w:rsid w:val="0029109E"/>
    <w:rsid w:val="00291403"/>
    <w:rsid w:val="002919B4"/>
    <w:rsid w:val="00291BB6"/>
    <w:rsid w:val="00292064"/>
    <w:rsid w:val="00292268"/>
    <w:rsid w:val="00292753"/>
    <w:rsid w:val="00293394"/>
    <w:rsid w:val="0029343E"/>
    <w:rsid w:val="00294422"/>
    <w:rsid w:val="00294692"/>
    <w:rsid w:val="00294777"/>
    <w:rsid w:val="00294BEB"/>
    <w:rsid w:val="002952DC"/>
    <w:rsid w:val="002957DC"/>
    <w:rsid w:val="00295805"/>
    <w:rsid w:val="002959D2"/>
    <w:rsid w:val="00295A9D"/>
    <w:rsid w:val="00295DD5"/>
    <w:rsid w:val="00296051"/>
    <w:rsid w:val="00296244"/>
    <w:rsid w:val="0029626E"/>
    <w:rsid w:val="0029668B"/>
    <w:rsid w:val="002966A4"/>
    <w:rsid w:val="002966E6"/>
    <w:rsid w:val="002967F5"/>
    <w:rsid w:val="00296A6D"/>
    <w:rsid w:val="00296A88"/>
    <w:rsid w:val="00296B0A"/>
    <w:rsid w:val="00296ED1"/>
    <w:rsid w:val="0029755C"/>
    <w:rsid w:val="00297596"/>
    <w:rsid w:val="0029760D"/>
    <w:rsid w:val="002A02D1"/>
    <w:rsid w:val="002A02DE"/>
    <w:rsid w:val="002A0476"/>
    <w:rsid w:val="002A096C"/>
    <w:rsid w:val="002A09EA"/>
    <w:rsid w:val="002A0E89"/>
    <w:rsid w:val="002A12B9"/>
    <w:rsid w:val="002A140A"/>
    <w:rsid w:val="002A15DC"/>
    <w:rsid w:val="002A1AB6"/>
    <w:rsid w:val="002A25A5"/>
    <w:rsid w:val="002A29E6"/>
    <w:rsid w:val="002A345E"/>
    <w:rsid w:val="002A3696"/>
    <w:rsid w:val="002A387F"/>
    <w:rsid w:val="002A39A1"/>
    <w:rsid w:val="002A39D6"/>
    <w:rsid w:val="002A3B3B"/>
    <w:rsid w:val="002A44D2"/>
    <w:rsid w:val="002A4669"/>
    <w:rsid w:val="002A4909"/>
    <w:rsid w:val="002A4DC0"/>
    <w:rsid w:val="002A5371"/>
    <w:rsid w:val="002A62D3"/>
    <w:rsid w:val="002A63F2"/>
    <w:rsid w:val="002A6538"/>
    <w:rsid w:val="002A6B1F"/>
    <w:rsid w:val="002A7740"/>
    <w:rsid w:val="002A7756"/>
    <w:rsid w:val="002A7DD9"/>
    <w:rsid w:val="002B0250"/>
    <w:rsid w:val="002B0A26"/>
    <w:rsid w:val="002B1131"/>
    <w:rsid w:val="002B1345"/>
    <w:rsid w:val="002B139B"/>
    <w:rsid w:val="002B1A41"/>
    <w:rsid w:val="002B1D23"/>
    <w:rsid w:val="002B1D60"/>
    <w:rsid w:val="002B1FBB"/>
    <w:rsid w:val="002B223D"/>
    <w:rsid w:val="002B25D1"/>
    <w:rsid w:val="002B27B1"/>
    <w:rsid w:val="002B2BD2"/>
    <w:rsid w:val="002B2F2C"/>
    <w:rsid w:val="002B3C14"/>
    <w:rsid w:val="002B3D9A"/>
    <w:rsid w:val="002B3EB9"/>
    <w:rsid w:val="002B4030"/>
    <w:rsid w:val="002B42B0"/>
    <w:rsid w:val="002B43E7"/>
    <w:rsid w:val="002B479A"/>
    <w:rsid w:val="002B4847"/>
    <w:rsid w:val="002B4B4E"/>
    <w:rsid w:val="002B4F16"/>
    <w:rsid w:val="002B5094"/>
    <w:rsid w:val="002B5263"/>
    <w:rsid w:val="002B5522"/>
    <w:rsid w:val="002B577E"/>
    <w:rsid w:val="002B5A58"/>
    <w:rsid w:val="002B5F05"/>
    <w:rsid w:val="002B67CC"/>
    <w:rsid w:val="002B67F4"/>
    <w:rsid w:val="002B6B6B"/>
    <w:rsid w:val="002B6B84"/>
    <w:rsid w:val="002B6E75"/>
    <w:rsid w:val="002B7270"/>
    <w:rsid w:val="002B73FC"/>
    <w:rsid w:val="002B7749"/>
    <w:rsid w:val="002B789F"/>
    <w:rsid w:val="002B7B29"/>
    <w:rsid w:val="002B7D3A"/>
    <w:rsid w:val="002C02B6"/>
    <w:rsid w:val="002C0898"/>
    <w:rsid w:val="002C0989"/>
    <w:rsid w:val="002C0EDD"/>
    <w:rsid w:val="002C0EEC"/>
    <w:rsid w:val="002C1183"/>
    <w:rsid w:val="002C123E"/>
    <w:rsid w:val="002C1264"/>
    <w:rsid w:val="002C1C01"/>
    <w:rsid w:val="002C1DD7"/>
    <w:rsid w:val="002C2478"/>
    <w:rsid w:val="002C2511"/>
    <w:rsid w:val="002C257D"/>
    <w:rsid w:val="002C25E5"/>
    <w:rsid w:val="002C31F3"/>
    <w:rsid w:val="002C3595"/>
    <w:rsid w:val="002C35DC"/>
    <w:rsid w:val="002C37D7"/>
    <w:rsid w:val="002C3DFB"/>
    <w:rsid w:val="002C3E6E"/>
    <w:rsid w:val="002C417A"/>
    <w:rsid w:val="002C4817"/>
    <w:rsid w:val="002C4B0F"/>
    <w:rsid w:val="002C4CB9"/>
    <w:rsid w:val="002C4E88"/>
    <w:rsid w:val="002C5596"/>
    <w:rsid w:val="002C5742"/>
    <w:rsid w:val="002C5A3D"/>
    <w:rsid w:val="002C5ED5"/>
    <w:rsid w:val="002C5FF2"/>
    <w:rsid w:val="002C6198"/>
    <w:rsid w:val="002C6BC6"/>
    <w:rsid w:val="002C71C2"/>
    <w:rsid w:val="002C7665"/>
    <w:rsid w:val="002C7792"/>
    <w:rsid w:val="002C7B00"/>
    <w:rsid w:val="002D063F"/>
    <w:rsid w:val="002D077A"/>
    <w:rsid w:val="002D087D"/>
    <w:rsid w:val="002D0BC7"/>
    <w:rsid w:val="002D0E7C"/>
    <w:rsid w:val="002D0EED"/>
    <w:rsid w:val="002D1462"/>
    <w:rsid w:val="002D14DD"/>
    <w:rsid w:val="002D1756"/>
    <w:rsid w:val="002D17AB"/>
    <w:rsid w:val="002D1808"/>
    <w:rsid w:val="002D19AE"/>
    <w:rsid w:val="002D19EE"/>
    <w:rsid w:val="002D1C94"/>
    <w:rsid w:val="002D227A"/>
    <w:rsid w:val="002D2325"/>
    <w:rsid w:val="002D2DB5"/>
    <w:rsid w:val="002D3C4A"/>
    <w:rsid w:val="002D3F53"/>
    <w:rsid w:val="002D43D6"/>
    <w:rsid w:val="002D45AB"/>
    <w:rsid w:val="002D4819"/>
    <w:rsid w:val="002D4DF4"/>
    <w:rsid w:val="002D5060"/>
    <w:rsid w:val="002D51AC"/>
    <w:rsid w:val="002D5F87"/>
    <w:rsid w:val="002D6243"/>
    <w:rsid w:val="002D6889"/>
    <w:rsid w:val="002D722A"/>
    <w:rsid w:val="002D749C"/>
    <w:rsid w:val="002D750A"/>
    <w:rsid w:val="002D784F"/>
    <w:rsid w:val="002D7CB6"/>
    <w:rsid w:val="002D7D2F"/>
    <w:rsid w:val="002E04C4"/>
    <w:rsid w:val="002E057A"/>
    <w:rsid w:val="002E11FD"/>
    <w:rsid w:val="002E13E1"/>
    <w:rsid w:val="002E19DE"/>
    <w:rsid w:val="002E21C9"/>
    <w:rsid w:val="002E2451"/>
    <w:rsid w:val="002E28B9"/>
    <w:rsid w:val="002E290A"/>
    <w:rsid w:val="002E3650"/>
    <w:rsid w:val="002E3964"/>
    <w:rsid w:val="002E3A8C"/>
    <w:rsid w:val="002E3B1D"/>
    <w:rsid w:val="002E559A"/>
    <w:rsid w:val="002E55AB"/>
    <w:rsid w:val="002E56CE"/>
    <w:rsid w:val="002E5AF4"/>
    <w:rsid w:val="002E5D84"/>
    <w:rsid w:val="002E5D95"/>
    <w:rsid w:val="002E5DB3"/>
    <w:rsid w:val="002E6002"/>
    <w:rsid w:val="002E6046"/>
    <w:rsid w:val="002E60D4"/>
    <w:rsid w:val="002E66DE"/>
    <w:rsid w:val="002E73D5"/>
    <w:rsid w:val="002E751D"/>
    <w:rsid w:val="002E7835"/>
    <w:rsid w:val="002E7D02"/>
    <w:rsid w:val="002F00AC"/>
    <w:rsid w:val="002F012B"/>
    <w:rsid w:val="002F0445"/>
    <w:rsid w:val="002F04F8"/>
    <w:rsid w:val="002F05FE"/>
    <w:rsid w:val="002F0734"/>
    <w:rsid w:val="002F085C"/>
    <w:rsid w:val="002F0934"/>
    <w:rsid w:val="002F0A84"/>
    <w:rsid w:val="002F1092"/>
    <w:rsid w:val="002F1300"/>
    <w:rsid w:val="002F2064"/>
    <w:rsid w:val="002F2099"/>
    <w:rsid w:val="002F2B6D"/>
    <w:rsid w:val="002F2D38"/>
    <w:rsid w:val="002F3505"/>
    <w:rsid w:val="002F37FC"/>
    <w:rsid w:val="002F3829"/>
    <w:rsid w:val="002F388F"/>
    <w:rsid w:val="002F449E"/>
    <w:rsid w:val="002F49C0"/>
    <w:rsid w:val="002F4BD9"/>
    <w:rsid w:val="002F550A"/>
    <w:rsid w:val="002F59C1"/>
    <w:rsid w:val="002F5C69"/>
    <w:rsid w:val="002F708C"/>
    <w:rsid w:val="002F7267"/>
    <w:rsid w:val="002F74C3"/>
    <w:rsid w:val="002F75F7"/>
    <w:rsid w:val="002F79A2"/>
    <w:rsid w:val="0030095D"/>
    <w:rsid w:val="003011A1"/>
    <w:rsid w:val="003012F9"/>
    <w:rsid w:val="0030136B"/>
    <w:rsid w:val="003014BB"/>
    <w:rsid w:val="00301CFE"/>
    <w:rsid w:val="00301E38"/>
    <w:rsid w:val="00301FF3"/>
    <w:rsid w:val="003027A2"/>
    <w:rsid w:val="00302988"/>
    <w:rsid w:val="00302B44"/>
    <w:rsid w:val="00303248"/>
    <w:rsid w:val="003039B5"/>
    <w:rsid w:val="00303A7A"/>
    <w:rsid w:val="00303E52"/>
    <w:rsid w:val="00304075"/>
    <w:rsid w:val="003040C0"/>
    <w:rsid w:val="003041E8"/>
    <w:rsid w:val="003045BC"/>
    <w:rsid w:val="00304B5A"/>
    <w:rsid w:val="00304BCD"/>
    <w:rsid w:val="00304CFE"/>
    <w:rsid w:val="00305585"/>
    <w:rsid w:val="003056A0"/>
    <w:rsid w:val="003056B5"/>
    <w:rsid w:val="00305BC9"/>
    <w:rsid w:val="00305F9C"/>
    <w:rsid w:val="0030616C"/>
    <w:rsid w:val="00306791"/>
    <w:rsid w:val="003067A3"/>
    <w:rsid w:val="00306A03"/>
    <w:rsid w:val="00307B1E"/>
    <w:rsid w:val="00307C87"/>
    <w:rsid w:val="00307DED"/>
    <w:rsid w:val="0031144C"/>
    <w:rsid w:val="00311518"/>
    <w:rsid w:val="0031161F"/>
    <w:rsid w:val="00311B42"/>
    <w:rsid w:val="00311C29"/>
    <w:rsid w:val="00311CFA"/>
    <w:rsid w:val="003121B4"/>
    <w:rsid w:val="003124FD"/>
    <w:rsid w:val="0031257A"/>
    <w:rsid w:val="0031287C"/>
    <w:rsid w:val="003130F3"/>
    <w:rsid w:val="003138BC"/>
    <w:rsid w:val="0031392B"/>
    <w:rsid w:val="00313BEC"/>
    <w:rsid w:val="00313DEA"/>
    <w:rsid w:val="00314121"/>
    <w:rsid w:val="00314561"/>
    <w:rsid w:val="0031489A"/>
    <w:rsid w:val="00314930"/>
    <w:rsid w:val="003149B9"/>
    <w:rsid w:val="00314FB1"/>
    <w:rsid w:val="00315167"/>
    <w:rsid w:val="00315193"/>
    <w:rsid w:val="003157CA"/>
    <w:rsid w:val="00315D4C"/>
    <w:rsid w:val="00315E0B"/>
    <w:rsid w:val="00315F9F"/>
    <w:rsid w:val="00316531"/>
    <w:rsid w:val="00316A74"/>
    <w:rsid w:val="00316AA4"/>
    <w:rsid w:val="00316C68"/>
    <w:rsid w:val="00316D09"/>
    <w:rsid w:val="00316D6C"/>
    <w:rsid w:val="00317982"/>
    <w:rsid w:val="00317DD6"/>
    <w:rsid w:val="00317DFD"/>
    <w:rsid w:val="00320071"/>
    <w:rsid w:val="00320159"/>
    <w:rsid w:val="003201BE"/>
    <w:rsid w:val="003203C4"/>
    <w:rsid w:val="00320BEF"/>
    <w:rsid w:val="00320E5E"/>
    <w:rsid w:val="00320F29"/>
    <w:rsid w:val="00320FE1"/>
    <w:rsid w:val="00321386"/>
    <w:rsid w:val="003216D1"/>
    <w:rsid w:val="00321A97"/>
    <w:rsid w:val="00321C4B"/>
    <w:rsid w:val="00321DEA"/>
    <w:rsid w:val="003225EA"/>
    <w:rsid w:val="00322796"/>
    <w:rsid w:val="00322C34"/>
    <w:rsid w:val="00322D46"/>
    <w:rsid w:val="00323136"/>
    <w:rsid w:val="00324057"/>
    <w:rsid w:val="003243CE"/>
    <w:rsid w:val="00324825"/>
    <w:rsid w:val="003249FF"/>
    <w:rsid w:val="0032511C"/>
    <w:rsid w:val="003255B6"/>
    <w:rsid w:val="00325C4A"/>
    <w:rsid w:val="00325FB1"/>
    <w:rsid w:val="0032601C"/>
    <w:rsid w:val="00326798"/>
    <w:rsid w:val="003268BF"/>
    <w:rsid w:val="00326C18"/>
    <w:rsid w:val="00326C5F"/>
    <w:rsid w:val="0032702F"/>
    <w:rsid w:val="00327247"/>
    <w:rsid w:val="00327269"/>
    <w:rsid w:val="0032727C"/>
    <w:rsid w:val="00327605"/>
    <w:rsid w:val="003279DA"/>
    <w:rsid w:val="00327A2E"/>
    <w:rsid w:val="00327CA8"/>
    <w:rsid w:val="00327ED9"/>
    <w:rsid w:val="00330134"/>
    <w:rsid w:val="0033069F"/>
    <w:rsid w:val="00330B74"/>
    <w:rsid w:val="00330D2A"/>
    <w:rsid w:val="00330E17"/>
    <w:rsid w:val="00331330"/>
    <w:rsid w:val="003313C7"/>
    <w:rsid w:val="00331616"/>
    <w:rsid w:val="00331C71"/>
    <w:rsid w:val="00331EE7"/>
    <w:rsid w:val="00331F7B"/>
    <w:rsid w:val="003323B4"/>
    <w:rsid w:val="003323FF"/>
    <w:rsid w:val="003327E5"/>
    <w:rsid w:val="0033288D"/>
    <w:rsid w:val="00332A90"/>
    <w:rsid w:val="00332D70"/>
    <w:rsid w:val="00332EAD"/>
    <w:rsid w:val="003330F6"/>
    <w:rsid w:val="003330F8"/>
    <w:rsid w:val="0033333B"/>
    <w:rsid w:val="00333403"/>
    <w:rsid w:val="00333470"/>
    <w:rsid w:val="00333682"/>
    <w:rsid w:val="00333B93"/>
    <w:rsid w:val="0033441D"/>
    <w:rsid w:val="00335187"/>
    <w:rsid w:val="003359F0"/>
    <w:rsid w:val="00335F00"/>
    <w:rsid w:val="0033689C"/>
    <w:rsid w:val="00336BDE"/>
    <w:rsid w:val="00336EAB"/>
    <w:rsid w:val="00336F2F"/>
    <w:rsid w:val="00336FB9"/>
    <w:rsid w:val="0033724C"/>
    <w:rsid w:val="003372D3"/>
    <w:rsid w:val="003372D8"/>
    <w:rsid w:val="003379A6"/>
    <w:rsid w:val="00337C85"/>
    <w:rsid w:val="00340222"/>
    <w:rsid w:val="003403D4"/>
    <w:rsid w:val="003404AB"/>
    <w:rsid w:val="003404D6"/>
    <w:rsid w:val="0034103D"/>
    <w:rsid w:val="00341250"/>
    <w:rsid w:val="00341377"/>
    <w:rsid w:val="0034164B"/>
    <w:rsid w:val="00341F2C"/>
    <w:rsid w:val="0034259D"/>
    <w:rsid w:val="003426CB"/>
    <w:rsid w:val="0034294F"/>
    <w:rsid w:val="003429AC"/>
    <w:rsid w:val="00342DF6"/>
    <w:rsid w:val="00342E3B"/>
    <w:rsid w:val="00342E67"/>
    <w:rsid w:val="00342ED4"/>
    <w:rsid w:val="00343292"/>
    <w:rsid w:val="003433EB"/>
    <w:rsid w:val="00343752"/>
    <w:rsid w:val="0034436B"/>
    <w:rsid w:val="003444A1"/>
    <w:rsid w:val="00344836"/>
    <w:rsid w:val="003451C5"/>
    <w:rsid w:val="00345498"/>
    <w:rsid w:val="00345946"/>
    <w:rsid w:val="00345C6A"/>
    <w:rsid w:val="00346589"/>
    <w:rsid w:val="00346641"/>
    <w:rsid w:val="00346A31"/>
    <w:rsid w:val="0034736C"/>
    <w:rsid w:val="00347C79"/>
    <w:rsid w:val="0035003A"/>
    <w:rsid w:val="00350590"/>
    <w:rsid w:val="003507D5"/>
    <w:rsid w:val="00350E97"/>
    <w:rsid w:val="00350FC4"/>
    <w:rsid w:val="0035107A"/>
    <w:rsid w:val="00351479"/>
    <w:rsid w:val="003514AC"/>
    <w:rsid w:val="0035184F"/>
    <w:rsid w:val="00352225"/>
    <w:rsid w:val="0035267C"/>
    <w:rsid w:val="003527D5"/>
    <w:rsid w:val="0035294B"/>
    <w:rsid w:val="00352AC8"/>
    <w:rsid w:val="00352B4A"/>
    <w:rsid w:val="003533C5"/>
    <w:rsid w:val="0035353D"/>
    <w:rsid w:val="00353660"/>
    <w:rsid w:val="00353690"/>
    <w:rsid w:val="00353CD1"/>
    <w:rsid w:val="0035492F"/>
    <w:rsid w:val="00355927"/>
    <w:rsid w:val="00356108"/>
    <w:rsid w:val="003563DC"/>
    <w:rsid w:val="00356448"/>
    <w:rsid w:val="00356874"/>
    <w:rsid w:val="00357930"/>
    <w:rsid w:val="00357C80"/>
    <w:rsid w:val="003600CD"/>
    <w:rsid w:val="003604C0"/>
    <w:rsid w:val="00360547"/>
    <w:rsid w:val="00360730"/>
    <w:rsid w:val="00360CC5"/>
    <w:rsid w:val="0036113E"/>
    <w:rsid w:val="00361192"/>
    <w:rsid w:val="003612CC"/>
    <w:rsid w:val="0036138C"/>
    <w:rsid w:val="003615ED"/>
    <w:rsid w:val="00361712"/>
    <w:rsid w:val="00361AB0"/>
    <w:rsid w:val="00361AD8"/>
    <w:rsid w:val="00361D9E"/>
    <w:rsid w:val="00361E5F"/>
    <w:rsid w:val="003620DA"/>
    <w:rsid w:val="0036233E"/>
    <w:rsid w:val="00362674"/>
    <w:rsid w:val="003632EA"/>
    <w:rsid w:val="00363A1A"/>
    <w:rsid w:val="0036437C"/>
    <w:rsid w:val="00364382"/>
    <w:rsid w:val="00364730"/>
    <w:rsid w:val="00364A97"/>
    <w:rsid w:val="00364DCD"/>
    <w:rsid w:val="00365FD9"/>
    <w:rsid w:val="00366026"/>
    <w:rsid w:val="003664F0"/>
    <w:rsid w:val="00366A5D"/>
    <w:rsid w:val="00366DDD"/>
    <w:rsid w:val="00367220"/>
    <w:rsid w:val="00367227"/>
    <w:rsid w:val="00367972"/>
    <w:rsid w:val="00367D67"/>
    <w:rsid w:val="00370031"/>
    <w:rsid w:val="003700A3"/>
    <w:rsid w:val="00370216"/>
    <w:rsid w:val="0037033F"/>
    <w:rsid w:val="003703CB"/>
    <w:rsid w:val="00370410"/>
    <w:rsid w:val="00370851"/>
    <w:rsid w:val="00370A1B"/>
    <w:rsid w:val="00370E7E"/>
    <w:rsid w:val="00371035"/>
    <w:rsid w:val="00371C6D"/>
    <w:rsid w:val="00372164"/>
    <w:rsid w:val="00372788"/>
    <w:rsid w:val="003728A7"/>
    <w:rsid w:val="00372AE9"/>
    <w:rsid w:val="00372BAB"/>
    <w:rsid w:val="00372C82"/>
    <w:rsid w:val="00373007"/>
    <w:rsid w:val="003730FC"/>
    <w:rsid w:val="00373207"/>
    <w:rsid w:val="00373389"/>
    <w:rsid w:val="00373835"/>
    <w:rsid w:val="0037394B"/>
    <w:rsid w:val="00373C39"/>
    <w:rsid w:val="00374C2F"/>
    <w:rsid w:val="00374CBD"/>
    <w:rsid w:val="003752A9"/>
    <w:rsid w:val="00375680"/>
    <w:rsid w:val="00375D92"/>
    <w:rsid w:val="00376093"/>
    <w:rsid w:val="003764F3"/>
    <w:rsid w:val="00376875"/>
    <w:rsid w:val="00376AE7"/>
    <w:rsid w:val="00376D04"/>
    <w:rsid w:val="00376EC4"/>
    <w:rsid w:val="00376ECA"/>
    <w:rsid w:val="00377133"/>
    <w:rsid w:val="00377CFC"/>
    <w:rsid w:val="00377D4E"/>
    <w:rsid w:val="00380353"/>
    <w:rsid w:val="00380A47"/>
    <w:rsid w:val="003813FA"/>
    <w:rsid w:val="00381709"/>
    <w:rsid w:val="003817D2"/>
    <w:rsid w:val="00382A0B"/>
    <w:rsid w:val="00382B93"/>
    <w:rsid w:val="0038367E"/>
    <w:rsid w:val="003845EF"/>
    <w:rsid w:val="00384609"/>
    <w:rsid w:val="00384ACD"/>
    <w:rsid w:val="00384ADB"/>
    <w:rsid w:val="0038503A"/>
    <w:rsid w:val="003854A3"/>
    <w:rsid w:val="003857AC"/>
    <w:rsid w:val="00385B3F"/>
    <w:rsid w:val="00385F89"/>
    <w:rsid w:val="00386048"/>
    <w:rsid w:val="003867A0"/>
    <w:rsid w:val="00386A65"/>
    <w:rsid w:val="00386C10"/>
    <w:rsid w:val="0038760B"/>
    <w:rsid w:val="00387D16"/>
    <w:rsid w:val="00390169"/>
    <w:rsid w:val="003901A8"/>
    <w:rsid w:val="00390266"/>
    <w:rsid w:val="003902D1"/>
    <w:rsid w:val="00390435"/>
    <w:rsid w:val="0039044C"/>
    <w:rsid w:val="0039057E"/>
    <w:rsid w:val="003908B1"/>
    <w:rsid w:val="00390981"/>
    <w:rsid w:val="00390991"/>
    <w:rsid w:val="00390ABD"/>
    <w:rsid w:val="00390CDE"/>
    <w:rsid w:val="00390E7A"/>
    <w:rsid w:val="003916F1"/>
    <w:rsid w:val="00391FBB"/>
    <w:rsid w:val="003924FA"/>
    <w:rsid w:val="003927EA"/>
    <w:rsid w:val="00392ACA"/>
    <w:rsid w:val="0039343E"/>
    <w:rsid w:val="00393AE6"/>
    <w:rsid w:val="00393AEE"/>
    <w:rsid w:val="00393FF8"/>
    <w:rsid w:val="003948CE"/>
    <w:rsid w:val="00394B29"/>
    <w:rsid w:val="00394DA7"/>
    <w:rsid w:val="0039534F"/>
    <w:rsid w:val="00395667"/>
    <w:rsid w:val="0039566A"/>
    <w:rsid w:val="003957C6"/>
    <w:rsid w:val="00395DBB"/>
    <w:rsid w:val="00396068"/>
    <w:rsid w:val="003967B1"/>
    <w:rsid w:val="003967D0"/>
    <w:rsid w:val="003967EB"/>
    <w:rsid w:val="0039739A"/>
    <w:rsid w:val="003975FE"/>
    <w:rsid w:val="00397BB1"/>
    <w:rsid w:val="003A00D1"/>
    <w:rsid w:val="003A01E1"/>
    <w:rsid w:val="003A02E4"/>
    <w:rsid w:val="003A0E84"/>
    <w:rsid w:val="003A1315"/>
    <w:rsid w:val="003A155E"/>
    <w:rsid w:val="003A16A1"/>
    <w:rsid w:val="003A1BE0"/>
    <w:rsid w:val="003A2177"/>
    <w:rsid w:val="003A23E8"/>
    <w:rsid w:val="003A28FE"/>
    <w:rsid w:val="003A2988"/>
    <w:rsid w:val="003A29E6"/>
    <w:rsid w:val="003A2A17"/>
    <w:rsid w:val="003A2D9C"/>
    <w:rsid w:val="003A2F30"/>
    <w:rsid w:val="003A2FEF"/>
    <w:rsid w:val="003A35D6"/>
    <w:rsid w:val="003A36F8"/>
    <w:rsid w:val="003A38B4"/>
    <w:rsid w:val="003A39E7"/>
    <w:rsid w:val="003A3ABB"/>
    <w:rsid w:val="003A3C62"/>
    <w:rsid w:val="003A4160"/>
    <w:rsid w:val="003A4171"/>
    <w:rsid w:val="003A4321"/>
    <w:rsid w:val="003A4573"/>
    <w:rsid w:val="003A50D9"/>
    <w:rsid w:val="003A51ED"/>
    <w:rsid w:val="003A5535"/>
    <w:rsid w:val="003A5994"/>
    <w:rsid w:val="003A5FEA"/>
    <w:rsid w:val="003A6000"/>
    <w:rsid w:val="003A6673"/>
    <w:rsid w:val="003A670E"/>
    <w:rsid w:val="003A6F7C"/>
    <w:rsid w:val="003A6FB3"/>
    <w:rsid w:val="003A756F"/>
    <w:rsid w:val="003A75F0"/>
    <w:rsid w:val="003A7967"/>
    <w:rsid w:val="003A7A25"/>
    <w:rsid w:val="003A7D09"/>
    <w:rsid w:val="003B03CF"/>
    <w:rsid w:val="003B0689"/>
    <w:rsid w:val="003B0B63"/>
    <w:rsid w:val="003B1107"/>
    <w:rsid w:val="003B175A"/>
    <w:rsid w:val="003B17FE"/>
    <w:rsid w:val="003B1925"/>
    <w:rsid w:val="003B27DB"/>
    <w:rsid w:val="003B2818"/>
    <w:rsid w:val="003B2C00"/>
    <w:rsid w:val="003B32FB"/>
    <w:rsid w:val="003B35AF"/>
    <w:rsid w:val="003B38A2"/>
    <w:rsid w:val="003B390C"/>
    <w:rsid w:val="003B3AA8"/>
    <w:rsid w:val="003B3F7F"/>
    <w:rsid w:val="003B4799"/>
    <w:rsid w:val="003B4939"/>
    <w:rsid w:val="003B5175"/>
    <w:rsid w:val="003B54A2"/>
    <w:rsid w:val="003B62C1"/>
    <w:rsid w:val="003B67C6"/>
    <w:rsid w:val="003B6A49"/>
    <w:rsid w:val="003B6B5C"/>
    <w:rsid w:val="003B7219"/>
    <w:rsid w:val="003B7824"/>
    <w:rsid w:val="003B790E"/>
    <w:rsid w:val="003B79BC"/>
    <w:rsid w:val="003C0978"/>
    <w:rsid w:val="003C0B5C"/>
    <w:rsid w:val="003C1352"/>
    <w:rsid w:val="003C1DB1"/>
    <w:rsid w:val="003C1DE0"/>
    <w:rsid w:val="003C1E80"/>
    <w:rsid w:val="003C2028"/>
    <w:rsid w:val="003C2073"/>
    <w:rsid w:val="003C21A2"/>
    <w:rsid w:val="003C2557"/>
    <w:rsid w:val="003C28BC"/>
    <w:rsid w:val="003C2AE4"/>
    <w:rsid w:val="003C2B92"/>
    <w:rsid w:val="003C2CAD"/>
    <w:rsid w:val="003C36F7"/>
    <w:rsid w:val="003C3A42"/>
    <w:rsid w:val="003C3D8D"/>
    <w:rsid w:val="003C3F35"/>
    <w:rsid w:val="003C4581"/>
    <w:rsid w:val="003C478F"/>
    <w:rsid w:val="003C571F"/>
    <w:rsid w:val="003C57B4"/>
    <w:rsid w:val="003C5A27"/>
    <w:rsid w:val="003C5B6E"/>
    <w:rsid w:val="003C606B"/>
    <w:rsid w:val="003C6154"/>
    <w:rsid w:val="003C62E9"/>
    <w:rsid w:val="003C6480"/>
    <w:rsid w:val="003C67C1"/>
    <w:rsid w:val="003C6902"/>
    <w:rsid w:val="003C717C"/>
    <w:rsid w:val="003C7580"/>
    <w:rsid w:val="003C778E"/>
    <w:rsid w:val="003D093C"/>
    <w:rsid w:val="003D0AC3"/>
    <w:rsid w:val="003D0D84"/>
    <w:rsid w:val="003D14B3"/>
    <w:rsid w:val="003D18EF"/>
    <w:rsid w:val="003D1B3F"/>
    <w:rsid w:val="003D1D71"/>
    <w:rsid w:val="003D1F04"/>
    <w:rsid w:val="003D2125"/>
    <w:rsid w:val="003D223D"/>
    <w:rsid w:val="003D2E77"/>
    <w:rsid w:val="003D31E5"/>
    <w:rsid w:val="003D3256"/>
    <w:rsid w:val="003D39E8"/>
    <w:rsid w:val="003D3A1F"/>
    <w:rsid w:val="003D3DD2"/>
    <w:rsid w:val="003D3F01"/>
    <w:rsid w:val="003D517B"/>
    <w:rsid w:val="003D519B"/>
    <w:rsid w:val="003D534F"/>
    <w:rsid w:val="003D554A"/>
    <w:rsid w:val="003D55C4"/>
    <w:rsid w:val="003D5827"/>
    <w:rsid w:val="003D5AC3"/>
    <w:rsid w:val="003D5D16"/>
    <w:rsid w:val="003D5DF4"/>
    <w:rsid w:val="003D6096"/>
    <w:rsid w:val="003D61BF"/>
    <w:rsid w:val="003D668C"/>
    <w:rsid w:val="003D66B2"/>
    <w:rsid w:val="003D686C"/>
    <w:rsid w:val="003D6D4F"/>
    <w:rsid w:val="003D7372"/>
    <w:rsid w:val="003D7512"/>
    <w:rsid w:val="003D7684"/>
    <w:rsid w:val="003D7BDF"/>
    <w:rsid w:val="003E00F2"/>
    <w:rsid w:val="003E043D"/>
    <w:rsid w:val="003E0934"/>
    <w:rsid w:val="003E0BB7"/>
    <w:rsid w:val="003E0E17"/>
    <w:rsid w:val="003E0FDD"/>
    <w:rsid w:val="003E1012"/>
    <w:rsid w:val="003E1093"/>
    <w:rsid w:val="003E14FC"/>
    <w:rsid w:val="003E19AD"/>
    <w:rsid w:val="003E1A6B"/>
    <w:rsid w:val="003E202A"/>
    <w:rsid w:val="003E23E4"/>
    <w:rsid w:val="003E2515"/>
    <w:rsid w:val="003E2C2D"/>
    <w:rsid w:val="003E36CA"/>
    <w:rsid w:val="003E3B07"/>
    <w:rsid w:val="003E4881"/>
    <w:rsid w:val="003E5204"/>
    <w:rsid w:val="003E553A"/>
    <w:rsid w:val="003E58F4"/>
    <w:rsid w:val="003E5A8B"/>
    <w:rsid w:val="003E5F84"/>
    <w:rsid w:val="003E63A6"/>
    <w:rsid w:val="003E64C5"/>
    <w:rsid w:val="003E7980"/>
    <w:rsid w:val="003F0BF6"/>
    <w:rsid w:val="003F0D32"/>
    <w:rsid w:val="003F0EE8"/>
    <w:rsid w:val="003F1175"/>
    <w:rsid w:val="003F1424"/>
    <w:rsid w:val="003F1549"/>
    <w:rsid w:val="003F16E2"/>
    <w:rsid w:val="003F2034"/>
    <w:rsid w:val="003F2242"/>
    <w:rsid w:val="003F245F"/>
    <w:rsid w:val="003F293E"/>
    <w:rsid w:val="003F31D4"/>
    <w:rsid w:val="003F320C"/>
    <w:rsid w:val="003F355D"/>
    <w:rsid w:val="003F39C1"/>
    <w:rsid w:val="003F3FAC"/>
    <w:rsid w:val="003F42F3"/>
    <w:rsid w:val="003F4563"/>
    <w:rsid w:val="003F480B"/>
    <w:rsid w:val="003F4A73"/>
    <w:rsid w:val="003F4B73"/>
    <w:rsid w:val="003F4D1A"/>
    <w:rsid w:val="003F4D3E"/>
    <w:rsid w:val="003F4E7C"/>
    <w:rsid w:val="003F50BA"/>
    <w:rsid w:val="003F52A1"/>
    <w:rsid w:val="003F60C8"/>
    <w:rsid w:val="003F6611"/>
    <w:rsid w:val="003F6A9A"/>
    <w:rsid w:val="003F6B1D"/>
    <w:rsid w:val="003F6C77"/>
    <w:rsid w:val="003F6E6E"/>
    <w:rsid w:val="003F7961"/>
    <w:rsid w:val="003F7981"/>
    <w:rsid w:val="003F7F5B"/>
    <w:rsid w:val="003F7FBF"/>
    <w:rsid w:val="00400044"/>
    <w:rsid w:val="004003B4"/>
    <w:rsid w:val="00400720"/>
    <w:rsid w:val="004007FA"/>
    <w:rsid w:val="004010BA"/>
    <w:rsid w:val="0040164E"/>
    <w:rsid w:val="00401B28"/>
    <w:rsid w:val="00401B41"/>
    <w:rsid w:val="00402023"/>
    <w:rsid w:val="0040237D"/>
    <w:rsid w:val="00402B3D"/>
    <w:rsid w:val="00402B79"/>
    <w:rsid w:val="00402EEB"/>
    <w:rsid w:val="0040318A"/>
    <w:rsid w:val="0040335A"/>
    <w:rsid w:val="00403A50"/>
    <w:rsid w:val="00403B05"/>
    <w:rsid w:val="00404303"/>
    <w:rsid w:val="00404541"/>
    <w:rsid w:val="004056DB"/>
    <w:rsid w:val="00405AC3"/>
    <w:rsid w:val="00405E92"/>
    <w:rsid w:val="00405EA7"/>
    <w:rsid w:val="0040646E"/>
    <w:rsid w:val="00406B7B"/>
    <w:rsid w:val="00406BCB"/>
    <w:rsid w:val="00407373"/>
    <w:rsid w:val="00407414"/>
    <w:rsid w:val="00407602"/>
    <w:rsid w:val="004078EF"/>
    <w:rsid w:val="00407C59"/>
    <w:rsid w:val="00407E68"/>
    <w:rsid w:val="00410A25"/>
    <w:rsid w:val="00410A9A"/>
    <w:rsid w:val="00410BCB"/>
    <w:rsid w:val="00410C1A"/>
    <w:rsid w:val="00411184"/>
    <w:rsid w:val="004118C1"/>
    <w:rsid w:val="004119F5"/>
    <w:rsid w:val="00411C6F"/>
    <w:rsid w:val="00412A9B"/>
    <w:rsid w:val="00412DF0"/>
    <w:rsid w:val="00413177"/>
    <w:rsid w:val="0041345F"/>
    <w:rsid w:val="00413959"/>
    <w:rsid w:val="00413A25"/>
    <w:rsid w:val="00413B24"/>
    <w:rsid w:val="00413C8F"/>
    <w:rsid w:val="00413DFE"/>
    <w:rsid w:val="00413F43"/>
    <w:rsid w:val="00413FFB"/>
    <w:rsid w:val="0041430B"/>
    <w:rsid w:val="00414ABA"/>
    <w:rsid w:val="00414C8D"/>
    <w:rsid w:val="004151BD"/>
    <w:rsid w:val="004152CC"/>
    <w:rsid w:val="0041534B"/>
    <w:rsid w:val="00415682"/>
    <w:rsid w:val="00415A87"/>
    <w:rsid w:val="00415F64"/>
    <w:rsid w:val="00415FAA"/>
    <w:rsid w:val="0041648D"/>
    <w:rsid w:val="00416767"/>
    <w:rsid w:val="004169FF"/>
    <w:rsid w:val="00416A2F"/>
    <w:rsid w:val="00416E42"/>
    <w:rsid w:val="00417083"/>
    <w:rsid w:val="00417114"/>
    <w:rsid w:val="00417193"/>
    <w:rsid w:val="00417398"/>
    <w:rsid w:val="00417512"/>
    <w:rsid w:val="00417582"/>
    <w:rsid w:val="0041797F"/>
    <w:rsid w:val="00417FDA"/>
    <w:rsid w:val="004200C0"/>
    <w:rsid w:val="00420585"/>
    <w:rsid w:val="0042129C"/>
    <w:rsid w:val="00421611"/>
    <w:rsid w:val="00421A3A"/>
    <w:rsid w:val="00421EA1"/>
    <w:rsid w:val="00421F75"/>
    <w:rsid w:val="004220E0"/>
    <w:rsid w:val="00422DF6"/>
    <w:rsid w:val="004232FE"/>
    <w:rsid w:val="00424A89"/>
    <w:rsid w:val="00424CA9"/>
    <w:rsid w:val="004251F5"/>
    <w:rsid w:val="0042552E"/>
    <w:rsid w:val="00425639"/>
    <w:rsid w:val="00425692"/>
    <w:rsid w:val="0042591E"/>
    <w:rsid w:val="00425B9D"/>
    <w:rsid w:val="00425C34"/>
    <w:rsid w:val="00425D6E"/>
    <w:rsid w:val="00426069"/>
    <w:rsid w:val="00426139"/>
    <w:rsid w:val="004264E8"/>
    <w:rsid w:val="00426639"/>
    <w:rsid w:val="00426922"/>
    <w:rsid w:val="00426D63"/>
    <w:rsid w:val="00426DB2"/>
    <w:rsid w:val="00426ECF"/>
    <w:rsid w:val="00427065"/>
    <w:rsid w:val="0042706D"/>
    <w:rsid w:val="00427A1A"/>
    <w:rsid w:val="00427ABF"/>
    <w:rsid w:val="00427BBD"/>
    <w:rsid w:val="00427BC9"/>
    <w:rsid w:val="00427D09"/>
    <w:rsid w:val="00427F53"/>
    <w:rsid w:val="00427F85"/>
    <w:rsid w:val="00427FCA"/>
    <w:rsid w:val="00430D2A"/>
    <w:rsid w:val="00430F0C"/>
    <w:rsid w:val="0043110B"/>
    <w:rsid w:val="00431599"/>
    <w:rsid w:val="00431800"/>
    <w:rsid w:val="00432A2E"/>
    <w:rsid w:val="0043310A"/>
    <w:rsid w:val="004337E2"/>
    <w:rsid w:val="004338BC"/>
    <w:rsid w:val="00433F61"/>
    <w:rsid w:val="00433FCF"/>
    <w:rsid w:val="00434196"/>
    <w:rsid w:val="004344F8"/>
    <w:rsid w:val="00434654"/>
    <w:rsid w:val="004349D7"/>
    <w:rsid w:val="004354CD"/>
    <w:rsid w:val="004356B0"/>
    <w:rsid w:val="00435AB6"/>
    <w:rsid w:val="00435E37"/>
    <w:rsid w:val="00435FE6"/>
    <w:rsid w:val="004367AB"/>
    <w:rsid w:val="00436BAE"/>
    <w:rsid w:val="00437079"/>
    <w:rsid w:val="00437231"/>
    <w:rsid w:val="004400ED"/>
    <w:rsid w:val="004402A2"/>
    <w:rsid w:val="00440711"/>
    <w:rsid w:val="004409C4"/>
    <w:rsid w:val="00440AE1"/>
    <w:rsid w:val="00440B84"/>
    <w:rsid w:val="00440C1C"/>
    <w:rsid w:val="00440C37"/>
    <w:rsid w:val="00440E77"/>
    <w:rsid w:val="004411B3"/>
    <w:rsid w:val="00441501"/>
    <w:rsid w:val="00441605"/>
    <w:rsid w:val="0044178C"/>
    <w:rsid w:val="00441A70"/>
    <w:rsid w:val="00442336"/>
    <w:rsid w:val="004432CB"/>
    <w:rsid w:val="00443691"/>
    <w:rsid w:val="00443AD6"/>
    <w:rsid w:val="00443C41"/>
    <w:rsid w:val="00443C97"/>
    <w:rsid w:val="004446DC"/>
    <w:rsid w:val="004448F8"/>
    <w:rsid w:val="00445491"/>
    <w:rsid w:val="00446253"/>
    <w:rsid w:val="0044634C"/>
    <w:rsid w:val="004467C2"/>
    <w:rsid w:val="0044689B"/>
    <w:rsid w:val="00446909"/>
    <w:rsid w:val="00446D16"/>
    <w:rsid w:val="004472C7"/>
    <w:rsid w:val="004474B1"/>
    <w:rsid w:val="004474BA"/>
    <w:rsid w:val="004475D0"/>
    <w:rsid w:val="00447D4B"/>
    <w:rsid w:val="00450A73"/>
    <w:rsid w:val="00450AF2"/>
    <w:rsid w:val="00451961"/>
    <w:rsid w:val="00451B94"/>
    <w:rsid w:val="00451F10"/>
    <w:rsid w:val="004521DF"/>
    <w:rsid w:val="004522AA"/>
    <w:rsid w:val="00452681"/>
    <w:rsid w:val="0045273A"/>
    <w:rsid w:val="0045406A"/>
    <w:rsid w:val="004546FE"/>
    <w:rsid w:val="004547D7"/>
    <w:rsid w:val="00454A71"/>
    <w:rsid w:val="00454C70"/>
    <w:rsid w:val="004552CB"/>
    <w:rsid w:val="004553D6"/>
    <w:rsid w:val="004555E4"/>
    <w:rsid w:val="0045568C"/>
    <w:rsid w:val="0045573B"/>
    <w:rsid w:val="00455864"/>
    <w:rsid w:val="00455985"/>
    <w:rsid w:val="00455BD3"/>
    <w:rsid w:val="004562FF"/>
    <w:rsid w:val="004563C3"/>
    <w:rsid w:val="004563CB"/>
    <w:rsid w:val="00456BA0"/>
    <w:rsid w:val="00456DCB"/>
    <w:rsid w:val="00456DE3"/>
    <w:rsid w:val="00457332"/>
    <w:rsid w:val="004574A6"/>
    <w:rsid w:val="00457891"/>
    <w:rsid w:val="004579F4"/>
    <w:rsid w:val="00457DFF"/>
    <w:rsid w:val="00460368"/>
    <w:rsid w:val="00460649"/>
    <w:rsid w:val="00461474"/>
    <w:rsid w:val="004616F5"/>
    <w:rsid w:val="004617CB"/>
    <w:rsid w:val="00461834"/>
    <w:rsid w:val="00461933"/>
    <w:rsid w:val="00461CDF"/>
    <w:rsid w:val="00462F1E"/>
    <w:rsid w:val="004631F8"/>
    <w:rsid w:val="004632E9"/>
    <w:rsid w:val="00463313"/>
    <w:rsid w:val="00463374"/>
    <w:rsid w:val="00463424"/>
    <w:rsid w:val="00463758"/>
    <w:rsid w:val="00463787"/>
    <w:rsid w:val="004638BA"/>
    <w:rsid w:val="00463C94"/>
    <w:rsid w:val="004646D6"/>
    <w:rsid w:val="004651D8"/>
    <w:rsid w:val="00465796"/>
    <w:rsid w:val="00465E30"/>
    <w:rsid w:val="004660C3"/>
    <w:rsid w:val="004662F2"/>
    <w:rsid w:val="0046638B"/>
    <w:rsid w:val="00466B1D"/>
    <w:rsid w:val="004675A7"/>
    <w:rsid w:val="004675AA"/>
    <w:rsid w:val="00467949"/>
    <w:rsid w:val="00467A4C"/>
    <w:rsid w:val="004702B4"/>
    <w:rsid w:val="0047082B"/>
    <w:rsid w:val="00470A2F"/>
    <w:rsid w:val="00470A7B"/>
    <w:rsid w:val="00471B25"/>
    <w:rsid w:val="00472675"/>
    <w:rsid w:val="00472725"/>
    <w:rsid w:val="00472ECA"/>
    <w:rsid w:val="00472EEB"/>
    <w:rsid w:val="004730AF"/>
    <w:rsid w:val="00473259"/>
    <w:rsid w:val="00473555"/>
    <w:rsid w:val="00473C07"/>
    <w:rsid w:val="004740E6"/>
    <w:rsid w:val="00474332"/>
    <w:rsid w:val="00474543"/>
    <w:rsid w:val="00474794"/>
    <w:rsid w:val="00474912"/>
    <w:rsid w:val="00474CAC"/>
    <w:rsid w:val="0047527C"/>
    <w:rsid w:val="00475488"/>
    <w:rsid w:val="00475B95"/>
    <w:rsid w:val="00475C67"/>
    <w:rsid w:val="00475EB9"/>
    <w:rsid w:val="00475EDD"/>
    <w:rsid w:val="00476140"/>
    <w:rsid w:val="0047621C"/>
    <w:rsid w:val="00476784"/>
    <w:rsid w:val="00476C09"/>
    <w:rsid w:val="004772EE"/>
    <w:rsid w:val="00477464"/>
    <w:rsid w:val="00477A97"/>
    <w:rsid w:val="00480194"/>
    <w:rsid w:val="0048038A"/>
    <w:rsid w:val="00480750"/>
    <w:rsid w:val="00480DE0"/>
    <w:rsid w:val="00480EB7"/>
    <w:rsid w:val="004810C0"/>
    <w:rsid w:val="004811D5"/>
    <w:rsid w:val="004817B8"/>
    <w:rsid w:val="0048183E"/>
    <w:rsid w:val="00481BA4"/>
    <w:rsid w:val="00482CB5"/>
    <w:rsid w:val="00482D21"/>
    <w:rsid w:val="00484BEC"/>
    <w:rsid w:val="00484FD0"/>
    <w:rsid w:val="00485456"/>
    <w:rsid w:val="0048545D"/>
    <w:rsid w:val="004861FD"/>
    <w:rsid w:val="00486AC9"/>
    <w:rsid w:val="00486F87"/>
    <w:rsid w:val="004872FF"/>
    <w:rsid w:val="00487B3D"/>
    <w:rsid w:val="00487E00"/>
    <w:rsid w:val="00487E8F"/>
    <w:rsid w:val="004904A9"/>
    <w:rsid w:val="00490641"/>
    <w:rsid w:val="00490964"/>
    <w:rsid w:val="00490F58"/>
    <w:rsid w:val="00491181"/>
    <w:rsid w:val="004911E7"/>
    <w:rsid w:val="00491353"/>
    <w:rsid w:val="0049144A"/>
    <w:rsid w:val="004914E1"/>
    <w:rsid w:val="00491520"/>
    <w:rsid w:val="0049180F"/>
    <w:rsid w:val="004919F0"/>
    <w:rsid w:val="00491CBE"/>
    <w:rsid w:val="004925F1"/>
    <w:rsid w:val="00492653"/>
    <w:rsid w:val="00492887"/>
    <w:rsid w:val="00492931"/>
    <w:rsid w:val="00492ABB"/>
    <w:rsid w:val="00492CB2"/>
    <w:rsid w:val="00492E0B"/>
    <w:rsid w:val="00493244"/>
    <w:rsid w:val="004936DB"/>
    <w:rsid w:val="00493A09"/>
    <w:rsid w:val="00493F28"/>
    <w:rsid w:val="00494787"/>
    <w:rsid w:val="0049484E"/>
    <w:rsid w:val="00494889"/>
    <w:rsid w:val="004949BC"/>
    <w:rsid w:val="00494DA9"/>
    <w:rsid w:val="00494DF0"/>
    <w:rsid w:val="00495333"/>
    <w:rsid w:val="0049584B"/>
    <w:rsid w:val="004958AD"/>
    <w:rsid w:val="004959B7"/>
    <w:rsid w:val="00495D87"/>
    <w:rsid w:val="00495D89"/>
    <w:rsid w:val="00495E20"/>
    <w:rsid w:val="00495F84"/>
    <w:rsid w:val="00496052"/>
    <w:rsid w:val="0049619E"/>
    <w:rsid w:val="004964EC"/>
    <w:rsid w:val="00496E49"/>
    <w:rsid w:val="0049720B"/>
    <w:rsid w:val="00497558"/>
    <w:rsid w:val="0049757B"/>
    <w:rsid w:val="00497667"/>
    <w:rsid w:val="00497CCF"/>
    <w:rsid w:val="00497E1B"/>
    <w:rsid w:val="00497E6F"/>
    <w:rsid w:val="00497EC3"/>
    <w:rsid w:val="004A092D"/>
    <w:rsid w:val="004A0998"/>
    <w:rsid w:val="004A0A2F"/>
    <w:rsid w:val="004A113D"/>
    <w:rsid w:val="004A19EF"/>
    <w:rsid w:val="004A1F69"/>
    <w:rsid w:val="004A208A"/>
    <w:rsid w:val="004A2D28"/>
    <w:rsid w:val="004A2D30"/>
    <w:rsid w:val="004A2ED2"/>
    <w:rsid w:val="004A3148"/>
    <w:rsid w:val="004A3226"/>
    <w:rsid w:val="004A33DB"/>
    <w:rsid w:val="004A365D"/>
    <w:rsid w:val="004A3D29"/>
    <w:rsid w:val="004A3E71"/>
    <w:rsid w:val="004A4195"/>
    <w:rsid w:val="004A450E"/>
    <w:rsid w:val="004A4696"/>
    <w:rsid w:val="004A47CF"/>
    <w:rsid w:val="004A4C9A"/>
    <w:rsid w:val="004A4E8C"/>
    <w:rsid w:val="004A4FF7"/>
    <w:rsid w:val="004A59D0"/>
    <w:rsid w:val="004A64E3"/>
    <w:rsid w:val="004A66E5"/>
    <w:rsid w:val="004A6D9C"/>
    <w:rsid w:val="004A6FEF"/>
    <w:rsid w:val="004A7178"/>
    <w:rsid w:val="004A7A5F"/>
    <w:rsid w:val="004A7AA7"/>
    <w:rsid w:val="004A7E81"/>
    <w:rsid w:val="004B0FF6"/>
    <w:rsid w:val="004B156A"/>
    <w:rsid w:val="004B1F14"/>
    <w:rsid w:val="004B24B1"/>
    <w:rsid w:val="004B356B"/>
    <w:rsid w:val="004B358D"/>
    <w:rsid w:val="004B37E7"/>
    <w:rsid w:val="004B3C40"/>
    <w:rsid w:val="004B449B"/>
    <w:rsid w:val="004B4537"/>
    <w:rsid w:val="004B4718"/>
    <w:rsid w:val="004B483E"/>
    <w:rsid w:val="004B4A77"/>
    <w:rsid w:val="004B4B0F"/>
    <w:rsid w:val="004B4C4A"/>
    <w:rsid w:val="004B4D48"/>
    <w:rsid w:val="004B4ED1"/>
    <w:rsid w:val="004B55E4"/>
    <w:rsid w:val="004B5704"/>
    <w:rsid w:val="004B5D46"/>
    <w:rsid w:val="004B6043"/>
    <w:rsid w:val="004B6097"/>
    <w:rsid w:val="004B60B1"/>
    <w:rsid w:val="004B6187"/>
    <w:rsid w:val="004B6ABC"/>
    <w:rsid w:val="004B6D9D"/>
    <w:rsid w:val="004B715A"/>
    <w:rsid w:val="004B7640"/>
    <w:rsid w:val="004B76AB"/>
    <w:rsid w:val="004B77CA"/>
    <w:rsid w:val="004B7A2A"/>
    <w:rsid w:val="004C0138"/>
    <w:rsid w:val="004C01E0"/>
    <w:rsid w:val="004C0F30"/>
    <w:rsid w:val="004C1B44"/>
    <w:rsid w:val="004C1C85"/>
    <w:rsid w:val="004C2CB7"/>
    <w:rsid w:val="004C2CB8"/>
    <w:rsid w:val="004C3043"/>
    <w:rsid w:val="004C3078"/>
    <w:rsid w:val="004C36A4"/>
    <w:rsid w:val="004C3E93"/>
    <w:rsid w:val="004C3FC4"/>
    <w:rsid w:val="004C495C"/>
    <w:rsid w:val="004C4BB3"/>
    <w:rsid w:val="004C58FD"/>
    <w:rsid w:val="004C5E19"/>
    <w:rsid w:val="004C629F"/>
    <w:rsid w:val="004C6550"/>
    <w:rsid w:val="004C6F75"/>
    <w:rsid w:val="004C753E"/>
    <w:rsid w:val="004C7ACD"/>
    <w:rsid w:val="004C7E38"/>
    <w:rsid w:val="004D03BF"/>
    <w:rsid w:val="004D0BB8"/>
    <w:rsid w:val="004D0D14"/>
    <w:rsid w:val="004D0D6D"/>
    <w:rsid w:val="004D0F68"/>
    <w:rsid w:val="004D1429"/>
    <w:rsid w:val="004D16B9"/>
    <w:rsid w:val="004D1E7E"/>
    <w:rsid w:val="004D2313"/>
    <w:rsid w:val="004D253F"/>
    <w:rsid w:val="004D341F"/>
    <w:rsid w:val="004D34E0"/>
    <w:rsid w:val="004D38D3"/>
    <w:rsid w:val="004D3B83"/>
    <w:rsid w:val="004D3E44"/>
    <w:rsid w:val="004D4266"/>
    <w:rsid w:val="004D49A8"/>
    <w:rsid w:val="004D4D1A"/>
    <w:rsid w:val="004D4EF6"/>
    <w:rsid w:val="004D5026"/>
    <w:rsid w:val="004D52C5"/>
    <w:rsid w:val="004D5A7E"/>
    <w:rsid w:val="004D5A9E"/>
    <w:rsid w:val="004D6582"/>
    <w:rsid w:val="004D6906"/>
    <w:rsid w:val="004D6B65"/>
    <w:rsid w:val="004D6D23"/>
    <w:rsid w:val="004D6D2D"/>
    <w:rsid w:val="004D6ED8"/>
    <w:rsid w:val="004D70DA"/>
    <w:rsid w:val="004D71F2"/>
    <w:rsid w:val="004D760C"/>
    <w:rsid w:val="004D7FB8"/>
    <w:rsid w:val="004E01C8"/>
    <w:rsid w:val="004E0617"/>
    <w:rsid w:val="004E0D41"/>
    <w:rsid w:val="004E0DEF"/>
    <w:rsid w:val="004E1E52"/>
    <w:rsid w:val="004E1EAE"/>
    <w:rsid w:val="004E1F3B"/>
    <w:rsid w:val="004E230A"/>
    <w:rsid w:val="004E244F"/>
    <w:rsid w:val="004E3061"/>
    <w:rsid w:val="004E34AB"/>
    <w:rsid w:val="004E3591"/>
    <w:rsid w:val="004E37B0"/>
    <w:rsid w:val="004E3F60"/>
    <w:rsid w:val="004E4299"/>
    <w:rsid w:val="004E4909"/>
    <w:rsid w:val="004E4934"/>
    <w:rsid w:val="004E4AFA"/>
    <w:rsid w:val="004E4CF4"/>
    <w:rsid w:val="004E500A"/>
    <w:rsid w:val="004E50D4"/>
    <w:rsid w:val="004E5315"/>
    <w:rsid w:val="004E57BD"/>
    <w:rsid w:val="004E5853"/>
    <w:rsid w:val="004E60BC"/>
    <w:rsid w:val="004E66FB"/>
    <w:rsid w:val="004E6A7C"/>
    <w:rsid w:val="004E6AD0"/>
    <w:rsid w:val="004E6B65"/>
    <w:rsid w:val="004E7034"/>
    <w:rsid w:val="004E709C"/>
    <w:rsid w:val="004E72E0"/>
    <w:rsid w:val="004E7A6B"/>
    <w:rsid w:val="004E7C4A"/>
    <w:rsid w:val="004E7D59"/>
    <w:rsid w:val="004E7DB2"/>
    <w:rsid w:val="004F054A"/>
    <w:rsid w:val="004F0796"/>
    <w:rsid w:val="004F0864"/>
    <w:rsid w:val="004F0C5C"/>
    <w:rsid w:val="004F0ECE"/>
    <w:rsid w:val="004F0FB5"/>
    <w:rsid w:val="004F151A"/>
    <w:rsid w:val="004F157C"/>
    <w:rsid w:val="004F22F3"/>
    <w:rsid w:val="004F2559"/>
    <w:rsid w:val="004F25F2"/>
    <w:rsid w:val="004F291E"/>
    <w:rsid w:val="004F302F"/>
    <w:rsid w:val="004F325B"/>
    <w:rsid w:val="004F368A"/>
    <w:rsid w:val="004F377E"/>
    <w:rsid w:val="004F40F0"/>
    <w:rsid w:val="004F4233"/>
    <w:rsid w:val="004F4345"/>
    <w:rsid w:val="004F4B15"/>
    <w:rsid w:val="004F4BB4"/>
    <w:rsid w:val="004F5054"/>
    <w:rsid w:val="004F54C4"/>
    <w:rsid w:val="004F5689"/>
    <w:rsid w:val="004F57BF"/>
    <w:rsid w:val="004F5F90"/>
    <w:rsid w:val="004F63D0"/>
    <w:rsid w:val="004F6F6C"/>
    <w:rsid w:val="004F7156"/>
    <w:rsid w:val="004F76EC"/>
    <w:rsid w:val="004F7F5A"/>
    <w:rsid w:val="005000CA"/>
    <w:rsid w:val="00500780"/>
    <w:rsid w:val="00500792"/>
    <w:rsid w:val="00500979"/>
    <w:rsid w:val="005009FD"/>
    <w:rsid w:val="005012D3"/>
    <w:rsid w:val="00501962"/>
    <w:rsid w:val="00501C08"/>
    <w:rsid w:val="00501C17"/>
    <w:rsid w:val="005023B1"/>
    <w:rsid w:val="005024E1"/>
    <w:rsid w:val="005026E7"/>
    <w:rsid w:val="00502709"/>
    <w:rsid w:val="0050284D"/>
    <w:rsid w:val="005028B6"/>
    <w:rsid w:val="00502DE4"/>
    <w:rsid w:val="00502FBB"/>
    <w:rsid w:val="005031F8"/>
    <w:rsid w:val="00503848"/>
    <w:rsid w:val="0050398E"/>
    <w:rsid w:val="00504087"/>
    <w:rsid w:val="00504619"/>
    <w:rsid w:val="00504911"/>
    <w:rsid w:val="00506343"/>
    <w:rsid w:val="00506420"/>
    <w:rsid w:val="005064B6"/>
    <w:rsid w:val="00506504"/>
    <w:rsid w:val="0050651D"/>
    <w:rsid w:val="005068FC"/>
    <w:rsid w:val="0050699C"/>
    <w:rsid w:val="00506A68"/>
    <w:rsid w:val="00506DB2"/>
    <w:rsid w:val="00506DCF"/>
    <w:rsid w:val="005073E9"/>
    <w:rsid w:val="005074B7"/>
    <w:rsid w:val="00507B4C"/>
    <w:rsid w:val="00507C1A"/>
    <w:rsid w:val="00507E81"/>
    <w:rsid w:val="00510002"/>
    <w:rsid w:val="0051067C"/>
    <w:rsid w:val="00510788"/>
    <w:rsid w:val="00510C88"/>
    <w:rsid w:val="00510CE3"/>
    <w:rsid w:val="00510E11"/>
    <w:rsid w:val="00511056"/>
    <w:rsid w:val="005116CD"/>
    <w:rsid w:val="0051176C"/>
    <w:rsid w:val="0051192C"/>
    <w:rsid w:val="005122C6"/>
    <w:rsid w:val="0051250B"/>
    <w:rsid w:val="005128E7"/>
    <w:rsid w:val="0051295E"/>
    <w:rsid w:val="00512AE6"/>
    <w:rsid w:val="00512B9F"/>
    <w:rsid w:val="00512D54"/>
    <w:rsid w:val="00512E92"/>
    <w:rsid w:val="00512F73"/>
    <w:rsid w:val="005132CB"/>
    <w:rsid w:val="005133FF"/>
    <w:rsid w:val="005134DE"/>
    <w:rsid w:val="00513A59"/>
    <w:rsid w:val="00513B5D"/>
    <w:rsid w:val="00513BEA"/>
    <w:rsid w:val="00515082"/>
    <w:rsid w:val="005150F3"/>
    <w:rsid w:val="00515234"/>
    <w:rsid w:val="00515975"/>
    <w:rsid w:val="00515CF7"/>
    <w:rsid w:val="005160BB"/>
    <w:rsid w:val="00516B30"/>
    <w:rsid w:val="00516F57"/>
    <w:rsid w:val="005170E8"/>
    <w:rsid w:val="005171E0"/>
    <w:rsid w:val="005172A9"/>
    <w:rsid w:val="005174C4"/>
    <w:rsid w:val="00517D0C"/>
    <w:rsid w:val="00517D6E"/>
    <w:rsid w:val="00517F69"/>
    <w:rsid w:val="00521074"/>
    <w:rsid w:val="00521243"/>
    <w:rsid w:val="0052145B"/>
    <w:rsid w:val="00521730"/>
    <w:rsid w:val="00521A33"/>
    <w:rsid w:val="00521EB9"/>
    <w:rsid w:val="0052249F"/>
    <w:rsid w:val="00522A92"/>
    <w:rsid w:val="00522D93"/>
    <w:rsid w:val="00522DBB"/>
    <w:rsid w:val="00522F7A"/>
    <w:rsid w:val="00523258"/>
    <w:rsid w:val="00523A87"/>
    <w:rsid w:val="00523D68"/>
    <w:rsid w:val="00523EE0"/>
    <w:rsid w:val="00523F5D"/>
    <w:rsid w:val="00524672"/>
    <w:rsid w:val="00524A35"/>
    <w:rsid w:val="00525295"/>
    <w:rsid w:val="005252B8"/>
    <w:rsid w:val="005255B8"/>
    <w:rsid w:val="00525B1A"/>
    <w:rsid w:val="00525BC3"/>
    <w:rsid w:val="005268DE"/>
    <w:rsid w:val="005270F8"/>
    <w:rsid w:val="00527CED"/>
    <w:rsid w:val="0053048D"/>
    <w:rsid w:val="005307B7"/>
    <w:rsid w:val="00530828"/>
    <w:rsid w:val="00530A92"/>
    <w:rsid w:val="005310FA"/>
    <w:rsid w:val="00531153"/>
    <w:rsid w:val="00531300"/>
    <w:rsid w:val="0053171B"/>
    <w:rsid w:val="00531BAA"/>
    <w:rsid w:val="005321F6"/>
    <w:rsid w:val="00532222"/>
    <w:rsid w:val="005335BD"/>
    <w:rsid w:val="00533B00"/>
    <w:rsid w:val="00533E22"/>
    <w:rsid w:val="00533F09"/>
    <w:rsid w:val="005346B7"/>
    <w:rsid w:val="00534754"/>
    <w:rsid w:val="00534A72"/>
    <w:rsid w:val="00534E20"/>
    <w:rsid w:val="0053501D"/>
    <w:rsid w:val="0053527C"/>
    <w:rsid w:val="00535625"/>
    <w:rsid w:val="00535C63"/>
    <w:rsid w:val="00535CE4"/>
    <w:rsid w:val="00535D22"/>
    <w:rsid w:val="00535DEB"/>
    <w:rsid w:val="00536126"/>
    <w:rsid w:val="00536210"/>
    <w:rsid w:val="0053650F"/>
    <w:rsid w:val="00536674"/>
    <w:rsid w:val="00536F70"/>
    <w:rsid w:val="005371F6"/>
    <w:rsid w:val="005378DC"/>
    <w:rsid w:val="005379FC"/>
    <w:rsid w:val="00537AAF"/>
    <w:rsid w:val="005401B3"/>
    <w:rsid w:val="0054120B"/>
    <w:rsid w:val="005412ED"/>
    <w:rsid w:val="00541331"/>
    <w:rsid w:val="0054167C"/>
    <w:rsid w:val="0054179A"/>
    <w:rsid w:val="005417F5"/>
    <w:rsid w:val="00541AB9"/>
    <w:rsid w:val="00541B0C"/>
    <w:rsid w:val="00541D58"/>
    <w:rsid w:val="00541EA2"/>
    <w:rsid w:val="005421A7"/>
    <w:rsid w:val="005424D8"/>
    <w:rsid w:val="00542743"/>
    <w:rsid w:val="0054277F"/>
    <w:rsid w:val="00542810"/>
    <w:rsid w:val="0054284A"/>
    <w:rsid w:val="00542C2D"/>
    <w:rsid w:val="00542F19"/>
    <w:rsid w:val="00542F8B"/>
    <w:rsid w:val="005432D9"/>
    <w:rsid w:val="005436EE"/>
    <w:rsid w:val="00544513"/>
    <w:rsid w:val="00544BE1"/>
    <w:rsid w:val="00545196"/>
    <w:rsid w:val="005462AF"/>
    <w:rsid w:val="00546D05"/>
    <w:rsid w:val="005473C5"/>
    <w:rsid w:val="005473FA"/>
    <w:rsid w:val="00547A7D"/>
    <w:rsid w:val="005505A5"/>
    <w:rsid w:val="005507D7"/>
    <w:rsid w:val="00551382"/>
    <w:rsid w:val="0055140F"/>
    <w:rsid w:val="00551889"/>
    <w:rsid w:val="005519D4"/>
    <w:rsid w:val="00551D49"/>
    <w:rsid w:val="00551DB4"/>
    <w:rsid w:val="005521DE"/>
    <w:rsid w:val="00552672"/>
    <w:rsid w:val="00552CB0"/>
    <w:rsid w:val="00552CB8"/>
    <w:rsid w:val="00552CDB"/>
    <w:rsid w:val="00552E20"/>
    <w:rsid w:val="00552E2A"/>
    <w:rsid w:val="00553736"/>
    <w:rsid w:val="00553742"/>
    <w:rsid w:val="0055379A"/>
    <w:rsid w:val="00553B2C"/>
    <w:rsid w:val="00553BD8"/>
    <w:rsid w:val="00553FE8"/>
    <w:rsid w:val="00554ABA"/>
    <w:rsid w:val="00554C42"/>
    <w:rsid w:val="00554EF6"/>
    <w:rsid w:val="005554E8"/>
    <w:rsid w:val="00555987"/>
    <w:rsid w:val="00555C41"/>
    <w:rsid w:val="00555E7F"/>
    <w:rsid w:val="00556505"/>
    <w:rsid w:val="00557194"/>
    <w:rsid w:val="00557622"/>
    <w:rsid w:val="00557AB1"/>
    <w:rsid w:val="0056001C"/>
    <w:rsid w:val="005602BE"/>
    <w:rsid w:val="005602D3"/>
    <w:rsid w:val="00560465"/>
    <w:rsid w:val="00560F16"/>
    <w:rsid w:val="005610E6"/>
    <w:rsid w:val="00561988"/>
    <w:rsid w:val="00561D51"/>
    <w:rsid w:val="005624F5"/>
    <w:rsid w:val="005625C0"/>
    <w:rsid w:val="00562B78"/>
    <w:rsid w:val="00563003"/>
    <w:rsid w:val="00563882"/>
    <w:rsid w:val="005639E3"/>
    <w:rsid w:val="00563C7D"/>
    <w:rsid w:val="00563EFF"/>
    <w:rsid w:val="00564186"/>
    <w:rsid w:val="0056423E"/>
    <w:rsid w:val="00564B5C"/>
    <w:rsid w:val="00564C4A"/>
    <w:rsid w:val="005650F7"/>
    <w:rsid w:val="005652D0"/>
    <w:rsid w:val="00565388"/>
    <w:rsid w:val="0056590E"/>
    <w:rsid w:val="00565E47"/>
    <w:rsid w:val="00565F0D"/>
    <w:rsid w:val="00566049"/>
    <w:rsid w:val="005668B7"/>
    <w:rsid w:val="00567491"/>
    <w:rsid w:val="005679E1"/>
    <w:rsid w:val="00567BB4"/>
    <w:rsid w:val="00567C4A"/>
    <w:rsid w:val="00567E4C"/>
    <w:rsid w:val="00567FBF"/>
    <w:rsid w:val="005700A5"/>
    <w:rsid w:val="00570148"/>
    <w:rsid w:val="00570E5A"/>
    <w:rsid w:val="00571280"/>
    <w:rsid w:val="0057145F"/>
    <w:rsid w:val="00571D4C"/>
    <w:rsid w:val="00571E8F"/>
    <w:rsid w:val="00572258"/>
    <w:rsid w:val="00572321"/>
    <w:rsid w:val="00572679"/>
    <w:rsid w:val="00572B63"/>
    <w:rsid w:val="00572EA9"/>
    <w:rsid w:val="005730F5"/>
    <w:rsid w:val="00573619"/>
    <w:rsid w:val="00573627"/>
    <w:rsid w:val="0057362D"/>
    <w:rsid w:val="005737CF"/>
    <w:rsid w:val="00573AAA"/>
    <w:rsid w:val="00573B10"/>
    <w:rsid w:val="00574569"/>
    <w:rsid w:val="005745ED"/>
    <w:rsid w:val="00574CB1"/>
    <w:rsid w:val="005757A0"/>
    <w:rsid w:val="00576802"/>
    <w:rsid w:val="00577331"/>
    <w:rsid w:val="005773BE"/>
    <w:rsid w:val="00577488"/>
    <w:rsid w:val="0057785B"/>
    <w:rsid w:val="00580489"/>
    <w:rsid w:val="0058059D"/>
    <w:rsid w:val="00580716"/>
    <w:rsid w:val="00580869"/>
    <w:rsid w:val="00581015"/>
    <w:rsid w:val="005812C9"/>
    <w:rsid w:val="005815C5"/>
    <w:rsid w:val="005817D8"/>
    <w:rsid w:val="00581BEF"/>
    <w:rsid w:val="00581E56"/>
    <w:rsid w:val="00581EDD"/>
    <w:rsid w:val="00581EE7"/>
    <w:rsid w:val="005821B5"/>
    <w:rsid w:val="005825D8"/>
    <w:rsid w:val="00582871"/>
    <w:rsid w:val="005829BD"/>
    <w:rsid w:val="00582C58"/>
    <w:rsid w:val="00582C8A"/>
    <w:rsid w:val="00583011"/>
    <w:rsid w:val="00583D8E"/>
    <w:rsid w:val="00584A63"/>
    <w:rsid w:val="00584B2B"/>
    <w:rsid w:val="00585118"/>
    <w:rsid w:val="00585461"/>
    <w:rsid w:val="0058572B"/>
    <w:rsid w:val="00585B3B"/>
    <w:rsid w:val="00585D99"/>
    <w:rsid w:val="005864CA"/>
    <w:rsid w:val="00586569"/>
    <w:rsid w:val="00586674"/>
    <w:rsid w:val="00586E07"/>
    <w:rsid w:val="00586F91"/>
    <w:rsid w:val="005871FA"/>
    <w:rsid w:val="005873DE"/>
    <w:rsid w:val="005875A7"/>
    <w:rsid w:val="0059000F"/>
    <w:rsid w:val="00590919"/>
    <w:rsid w:val="00590D1F"/>
    <w:rsid w:val="0059159C"/>
    <w:rsid w:val="0059199E"/>
    <w:rsid w:val="00591D73"/>
    <w:rsid w:val="00591EDA"/>
    <w:rsid w:val="005924EE"/>
    <w:rsid w:val="0059256D"/>
    <w:rsid w:val="00592E18"/>
    <w:rsid w:val="0059306D"/>
    <w:rsid w:val="005937C0"/>
    <w:rsid w:val="00593A45"/>
    <w:rsid w:val="0059402C"/>
    <w:rsid w:val="00594094"/>
    <w:rsid w:val="00594203"/>
    <w:rsid w:val="0059495B"/>
    <w:rsid w:val="0059499D"/>
    <w:rsid w:val="005949B5"/>
    <w:rsid w:val="00594B3F"/>
    <w:rsid w:val="00595335"/>
    <w:rsid w:val="005953BF"/>
    <w:rsid w:val="005953D4"/>
    <w:rsid w:val="0059554C"/>
    <w:rsid w:val="00595B49"/>
    <w:rsid w:val="00595E39"/>
    <w:rsid w:val="00596318"/>
    <w:rsid w:val="005964F2"/>
    <w:rsid w:val="00596729"/>
    <w:rsid w:val="00596AAD"/>
    <w:rsid w:val="00596ABC"/>
    <w:rsid w:val="00596B4B"/>
    <w:rsid w:val="00596F78"/>
    <w:rsid w:val="0059706D"/>
    <w:rsid w:val="00597415"/>
    <w:rsid w:val="005975CB"/>
    <w:rsid w:val="005975D9"/>
    <w:rsid w:val="00597E42"/>
    <w:rsid w:val="005A0051"/>
    <w:rsid w:val="005A0338"/>
    <w:rsid w:val="005A05CB"/>
    <w:rsid w:val="005A095C"/>
    <w:rsid w:val="005A0BA7"/>
    <w:rsid w:val="005A0C07"/>
    <w:rsid w:val="005A168F"/>
    <w:rsid w:val="005A18F9"/>
    <w:rsid w:val="005A1A60"/>
    <w:rsid w:val="005A2190"/>
    <w:rsid w:val="005A252D"/>
    <w:rsid w:val="005A26D8"/>
    <w:rsid w:val="005A27C8"/>
    <w:rsid w:val="005A322C"/>
    <w:rsid w:val="005A362B"/>
    <w:rsid w:val="005A36EF"/>
    <w:rsid w:val="005A3821"/>
    <w:rsid w:val="005A38BD"/>
    <w:rsid w:val="005A3A97"/>
    <w:rsid w:val="005A4042"/>
    <w:rsid w:val="005A42C4"/>
    <w:rsid w:val="005A4968"/>
    <w:rsid w:val="005A5718"/>
    <w:rsid w:val="005A5895"/>
    <w:rsid w:val="005A63D2"/>
    <w:rsid w:val="005A6C8D"/>
    <w:rsid w:val="005A729B"/>
    <w:rsid w:val="005A789B"/>
    <w:rsid w:val="005A7C87"/>
    <w:rsid w:val="005A7FD8"/>
    <w:rsid w:val="005B05C2"/>
    <w:rsid w:val="005B0693"/>
    <w:rsid w:val="005B103D"/>
    <w:rsid w:val="005B16A5"/>
    <w:rsid w:val="005B176F"/>
    <w:rsid w:val="005B1841"/>
    <w:rsid w:val="005B1920"/>
    <w:rsid w:val="005B1D25"/>
    <w:rsid w:val="005B1E05"/>
    <w:rsid w:val="005B32CD"/>
    <w:rsid w:val="005B368F"/>
    <w:rsid w:val="005B3DC6"/>
    <w:rsid w:val="005B41B4"/>
    <w:rsid w:val="005B4898"/>
    <w:rsid w:val="005B4C0E"/>
    <w:rsid w:val="005B5542"/>
    <w:rsid w:val="005B61B4"/>
    <w:rsid w:val="005B61E9"/>
    <w:rsid w:val="005B6245"/>
    <w:rsid w:val="005B67D3"/>
    <w:rsid w:val="005B6C80"/>
    <w:rsid w:val="005B7288"/>
    <w:rsid w:val="005B749A"/>
    <w:rsid w:val="005B763D"/>
    <w:rsid w:val="005B781D"/>
    <w:rsid w:val="005B7BF4"/>
    <w:rsid w:val="005B7EA8"/>
    <w:rsid w:val="005B7F30"/>
    <w:rsid w:val="005C09C8"/>
    <w:rsid w:val="005C0A12"/>
    <w:rsid w:val="005C0A4C"/>
    <w:rsid w:val="005C0A8C"/>
    <w:rsid w:val="005C0EA0"/>
    <w:rsid w:val="005C0FA9"/>
    <w:rsid w:val="005C1193"/>
    <w:rsid w:val="005C15F0"/>
    <w:rsid w:val="005C1BDA"/>
    <w:rsid w:val="005C215E"/>
    <w:rsid w:val="005C21AF"/>
    <w:rsid w:val="005C2421"/>
    <w:rsid w:val="005C2A7A"/>
    <w:rsid w:val="005C2E5A"/>
    <w:rsid w:val="005C30A5"/>
    <w:rsid w:val="005C33B7"/>
    <w:rsid w:val="005C3826"/>
    <w:rsid w:val="005C3C91"/>
    <w:rsid w:val="005C4395"/>
    <w:rsid w:val="005C448E"/>
    <w:rsid w:val="005C451E"/>
    <w:rsid w:val="005C5631"/>
    <w:rsid w:val="005C56E1"/>
    <w:rsid w:val="005C5ED6"/>
    <w:rsid w:val="005C612F"/>
    <w:rsid w:val="005C6295"/>
    <w:rsid w:val="005C6DA8"/>
    <w:rsid w:val="005C737D"/>
    <w:rsid w:val="005C7505"/>
    <w:rsid w:val="005D03EB"/>
    <w:rsid w:val="005D09B0"/>
    <w:rsid w:val="005D09BA"/>
    <w:rsid w:val="005D0BC2"/>
    <w:rsid w:val="005D0D87"/>
    <w:rsid w:val="005D13EF"/>
    <w:rsid w:val="005D165C"/>
    <w:rsid w:val="005D1955"/>
    <w:rsid w:val="005D1B5C"/>
    <w:rsid w:val="005D1B82"/>
    <w:rsid w:val="005D1D25"/>
    <w:rsid w:val="005D1DD7"/>
    <w:rsid w:val="005D287D"/>
    <w:rsid w:val="005D290B"/>
    <w:rsid w:val="005D295F"/>
    <w:rsid w:val="005D2AA4"/>
    <w:rsid w:val="005D2D28"/>
    <w:rsid w:val="005D3012"/>
    <w:rsid w:val="005D358B"/>
    <w:rsid w:val="005D3786"/>
    <w:rsid w:val="005D3CCA"/>
    <w:rsid w:val="005D459C"/>
    <w:rsid w:val="005D48B3"/>
    <w:rsid w:val="005D4D09"/>
    <w:rsid w:val="005D4E8A"/>
    <w:rsid w:val="005D5300"/>
    <w:rsid w:val="005D54D8"/>
    <w:rsid w:val="005D625B"/>
    <w:rsid w:val="005D65A2"/>
    <w:rsid w:val="005D6730"/>
    <w:rsid w:val="005D7085"/>
    <w:rsid w:val="005D73B7"/>
    <w:rsid w:val="005D7712"/>
    <w:rsid w:val="005D7B00"/>
    <w:rsid w:val="005D7B88"/>
    <w:rsid w:val="005E00A5"/>
    <w:rsid w:val="005E0625"/>
    <w:rsid w:val="005E12BC"/>
    <w:rsid w:val="005E19FE"/>
    <w:rsid w:val="005E1BFE"/>
    <w:rsid w:val="005E1E5B"/>
    <w:rsid w:val="005E1FE7"/>
    <w:rsid w:val="005E274D"/>
    <w:rsid w:val="005E2D62"/>
    <w:rsid w:val="005E2F4B"/>
    <w:rsid w:val="005E2F6A"/>
    <w:rsid w:val="005E4792"/>
    <w:rsid w:val="005E4A17"/>
    <w:rsid w:val="005E4A1C"/>
    <w:rsid w:val="005E51D9"/>
    <w:rsid w:val="005E546B"/>
    <w:rsid w:val="005E5529"/>
    <w:rsid w:val="005E5ED6"/>
    <w:rsid w:val="005E5F6A"/>
    <w:rsid w:val="005E6528"/>
    <w:rsid w:val="005E6A21"/>
    <w:rsid w:val="005E6AC0"/>
    <w:rsid w:val="005E6C93"/>
    <w:rsid w:val="005E6E6F"/>
    <w:rsid w:val="005E6FEC"/>
    <w:rsid w:val="005E6FF8"/>
    <w:rsid w:val="005E78D5"/>
    <w:rsid w:val="005E7EEC"/>
    <w:rsid w:val="005F003D"/>
    <w:rsid w:val="005F05C9"/>
    <w:rsid w:val="005F09FE"/>
    <w:rsid w:val="005F0F5B"/>
    <w:rsid w:val="005F121A"/>
    <w:rsid w:val="005F158B"/>
    <w:rsid w:val="005F1BBB"/>
    <w:rsid w:val="005F1D57"/>
    <w:rsid w:val="005F22FC"/>
    <w:rsid w:val="005F2A67"/>
    <w:rsid w:val="005F2C91"/>
    <w:rsid w:val="005F3031"/>
    <w:rsid w:val="005F317E"/>
    <w:rsid w:val="005F3355"/>
    <w:rsid w:val="005F34F9"/>
    <w:rsid w:val="005F34FA"/>
    <w:rsid w:val="005F3542"/>
    <w:rsid w:val="005F3719"/>
    <w:rsid w:val="005F39F1"/>
    <w:rsid w:val="005F3E91"/>
    <w:rsid w:val="005F4315"/>
    <w:rsid w:val="005F4474"/>
    <w:rsid w:val="005F45CA"/>
    <w:rsid w:val="005F4761"/>
    <w:rsid w:val="005F4850"/>
    <w:rsid w:val="005F4A72"/>
    <w:rsid w:val="005F4B0A"/>
    <w:rsid w:val="005F5107"/>
    <w:rsid w:val="005F57B7"/>
    <w:rsid w:val="005F620A"/>
    <w:rsid w:val="005F6438"/>
    <w:rsid w:val="005F68A5"/>
    <w:rsid w:val="005F6A4C"/>
    <w:rsid w:val="005F70B9"/>
    <w:rsid w:val="005F7342"/>
    <w:rsid w:val="005F74BA"/>
    <w:rsid w:val="005F759F"/>
    <w:rsid w:val="005F77F7"/>
    <w:rsid w:val="005F7D34"/>
    <w:rsid w:val="005F7E1B"/>
    <w:rsid w:val="00600335"/>
    <w:rsid w:val="00600541"/>
    <w:rsid w:val="00600C1B"/>
    <w:rsid w:val="00600E3D"/>
    <w:rsid w:val="00600EF1"/>
    <w:rsid w:val="00600F3B"/>
    <w:rsid w:val="00601735"/>
    <w:rsid w:val="006017C4"/>
    <w:rsid w:val="006018EE"/>
    <w:rsid w:val="00601984"/>
    <w:rsid w:val="00601A8A"/>
    <w:rsid w:val="00602052"/>
    <w:rsid w:val="0060245C"/>
    <w:rsid w:val="00602690"/>
    <w:rsid w:val="00602735"/>
    <w:rsid w:val="00602EEB"/>
    <w:rsid w:val="0060339C"/>
    <w:rsid w:val="006038EF"/>
    <w:rsid w:val="00603BDE"/>
    <w:rsid w:val="00603CFD"/>
    <w:rsid w:val="00604424"/>
    <w:rsid w:val="00604E18"/>
    <w:rsid w:val="00605155"/>
    <w:rsid w:val="00605312"/>
    <w:rsid w:val="0060566D"/>
    <w:rsid w:val="00605955"/>
    <w:rsid w:val="00605AC2"/>
    <w:rsid w:val="00605E49"/>
    <w:rsid w:val="00606080"/>
    <w:rsid w:val="00606893"/>
    <w:rsid w:val="00606AB4"/>
    <w:rsid w:val="00606BAA"/>
    <w:rsid w:val="00606FC9"/>
    <w:rsid w:val="00607EE9"/>
    <w:rsid w:val="006106A9"/>
    <w:rsid w:val="00610780"/>
    <w:rsid w:val="00610E7F"/>
    <w:rsid w:val="0061118D"/>
    <w:rsid w:val="0061141D"/>
    <w:rsid w:val="006116FB"/>
    <w:rsid w:val="0061179B"/>
    <w:rsid w:val="00611B60"/>
    <w:rsid w:val="00611DA8"/>
    <w:rsid w:val="00612166"/>
    <w:rsid w:val="006132B1"/>
    <w:rsid w:val="006138A1"/>
    <w:rsid w:val="006138F1"/>
    <w:rsid w:val="00613B2E"/>
    <w:rsid w:val="00613CF7"/>
    <w:rsid w:val="00613D7A"/>
    <w:rsid w:val="00614D80"/>
    <w:rsid w:val="0061591F"/>
    <w:rsid w:val="00616150"/>
    <w:rsid w:val="0061656B"/>
    <w:rsid w:val="006169FA"/>
    <w:rsid w:val="006202C5"/>
    <w:rsid w:val="00620676"/>
    <w:rsid w:val="006206B9"/>
    <w:rsid w:val="00620793"/>
    <w:rsid w:val="006215D6"/>
    <w:rsid w:val="00621D0F"/>
    <w:rsid w:val="006220B8"/>
    <w:rsid w:val="00622246"/>
    <w:rsid w:val="00622291"/>
    <w:rsid w:val="006223DB"/>
    <w:rsid w:val="00622905"/>
    <w:rsid w:val="00622AD3"/>
    <w:rsid w:val="0062307B"/>
    <w:rsid w:val="00623659"/>
    <w:rsid w:val="00623D11"/>
    <w:rsid w:val="00623E25"/>
    <w:rsid w:val="00624037"/>
    <w:rsid w:val="00624173"/>
    <w:rsid w:val="006243E3"/>
    <w:rsid w:val="0062458D"/>
    <w:rsid w:val="00624613"/>
    <w:rsid w:val="006247BE"/>
    <w:rsid w:val="0062494F"/>
    <w:rsid w:val="00624ACF"/>
    <w:rsid w:val="00624C3B"/>
    <w:rsid w:val="0062566C"/>
    <w:rsid w:val="00625C3B"/>
    <w:rsid w:val="00625DB5"/>
    <w:rsid w:val="0062638E"/>
    <w:rsid w:val="006263C2"/>
    <w:rsid w:val="00627000"/>
    <w:rsid w:val="00627358"/>
    <w:rsid w:val="00627446"/>
    <w:rsid w:val="006276E3"/>
    <w:rsid w:val="00627940"/>
    <w:rsid w:val="00627D37"/>
    <w:rsid w:val="00627E5B"/>
    <w:rsid w:val="0063037E"/>
    <w:rsid w:val="0063039E"/>
    <w:rsid w:val="006304D0"/>
    <w:rsid w:val="006306C6"/>
    <w:rsid w:val="00630870"/>
    <w:rsid w:val="00630989"/>
    <w:rsid w:val="00630E37"/>
    <w:rsid w:val="006311BC"/>
    <w:rsid w:val="00631260"/>
    <w:rsid w:val="00631B77"/>
    <w:rsid w:val="00632304"/>
    <w:rsid w:val="00632364"/>
    <w:rsid w:val="0063270C"/>
    <w:rsid w:val="00632C6F"/>
    <w:rsid w:val="00633105"/>
    <w:rsid w:val="006331E3"/>
    <w:rsid w:val="00633292"/>
    <w:rsid w:val="00633642"/>
    <w:rsid w:val="00633CC4"/>
    <w:rsid w:val="00633CD7"/>
    <w:rsid w:val="00633D18"/>
    <w:rsid w:val="00633E35"/>
    <w:rsid w:val="0063478C"/>
    <w:rsid w:val="0063527F"/>
    <w:rsid w:val="006356E1"/>
    <w:rsid w:val="006357E9"/>
    <w:rsid w:val="00635C09"/>
    <w:rsid w:val="00636709"/>
    <w:rsid w:val="006367D8"/>
    <w:rsid w:val="00636B98"/>
    <w:rsid w:val="00636BD5"/>
    <w:rsid w:val="00636CDA"/>
    <w:rsid w:val="00636EE6"/>
    <w:rsid w:val="00640737"/>
    <w:rsid w:val="006409DB"/>
    <w:rsid w:val="00640BB5"/>
    <w:rsid w:val="00640D58"/>
    <w:rsid w:val="0064109B"/>
    <w:rsid w:val="00641235"/>
    <w:rsid w:val="00641F48"/>
    <w:rsid w:val="006422D1"/>
    <w:rsid w:val="0064277F"/>
    <w:rsid w:val="00642A62"/>
    <w:rsid w:val="00642C7B"/>
    <w:rsid w:val="006431CF"/>
    <w:rsid w:val="00643279"/>
    <w:rsid w:val="006437B6"/>
    <w:rsid w:val="006438A9"/>
    <w:rsid w:val="0064391A"/>
    <w:rsid w:val="00644071"/>
    <w:rsid w:val="006442B8"/>
    <w:rsid w:val="00644810"/>
    <w:rsid w:val="006448D7"/>
    <w:rsid w:val="00644AC5"/>
    <w:rsid w:val="00644C92"/>
    <w:rsid w:val="006451C7"/>
    <w:rsid w:val="0064530F"/>
    <w:rsid w:val="0064543C"/>
    <w:rsid w:val="0064563D"/>
    <w:rsid w:val="00645A6F"/>
    <w:rsid w:val="00645F87"/>
    <w:rsid w:val="00646160"/>
    <w:rsid w:val="006469E3"/>
    <w:rsid w:val="00647444"/>
    <w:rsid w:val="00647AE5"/>
    <w:rsid w:val="00650336"/>
    <w:rsid w:val="00651719"/>
    <w:rsid w:val="006518E3"/>
    <w:rsid w:val="00652749"/>
    <w:rsid w:val="0065291F"/>
    <w:rsid w:val="00652D96"/>
    <w:rsid w:val="00652FFE"/>
    <w:rsid w:val="00653730"/>
    <w:rsid w:val="006537D2"/>
    <w:rsid w:val="006537E2"/>
    <w:rsid w:val="00653AF7"/>
    <w:rsid w:val="00653B8A"/>
    <w:rsid w:val="0065427D"/>
    <w:rsid w:val="00654A69"/>
    <w:rsid w:val="0065506E"/>
    <w:rsid w:val="006550F5"/>
    <w:rsid w:val="00655439"/>
    <w:rsid w:val="0065545C"/>
    <w:rsid w:val="00655796"/>
    <w:rsid w:val="00655D91"/>
    <w:rsid w:val="00656558"/>
    <w:rsid w:val="006568F9"/>
    <w:rsid w:val="00656F9A"/>
    <w:rsid w:val="0065717B"/>
    <w:rsid w:val="006574DA"/>
    <w:rsid w:val="00657A44"/>
    <w:rsid w:val="00657CE4"/>
    <w:rsid w:val="0066024A"/>
    <w:rsid w:val="006603C3"/>
    <w:rsid w:val="00660A07"/>
    <w:rsid w:val="00660B33"/>
    <w:rsid w:val="00660B97"/>
    <w:rsid w:val="00661375"/>
    <w:rsid w:val="006613A3"/>
    <w:rsid w:val="00661931"/>
    <w:rsid w:val="00661AE5"/>
    <w:rsid w:val="00661E46"/>
    <w:rsid w:val="00661ED5"/>
    <w:rsid w:val="0066205D"/>
    <w:rsid w:val="006624D1"/>
    <w:rsid w:val="00662FA7"/>
    <w:rsid w:val="006633AB"/>
    <w:rsid w:val="00664BE3"/>
    <w:rsid w:val="00664F04"/>
    <w:rsid w:val="006657BE"/>
    <w:rsid w:val="006659BB"/>
    <w:rsid w:val="0066717C"/>
    <w:rsid w:val="00667214"/>
    <w:rsid w:val="0066722F"/>
    <w:rsid w:val="0066749B"/>
    <w:rsid w:val="00667527"/>
    <w:rsid w:val="0066762C"/>
    <w:rsid w:val="006677DE"/>
    <w:rsid w:val="00667806"/>
    <w:rsid w:val="00667956"/>
    <w:rsid w:val="00667CDB"/>
    <w:rsid w:val="0067013A"/>
    <w:rsid w:val="00670524"/>
    <w:rsid w:val="0067099C"/>
    <w:rsid w:val="00670DBD"/>
    <w:rsid w:val="006711C0"/>
    <w:rsid w:val="006711E6"/>
    <w:rsid w:val="00671282"/>
    <w:rsid w:val="006716B6"/>
    <w:rsid w:val="006718EC"/>
    <w:rsid w:val="00671B15"/>
    <w:rsid w:val="006723D7"/>
    <w:rsid w:val="006728AE"/>
    <w:rsid w:val="0067298E"/>
    <w:rsid w:val="00672F99"/>
    <w:rsid w:val="00672FC2"/>
    <w:rsid w:val="00673131"/>
    <w:rsid w:val="00673336"/>
    <w:rsid w:val="00673763"/>
    <w:rsid w:val="00673A61"/>
    <w:rsid w:val="00673B1D"/>
    <w:rsid w:val="00673B3C"/>
    <w:rsid w:val="00673B77"/>
    <w:rsid w:val="00673BE2"/>
    <w:rsid w:val="00673ED0"/>
    <w:rsid w:val="00673FF3"/>
    <w:rsid w:val="006740CA"/>
    <w:rsid w:val="006741D8"/>
    <w:rsid w:val="006749D9"/>
    <w:rsid w:val="00674BB5"/>
    <w:rsid w:val="00674BEA"/>
    <w:rsid w:val="00674E54"/>
    <w:rsid w:val="00674FFF"/>
    <w:rsid w:val="00675001"/>
    <w:rsid w:val="006758A6"/>
    <w:rsid w:val="006758EF"/>
    <w:rsid w:val="00675ADF"/>
    <w:rsid w:val="00675E3F"/>
    <w:rsid w:val="00676041"/>
    <w:rsid w:val="00676131"/>
    <w:rsid w:val="006762B5"/>
    <w:rsid w:val="0067664B"/>
    <w:rsid w:val="006766D5"/>
    <w:rsid w:val="00676F8B"/>
    <w:rsid w:val="006775AA"/>
    <w:rsid w:val="0067765F"/>
    <w:rsid w:val="00677AD1"/>
    <w:rsid w:val="00677B01"/>
    <w:rsid w:val="0068000E"/>
    <w:rsid w:val="0068023A"/>
    <w:rsid w:val="006802D3"/>
    <w:rsid w:val="00680725"/>
    <w:rsid w:val="00680E5D"/>
    <w:rsid w:val="006811FB"/>
    <w:rsid w:val="0068193D"/>
    <w:rsid w:val="00682D18"/>
    <w:rsid w:val="00683154"/>
    <w:rsid w:val="0068354D"/>
    <w:rsid w:val="006835D5"/>
    <w:rsid w:val="00683849"/>
    <w:rsid w:val="006838DC"/>
    <w:rsid w:val="00684330"/>
    <w:rsid w:val="00684FCB"/>
    <w:rsid w:val="00685225"/>
    <w:rsid w:val="006854C8"/>
    <w:rsid w:val="006855CB"/>
    <w:rsid w:val="006857FA"/>
    <w:rsid w:val="00685A1A"/>
    <w:rsid w:val="00685C02"/>
    <w:rsid w:val="0068664C"/>
    <w:rsid w:val="00686C12"/>
    <w:rsid w:val="00687082"/>
    <w:rsid w:val="0068716F"/>
    <w:rsid w:val="00687CC3"/>
    <w:rsid w:val="00687E6E"/>
    <w:rsid w:val="00687F37"/>
    <w:rsid w:val="0069010E"/>
    <w:rsid w:val="0069064B"/>
    <w:rsid w:val="00690915"/>
    <w:rsid w:val="00690A62"/>
    <w:rsid w:val="00690AD7"/>
    <w:rsid w:val="00690B7B"/>
    <w:rsid w:val="00690E82"/>
    <w:rsid w:val="006913F6"/>
    <w:rsid w:val="006914D5"/>
    <w:rsid w:val="00691B50"/>
    <w:rsid w:val="00691C62"/>
    <w:rsid w:val="0069209E"/>
    <w:rsid w:val="00692E07"/>
    <w:rsid w:val="00693383"/>
    <w:rsid w:val="00693667"/>
    <w:rsid w:val="0069375F"/>
    <w:rsid w:val="00693762"/>
    <w:rsid w:val="00693763"/>
    <w:rsid w:val="00693A43"/>
    <w:rsid w:val="00693CFF"/>
    <w:rsid w:val="00693EF4"/>
    <w:rsid w:val="00694131"/>
    <w:rsid w:val="00694D59"/>
    <w:rsid w:val="00695239"/>
    <w:rsid w:val="00695A19"/>
    <w:rsid w:val="00695B41"/>
    <w:rsid w:val="00695CD8"/>
    <w:rsid w:val="00695D09"/>
    <w:rsid w:val="006960C2"/>
    <w:rsid w:val="00696269"/>
    <w:rsid w:val="0069681B"/>
    <w:rsid w:val="00696C8A"/>
    <w:rsid w:val="00696E64"/>
    <w:rsid w:val="006970C6"/>
    <w:rsid w:val="0069753C"/>
    <w:rsid w:val="006978A9"/>
    <w:rsid w:val="006A0847"/>
    <w:rsid w:val="006A0DE4"/>
    <w:rsid w:val="006A13A0"/>
    <w:rsid w:val="006A146F"/>
    <w:rsid w:val="006A158E"/>
    <w:rsid w:val="006A173B"/>
    <w:rsid w:val="006A1A8F"/>
    <w:rsid w:val="006A1D64"/>
    <w:rsid w:val="006A211D"/>
    <w:rsid w:val="006A2170"/>
    <w:rsid w:val="006A22E6"/>
    <w:rsid w:val="006A2533"/>
    <w:rsid w:val="006A2735"/>
    <w:rsid w:val="006A299E"/>
    <w:rsid w:val="006A2F77"/>
    <w:rsid w:val="006A2FA6"/>
    <w:rsid w:val="006A3275"/>
    <w:rsid w:val="006A328D"/>
    <w:rsid w:val="006A384F"/>
    <w:rsid w:val="006A40E5"/>
    <w:rsid w:val="006A48FB"/>
    <w:rsid w:val="006A4ADC"/>
    <w:rsid w:val="006A521E"/>
    <w:rsid w:val="006A528D"/>
    <w:rsid w:val="006A5BD2"/>
    <w:rsid w:val="006A5FAD"/>
    <w:rsid w:val="006A676F"/>
    <w:rsid w:val="006A7032"/>
    <w:rsid w:val="006A7073"/>
    <w:rsid w:val="006A7150"/>
    <w:rsid w:val="006A728F"/>
    <w:rsid w:val="006A7C88"/>
    <w:rsid w:val="006A7F07"/>
    <w:rsid w:val="006B0150"/>
    <w:rsid w:val="006B08AA"/>
    <w:rsid w:val="006B0951"/>
    <w:rsid w:val="006B0B71"/>
    <w:rsid w:val="006B0D0A"/>
    <w:rsid w:val="006B10F3"/>
    <w:rsid w:val="006B180B"/>
    <w:rsid w:val="006B185E"/>
    <w:rsid w:val="006B18A2"/>
    <w:rsid w:val="006B19E8"/>
    <w:rsid w:val="006B1EF1"/>
    <w:rsid w:val="006B21E1"/>
    <w:rsid w:val="006B2483"/>
    <w:rsid w:val="006B2616"/>
    <w:rsid w:val="006B29A4"/>
    <w:rsid w:val="006B2FB1"/>
    <w:rsid w:val="006B31B1"/>
    <w:rsid w:val="006B3881"/>
    <w:rsid w:val="006B3A6D"/>
    <w:rsid w:val="006B3B16"/>
    <w:rsid w:val="006B3D3B"/>
    <w:rsid w:val="006B3F28"/>
    <w:rsid w:val="006B40A9"/>
    <w:rsid w:val="006B5BF2"/>
    <w:rsid w:val="006B5DF0"/>
    <w:rsid w:val="006B657E"/>
    <w:rsid w:val="006B674F"/>
    <w:rsid w:val="006B6BF6"/>
    <w:rsid w:val="006B7BBD"/>
    <w:rsid w:val="006C0019"/>
    <w:rsid w:val="006C006A"/>
    <w:rsid w:val="006C02B0"/>
    <w:rsid w:val="006C03FE"/>
    <w:rsid w:val="006C05C6"/>
    <w:rsid w:val="006C0655"/>
    <w:rsid w:val="006C08DA"/>
    <w:rsid w:val="006C0AA2"/>
    <w:rsid w:val="006C0D1F"/>
    <w:rsid w:val="006C0D30"/>
    <w:rsid w:val="006C1607"/>
    <w:rsid w:val="006C16D2"/>
    <w:rsid w:val="006C20C2"/>
    <w:rsid w:val="006C222C"/>
    <w:rsid w:val="006C25F0"/>
    <w:rsid w:val="006C2713"/>
    <w:rsid w:val="006C32EC"/>
    <w:rsid w:val="006C3565"/>
    <w:rsid w:val="006C36F2"/>
    <w:rsid w:val="006C37A9"/>
    <w:rsid w:val="006C3BDF"/>
    <w:rsid w:val="006C40CA"/>
    <w:rsid w:val="006C4203"/>
    <w:rsid w:val="006C431C"/>
    <w:rsid w:val="006C44F7"/>
    <w:rsid w:val="006C470E"/>
    <w:rsid w:val="006C48EC"/>
    <w:rsid w:val="006C4FB0"/>
    <w:rsid w:val="006C5012"/>
    <w:rsid w:val="006C5080"/>
    <w:rsid w:val="006C50C1"/>
    <w:rsid w:val="006C5138"/>
    <w:rsid w:val="006C51C9"/>
    <w:rsid w:val="006C545B"/>
    <w:rsid w:val="006C5514"/>
    <w:rsid w:val="006C5AC9"/>
    <w:rsid w:val="006C5B5E"/>
    <w:rsid w:val="006C5D42"/>
    <w:rsid w:val="006C5E54"/>
    <w:rsid w:val="006C60B5"/>
    <w:rsid w:val="006C6264"/>
    <w:rsid w:val="006C6807"/>
    <w:rsid w:val="006C69FB"/>
    <w:rsid w:val="006C6DCC"/>
    <w:rsid w:val="006C6E35"/>
    <w:rsid w:val="006C6F01"/>
    <w:rsid w:val="006C7732"/>
    <w:rsid w:val="006C7F2B"/>
    <w:rsid w:val="006D0653"/>
    <w:rsid w:val="006D090B"/>
    <w:rsid w:val="006D0ADA"/>
    <w:rsid w:val="006D1715"/>
    <w:rsid w:val="006D176B"/>
    <w:rsid w:val="006D18CE"/>
    <w:rsid w:val="006D1CBF"/>
    <w:rsid w:val="006D1E02"/>
    <w:rsid w:val="006D2F33"/>
    <w:rsid w:val="006D3061"/>
    <w:rsid w:val="006D3165"/>
    <w:rsid w:val="006D323E"/>
    <w:rsid w:val="006D3B2E"/>
    <w:rsid w:val="006D3C45"/>
    <w:rsid w:val="006D401A"/>
    <w:rsid w:val="006D4280"/>
    <w:rsid w:val="006D4BE5"/>
    <w:rsid w:val="006D4DA5"/>
    <w:rsid w:val="006D4E21"/>
    <w:rsid w:val="006D529E"/>
    <w:rsid w:val="006D5B58"/>
    <w:rsid w:val="006D6A4B"/>
    <w:rsid w:val="006D6F2C"/>
    <w:rsid w:val="006D7799"/>
    <w:rsid w:val="006D7B92"/>
    <w:rsid w:val="006E00EC"/>
    <w:rsid w:val="006E01AB"/>
    <w:rsid w:val="006E04E0"/>
    <w:rsid w:val="006E1DCB"/>
    <w:rsid w:val="006E2446"/>
    <w:rsid w:val="006E2BDB"/>
    <w:rsid w:val="006E2BF7"/>
    <w:rsid w:val="006E32CF"/>
    <w:rsid w:val="006E3D93"/>
    <w:rsid w:val="006E449B"/>
    <w:rsid w:val="006E44AA"/>
    <w:rsid w:val="006E4AF8"/>
    <w:rsid w:val="006E4DAC"/>
    <w:rsid w:val="006E5181"/>
    <w:rsid w:val="006E5222"/>
    <w:rsid w:val="006E54D1"/>
    <w:rsid w:val="006E5692"/>
    <w:rsid w:val="006E5768"/>
    <w:rsid w:val="006E58A1"/>
    <w:rsid w:val="006E58C2"/>
    <w:rsid w:val="006E5DEA"/>
    <w:rsid w:val="006E5EA2"/>
    <w:rsid w:val="006E62C2"/>
    <w:rsid w:val="006E6407"/>
    <w:rsid w:val="006E6454"/>
    <w:rsid w:val="006E6C16"/>
    <w:rsid w:val="006E7539"/>
    <w:rsid w:val="006E7BDF"/>
    <w:rsid w:val="006E7DA1"/>
    <w:rsid w:val="006F02FC"/>
    <w:rsid w:val="006F067D"/>
    <w:rsid w:val="006F134D"/>
    <w:rsid w:val="006F1666"/>
    <w:rsid w:val="006F1E68"/>
    <w:rsid w:val="006F21A0"/>
    <w:rsid w:val="006F21AE"/>
    <w:rsid w:val="006F2BE9"/>
    <w:rsid w:val="006F30DB"/>
    <w:rsid w:val="006F335B"/>
    <w:rsid w:val="006F393D"/>
    <w:rsid w:val="006F3D62"/>
    <w:rsid w:val="006F497A"/>
    <w:rsid w:val="006F4E76"/>
    <w:rsid w:val="006F5212"/>
    <w:rsid w:val="006F53EE"/>
    <w:rsid w:val="006F549D"/>
    <w:rsid w:val="006F56F1"/>
    <w:rsid w:val="006F5890"/>
    <w:rsid w:val="006F5B83"/>
    <w:rsid w:val="006F5C6A"/>
    <w:rsid w:val="006F5CD2"/>
    <w:rsid w:val="006F6157"/>
    <w:rsid w:val="006F6346"/>
    <w:rsid w:val="006F63D4"/>
    <w:rsid w:val="006F70A2"/>
    <w:rsid w:val="006F7772"/>
    <w:rsid w:val="006F786F"/>
    <w:rsid w:val="00700577"/>
    <w:rsid w:val="007007EB"/>
    <w:rsid w:val="0070084E"/>
    <w:rsid w:val="00700CEC"/>
    <w:rsid w:val="00701462"/>
    <w:rsid w:val="00701C96"/>
    <w:rsid w:val="00702153"/>
    <w:rsid w:val="007022D3"/>
    <w:rsid w:val="00702537"/>
    <w:rsid w:val="0070258A"/>
    <w:rsid w:val="00702C66"/>
    <w:rsid w:val="0070345D"/>
    <w:rsid w:val="0070350C"/>
    <w:rsid w:val="007035D8"/>
    <w:rsid w:val="00703821"/>
    <w:rsid w:val="00703F97"/>
    <w:rsid w:val="007041F3"/>
    <w:rsid w:val="00704625"/>
    <w:rsid w:val="0070476D"/>
    <w:rsid w:val="00704771"/>
    <w:rsid w:val="00704929"/>
    <w:rsid w:val="00704BC1"/>
    <w:rsid w:val="00705114"/>
    <w:rsid w:val="00705371"/>
    <w:rsid w:val="007058CE"/>
    <w:rsid w:val="00705BD6"/>
    <w:rsid w:val="00705D41"/>
    <w:rsid w:val="007061FA"/>
    <w:rsid w:val="0070636D"/>
    <w:rsid w:val="007067D5"/>
    <w:rsid w:val="00706DAB"/>
    <w:rsid w:val="00707A37"/>
    <w:rsid w:val="00707E1F"/>
    <w:rsid w:val="00707EC7"/>
    <w:rsid w:val="00710E35"/>
    <w:rsid w:val="00710EC3"/>
    <w:rsid w:val="00711133"/>
    <w:rsid w:val="0071123D"/>
    <w:rsid w:val="00711B11"/>
    <w:rsid w:val="00711BF2"/>
    <w:rsid w:val="00711DA0"/>
    <w:rsid w:val="00711FC2"/>
    <w:rsid w:val="00711FD6"/>
    <w:rsid w:val="007124B0"/>
    <w:rsid w:val="00712726"/>
    <w:rsid w:val="00712AEC"/>
    <w:rsid w:val="007139A7"/>
    <w:rsid w:val="007141C7"/>
    <w:rsid w:val="00714368"/>
    <w:rsid w:val="007145DA"/>
    <w:rsid w:val="00714BBF"/>
    <w:rsid w:val="00715028"/>
    <w:rsid w:val="0071521E"/>
    <w:rsid w:val="00715760"/>
    <w:rsid w:val="007157B2"/>
    <w:rsid w:val="007157D7"/>
    <w:rsid w:val="00715926"/>
    <w:rsid w:val="00716069"/>
    <w:rsid w:val="007160DF"/>
    <w:rsid w:val="00716A3A"/>
    <w:rsid w:val="00716C50"/>
    <w:rsid w:val="00717488"/>
    <w:rsid w:val="00717902"/>
    <w:rsid w:val="007179E4"/>
    <w:rsid w:val="00717CD5"/>
    <w:rsid w:val="00717E42"/>
    <w:rsid w:val="007203D9"/>
    <w:rsid w:val="00720431"/>
    <w:rsid w:val="007207C4"/>
    <w:rsid w:val="00721444"/>
    <w:rsid w:val="0072179E"/>
    <w:rsid w:val="007219D9"/>
    <w:rsid w:val="00721A1D"/>
    <w:rsid w:val="00721AD8"/>
    <w:rsid w:val="00721DA3"/>
    <w:rsid w:val="00721DEF"/>
    <w:rsid w:val="00721EA4"/>
    <w:rsid w:val="007223E6"/>
    <w:rsid w:val="00722FF7"/>
    <w:rsid w:val="00723375"/>
    <w:rsid w:val="007249D9"/>
    <w:rsid w:val="00724DF6"/>
    <w:rsid w:val="007250C1"/>
    <w:rsid w:val="007251CC"/>
    <w:rsid w:val="00725413"/>
    <w:rsid w:val="00725570"/>
    <w:rsid w:val="00725F65"/>
    <w:rsid w:val="00726ADB"/>
    <w:rsid w:val="00726D25"/>
    <w:rsid w:val="00726FB3"/>
    <w:rsid w:val="00727188"/>
    <w:rsid w:val="00727363"/>
    <w:rsid w:val="00727729"/>
    <w:rsid w:val="00727904"/>
    <w:rsid w:val="00727B70"/>
    <w:rsid w:val="00727DE6"/>
    <w:rsid w:val="00730228"/>
    <w:rsid w:val="007302D4"/>
    <w:rsid w:val="00730336"/>
    <w:rsid w:val="00730C50"/>
    <w:rsid w:val="00730F11"/>
    <w:rsid w:val="00731283"/>
    <w:rsid w:val="007314A6"/>
    <w:rsid w:val="0073159E"/>
    <w:rsid w:val="0073168C"/>
    <w:rsid w:val="00731BCC"/>
    <w:rsid w:val="00731EB7"/>
    <w:rsid w:val="00732015"/>
    <w:rsid w:val="007321FC"/>
    <w:rsid w:val="007325AF"/>
    <w:rsid w:val="007330B1"/>
    <w:rsid w:val="007340BC"/>
    <w:rsid w:val="0073478D"/>
    <w:rsid w:val="00734B07"/>
    <w:rsid w:val="00735201"/>
    <w:rsid w:val="00735567"/>
    <w:rsid w:val="0073563C"/>
    <w:rsid w:val="007359B0"/>
    <w:rsid w:val="0073602B"/>
    <w:rsid w:val="007368AE"/>
    <w:rsid w:val="00736DEB"/>
    <w:rsid w:val="0073718C"/>
    <w:rsid w:val="007373E6"/>
    <w:rsid w:val="00737BE4"/>
    <w:rsid w:val="00737CDF"/>
    <w:rsid w:val="00737D44"/>
    <w:rsid w:val="00737E64"/>
    <w:rsid w:val="0074013A"/>
    <w:rsid w:val="00740208"/>
    <w:rsid w:val="00740ACB"/>
    <w:rsid w:val="00740D24"/>
    <w:rsid w:val="00740EC9"/>
    <w:rsid w:val="00741273"/>
    <w:rsid w:val="007418CB"/>
    <w:rsid w:val="00741BAD"/>
    <w:rsid w:val="00741C42"/>
    <w:rsid w:val="00741CB3"/>
    <w:rsid w:val="00741EE9"/>
    <w:rsid w:val="00742398"/>
    <w:rsid w:val="00742FBE"/>
    <w:rsid w:val="007430FC"/>
    <w:rsid w:val="00743202"/>
    <w:rsid w:val="007438B1"/>
    <w:rsid w:val="00743B85"/>
    <w:rsid w:val="00744011"/>
    <w:rsid w:val="00744C3C"/>
    <w:rsid w:val="00744EA7"/>
    <w:rsid w:val="007451F2"/>
    <w:rsid w:val="00745981"/>
    <w:rsid w:val="00745CAF"/>
    <w:rsid w:val="0074683E"/>
    <w:rsid w:val="00746DFA"/>
    <w:rsid w:val="00746EEA"/>
    <w:rsid w:val="00747200"/>
    <w:rsid w:val="007478CA"/>
    <w:rsid w:val="00747C9C"/>
    <w:rsid w:val="00750317"/>
    <w:rsid w:val="00750BBA"/>
    <w:rsid w:val="007511B9"/>
    <w:rsid w:val="0075160A"/>
    <w:rsid w:val="00751645"/>
    <w:rsid w:val="007517A8"/>
    <w:rsid w:val="007520F6"/>
    <w:rsid w:val="007525DA"/>
    <w:rsid w:val="00752806"/>
    <w:rsid w:val="0075287A"/>
    <w:rsid w:val="00752E14"/>
    <w:rsid w:val="00752FCA"/>
    <w:rsid w:val="00753A25"/>
    <w:rsid w:val="00753B6F"/>
    <w:rsid w:val="00753B7A"/>
    <w:rsid w:val="00753C6D"/>
    <w:rsid w:val="00753CAA"/>
    <w:rsid w:val="007543A1"/>
    <w:rsid w:val="007543AC"/>
    <w:rsid w:val="007543BE"/>
    <w:rsid w:val="007545EB"/>
    <w:rsid w:val="00754E88"/>
    <w:rsid w:val="00755236"/>
    <w:rsid w:val="0075528D"/>
    <w:rsid w:val="00755A75"/>
    <w:rsid w:val="00755D9A"/>
    <w:rsid w:val="00756160"/>
    <w:rsid w:val="007563B9"/>
    <w:rsid w:val="00756424"/>
    <w:rsid w:val="007568C1"/>
    <w:rsid w:val="007568DE"/>
    <w:rsid w:val="00757674"/>
    <w:rsid w:val="007576FB"/>
    <w:rsid w:val="007577A0"/>
    <w:rsid w:val="00757ABC"/>
    <w:rsid w:val="00757B72"/>
    <w:rsid w:val="00760A70"/>
    <w:rsid w:val="00760A7C"/>
    <w:rsid w:val="00760B7B"/>
    <w:rsid w:val="00760D06"/>
    <w:rsid w:val="00761084"/>
    <w:rsid w:val="00761BDE"/>
    <w:rsid w:val="00761BF9"/>
    <w:rsid w:val="0076221C"/>
    <w:rsid w:val="00762243"/>
    <w:rsid w:val="007627C9"/>
    <w:rsid w:val="007627EA"/>
    <w:rsid w:val="00762A21"/>
    <w:rsid w:val="00762B07"/>
    <w:rsid w:val="00762DEC"/>
    <w:rsid w:val="00762EBD"/>
    <w:rsid w:val="00762F80"/>
    <w:rsid w:val="00763368"/>
    <w:rsid w:val="00763793"/>
    <w:rsid w:val="00763BFD"/>
    <w:rsid w:val="00764439"/>
    <w:rsid w:val="007644CE"/>
    <w:rsid w:val="00765DC2"/>
    <w:rsid w:val="007663B4"/>
    <w:rsid w:val="0076664D"/>
    <w:rsid w:val="0076682C"/>
    <w:rsid w:val="00766A54"/>
    <w:rsid w:val="007671D8"/>
    <w:rsid w:val="007702A9"/>
    <w:rsid w:val="007709E0"/>
    <w:rsid w:val="00770A24"/>
    <w:rsid w:val="00770A97"/>
    <w:rsid w:val="00770DFC"/>
    <w:rsid w:val="007712C8"/>
    <w:rsid w:val="00771615"/>
    <w:rsid w:val="0077165E"/>
    <w:rsid w:val="00771B62"/>
    <w:rsid w:val="00772EC9"/>
    <w:rsid w:val="00773473"/>
    <w:rsid w:val="00773709"/>
    <w:rsid w:val="00773AFB"/>
    <w:rsid w:val="00773B89"/>
    <w:rsid w:val="00773DBB"/>
    <w:rsid w:val="007744F3"/>
    <w:rsid w:val="00774F22"/>
    <w:rsid w:val="00775181"/>
    <w:rsid w:val="007751E7"/>
    <w:rsid w:val="00775458"/>
    <w:rsid w:val="007755AA"/>
    <w:rsid w:val="00775A06"/>
    <w:rsid w:val="00775A5B"/>
    <w:rsid w:val="00775DB7"/>
    <w:rsid w:val="00775F59"/>
    <w:rsid w:val="0077625E"/>
    <w:rsid w:val="00776335"/>
    <w:rsid w:val="00776988"/>
    <w:rsid w:val="007769F1"/>
    <w:rsid w:val="00776C67"/>
    <w:rsid w:val="00776DAA"/>
    <w:rsid w:val="00776F04"/>
    <w:rsid w:val="00777A4E"/>
    <w:rsid w:val="00777ABF"/>
    <w:rsid w:val="0078057A"/>
    <w:rsid w:val="0078060F"/>
    <w:rsid w:val="00780FF8"/>
    <w:rsid w:val="007813A1"/>
    <w:rsid w:val="007814D2"/>
    <w:rsid w:val="007816FE"/>
    <w:rsid w:val="00781B0C"/>
    <w:rsid w:val="0078234E"/>
    <w:rsid w:val="0078236F"/>
    <w:rsid w:val="00782F0E"/>
    <w:rsid w:val="007831EB"/>
    <w:rsid w:val="0078346A"/>
    <w:rsid w:val="00783704"/>
    <w:rsid w:val="00783E67"/>
    <w:rsid w:val="00784072"/>
    <w:rsid w:val="00784A66"/>
    <w:rsid w:val="00784E33"/>
    <w:rsid w:val="007852F2"/>
    <w:rsid w:val="007864FE"/>
    <w:rsid w:val="00786D10"/>
    <w:rsid w:val="00786ECE"/>
    <w:rsid w:val="007878BC"/>
    <w:rsid w:val="00787BA6"/>
    <w:rsid w:val="00787C9B"/>
    <w:rsid w:val="00787EEA"/>
    <w:rsid w:val="00787F67"/>
    <w:rsid w:val="00787FA6"/>
    <w:rsid w:val="007905C6"/>
    <w:rsid w:val="00790685"/>
    <w:rsid w:val="007907BB"/>
    <w:rsid w:val="00790A1C"/>
    <w:rsid w:val="00790B79"/>
    <w:rsid w:val="00790CC6"/>
    <w:rsid w:val="00791222"/>
    <w:rsid w:val="0079260C"/>
    <w:rsid w:val="00792CF9"/>
    <w:rsid w:val="00793067"/>
    <w:rsid w:val="007936BA"/>
    <w:rsid w:val="007937BC"/>
    <w:rsid w:val="0079398A"/>
    <w:rsid w:val="00793B84"/>
    <w:rsid w:val="007941A2"/>
    <w:rsid w:val="007941F2"/>
    <w:rsid w:val="007943CE"/>
    <w:rsid w:val="007943DD"/>
    <w:rsid w:val="00794490"/>
    <w:rsid w:val="00794599"/>
    <w:rsid w:val="00794B57"/>
    <w:rsid w:val="0079520C"/>
    <w:rsid w:val="00795509"/>
    <w:rsid w:val="00795913"/>
    <w:rsid w:val="00795A7F"/>
    <w:rsid w:val="00795B50"/>
    <w:rsid w:val="00795CD1"/>
    <w:rsid w:val="007960F2"/>
    <w:rsid w:val="007967BC"/>
    <w:rsid w:val="007967E3"/>
    <w:rsid w:val="00796BCB"/>
    <w:rsid w:val="00796F9C"/>
    <w:rsid w:val="0079754E"/>
    <w:rsid w:val="00797727"/>
    <w:rsid w:val="0079780D"/>
    <w:rsid w:val="00797A0E"/>
    <w:rsid w:val="00797A5E"/>
    <w:rsid w:val="007A0030"/>
    <w:rsid w:val="007A01F6"/>
    <w:rsid w:val="007A0396"/>
    <w:rsid w:val="007A056F"/>
    <w:rsid w:val="007A0785"/>
    <w:rsid w:val="007A0845"/>
    <w:rsid w:val="007A0E95"/>
    <w:rsid w:val="007A0F54"/>
    <w:rsid w:val="007A187A"/>
    <w:rsid w:val="007A1EBC"/>
    <w:rsid w:val="007A211D"/>
    <w:rsid w:val="007A2175"/>
    <w:rsid w:val="007A2B8F"/>
    <w:rsid w:val="007A3330"/>
    <w:rsid w:val="007A3D52"/>
    <w:rsid w:val="007A3E98"/>
    <w:rsid w:val="007A4697"/>
    <w:rsid w:val="007A4704"/>
    <w:rsid w:val="007A4802"/>
    <w:rsid w:val="007A4A61"/>
    <w:rsid w:val="007A4DA9"/>
    <w:rsid w:val="007A513A"/>
    <w:rsid w:val="007A59AC"/>
    <w:rsid w:val="007A5B48"/>
    <w:rsid w:val="007A6097"/>
    <w:rsid w:val="007A6744"/>
    <w:rsid w:val="007A6979"/>
    <w:rsid w:val="007A6AED"/>
    <w:rsid w:val="007A6DF6"/>
    <w:rsid w:val="007A714B"/>
    <w:rsid w:val="007A7FEF"/>
    <w:rsid w:val="007B0A44"/>
    <w:rsid w:val="007B0F38"/>
    <w:rsid w:val="007B164C"/>
    <w:rsid w:val="007B1795"/>
    <w:rsid w:val="007B1883"/>
    <w:rsid w:val="007B18BB"/>
    <w:rsid w:val="007B1C6D"/>
    <w:rsid w:val="007B1F80"/>
    <w:rsid w:val="007B2399"/>
    <w:rsid w:val="007B253F"/>
    <w:rsid w:val="007B259F"/>
    <w:rsid w:val="007B2658"/>
    <w:rsid w:val="007B2C67"/>
    <w:rsid w:val="007B2F90"/>
    <w:rsid w:val="007B2FAB"/>
    <w:rsid w:val="007B30C8"/>
    <w:rsid w:val="007B318D"/>
    <w:rsid w:val="007B3878"/>
    <w:rsid w:val="007B3B7B"/>
    <w:rsid w:val="007B4096"/>
    <w:rsid w:val="007B415E"/>
    <w:rsid w:val="007B443A"/>
    <w:rsid w:val="007B44A5"/>
    <w:rsid w:val="007B492D"/>
    <w:rsid w:val="007B4AE8"/>
    <w:rsid w:val="007B4BC8"/>
    <w:rsid w:val="007B5576"/>
    <w:rsid w:val="007B56B1"/>
    <w:rsid w:val="007B571E"/>
    <w:rsid w:val="007B5A4F"/>
    <w:rsid w:val="007B607D"/>
    <w:rsid w:val="007B67F9"/>
    <w:rsid w:val="007B6DB5"/>
    <w:rsid w:val="007B6DD7"/>
    <w:rsid w:val="007B705B"/>
    <w:rsid w:val="007B7063"/>
    <w:rsid w:val="007B72B5"/>
    <w:rsid w:val="007B74B2"/>
    <w:rsid w:val="007B78A8"/>
    <w:rsid w:val="007B7FD8"/>
    <w:rsid w:val="007C0051"/>
    <w:rsid w:val="007C00A4"/>
    <w:rsid w:val="007C01BF"/>
    <w:rsid w:val="007C037B"/>
    <w:rsid w:val="007C07F3"/>
    <w:rsid w:val="007C0C9B"/>
    <w:rsid w:val="007C0E50"/>
    <w:rsid w:val="007C1089"/>
    <w:rsid w:val="007C10E7"/>
    <w:rsid w:val="007C1E04"/>
    <w:rsid w:val="007C1F42"/>
    <w:rsid w:val="007C27BA"/>
    <w:rsid w:val="007C2AE0"/>
    <w:rsid w:val="007C2DDF"/>
    <w:rsid w:val="007C2EB4"/>
    <w:rsid w:val="007C30BB"/>
    <w:rsid w:val="007C391F"/>
    <w:rsid w:val="007C3B72"/>
    <w:rsid w:val="007C3C70"/>
    <w:rsid w:val="007C3F7C"/>
    <w:rsid w:val="007C432D"/>
    <w:rsid w:val="007C4332"/>
    <w:rsid w:val="007C4355"/>
    <w:rsid w:val="007C4617"/>
    <w:rsid w:val="007C4883"/>
    <w:rsid w:val="007C49D4"/>
    <w:rsid w:val="007C5157"/>
    <w:rsid w:val="007C552A"/>
    <w:rsid w:val="007C56AB"/>
    <w:rsid w:val="007C57F7"/>
    <w:rsid w:val="007C5B19"/>
    <w:rsid w:val="007C5EAB"/>
    <w:rsid w:val="007C60E0"/>
    <w:rsid w:val="007C6727"/>
    <w:rsid w:val="007C67EA"/>
    <w:rsid w:val="007C71D7"/>
    <w:rsid w:val="007C7256"/>
    <w:rsid w:val="007C72D6"/>
    <w:rsid w:val="007C7B46"/>
    <w:rsid w:val="007D0241"/>
    <w:rsid w:val="007D03E3"/>
    <w:rsid w:val="007D0947"/>
    <w:rsid w:val="007D0A26"/>
    <w:rsid w:val="007D0AC2"/>
    <w:rsid w:val="007D0BA0"/>
    <w:rsid w:val="007D0FA2"/>
    <w:rsid w:val="007D128A"/>
    <w:rsid w:val="007D14B1"/>
    <w:rsid w:val="007D1A83"/>
    <w:rsid w:val="007D1AAC"/>
    <w:rsid w:val="007D1EA1"/>
    <w:rsid w:val="007D20F5"/>
    <w:rsid w:val="007D34E5"/>
    <w:rsid w:val="007D352A"/>
    <w:rsid w:val="007D4006"/>
    <w:rsid w:val="007D43B4"/>
    <w:rsid w:val="007D5356"/>
    <w:rsid w:val="007D55AA"/>
    <w:rsid w:val="007D5B0A"/>
    <w:rsid w:val="007D5D87"/>
    <w:rsid w:val="007D62D5"/>
    <w:rsid w:val="007D6C05"/>
    <w:rsid w:val="007D6D66"/>
    <w:rsid w:val="007D6ECE"/>
    <w:rsid w:val="007D7165"/>
    <w:rsid w:val="007D7219"/>
    <w:rsid w:val="007D72B5"/>
    <w:rsid w:val="007D7834"/>
    <w:rsid w:val="007D7850"/>
    <w:rsid w:val="007D7A9A"/>
    <w:rsid w:val="007D7CCC"/>
    <w:rsid w:val="007D7F38"/>
    <w:rsid w:val="007E0498"/>
    <w:rsid w:val="007E06E7"/>
    <w:rsid w:val="007E0CDE"/>
    <w:rsid w:val="007E0D2C"/>
    <w:rsid w:val="007E14F3"/>
    <w:rsid w:val="007E1627"/>
    <w:rsid w:val="007E17F0"/>
    <w:rsid w:val="007E18D9"/>
    <w:rsid w:val="007E20BF"/>
    <w:rsid w:val="007E226F"/>
    <w:rsid w:val="007E22E3"/>
    <w:rsid w:val="007E2528"/>
    <w:rsid w:val="007E2756"/>
    <w:rsid w:val="007E2B53"/>
    <w:rsid w:val="007E2E0C"/>
    <w:rsid w:val="007E2E78"/>
    <w:rsid w:val="007E2EBD"/>
    <w:rsid w:val="007E3653"/>
    <w:rsid w:val="007E416E"/>
    <w:rsid w:val="007E4803"/>
    <w:rsid w:val="007E4871"/>
    <w:rsid w:val="007E48C7"/>
    <w:rsid w:val="007E4E81"/>
    <w:rsid w:val="007E5374"/>
    <w:rsid w:val="007E5485"/>
    <w:rsid w:val="007E5487"/>
    <w:rsid w:val="007E5599"/>
    <w:rsid w:val="007E5B39"/>
    <w:rsid w:val="007E5D09"/>
    <w:rsid w:val="007E5E6A"/>
    <w:rsid w:val="007E5F39"/>
    <w:rsid w:val="007E601B"/>
    <w:rsid w:val="007E608A"/>
    <w:rsid w:val="007E6283"/>
    <w:rsid w:val="007E68E8"/>
    <w:rsid w:val="007E69E3"/>
    <w:rsid w:val="007E6FC9"/>
    <w:rsid w:val="007E7029"/>
    <w:rsid w:val="007E71E0"/>
    <w:rsid w:val="007E7759"/>
    <w:rsid w:val="007E7959"/>
    <w:rsid w:val="007E7F55"/>
    <w:rsid w:val="007F04E0"/>
    <w:rsid w:val="007F066B"/>
    <w:rsid w:val="007F079F"/>
    <w:rsid w:val="007F07EC"/>
    <w:rsid w:val="007F0D34"/>
    <w:rsid w:val="007F0DAD"/>
    <w:rsid w:val="007F1454"/>
    <w:rsid w:val="007F1AE8"/>
    <w:rsid w:val="007F1D3A"/>
    <w:rsid w:val="007F1F7F"/>
    <w:rsid w:val="007F2CA7"/>
    <w:rsid w:val="007F2D63"/>
    <w:rsid w:val="007F3263"/>
    <w:rsid w:val="007F3B2B"/>
    <w:rsid w:val="007F3E75"/>
    <w:rsid w:val="007F467C"/>
    <w:rsid w:val="007F4E39"/>
    <w:rsid w:val="007F4F53"/>
    <w:rsid w:val="007F596B"/>
    <w:rsid w:val="007F5B01"/>
    <w:rsid w:val="007F5FCE"/>
    <w:rsid w:val="007F63E2"/>
    <w:rsid w:val="007F6A3F"/>
    <w:rsid w:val="007F6E96"/>
    <w:rsid w:val="007F6F00"/>
    <w:rsid w:val="007F718D"/>
    <w:rsid w:val="007F73C0"/>
    <w:rsid w:val="007F7638"/>
    <w:rsid w:val="007F79E2"/>
    <w:rsid w:val="007F7AC6"/>
    <w:rsid w:val="007F7FAA"/>
    <w:rsid w:val="008001D8"/>
    <w:rsid w:val="008004B2"/>
    <w:rsid w:val="0080094B"/>
    <w:rsid w:val="00800DE9"/>
    <w:rsid w:val="008013BC"/>
    <w:rsid w:val="00801551"/>
    <w:rsid w:val="0080162D"/>
    <w:rsid w:val="00801632"/>
    <w:rsid w:val="008017D0"/>
    <w:rsid w:val="00801CF6"/>
    <w:rsid w:val="00801D19"/>
    <w:rsid w:val="00801FB7"/>
    <w:rsid w:val="00801FC5"/>
    <w:rsid w:val="0080241C"/>
    <w:rsid w:val="00802A90"/>
    <w:rsid w:val="00802CA4"/>
    <w:rsid w:val="00802CC4"/>
    <w:rsid w:val="00803D41"/>
    <w:rsid w:val="00804222"/>
    <w:rsid w:val="00804240"/>
    <w:rsid w:val="008043CC"/>
    <w:rsid w:val="008053A0"/>
    <w:rsid w:val="00805EAA"/>
    <w:rsid w:val="008061BB"/>
    <w:rsid w:val="00806441"/>
    <w:rsid w:val="00806518"/>
    <w:rsid w:val="008069C7"/>
    <w:rsid w:val="008071A4"/>
    <w:rsid w:val="00807316"/>
    <w:rsid w:val="0080738B"/>
    <w:rsid w:val="00807F60"/>
    <w:rsid w:val="0081028B"/>
    <w:rsid w:val="00810CF7"/>
    <w:rsid w:val="00810D2C"/>
    <w:rsid w:val="00810DB8"/>
    <w:rsid w:val="00810FD8"/>
    <w:rsid w:val="0081179A"/>
    <w:rsid w:val="00812618"/>
    <w:rsid w:val="00812F15"/>
    <w:rsid w:val="008132E2"/>
    <w:rsid w:val="00813313"/>
    <w:rsid w:val="00813446"/>
    <w:rsid w:val="008136C7"/>
    <w:rsid w:val="00813B9C"/>
    <w:rsid w:val="0081410A"/>
    <w:rsid w:val="008142EC"/>
    <w:rsid w:val="0081430E"/>
    <w:rsid w:val="00814371"/>
    <w:rsid w:val="008144E3"/>
    <w:rsid w:val="008145D9"/>
    <w:rsid w:val="008146A6"/>
    <w:rsid w:val="00814A9C"/>
    <w:rsid w:val="00814DD7"/>
    <w:rsid w:val="00815A60"/>
    <w:rsid w:val="00815D63"/>
    <w:rsid w:val="00815E39"/>
    <w:rsid w:val="00815E65"/>
    <w:rsid w:val="008163AD"/>
    <w:rsid w:val="008166EC"/>
    <w:rsid w:val="0081688F"/>
    <w:rsid w:val="00816C1F"/>
    <w:rsid w:val="00816DAC"/>
    <w:rsid w:val="00817446"/>
    <w:rsid w:val="00817B13"/>
    <w:rsid w:val="00817CA5"/>
    <w:rsid w:val="00817E23"/>
    <w:rsid w:val="0082047E"/>
    <w:rsid w:val="00820CD5"/>
    <w:rsid w:val="008211C6"/>
    <w:rsid w:val="008215A2"/>
    <w:rsid w:val="008216A8"/>
    <w:rsid w:val="008218B0"/>
    <w:rsid w:val="00821B2D"/>
    <w:rsid w:val="00821C82"/>
    <w:rsid w:val="008221D5"/>
    <w:rsid w:val="00822271"/>
    <w:rsid w:val="008227CE"/>
    <w:rsid w:val="00822AB4"/>
    <w:rsid w:val="00822B40"/>
    <w:rsid w:val="008235D7"/>
    <w:rsid w:val="008236B8"/>
    <w:rsid w:val="008237EE"/>
    <w:rsid w:val="00823A5E"/>
    <w:rsid w:val="00823BAD"/>
    <w:rsid w:val="008241CB"/>
    <w:rsid w:val="0082497C"/>
    <w:rsid w:val="00824C26"/>
    <w:rsid w:val="00824CF8"/>
    <w:rsid w:val="00825003"/>
    <w:rsid w:val="0082507A"/>
    <w:rsid w:val="00825091"/>
    <w:rsid w:val="008259F2"/>
    <w:rsid w:val="00825D69"/>
    <w:rsid w:val="00826633"/>
    <w:rsid w:val="0082688A"/>
    <w:rsid w:val="00826897"/>
    <w:rsid w:val="00826B8E"/>
    <w:rsid w:val="00826E28"/>
    <w:rsid w:val="00826F54"/>
    <w:rsid w:val="00827A1D"/>
    <w:rsid w:val="00827CFC"/>
    <w:rsid w:val="0083056B"/>
    <w:rsid w:val="0083071F"/>
    <w:rsid w:val="00831880"/>
    <w:rsid w:val="00831A32"/>
    <w:rsid w:val="00832979"/>
    <w:rsid w:val="008329FA"/>
    <w:rsid w:val="00833075"/>
    <w:rsid w:val="008334B3"/>
    <w:rsid w:val="00833DB1"/>
    <w:rsid w:val="00833EA9"/>
    <w:rsid w:val="00833ED6"/>
    <w:rsid w:val="008342D0"/>
    <w:rsid w:val="008345A4"/>
    <w:rsid w:val="008347EF"/>
    <w:rsid w:val="008347F6"/>
    <w:rsid w:val="00834C43"/>
    <w:rsid w:val="00834CCA"/>
    <w:rsid w:val="00835132"/>
    <w:rsid w:val="00835631"/>
    <w:rsid w:val="008359F7"/>
    <w:rsid w:val="00836036"/>
    <w:rsid w:val="00836FDB"/>
    <w:rsid w:val="00837034"/>
    <w:rsid w:val="008378CC"/>
    <w:rsid w:val="00837B76"/>
    <w:rsid w:val="00840152"/>
    <w:rsid w:val="0084026C"/>
    <w:rsid w:val="008405C2"/>
    <w:rsid w:val="008407D4"/>
    <w:rsid w:val="00840928"/>
    <w:rsid w:val="0084109B"/>
    <w:rsid w:val="008411FF"/>
    <w:rsid w:val="00841FA2"/>
    <w:rsid w:val="00842290"/>
    <w:rsid w:val="008423CA"/>
    <w:rsid w:val="00842519"/>
    <w:rsid w:val="008427E3"/>
    <w:rsid w:val="00842A6E"/>
    <w:rsid w:val="00842C84"/>
    <w:rsid w:val="00842EA1"/>
    <w:rsid w:val="008431D2"/>
    <w:rsid w:val="0084360C"/>
    <w:rsid w:val="008438C4"/>
    <w:rsid w:val="00844137"/>
    <w:rsid w:val="00844161"/>
    <w:rsid w:val="008441C2"/>
    <w:rsid w:val="00844A78"/>
    <w:rsid w:val="008451C0"/>
    <w:rsid w:val="00845525"/>
    <w:rsid w:val="008455B2"/>
    <w:rsid w:val="008461D0"/>
    <w:rsid w:val="00846497"/>
    <w:rsid w:val="00846B2C"/>
    <w:rsid w:val="00846EA6"/>
    <w:rsid w:val="008473D8"/>
    <w:rsid w:val="00847465"/>
    <w:rsid w:val="00847B0B"/>
    <w:rsid w:val="00847BE3"/>
    <w:rsid w:val="00847DAA"/>
    <w:rsid w:val="00850254"/>
    <w:rsid w:val="00850F5E"/>
    <w:rsid w:val="00851184"/>
    <w:rsid w:val="00851354"/>
    <w:rsid w:val="008513AD"/>
    <w:rsid w:val="00851442"/>
    <w:rsid w:val="00851535"/>
    <w:rsid w:val="00851DB1"/>
    <w:rsid w:val="00852126"/>
    <w:rsid w:val="008523EE"/>
    <w:rsid w:val="00852505"/>
    <w:rsid w:val="00852625"/>
    <w:rsid w:val="008528CD"/>
    <w:rsid w:val="00852BBB"/>
    <w:rsid w:val="00852C62"/>
    <w:rsid w:val="00852DA2"/>
    <w:rsid w:val="00852FF7"/>
    <w:rsid w:val="00853234"/>
    <w:rsid w:val="0085329B"/>
    <w:rsid w:val="008536D1"/>
    <w:rsid w:val="00853C7A"/>
    <w:rsid w:val="00854245"/>
    <w:rsid w:val="0085472B"/>
    <w:rsid w:val="00854D36"/>
    <w:rsid w:val="0085584E"/>
    <w:rsid w:val="00855F22"/>
    <w:rsid w:val="00855FFB"/>
    <w:rsid w:val="008561C5"/>
    <w:rsid w:val="00856524"/>
    <w:rsid w:val="008568B9"/>
    <w:rsid w:val="00856924"/>
    <w:rsid w:val="008569D4"/>
    <w:rsid w:val="00856D23"/>
    <w:rsid w:val="0085717D"/>
    <w:rsid w:val="008573D8"/>
    <w:rsid w:val="00857B61"/>
    <w:rsid w:val="008607BF"/>
    <w:rsid w:val="00860853"/>
    <w:rsid w:val="00860DF0"/>
    <w:rsid w:val="00861434"/>
    <w:rsid w:val="00861769"/>
    <w:rsid w:val="008617B7"/>
    <w:rsid w:val="0086188C"/>
    <w:rsid w:val="0086223A"/>
    <w:rsid w:val="008623CD"/>
    <w:rsid w:val="008626BA"/>
    <w:rsid w:val="0086280C"/>
    <w:rsid w:val="00862B61"/>
    <w:rsid w:val="008639E4"/>
    <w:rsid w:val="00863B33"/>
    <w:rsid w:val="0086496D"/>
    <w:rsid w:val="00864AC3"/>
    <w:rsid w:val="008650CD"/>
    <w:rsid w:val="00865495"/>
    <w:rsid w:val="008657E4"/>
    <w:rsid w:val="00865DDB"/>
    <w:rsid w:val="00865FB4"/>
    <w:rsid w:val="008663F2"/>
    <w:rsid w:val="00866B4F"/>
    <w:rsid w:val="00866FB7"/>
    <w:rsid w:val="0086706C"/>
    <w:rsid w:val="0086711A"/>
    <w:rsid w:val="00867201"/>
    <w:rsid w:val="008673B3"/>
    <w:rsid w:val="0086783E"/>
    <w:rsid w:val="00867A47"/>
    <w:rsid w:val="00867CD5"/>
    <w:rsid w:val="00867CEB"/>
    <w:rsid w:val="00870014"/>
    <w:rsid w:val="008701FD"/>
    <w:rsid w:val="00870450"/>
    <w:rsid w:val="008707EA"/>
    <w:rsid w:val="00870AE7"/>
    <w:rsid w:val="00870B58"/>
    <w:rsid w:val="00870FB5"/>
    <w:rsid w:val="00870FD3"/>
    <w:rsid w:val="0087107B"/>
    <w:rsid w:val="00872219"/>
    <w:rsid w:val="008722C9"/>
    <w:rsid w:val="008723EE"/>
    <w:rsid w:val="0087250C"/>
    <w:rsid w:val="00872991"/>
    <w:rsid w:val="00874151"/>
    <w:rsid w:val="0087418A"/>
    <w:rsid w:val="008749C6"/>
    <w:rsid w:val="00874B8E"/>
    <w:rsid w:val="00874D63"/>
    <w:rsid w:val="008756B1"/>
    <w:rsid w:val="00876822"/>
    <w:rsid w:val="00876E3E"/>
    <w:rsid w:val="00876F8C"/>
    <w:rsid w:val="00877798"/>
    <w:rsid w:val="008778AE"/>
    <w:rsid w:val="00877930"/>
    <w:rsid w:val="00877E4F"/>
    <w:rsid w:val="00880115"/>
    <w:rsid w:val="00880FF9"/>
    <w:rsid w:val="00881396"/>
    <w:rsid w:val="00881743"/>
    <w:rsid w:val="00881931"/>
    <w:rsid w:val="008820B6"/>
    <w:rsid w:val="00882CD2"/>
    <w:rsid w:val="008832D3"/>
    <w:rsid w:val="008836E6"/>
    <w:rsid w:val="008839AB"/>
    <w:rsid w:val="008846C7"/>
    <w:rsid w:val="00884875"/>
    <w:rsid w:val="00884FCD"/>
    <w:rsid w:val="00886090"/>
    <w:rsid w:val="008861ED"/>
    <w:rsid w:val="00886257"/>
    <w:rsid w:val="008865BF"/>
    <w:rsid w:val="00886632"/>
    <w:rsid w:val="00886839"/>
    <w:rsid w:val="00886DA2"/>
    <w:rsid w:val="00886EDD"/>
    <w:rsid w:val="00886EF0"/>
    <w:rsid w:val="00886F2B"/>
    <w:rsid w:val="008872AE"/>
    <w:rsid w:val="0088732E"/>
    <w:rsid w:val="008875B2"/>
    <w:rsid w:val="008876B0"/>
    <w:rsid w:val="00887E19"/>
    <w:rsid w:val="008901C6"/>
    <w:rsid w:val="00890653"/>
    <w:rsid w:val="00890781"/>
    <w:rsid w:val="00891B00"/>
    <w:rsid w:val="00891E81"/>
    <w:rsid w:val="0089207D"/>
    <w:rsid w:val="00893486"/>
    <w:rsid w:val="00893927"/>
    <w:rsid w:val="00893994"/>
    <w:rsid w:val="00893B66"/>
    <w:rsid w:val="008941F0"/>
    <w:rsid w:val="00894AAA"/>
    <w:rsid w:val="00895142"/>
    <w:rsid w:val="00895778"/>
    <w:rsid w:val="008959BA"/>
    <w:rsid w:val="00895A1D"/>
    <w:rsid w:val="00895D5F"/>
    <w:rsid w:val="00895ED9"/>
    <w:rsid w:val="00896376"/>
    <w:rsid w:val="00896839"/>
    <w:rsid w:val="00896B11"/>
    <w:rsid w:val="00896BFF"/>
    <w:rsid w:val="00896F0E"/>
    <w:rsid w:val="00896FD8"/>
    <w:rsid w:val="00897892"/>
    <w:rsid w:val="00897C56"/>
    <w:rsid w:val="008A03FF"/>
    <w:rsid w:val="008A086C"/>
    <w:rsid w:val="008A0897"/>
    <w:rsid w:val="008A0C67"/>
    <w:rsid w:val="008A0D41"/>
    <w:rsid w:val="008A0DB2"/>
    <w:rsid w:val="008A0DDB"/>
    <w:rsid w:val="008A21E6"/>
    <w:rsid w:val="008A2901"/>
    <w:rsid w:val="008A2954"/>
    <w:rsid w:val="008A2ADB"/>
    <w:rsid w:val="008A2EDB"/>
    <w:rsid w:val="008A3186"/>
    <w:rsid w:val="008A336D"/>
    <w:rsid w:val="008A341F"/>
    <w:rsid w:val="008A38B8"/>
    <w:rsid w:val="008A3B90"/>
    <w:rsid w:val="008A3C14"/>
    <w:rsid w:val="008A42F3"/>
    <w:rsid w:val="008A43C7"/>
    <w:rsid w:val="008A44EA"/>
    <w:rsid w:val="008A45DE"/>
    <w:rsid w:val="008A4644"/>
    <w:rsid w:val="008A46EC"/>
    <w:rsid w:val="008A4E33"/>
    <w:rsid w:val="008A5228"/>
    <w:rsid w:val="008A546A"/>
    <w:rsid w:val="008A55C9"/>
    <w:rsid w:val="008A55F3"/>
    <w:rsid w:val="008A5760"/>
    <w:rsid w:val="008A68BA"/>
    <w:rsid w:val="008A6DDF"/>
    <w:rsid w:val="008A7172"/>
    <w:rsid w:val="008A733F"/>
    <w:rsid w:val="008B0524"/>
    <w:rsid w:val="008B0853"/>
    <w:rsid w:val="008B08F7"/>
    <w:rsid w:val="008B0FC4"/>
    <w:rsid w:val="008B185D"/>
    <w:rsid w:val="008B1900"/>
    <w:rsid w:val="008B1B07"/>
    <w:rsid w:val="008B2EF9"/>
    <w:rsid w:val="008B3805"/>
    <w:rsid w:val="008B3B83"/>
    <w:rsid w:val="008B3DD1"/>
    <w:rsid w:val="008B3DE0"/>
    <w:rsid w:val="008B4119"/>
    <w:rsid w:val="008B4458"/>
    <w:rsid w:val="008B455C"/>
    <w:rsid w:val="008B4877"/>
    <w:rsid w:val="008B59E0"/>
    <w:rsid w:val="008B61D1"/>
    <w:rsid w:val="008B71E8"/>
    <w:rsid w:val="008B791F"/>
    <w:rsid w:val="008B7C29"/>
    <w:rsid w:val="008C0017"/>
    <w:rsid w:val="008C0236"/>
    <w:rsid w:val="008C06F2"/>
    <w:rsid w:val="008C1055"/>
    <w:rsid w:val="008C11CC"/>
    <w:rsid w:val="008C133B"/>
    <w:rsid w:val="008C243B"/>
    <w:rsid w:val="008C250A"/>
    <w:rsid w:val="008C2B43"/>
    <w:rsid w:val="008C2D3F"/>
    <w:rsid w:val="008C2F8B"/>
    <w:rsid w:val="008C3162"/>
    <w:rsid w:val="008C3214"/>
    <w:rsid w:val="008C346C"/>
    <w:rsid w:val="008C39D4"/>
    <w:rsid w:val="008C3E97"/>
    <w:rsid w:val="008C3EB8"/>
    <w:rsid w:val="008C41FC"/>
    <w:rsid w:val="008C5503"/>
    <w:rsid w:val="008C59A3"/>
    <w:rsid w:val="008C5C85"/>
    <w:rsid w:val="008C5EAA"/>
    <w:rsid w:val="008C63F3"/>
    <w:rsid w:val="008C64B0"/>
    <w:rsid w:val="008C64E6"/>
    <w:rsid w:val="008C7BF4"/>
    <w:rsid w:val="008D0B69"/>
    <w:rsid w:val="008D106B"/>
    <w:rsid w:val="008D10F2"/>
    <w:rsid w:val="008D1AC8"/>
    <w:rsid w:val="008D217C"/>
    <w:rsid w:val="008D2A01"/>
    <w:rsid w:val="008D2BAF"/>
    <w:rsid w:val="008D2C06"/>
    <w:rsid w:val="008D2E6F"/>
    <w:rsid w:val="008D3233"/>
    <w:rsid w:val="008D33CE"/>
    <w:rsid w:val="008D3574"/>
    <w:rsid w:val="008D372B"/>
    <w:rsid w:val="008D3B5E"/>
    <w:rsid w:val="008D3EE9"/>
    <w:rsid w:val="008D4395"/>
    <w:rsid w:val="008D46CF"/>
    <w:rsid w:val="008D4BBB"/>
    <w:rsid w:val="008D4D22"/>
    <w:rsid w:val="008D4DA5"/>
    <w:rsid w:val="008D544A"/>
    <w:rsid w:val="008D55DC"/>
    <w:rsid w:val="008D5A79"/>
    <w:rsid w:val="008D5ABC"/>
    <w:rsid w:val="008D5ACC"/>
    <w:rsid w:val="008D5D4F"/>
    <w:rsid w:val="008D5DF1"/>
    <w:rsid w:val="008D6128"/>
    <w:rsid w:val="008D6420"/>
    <w:rsid w:val="008D65D4"/>
    <w:rsid w:val="008D77EC"/>
    <w:rsid w:val="008D7B12"/>
    <w:rsid w:val="008E0282"/>
    <w:rsid w:val="008E04A7"/>
    <w:rsid w:val="008E0A37"/>
    <w:rsid w:val="008E0D36"/>
    <w:rsid w:val="008E1272"/>
    <w:rsid w:val="008E192E"/>
    <w:rsid w:val="008E19E1"/>
    <w:rsid w:val="008E1D72"/>
    <w:rsid w:val="008E2237"/>
    <w:rsid w:val="008E2700"/>
    <w:rsid w:val="008E2902"/>
    <w:rsid w:val="008E2DF3"/>
    <w:rsid w:val="008E3173"/>
    <w:rsid w:val="008E354A"/>
    <w:rsid w:val="008E36CF"/>
    <w:rsid w:val="008E430C"/>
    <w:rsid w:val="008E44D5"/>
    <w:rsid w:val="008E4859"/>
    <w:rsid w:val="008E4884"/>
    <w:rsid w:val="008E4BE4"/>
    <w:rsid w:val="008E59D7"/>
    <w:rsid w:val="008E5B06"/>
    <w:rsid w:val="008E5B45"/>
    <w:rsid w:val="008E5C2F"/>
    <w:rsid w:val="008E5E8B"/>
    <w:rsid w:val="008E62BE"/>
    <w:rsid w:val="008E64D5"/>
    <w:rsid w:val="008E6613"/>
    <w:rsid w:val="008E66BD"/>
    <w:rsid w:val="008E7297"/>
    <w:rsid w:val="008E7D0D"/>
    <w:rsid w:val="008F017D"/>
    <w:rsid w:val="008F0377"/>
    <w:rsid w:val="008F058E"/>
    <w:rsid w:val="008F0BBA"/>
    <w:rsid w:val="008F0CFA"/>
    <w:rsid w:val="008F1545"/>
    <w:rsid w:val="008F1738"/>
    <w:rsid w:val="008F1B57"/>
    <w:rsid w:val="008F242D"/>
    <w:rsid w:val="008F2656"/>
    <w:rsid w:val="008F286C"/>
    <w:rsid w:val="008F317E"/>
    <w:rsid w:val="008F34EE"/>
    <w:rsid w:val="008F35F9"/>
    <w:rsid w:val="008F3EBC"/>
    <w:rsid w:val="008F4537"/>
    <w:rsid w:val="008F486F"/>
    <w:rsid w:val="008F5251"/>
    <w:rsid w:val="008F5841"/>
    <w:rsid w:val="008F58E6"/>
    <w:rsid w:val="008F6106"/>
    <w:rsid w:val="008F67B9"/>
    <w:rsid w:val="008F6B3C"/>
    <w:rsid w:val="008F6DCF"/>
    <w:rsid w:val="008F6F3F"/>
    <w:rsid w:val="008F72CD"/>
    <w:rsid w:val="008F7759"/>
    <w:rsid w:val="008F7AC8"/>
    <w:rsid w:val="009000A0"/>
    <w:rsid w:val="0090091A"/>
    <w:rsid w:val="00900AAF"/>
    <w:rsid w:val="00900C19"/>
    <w:rsid w:val="00901180"/>
    <w:rsid w:val="0090126C"/>
    <w:rsid w:val="009012B1"/>
    <w:rsid w:val="009014DE"/>
    <w:rsid w:val="0090153F"/>
    <w:rsid w:val="00901657"/>
    <w:rsid w:val="00901D6E"/>
    <w:rsid w:val="00902535"/>
    <w:rsid w:val="009027AD"/>
    <w:rsid w:val="00902860"/>
    <w:rsid w:val="00902B00"/>
    <w:rsid w:val="00902B52"/>
    <w:rsid w:val="00903103"/>
    <w:rsid w:val="009038F5"/>
    <w:rsid w:val="0090398B"/>
    <w:rsid w:val="00903FB4"/>
    <w:rsid w:val="0090400E"/>
    <w:rsid w:val="00904212"/>
    <w:rsid w:val="0090425D"/>
    <w:rsid w:val="009047FF"/>
    <w:rsid w:val="00904B47"/>
    <w:rsid w:val="00904EB4"/>
    <w:rsid w:val="00905AB1"/>
    <w:rsid w:val="00905F42"/>
    <w:rsid w:val="00905F5B"/>
    <w:rsid w:val="009060EE"/>
    <w:rsid w:val="009062D1"/>
    <w:rsid w:val="00906ED4"/>
    <w:rsid w:val="00907485"/>
    <w:rsid w:val="00907D9E"/>
    <w:rsid w:val="00907EA5"/>
    <w:rsid w:val="00907EB2"/>
    <w:rsid w:val="0091058A"/>
    <w:rsid w:val="00910CE9"/>
    <w:rsid w:val="00910EB9"/>
    <w:rsid w:val="009113FF"/>
    <w:rsid w:val="00911915"/>
    <w:rsid w:val="00911ADA"/>
    <w:rsid w:val="00911D18"/>
    <w:rsid w:val="00911D41"/>
    <w:rsid w:val="00912EF0"/>
    <w:rsid w:val="00913257"/>
    <w:rsid w:val="009132A0"/>
    <w:rsid w:val="009133B5"/>
    <w:rsid w:val="009136E6"/>
    <w:rsid w:val="009142B8"/>
    <w:rsid w:val="00914925"/>
    <w:rsid w:val="009150C8"/>
    <w:rsid w:val="00915343"/>
    <w:rsid w:val="009154C9"/>
    <w:rsid w:val="00915B7B"/>
    <w:rsid w:val="00915C6A"/>
    <w:rsid w:val="00915F3C"/>
    <w:rsid w:val="0091652E"/>
    <w:rsid w:val="00916962"/>
    <w:rsid w:val="00916B3E"/>
    <w:rsid w:val="00916B85"/>
    <w:rsid w:val="00916BF6"/>
    <w:rsid w:val="00917F98"/>
    <w:rsid w:val="00920592"/>
    <w:rsid w:val="0092091D"/>
    <w:rsid w:val="00920BCA"/>
    <w:rsid w:val="00921270"/>
    <w:rsid w:val="00921448"/>
    <w:rsid w:val="009214DD"/>
    <w:rsid w:val="00921624"/>
    <w:rsid w:val="00921B3B"/>
    <w:rsid w:val="00921FE0"/>
    <w:rsid w:val="009220BF"/>
    <w:rsid w:val="009222AB"/>
    <w:rsid w:val="009229E3"/>
    <w:rsid w:val="00922AAC"/>
    <w:rsid w:val="00922F19"/>
    <w:rsid w:val="009232BC"/>
    <w:rsid w:val="009234D9"/>
    <w:rsid w:val="00923578"/>
    <w:rsid w:val="0092395B"/>
    <w:rsid w:val="00923BE3"/>
    <w:rsid w:val="00923E24"/>
    <w:rsid w:val="009241F3"/>
    <w:rsid w:val="00924B61"/>
    <w:rsid w:val="00924B92"/>
    <w:rsid w:val="00925454"/>
    <w:rsid w:val="0092594B"/>
    <w:rsid w:val="00925B62"/>
    <w:rsid w:val="00926215"/>
    <w:rsid w:val="00926819"/>
    <w:rsid w:val="009275A2"/>
    <w:rsid w:val="0093023D"/>
    <w:rsid w:val="00931220"/>
    <w:rsid w:val="0093162F"/>
    <w:rsid w:val="009316BF"/>
    <w:rsid w:val="009322ED"/>
    <w:rsid w:val="009324B7"/>
    <w:rsid w:val="00932584"/>
    <w:rsid w:val="00932796"/>
    <w:rsid w:val="00932B79"/>
    <w:rsid w:val="00933693"/>
    <w:rsid w:val="009338A4"/>
    <w:rsid w:val="0093390A"/>
    <w:rsid w:val="009340F0"/>
    <w:rsid w:val="0093422B"/>
    <w:rsid w:val="0093425A"/>
    <w:rsid w:val="00934BBF"/>
    <w:rsid w:val="00934FD4"/>
    <w:rsid w:val="00935269"/>
    <w:rsid w:val="009353D0"/>
    <w:rsid w:val="009356D3"/>
    <w:rsid w:val="009356FA"/>
    <w:rsid w:val="0093586E"/>
    <w:rsid w:val="00935898"/>
    <w:rsid w:val="00935DE0"/>
    <w:rsid w:val="00935E4B"/>
    <w:rsid w:val="00935FD8"/>
    <w:rsid w:val="009366C7"/>
    <w:rsid w:val="00936714"/>
    <w:rsid w:val="00936A34"/>
    <w:rsid w:val="00936BA7"/>
    <w:rsid w:val="00936D2B"/>
    <w:rsid w:val="009371FC"/>
    <w:rsid w:val="0093728F"/>
    <w:rsid w:val="00937765"/>
    <w:rsid w:val="0093783B"/>
    <w:rsid w:val="00937AF7"/>
    <w:rsid w:val="00937B9D"/>
    <w:rsid w:val="00937CBA"/>
    <w:rsid w:val="00940827"/>
    <w:rsid w:val="0094095C"/>
    <w:rsid w:val="00940C4D"/>
    <w:rsid w:val="00940CD2"/>
    <w:rsid w:val="009415A6"/>
    <w:rsid w:val="00941BEB"/>
    <w:rsid w:val="00941CDD"/>
    <w:rsid w:val="00941DB4"/>
    <w:rsid w:val="009426E1"/>
    <w:rsid w:val="009429F6"/>
    <w:rsid w:val="00942BD1"/>
    <w:rsid w:val="00942BE5"/>
    <w:rsid w:val="00942ED7"/>
    <w:rsid w:val="00943152"/>
    <w:rsid w:val="0094315D"/>
    <w:rsid w:val="009435BB"/>
    <w:rsid w:val="00943E68"/>
    <w:rsid w:val="00943EB1"/>
    <w:rsid w:val="0094409E"/>
    <w:rsid w:val="009441B9"/>
    <w:rsid w:val="0094450C"/>
    <w:rsid w:val="009447AD"/>
    <w:rsid w:val="00944910"/>
    <w:rsid w:val="00945355"/>
    <w:rsid w:val="00945549"/>
    <w:rsid w:val="00945B37"/>
    <w:rsid w:val="00945B42"/>
    <w:rsid w:val="00945B6A"/>
    <w:rsid w:val="00945D35"/>
    <w:rsid w:val="00946474"/>
    <w:rsid w:val="00946939"/>
    <w:rsid w:val="00946C40"/>
    <w:rsid w:val="00946FA5"/>
    <w:rsid w:val="0094702A"/>
    <w:rsid w:val="00947363"/>
    <w:rsid w:val="0094772E"/>
    <w:rsid w:val="00947747"/>
    <w:rsid w:val="00947B09"/>
    <w:rsid w:val="00947DAD"/>
    <w:rsid w:val="00950297"/>
    <w:rsid w:val="00950356"/>
    <w:rsid w:val="009509DA"/>
    <w:rsid w:val="009509ED"/>
    <w:rsid w:val="00950C96"/>
    <w:rsid w:val="00950E09"/>
    <w:rsid w:val="009510F3"/>
    <w:rsid w:val="00951892"/>
    <w:rsid w:val="009518D6"/>
    <w:rsid w:val="00951AFB"/>
    <w:rsid w:val="00952318"/>
    <w:rsid w:val="00952AE4"/>
    <w:rsid w:val="009530AC"/>
    <w:rsid w:val="00953180"/>
    <w:rsid w:val="0095332B"/>
    <w:rsid w:val="009537CB"/>
    <w:rsid w:val="009537FC"/>
    <w:rsid w:val="00953991"/>
    <w:rsid w:val="00954175"/>
    <w:rsid w:val="009545E6"/>
    <w:rsid w:val="00954840"/>
    <w:rsid w:val="0095537F"/>
    <w:rsid w:val="009553BB"/>
    <w:rsid w:val="00956030"/>
    <w:rsid w:val="0095603E"/>
    <w:rsid w:val="00956628"/>
    <w:rsid w:val="0095694C"/>
    <w:rsid w:val="00956AC5"/>
    <w:rsid w:val="009572CC"/>
    <w:rsid w:val="009579C6"/>
    <w:rsid w:val="00957B06"/>
    <w:rsid w:val="00957CC6"/>
    <w:rsid w:val="0096082A"/>
    <w:rsid w:val="00960AA1"/>
    <w:rsid w:val="00960B36"/>
    <w:rsid w:val="00960BB2"/>
    <w:rsid w:val="00961BDF"/>
    <w:rsid w:val="00961C7D"/>
    <w:rsid w:val="00961D72"/>
    <w:rsid w:val="009621E9"/>
    <w:rsid w:val="009623AA"/>
    <w:rsid w:val="00962666"/>
    <w:rsid w:val="00962890"/>
    <w:rsid w:val="00962BDE"/>
    <w:rsid w:val="00962C07"/>
    <w:rsid w:val="00963E01"/>
    <w:rsid w:val="00963F44"/>
    <w:rsid w:val="00964453"/>
    <w:rsid w:val="00964D18"/>
    <w:rsid w:val="00964DEA"/>
    <w:rsid w:val="00965570"/>
    <w:rsid w:val="00965652"/>
    <w:rsid w:val="009657F9"/>
    <w:rsid w:val="00965FCF"/>
    <w:rsid w:val="0096607B"/>
    <w:rsid w:val="0096686E"/>
    <w:rsid w:val="00966B19"/>
    <w:rsid w:val="00966F9F"/>
    <w:rsid w:val="00967760"/>
    <w:rsid w:val="0097009F"/>
    <w:rsid w:val="00970143"/>
    <w:rsid w:val="00970529"/>
    <w:rsid w:val="00970743"/>
    <w:rsid w:val="00970B7F"/>
    <w:rsid w:val="00970D3F"/>
    <w:rsid w:val="00970DC7"/>
    <w:rsid w:val="00971796"/>
    <w:rsid w:val="009725FA"/>
    <w:rsid w:val="009729CD"/>
    <w:rsid w:val="00972EBD"/>
    <w:rsid w:val="00973067"/>
    <w:rsid w:val="009730B9"/>
    <w:rsid w:val="00973842"/>
    <w:rsid w:val="009739FE"/>
    <w:rsid w:val="009748FB"/>
    <w:rsid w:val="00974BF1"/>
    <w:rsid w:val="0097555C"/>
    <w:rsid w:val="0097557B"/>
    <w:rsid w:val="009755E2"/>
    <w:rsid w:val="00975CBA"/>
    <w:rsid w:val="00975CD6"/>
    <w:rsid w:val="00976403"/>
    <w:rsid w:val="009764D1"/>
    <w:rsid w:val="00976949"/>
    <w:rsid w:val="00976A65"/>
    <w:rsid w:val="00976A77"/>
    <w:rsid w:val="00976AD2"/>
    <w:rsid w:val="00976C7C"/>
    <w:rsid w:val="009770B9"/>
    <w:rsid w:val="009772FF"/>
    <w:rsid w:val="00977801"/>
    <w:rsid w:val="00980005"/>
    <w:rsid w:val="0098022A"/>
    <w:rsid w:val="00980C8E"/>
    <w:rsid w:val="00980DE6"/>
    <w:rsid w:val="00980EAE"/>
    <w:rsid w:val="009814A7"/>
    <w:rsid w:val="00982244"/>
    <w:rsid w:val="009824B1"/>
    <w:rsid w:val="00982624"/>
    <w:rsid w:val="0098287E"/>
    <w:rsid w:val="00982DE4"/>
    <w:rsid w:val="00983277"/>
    <w:rsid w:val="0098341D"/>
    <w:rsid w:val="00983B8D"/>
    <w:rsid w:val="00983C84"/>
    <w:rsid w:val="00983E57"/>
    <w:rsid w:val="009841C4"/>
    <w:rsid w:val="009841CA"/>
    <w:rsid w:val="00984935"/>
    <w:rsid w:val="00984FBC"/>
    <w:rsid w:val="00984FCD"/>
    <w:rsid w:val="00985553"/>
    <w:rsid w:val="009856F2"/>
    <w:rsid w:val="00985853"/>
    <w:rsid w:val="009859FB"/>
    <w:rsid w:val="00986540"/>
    <w:rsid w:val="00986F1C"/>
    <w:rsid w:val="00986F3F"/>
    <w:rsid w:val="00987731"/>
    <w:rsid w:val="0098786A"/>
    <w:rsid w:val="00987970"/>
    <w:rsid w:val="00987C0A"/>
    <w:rsid w:val="00987C90"/>
    <w:rsid w:val="00987D3C"/>
    <w:rsid w:val="009906FE"/>
    <w:rsid w:val="009909C4"/>
    <w:rsid w:val="009909D9"/>
    <w:rsid w:val="00990A2D"/>
    <w:rsid w:val="00990B93"/>
    <w:rsid w:val="00990C60"/>
    <w:rsid w:val="009912B3"/>
    <w:rsid w:val="00991464"/>
    <w:rsid w:val="00991663"/>
    <w:rsid w:val="00991803"/>
    <w:rsid w:val="00991853"/>
    <w:rsid w:val="00991872"/>
    <w:rsid w:val="009918DB"/>
    <w:rsid w:val="00991AB9"/>
    <w:rsid w:val="00991BA7"/>
    <w:rsid w:val="00991D12"/>
    <w:rsid w:val="0099227B"/>
    <w:rsid w:val="009925D4"/>
    <w:rsid w:val="00992A7D"/>
    <w:rsid w:val="00992B9A"/>
    <w:rsid w:val="00992E6C"/>
    <w:rsid w:val="009932CF"/>
    <w:rsid w:val="00993A2E"/>
    <w:rsid w:val="00993A54"/>
    <w:rsid w:val="00993A68"/>
    <w:rsid w:val="009945A9"/>
    <w:rsid w:val="00994F46"/>
    <w:rsid w:val="00995048"/>
    <w:rsid w:val="00995285"/>
    <w:rsid w:val="0099548E"/>
    <w:rsid w:val="009955C5"/>
    <w:rsid w:val="00995D86"/>
    <w:rsid w:val="00996475"/>
    <w:rsid w:val="009964E4"/>
    <w:rsid w:val="00997156"/>
    <w:rsid w:val="00997596"/>
    <w:rsid w:val="00997876"/>
    <w:rsid w:val="00997CF5"/>
    <w:rsid w:val="009A05ED"/>
    <w:rsid w:val="009A158E"/>
    <w:rsid w:val="009A2A93"/>
    <w:rsid w:val="009A2CB8"/>
    <w:rsid w:val="009A3BC3"/>
    <w:rsid w:val="009A3F81"/>
    <w:rsid w:val="009A43C5"/>
    <w:rsid w:val="009A44A2"/>
    <w:rsid w:val="009A4627"/>
    <w:rsid w:val="009A4DB8"/>
    <w:rsid w:val="009A4FC2"/>
    <w:rsid w:val="009A503F"/>
    <w:rsid w:val="009A5313"/>
    <w:rsid w:val="009A5480"/>
    <w:rsid w:val="009A575E"/>
    <w:rsid w:val="009A5AD7"/>
    <w:rsid w:val="009A6455"/>
    <w:rsid w:val="009A6BF5"/>
    <w:rsid w:val="009A720A"/>
    <w:rsid w:val="009A7512"/>
    <w:rsid w:val="009A7615"/>
    <w:rsid w:val="009A7B04"/>
    <w:rsid w:val="009A7B53"/>
    <w:rsid w:val="009B018D"/>
    <w:rsid w:val="009B0729"/>
    <w:rsid w:val="009B0D7B"/>
    <w:rsid w:val="009B0E0D"/>
    <w:rsid w:val="009B130B"/>
    <w:rsid w:val="009B1B58"/>
    <w:rsid w:val="009B2459"/>
    <w:rsid w:val="009B2B2A"/>
    <w:rsid w:val="009B2C71"/>
    <w:rsid w:val="009B2D4E"/>
    <w:rsid w:val="009B2F69"/>
    <w:rsid w:val="009B32C5"/>
    <w:rsid w:val="009B3D7A"/>
    <w:rsid w:val="009B4587"/>
    <w:rsid w:val="009B4597"/>
    <w:rsid w:val="009B4884"/>
    <w:rsid w:val="009B4BE8"/>
    <w:rsid w:val="009B56CA"/>
    <w:rsid w:val="009B5872"/>
    <w:rsid w:val="009B58E3"/>
    <w:rsid w:val="009B65D7"/>
    <w:rsid w:val="009B6A40"/>
    <w:rsid w:val="009B6B99"/>
    <w:rsid w:val="009B6C09"/>
    <w:rsid w:val="009B6F90"/>
    <w:rsid w:val="009B70AD"/>
    <w:rsid w:val="009B7223"/>
    <w:rsid w:val="009B726E"/>
    <w:rsid w:val="009C008B"/>
    <w:rsid w:val="009C0D30"/>
    <w:rsid w:val="009C123D"/>
    <w:rsid w:val="009C1785"/>
    <w:rsid w:val="009C1846"/>
    <w:rsid w:val="009C2375"/>
    <w:rsid w:val="009C24FB"/>
    <w:rsid w:val="009C2782"/>
    <w:rsid w:val="009C2CA7"/>
    <w:rsid w:val="009C3183"/>
    <w:rsid w:val="009C3413"/>
    <w:rsid w:val="009C34EF"/>
    <w:rsid w:val="009C36F1"/>
    <w:rsid w:val="009C3ECE"/>
    <w:rsid w:val="009C3EFD"/>
    <w:rsid w:val="009C4176"/>
    <w:rsid w:val="009C44A2"/>
    <w:rsid w:val="009C4630"/>
    <w:rsid w:val="009C4B86"/>
    <w:rsid w:val="009C4DD9"/>
    <w:rsid w:val="009C4E74"/>
    <w:rsid w:val="009C50CB"/>
    <w:rsid w:val="009C5115"/>
    <w:rsid w:val="009C55BA"/>
    <w:rsid w:val="009C5751"/>
    <w:rsid w:val="009C57F9"/>
    <w:rsid w:val="009C5EAC"/>
    <w:rsid w:val="009C6035"/>
    <w:rsid w:val="009C60E4"/>
    <w:rsid w:val="009C6971"/>
    <w:rsid w:val="009C7CF4"/>
    <w:rsid w:val="009D0035"/>
    <w:rsid w:val="009D075E"/>
    <w:rsid w:val="009D1048"/>
    <w:rsid w:val="009D1088"/>
    <w:rsid w:val="009D1557"/>
    <w:rsid w:val="009D1E59"/>
    <w:rsid w:val="009D1ED0"/>
    <w:rsid w:val="009D1F00"/>
    <w:rsid w:val="009D2A87"/>
    <w:rsid w:val="009D2AB3"/>
    <w:rsid w:val="009D2E7B"/>
    <w:rsid w:val="009D31B4"/>
    <w:rsid w:val="009D3B2B"/>
    <w:rsid w:val="009D3BEC"/>
    <w:rsid w:val="009D3DCE"/>
    <w:rsid w:val="009D3DCF"/>
    <w:rsid w:val="009D4188"/>
    <w:rsid w:val="009D4570"/>
    <w:rsid w:val="009D48DE"/>
    <w:rsid w:val="009D4C5C"/>
    <w:rsid w:val="009D4D66"/>
    <w:rsid w:val="009D50EA"/>
    <w:rsid w:val="009D534F"/>
    <w:rsid w:val="009D5577"/>
    <w:rsid w:val="009D55DC"/>
    <w:rsid w:val="009D5F5B"/>
    <w:rsid w:val="009D63D4"/>
    <w:rsid w:val="009D645F"/>
    <w:rsid w:val="009D675C"/>
    <w:rsid w:val="009D6BE4"/>
    <w:rsid w:val="009D6BE7"/>
    <w:rsid w:val="009D6D85"/>
    <w:rsid w:val="009D6D9C"/>
    <w:rsid w:val="009D7319"/>
    <w:rsid w:val="009D75B6"/>
    <w:rsid w:val="009D7E21"/>
    <w:rsid w:val="009E0076"/>
    <w:rsid w:val="009E0094"/>
    <w:rsid w:val="009E02F1"/>
    <w:rsid w:val="009E03A8"/>
    <w:rsid w:val="009E04AC"/>
    <w:rsid w:val="009E06EE"/>
    <w:rsid w:val="009E08FF"/>
    <w:rsid w:val="009E1158"/>
    <w:rsid w:val="009E1202"/>
    <w:rsid w:val="009E15E1"/>
    <w:rsid w:val="009E189E"/>
    <w:rsid w:val="009E18BD"/>
    <w:rsid w:val="009E1B8B"/>
    <w:rsid w:val="009E1F5D"/>
    <w:rsid w:val="009E1FA9"/>
    <w:rsid w:val="009E2C60"/>
    <w:rsid w:val="009E2E95"/>
    <w:rsid w:val="009E3A51"/>
    <w:rsid w:val="009E3B4D"/>
    <w:rsid w:val="009E3C84"/>
    <w:rsid w:val="009E43BF"/>
    <w:rsid w:val="009E4AF4"/>
    <w:rsid w:val="009E4D59"/>
    <w:rsid w:val="009E4E57"/>
    <w:rsid w:val="009E4F11"/>
    <w:rsid w:val="009E5087"/>
    <w:rsid w:val="009E50C1"/>
    <w:rsid w:val="009E54B6"/>
    <w:rsid w:val="009E58FC"/>
    <w:rsid w:val="009E5CA2"/>
    <w:rsid w:val="009E60C9"/>
    <w:rsid w:val="009E6495"/>
    <w:rsid w:val="009E6683"/>
    <w:rsid w:val="009E6971"/>
    <w:rsid w:val="009E6BB0"/>
    <w:rsid w:val="009E710E"/>
    <w:rsid w:val="009E7447"/>
    <w:rsid w:val="009F0019"/>
    <w:rsid w:val="009F05FD"/>
    <w:rsid w:val="009F069E"/>
    <w:rsid w:val="009F06F4"/>
    <w:rsid w:val="009F08C2"/>
    <w:rsid w:val="009F0E62"/>
    <w:rsid w:val="009F0EBB"/>
    <w:rsid w:val="009F1082"/>
    <w:rsid w:val="009F11D9"/>
    <w:rsid w:val="009F1738"/>
    <w:rsid w:val="009F1AF6"/>
    <w:rsid w:val="009F2279"/>
    <w:rsid w:val="009F26CE"/>
    <w:rsid w:val="009F2702"/>
    <w:rsid w:val="009F2773"/>
    <w:rsid w:val="009F285F"/>
    <w:rsid w:val="009F2B42"/>
    <w:rsid w:val="009F3491"/>
    <w:rsid w:val="009F35EE"/>
    <w:rsid w:val="009F3642"/>
    <w:rsid w:val="009F3A0F"/>
    <w:rsid w:val="009F3A3D"/>
    <w:rsid w:val="009F3A47"/>
    <w:rsid w:val="009F3B89"/>
    <w:rsid w:val="009F3E30"/>
    <w:rsid w:val="009F437C"/>
    <w:rsid w:val="009F4707"/>
    <w:rsid w:val="009F4725"/>
    <w:rsid w:val="009F48DD"/>
    <w:rsid w:val="009F4BA6"/>
    <w:rsid w:val="009F4ED8"/>
    <w:rsid w:val="009F4F2C"/>
    <w:rsid w:val="009F58C8"/>
    <w:rsid w:val="009F5E10"/>
    <w:rsid w:val="009F5FD9"/>
    <w:rsid w:val="009F6F50"/>
    <w:rsid w:val="009F77E2"/>
    <w:rsid w:val="009F7DBA"/>
    <w:rsid w:val="009F7FA6"/>
    <w:rsid w:val="00A0063C"/>
    <w:rsid w:val="00A00882"/>
    <w:rsid w:val="00A00C5B"/>
    <w:rsid w:val="00A00D7A"/>
    <w:rsid w:val="00A012AA"/>
    <w:rsid w:val="00A01846"/>
    <w:rsid w:val="00A02494"/>
    <w:rsid w:val="00A027F6"/>
    <w:rsid w:val="00A02D61"/>
    <w:rsid w:val="00A0381A"/>
    <w:rsid w:val="00A038AA"/>
    <w:rsid w:val="00A039E1"/>
    <w:rsid w:val="00A03C2C"/>
    <w:rsid w:val="00A03CBC"/>
    <w:rsid w:val="00A03DB3"/>
    <w:rsid w:val="00A03E8B"/>
    <w:rsid w:val="00A044E1"/>
    <w:rsid w:val="00A04B2A"/>
    <w:rsid w:val="00A05040"/>
    <w:rsid w:val="00A05100"/>
    <w:rsid w:val="00A05149"/>
    <w:rsid w:val="00A054F2"/>
    <w:rsid w:val="00A05546"/>
    <w:rsid w:val="00A05994"/>
    <w:rsid w:val="00A05E5E"/>
    <w:rsid w:val="00A0600A"/>
    <w:rsid w:val="00A0618C"/>
    <w:rsid w:val="00A064D5"/>
    <w:rsid w:val="00A06649"/>
    <w:rsid w:val="00A06663"/>
    <w:rsid w:val="00A07275"/>
    <w:rsid w:val="00A0796C"/>
    <w:rsid w:val="00A079AD"/>
    <w:rsid w:val="00A07ABB"/>
    <w:rsid w:val="00A07BEC"/>
    <w:rsid w:val="00A07E21"/>
    <w:rsid w:val="00A100EB"/>
    <w:rsid w:val="00A10182"/>
    <w:rsid w:val="00A10225"/>
    <w:rsid w:val="00A10571"/>
    <w:rsid w:val="00A10E97"/>
    <w:rsid w:val="00A10EC2"/>
    <w:rsid w:val="00A1119E"/>
    <w:rsid w:val="00A11250"/>
    <w:rsid w:val="00A11631"/>
    <w:rsid w:val="00A11C86"/>
    <w:rsid w:val="00A12579"/>
    <w:rsid w:val="00A12A10"/>
    <w:rsid w:val="00A12C3D"/>
    <w:rsid w:val="00A12D38"/>
    <w:rsid w:val="00A1327E"/>
    <w:rsid w:val="00A13A16"/>
    <w:rsid w:val="00A13D54"/>
    <w:rsid w:val="00A13DE9"/>
    <w:rsid w:val="00A13ED9"/>
    <w:rsid w:val="00A13FAD"/>
    <w:rsid w:val="00A143AF"/>
    <w:rsid w:val="00A14F93"/>
    <w:rsid w:val="00A1558D"/>
    <w:rsid w:val="00A15AD0"/>
    <w:rsid w:val="00A15E6B"/>
    <w:rsid w:val="00A15F9E"/>
    <w:rsid w:val="00A16BDA"/>
    <w:rsid w:val="00A16D18"/>
    <w:rsid w:val="00A16D53"/>
    <w:rsid w:val="00A16F6E"/>
    <w:rsid w:val="00A178CC"/>
    <w:rsid w:val="00A179DF"/>
    <w:rsid w:val="00A17A69"/>
    <w:rsid w:val="00A17C16"/>
    <w:rsid w:val="00A17F7F"/>
    <w:rsid w:val="00A200BC"/>
    <w:rsid w:val="00A200C8"/>
    <w:rsid w:val="00A20875"/>
    <w:rsid w:val="00A20B6A"/>
    <w:rsid w:val="00A20C38"/>
    <w:rsid w:val="00A211A1"/>
    <w:rsid w:val="00A215D4"/>
    <w:rsid w:val="00A2168C"/>
    <w:rsid w:val="00A21A30"/>
    <w:rsid w:val="00A22827"/>
    <w:rsid w:val="00A229A6"/>
    <w:rsid w:val="00A22AE7"/>
    <w:rsid w:val="00A22C39"/>
    <w:rsid w:val="00A2367B"/>
    <w:rsid w:val="00A23A27"/>
    <w:rsid w:val="00A23D75"/>
    <w:rsid w:val="00A23D7E"/>
    <w:rsid w:val="00A24362"/>
    <w:rsid w:val="00A24D41"/>
    <w:rsid w:val="00A251A4"/>
    <w:rsid w:val="00A25B9E"/>
    <w:rsid w:val="00A25EAE"/>
    <w:rsid w:val="00A26008"/>
    <w:rsid w:val="00A26B87"/>
    <w:rsid w:val="00A26F08"/>
    <w:rsid w:val="00A27073"/>
    <w:rsid w:val="00A27161"/>
    <w:rsid w:val="00A27E3B"/>
    <w:rsid w:val="00A27EF9"/>
    <w:rsid w:val="00A27F1D"/>
    <w:rsid w:val="00A30101"/>
    <w:rsid w:val="00A30AFB"/>
    <w:rsid w:val="00A30C13"/>
    <w:rsid w:val="00A30D01"/>
    <w:rsid w:val="00A3164C"/>
    <w:rsid w:val="00A319B4"/>
    <w:rsid w:val="00A31A59"/>
    <w:rsid w:val="00A31A86"/>
    <w:rsid w:val="00A322E3"/>
    <w:rsid w:val="00A3233E"/>
    <w:rsid w:val="00A3234E"/>
    <w:rsid w:val="00A32631"/>
    <w:rsid w:val="00A32760"/>
    <w:rsid w:val="00A329D1"/>
    <w:rsid w:val="00A32B91"/>
    <w:rsid w:val="00A32CB7"/>
    <w:rsid w:val="00A32F1F"/>
    <w:rsid w:val="00A3351D"/>
    <w:rsid w:val="00A33EA8"/>
    <w:rsid w:val="00A33EBB"/>
    <w:rsid w:val="00A33FAB"/>
    <w:rsid w:val="00A34148"/>
    <w:rsid w:val="00A341C8"/>
    <w:rsid w:val="00A34492"/>
    <w:rsid w:val="00A347E9"/>
    <w:rsid w:val="00A3495F"/>
    <w:rsid w:val="00A34EE5"/>
    <w:rsid w:val="00A353BA"/>
    <w:rsid w:val="00A35875"/>
    <w:rsid w:val="00A359EF"/>
    <w:rsid w:val="00A36154"/>
    <w:rsid w:val="00A366B3"/>
    <w:rsid w:val="00A3678C"/>
    <w:rsid w:val="00A36904"/>
    <w:rsid w:val="00A369A0"/>
    <w:rsid w:val="00A36DCE"/>
    <w:rsid w:val="00A3736B"/>
    <w:rsid w:val="00A378E1"/>
    <w:rsid w:val="00A37AF8"/>
    <w:rsid w:val="00A40659"/>
    <w:rsid w:val="00A41025"/>
    <w:rsid w:val="00A4264A"/>
    <w:rsid w:val="00A426F1"/>
    <w:rsid w:val="00A42D86"/>
    <w:rsid w:val="00A42DA0"/>
    <w:rsid w:val="00A43124"/>
    <w:rsid w:val="00A436E3"/>
    <w:rsid w:val="00A4383F"/>
    <w:rsid w:val="00A43FB1"/>
    <w:rsid w:val="00A446CB"/>
    <w:rsid w:val="00A44753"/>
    <w:rsid w:val="00A44CFF"/>
    <w:rsid w:val="00A451BB"/>
    <w:rsid w:val="00A4572A"/>
    <w:rsid w:val="00A46257"/>
    <w:rsid w:val="00A46326"/>
    <w:rsid w:val="00A46960"/>
    <w:rsid w:val="00A46D61"/>
    <w:rsid w:val="00A46EED"/>
    <w:rsid w:val="00A472C3"/>
    <w:rsid w:val="00A4744D"/>
    <w:rsid w:val="00A479A5"/>
    <w:rsid w:val="00A47A7D"/>
    <w:rsid w:val="00A47B1C"/>
    <w:rsid w:val="00A47BFA"/>
    <w:rsid w:val="00A47E06"/>
    <w:rsid w:val="00A47FCC"/>
    <w:rsid w:val="00A50195"/>
    <w:rsid w:val="00A50363"/>
    <w:rsid w:val="00A507B7"/>
    <w:rsid w:val="00A509D3"/>
    <w:rsid w:val="00A50A56"/>
    <w:rsid w:val="00A50B79"/>
    <w:rsid w:val="00A5114D"/>
    <w:rsid w:val="00A513D5"/>
    <w:rsid w:val="00A5277F"/>
    <w:rsid w:val="00A52830"/>
    <w:rsid w:val="00A52CF3"/>
    <w:rsid w:val="00A53179"/>
    <w:rsid w:val="00A5329E"/>
    <w:rsid w:val="00A534BD"/>
    <w:rsid w:val="00A538A4"/>
    <w:rsid w:val="00A53C00"/>
    <w:rsid w:val="00A5414A"/>
    <w:rsid w:val="00A542B8"/>
    <w:rsid w:val="00A54455"/>
    <w:rsid w:val="00A55490"/>
    <w:rsid w:val="00A557AD"/>
    <w:rsid w:val="00A558CB"/>
    <w:rsid w:val="00A56092"/>
    <w:rsid w:val="00A560F8"/>
    <w:rsid w:val="00A56662"/>
    <w:rsid w:val="00A569DE"/>
    <w:rsid w:val="00A56C4C"/>
    <w:rsid w:val="00A56C89"/>
    <w:rsid w:val="00A570F2"/>
    <w:rsid w:val="00A573CB"/>
    <w:rsid w:val="00A57B32"/>
    <w:rsid w:val="00A57EDD"/>
    <w:rsid w:val="00A602BB"/>
    <w:rsid w:val="00A60BA3"/>
    <w:rsid w:val="00A60D23"/>
    <w:rsid w:val="00A60F3A"/>
    <w:rsid w:val="00A61113"/>
    <w:rsid w:val="00A6143A"/>
    <w:rsid w:val="00A62526"/>
    <w:rsid w:val="00A627B9"/>
    <w:rsid w:val="00A62B07"/>
    <w:rsid w:val="00A62B17"/>
    <w:rsid w:val="00A62E14"/>
    <w:rsid w:val="00A63781"/>
    <w:rsid w:val="00A641C1"/>
    <w:rsid w:val="00A645D9"/>
    <w:rsid w:val="00A649A1"/>
    <w:rsid w:val="00A650EB"/>
    <w:rsid w:val="00A65176"/>
    <w:rsid w:val="00A6622B"/>
    <w:rsid w:val="00A664E5"/>
    <w:rsid w:val="00A66745"/>
    <w:rsid w:val="00A66BD3"/>
    <w:rsid w:val="00A6755F"/>
    <w:rsid w:val="00A679E8"/>
    <w:rsid w:val="00A67DB0"/>
    <w:rsid w:val="00A67EDC"/>
    <w:rsid w:val="00A7000B"/>
    <w:rsid w:val="00A70092"/>
    <w:rsid w:val="00A700B0"/>
    <w:rsid w:val="00A701C3"/>
    <w:rsid w:val="00A701D9"/>
    <w:rsid w:val="00A7078B"/>
    <w:rsid w:val="00A70ACC"/>
    <w:rsid w:val="00A70B0B"/>
    <w:rsid w:val="00A71127"/>
    <w:rsid w:val="00A714F6"/>
    <w:rsid w:val="00A71973"/>
    <w:rsid w:val="00A719BD"/>
    <w:rsid w:val="00A71A03"/>
    <w:rsid w:val="00A71DEA"/>
    <w:rsid w:val="00A71F00"/>
    <w:rsid w:val="00A720C9"/>
    <w:rsid w:val="00A720E0"/>
    <w:rsid w:val="00A72190"/>
    <w:rsid w:val="00A721AF"/>
    <w:rsid w:val="00A72A5F"/>
    <w:rsid w:val="00A72C5C"/>
    <w:rsid w:val="00A73062"/>
    <w:rsid w:val="00A73277"/>
    <w:rsid w:val="00A7357F"/>
    <w:rsid w:val="00A73E59"/>
    <w:rsid w:val="00A73EEA"/>
    <w:rsid w:val="00A742D6"/>
    <w:rsid w:val="00A74440"/>
    <w:rsid w:val="00A744AF"/>
    <w:rsid w:val="00A74FAA"/>
    <w:rsid w:val="00A751F3"/>
    <w:rsid w:val="00A75257"/>
    <w:rsid w:val="00A75799"/>
    <w:rsid w:val="00A76390"/>
    <w:rsid w:val="00A7644D"/>
    <w:rsid w:val="00A7699E"/>
    <w:rsid w:val="00A76CD7"/>
    <w:rsid w:val="00A76DA1"/>
    <w:rsid w:val="00A76DCF"/>
    <w:rsid w:val="00A77B20"/>
    <w:rsid w:val="00A77F15"/>
    <w:rsid w:val="00A77F1E"/>
    <w:rsid w:val="00A8001F"/>
    <w:rsid w:val="00A80093"/>
    <w:rsid w:val="00A80184"/>
    <w:rsid w:val="00A80391"/>
    <w:rsid w:val="00A80658"/>
    <w:rsid w:val="00A80851"/>
    <w:rsid w:val="00A80C57"/>
    <w:rsid w:val="00A80CFE"/>
    <w:rsid w:val="00A80DB4"/>
    <w:rsid w:val="00A8173E"/>
    <w:rsid w:val="00A81A35"/>
    <w:rsid w:val="00A825E8"/>
    <w:rsid w:val="00A8297E"/>
    <w:rsid w:val="00A82E18"/>
    <w:rsid w:val="00A82F6C"/>
    <w:rsid w:val="00A83980"/>
    <w:rsid w:val="00A839CA"/>
    <w:rsid w:val="00A83AB9"/>
    <w:rsid w:val="00A84424"/>
    <w:rsid w:val="00A84631"/>
    <w:rsid w:val="00A846F3"/>
    <w:rsid w:val="00A84F0A"/>
    <w:rsid w:val="00A85025"/>
    <w:rsid w:val="00A85285"/>
    <w:rsid w:val="00A8613A"/>
    <w:rsid w:val="00A86956"/>
    <w:rsid w:val="00A86D86"/>
    <w:rsid w:val="00A8720C"/>
    <w:rsid w:val="00A87EF5"/>
    <w:rsid w:val="00A90054"/>
    <w:rsid w:val="00A90358"/>
    <w:rsid w:val="00A908E5"/>
    <w:rsid w:val="00A90904"/>
    <w:rsid w:val="00A90E58"/>
    <w:rsid w:val="00A9122D"/>
    <w:rsid w:val="00A92746"/>
    <w:rsid w:val="00A92C12"/>
    <w:rsid w:val="00A92DA6"/>
    <w:rsid w:val="00A92EE5"/>
    <w:rsid w:val="00A93187"/>
    <w:rsid w:val="00A94128"/>
    <w:rsid w:val="00A942B2"/>
    <w:rsid w:val="00A94652"/>
    <w:rsid w:val="00A94AFB"/>
    <w:rsid w:val="00A94B47"/>
    <w:rsid w:val="00A94DE1"/>
    <w:rsid w:val="00A95A29"/>
    <w:rsid w:val="00A95AAD"/>
    <w:rsid w:val="00A95D94"/>
    <w:rsid w:val="00A96214"/>
    <w:rsid w:val="00A9638E"/>
    <w:rsid w:val="00A96420"/>
    <w:rsid w:val="00A96C73"/>
    <w:rsid w:val="00A970F2"/>
    <w:rsid w:val="00A970F5"/>
    <w:rsid w:val="00A971DC"/>
    <w:rsid w:val="00A972DC"/>
    <w:rsid w:val="00A974BE"/>
    <w:rsid w:val="00A97608"/>
    <w:rsid w:val="00A978C7"/>
    <w:rsid w:val="00A97B55"/>
    <w:rsid w:val="00A97C7A"/>
    <w:rsid w:val="00A97F4D"/>
    <w:rsid w:val="00AA0195"/>
    <w:rsid w:val="00AA0228"/>
    <w:rsid w:val="00AA05F2"/>
    <w:rsid w:val="00AA08D4"/>
    <w:rsid w:val="00AA0CB8"/>
    <w:rsid w:val="00AA121B"/>
    <w:rsid w:val="00AA1641"/>
    <w:rsid w:val="00AA1C48"/>
    <w:rsid w:val="00AA238F"/>
    <w:rsid w:val="00AA23F4"/>
    <w:rsid w:val="00AA2D42"/>
    <w:rsid w:val="00AA3310"/>
    <w:rsid w:val="00AA3349"/>
    <w:rsid w:val="00AA39E4"/>
    <w:rsid w:val="00AA3C1E"/>
    <w:rsid w:val="00AA449C"/>
    <w:rsid w:val="00AA46D9"/>
    <w:rsid w:val="00AA4BE8"/>
    <w:rsid w:val="00AA4CBC"/>
    <w:rsid w:val="00AA5070"/>
    <w:rsid w:val="00AA52A0"/>
    <w:rsid w:val="00AA5A00"/>
    <w:rsid w:val="00AA5D90"/>
    <w:rsid w:val="00AA64DD"/>
    <w:rsid w:val="00AA6C62"/>
    <w:rsid w:val="00AA6E81"/>
    <w:rsid w:val="00AA7093"/>
    <w:rsid w:val="00AA710C"/>
    <w:rsid w:val="00AA714A"/>
    <w:rsid w:val="00AA729A"/>
    <w:rsid w:val="00AA7405"/>
    <w:rsid w:val="00AA7971"/>
    <w:rsid w:val="00AB021A"/>
    <w:rsid w:val="00AB031C"/>
    <w:rsid w:val="00AB058D"/>
    <w:rsid w:val="00AB080F"/>
    <w:rsid w:val="00AB0824"/>
    <w:rsid w:val="00AB12BD"/>
    <w:rsid w:val="00AB1B9C"/>
    <w:rsid w:val="00AB1ED7"/>
    <w:rsid w:val="00AB21F0"/>
    <w:rsid w:val="00AB21FF"/>
    <w:rsid w:val="00AB28C8"/>
    <w:rsid w:val="00AB2B10"/>
    <w:rsid w:val="00AB2B2B"/>
    <w:rsid w:val="00AB2D91"/>
    <w:rsid w:val="00AB3615"/>
    <w:rsid w:val="00AB3653"/>
    <w:rsid w:val="00AB3CD8"/>
    <w:rsid w:val="00AB3DAA"/>
    <w:rsid w:val="00AB3E20"/>
    <w:rsid w:val="00AB40B2"/>
    <w:rsid w:val="00AB4385"/>
    <w:rsid w:val="00AB44A5"/>
    <w:rsid w:val="00AB4550"/>
    <w:rsid w:val="00AB4BDC"/>
    <w:rsid w:val="00AB4C8C"/>
    <w:rsid w:val="00AB57A5"/>
    <w:rsid w:val="00AB6039"/>
    <w:rsid w:val="00AB64C8"/>
    <w:rsid w:val="00AB6BA2"/>
    <w:rsid w:val="00AB719F"/>
    <w:rsid w:val="00AB7250"/>
    <w:rsid w:val="00AC0028"/>
    <w:rsid w:val="00AC078D"/>
    <w:rsid w:val="00AC07B3"/>
    <w:rsid w:val="00AC081F"/>
    <w:rsid w:val="00AC0A7C"/>
    <w:rsid w:val="00AC13CE"/>
    <w:rsid w:val="00AC172D"/>
    <w:rsid w:val="00AC1DF2"/>
    <w:rsid w:val="00AC1E2B"/>
    <w:rsid w:val="00AC1ED7"/>
    <w:rsid w:val="00AC1F2F"/>
    <w:rsid w:val="00AC20E7"/>
    <w:rsid w:val="00AC23B9"/>
    <w:rsid w:val="00AC2891"/>
    <w:rsid w:val="00AC2B26"/>
    <w:rsid w:val="00AC312E"/>
    <w:rsid w:val="00AC360C"/>
    <w:rsid w:val="00AC3683"/>
    <w:rsid w:val="00AC38BD"/>
    <w:rsid w:val="00AC3E7A"/>
    <w:rsid w:val="00AC4F16"/>
    <w:rsid w:val="00AC55D5"/>
    <w:rsid w:val="00AC5958"/>
    <w:rsid w:val="00AC5A13"/>
    <w:rsid w:val="00AC5C4D"/>
    <w:rsid w:val="00AC5CDE"/>
    <w:rsid w:val="00AC5F6F"/>
    <w:rsid w:val="00AC66C1"/>
    <w:rsid w:val="00AC6742"/>
    <w:rsid w:val="00AC6B71"/>
    <w:rsid w:val="00AC6DE1"/>
    <w:rsid w:val="00AC720C"/>
    <w:rsid w:val="00AC7985"/>
    <w:rsid w:val="00AC7B1E"/>
    <w:rsid w:val="00AC7F09"/>
    <w:rsid w:val="00AC7F8A"/>
    <w:rsid w:val="00AD0195"/>
    <w:rsid w:val="00AD028B"/>
    <w:rsid w:val="00AD09A4"/>
    <w:rsid w:val="00AD0B72"/>
    <w:rsid w:val="00AD0EB4"/>
    <w:rsid w:val="00AD10D9"/>
    <w:rsid w:val="00AD11C9"/>
    <w:rsid w:val="00AD1D26"/>
    <w:rsid w:val="00AD2189"/>
    <w:rsid w:val="00AD274B"/>
    <w:rsid w:val="00AD30BA"/>
    <w:rsid w:val="00AD35DB"/>
    <w:rsid w:val="00AD3A54"/>
    <w:rsid w:val="00AD3AE4"/>
    <w:rsid w:val="00AD3E89"/>
    <w:rsid w:val="00AD416F"/>
    <w:rsid w:val="00AD41A2"/>
    <w:rsid w:val="00AD48A6"/>
    <w:rsid w:val="00AD552D"/>
    <w:rsid w:val="00AD5879"/>
    <w:rsid w:val="00AD587B"/>
    <w:rsid w:val="00AD58D3"/>
    <w:rsid w:val="00AD5DB8"/>
    <w:rsid w:val="00AD6485"/>
    <w:rsid w:val="00AD6615"/>
    <w:rsid w:val="00AD6619"/>
    <w:rsid w:val="00AD6801"/>
    <w:rsid w:val="00AD681A"/>
    <w:rsid w:val="00AD682F"/>
    <w:rsid w:val="00AD6B66"/>
    <w:rsid w:val="00AD6D8D"/>
    <w:rsid w:val="00AD73BA"/>
    <w:rsid w:val="00AD75BC"/>
    <w:rsid w:val="00AD7A64"/>
    <w:rsid w:val="00AD7E1F"/>
    <w:rsid w:val="00AD7EB1"/>
    <w:rsid w:val="00AE0177"/>
    <w:rsid w:val="00AE0235"/>
    <w:rsid w:val="00AE0C38"/>
    <w:rsid w:val="00AE1315"/>
    <w:rsid w:val="00AE1500"/>
    <w:rsid w:val="00AE166C"/>
    <w:rsid w:val="00AE1A5D"/>
    <w:rsid w:val="00AE267C"/>
    <w:rsid w:val="00AE3724"/>
    <w:rsid w:val="00AE38BB"/>
    <w:rsid w:val="00AE3E64"/>
    <w:rsid w:val="00AE3E67"/>
    <w:rsid w:val="00AE43EB"/>
    <w:rsid w:val="00AE44F6"/>
    <w:rsid w:val="00AE46FE"/>
    <w:rsid w:val="00AE4762"/>
    <w:rsid w:val="00AE4B49"/>
    <w:rsid w:val="00AE54A0"/>
    <w:rsid w:val="00AE57F9"/>
    <w:rsid w:val="00AE5A40"/>
    <w:rsid w:val="00AE5A6B"/>
    <w:rsid w:val="00AE6187"/>
    <w:rsid w:val="00AE635C"/>
    <w:rsid w:val="00AE65E2"/>
    <w:rsid w:val="00AE6C16"/>
    <w:rsid w:val="00AE6F9E"/>
    <w:rsid w:val="00AE7080"/>
    <w:rsid w:val="00AE712B"/>
    <w:rsid w:val="00AE7326"/>
    <w:rsid w:val="00AE7445"/>
    <w:rsid w:val="00AE74E5"/>
    <w:rsid w:val="00AE7EE7"/>
    <w:rsid w:val="00AF0644"/>
    <w:rsid w:val="00AF06A8"/>
    <w:rsid w:val="00AF071B"/>
    <w:rsid w:val="00AF0A4A"/>
    <w:rsid w:val="00AF0A90"/>
    <w:rsid w:val="00AF0DF4"/>
    <w:rsid w:val="00AF13E9"/>
    <w:rsid w:val="00AF1B07"/>
    <w:rsid w:val="00AF1C63"/>
    <w:rsid w:val="00AF1FA2"/>
    <w:rsid w:val="00AF2064"/>
    <w:rsid w:val="00AF25DB"/>
    <w:rsid w:val="00AF264B"/>
    <w:rsid w:val="00AF3188"/>
    <w:rsid w:val="00AF32CA"/>
    <w:rsid w:val="00AF376D"/>
    <w:rsid w:val="00AF3DF9"/>
    <w:rsid w:val="00AF3EF9"/>
    <w:rsid w:val="00AF4049"/>
    <w:rsid w:val="00AF4315"/>
    <w:rsid w:val="00AF4407"/>
    <w:rsid w:val="00AF4A53"/>
    <w:rsid w:val="00AF4CB5"/>
    <w:rsid w:val="00AF50B8"/>
    <w:rsid w:val="00AF52DA"/>
    <w:rsid w:val="00AF5647"/>
    <w:rsid w:val="00AF5A41"/>
    <w:rsid w:val="00AF61F6"/>
    <w:rsid w:val="00AF63C3"/>
    <w:rsid w:val="00AF6688"/>
    <w:rsid w:val="00AF698F"/>
    <w:rsid w:val="00AF705F"/>
    <w:rsid w:val="00AF7857"/>
    <w:rsid w:val="00AF7A11"/>
    <w:rsid w:val="00B00057"/>
    <w:rsid w:val="00B00A7D"/>
    <w:rsid w:val="00B00C85"/>
    <w:rsid w:val="00B013D0"/>
    <w:rsid w:val="00B0171E"/>
    <w:rsid w:val="00B02056"/>
    <w:rsid w:val="00B021F9"/>
    <w:rsid w:val="00B02BC9"/>
    <w:rsid w:val="00B032AC"/>
    <w:rsid w:val="00B03C24"/>
    <w:rsid w:val="00B03DB9"/>
    <w:rsid w:val="00B0431C"/>
    <w:rsid w:val="00B04DC0"/>
    <w:rsid w:val="00B04E80"/>
    <w:rsid w:val="00B0542E"/>
    <w:rsid w:val="00B0558D"/>
    <w:rsid w:val="00B05B8E"/>
    <w:rsid w:val="00B05CB1"/>
    <w:rsid w:val="00B05F2B"/>
    <w:rsid w:val="00B064B1"/>
    <w:rsid w:val="00B068B1"/>
    <w:rsid w:val="00B06AD9"/>
    <w:rsid w:val="00B06B69"/>
    <w:rsid w:val="00B06CEA"/>
    <w:rsid w:val="00B10118"/>
    <w:rsid w:val="00B10589"/>
    <w:rsid w:val="00B10C88"/>
    <w:rsid w:val="00B112EA"/>
    <w:rsid w:val="00B113FF"/>
    <w:rsid w:val="00B11565"/>
    <w:rsid w:val="00B11636"/>
    <w:rsid w:val="00B11C90"/>
    <w:rsid w:val="00B11CA5"/>
    <w:rsid w:val="00B1245D"/>
    <w:rsid w:val="00B1247E"/>
    <w:rsid w:val="00B12C89"/>
    <w:rsid w:val="00B13268"/>
    <w:rsid w:val="00B13443"/>
    <w:rsid w:val="00B1369E"/>
    <w:rsid w:val="00B13AE1"/>
    <w:rsid w:val="00B13E8A"/>
    <w:rsid w:val="00B1412F"/>
    <w:rsid w:val="00B14A3C"/>
    <w:rsid w:val="00B14DF8"/>
    <w:rsid w:val="00B14E58"/>
    <w:rsid w:val="00B15246"/>
    <w:rsid w:val="00B1583F"/>
    <w:rsid w:val="00B16EAB"/>
    <w:rsid w:val="00B16FAC"/>
    <w:rsid w:val="00B173E4"/>
    <w:rsid w:val="00B174D2"/>
    <w:rsid w:val="00B17558"/>
    <w:rsid w:val="00B179E4"/>
    <w:rsid w:val="00B201BA"/>
    <w:rsid w:val="00B21065"/>
    <w:rsid w:val="00B210AF"/>
    <w:rsid w:val="00B218D5"/>
    <w:rsid w:val="00B21BB5"/>
    <w:rsid w:val="00B21D11"/>
    <w:rsid w:val="00B21EC1"/>
    <w:rsid w:val="00B22518"/>
    <w:rsid w:val="00B22E15"/>
    <w:rsid w:val="00B22F12"/>
    <w:rsid w:val="00B22FE0"/>
    <w:rsid w:val="00B23302"/>
    <w:rsid w:val="00B23494"/>
    <w:rsid w:val="00B2349D"/>
    <w:rsid w:val="00B23515"/>
    <w:rsid w:val="00B23886"/>
    <w:rsid w:val="00B23CA8"/>
    <w:rsid w:val="00B23EC3"/>
    <w:rsid w:val="00B24106"/>
    <w:rsid w:val="00B2425C"/>
    <w:rsid w:val="00B24677"/>
    <w:rsid w:val="00B24679"/>
    <w:rsid w:val="00B24B4C"/>
    <w:rsid w:val="00B24D13"/>
    <w:rsid w:val="00B25291"/>
    <w:rsid w:val="00B25664"/>
    <w:rsid w:val="00B2571B"/>
    <w:rsid w:val="00B259BA"/>
    <w:rsid w:val="00B25AAC"/>
    <w:rsid w:val="00B25C25"/>
    <w:rsid w:val="00B26A7E"/>
    <w:rsid w:val="00B26DAD"/>
    <w:rsid w:val="00B271B3"/>
    <w:rsid w:val="00B273F5"/>
    <w:rsid w:val="00B2797C"/>
    <w:rsid w:val="00B27BDB"/>
    <w:rsid w:val="00B3001B"/>
    <w:rsid w:val="00B30176"/>
    <w:rsid w:val="00B3059C"/>
    <w:rsid w:val="00B3088C"/>
    <w:rsid w:val="00B30B58"/>
    <w:rsid w:val="00B30E7B"/>
    <w:rsid w:val="00B312C7"/>
    <w:rsid w:val="00B313C7"/>
    <w:rsid w:val="00B31524"/>
    <w:rsid w:val="00B31BE3"/>
    <w:rsid w:val="00B31E48"/>
    <w:rsid w:val="00B32162"/>
    <w:rsid w:val="00B32640"/>
    <w:rsid w:val="00B326DA"/>
    <w:rsid w:val="00B32FDE"/>
    <w:rsid w:val="00B335A5"/>
    <w:rsid w:val="00B33843"/>
    <w:rsid w:val="00B338B7"/>
    <w:rsid w:val="00B34152"/>
    <w:rsid w:val="00B3421E"/>
    <w:rsid w:val="00B34275"/>
    <w:rsid w:val="00B3445A"/>
    <w:rsid w:val="00B3465F"/>
    <w:rsid w:val="00B34C62"/>
    <w:rsid w:val="00B34D41"/>
    <w:rsid w:val="00B357EC"/>
    <w:rsid w:val="00B35B80"/>
    <w:rsid w:val="00B35D53"/>
    <w:rsid w:val="00B35FA9"/>
    <w:rsid w:val="00B364BA"/>
    <w:rsid w:val="00B36888"/>
    <w:rsid w:val="00B36A48"/>
    <w:rsid w:val="00B36EA2"/>
    <w:rsid w:val="00B379C5"/>
    <w:rsid w:val="00B37D3D"/>
    <w:rsid w:val="00B37E10"/>
    <w:rsid w:val="00B406DD"/>
    <w:rsid w:val="00B40A8E"/>
    <w:rsid w:val="00B40BC0"/>
    <w:rsid w:val="00B40BF4"/>
    <w:rsid w:val="00B411E1"/>
    <w:rsid w:val="00B416CA"/>
    <w:rsid w:val="00B417C2"/>
    <w:rsid w:val="00B418A6"/>
    <w:rsid w:val="00B42439"/>
    <w:rsid w:val="00B429EC"/>
    <w:rsid w:val="00B432E4"/>
    <w:rsid w:val="00B43843"/>
    <w:rsid w:val="00B44419"/>
    <w:rsid w:val="00B44D94"/>
    <w:rsid w:val="00B45471"/>
    <w:rsid w:val="00B45906"/>
    <w:rsid w:val="00B45FC9"/>
    <w:rsid w:val="00B46248"/>
    <w:rsid w:val="00B46293"/>
    <w:rsid w:val="00B4648C"/>
    <w:rsid w:val="00B46758"/>
    <w:rsid w:val="00B46CD4"/>
    <w:rsid w:val="00B46DC9"/>
    <w:rsid w:val="00B470C7"/>
    <w:rsid w:val="00B47128"/>
    <w:rsid w:val="00B472DA"/>
    <w:rsid w:val="00B47BAA"/>
    <w:rsid w:val="00B47FD8"/>
    <w:rsid w:val="00B5018A"/>
    <w:rsid w:val="00B50639"/>
    <w:rsid w:val="00B5080A"/>
    <w:rsid w:val="00B50923"/>
    <w:rsid w:val="00B5096D"/>
    <w:rsid w:val="00B50A2D"/>
    <w:rsid w:val="00B50B6F"/>
    <w:rsid w:val="00B51331"/>
    <w:rsid w:val="00B51369"/>
    <w:rsid w:val="00B51792"/>
    <w:rsid w:val="00B51873"/>
    <w:rsid w:val="00B52172"/>
    <w:rsid w:val="00B52A97"/>
    <w:rsid w:val="00B535F4"/>
    <w:rsid w:val="00B53717"/>
    <w:rsid w:val="00B53A56"/>
    <w:rsid w:val="00B53CDA"/>
    <w:rsid w:val="00B53FA2"/>
    <w:rsid w:val="00B548B8"/>
    <w:rsid w:val="00B5493D"/>
    <w:rsid w:val="00B54A85"/>
    <w:rsid w:val="00B54B94"/>
    <w:rsid w:val="00B5546E"/>
    <w:rsid w:val="00B55DA7"/>
    <w:rsid w:val="00B55E56"/>
    <w:rsid w:val="00B56801"/>
    <w:rsid w:val="00B56985"/>
    <w:rsid w:val="00B56FE9"/>
    <w:rsid w:val="00B571F2"/>
    <w:rsid w:val="00B57379"/>
    <w:rsid w:val="00B57710"/>
    <w:rsid w:val="00B57BB6"/>
    <w:rsid w:val="00B600AD"/>
    <w:rsid w:val="00B60885"/>
    <w:rsid w:val="00B6089F"/>
    <w:rsid w:val="00B60AE7"/>
    <w:rsid w:val="00B60CC1"/>
    <w:rsid w:val="00B61299"/>
    <w:rsid w:val="00B61434"/>
    <w:rsid w:val="00B618B0"/>
    <w:rsid w:val="00B61A96"/>
    <w:rsid w:val="00B61B82"/>
    <w:rsid w:val="00B6230B"/>
    <w:rsid w:val="00B62C20"/>
    <w:rsid w:val="00B62C29"/>
    <w:rsid w:val="00B62EA6"/>
    <w:rsid w:val="00B62F0F"/>
    <w:rsid w:val="00B63210"/>
    <w:rsid w:val="00B6342C"/>
    <w:rsid w:val="00B63AC4"/>
    <w:rsid w:val="00B63B4B"/>
    <w:rsid w:val="00B63BF8"/>
    <w:rsid w:val="00B64624"/>
    <w:rsid w:val="00B6481F"/>
    <w:rsid w:val="00B64AA0"/>
    <w:rsid w:val="00B64CB4"/>
    <w:rsid w:val="00B64DFC"/>
    <w:rsid w:val="00B65500"/>
    <w:rsid w:val="00B65C01"/>
    <w:rsid w:val="00B65C8C"/>
    <w:rsid w:val="00B661DC"/>
    <w:rsid w:val="00B66D56"/>
    <w:rsid w:val="00B670C5"/>
    <w:rsid w:val="00B67148"/>
    <w:rsid w:val="00B67A82"/>
    <w:rsid w:val="00B67BE2"/>
    <w:rsid w:val="00B67F2C"/>
    <w:rsid w:val="00B70026"/>
    <w:rsid w:val="00B70032"/>
    <w:rsid w:val="00B7071E"/>
    <w:rsid w:val="00B70C7C"/>
    <w:rsid w:val="00B70CF1"/>
    <w:rsid w:val="00B7122D"/>
    <w:rsid w:val="00B713D7"/>
    <w:rsid w:val="00B71433"/>
    <w:rsid w:val="00B71445"/>
    <w:rsid w:val="00B71AF7"/>
    <w:rsid w:val="00B71C18"/>
    <w:rsid w:val="00B71D3A"/>
    <w:rsid w:val="00B72022"/>
    <w:rsid w:val="00B7287E"/>
    <w:rsid w:val="00B73F49"/>
    <w:rsid w:val="00B74434"/>
    <w:rsid w:val="00B74563"/>
    <w:rsid w:val="00B7481F"/>
    <w:rsid w:val="00B75065"/>
    <w:rsid w:val="00B750B6"/>
    <w:rsid w:val="00B75E44"/>
    <w:rsid w:val="00B75E99"/>
    <w:rsid w:val="00B75FA1"/>
    <w:rsid w:val="00B764F5"/>
    <w:rsid w:val="00B765D5"/>
    <w:rsid w:val="00B76697"/>
    <w:rsid w:val="00B76A7D"/>
    <w:rsid w:val="00B76F8E"/>
    <w:rsid w:val="00B77327"/>
    <w:rsid w:val="00B77A17"/>
    <w:rsid w:val="00B77D44"/>
    <w:rsid w:val="00B77EC6"/>
    <w:rsid w:val="00B80245"/>
    <w:rsid w:val="00B80451"/>
    <w:rsid w:val="00B8048E"/>
    <w:rsid w:val="00B8050E"/>
    <w:rsid w:val="00B805ED"/>
    <w:rsid w:val="00B80A52"/>
    <w:rsid w:val="00B80B55"/>
    <w:rsid w:val="00B80CCF"/>
    <w:rsid w:val="00B80E3A"/>
    <w:rsid w:val="00B80EC2"/>
    <w:rsid w:val="00B80FD6"/>
    <w:rsid w:val="00B81131"/>
    <w:rsid w:val="00B81470"/>
    <w:rsid w:val="00B8156B"/>
    <w:rsid w:val="00B815DB"/>
    <w:rsid w:val="00B815F4"/>
    <w:rsid w:val="00B81C75"/>
    <w:rsid w:val="00B81DD2"/>
    <w:rsid w:val="00B81FEA"/>
    <w:rsid w:val="00B8246C"/>
    <w:rsid w:val="00B829BF"/>
    <w:rsid w:val="00B82D0B"/>
    <w:rsid w:val="00B82D37"/>
    <w:rsid w:val="00B831B7"/>
    <w:rsid w:val="00B832CE"/>
    <w:rsid w:val="00B836B1"/>
    <w:rsid w:val="00B83F44"/>
    <w:rsid w:val="00B840E9"/>
    <w:rsid w:val="00B84540"/>
    <w:rsid w:val="00B84B15"/>
    <w:rsid w:val="00B84E2E"/>
    <w:rsid w:val="00B85136"/>
    <w:rsid w:val="00B85CFF"/>
    <w:rsid w:val="00B85DE6"/>
    <w:rsid w:val="00B85E16"/>
    <w:rsid w:val="00B86114"/>
    <w:rsid w:val="00B8659D"/>
    <w:rsid w:val="00B86CE0"/>
    <w:rsid w:val="00B8711F"/>
    <w:rsid w:val="00B872ED"/>
    <w:rsid w:val="00B874CE"/>
    <w:rsid w:val="00B87696"/>
    <w:rsid w:val="00B87D50"/>
    <w:rsid w:val="00B87DC1"/>
    <w:rsid w:val="00B90A02"/>
    <w:rsid w:val="00B90AE3"/>
    <w:rsid w:val="00B9164F"/>
    <w:rsid w:val="00B916A1"/>
    <w:rsid w:val="00B9269C"/>
    <w:rsid w:val="00B92814"/>
    <w:rsid w:val="00B92922"/>
    <w:rsid w:val="00B93302"/>
    <w:rsid w:val="00B9393B"/>
    <w:rsid w:val="00B93B97"/>
    <w:rsid w:val="00B94495"/>
    <w:rsid w:val="00B944FE"/>
    <w:rsid w:val="00B947D5"/>
    <w:rsid w:val="00B9486F"/>
    <w:rsid w:val="00B94B57"/>
    <w:rsid w:val="00B95265"/>
    <w:rsid w:val="00B953E7"/>
    <w:rsid w:val="00B95912"/>
    <w:rsid w:val="00B959BB"/>
    <w:rsid w:val="00B95B76"/>
    <w:rsid w:val="00B966C2"/>
    <w:rsid w:val="00B967FC"/>
    <w:rsid w:val="00B96901"/>
    <w:rsid w:val="00B96B4F"/>
    <w:rsid w:val="00B96FB5"/>
    <w:rsid w:val="00B971F6"/>
    <w:rsid w:val="00B976BE"/>
    <w:rsid w:val="00B97E57"/>
    <w:rsid w:val="00B97F95"/>
    <w:rsid w:val="00BA08FB"/>
    <w:rsid w:val="00BA0A2B"/>
    <w:rsid w:val="00BA0D00"/>
    <w:rsid w:val="00BA165A"/>
    <w:rsid w:val="00BA192F"/>
    <w:rsid w:val="00BA1D1D"/>
    <w:rsid w:val="00BA2B50"/>
    <w:rsid w:val="00BA2F22"/>
    <w:rsid w:val="00BA3216"/>
    <w:rsid w:val="00BA37E8"/>
    <w:rsid w:val="00BA3C23"/>
    <w:rsid w:val="00BA45FE"/>
    <w:rsid w:val="00BA46EE"/>
    <w:rsid w:val="00BA502A"/>
    <w:rsid w:val="00BA52C3"/>
    <w:rsid w:val="00BA5354"/>
    <w:rsid w:val="00BA5863"/>
    <w:rsid w:val="00BA5907"/>
    <w:rsid w:val="00BA5B7C"/>
    <w:rsid w:val="00BA6BC8"/>
    <w:rsid w:val="00BA6CBD"/>
    <w:rsid w:val="00BA6E3C"/>
    <w:rsid w:val="00BA7375"/>
    <w:rsid w:val="00BA7882"/>
    <w:rsid w:val="00BA79B2"/>
    <w:rsid w:val="00BB0060"/>
    <w:rsid w:val="00BB0186"/>
    <w:rsid w:val="00BB0431"/>
    <w:rsid w:val="00BB0448"/>
    <w:rsid w:val="00BB05BF"/>
    <w:rsid w:val="00BB0614"/>
    <w:rsid w:val="00BB0EE9"/>
    <w:rsid w:val="00BB226A"/>
    <w:rsid w:val="00BB2357"/>
    <w:rsid w:val="00BB25B4"/>
    <w:rsid w:val="00BB2605"/>
    <w:rsid w:val="00BB31C6"/>
    <w:rsid w:val="00BB32EB"/>
    <w:rsid w:val="00BB36ED"/>
    <w:rsid w:val="00BB3992"/>
    <w:rsid w:val="00BB44E3"/>
    <w:rsid w:val="00BB46AD"/>
    <w:rsid w:val="00BB4B72"/>
    <w:rsid w:val="00BB501F"/>
    <w:rsid w:val="00BB5312"/>
    <w:rsid w:val="00BB5DEE"/>
    <w:rsid w:val="00BB5E98"/>
    <w:rsid w:val="00BB5EC0"/>
    <w:rsid w:val="00BB5F8D"/>
    <w:rsid w:val="00BB62D0"/>
    <w:rsid w:val="00BB63A2"/>
    <w:rsid w:val="00BB6405"/>
    <w:rsid w:val="00BB6604"/>
    <w:rsid w:val="00BB6B4F"/>
    <w:rsid w:val="00BB6D66"/>
    <w:rsid w:val="00BB6FE5"/>
    <w:rsid w:val="00BC0B3D"/>
    <w:rsid w:val="00BC1154"/>
    <w:rsid w:val="00BC1AEF"/>
    <w:rsid w:val="00BC1D34"/>
    <w:rsid w:val="00BC1E94"/>
    <w:rsid w:val="00BC2331"/>
    <w:rsid w:val="00BC2C8E"/>
    <w:rsid w:val="00BC2E67"/>
    <w:rsid w:val="00BC2EF2"/>
    <w:rsid w:val="00BC30E9"/>
    <w:rsid w:val="00BC33DA"/>
    <w:rsid w:val="00BC354E"/>
    <w:rsid w:val="00BC35B3"/>
    <w:rsid w:val="00BC3D89"/>
    <w:rsid w:val="00BC3DA6"/>
    <w:rsid w:val="00BC40AD"/>
    <w:rsid w:val="00BC496E"/>
    <w:rsid w:val="00BC4B6E"/>
    <w:rsid w:val="00BC4BA4"/>
    <w:rsid w:val="00BC4E30"/>
    <w:rsid w:val="00BC52F4"/>
    <w:rsid w:val="00BC5D84"/>
    <w:rsid w:val="00BC6423"/>
    <w:rsid w:val="00BC647E"/>
    <w:rsid w:val="00BC6B33"/>
    <w:rsid w:val="00BC6DBF"/>
    <w:rsid w:val="00BC70DF"/>
    <w:rsid w:val="00BC721E"/>
    <w:rsid w:val="00BC726A"/>
    <w:rsid w:val="00BC72D4"/>
    <w:rsid w:val="00BC743C"/>
    <w:rsid w:val="00BC74F1"/>
    <w:rsid w:val="00BC75A0"/>
    <w:rsid w:val="00BD03B3"/>
    <w:rsid w:val="00BD0680"/>
    <w:rsid w:val="00BD08AA"/>
    <w:rsid w:val="00BD0E43"/>
    <w:rsid w:val="00BD16E0"/>
    <w:rsid w:val="00BD1721"/>
    <w:rsid w:val="00BD187B"/>
    <w:rsid w:val="00BD19F3"/>
    <w:rsid w:val="00BD1F29"/>
    <w:rsid w:val="00BD2352"/>
    <w:rsid w:val="00BD3119"/>
    <w:rsid w:val="00BD31C0"/>
    <w:rsid w:val="00BD3268"/>
    <w:rsid w:val="00BD3BBF"/>
    <w:rsid w:val="00BD3DB8"/>
    <w:rsid w:val="00BD3F47"/>
    <w:rsid w:val="00BD4761"/>
    <w:rsid w:val="00BD4996"/>
    <w:rsid w:val="00BD533A"/>
    <w:rsid w:val="00BD54B7"/>
    <w:rsid w:val="00BD5BB9"/>
    <w:rsid w:val="00BD5EF3"/>
    <w:rsid w:val="00BD60C4"/>
    <w:rsid w:val="00BD6878"/>
    <w:rsid w:val="00BD687C"/>
    <w:rsid w:val="00BD68AE"/>
    <w:rsid w:val="00BD6B06"/>
    <w:rsid w:val="00BD6C53"/>
    <w:rsid w:val="00BD6C7F"/>
    <w:rsid w:val="00BD6E59"/>
    <w:rsid w:val="00BD77A2"/>
    <w:rsid w:val="00BD7843"/>
    <w:rsid w:val="00BE0613"/>
    <w:rsid w:val="00BE08FA"/>
    <w:rsid w:val="00BE0969"/>
    <w:rsid w:val="00BE0DEE"/>
    <w:rsid w:val="00BE0E45"/>
    <w:rsid w:val="00BE10CB"/>
    <w:rsid w:val="00BE1129"/>
    <w:rsid w:val="00BE1282"/>
    <w:rsid w:val="00BE19D2"/>
    <w:rsid w:val="00BE1C4E"/>
    <w:rsid w:val="00BE2467"/>
    <w:rsid w:val="00BE24CB"/>
    <w:rsid w:val="00BE2F05"/>
    <w:rsid w:val="00BE3162"/>
    <w:rsid w:val="00BE3215"/>
    <w:rsid w:val="00BE3665"/>
    <w:rsid w:val="00BE37C4"/>
    <w:rsid w:val="00BE4939"/>
    <w:rsid w:val="00BE4D18"/>
    <w:rsid w:val="00BE4D62"/>
    <w:rsid w:val="00BE4DB2"/>
    <w:rsid w:val="00BE4E0E"/>
    <w:rsid w:val="00BE4E60"/>
    <w:rsid w:val="00BE4ED6"/>
    <w:rsid w:val="00BE5242"/>
    <w:rsid w:val="00BE526A"/>
    <w:rsid w:val="00BE54EF"/>
    <w:rsid w:val="00BE5D3D"/>
    <w:rsid w:val="00BE5E50"/>
    <w:rsid w:val="00BE62BE"/>
    <w:rsid w:val="00BE6555"/>
    <w:rsid w:val="00BE6565"/>
    <w:rsid w:val="00BE681C"/>
    <w:rsid w:val="00BE6ABF"/>
    <w:rsid w:val="00BE6D57"/>
    <w:rsid w:val="00BE71A4"/>
    <w:rsid w:val="00BE77C3"/>
    <w:rsid w:val="00BF0010"/>
    <w:rsid w:val="00BF04DB"/>
    <w:rsid w:val="00BF072B"/>
    <w:rsid w:val="00BF08D2"/>
    <w:rsid w:val="00BF0AED"/>
    <w:rsid w:val="00BF1502"/>
    <w:rsid w:val="00BF190F"/>
    <w:rsid w:val="00BF199D"/>
    <w:rsid w:val="00BF1FBB"/>
    <w:rsid w:val="00BF2329"/>
    <w:rsid w:val="00BF2E05"/>
    <w:rsid w:val="00BF2F59"/>
    <w:rsid w:val="00BF3009"/>
    <w:rsid w:val="00BF33F0"/>
    <w:rsid w:val="00BF366D"/>
    <w:rsid w:val="00BF37A3"/>
    <w:rsid w:val="00BF38D8"/>
    <w:rsid w:val="00BF398E"/>
    <w:rsid w:val="00BF39C9"/>
    <w:rsid w:val="00BF3AA9"/>
    <w:rsid w:val="00BF4848"/>
    <w:rsid w:val="00BF4D9D"/>
    <w:rsid w:val="00BF55FE"/>
    <w:rsid w:val="00BF59EC"/>
    <w:rsid w:val="00BF60A5"/>
    <w:rsid w:val="00BF60AE"/>
    <w:rsid w:val="00BF692B"/>
    <w:rsid w:val="00BF6BAE"/>
    <w:rsid w:val="00BF6D37"/>
    <w:rsid w:val="00BF7112"/>
    <w:rsid w:val="00BF765D"/>
    <w:rsid w:val="00BF76E2"/>
    <w:rsid w:val="00C00459"/>
    <w:rsid w:val="00C005DE"/>
    <w:rsid w:val="00C00626"/>
    <w:rsid w:val="00C006E4"/>
    <w:rsid w:val="00C016E2"/>
    <w:rsid w:val="00C0219F"/>
    <w:rsid w:val="00C02500"/>
    <w:rsid w:val="00C028CA"/>
    <w:rsid w:val="00C02A09"/>
    <w:rsid w:val="00C02C25"/>
    <w:rsid w:val="00C032CB"/>
    <w:rsid w:val="00C0353C"/>
    <w:rsid w:val="00C03D69"/>
    <w:rsid w:val="00C0427B"/>
    <w:rsid w:val="00C0436B"/>
    <w:rsid w:val="00C0445F"/>
    <w:rsid w:val="00C048B3"/>
    <w:rsid w:val="00C0492C"/>
    <w:rsid w:val="00C049FB"/>
    <w:rsid w:val="00C0501E"/>
    <w:rsid w:val="00C05162"/>
    <w:rsid w:val="00C05709"/>
    <w:rsid w:val="00C05DEF"/>
    <w:rsid w:val="00C06234"/>
    <w:rsid w:val="00C06349"/>
    <w:rsid w:val="00C0676A"/>
    <w:rsid w:val="00C067B9"/>
    <w:rsid w:val="00C06BF1"/>
    <w:rsid w:val="00C06D48"/>
    <w:rsid w:val="00C07399"/>
    <w:rsid w:val="00C077B8"/>
    <w:rsid w:val="00C07B5A"/>
    <w:rsid w:val="00C10470"/>
    <w:rsid w:val="00C1071F"/>
    <w:rsid w:val="00C10770"/>
    <w:rsid w:val="00C107EE"/>
    <w:rsid w:val="00C10B65"/>
    <w:rsid w:val="00C10C92"/>
    <w:rsid w:val="00C11613"/>
    <w:rsid w:val="00C117B6"/>
    <w:rsid w:val="00C11B97"/>
    <w:rsid w:val="00C11BCC"/>
    <w:rsid w:val="00C11F1A"/>
    <w:rsid w:val="00C11F35"/>
    <w:rsid w:val="00C12A83"/>
    <w:rsid w:val="00C12C3C"/>
    <w:rsid w:val="00C12D60"/>
    <w:rsid w:val="00C14023"/>
    <w:rsid w:val="00C141AC"/>
    <w:rsid w:val="00C1444C"/>
    <w:rsid w:val="00C14613"/>
    <w:rsid w:val="00C14CD1"/>
    <w:rsid w:val="00C14E13"/>
    <w:rsid w:val="00C15177"/>
    <w:rsid w:val="00C15184"/>
    <w:rsid w:val="00C153AD"/>
    <w:rsid w:val="00C153BB"/>
    <w:rsid w:val="00C1545B"/>
    <w:rsid w:val="00C156F0"/>
    <w:rsid w:val="00C157B9"/>
    <w:rsid w:val="00C15C19"/>
    <w:rsid w:val="00C16CCE"/>
    <w:rsid w:val="00C17406"/>
    <w:rsid w:val="00C17872"/>
    <w:rsid w:val="00C178BF"/>
    <w:rsid w:val="00C17C69"/>
    <w:rsid w:val="00C17DEB"/>
    <w:rsid w:val="00C200C2"/>
    <w:rsid w:val="00C2037D"/>
    <w:rsid w:val="00C2105C"/>
    <w:rsid w:val="00C214FC"/>
    <w:rsid w:val="00C2186F"/>
    <w:rsid w:val="00C21B54"/>
    <w:rsid w:val="00C2208E"/>
    <w:rsid w:val="00C224DF"/>
    <w:rsid w:val="00C2262E"/>
    <w:rsid w:val="00C22F6E"/>
    <w:rsid w:val="00C23365"/>
    <w:rsid w:val="00C236A5"/>
    <w:rsid w:val="00C237CD"/>
    <w:rsid w:val="00C23813"/>
    <w:rsid w:val="00C23EE9"/>
    <w:rsid w:val="00C23FC9"/>
    <w:rsid w:val="00C24364"/>
    <w:rsid w:val="00C2527D"/>
    <w:rsid w:val="00C2543D"/>
    <w:rsid w:val="00C255D6"/>
    <w:rsid w:val="00C259F8"/>
    <w:rsid w:val="00C25A13"/>
    <w:rsid w:val="00C26980"/>
    <w:rsid w:val="00C26987"/>
    <w:rsid w:val="00C273EC"/>
    <w:rsid w:val="00C274E6"/>
    <w:rsid w:val="00C27C78"/>
    <w:rsid w:val="00C300C1"/>
    <w:rsid w:val="00C300DA"/>
    <w:rsid w:val="00C301DC"/>
    <w:rsid w:val="00C30300"/>
    <w:rsid w:val="00C305CB"/>
    <w:rsid w:val="00C30A9F"/>
    <w:rsid w:val="00C30E69"/>
    <w:rsid w:val="00C311C6"/>
    <w:rsid w:val="00C31371"/>
    <w:rsid w:val="00C3174E"/>
    <w:rsid w:val="00C318DA"/>
    <w:rsid w:val="00C318E0"/>
    <w:rsid w:val="00C319EE"/>
    <w:rsid w:val="00C31ECB"/>
    <w:rsid w:val="00C32451"/>
    <w:rsid w:val="00C3307D"/>
    <w:rsid w:val="00C33089"/>
    <w:rsid w:val="00C3319D"/>
    <w:rsid w:val="00C33581"/>
    <w:rsid w:val="00C33DF1"/>
    <w:rsid w:val="00C33F8D"/>
    <w:rsid w:val="00C342BE"/>
    <w:rsid w:val="00C342EE"/>
    <w:rsid w:val="00C34355"/>
    <w:rsid w:val="00C343D0"/>
    <w:rsid w:val="00C348AA"/>
    <w:rsid w:val="00C34C23"/>
    <w:rsid w:val="00C34F26"/>
    <w:rsid w:val="00C35933"/>
    <w:rsid w:val="00C35AB9"/>
    <w:rsid w:val="00C35B93"/>
    <w:rsid w:val="00C35D13"/>
    <w:rsid w:val="00C35E0E"/>
    <w:rsid w:val="00C36A86"/>
    <w:rsid w:val="00C36B49"/>
    <w:rsid w:val="00C36F8E"/>
    <w:rsid w:val="00C37CA4"/>
    <w:rsid w:val="00C37D94"/>
    <w:rsid w:val="00C37EFC"/>
    <w:rsid w:val="00C37F38"/>
    <w:rsid w:val="00C37FCE"/>
    <w:rsid w:val="00C40388"/>
    <w:rsid w:val="00C403AA"/>
    <w:rsid w:val="00C4088C"/>
    <w:rsid w:val="00C40CA5"/>
    <w:rsid w:val="00C40E79"/>
    <w:rsid w:val="00C40F42"/>
    <w:rsid w:val="00C419BE"/>
    <w:rsid w:val="00C41AAE"/>
    <w:rsid w:val="00C41D3B"/>
    <w:rsid w:val="00C42F48"/>
    <w:rsid w:val="00C431C3"/>
    <w:rsid w:val="00C43313"/>
    <w:rsid w:val="00C43332"/>
    <w:rsid w:val="00C433CE"/>
    <w:rsid w:val="00C436BD"/>
    <w:rsid w:val="00C43ACF"/>
    <w:rsid w:val="00C43C74"/>
    <w:rsid w:val="00C44308"/>
    <w:rsid w:val="00C446D0"/>
    <w:rsid w:val="00C44E45"/>
    <w:rsid w:val="00C45919"/>
    <w:rsid w:val="00C46500"/>
    <w:rsid w:val="00C46A6C"/>
    <w:rsid w:val="00C46B83"/>
    <w:rsid w:val="00C474A2"/>
    <w:rsid w:val="00C47B12"/>
    <w:rsid w:val="00C47B36"/>
    <w:rsid w:val="00C47BA4"/>
    <w:rsid w:val="00C47CA4"/>
    <w:rsid w:val="00C47E73"/>
    <w:rsid w:val="00C50148"/>
    <w:rsid w:val="00C50420"/>
    <w:rsid w:val="00C505D2"/>
    <w:rsid w:val="00C51265"/>
    <w:rsid w:val="00C51764"/>
    <w:rsid w:val="00C51FBB"/>
    <w:rsid w:val="00C525D9"/>
    <w:rsid w:val="00C526B0"/>
    <w:rsid w:val="00C532D3"/>
    <w:rsid w:val="00C5397B"/>
    <w:rsid w:val="00C53A17"/>
    <w:rsid w:val="00C53A1E"/>
    <w:rsid w:val="00C53A32"/>
    <w:rsid w:val="00C53E74"/>
    <w:rsid w:val="00C53FF6"/>
    <w:rsid w:val="00C5455E"/>
    <w:rsid w:val="00C5496B"/>
    <w:rsid w:val="00C54D3C"/>
    <w:rsid w:val="00C54DA1"/>
    <w:rsid w:val="00C54FFE"/>
    <w:rsid w:val="00C5537C"/>
    <w:rsid w:val="00C55574"/>
    <w:rsid w:val="00C55CCE"/>
    <w:rsid w:val="00C55EE1"/>
    <w:rsid w:val="00C5603C"/>
    <w:rsid w:val="00C5608D"/>
    <w:rsid w:val="00C5644E"/>
    <w:rsid w:val="00C565A7"/>
    <w:rsid w:val="00C56953"/>
    <w:rsid w:val="00C56C5C"/>
    <w:rsid w:val="00C56D30"/>
    <w:rsid w:val="00C57508"/>
    <w:rsid w:val="00C5775E"/>
    <w:rsid w:val="00C57D63"/>
    <w:rsid w:val="00C57EC2"/>
    <w:rsid w:val="00C6012B"/>
    <w:rsid w:val="00C60435"/>
    <w:rsid w:val="00C60793"/>
    <w:rsid w:val="00C612A9"/>
    <w:rsid w:val="00C614AA"/>
    <w:rsid w:val="00C62A87"/>
    <w:rsid w:val="00C62BF0"/>
    <w:rsid w:val="00C62E5D"/>
    <w:rsid w:val="00C62F1C"/>
    <w:rsid w:val="00C636BE"/>
    <w:rsid w:val="00C637D0"/>
    <w:rsid w:val="00C63D26"/>
    <w:rsid w:val="00C63F95"/>
    <w:rsid w:val="00C6424D"/>
    <w:rsid w:val="00C6446F"/>
    <w:rsid w:val="00C644E9"/>
    <w:rsid w:val="00C64677"/>
    <w:rsid w:val="00C64DBB"/>
    <w:rsid w:val="00C65068"/>
    <w:rsid w:val="00C651BE"/>
    <w:rsid w:val="00C6559C"/>
    <w:rsid w:val="00C65BB4"/>
    <w:rsid w:val="00C66C72"/>
    <w:rsid w:val="00C67097"/>
    <w:rsid w:val="00C67163"/>
    <w:rsid w:val="00C67377"/>
    <w:rsid w:val="00C675AE"/>
    <w:rsid w:val="00C67644"/>
    <w:rsid w:val="00C678B5"/>
    <w:rsid w:val="00C67BA4"/>
    <w:rsid w:val="00C67DE5"/>
    <w:rsid w:val="00C67E57"/>
    <w:rsid w:val="00C67F61"/>
    <w:rsid w:val="00C708E9"/>
    <w:rsid w:val="00C70E03"/>
    <w:rsid w:val="00C71162"/>
    <w:rsid w:val="00C71AD0"/>
    <w:rsid w:val="00C71C51"/>
    <w:rsid w:val="00C71D8A"/>
    <w:rsid w:val="00C7215B"/>
    <w:rsid w:val="00C72185"/>
    <w:rsid w:val="00C72302"/>
    <w:rsid w:val="00C7252F"/>
    <w:rsid w:val="00C731BA"/>
    <w:rsid w:val="00C73BCA"/>
    <w:rsid w:val="00C74197"/>
    <w:rsid w:val="00C74DC5"/>
    <w:rsid w:val="00C750EB"/>
    <w:rsid w:val="00C7544D"/>
    <w:rsid w:val="00C758B1"/>
    <w:rsid w:val="00C75DD2"/>
    <w:rsid w:val="00C75DDD"/>
    <w:rsid w:val="00C75F0D"/>
    <w:rsid w:val="00C7601E"/>
    <w:rsid w:val="00C7606D"/>
    <w:rsid w:val="00C76A13"/>
    <w:rsid w:val="00C773A2"/>
    <w:rsid w:val="00C77542"/>
    <w:rsid w:val="00C778AF"/>
    <w:rsid w:val="00C77B04"/>
    <w:rsid w:val="00C77B48"/>
    <w:rsid w:val="00C801FE"/>
    <w:rsid w:val="00C80781"/>
    <w:rsid w:val="00C80880"/>
    <w:rsid w:val="00C80E34"/>
    <w:rsid w:val="00C81279"/>
    <w:rsid w:val="00C81561"/>
    <w:rsid w:val="00C81601"/>
    <w:rsid w:val="00C82122"/>
    <w:rsid w:val="00C82447"/>
    <w:rsid w:val="00C8281C"/>
    <w:rsid w:val="00C82B19"/>
    <w:rsid w:val="00C82C37"/>
    <w:rsid w:val="00C82D04"/>
    <w:rsid w:val="00C82F84"/>
    <w:rsid w:val="00C834D5"/>
    <w:rsid w:val="00C834F9"/>
    <w:rsid w:val="00C83791"/>
    <w:rsid w:val="00C8392F"/>
    <w:rsid w:val="00C83A57"/>
    <w:rsid w:val="00C83DEA"/>
    <w:rsid w:val="00C83E97"/>
    <w:rsid w:val="00C8452F"/>
    <w:rsid w:val="00C84572"/>
    <w:rsid w:val="00C848E4"/>
    <w:rsid w:val="00C84BBC"/>
    <w:rsid w:val="00C8507E"/>
    <w:rsid w:val="00C85368"/>
    <w:rsid w:val="00C854EA"/>
    <w:rsid w:val="00C856C5"/>
    <w:rsid w:val="00C85700"/>
    <w:rsid w:val="00C85AA4"/>
    <w:rsid w:val="00C85FB6"/>
    <w:rsid w:val="00C865B3"/>
    <w:rsid w:val="00C86C07"/>
    <w:rsid w:val="00C86F73"/>
    <w:rsid w:val="00C8701E"/>
    <w:rsid w:val="00C872BB"/>
    <w:rsid w:val="00C8731E"/>
    <w:rsid w:val="00C87346"/>
    <w:rsid w:val="00C87484"/>
    <w:rsid w:val="00C87517"/>
    <w:rsid w:val="00C90036"/>
    <w:rsid w:val="00C90223"/>
    <w:rsid w:val="00C90250"/>
    <w:rsid w:val="00C904ED"/>
    <w:rsid w:val="00C90B5C"/>
    <w:rsid w:val="00C911FE"/>
    <w:rsid w:val="00C913D3"/>
    <w:rsid w:val="00C916AB"/>
    <w:rsid w:val="00C91C62"/>
    <w:rsid w:val="00C91D29"/>
    <w:rsid w:val="00C9217F"/>
    <w:rsid w:val="00C921D1"/>
    <w:rsid w:val="00C925B3"/>
    <w:rsid w:val="00C92AF2"/>
    <w:rsid w:val="00C92EA5"/>
    <w:rsid w:val="00C92F41"/>
    <w:rsid w:val="00C93304"/>
    <w:rsid w:val="00C93914"/>
    <w:rsid w:val="00C93B6B"/>
    <w:rsid w:val="00C93D24"/>
    <w:rsid w:val="00C94030"/>
    <w:rsid w:val="00C94117"/>
    <w:rsid w:val="00C941B3"/>
    <w:rsid w:val="00C9447F"/>
    <w:rsid w:val="00C94488"/>
    <w:rsid w:val="00C94582"/>
    <w:rsid w:val="00C946AB"/>
    <w:rsid w:val="00C946CE"/>
    <w:rsid w:val="00C94A76"/>
    <w:rsid w:val="00C94BEA"/>
    <w:rsid w:val="00C94E51"/>
    <w:rsid w:val="00C95677"/>
    <w:rsid w:val="00C95801"/>
    <w:rsid w:val="00C95A96"/>
    <w:rsid w:val="00C97406"/>
    <w:rsid w:val="00C979DC"/>
    <w:rsid w:val="00C97A3B"/>
    <w:rsid w:val="00C97B78"/>
    <w:rsid w:val="00C97EFD"/>
    <w:rsid w:val="00CA025E"/>
    <w:rsid w:val="00CA0413"/>
    <w:rsid w:val="00CA06CE"/>
    <w:rsid w:val="00CA09C4"/>
    <w:rsid w:val="00CA0C01"/>
    <w:rsid w:val="00CA124A"/>
    <w:rsid w:val="00CA1725"/>
    <w:rsid w:val="00CA1A4B"/>
    <w:rsid w:val="00CA1C74"/>
    <w:rsid w:val="00CA248E"/>
    <w:rsid w:val="00CA28EC"/>
    <w:rsid w:val="00CA2B6C"/>
    <w:rsid w:val="00CA2E4D"/>
    <w:rsid w:val="00CA30E7"/>
    <w:rsid w:val="00CA3B70"/>
    <w:rsid w:val="00CA3D59"/>
    <w:rsid w:val="00CA3ED8"/>
    <w:rsid w:val="00CA4346"/>
    <w:rsid w:val="00CA46A1"/>
    <w:rsid w:val="00CA4A5C"/>
    <w:rsid w:val="00CA4DE0"/>
    <w:rsid w:val="00CA523A"/>
    <w:rsid w:val="00CA53EA"/>
    <w:rsid w:val="00CA57B6"/>
    <w:rsid w:val="00CA5F82"/>
    <w:rsid w:val="00CA64E2"/>
    <w:rsid w:val="00CA6EB2"/>
    <w:rsid w:val="00CA6F42"/>
    <w:rsid w:val="00CA74D9"/>
    <w:rsid w:val="00CA76E3"/>
    <w:rsid w:val="00CA7759"/>
    <w:rsid w:val="00CA79BE"/>
    <w:rsid w:val="00CA7B28"/>
    <w:rsid w:val="00CA7E73"/>
    <w:rsid w:val="00CA7EF3"/>
    <w:rsid w:val="00CB0151"/>
    <w:rsid w:val="00CB0168"/>
    <w:rsid w:val="00CB0177"/>
    <w:rsid w:val="00CB0250"/>
    <w:rsid w:val="00CB084C"/>
    <w:rsid w:val="00CB0F56"/>
    <w:rsid w:val="00CB14BB"/>
    <w:rsid w:val="00CB176A"/>
    <w:rsid w:val="00CB1A18"/>
    <w:rsid w:val="00CB1C9A"/>
    <w:rsid w:val="00CB1DEA"/>
    <w:rsid w:val="00CB20D8"/>
    <w:rsid w:val="00CB2164"/>
    <w:rsid w:val="00CB28B9"/>
    <w:rsid w:val="00CB2C32"/>
    <w:rsid w:val="00CB2CCD"/>
    <w:rsid w:val="00CB3431"/>
    <w:rsid w:val="00CB3A7D"/>
    <w:rsid w:val="00CB3DB6"/>
    <w:rsid w:val="00CB3F62"/>
    <w:rsid w:val="00CB45E8"/>
    <w:rsid w:val="00CB5090"/>
    <w:rsid w:val="00CB5853"/>
    <w:rsid w:val="00CB5AC3"/>
    <w:rsid w:val="00CB66F0"/>
    <w:rsid w:val="00CB6AE4"/>
    <w:rsid w:val="00CB6D8F"/>
    <w:rsid w:val="00CB6E61"/>
    <w:rsid w:val="00CB73F3"/>
    <w:rsid w:val="00CB7CBB"/>
    <w:rsid w:val="00CC009D"/>
    <w:rsid w:val="00CC00D4"/>
    <w:rsid w:val="00CC078A"/>
    <w:rsid w:val="00CC0B75"/>
    <w:rsid w:val="00CC0BCC"/>
    <w:rsid w:val="00CC0CD6"/>
    <w:rsid w:val="00CC0E77"/>
    <w:rsid w:val="00CC0F03"/>
    <w:rsid w:val="00CC1543"/>
    <w:rsid w:val="00CC19AE"/>
    <w:rsid w:val="00CC1C40"/>
    <w:rsid w:val="00CC1CE8"/>
    <w:rsid w:val="00CC1FBF"/>
    <w:rsid w:val="00CC237D"/>
    <w:rsid w:val="00CC242A"/>
    <w:rsid w:val="00CC28B8"/>
    <w:rsid w:val="00CC3009"/>
    <w:rsid w:val="00CC33A9"/>
    <w:rsid w:val="00CC3530"/>
    <w:rsid w:val="00CC3763"/>
    <w:rsid w:val="00CC3A99"/>
    <w:rsid w:val="00CC41A3"/>
    <w:rsid w:val="00CC4563"/>
    <w:rsid w:val="00CC4579"/>
    <w:rsid w:val="00CC475C"/>
    <w:rsid w:val="00CC4831"/>
    <w:rsid w:val="00CC4B75"/>
    <w:rsid w:val="00CC4FA5"/>
    <w:rsid w:val="00CC4FEF"/>
    <w:rsid w:val="00CC5619"/>
    <w:rsid w:val="00CC578B"/>
    <w:rsid w:val="00CC5984"/>
    <w:rsid w:val="00CC5B14"/>
    <w:rsid w:val="00CC5BD4"/>
    <w:rsid w:val="00CC5C21"/>
    <w:rsid w:val="00CC5EF0"/>
    <w:rsid w:val="00CC5F1D"/>
    <w:rsid w:val="00CC622E"/>
    <w:rsid w:val="00CC62AD"/>
    <w:rsid w:val="00CC62B5"/>
    <w:rsid w:val="00CC6767"/>
    <w:rsid w:val="00CC6E04"/>
    <w:rsid w:val="00CC6F46"/>
    <w:rsid w:val="00CC6FE6"/>
    <w:rsid w:val="00CC71E9"/>
    <w:rsid w:val="00CC722A"/>
    <w:rsid w:val="00CC74FA"/>
    <w:rsid w:val="00CC7A06"/>
    <w:rsid w:val="00CC7A09"/>
    <w:rsid w:val="00CD096B"/>
    <w:rsid w:val="00CD098A"/>
    <w:rsid w:val="00CD09C6"/>
    <w:rsid w:val="00CD0ACA"/>
    <w:rsid w:val="00CD1010"/>
    <w:rsid w:val="00CD11E3"/>
    <w:rsid w:val="00CD25BF"/>
    <w:rsid w:val="00CD2F24"/>
    <w:rsid w:val="00CD3B1A"/>
    <w:rsid w:val="00CD3CA6"/>
    <w:rsid w:val="00CD3CCB"/>
    <w:rsid w:val="00CD3D85"/>
    <w:rsid w:val="00CD41B4"/>
    <w:rsid w:val="00CD41B7"/>
    <w:rsid w:val="00CD4502"/>
    <w:rsid w:val="00CD49CF"/>
    <w:rsid w:val="00CD4AB0"/>
    <w:rsid w:val="00CD4BA2"/>
    <w:rsid w:val="00CD4D06"/>
    <w:rsid w:val="00CD592E"/>
    <w:rsid w:val="00CD5B37"/>
    <w:rsid w:val="00CD5F1C"/>
    <w:rsid w:val="00CD6019"/>
    <w:rsid w:val="00CD6260"/>
    <w:rsid w:val="00CD71D7"/>
    <w:rsid w:val="00CD7E5F"/>
    <w:rsid w:val="00CE021F"/>
    <w:rsid w:val="00CE0289"/>
    <w:rsid w:val="00CE03CD"/>
    <w:rsid w:val="00CE03ED"/>
    <w:rsid w:val="00CE1667"/>
    <w:rsid w:val="00CE1974"/>
    <w:rsid w:val="00CE1A39"/>
    <w:rsid w:val="00CE1DD0"/>
    <w:rsid w:val="00CE1F0A"/>
    <w:rsid w:val="00CE2613"/>
    <w:rsid w:val="00CE2927"/>
    <w:rsid w:val="00CE2985"/>
    <w:rsid w:val="00CE31CB"/>
    <w:rsid w:val="00CE34EB"/>
    <w:rsid w:val="00CE3607"/>
    <w:rsid w:val="00CE3614"/>
    <w:rsid w:val="00CE3837"/>
    <w:rsid w:val="00CE4502"/>
    <w:rsid w:val="00CE52F5"/>
    <w:rsid w:val="00CE5C0D"/>
    <w:rsid w:val="00CE5E6F"/>
    <w:rsid w:val="00CE655B"/>
    <w:rsid w:val="00CE65CA"/>
    <w:rsid w:val="00CE69EA"/>
    <w:rsid w:val="00CE6AE2"/>
    <w:rsid w:val="00CE6E1C"/>
    <w:rsid w:val="00CE6ED2"/>
    <w:rsid w:val="00CE713F"/>
    <w:rsid w:val="00CE722B"/>
    <w:rsid w:val="00CE7293"/>
    <w:rsid w:val="00CE79FD"/>
    <w:rsid w:val="00CE7A21"/>
    <w:rsid w:val="00CE7B11"/>
    <w:rsid w:val="00CE7CC1"/>
    <w:rsid w:val="00CF0415"/>
    <w:rsid w:val="00CF0FD6"/>
    <w:rsid w:val="00CF1088"/>
    <w:rsid w:val="00CF173C"/>
    <w:rsid w:val="00CF26BC"/>
    <w:rsid w:val="00CF277B"/>
    <w:rsid w:val="00CF2ABB"/>
    <w:rsid w:val="00CF3241"/>
    <w:rsid w:val="00CF370A"/>
    <w:rsid w:val="00CF371B"/>
    <w:rsid w:val="00CF3871"/>
    <w:rsid w:val="00CF3903"/>
    <w:rsid w:val="00CF3A10"/>
    <w:rsid w:val="00CF3AC3"/>
    <w:rsid w:val="00CF3D1E"/>
    <w:rsid w:val="00CF3F52"/>
    <w:rsid w:val="00CF4098"/>
    <w:rsid w:val="00CF4306"/>
    <w:rsid w:val="00CF4717"/>
    <w:rsid w:val="00CF4D18"/>
    <w:rsid w:val="00CF554E"/>
    <w:rsid w:val="00CF581D"/>
    <w:rsid w:val="00CF5A62"/>
    <w:rsid w:val="00CF5D8D"/>
    <w:rsid w:val="00CF6747"/>
    <w:rsid w:val="00CF6EF8"/>
    <w:rsid w:val="00CF7234"/>
    <w:rsid w:val="00CF76EE"/>
    <w:rsid w:val="00CF7DD0"/>
    <w:rsid w:val="00D00749"/>
    <w:rsid w:val="00D007C1"/>
    <w:rsid w:val="00D008CA"/>
    <w:rsid w:val="00D00A39"/>
    <w:rsid w:val="00D00D14"/>
    <w:rsid w:val="00D012F4"/>
    <w:rsid w:val="00D0151B"/>
    <w:rsid w:val="00D01CFA"/>
    <w:rsid w:val="00D02217"/>
    <w:rsid w:val="00D026F8"/>
    <w:rsid w:val="00D02DB5"/>
    <w:rsid w:val="00D0305E"/>
    <w:rsid w:val="00D0308C"/>
    <w:rsid w:val="00D031F7"/>
    <w:rsid w:val="00D03203"/>
    <w:rsid w:val="00D032F3"/>
    <w:rsid w:val="00D0362B"/>
    <w:rsid w:val="00D038AE"/>
    <w:rsid w:val="00D04837"/>
    <w:rsid w:val="00D049E8"/>
    <w:rsid w:val="00D04C11"/>
    <w:rsid w:val="00D04D0C"/>
    <w:rsid w:val="00D05395"/>
    <w:rsid w:val="00D054D8"/>
    <w:rsid w:val="00D05FD9"/>
    <w:rsid w:val="00D061CF"/>
    <w:rsid w:val="00D062A9"/>
    <w:rsid w:val="00D063A4"/>
    <w:rsid w:val="00D0644B"/>
    <w:rsid w:val="00D06F0D"/>
    <w:rsid w:val="00D07132"/>
    <w:rsid w:val="00D071E4"/>
    <w:rsid w:val="00D073BC"/>
    <w:rsid w:val="00D079CA"/>
    <w:rsid w:val="00D07A8F"/>
    <w:rsid w:val="00D10083"/>
    <w:rsid w:val="00D1026A"/>
    <w:rsid w:val="00D10757"/>
    <w:rsid w:val="00D10A4D"/>
    <w:rsid w:val="00D10BF8"/>
    <w:rsid w:val="00D10CC0"/>
    <w:rsid w:val="00D10E4C"/>
    <w:rsid w:val="00D10EF0"/>
    <w:rsid w:val="00D10FBE"/>
    <w:rsid w:val="00D11201"/>
    <w:rsid w:val="00D11B8D"/>
    <w:rsid w:val="00D1228D"/>
    <w:rsid w:val="00D12307"/>
    <w:rsid w:val="00D12312"/>
    <w:rsid w:val="00D123FB"/>
    <w:rsid w:val="00D13252"/>
    <w:rsid w:val="00D1363B"/>
    <w:rsid w:val="00D139DA"/>
    <w:rsid w:val="00D14330"/>
    <w:rsid w:val="00D1475C"/>
    <w:rsid w:val="00D149AF"/>
    <w:rsid w:val="00D14A2A"/>
    <w:rsid w:val="00D14EB7"/>
    <w:rsid w:val="00D15325"/>
    <w:rsid w:val="00D153A3"/>
    <w:rsid w:val="00D1575E"/>
    <w:rsid w:val="00D15762"/>
    <w:rsid w:val="00D15825"/>
    <w:rsid w:val="00D16292"/>
    <w:rsid w:val="00D16464"/>
    <w:rsid w:val="00D16580"/>
    <w:rsid w:val="00D16655"/>
    <w:rsid w:val="00D1674A"/>
    <w:rsid w:val="00D16CB8"/>
    <w:rsid w:val="00D16FA0"/>
    <w:rsid w:val="00D1710F"/>
    <w:rsid w:val="00D171A6"/>
    <w:rsid w:val="00D1736F"/>
    <w:rsid w:val="00D17AAE"/>
    <w:rsid w:val="00D20136"/>
    <w:rsid w:val="00D2015A"/>
    <w:rsid w:val="00D201D4"/>
    <w:rsid w:val="00D203FB"/>
    <w:rsid w:val="00D20420"/>
    <w:rsid w:val="00D2059C"/>
    <w:rsid w:val="00D20662"/>
    <w:rsid w:val="00D20699"/>
    <w:rsid w:val="00D207D9"/>
    <w:rsid w:val="00D20BA2"/>
    <w:rsid w:val="00D20C57"/>
    <w:rsid w:val="00D20F66"/>
    <w:rsid w:val="00D21129"/>
    <w:rsid w:val="00D21137"/>
    <w:rsid w:val="00D21203"/>
    <w:rsid w:val="00D213DA"/>
    <w:rsid w:val="00D217C2"/>
    <w:rsid w:val="00D217E6"/>
    <w:rsid w:val="00D2198F"/>
    <w:rsid w:val="00D21A17"/>
    <w:rsid w:val="00D21F40"/>
    <w:rsid w:val="00D2214E"/>
    <w:rsid w:val="00D22342"/>
    <w:rsid w:val="00D227B0"/>
    <w:rsid w:val="00D22A01"/>
    <w:rsid w:val="00D22A8A"/>
    <w:rsid w:val="00D23CC9"/>
    <w:rsid w:val="00D24253"/>
    <w:rsid w:val="00D24439"/>
    <w:rsid w:val="00D245F1"/>
    <w:rsid w:val="00D24CED"/>
    <w:rsid w:val="00D24F06"/>
    <w:rsid w:val="00D24F0A"/>
    <w:rsid w:val="00D24F4D"/>
    <w:rsid w:val="00D254CC"/>
    <w:rsid w:val="00D2578F"/>
    <w:rsid w:val="00D25EB3"/>
    <w:rsid w:val="00D25F1D"/>
    <w:rsid w:val="00D26405"/>
    <w:rsid w:val="00D2684D"/>
    <w:rsid w:val="00D26938"/>
    <w:rsid w:val="00D270CE"/>
    <w:rsid w:val="00D272BC"/>
    <w:rsid w:val="00D27737"/>
    <w:rsid w:val="00D27D43"/>
    <w:rsid w:val="00D27F67"/>
    <w:rsid w:val="00D27F7E"/>
    <w:rsid w:val="00D30031"/>
    <w:rsid w:val="00D30050"/>
    <w:rsid w:val="00D30169"/>
    <w:rsid w:val="00D30D06"/>
    <w:rsid w:val="00D30E2D"/>
    <w:rsid w:val="00D31A96"/>
    <w:rsid w:val="00D31F7F"/>
    <w:rsid w:val="00D31FE1"/>
    <w:rsid w:val="00D3275D"/>
    <w:rsid w:val="00D32B1D"/>
    <w:rsid w:val="00D32C9A"/>
    <w:rsid w:val="00D3367A"/>
    <w:rsid w:val="00D33EF3"/>
    <w:rsid w:val="00D349C5"/>
    <w:rsid w:val="00D34B6D"/>
    <w:rsid w:val="00D34DCC"/>
    <w:rsid w:val="00D3541D"/>
    <w:rsid w:val="00D3590D"/>
    <w:rsid w:val="00D360BD"/>
    <w:rsid w:val="00D3620C"/>
    <w:rsid w:val="00D3627C"/>
    <w:rsid w:val="00D36399"/>
    <w:rsid w:val="00D365AB"/>
    <w:rsid w:val="00D3675B"/>
    <w:rsid w:val="00D376FE"/>
    <w:rsid w:val="00D37829"/>
    <w:rsid w:val="00D37B0B"/>
    <w:rsid w:val="00D37B44"/>
    <w:rsid w:val="00D37D51"/>
    <w:rsid w:val="00D40D6E"/>
    <w:rsid w:val="00D41005"/>
    <w:rsid w:val="00D41136"/>
    <w:rsid w:val="00D41254"/>
    <w:rsid w:val="00D4133E"/>
    <w:rsid w:val="00D418B8"/>
    <w:rsid w:val="00D41909"/>
    <w:rsid w:val="00D41E67"/>
    <w:rsid w:val="00D41FB7"/>
    <w:rsid w:val="00D4259E"/>
    <w:rsid w:val="00D42958"/>
    <w:rsid w:val="00D42A49"/>
    <w:rsid w:val="00D42B97"/>
    <w:rsid w:val="00D43437"/>
    <w:rsid w:val="00D435CA"/>
    <w:rsid w:val="00D43A8C"/>
    <w:rsid w:val="00D43CAA"/>
    <w:rsid w:val="00D43DE3"/>
    <w:rsid w:val="00D44341"/>
    <w:rsid w:val="00D44522"/>
    <w:rsid w:val="00D44618"/>
    <w:rsid w:val="00D44BDF"/>
    <w:rsid w:val="00D44CF9"/>
    <w:rsid w:val="00D453DA"/>
    <w:rsid w:val="00D45FF1"/>
    <w:rsid w:val="00D460A0"/>
    <w:rsid w:val="00D463F3"/>
    <w:rsid w:val="00D46446"/>
    <w:rsid w:val="00D46492"/>
    <w:rsid w:val="00D46584"/>
    <w:rsid w:val="00D4669A"/>
    <w:rsid w:val="00D47182"/>
    <w:rsid w:val="00D473EC"/>
    <w:rsid w:val="00D47E94"/>
    <w:rsid w:val="00D47FD1"/>
    <w:rsid w:val="00D50089"/>
    <w:rsid w:val="00D50425"/>
    <w:rsid w:val="00D505C6"/>
    <w:rsid w:val="00D50695"/>
    <w:rsid w:val="00D50E5B"/>
    <w:rsid w:val="00D50F1A"/>
    <w:rsid w:val="00D5121E"/>
    <w:rsid w:val="00D5123C"/>
    <w:rsid w:val="00D5157D"/>
    <w:rsid w:val="00D51C1A"/>
    <w:rsid w:val="00D51CD0"/>
    <w:rsid w:val="00D52274"/>
    <w:rsid w:val="00D5237E"/>
    <w:rsid w:val="00D5245F"/>
    <w:rsid w:val="00D524AF"/>
    <w:rsid w:val="00D52512"/>
    <w:rsid w:val="00D52837"/>
    <w:rsid w:val="00D52A0E"/>
    <w:rsid w:val="00D52FD2"/>
    <w:rsid w:val="00D531FD"/>
    <w:rsid w:val="00D536AE"/>
    <w:rsid w:val="00D538EE"/>
    <w:rsid w:val="00D53A6B"/>
    <w:rsid w:val="00D53A77"/>
    <w:rsid w:val="00D53D3D"/>
    <w:rsid w:val="00D54090"/>
    <w:rsid w:val="00D540D1"/>
    <w:rsid w:val="00D5420E"/>
    <w:rsid w:val="00D54E16"/>
    <w:rsid w:val="00D55332"/>
    <w:rsid w:val="00D55B83"/>
    <w:rsid w:val="00D55D53"/>
    <w:rsid w:val="00D56151"/>
    <w:rsid w:val="00D56322"/>
    <w:rsid w:val="00D5668F"/>
    <w:rsid w:val="00D567A5"/>
    <w:rsid w:val="00D56AF1"/>
    <w:rsid w:val="00D56C0E"/>
    <w:rsid w:val="00D573F1"/>
    <w:rsid w:val="00D57569"/>
    <w:rsid w:val="00D57E81"/>
    <w:rsid w:val="00D603F0"/>
    <w:rsid w:val="00D60A9A"/>
    <w:rsid w:val="00D60DAA"/>
    <w:rsid w:val="00D60E35"/>
    <w:rsid w:val="00D610D0"/>
    <w:rsid w:val="00D61390"/>
    <w:rsid w:val="00D6142B"/>
    <w:rsid w:val="00D61934"/>
    <w:rsid w:val="00D6198D"/>
    <w:rsid w:val="00D61B37"/>
    <w:rsid w:val="00D6253B"/>
    <w:rsid w:val="00D62593"/>
    <w:rsid w:val="00D62790"/>
    <w:rsid w:val="00D62B71"/>
    <w:rsid w:val="00D62BA4"/>
    <w:rsid w:val="00D62EA6"/>
    <w:rsid w:val="00D6439D"/>
    <w:rsid w:val="00D64DA8"/>
    <w:rsid w:val="00D64F9D"/>
    <w:rsid w:val="00D656CF"/>
    <w:rsid w:val="00D65A6F"/>
    <w:rsid w:val="00D65F1F"/>
    <w:rsid w:val="00D65FBF"/>
    <w:rsid w:val="00D66068"/>
    <w:rsid w:val="00D666A1"/>
    <w:rsid w:val="00D66923"/>
    <w:rsid w:val="00D67A5D"/>
    <w:rsid w:val="00D67DBA"/>
    <w:rsid w:val="00D70527"/>
    <w:rsid w:val="00D707BC"/>
    <w:rsid w:val="00D70853"/>
    <w:rsid w:val="00D70ED8"/>
    <w:rsid w:val="00D711D8"/>
    <w:rsid w:val="00D71A85"/>
    <w:rsid w:val="00D71BEF"/>
    <w:rsid w:val="00D723B8"/>
    <w:rsid w:val="00D7248B"/>
    <w:rsid w:val="00D72538"/>
    <w:rsid w:val="00D727F6"/>
    <w:rsid w:val="00D72DD4"/>
    <w:rsid w:val="00D7379F"/>
    <w:rsid w:val="00D737F6"/>
    <w:rsid w:val="00D74152"/>
    <w:rsid w:val="00D743E3"/>
    <w:rsid w:val="00D74604"/>
    <w:rsid w:val="00D751A1"/>
    <w:rsid w:val="00D7580B"/>
    <w:rsid w:val="00D7589C"/>
    <w:rsid w:val="00D75A13"/>
    <w:rsid w:val="00D76D29"/>
    <w:rsid w:val="00D76DEA"/>
    <w:rsid w:val="00D76F68"/>
    <w:rsid w:val="00D76FF3"/>
    <w:rsid w:val="00D7731C"/>
    <w:rsid w:val="00D77FFE"/>
    <w:rsid w:val="00D80104"/>
    <w:rsid w:val="00D80A68"/>
    <w:rsid w:val="00D80B54"/>
    <w:rsid w:val="00D80B8B"/>
    <w:rsid w:val="00D80DA0"/>
    <w:rsid w:val="00D80EEB"/>
    <w:rsid w:val="00D81154"/>
    <w:rsid w:val="00D813A9"/>
    <w:rsid w:val="00D81967"/>
    <w:rsid w:val="00D8199D"/>
    <w:rsid w:val="00D81C1B"/>
    <w:rsid w:val="00D822A8"/>
    <w:rsid w:val="00D8258F"/>
    <w:rsid w:val="00D82818"/>
    <w:rsid w:val="00D82C85"/>
    <w:rsid w:val="00D83A01"/>
    <w:rsid w:val="00D83B09"/>
    <w:rsid w:val="00D83EAD"/>
    <w:rsid w:val="00D841C1"/>
    <w:rsid w:val="00D844B6"/>
    <w:rsid w:val="00D8479D"/>
    <w:rsid w:val="00D84814"/>
    <w:rsid w:val="00D848D5"/>
    <w:rsid w:val="00D84B31"/>
    <w:rsid w:val="00D8532B"/>
    <w:rsid w:val="00D858A0"/>
    <w:rsid w:val="00D85ACE"/>
    <w:rsid w:val="00D8623E"/>
    <w:rsid w:val="00D86E3D"/>
    <w:rsid w:val="00D870B3"/>
    <w:rsid w:val="00D873ED"/>
    <w:rsid w:val="00D875F1"/>
    <w:rsid w:val="00D87BE0"/>
    <w:rsid w:val="00D901C8"/>
    <w:rsid w:val="00D903C7"/>
    <w:rsid w:val="00D904E1"/>
    <w:rsid w:val="00D909AC"/>
    <w:rsid w:val="00D90AD9"/>
    <w:rsid w:val="00D90BFE"/>
    <w:rsid w:val="00D90DEB"/>
    <w:rsid w:val="00D90F43"/>
    <w:rsid w:val="00D91313"/>
    <w:rsid w:val="00D91AE0"/>
    <w:rsid w:val="00D91D98"/>
    <w:rsid w:val="00D91DAE"/>
    <w:rsid w:val="00D91EB1"/>
    <w:rsid w:val="00D91F37"/>
    <w:rsid w:val="00D923BE"/>
    <w:rsid w:val="00D92653"/>
    <w:rsid w:val="00D92DAA"/>
    <w:rsid w:val="00D939CD"/>
    <w:rsid w:val="00D93D48"/>
    <w:rsid w:val="00D93E61"/>
    <w:rsid w:val="00D94304"/>
    <w:rsid w:val="00D94FC7"/>
    <w:rsid w:val="00D95848"/>
    <w:rsid w:val="00D95F5B"/>
    <w:rsid w:val="00D965C8"/>
    <w:rsid w:val="00D96765"/>
    <w:rsid w:val="00D96D4B"/>
    <w:rsid w:val="00D96E32"/>
    <w:rsid w:val="00D975AC"/>
    <w:rsid w:val="00D97809"/>
    <w:rsid w:val="00D97AF4"/>
    <w:rsid w:val="00D97F2D"/>
    <w:rsid w:val="00D98515"/>
    <w:rsid w:val="00DA01EC"/>
    <w:rsid w:val="00DA0981"/>
    <w:rsid w:val="00DA0D4D"/>
    <w:rsid w:val="00DA0DC1"/>
    <w:rsid w:val="00DA0E7A"/>
    <w:rsid w:val="00DA107A"/>
    <w:rsid w:val="00DA10ED"/>
    <w:rsid w:val="00DA10F8"/>
    <w:rsid w:val="00DA1653"/>
    <w:rsid w:val="00DA1BC2"/>
    <w:rsid w:val="00DA1C63"/>
    <w:rsid w:val="00DA1DA1"/>
    <w:rsid w:val="00DA2239"/>
    <w:rsid w:val="00DA28C0"/>
    <w:rsid w:val="00DA35F9"/>
    <w:rsid w:val="00DA41E2"/>
    <w:rsid w:val="00DA42E1"/>
    <w:rsid w:val="00DA450E"/>
    <w:rsid w:val="00DA4958"/>
    <w:rsid w:val="00DA4CD2"/>
    <w:rsid w:val="00DA4F2B"/>
    <w:rsid w:val="00DA53BD"/>
    <w:rsid w:val="00DA54C3"/>
    <w:rsid w:val="00DA5737"/>
    <w:rsid w:val="00DA57A4"/>
    <w:rsid w:val="00DA6116"/>
    <w:rsid w:val="00DA62FE"/>
    <w:rsid w:val="00DA6858"/>
    <w:rsid w:val="00DB0028"/>
    <w:rsid w:val="00DB008F"/>
    <w:rsid w:val="00DB0300"/>
    <w:rsid w:val="00DB0C67"/>
    <w:rsid w:val="00DB0D6F"/>
    <w:rsid w:val="00DB116B"/>
    <w:rsid w:val="00DB11CE"/>
    <w:rsid w:val="00DB128C"/>
    <w:rsid w:val="00DB133F"/>
    <w:rsid w:val="00DB1533"/>
    <w:rsid w:val="00DB1993"/>
    <w:rsid w:val="00DB203C"/>
    <w:rsid w:val="00DB213D"/>
    <w:rsid w:val="00DB217D"/>
    <w:rsid w:val="00DB2961"/>
    <w:rsid w:val="00DB345F"/>
    <w:rsid w:val="00DB35F5"/>
    <w:rsid w:val="00DB3660"/>
    <w:rsid w:val="00DB36AA"/>
    <w:rsid w:val="00DB3BFB"/>
    <w:rsid w:val="00DB3D5C"/>
    <w:rsid w:val="00DB4182"/>
    <w:rsid w:val="00DB41EF"/>
    <w:rsid w:val="00DB422D"/>
    <w:rsid w:val="00DB4648"/>
    <w:rsid w:val="00DB50B9"/>
    <w:rsid w:val="00DB5537"/>
    <w:rsid w:val="00DB559B"/>
    <w:rsid w:val="00DB56DE"/>
    <w:rsid w:val="00DB6326"/>
    <w:rsid w:val="00DB63F5"/>
    <w:rsid w:val="00DB684F"/>
    <w:rsid w:val="00DB6AD1"/>
    <w:rsid w:val="00DB6BF0"/>
    <w:rsid w:val="00DB7144"/>
    <w:rsid w:val="00DB739D"/>
    <w:rsid w:val="00DB7420"/>
    <w:rsid w:val="00DB7674"/>
    <w:rsid w:val="00DB76E1"/>
    <w:rsid w:val="00DB7E56"/>
    <w:rsid w:val="00DC0443"/>
    <w:rsid w:val="00DC09F1"/>
    <w:rsid w:val="00DC0AD6"/>
    <w:rsid w:val="00DC0E9F"/>
    <w:rsid w:val="00DC13B7"/>
    <w:rsid w:val="00DC1F6C"/>
    <w:rsid w:val="00DC27E4"/>
    <w:rsid w:val="00DC35A7"/>
    <w:rsid w:val="00DC35C2"/>
    <w:rsid w:val="00DC3CD7"/>
    <w:rsid w:val="00DC44AB"/>
    <w:rsid w:val="00DC53A6"/>
    <w:rsid w:val="00DC54EC"/>
    <w:rsid w:val="00DC578A"/>
    <w:rsid w:val="00DC592F"/>
    <w:rsid w:val="00DC5B99"/>
    <w:rsid w:val="00DC61B9"/>
    <w:rsid w:val="00DC6491"/>
    <w:rsid w:val="00DC6905"/>
    <w:rsid w:val="00DC696C"/>
    <w:rsid w:val="00DC6C8C"/>
    <w:rsid w:val="00DC7C29"/>
    <w:rsid w:val="00DC7C8D"/>
    <w:rsid w:val="00DD04D1"/>
    <w:rsid w:val="00DD063A"/>
    <w:rsid w:val="00DD08B6"/>
    <w:rsid w:val="00DD0B25"/>
    <w:rsid w:val="00DD0BE0"/>
    <w:rsid w:val="00DD1298"/>
    <w:rsid w:val="00DD1498"/>
    <w:rsid w:val="00DD1618"/>
    <w:rsid w:val="00DD176F"/>
    <w:rsid w:val="00DD1C81"/>
    <w:rsid w:val="00DD1CB3"/>
    <w:rsid w:val="00DD2149"/>
    <w:rsid w:val="00DD217E"/>
    <w:rsid w:val="00DD246C"/>
    <w:rsid w:val="00DD24A3"/>
    <w:rsid w:val="00DD297D"/>
    <w:rsid w:val="00DD29D7"/>
    <w:rsid w:val="00DD3FA2"/>
    <w:rsid w:val="00DD417B"/>
    <w:rsid w:val="00DD440C"/>
    <w:rsid w:val="00DD5283"/>
    <w:rsid w:val="00DD52E5"/>
    <w:rsid w:val="00DD536E"/>
    <w:rsid w:val="00DD54E1"/>
    <w:rsid w:val="00DD5548"/>
    <w:rsid w:val="00DD5573"/>
    <w:rsid w:val="00DD55FB"/>
    <w:rsid w:val="00DD58C9"/>
    <w:rsid w:val="00DD58D4"/>
    <w:rsid w:val="00DD5E8D"/>
    <w:rsid w:val="00DD6245"/>
    <w:rsid w:val="00DD69DC"/>
    <w:rsid w:val="00DD6B0F"/>
    <w:rsid w:val="00DD6C6E"/>
    <w:rsid w:val="00DD6D2F"/>
    <w:rsid w:val="00DD72AF"/>
    <w:rsid w:val="00DD7660"/>
    <w:rsid w:val="00DD7C77"/>
    <w:rsid w:val="00DE02E9"/>
    <w:rsid w:val="00DE062B"/>
    <w:rsid w:val="00DE0A84"/>
    <w:rsid w:val="00DE0B5B"/>
    <w:rsid w:val="00DE0E41"/>
    <w:rsid w:val="00DE12A3"/>
    <w:rsid w:val="00DE14F0"/>
    <w:rsid w:val="00DE166F"/>
    <w:rsid w:val="00DE1D22"/>
    <w:rsid w:val="00DE2085"/>
    <w:rsid w:val="00DE249E"/>
    <w:rsid w:val="00DE25C4"/>
    <w:rsid w:val="00DE284A"/>
    <w:rsid w:val="00DE2930"/>
    <w:rsid w:val="00DE2AEE"/>
    <w:rsid w:val="00DE2FE4"/>
    <w:rsid w:val="00DE33FB"/>
    <w:rsid w:val="00DE4203"/>
    <w:rsid w:val="00DE43D2"/>
    <w:rsid w:val="00DE4E6A"/>
    <w:rsid w:val="00DE5066"/>
    <w:rsid w:val="00DE5685"/>
    <w:rsid w:val="00DE5A21"/>
    <w:rsid w:val="00DE5D0A"/>
    <w:rsid w:val="00DE5EF7"/>
    <w:rsid w:val="00DE61BF"/>
    <w:rsid w:val="00DE639D"/>
    <w:rsid w:val="00DE63FF"/>
    <w:rsid w:val="00DE6B16"/>
    <w:rsid w:val="00DE6BB8"/>
    <w:rsid w:val="00DE74BA"/>
    <w:rsid w:val="00DE7549"/>
    <w:rsid w:val="00DE7569"/>
    <w:rsid w:val="00DE7C2B"/>
    <w:rsid w:val="00DE7FE0"/>
    <w:rsid w:val="00DF0187"/>
    <w:rsid w:val="00DF0594"/>
    <w:rsid w:val="00DF0896"/>
    <w:rsid w:val="00DF09C4"/>
    <w:rsid w:val="00DF0FC2"/>
    <w:rsid w:val="00DF17AA"/>
    <w:rsid w:val="00DF1A82"/>
    <w:rsid w:val="00DF1E68"/>
    <w:rsid w:val="00DF24B4"/>
    <w:rsid w:val="00DF25F4"/>
    <w:rsid w:val="00DF2646"/>
    <w:rsid w:val="00DF2835"/>
    <w:rsid w:val="00DF2B6D"/>
    <w:rsid w:val="00DF304F"/>
    <w:rsid w:val="00DF3209"/>
    <w:rsid w:val="00DF3525"/>
    <w:rsid w:val="00DF3612"/>
    <w:rsid w:val="00DF37A6"/>
    <w:rsid w:val="00DF3807"/>
    <w:rsid w:val="00DF3942"/>
    <w:rsid w:val="00DF3A2E"/>
    <w:rsid w:val="00DF3A63"/>
    <w:rsid w:val="00DF457F"/>
    <w:rsid w:val="00DF45A9"/>
    <w:rsid w:val="00DF48B6"/>
    <w:rsid w:val="00DF4C75"/>
    <w:rsid w:val="00DF5159"/>
    <w:rsid w:val="00DF5457"/>
    <w:rsid w:val="00DF5758"/>
    <w:rsid w:val="00DF5824"/>
    <w:rsid w:val="00DF5C34"/>
    <w:rsid w:val="00DF6394"/>
    <w:rsid w:val="00DF6AD4"/>
    <w:rsid w:val="00DF7452"/>
    <w:rsid w:val="00DF77A6"/>
    <w:rsid w:val="00DF7894"/>
    <w:rsid w:val="00DF79AE"/>
    <w:rsid w:val="00DF7D6B"/>
    <w:rsid w:val="00E00629"/>
    <w:rsid w:val="00E00B73"/>
    <w:rsid w:val="00E01D1C"/>
    <w:rsid w:val="00E0239A"/>
    <w:rsid w:val="00E026F6"/>
    <w:rsid w:val="00E0270A"/>
    <w:rsid w:val="00E02EAA"/>
    <w:rsid w:val="00E03460"/>
    <w:rsid w:val="00E038FD"/>
    <w:rsid w:val="00E03960"/>
    <w:rsid w:val="00E0411B"/>
    <w:rsid w:val="00E04C7E"/>
    <w:rsid w:val="00E055AB"/>
    <w:rsid w:val="00E0604E"/>
    <w:rsid w:val="00E06419"/>
    <w:rsid w:val="00E0644C"/>
    <w:rsid w:val="00E06615"/>
    <w:rsid w:val="00E06A64"/>
    <w:rsid w:val="00E073C7"/>
    <w:rsid w:val="00E07B79"/>
    <w:rsid w:val="00E07BCD"/>
    <w:rsid w:val="00E07DEB"/>
    <w:rsid w:val="00E103F6"/>
    <w:rsid w:val="00E1081C"/>
    <w:rsid w:val="00E10915"/>
    <w:rsid w:val="00E10F2E"/>
    <w:rsid w:val="00E11101"/>
    <w:rsid w:val="00E111BB"/>
    <w:rsid w:val="00E1168C"/>
    <w:rsid w:val="00E129BB"/>
    <w:rsid w:val="00E12BA8"/>
    <w:rsid w:val="00E12CA8"/>
    <w:rsid w:val="00E13911"/>
    <w:rsid w:val="00E13A23"/>
    <w:rsid w:val="00E13C58"/>
    <w:rsid w:val="00E14352"/>
    <w:rsid w:val="00E14B28"/>
    <w:rsid w:val="00E14DAC"/>
    <w:rsid w:val="00E15049"/>
    <w:rsid w:val="00E151AF"/>
    <w:rsid w:val="00E1542A"/>
    <w:rsid w:val="00E15801"/>
    <w:rsid w:val="00E1599F"/>
    <w:rsid w:val="00E15B3B"/>
    <w:rsid w:val="00E16220"/>
    <w:rsid w:val="00E1652A"/>
    <w:rsid w:val="00E168C3"/>
    <w:rsid w:val="00E20653"/>
    <w:rsid w:val="00E2065A"/>
    <w:rsid w:val="00E20750"/>
    <w:rsid w:val="00E21598"/>
    <w:rsid w:val="00E21ADB"/>
    <w:rsid w:val="00E21B5B"/>
    <w:rsid w:val="00E21FB2"/>
    <w:rsid w:val="00E22146"/>
    <w:rsid w:val="00E22927"/>
    <w:rsid w:val="00E22A24"/>
    <w:rsid w:val="00E22D30"/>
    <w:rsid w:val="00E22DBA"/>
    <w:rsid w:val="00E22FD3"/>
    <w:rsid w:val="00E23148"/>
    <w:rsid w:val="00E233B6"/>
    <w:rsid w:val="00E23C12"/>
    <w:rsid w:val="00E244BE"/>
    <w:rsid w:val="00E24FDF"/>
    <w:rsid w:val="00E250A0"/>
    <w:rsid w:val="00E2518F"/>
    <w:rsid w:val="00E251FC"/>
    <w:rsid w:val="00E253D0"/>
    <w:rsid w:val="00E2584D"/>
    <w:rsid w:val="00E26B49"/>
    <w:rsid w:val="00E27026"/>
    <w:rsid w:val="00E27088"/>
    <w:rsid w:val="00E2742D"/>
    <w:rsid w:val="00E27833"/>
    <w:rsid w:val="00E27A72"/>
    <w:rsid w:val="00E27D0E"/>
    <w:rsid w:val="00E27DC7"/>
    <w:rsid w:val="00E27DDF"/>
    <w:rsid w:val="00E27DF5"/>
    <w:rsid w:val="00E306D9"/>
    <w:rsid w:val="00E30806"/>
    <w:rsid w:val="00E3099E"/>
    <w:rsid w:val="00E309E8"/>
    <w:rsid w:val="00E30B47"/>
    <w:rsid w:val="00E30B87"/>
    <w:rsid w:val="00E30EE4"/>
    <w:rsid w:val="00E3152F"/>
    <w:rsid w:val="00E317ED"/>
    <w:rsid w:val="00E32523"/>
    <w:rsid w:val="00E32679"/>
    <w:rsid w:val="00E33080"/>
    <w:rsid w:val="00E3316E"/>
    <w:rsid w:val="00E333F0"/>
    <w:rsid w:val="00E33C18"/>
    <w:rsid w:val="00E3401A"/>
    <w:rsid w:val="00E341C4"/>
    <w:rsid w:val="00E34AC0"/>
    <w:rsid w:val="00E35820"/>
    <w:rsid w:val="00E359D4"/>
    <w:rsid w:val="00E35FE1"/>
    <w:rsid w:val="00E367D9"/>
    <w:rsid w:val="00E36909"/>
    <w:rsid w:val="00E36AD2"/>
    <w:rsid w:val="00E37139"/>
    <w:rsid w:val="00E371F6"/>
    <w:rsid w:val="00E372A6"/>
    <w:rsid w:val="00E379DB"/>
    <w:rsid w:val="00E379E2"/>
    <w:rsid w:val="00E37A66"/>
    <w:rsid w:val="00E37CB7"/>
    <w:rsid w:val="00E37F1D"/>
    <w:rsid w:val="00E402C1"/>
    <w:rsid w:val="00E40818"/>
    <w:rsid w:val="00E40892"/>
    <w:rsid w:val="00E41866"/>
    <w:rsid w:val="00E41D00"/>
    <w:rsid w:val="00E41D9B"/>
    <w:rsid w:val="00E4221F"/>
    <w:rsid w:val="00E42480"/>
    <w:rsid w:val="00E4280D"/>
    <w:rsid w:val="00E42AC2"/>
    <w:rsid w:val="00E42E4F"/>
    <w:rsid w:val="00E42FDD"/>
    <w:rsid w:val="00E4337E"/>
    <w:rsid w:val="00E4337F"/>
    <w:rsid w:val="00E4348D"/>
    <w:rsid w:val="00E436A6"/>
    <w:rsid w:val="00E43EE0"/>
    <w:rsid w:val="00E440FA"/>
    <w:rsid w:val="00E44385"/>
    <w:rsid w:val="00E4445B"/>
    <w:rsid w:val="00E44912"/>
    <w:rsid w:val="00E44C45"/>
    <w:rsid w:val="00E452A2"/>
    <w:rsid w:val="00E45674"/>
    <w:rsid w:val="00E45CE7"/>
    <w:rsid w:val="00E463E6"/>
    <w:rsid w:val="00E463EE"/>
    <w:rsid w:val="00E46ABC"/>
    <w:rsid w:val="00E4782B"/>
    <w:rsid w:val="00E47DAD"/>
    <w:rsid w:val="00E502FB"/>
    <w:rsid w:val="00E50490"/>
    <w:rsid w:val="00E506CF"/>
    <w:rsid w:val="00E50952"/>
    <w:rsid w:val="00E50C68"/>
    <w:rsid w:val="00E51308"/>
    <w:rsid w:val="00E513C4"/>
    <w:rsid w:val="00E51BB8"/>
    <w:rsid w:val="00E51CF2"/>
    <w:rsid w:val="00E51D3B"/>
    <w:rsid w:val="00E5274D"/>
    <w:rsid w:val="00E52C05"/>
    <w:rsid w:val="00E52C7D"/>
    <w:rsid w:val="00E531E8"/>
    <w:rsid w:val="00E53257"/>
    <w:rsid w:val="00E537F6"/>
    <w:rsid w:val="00E53D79"/>
    <w:rsid w:val="00E53D94"/>
    <w:rsid w:val="00E53DCA"/>
    <w:rsid w:val="00E541FD"/>
    <w:rsid w:val="00E54486"/>
    <w:rsid w:val="00E5449B"/>
    <w:rsid w:val="00E54BC2"/>
    <w:rsid w:val="00E54BE2"/>
    <w:rsid w:val="00E5517D"/>
    <w:rsid w:val="00E55234"/>
    <w:rsid w:val="00E5533D"/>
    <w:rsid w:val="00E554A4"/>
    <w:rsid w:val="00E554F1"/>
    <w:rsid w:val="00E55C99"/>
    <w:rsid w:val="00E56451"/>
    <w:rsid w:val="00E567F4"/>
    <w:rsid w:val="00E56DB4"/>
    <w:rsid w:val="00E56E60"/>
    <w:rsid w:val="00E56E81"/>
    <w:rsid w:val="00E56E9F"/>
    <w:rsid w:val="00E5753E"/>
    <w:rsid w:val="00E576A1"/>
    <w:rsid w:val="00E57A16"/>
    <w:rsid w:val="00E57ADB"/>
    <w:rsid w:val="00E57C44"/>
    <w:rsid w:val="00E57DA0"/>
    <w:rsid w:val="00E6092B"/>
    <w:rsid w:val="00E60A86"/>
    <w:rsid w:val="00E60BE9"/>
    <w:rsid w:val="00E60F9A"/>
    <w:rsid w:val="00E60FC9"/>
    <w:rsid w:val="00E615CC"/>
    <w:rsid w:val="00E61A5D"/>
    <w:rsid w:val="00E6229C"/>
    <w:rsid w:val="00E62400"/>
    <w:rsid w:val="00E62A6B"/>
    <w:rsid w:val="00E62B47"/>
    <w:rsid w:val="00E63AE0"/>
    <w:rsid w:val="00E63EFA"/>
    <w:rsid w:val="00E6430C"/>
    <w:rsid w:val="00E6446C"/>
    <w:rsid w:val="00E64499"/>
    <w:rsid w:val="00E64574"/>
    <w:rsid w:val="00E6463C"/>
    <w:rsid w:val="00E6469A"/>
    <w:rsid w:val="00E6469F"/>
    <w:rsid w:val="00E64E8E"/>
    <w:rsid w:val="00E64FC3"/>
    <w:rsid w:val="00E6507A"/>
    <w:rsid w:val="00E65135"/>
    <w:rsid w:val="00E6582A"/>
    <w:rsid w:val="00E65873"/>
    <w:rsid w:val="00E65E7D"/>
    <w:rsid w:val="00E665E8"/>
    <w:rsid w:val="00E6682D"/>
    <w:rsid w:val="00E668C6"/>
    <w:rsid w:val="00E6698A"/>
    <w:rsid w:val="00E66A05"/>
    <w:rsid w:val="00E66AA5"/>
    <w:rsid w:val="00E66AC3"/>
    <w:rsid w:val="00E66AF3"/>
    <w:rsid w:val="00E67298"/>
    <w:rsid w:val="00E67A5E"/>
    <w:rsid w:val="00E7047B"/>
    <w:rsid w:val="00E708DE"/>
    <w:rsid w:val="00E70EB4"/>
    <w:rsid w:val="00E71232"/>
    <w:rsid w:val="00E71784"/>
    <w:rsid w:val="00E71F8E"/>
    <w:rsid w:val="00E72003"/>
    <w:rsid w:val="00E72250"/>
    <w:rsid w:val="00E726FB"/>
    <w:rsid w:val="00E72BA9"/>
    <w:rsid w:val="00E7310F"/>
    <w:rsid w:val="00E7317F"/>
    <w:rsid w:val="00E73CA8"/>
    <w:rsid w:val="00E741ED"/>
    <w:rsid w:val="00E742B7"/>
    <w:rsid w:val="00E74311"/>
    <w:rsid w:val="00E743F8"/>
    <w:rsid w:val="00E7530D"/>
    <w:rsid w:val="00E75C86"/>
    <w:rsid w:val="00E75DAD"/>
    <w:rsid w:val="00E762D2"/>
    <w:rsid w:val="00E76613"/>
    <w:rsid w:val="00E7688B"/>
    <w:rsid w:val="00E76B9E"/>
    <w:rsid w:val="00E76BFA"/>
    <w:rsid w:val="00E76D21"/>
    <w:rsid w:val="00E775D1"/>
    <w:rsid w:val="00E77617"/>
    <w:rsid w:val="00E77699"/>
    <w:rsid w:val="00E77C3D"/>
    <w:rsid w:val="00E80199"/>
    <w:rsid w:val="00E80227"/>
    <w:rsid w:val="00E80511"/>
    <w:rsid w:val="00E80872"/>
    <w:rsid w:val="00E80A10"/>
    <w:rsid w:val="00E80A2F"/>
    <w:rsid w:val="00E80CFE"/>
    <w:rsid w:val="00E80DBB"/>
    <w:rsid w:val="00E81033"/>
    <w:rsid w:val="00E8140C"/>
    <w:rsid w:val="00E815C4"/>
    <w:rsid w:val="00E8175E"/>
    <w:rsid w:val="00E81B2A"/>
    <w:rsid w:val="00E81C1F"/>
    <w:rsid w:val="00E82134"/>
    <w:rsid w:val="00E82312"/>
    <w:rsid w:val="00E824CA"/>
    <w:rsid w:val="00E8250A"/>
    <w:rsid w:val="00E82AB0"/>
    <w:rsid w:val="00E8351E"/>
    <w:rsid w:val="00E83949"/>
    <w:rsid w:val="00E83DE9"/>
    <w:rsid w:val="00E84300"/>
    <w:rsid w:val="00E8452D"/>
    <w:rsid w:val="00E846A4"/>
    <w:rsid w:val="00E84C67"/>
    <w:rsid w:val="00E84EDE"/>
    <w:rsid w:val="00E850C8"/>
    <w:rsid w:val="00E851AF"/>
    <w:rsid w:val="00E85375"/>
    <w:rsid w:val="00E857AC"/>
    <w:rsid w:val="00E85B88"/>
    <w:rsid w:val="00E85B9F"/>
    <w:rsid w:val="00E866BC"/>
    <w:rsid w:val="00E867CE"/>
    <w:rsid w:val="00E86A6E"/>
    <w:rsid w:val="00E86F37"/>
    <w:rsid w:val="00E871EA"/>
    <w:rsid w:val="00E90302"/>
    <w:rsid w:val="00E903BE"/>
    <w:rsid w:val="00E90514"/>
    <w:rsid w:val="00E906B5"/>
    <w:rsid w:val="00E907FE"/>
    <w:rsid w:val="00E90B22"/>
    <w:rsid w:val="00E90C0D"/>
    <w:rsid w:val="00E917A5"/>
    <w:rsid w:val="00E91DBA"/>
    <w:rsid w:val="00E91F96"/>
    <w:rsid w:val="00E92482"/>
    <w:rsid w:val="00E929B2"/>
    <w:rsid w:val="00E92AE2"/>
    <w:rsid w:val="00E92BFC"/>
    <w:rsid w:val="00E931EA"/>
    <w:rsid w:val="00E932F1"/>
    <w:rsid w:val="00E93300"/>
    <w:rsid w:val="00E9358B"/>
    <w:rsid w:val="00E93797"/>
    <w:rsid w:val="00E93E8C"/>
    <w:rsid w:val="00E94017"/>
    <w:rsid w:val="00E9448D"/>
    <w:rsid w:val="00E944FA"/>
    <w:rsid w:val="00E94501"/>
    <w:rsid w:val="00E9460E"/>
    <w:rsid w:val="00E94941"/>
    <w:rsid w:val="00E94D6D"/>
    <w:rsid w:val="00E955AF"/>
    <w:rsid w:val="00E9589A"/>
    <w:rsid w:val="00E95A9E"/>
    <w:rsid w:val="00E968FC"/>
    <w:rsid w:val="00E96D5B"/>
    <w:rsid w:val="00E96FD8"/>
    <w:rsid w:val="00E97854"/>
    <w:rsid w:val="00EA0108"/>
    <w:rsid w:val="00EA0353"/>
    <w:rsid w:val="00EA084B"/>
    <w:rsid w:val="00EA1000"/>
    <w:rsid w:val="00EA1185"/>
    <w:rsid w:val="00EA11B6"/>
    <w:rsid w:val="00EA13A1"/>
    <w:rsid w:val="00EA149E"/>
    <w:rsid w:val="00EA1D33"/>
    <w:rsid w:val="00EA2145"/>
    <w:rsid w:val="00EA2277"/>
    <w:rsid w:val="00EA257D"/>
    <w:rsid w:val="00EA27AD"/>
    <w:rsid w:val="00EA2A47"/>
    <w:rsid w:val="00EA2BE5"/>
    <w:rsid w:val="00EA344F"/>
    <w:rsid w:val="00EA34B1"/>
    <w:rsid w:val="00EA34CA"/>
    <w:rsid w:val="00EA39FB"/>
    <w:rsid w:val="00EA3A6D"/>
    <w:rsid w:val="00EA3B7C"/>
    <w:rsid w:val="00EA4A6B"/>
    <w:rsid w:val="00EA4E19"/>
    <w:rsid w:val="00EA5242"/>
    <w:rsid w:val="00EA5AAE"/>
    <w:rsid w:val="00EA6512"/>
    <w:rsid w:val="00EA68E2"/>
    <w:rsid w:val="00EA6B20"/>
    <w:rsid w:val="00EA6BCC"/>
    <w:rsid w:val="00EA6D70"/>
    <w:rsid w:val="00EA71B5"/>
    <w:rsid w:val="00EA7582"/>
    <w:rsid w:val="00EA77C5"/>
    <w:rsid w:val="00EA7D0C"/>
    <w:rsid w:val="00EA7E9D"/>
    <w:rsid w:val="00EB14D5"/>
    <w:rsid w:val="00EB20A1"/>
    <w:rsid w:val="00EB2D97"/>
    <w:rsid w:val="00EB3234"/>
    <w:rsid w:val="00EB32EA"/>
    <w:rsid w:val="00EB331F"/>
    <w:rsid w:val="00EB3C3B"/>
    <w:rsid w:val="00EB40A6"/>
    <w:rsid w:val="00EB41EF"/>
    <w:rsid w:val="00EB460F"/>
    <w:rsid w:val="00EB47F9"/>
    <w:rsid w:val="00EB4B48"/>
    <w:rsid w:val="00EB4CE6"/>
    <w:rsid w:val="00EB50B9"/>
    <w:rsid w:val="00EB5502"/>
    <w:rsid w:val="00EB5EF1"/>
    <w:rsid w:val="00EB615B"/>
    <w:rsid w:val="00EB6264"/>
    <w:rsid w:val="00EB661A"/>
    <w:rsid w:val="00EB6951"/>
    <w:rsid w:val="00EB6E63"/>
    <w:rsid w:val="00EB7215"/>
    <w:rsid w:val="00EB7539"/>
    <w:rsid w:val="00EB7B15"/>
    <w:rsid w:val="00EC00C8"/>
    <w:rsid w:val="00EC032B"/>
    <w:rsid w:val="00EC05F0"/>
    <w:rsid w:val="00EC07BD"/>
    <w:rsid w:val="00EC0813"/>
    <w:rsid w:val="00EC0875"/>
    <w:rsid w:val="00EC0AEC"/>
    <w:rsid w:val="00EC0B05"/>
    <w:rsid w:val="00EC0F43"/>
    <w:rsid w:val="00EC124B"/>
    <w:rsid w:val="00EC18CA"/>
    <w:rsid w:val="00EC1C7F"/>
    <w:rsid w:val="00EC1C88"/>
    <w:rsid w:val="00EC1D5C"/>
    <w:rsid w:val="00EC2B25"/>
    <w:rsid w:val="00EC2C47"/>
    <w:rsid w:val="00EC2E39"/>
    <w:rsid w:val="00EC2FF9"/>
    <w:rsid w:val="00EC3154"/>
    <w:rsid w:val="00EC3283"/>
    <w:rsid w:val="00EC32B6"/>
    <w:rsid w:val="00EC3ACD"/>
    <w:rsid w:val="00EC3D3C"/>
    <w:rsid w:val="00EC45BF"/>
    <w:rsid w:val="00EC4748"/>
    <w:rsid w:val="00EC4D94"/>
    <w:rsid w:val="00EC57CB"/>
    <w:rsid w:val="00EC5978"/>
    <w:rsid w:val="00EC5CD4"/>
    <w:rsid w:val="00EC5D60"/>
    <w:rsid w:val="00EC60E0"/>
    <w:rsid w:val="00EC60F8"/>
    <w:rsid w:val="00EC6197"/>
    <w:rsid w:val="00EC6983"/>
    <w:rsid w:val="00EC6F40"/>
    <w:rsid w:val="00EC7180"/>
    <w:rsid w:val="00EC7B97"/>
    <w:rsid w:val="00EC7D15"/>
    <w:rsid w:val="00ED0227"/>
    <w:rsid w:val="00ED0415"/>
    <w:rsid w:val="00ED0882"/>
    <w:rsid w:val="00ED09CD"/>
    <w:rsid w:val="00ED0EA9"/>
    <w:rsid w:val="00ED1627"/>
    <w:rsid w:val="00ED1A74"/>
    <w:rsid w:val="00ED1B7F"/>
    <w:rsid w:val="00ED1E10"/>
    <w:rsid w:val="00ED261C"/>
    <w:rsid w:val="00ED26D1"/>
    <w:rsid w:val="00ED2E4C"/>
    <w:rsid w:val="00ED2EC3"/>
    <w:rsid w:val="00ED317D"/>
    <w:rsid w:val="00ED34F6"/>
    <w:rsid w:val="00ED359F"/>
    <w:rsid w:val="00ED3988"/>
    <w:rsid w:val="00ED3999"/>
    <w:rsid w:val="00ED3C35"/>
    <w:rsid w:val="00ED3E82"/>
    <w:rsid w:val="00ED43EF"/>
    <w:rsid w:val="00ED45E4"/>
    <w:rsid w:val="00ED4961"/>
    <w:rsid w:val="00ED4A02"/>
    <w:rsid w:val="00ED4FDE"/>
    <w:rsid w:val="00ED5171"/>
    <w:rsid w:val="00ED5488"/>
    <w:rsid w:val="00ED5639"/>
    <w:rsid w:val="00ED5C1B"/>
    <w:rsid w:val="00ED5CA9"/>
    <w:rsid w:val="00ED5CF2"/>
    <w:rsid w:val="00ED63CE"/>
    <w:rsid w:val="00ED696E"/>
    <w:rsid w:val="00ED6C42"/>
    <w:rsid w:val="00ED6CB1"/>
    <w:rsid w:val="00ED6F61"/>
    <w:rsid w:val="00ED7530"/>
    <w:rsid w:val="00ED7A27"/>
    <w:rsid w:val="00ED7FE7"/>
    <w:rsid w:val="00EE0215"/>
    <w:rsid w:val="00EE04D4"/>
    <w:rsid w:val="00EE0575"/>
    <w:rsid w:val="00EE081A"/>
    <w:rsid w:val="00EE0860"/>
    <w:rsid w:val="00EE09BC"/>
    <w:rsid w:val="00EE0A32"/>
    <w:rsid w:val="00EE1197"/>
    <w:rsid w:val="00EE126E"/>
    <w:rsid w:val="00EE22AE"/>
    <w:rsid w:val="00EE239A"/>
    <w:rsid w:val="00EE2D20"/>
    <w:rsid w:val="00EE36D9"/>
    <w:rsid w:val="00EE39AC"/>
    <w:rsid w:val="00EE3F56"/>
    <w:rsid w:val="00EE4022"/>
    <w:rsid w:val="00EE4103"/>
    <w:rsid w:val="00EE449D"/>
    <w:rsid w:val="00EE465F"/>
    <w:rsid w:val="00EE46BB"/>
    <w:rsid w:val="00EE48F8"/>
    <w:rsid w:val="00EE49F4"/>
    <w:rsid w:val="00EE4AEF"/>
    <w:rsid w:val="00EE5862"/>
    <w:rsid w:val="00EE6162"/>
    <w:rsid w:val="00EE64B0"/>
    <w:rsid w:val="00EE6CDC"/>
    <w:rsid w:val="00EE6DA8"/>
    <w:rsid w:val="00EE6FAC"/>
    <w:rsid w:val="00EE7604"/>
    <w:rsid w:val="00EE7694"/>
    <w:rsid w:val="00EE7BCC"/>
    <w:rsid w:val="00EF0414"/>
    <w:rsid w:val="00EF0C70"/>
    <w:rsid w:val="00EF1BE0"/>
    <w:rsid w:val="00EF1FBD"/>
    <w:rsid w:val="00EF204A"/>
    <w:rsid w:val="00EF2135"/>
    <w:rsid w:val="00EF244F"/>
    <w:rsid w:val="00EF25DA"/>
    <w:rsid w:val="00EF2ABC"/>
    <w:rsid w:val="00EF302C"/>
    <w:rsid w:val="00EF342E"/>
    <w:rsid w:val="00EF3667"/>
    <w:rsid w:val="00EF379C"/>
    <w:rsid w:val="00EF39F1"/>
    <w:rsid w:val="00EF3A04"/>
    <w:rsid w:val="00EF3CB2"/>
    <w:rsid w:val="00EF4AFB"/>
    <w:rsid w:val="00EF4DAA"/>
    <w:rsid w:val="00EF4DE9"/>
    <w:rsid w:val="00EF505C"/>
    <w:rsid w:val="00EF5802"/>
    <w:rsid w:val="00EF5B09"/>
    <w:rsid w:val="00EF5B42"/>
    <w:rsid w:val="00EF63F8"/>
    <w:rsid w:val="00EF6E49"/>
    <w:rsid w:val="00EF6F33"/>
    <w:rsid w:val="00EF70CB"/>
    <w:rsid w:val="00EF7182"/>
    <w:rsid w:val="00EF75D8"/>
    <w:rsid w:val="00EF7606"/>
    <w:rsid w:val="00EF760D"/>
    <w:rsid w:val="00EF78E1"/>
    <w:rsid w:val="00EF7BC5"/>
    <w:rsid w:val="00EF7D66"/>
    <w:rsid w:val="00EF7E07"/>
    <w:rsid w:val="00F00038"/>
    <w:rsid w:val="00F00249"/>
    <w:rsid w:val="00F0037A"/>
    <w:rsid w:val="00F0067E"/>
    <w:rsid w:val="00F01280"/>
    <w:rsid w:val="00F01660"/>
    <w:rsid w:val="00F0181D"/>
    <w:rsid w:val="00F019BA"/>
    <w:rsid w:val="00F02047"/>
    <w:rsid w:val="00F0227B"/>
    <w:rsid w:val="00F02AC3"/>
    <w:rsid w:val="00F03DF4"/>
    <w:rsid w:val="00F03ECB"/>
    <w:rsid w:val="00F0427F"/>
    <w:rsid w:val="00F04621"/>
    <w:rsid w:val="00F0497A"/>
    <w:rsid w:val="00F04C18"/>
    <w:rsid w:val="00F05844"/>
    <w:rsid w:val="00F05BFF"/>
    <w:rsid w:val="00F05E17"/>
    <w:rsid w:val="00F060AF"/>
    <w:rsid w:val="00F061FF"/>
    <w:rsid w:val="00F063E0"/>
    <w:rsid w:val="00F072B7"/>
    <w:rsid w:val="00F07302"/>
    <w:rsid w:val="00F073B9"/>
    <w:rsid w:val="00F073F2"/>
    <w:rsid w:val="00F07DA7"/>
    <w:rsid w:val="00F07EDB"/>
    <w:rsid w:val="00F10119"/>
    <w:rsid w:val="00F10B7C"/>
    <w:rsid w:val="00F10DF1"/>
    <w:rsid w:val="00F1129D"/>
    <w:rsid w:val="00F112E2"/>
    <w:rsid w:val="00F11419"/>
    <w:rsid w:val="00F1178E"/>
    <w:rsid w:val="00F126DC"/>
    <w:rsid w:val="00F129B1"/>
    <w:rsid w:val="00F12D48"/>
    <w:rsid w:val="00F1323A"/>
    <w:rsid w:val="00F137B5"/>
    <w:rsid w:val="00F14AA9"/>
    <w:rsid w:val="00F14CC1"/>
    <w:rsid w:val="00F14CD7"/>
    <w:rsid w:val="00F15259"/>
    <w:rsid w:val="00F153BB"/>
    <w:rsid w:val="00F154B1"/>
    <w:rsid w:val="00F1605C"/>
    <w:rsid w:val="00F16116"/>
    <w:rsid w:val="00F169C2"/>
    <w:rsid w:val="00F200C2"/>
    <w:rsid w:val="00F203C7"/>
    <w:rsid w:val="00F20613"/>
    <w:rsid w:val="00F2082C"/>
    <w:rsid w:val="00F208EA"/>
    <w:rsid w:val="00F20DD5"/>
    <w:rsid w:val="00F20E2E"/>
    <w:rsid w:val="00F2119A"/>
    <w:rsid w:val="00F215B0"/>
    <w:rsid w:val="00F215E6"/>
    <w:rsid w:val="00F21602"/>
    <w:rsid w:val="00F21A8E"/>
    <w:rsid w:val="00F21C3E"/>
    <w:rsid w:val="00F223C3"/>
    <w:rsid w:val="00F22725"/>
    <w:rsid w:val="00F22ADE"/>
    <w:rsid w:val="00F23193"/>
    <w:rsid w:val="00F2322F"/>
    <w:rsid w:val="00F23ED0"/>
    <w:rsid w:val="00F246F5"/>
    <w:rsid w:val="00F24886"/>
    <w:rsid w:val="00F24E86"/>
    <w:rsid w:val="00F2576C"/>
    <w:rsid w:val="00F25B64"/>
    <w:rsid w:val="00F25BB9"/>
    <w:rsid w:val="00F25F18"/>
    <w:rsid w:val="00F26399"/>
    <w:rsid w:val="00F265EF"/>
    <w:rsid w:val="00F26F72"/>
    <w:rsid w:val="00F274BA"/>
    <w:rsid w:val="00F27B50"/>
    <w:rsid w:val="00F30323"/>
    <w:rsid w:val="00F30339"/>
    <w:rsid w:val="00F3062F"/>
    <w:rsid w:val="00F30A98"/>
    <w:rsid w:val="00F30E83"/>
    <w:rsid w:val="00F31057"/>
    <w:rsid w:val="00F314BE"/>
    <w:rsid w:val="00F31801"/>
    <w:rsid w:val="00F31B04"/>
    <w:rsid w:val="00F31EC2"/>
    <w:rsid w:val="00F3273D"/>
    <w:rsid w:val="00F327B8"/>
    <w:rsid w:val="00F32B6A"/>
    <w:rsid w:val="00F32D2B"/>
    <w:rsid w:val="00F32D2D"/>
    <w:rsid w:val="00F32E53"/>
    <w:rsid w:val="00F332C0"/>
    <w:rsid w:val="00F33517"/>
    <w:rsid w:val="00F33985"/>
    <w:rsid w:val="00F3398B"/>
    <w:rsid w:val="00F34185"/>
    <w:rsid w:val="00F3428C"/>
    <w:rsid w:val="00F3586F"/>
    <w:rsid w:val="00F35EDE"/>
    <w:rsid w:val="00F363C1"/>
    <w:rsid w:val="00F369BC"/>
    <w:rsid w:val="00F36B4A"/>
    <w:rsid w:val="00F36DFB"/>
    <w:rsid w:val="00F377FD"/>
    <w:rsid w:val="00F37A8B"/>
    <w:rsid w:val="00F37A99"/>
    <w:rsid w:val="00F37B19"/>
    <w:rsid w:val="00F4003F"/>
    <w:rsid w:val="00F40B8C"/>
    <w:rsid w:val="00F412F9"/>
    <w:rsid w:val="00F41AC3"/>
    <w:rsid w:val="00F42694"/>
    <w:rsid w:val="00F42D5D"/>
    <w:rsid w:val="00F43105"/>
    <w:rsid w:val="00F4319D"/>
    <w:rsid w:val="00F43822"/>
    <w:rsid w:val="00F43C50"/>
    <w:rsid w:val="00F43CAB"/>
    <w:rsid w:val="00F44D5C"/>
    <w:rsid w:val="00F452F8"/>
    <w:rsid w:val="00F454B6"/>
    <w:rsid w:val="00F45640"/>
    <w:rsid w:val="00F45666"/>
    <w:rsid w:val="00F4596D"/>
    <w:rsid w:val="00F459A4"/>
    <w:rsid w:val="00F45F0F"/>
    <w:rsid w:val="00F45FB4"/>
    <w:rsid w:val="00F467C2"/>
    <w:rsid w:val="00F46A85"/>
    <w:rsid w:val="00F46F84"/>
    <w:rsid w:val="00F478F6"/>
    <w:rsid w:val="00F47923"/>
    <w:rsid w:val="00F47D2F"/>
    <w:rsid w:val="00F507BF"/>
    <w:rsid w:val="00F509A4"/>
    <w:rsid w:val="00F50E09"/>
    <w:rsid w:val="00F51376"/>
    <w:rsid w:val="00F515EF"/>
    <w:rsid w:val="00F51D6B"/>
    <w:rsid w:val="00F52C8D"/>
    <w:rsid w:val="00F53347"/>
    <w:rsid w:val="00F53E6A"/>
    <w:rsid w:val="00F53FC5"/>
    <w:rsid w:val="00F545B2"/>
    <w:rsid w:val="00F5497E"/>
    <w:rsid w:val="00F54D0B"/>
    <w:rsid w:val="00F54FED"/>
    <w:rsid w:val="00F55416"/>
    <w:rsid w:val="00F55809"/>
    <w:rsid w:val="00F56220"/>
    <w:rsid w:val="00F5647B"/>
    <w:rsid w:val="00F56C15"/>
    <w:rsid w:val="00F572B3"/>
    <w:rsid w:val="00F6008E"/>
    <w:rsid w:val="00F6041B"/>
    <w:rsid w:val="00F604A5"/>
    <w:rsid w:val="00F60B88"/>
    <w:rsid w:val="00F60C55"/>
    <w:rsid w:val="00F61109"/>
    <w:rsid w:val="00F61191"/>
    <w:rsid w:val="00F6188B"/>
    <w:rsid w:val="00F6195E"/>
    <w:rsid w:val="00F62062"/>
    <w:rsid w:val="00F630DE"/>
    <w:rsid w:val="00F63A27"/>
    <w:rsid w:val="00F63B2D"/>
    <w:rsid w:val="00F63E0D"/>
    <w:rsid w:val="00F63E50"/>
    <w:rsid w:val="00F6440A"/>
    <w:rsid w:val="00F6472B"/>
    <w:rsid w:val="00F647AF"/>
    <w:rsid w:val="00F64AE0"/>
    <w:rsid w:val="00F64B94"/>
    <w:rsid w:val="00F65236"/>
    <w:rsid w:val="00F6533F"/>
    <w:rsid w:val="00F653FB"/>
    <w:rsid w:val="00F65BAD"/>
    <w:rsid w:val="00F66043"/>
    <w:rsid w:val="00F66103"/>
    <w:rsid w:val="00F666E8"/>
    <w:rsid w:val="00F66768"/>
    <w:rsid w:val="00F667E0"/>
    <w:rsid w:val="00F669D6"/>
    <w:rsid w:val="00F66F4C"/>
    <w:rsid w:val="00F67083"/>
    <w:rsid w:val="00F67442"/>
    <w:rsid w:val="00F67445"/>
    <w:rsid w:val="00F67A75"/>
    <w:rsid w:val="00F67B29"/>
    <w:rsid w:val="00F67E8C"/>
    <w:rsid w:val="00F70C56"/>
    <w:rsid w:val="00F71658"/>
    <w:rsid w:val="00F72202"/>
    <w:rsid w:val="00F7275A"/>
    <w:rsid w:val="00F72BEF"/>
    <w:rsid w:val="00F72FD6"/>
    <w:rsid w:val="00F7349A"/>
    <w:rsid w:val="00F7378A"/>
    <w:rsid w:val="00F738D7"/>
    <w:rsid w:val="00F73986"/>
    <w:rsid w:val="00F73CE1"/>
    <w:rsid w:val="00F73D0F"/>
    <w:rsid w:val="00F73F41"/>
    <w:rsid w:val="00F74112"/>
    <w:rsid w:val="00F74592"/>
    <w:rsid w:val="00F74CE3"/>
    <w:rsid w:val="00F74D50"/>
    <w:rsid w:val="00F75696"/>
    <w:rsid w:val="00F75C31"/>
    <w:rsid w:val="00F75F07"/>
    <w:rsid w:val="00F75F88"/>
    <w:rsid w:val="00F76519"/>
    <w:rsid w:val="00F76BF0"/>
    <w:rsid w:val="00F76E00"/>
    <w:rsid w:val="00F76F9B"/>
    <w:rsid w:val="00F77383"/>
    <w:rsid w:val="00F7742D"/>
    <w:rsid w:val="00F77E12"/>
    <w:rsid w:val="00F8027C"/>
    <w:rsid w:val="00F804EE"/>
    <w:rsid w:val="00F805C8"/>
    <w:rsid w:val="00F80906"/>
    <w:rsid w:val="00F80C13"/>
    <w:rsid w:val="00F80E7E"/>
    <w:rsid w:val="00F81227"/>
    <w:rsid w:val="00F81637"/>
    <w:rsid w:val="00F817D5"/>
    <w:rsid w:val="00F817DA"/>
    <w:rsid w:val="00F820B9"/>
    <w:rsid w:val="00F82132"/>
    <w:rsid w:val="00F82B1D"/>
    <w:rsid w:val="00F82C51"/>
    <w:rsid w:val="00F82EFB"/>
    <w:rsid w:val="00F8315F"/>
    <w:rsid w:val="00F83693"/>
    <w:rsid w:val="00F837EC"/>
    <w:rsid w:val="00F83ABC"/>
    <w:rsid w:val="00F83B73"/>
    <w:rsid w:val="00F8420F"/>
    <w:rsid w:val="00F8441B"/>
    <w:rsid w:val="00F84A15"/>
    <w:rsid w:val="00F84A62"/>
    <w:rsid w:val="00F84D3B"/>
    <w:rsid w:val="00F84DA7"/>
    <w:rsid w:val="00F850A4"/>
    <w:rsid w:val="00F85628"/>
    <w:rsid w:val="00F85701"/>
    <w:rsid w:val="00F85732"/>
    <w:rsid w:val="00F85949"/>
    <w:rsid w:val="00F85C6E"/>
    <w:rsid w:val="00F863A0"/>
    <w:rsid w:val="00F863A6"/>
    <w:rsid w:val="00F86CCB"/>
    <w:rsid w:val="00F87395"/>
    <w:rsid w:val="00F876DB"/>
    <w:rsid w:val="00F879D0"/>
    <w:rsid w:val="00F87CED"/>
    <w:rsid w:val="00F87E83"/>
    <w:rsid w:val="00F911E5"/>
    <w:rsid w:val="00F914B3"/>
    <w:rsid w:val="00F91C02"/>
    <w:rsid w:val="00F92E9A"/>
    <w:rsid w:val="00F92F44"/>
    <w:rsid w:val="00F93BB9"/>
    <w:rsid w:val="00F94655"/>
    <w:rsid w:val="00F94A8B"/>
    <w:rsid w:val="00F95BF0"/>
    <w:rsid w:val="00F95D9A"/>
    <w:rsid w:val="00F96377"/>
    <w:rsid w:val="00F96383"/>
    <w:rsid w:val="00F9658F"/>
    <w:rsid w:val="00F97209"/>
    <w:rsid w:val="00F97607"/>
    <w:rsid w:val="00F97788"/>
    <w:rsid w:val="00F97C94"/>
    <w:rsid w:val="00F97CDE"/>
    <w:rsid w:val="00F97D26"/>
    <w:rsid w:val="00FA034D"/>
    <w:rsid w:val="00FA0386"/>
    <w:rsid w:val="00FA08DA"/>
    <w:rsid w:val="00FA0AFE"/>
    <w:rsid w:val="00FA1B11"/>
    <w:rsid w:val="00FA1CC0"/>
    <w:rsid w:val="00FA1E56"/>
    <w:rsid w:val="00FA22BB"/>
    <w:rsid w:val="00FA2C33"/>
    <w:rsid w:val="00FA3368"/>
    <w:rsid w:val="00FA34DD"/>
    <w:rsid w:val="00FA359E"/>
    <w:rsid w:val="00FA3A6C"/>
    <w:rsid w:val="00FA3C25"/>
    <w:rsid w:val="00FA4225"/>
    <w:rsid w:val="00FA45AB"/>
    <w:rsid w:val="00FA462D"/>
    <w:rsid w:val="00FA46BA"/>
    <w:rsid w:val="00FA481C"/>
    <w:rsid w:val="00FA5089"/>
    <w:rsid w:val="00FA5FA4"/>
    <w:rsid w:val="00FA5FCB"/>
    <w:rsid w:val="00FA6439"/>
    <w:rsid w:val="00FA664C"/>
    <w:rsid w:val="00FA6A37"/>
    <w:rsid w:val="00FA6A94"/>
    <w:rsid w:val="00FA6AA7"/>
    <w:rsid w:val="00FA731B"/>
    <w:rsid w:val="00FA7411"/>
    <w:rsid w:val="00FA781C"/>
    <w:rsid w:val="00FA78AD"/>
    <w:rsid w:val="00FA7DE7"/>
    <w:rsid w:val="00FB00C7"/>
    <w:rsid w:val="00FB0170"/>
    <w:rsid w:val="00FB07B7"/>
    <w:rsid w:val="00FB0836"/>
    <w:rsid w:val="00FB0855"/>
    <w:rsid w:val="00FB0B8C"/>
    <w:rsid w:val="00FB113C"/>
    <w:rsid w:val="00FB119E"/>
    <w:rsid w:val="00FB14B1"/>
    <w:rsid w:val="00FB1700"/>
    <w:rsid w:val="00FB1937"/>
    <w:rsid w:val="00FB1A42"/>
    <w:rsid w:val="00FB1A43"/>
    <w:rsid w:val="00FB1BBC"/>
    <w:rsid w:val="00FB1C3F"/>
    <w:rsid w:val="00FB2055"/>
    <w:rsid w:val="00FB207B"/>
    <w:rsid w:val="00FB2177"/>
    <w:rsid w:val="00FB2F24"/>
    <w:rsid w:val="00FB36B2"/>
    <w:rsid w:val="00FB36E0"/>
    <w:rsid w:val="00FB531B"/>
    <w:rsid w:val="00FB539E"/>
    <w:rsid w:val="00FB5494"/>
    <w:rsid w:val="00FB57DF"/>
    <w:rsid w:val="00FB5EE7"/>
    <w:rsid w:val="00FB66E7"/>
    <w:rsid w:val="00FB6794"/>
    <w:rsid w:val="00FB6D93"/>
    <w:rsid w:val="00FB6DD1"/>
    <w:rsid w:val="00FB7019"/>
    <w:rsid w:val="00FB7108"/>
    <w:rsid w:val="00FB7443"/>
    <w:rsid w:val="00FB76A9"/>
    <w:rsid w:val="00FB7B96"/>
    <w:rsid w:val="00FC0275"/>
    <w:rsid w:val="00FC054D"/>
    <w:rsid w:val="00FC06DB"/>
    <w:rsid w:val="00FC08A9"/>
    <w:rsid w:val="00FC10E6"/>
    <w:rsid w:val="00FC13A8"/>
    <w:rsid w:val="00FC1DBA"/>
    <w:rsid w:val="00FC2990"/>
    <w:rsid w:val="00FC2EEA"/>
    <w:rsid w:val="00FC31A8"/>
    <w:rsid w:val="00FC4245"/>
    <w:rsid w:val="00FC4731"/>
    <w:rsid w:val="00FC51F4"/>
    <w:rsid w:val="00FC52CA"/>
    <w:rsid w:val="00FC536B"/>
    <w:rsid w:val="00FC587A"/>
    <w:rsid w:val="00FC5BB6"/>
    <w:rsid w:val="00FC5C74"/>
    <w:rsid w:val="00FC5DD5"/>
    <w:rsid w:val="00FC5F13"/>
    <w:rsid w:val="00FC6234"/>
    <w:rsid w:val="00FC6778"/>
    <w:rsid w:val="00FC7217"/>
    <w:rsid w:val="00FC747C"/>
    <w:rsid w:val="00FC76F3"/>
    <w:rsid w:val="00FC777B"/>
    <w:rsid w:val="00FC787B"/>
    <w:rsid w:val="00FC7AA5"/>
    <w:rsid w:val="00FC7ED7"/>
    <w:rsid w:val="00FD00FE"/>
    <w:rsid w:val="00FD0B60"/>
    <w:rsid w:val="00FD0E9E"/>
    <w:rsid w:val="00FD138C"/>
    <w:rsid w:val="00FD1AB0"/>
    <w:rsid w:val="00FD1DEB"/>
    <w:rsid w:val="00FD2E3E"/>
    <w:rsid w:val="00FD3A48"/>
    <w:rsid w:val="00FD465F"/>
    <w:rsid w:val="00FD466F"/>
    <w:rsid w:val="00FD46AB"/>
    <w:rsid w:val="00FD50E3"/>
    <w:rsid w:val="00FD6620"/>
    <w:rsid w:val="00FD6B91"/>
    <w:rsid w:val="00FD6C2E"/>
    <w:rsid w:val="00FD6DBE"/>
    <w:rsid w:val="00FD6DD5"/>
    <w:rsid w:val="00FD72C8"/>
    <w:rsid w:val="00FD7391"/>
    <w:rsid w:val="00FD73C2"/>
    <w:rsid w:val="00FD79CB"/>
    <w:rsid w:val="00FD7EB3"/>
    <w:rsid w:val="00FE0171"/>
    <w:rsid w:val="00FE021A"/>
    <w:rsid w:val="00FE0695"/>
    <w:rsid w:val="00FE0792"/>
    <w:rsid w:val="00FE114B"/>
    <w:rsid w:val="00FE170D"/>
    <w:rsid w:val="00FE1ACC"/>
    <w:rsid w:val="00FE1B15"/>
    <w:rsid w:val="00FE2136"/>
    <w:rsid w:val="00FE3B83"/>
    <w:rsid w:val="00FE3B9B"/>
    <w:rsid w:val="00FE3DD7"/>
    <w:rsid w:val="00FE3E5D"/>
    <w:rsid w:val="00FE3FDB"/>
    <w:rsid w:val="00FE4628"/>
    <w:rsid w:val="00FE475E"/>
    <w:rsid w:val="00FE4DE9"/>
    <w:rsid w:val="00FE53D4"/>
    <w:rsid w:val="00FE54C6"/>
    <w:rsid w:val="00FE5876"/>
    <w:rsid w:val="00FE5C6E"/>
    <w:rsid w:val="00FE5CF2"/>
    <w:rsid w:val="00FE655D"/>
    <w:rsid w:val="00FE663F"/>
    <w:rsid w:val="00FE673F"/>
    <w:rsid w:val="00FE702D"/>
    <w:rsid w:val="00FE7315"/>
    <w:rsid w:val="00FE7414"/>
    <w:rsid w:val="00FE763C"/>
    <w:rsid w:val="00FE79A9"/>
    <w:rsid w:val="00FE7C72"/>
    <w:rsid w:val="00FE7CB4"/>
    <w:rsid w:val="00FF015F"/>
    <w:rsid w:val="00FF0878"/>
    <w:rsid w:val="00FF0A2A"/>
    <w:rsid w:val="00FF102E"/>
    <w:rsid w:val="00FF130B"/>
    <w:rsid w:val="00FF1858"/>
    <w:rsid w:val="00FF1B1F"/>
    <w:rsid w:val="00FF1CE6"/>
    <w:rsid w:val="00FF2075"/>
    <w:rsid w:val="00FF217E"/>
    <w:rsid w:val="00FF21E9"/>
    <w:rsid w:val="00FF2544"/>
    <w:rsid w:val="00FF2652"/>
    <w:rsid w:val="00FF2880"/>
    <w:rsid w:val="00FF300B"/>
    <w:rsid w:val="00FF3267"/>
    <w:rsid w:val="00FF32F5"/>
    <w:rsid w:val="00FF3A37"/>
    <w:rsid w:val="00FF4149"/>
    <w:rsid w:val="00FF4591"/>
    <w:rsid w:val="00FF4B91"/>
    <w:rsid w:val="00FF52AA"/>
    <w:rsid w:val="00FF6214"/>
    <w:rsid w:val="00FF6319"/>
    <w:rsid w:val="00FF6404"/>
    <w:rsid w:val="00FF655A"/>
    <w:rsid w:val="00FF65CE"/>
    <w:rsid w:val="00FF6AC2"/>
    <w:rsid w:val="00FF6AFC"/>
    <w:rsid w:val="00FF6B1F"/>
    <w:rsid w:val="00FF75FC"/>
    <w:rsid w:val="0127E460"/>
    <w:rsid w:val="022EB78A"/>
    <w:rsid w:val="02F3298D"/>
    <w:rsid w:val="031A3655"/>
    <w:rsid w:val="04456C92"/>
    <w:rsid w:val="0457F1AC"/>
    <w:rsid w:val="048C5BB8"/>
    <w:rsid w:val="0559DB08"/>
    <w:rsid w:val="0622FC25"/>
    <w:rsid w:val="06685888"/>
    <w:rsid w:val="06991B9F"/>
    <w:rsid w:val="06BDC77C"/>
    <w:rsid w:val="07ADE782"/>
    <w:rsid w:val="07DAE6D4"/>
    <w:rsid w:val="07F38F28"/>
    <w:rsid w:val="08953719"/>
    <w:rsid w:val="0942E104"/>
    <w:rsid w:val="097D7D31"/>
    <w:rsid w:val="09BE3CA2"/>
    <w:rsid w:val="0ABEC774"/>
    <w:rsid w:val="0AF003F4"/>
    <w:rsid w:val="0B750810"/>
    <w:rsid w:val="0B8AD3E7"/>
    <w:rsid w:val="0BCB5670"/>
    <w:rsid w:val="0CA3BA1E"/>
    <w:rsid w:val="0DA003E3"/>
    <w:rsid w:val="0DB2006A"/>
    <w:rsid w:val="0F041727"/>
    <w:rsid w:val="0F139289"/>
    <w:rsid w:val="1068137D"/>
    <w:rsid w:val="12EA0F10"/>
    <w:rsid w:val="13A8335C"/>
    <w:rsid w:val="13CF0D2F"/>
    <w:rsid w:val="1408298E"/>
    <w:rsid w:val="1451DE55"/>
    <w:rsid w:val="1500A1DE"/>
    <w:rsid w:val="1532011F"/>
    <w:rsid w:val="153E17D6"/>
    <w:rsid w:val="1564F191"/>
    <w:rsid w:val="15CA3142"/>
    <w:rsid w:val="1614E7F7"/>
    <w:rsid w:val="16CF63AB"/>
    <w:rsid w:val="16EDAFA3"/>
    <w:rsid w:val="17EEC3BD"/>
    <w:rsid w:val="18BF2634"/>
    <w:rsid w:val="18F350C7"/>
    <w:rsid w:val="19529F14"/>
    <w:rsid w:val="1955D152"/>
    <w:rsid w:val="195AABDE"/>
    <w:rsid w:val="19E25F70"/>
    <w:rsid w:val="19E528E0"/>
    <w:rsid w:val="1A198158"/>
    <w:rsid w:val="1A596FD2"/>
    <w:rsid w:val="1A6DA2BE"/>
    <w:rsid w:val="1B207C18"/>
    <w:rsid w:val="1B2EB532"/>
    <w:rsid w:val="1B2EEA4A"/>
    <w:rsid w:val="1B375EE2"/>
    <w:rsid w:val="1B3DF6A8"/>
    <w:rsid w:val="1B55ECB3"/>
    <w:rsid w:val="1BC73CB2"/>
    <w:rsid w:val="1BF8265F"/>
    <w:rsid w:val="1CC1F77A"/>
    <w:rsid w:val="1CDF29EB"/>
    <w:rsid w:val="1DCB1E88"/>
    <w:rsid w:val="1E177389"/>
    <w:rsid w:val="1E5AE3D7"/>
    <w:rsid w:val="1EA39910"/>
    <w:rsid w:val="1ED182B1"/>
    <w:rsid w:val="1F992E04"/>
    <w:rsid w:val="21B4B8B2"/>
    <w:rsid w:val="21D9B05E"/>
    <w:rsid w:val="2221BA4D"/>
    <w:rsid w:val="224DA4B5"/>
    <w:rsid w:val="22636D66"/>
    <w:rsid w:val="22AEDE94"/>
    <w:rsid w:val="22E629F1"/>
    <w:rsid w:val="235C7BAB"/>
    <w:rsid w:val="2411DC5B"/>
    <w:rsid w:val="24132A4F"/>
    <w:rsid w:val="242042F2"/>
    <w:rsid w:val="246A2915"/>
    <w:rsid w:val="24BB6174"/>
    <w:rsid w:val="24D11373"/>
    <w:rsid w:val="26758CA0"/>
    <w:rsid w:val="269A17CC"/>
    <w:rsid w:val="27602468"/>
    <w:rsid w:val="2873B4CD"/>
    <w:rsid w:val="289C7A6C"/>
    <w:rsid w:val="2941906C"/>
    <w:rsid w:val="2952CCBF"/>
    <w:rsid w:val="297E4F81"/>
    <w:rsid w:val="29C78E9E"/>
    <w:rsid w:val="2A2EFBE7"/>
    <w:rsid w:val="2B321C0D"/>
    <w:rsid w:val="2B7621FD"/>
    <w:rsid w:val="2B9949C1"/>
    <w:rsid w:val="2BCA1F10"/>
    <w:rsid w:val="2CDC2558"/>
    <w:rsid w:val="2CFF5DF3"/>
    <w:rsid w:val="2DB8AAC9"/>
    <w:rsid w:val="2E875102"/>
    <w:rsid w:val="2FE1D1C9"/>
    <w:rsid w:val="2FE22594"/>
    <w:rsid w:val="308642BF"/>
    <w:rsid w:val="30B21601"/>
    <w:rsid w:val="31DED018"/>
    <w:rsid w:val="326A75D7"/>
    <w:rsid w:val="32CE40EE"/>
    <w:rsid w:val="33159433"/>
    <w:rsid w:val="33493BCD"/>
    <w:rsid w:val="33E7035A"/>
    <w:rsid w:val="33FF8318"/>
    <w:rsid w:val="3436BE7C"/>
    <w:rsid w:val="34B1523A"/>
    <w:rsid w:val="3533E574"/>
    <w:rsid w:val="353E9A78"/>
    <w:rsid w:val="35AE7C24"/>
    <w:rsid w:val="35CEA97F"/>
    <w:rsid w:val="36184C1F"/>
    <w:rsid w:val="3699D21B"/>
    <w:rsid w:val="36DC801C"/>
    <w:rsid w:val="375DFFC3"/>
    <w:rsid w:val="377C4BDE"/>
    <w:rsid w:val="3810238A"/>
    <w:rsid w:val="38BEB690"/>
    <w:rsid w:val="3A22677F"/>
    <w:rsid w:val="3A9ADD13"/>
    <w:rsid w:val="3AA87A83"/>
    <w:rsid w:val="3AE6EDFB"/>
    <w:rsid w:val="3B999B40"/>
    <w:rsid w:val="3BBFF883"/>
    <w:rsid w:val="3C1AA669"/>
    <w:rsid w:val="3C1F6BC6"/>
    <w:rsid w:val="3C82090B"/>
    <w:rsid w:val="3C86ADE2"/>
    <w:rsid w:val="3CF5215C"/>
    <w:rsid w:val="3D185667"/>
    <w:rsid w:val="3D35F0E5"/>
    <w:rsid w:val="3D492D05"/>
    <w:rsid w:val="3DC3400D"/>
    <w:rsid w:val="3E812FE1"/>
    <w:rsid w:val="3EA5A84C"/>
    <w:rsid w:val="3FAC8070"/>
    <w:rsid w:val="3FF9FA8A"/>
    <w:rsid w:val="40971B7D"/>
    <w:rsid w:val="40EE2085"/>
    <w:rsid w:val="40F5FBAE"/>
    <w:rsid w:val="415E2393"/>
    <w:rsid w:val="416F2C6D"/>
    <w:rsid w:val="4195AC41"/>
    <w:rsid w:val="4197D2C5"/>
    <w:rsid w:val="41B5F737"/>
    <w:rsid w:val="43617180"/>
    <w:rsid w:val="438AF3C5"/>
    <w:rsid w:val="4392E218"/>
    <w:rsid w:val="43A799CC"/>
    <w:rsid w:val="442A279A"/>
    <w:rsid w:val="45CD0CA2"/>
    <w:rsid w:val="469581DB"/>
    <w:rsid w:val="469EEDDF"/>
    <w:rsid w:val="474955BD"/>
    <w:rsid w:val="4773C5FE"/>
    <w:rsid w:val="479C1173"/>
    <w:rsid w:val="480A818D"/>
    <w:rsid w:val="4871CFEC"/>
    <w:rsid w:val="48DADB9E"/>
    <w:rsid w:val="495AC8A3"/>
    <w:rsid w:val="4A91659C"/>
    <w:rsid w:val="4ADC99DA"/>
    <w:rsid w:val="4AE56C4B"/>
    <w:rsid w:val="4B08F119"/>
    <w:rsid w:val="4BA1C193"/>
    <w:rsid w:val="4D15B173"/>
    <w:rsid w:val="4E39345F"/>
    <w:rsid w:val="4EA13AE2"/>
    <w:rsid w:val="4EBE36D9"/>
    <w:rsid w:val="4F7B3CBC"/>
    <w:rsid w:val="50289C38"/>
    <w:rsid w:val="5100F975"/>
    <w:rsid w:val="51E38D8D"/>
    <w:rsid w:val="523BBDDF"/>
    <w:rsid w:val="5241E6F5"/>
    <w:rsid w:val="52B26B83"/>
    <w:rsid w:val="52DFDFBA"/>
    <w:rsid w:val="532DE788"/>
    <w:rsid w:val="53E7DDED"/>
    <w:rsid w:val="547EB070"/>
    <w:rsid w:val="54930002"/>
    <w:rsid w:val="54A3E863"/>
    <w:rsid w:val="54FD485F"/>
    <w:rsid w:val="55659209"/>
    <w:rsid w:val="556D8DDE"/>
    <w:rsid w:val="55C073D8"/>
    <w:rsid w:val="56C572B6"/>
    <w:rsid w:val="56F987D4"/>
    <w:rsid w:val="57091F9F"/>
    <w:rsid w:val="5791D74E"/>
    <w:rsid w:val="57B1E2AC"/>
    <w:rsid w:val="580FCD5A"/>
    <w:rsid w:val="58568A60"/>
    <w:rsid w:val="590A550D"/>
    <w:rsid w:val="59147F52"/>
    <w:rsid w:val="5A5C99B3"/>
    <w:rsid w:val="5A7171DD"/>
    <w:rsid w:val="5AB04FB3"/>
    <w:rsid w:val="5B7F6F58"/>
    <w:rsid w:val="5BC6F07B"/>
    <w:rsid w:val="5C72C4B9"/>
    <w:rsid w:val="5D59FBD4"/>
    <w:rsid w:val="5DA71A5E"/>
    <w:rsid w:val="5E1C5CB5"/>
    <w:rsid w:val="5E94369F"/>
    <w:rsid w:val="5ED99B56"/>
    <w:rsid w:val="6017B1C0"/>
    <w:rsid w:val="6163A9D1"/>
    <w:rsid w:val="61740AAD"/>
    <w:rsid w:val="61B79CCA"/>
    <w:rsid w:val="6251A533"/>
    <w:rsid w:val="626518CA"/>
    <w:rsid w:val="62B6261A"/>
    <w:rsid w:val="6346C9E7"/>
    <w:rsid w:val="63C24873"/>
    <w:rsid w:val="64B2639D"/>
    <w:rsid w:val="6527B875"/>
    <w:rsid w:val="65D6FED9"/>
    <w:rsid w:val="667F29E5"/>
    <w:rsid w:val="66928E11"/>
    <w:rsid w:val="66F3F302"/>
    <w:rsid w:val="67AD5480"/>
    <w:rsid w:val="684ACEF9"/>
    <w:rsid w:val="6878A069"/>
    <w:rsid w:val="68CD33B8"/>
    <w:rsid w:val="68E9C6E5"/>
    <w:rsid w:val="692CF07A"/>
    <w:rsid w:val="69EA1EC5"/>
    <w:rsid w:val="6A0222CC"/>
    <w:rsid w:val="6A09F21A"/>
    <w:rsid w:val="6A4F1E66"/>
    <w:rsid w:val="6A8736F2"/>
    <w:rsid w:val="6AB0C9EB"/>
    <w:rsid w:val="6B4832F9"/>
    <w:rsid w:val="6B81BEB4"/>
    <w:rsid w:val="6BB11125"/>
    <w:rsid w:val="6C5D4843"/>
    <w:rsid w:val="6CECBBD1"/>
    <w:rsid w:val="6D381DEC"/>
    <w:rsid w:val="6D80BD46"/>
    <w:rsid w:val="6DDE6753"/>
    <w:rsid w:val="6E8DEE5E"/>
    <w:rsid w:val="6EB138E6"/>
    <w:rsid w:val="6ED4CC71"/>
    <w:rsid w:val="6F1A73FE"/>
    <w:rsid w:val="6F605A43"/>
    <w:rsid w:val="6F61ADEC"/>
    <w:rsid w:val="6F756B21"/>
    <w:rsid w:val="6FB9080E"/>
    <w:rsid w:val="6FDDAC9F"/>
    <w:rsid w:val="700E63DE"/>
    <w:rsid w:val="7016AAD6"/>
    <w:rsid w:val="715237B5"/>
    <w:rsid w:val="7154C998"/>
    <w:rsid w:val="71750E45"/>
    <w:rsid w:val="722977F4"/>
    <w:rsid w:val="72F5026A"/>
    <w:rsid w:val="73016AD1"/>
    <w:rsid w:val="735D06D7"/>
    <w:rsid w:val="7520886C"/>
    <w:rsid w:val="764A6349"/>
    <w:rsid w:val="764F78F0"/>
    <w:rsid w:val="76791E2C"/>
    <w:rsid w:val="77183F08"/>
    <w:rsid w:val="776B0EDE"/>
    <w:rsid w:val="77CEBA2E"/>
    <w:rsid w:val="7824023D"/>
    <w:rsid w:val="782D17A0"/>
    <w:rsid w:val="782E6275"/>
    <w:rsid w:val="78561A85"/>
    <w:rsid w:val="7873955C"/>
    <w:rsid w:val="787F911B"/>
    <w:rsid w:val="7A8127CA"/>
    <w:rsid w:val="7AF720D2"/>
    <w:rsid w:val="7C51A196"/>
    <w:rsid w:val="7C669BEA"/>
    <w:rsid w:val="7CA87DCA"/>
    <w:rsid w:val="7DD361F5"/>
    <w:rsid w:val="7F123FC6"/>
    <w:rsid w:val="7F72B5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55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PMingLiU" w:ascii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06D"/>
    <w:pPr>
      <w:widowControl/>
    </w:pPr>
    <w:rPr>
      <w:rFonts w:ascii="Arial" w:eastAsia="Arial" w:hAnsi="Arial" w:cs="Arial"/>
    </w:rPr>
  </w:style>
  <w:style w:type="paragraph" w:styleId="Heading1">
    <w:name w:val="heading 1"/>
    <w:basedOn w:val="Normal"/>
    <w:uiPriority w:val="9"/>
    <w:qFormat/>
    <w:rsid w:val="00D62B71"/>
    <w:pPr>
      <w:ind w:left="720" w:hanging="720"/>
      <w:outlineLvl w:val="0"/>
    </w:pPr>
    <w:rPr>
      <w:b/>
      <w:bCs/>
      <w:sz w:val="28"/>
      <w:szCs w:val="28"/>
    </w:rPr>
  </w:style>
  <w:style w:type="paragraph" w:styleId="Heading2">
    <w:name w:val="heading 2"/>
    <w:basedOn w:val="Normal"/>
    <w:uiPriority w:val="9"/>
    <w:unhideWhenUsed/>
    <w:qFormat/>
    <w:pPr>
      <w:ind w:left="1056" w:hanging="936"/>
      <w:outlineLvl w:val="1"/>
    </w:pPr>
    <w:rPr>
      <w:b/>
      <w:bCs/>
      <w:sz w:val="24"/>
      <w:szCs w:val="24"/>
      <w:u w:val="single" w:color="000000"/>
    </w:rPr>
  </w:style>
  <w:style w:type="paragraph" w:styleId="Heading3">
    <w:name w:val="heading 3"/>
    <w:basedOn w:val="Normal"/>
    <w:uiPriority w:val="9"/>
    <w:unhideWhenUsed/>
    <w:qFormat/>
    <w:rsid w:val="00CC3763"/>
    <w:pPr>
      <w:ind w:left="900" w:hanging="900"/>
      <w:outlineLvl w:val="2"/>
    </w:pPr>
    <w:rPr>
      <w:b/>
      <w:bCs/>
    </w:rPr>
  </w:style>
  <w:style w:type="paragraph" w:styleId="Heading4">
    <w:name w:val="heading 4"/>
    <w:basedOn w:val="Normal"/>
    <w:next w:val="Normal"/>
    <w:link w:val="Heading4Char"/>
    <w:uiPriority w:val="9"/>
    <w:unhideWhenUsed/>
    <w:qFormat/>
    <w:rsid w:val="00AD35DB"/>
    <w:pPr>
      <w:keepNext/>
      <w:keepLines/>
      <w:tabs>
        <w:tab w:val="left" w:pos="1440"/>
      </w:tabs>
      <w:spacing w:before="40"/>
      <w:ind w:left="1440" w:hanging="1440"/>
      <w:outlineLvl w:val="3"/>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C7606D"/>
    <w:pPr>
      <w:tabs>
        <w:tab w:val="right" w:leader="dot" w:pos="9350"/>
      </w:tabs>
      <w:spacing w:before="265"/>
      <w:ind w:left="720" w:hanging="720"/>
    </w:pPr>
    <w:rPr>
      <w:b/>
      <w:bCs/>
      <w:noProof/>
    </w:rPr>
  </w:style>
  <w:style w:type="paragraph" w:styleId="TOC2">
    <w:name w:val="toc 2"/>
    <w:basedOn w:val="Normal"/>
    <w:uiPriority w:val="39"/>
    <w:qFormat/>
    <w:pPr>
      <w:spacing w:before="26"/>
      <w:ind w:left="1199" w:hanging="505"/>
    </w:pPr>
  </w:style>
  <w:style w:type="paragraph" w:styleId="TOC3">
    <w:name w:val="toc 3"/>
    <w:basedOn w:val="Normal"/>
    <w:uiPriority w:val="39"/>
    <w:qFormat/>
    <w:pPr>
      <w:spacing w:before="25"/>
      <w:ind w:left="1199"/>
    </w:pPr>
  </w:style>
  <w:style w:type="paragraph" w:styleId="BodyText">
    <w:name w:val="Body Text"/>
    <w:basedOn w:val="Normal"/>
    <w:link w:val="BodyTextChar"/>
    <w:uiPriority w:val="1"/>
    <w:qFormat/>
  </w:style>
  <w:style w:type="paragraph" w:styleId="Title">
    <w:name w:val="Title"/>
    <w:basedOn w:val="Normal"/>
    <w:uiPriority w:val="10"/>
    <w:qFormat/>
    <w:pPr>
      <w:spacing w:before="60"/>
      <w:ind w:left="120" w:right="1647"/>
    </w:pPr>
    <w:rPr>
      <w:b/>
      <w:bCs/>
      <w:sz w:val="44"/>
      <w:szCs w:val="44"/>
    </w:rPr>
  </w:style>
  <w:style w:type="paragraph" w:styleId="ListParagraph">
    <w:name w:val="List Paragraph"/>
    <w:basedOn w:val="Normal"/>
    <w:uiPriority w:val="1"/>
    <w:qFormat/>
    <w:pPr>
      <w:ind w:left="854" w:hanging="735"/>
    </w:pPr>
  </w:style>
  <w:style w:type="paragraph" w:customStyle="1" w:styleId="TableParagraph">
    <w:name w:val="Table Paragraph"/>
    <w:basedOn w:val="Normal"/>
    <w:uiPriority w:val="1"/>
    <w:qFormat/>
    <w:pPr>
      <w:spacing w:before="17"/>
      <w:jc w:val="center"/>
    </w:pPr>
  </w:style>
  <w:style w:type="paragraph" w:styleId="BalloonText">
    <w:name w:val="Balloon Text"/>
    <w:basedOn w:val="Normal"/>
    <w:link w:val="BalloonTextChar"/>
    <w:uiPriority w:val="99"/>
    <w:semiHidden/>
    <w:unhideWhenUsed/>
    <w:rsid w:val="00C17C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C69"/>
    <w:rPr>
      <w:rFonts w:ascii="Segoe UI" w:eastAsia="Arial" w:hAnsi="Segoe UI" w:cs="Segoe UI"/>
      <w:sz w:val="18"/>
      <w:szCs w:val="18"/>
    </w:rPr>
  </w:style>
  <w:style w:type="paragraph" w:styleId="Header">
    <w:name w:val="header"/>
    <w:basedOn w:val="Normal"/>
    <w:link w:val="HeaderChar"/>
    <w:uiPriority w:val="99"/>
    <w:unhideWhenUsed/>
    <w:rsid w:val="00C17C69"/>
    <w:pPr>
      <w:tabs>
        <w:tab w:val="center" w:pos="4680"/>
        <w:tab w:val="right" w:pos="9360"/>
      </w:tabs>
    </w:pPr>
  </w:style>
  <w:style w:type="character" w:customStyle="1" w:styleId="HeaderChar">
    <w:name w:val="Header Char"/>
    <w:basedOn w:val="DefaultParagraphFont"/>
    <w:link w:val="Header"/>
    <w:uiPriority w:val="99"/>
    <w:rsid w:val="00C17C69"/>
    <w:rPr>
      <w:rFonts w:ascii="Arial" w:eastAsia="Arial" w:hAnsi="Arial" w:cs="Arial"/>
    </w:rPr>
  </w:style>
  <w:style w:type="paragraph" w:styleId="Footer">
    <w:name w:val="footer"/>
    <w:basedOn w:val="Normal"/>
    <w:link w:val="FooterChar"/>
    <w:uiPriority w:val="99"/>
    <w:unhideWhenUsed/>
    <w:rsid w:val="00C17C69"/>
    <w:pPr>
      <w:tabs>
        <w:tab w:val="center" w:pos="4680"/>
        <w:tab w:val="right" w:pos="9360"/>
      </w:tabs>
    </w:pPr>
  </w:style>
  <w:style w:type="character" w:customStyle="1" w:styleId="FooterChar">
    <w:name w:val="Footer Char"/>
    <w:basedOn w:val="DefaultParagraphFont"/>
    <w:link w:val="Footer"/>
    <w:uiPriority w:val="99"/>
    <w:rsid w:val="00C17C69"/>
    <w:rPr>
      <w:rFonts w:ascii="Arial" w:eastAsia="Arial" w:hAnsi="Arial" w:cs="Arial"/>
    </w:rPr>
  </w:style>
  <w:style w:type="character" w:styleId="CommentReference">
    <w:name w:val="annotation reference"/>
    <w:basedOn w:val="DefaultParagraphFont"/>
    <w:uiPriority w:val="99"/>
    <w:unhideWhenUsed/>
    <w:rsid w:val="00574CB1"/>
    <w:rPr>
      <w:sz w:val="16"/>
      <w:szCs w:val="16"/>
    </w:rPr>
  </w:style>
  <w:style w:type="paragraph" w:styleId="CommentText">
    <w:name w:val="annotation text"/>
    <w:basedOn w:val="Normal"/>
    <w:link w:val="CommentTextChar"/>
    <w:uiPriority w:val="99"/>
    <w:unhideWhenUsed/>
    <w:rsid w:val="00574CB1"/>
    <w:rPr>
      <w:sz w:val="20"/>
      <w:szCs w:val="20"/>
    </w:rPr>
  </w:style>
  <w:style w:type="character" w:customStyle="1" w:styleId="CommentTextChar">
    <w:name w:val="Comment Text Char"/>
    <w:basedOn w:val="DefaultParagraphFont"/>
    <w:link w:val="CommentText"/>
    <w:uiPriority w:val="99"/>
    <w:rsid w:val="00574CB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74CB1"/>
    <w:rPr>
      <w:b/>
      <w:bCs/>
    </w:rPr>
  </w:style>
  <w:style w:type="character" w:customStyle="1" w:styleId="CommentSubjectChar">
    <w:name w:val="Comment Subject Char"/>
    <w:basedOn w:val="CommentTextChar"/>
    <w:link w:val="CommentSubject"/>
    <w:uiPriority w:val="99"/>
    <w:semiHidden/>
    <w:rsid w:val="00574CB1"/>
    <w:rPr>
      <w:rFonts w:ascii="Arial" w:eastAsia="Arial" w:hAnsi="Arial" w:cs="Arial"/>
      <w:b/>
      <w:bCs/>
      <w:sz w:val="20"/>
      <w:szCs w:val="20"/>
    </w:rPr>
  </w:style>
  <w:style w:type="paragraph" w:customStyle="1" w:styleId="Heading-FrontTOC">
    <w:name w:val="Heading-Front (TOC)"/>
    <w:basedOn w:val="Heading1"/>
    <w:next w:val="BodyText"/>
    <w:qFormat/>
    <w:rsid w:val="002E7835"/>
    <w:pPr>
      <w:keepNext/>
      <w:tabs>
        <w:tab w:val="left" w:pos="540"/>
        <w:tab w:val="left" w:pos="2160"/>
      </w:tabs>
      <w:autoSpaceDE/>
      <w:autoSpaceDN/>
      <w:spacing w:after="480" w:line="264" w:lineRule="auto"/>
      <w:ind w:left="0" w:firstLine="0"/>
      <w:jc w:val="center"/>
    </w:pPr>
    <w:rPr>
      <w:rFonts w:eastAsia="Times New Roman" w:cs="Times New Roman"/>
      <w:kern w:val="28"/>
      <w:szCs w:val="22"/>
    </w:rPr>
  </w:style>
  <w:style w:type="character" w:styleId="Mention">
    <w:name w:val="Mention"/>
    <w:basedOn w:val="DefaultParagraphFont"/>
    <w:uiPriority w:val="99"/>
    <w:unhideWhenUsed/>
    <w:rsid w:val="009E02F1"/>
    <w:rPr>
      <w:color w:val="2B579A"/>
      <w:shd w:val="clear" w:color="auto" w:fill="E1DFDD"/>
    </w:rPr>
  </w:style>
  <w:style w:type="character" w:styleId="UnresolvedMention">
    <w:name w:val="Unresolved Mention"/>
    <w:basedOn w:val="DefaultParagraphFont"/>
    <w:uiPriority w:val="99"/>
    <w:unhideWhenUsed/>
    <w:rsid w:val="00B6342C"/>
    <w:rPr>
      <w:color w:val="605E5C"/>
      <w:shd w:val="clear" w:color="auto" w:fill="E1DFDD"/>
    </w:rPr>
  </w:style>
  <w:style w:type="paragraph" w:styleId="Revision">
    <w:name w:val="Revision"/>
    <w:hidden/>
    <w:uiPriority w:val="99"/>
    <w:semiHidden/>
    <w:rsid w:val="005D48B3"/>
    <w:pPr>
      <w:widowControl/>
      <w:autoSpaceDE/>
      <w:autoSpaceDN/>
    </w:pPr>
    <w:rPr>
      <w:rFonts w:ascii="Arial" w:eastAsia="Arial" w:hAnsi="Arial" w:cs="Arial"/>
    </w:rPr>
  </w:style>
  <w:style w:type="character" w:styleId="LineNumber">
    <w:name w:val="line number"/>
    <w:basedOn w:val="DefaultParagraphFont"/>
    <w:uiPriority w:val="99"/>
    <w:semiHidden/>
    <w:unhideWhenUsed/>
    <w:rsid w:val="0073718C"/>
  </w:style>
  <w:style w:type="table" w:styleId="TableGrid">
    <w:name w:val="Table Grid"/>
    <w:basedOn w:val="TableNormal"/>
    <w:uiPriority w:val="59"/>
    <w:rsid w:val="0000155C"/>
    <w:tblPr/>
  </w:style>
  <w:style w:type="character" w:customStyle="1" w:styleId="BodyTextChar">
    <w:name w:val="Body Text Char"/>
    <w:basedOn w:val="DefaultParagraphFont"/>
    <w:link w:val="BodyText"/>
    <w:uiPriority w:val="1"/>
    <w:rsid w:val="0000155C"/>
    <w:rPr>
      <w:rFonts w:ascii="Arial" w:eastAsia="Arial" w:hAnsi="Arial" w:cs="Arial"/>
    </w:rPr>
  </w:style>
  <w:style w:type="paragraph" w:styleId="TOCHeading">
    <w:name w:val="TOC Heading"/>
    <w:basedOn w:val="Heading1"/>
    <w:next w:val="Normal"/>
    <w:uiPriority w:val="39"/>
    <w:unhideWhenUsed/>
    <w:qFormat/>
    <w:rsid w:val="00716069"/>
    <w:pPr>
      <w:keepNext/>
      <w:keepLines/>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716069"/>
    <w:pPr>
      <w:autoSpaceDE/>
      <w:autoSpaceDN/>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716069"/>
    <w:pPr>
      <w:autoSpaceDE/>
      <w:autoSpaceDN/>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716069"/>
    <w:pPr>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716069"/>
    <w:pPr>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716069"/>
    <w:pPr>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16069"/>
    <w:pPr>
      <w:autoSpaceDE/>
      <w:autoSpaceDN/>
      <w:spacing w:after="100" w:line="259" w:lineRule="auto"/>
      <w:ind w:left="1760"/>
    </w:pPr>
    <w:rPr>
      <w:rFonts w:asciiTheme="minorHAnsi" w:eastAsiaTheme="minorEastAsia" w:hAnsiTheme="minorHAnsi" w:cstheme="minorBidi"/>
    </w:rPr>
  </w:style>
  <w:style w:type="character" w:styleId="Hyperlink">
    <w:name w:val="Hyperlink"/>
    <w:basedOn w:val="DefaultParagraphFont"/>
    <w:uiPriority w:val="99"/>
    <w:unhideWhenUsed/>
    <w:rsid w:val="00716069"/>
    <w:rPr>
      <w:color w:val="0000FF" w:themeColor="hyperlink"/>
      <w:u w:val="single"/>
    </w:rPr>
  </w:style>
  <w:style w:type="paragraph" w:styleId="FootnoteText">
    <w:name w:val="footnote text"/>
    <w:basedOn w:val="Normal"/>
    <w:link w:val="FootnoteTextChar"/>
    <w:uiPriority w:val="99"/>
    <w:unhideWhenUsed/>
    <w:rsid w:val="005C6295"/>
    <w:rPr>
      <w:sz w:val="20"/>
      <w:szCs w:val="20"/>
    </w:rPr>
  </w:style>
  <w:style w:type="character" w:customStyle="1" w:styleId="FootnoteTextChar">
    <w:name w:val="Footnote Text Char"/>
    <w:basedOn w:val="DefaultParagraphFont"/>
    <w:link w:val="FootnoteText"/>
    <w:uiPriority w:val="99"/>
    <w:rsid w:val="005C6295"/>
    <w:rPr>
      <w:rFonts w:ascii="Arial" w:eastAsia="Arial" w:hAnsi="Arial" w:cs="Arial"/>
      <w:sz w:val="20"/>
      <w:szCs w:val="20"/>
    </w:rPr>
  </w:style>
  <w:style w:type="character" w:styleId="FootnoteReference">
    <w:name w:val="footnote reference"/>
    <w:basedOn w:val="DefaultParagraphFont"/>
    <w:uiPriority w:val="99"/>
    <w:semiHidden/>
    <w:unhideWhenUsed/>
    <w:rsid w:val="005C6295"/>
    <w:rPr>
      <w:vertAlign w:val="superscript"/>
    </w:rPr>
  </w:style>
  <w:style w:type="character" w:customStyle="1" w:styleId="Heading4Char">
    <w:name w:val="Heading 4 Char"/>
    <w:basedOn w:val="DefaultParagraphFont"/>
    <w:link w:val="Heading4"/>
    <w:uiPriority w:val="9"/>
    <w:rsid w:val="00AD35DB"/>
    <w:rPr>
      <w:rFonts w:ascii="Arial" w:hAnsi="Arial" w:eastAsiaTheme="majorEastAsia" w:cs="Arial"/>
      <w:i/>
      <w:iCs/>
    </w:rPr>
  </w:style>
  <w:style w:type="paragraph" w:styleId="Caption">
    <w:name w:val="caption"/>
    <w:basedOn w:val="Normal"/>
    <w:next w:val="Normal"/>
    <w:uiPriority w:val="35"/>
    <w:unhideWhenUsed/>
    <w:qFormat/>
    <w:rsid w:val="00C532D3"/>
    <w:pPr>
      <w:spacing w:after="200"/>
    </w:pPr>
    <w:rPr>
      <w:i/>
      <w:iCs/>
      <w:color w:val="1F497D" w:themeColor="text2"/>
      <w:sz w:val="18"/>
      <w:szCs w:val="18"/>
    </w:rPr>
  </w:style>
  <w:style w:type="paragraph" w:styleId="TableofFigures">
    <w:name w:val="table of figures"/>
    <w:basedOn w:val="Normal"/>
    <w:next w:val="Normal"/>
    <w:uiPriority w:val="99"/>
    <w:unhideWhenUsed/>
    <w:qFormat/>
    <w:rsid w:val="003902D1"/>
    <w:pPr>
      <w:tabs>
        <w:tab w:val="left" w:pos="1440"/>
        <w:tab w:val="right" w:leader="dot" w:pos="9350"/>
      </w:tabs>
      <w:ind w:left="1440" w:hanging="1440"/>
    </w:pPr>
    <w:rPr>
      <w:noProof/>
    </w:rPr>
  </w:style>
  <w:style w:type="character" w:styleId="FollowedHyperlink">
    <w:name w:val="FollowedHyperlink"/>
    <w:basedOn w:val="DefaultParagraphFont"/>
    <w:uiPriority w:val="99"/>
    <w:semiHidden/>
    <w:unhideWhenUsed/>
    <w:rsid w:val="00C75F0D"/>
    <w:rPr>
      <w:color w:val="800080" w:themeColor="followedHyperlink"/>
      <w:u w:val="single"/>
    </w:rPr>
  </w:style>
  <w:style w:type="paragraph" w:customStyle="1" w:styleId="TableHeading">
    <w:name w:val="Table_Heading"/>
    <w:basedOn w:val="Caption"/>
    <w:qFormat/>
    <w:rsid w:val="00402B3D"/>
    <w:pPr>
      <w:keepNext/>
      <w:tabs>
        <w:tab w:val="left" w:pos="1260"/>
      </w:tabs>
      <w:ind w:left="1260" w:hanging="1260"/>
    </w:pPr>
    <w:rPr>
      <w:b/>
      <w:bCs/>
      <w:i w:val="0"/>
      <w:iCs w:val="0"/>
      <w:color w:val="auto"/>
      <w:sz w:val="22"/>
      <w:szCs w:val="22"/>
    </w:rPr>
  </w:style>
  <w:style w:type="table" w:customStyle="1" w:styleId="TableGrid1">
    <w:name w:val="Table Grid1"/>
    <w:basedOn w:val="TableNormal"/>
    <w:next w:val="TableGrid"/>
    <w:uiPriority w:val="59"/>
    <w:rsid w:val="00402B3D"/>
    <w:pPr>
      <w:widowControl/>
      <w:autoSpaceDE/>
      <w:autoSpaceDN/>
    </w:pPr>
    <w:rPr>
      <w:rFonts w:ascii="Times New Roman" w:eastAsia="Times New Roman" w:hAnsi="Times New Roman" w:cs="Times New Roman"/>
      <w:sz w:val="20"/>
      <w:szCs w:val="20"/>
    </w:rPr>
    <w:tblPr/>
  </w:style>
  <w:style w:type="paragraph" w:customStyle="1" w:styleId="Default">
    <w:name w:val="Default"/>
    <w:rsid w:val="002E751D"/>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image" Target="media/image2.png" /><Relationship Id="rId19" Type="http://schemas.openxmlformats.org/officeDocument/2006/relationships/image" Target="media/image3.emf" /><Relationship Id="rId2" Type="http://schemas.openxmlformats.org/officeDocument/2006/relationships/settings" Target="settings.xml" /><Relationship Id="rId20" Type="http://schemas.openxmlformats.org/officeDocument/2006/relationships/image" Target="media/image4.emf" /><Relationship Id="rId21" Type="http://schemas.openxmlformats.org/officeDocument/2006/relationships/image" Target="media/image5.png" /><Relationship Id="rId22" Type="http://schemas.openxmlformats.org/officeDocument/2006/relationships/image" Target="media/image6.emf" /><Relationship Id="rId23" Type="http://schemas.openxmlformats.org/officeDocument/2006/relationships/image" Target="media/image7.png" /><Relationship Id="rId24" Type="http://schemas.openxmlformats.org/officeDocument/2006/relationships/header" Target="header6.xml" /><Relationship Id="rId25" Type="http://schemas.openxmlformats.org/officeDocument/2006/relationships/footer" Target="footer4.xml" /><Relationship Id="rId26" Type="http://schemas.openxmlformats.org/officeDocument/2006/relationships/hyperlink" Target="https://www.eia.gov/electricity/data/eia860m/archive/xls/december_generator2023.xlsx" TargetMode="External" /><Relationship Id="rId27" Type="http://schemas.openxmlformats.org/officeDocument/2006/relationships/header" Target="header7.xml" /><Relationship Id="rId28" Type="http://schemas.openxmlformats.org/officeDocument/2006/relationships/header" Target="header8.xml" /><Relationship Id="rId29" Type="http://schemas.openxmlformats.org/officeDocument/2006/relationships/footer" Target="footer5.xml" /><Relationship Id="rId3" Type="http://schemas.openxmlformats.org/officeDocument/2006/relationships/webSettings" Target="webSettings.xml" /><Relationship Id="rId30" Type="http://schemas.openxmlformats.org/officeDocument/2006/relationships/header" Target="header9.xml" /><Relationship Id="rId31" Type="http://schemas.openxmlformats.org/officeDocument/2006/relationships/footer" Target="footer6.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8/plaws/publ67/PLAW-118publ67.pdf" TargetMode="External" /><Relationship Id="rId2" Type="http://schemas.openxmlformats.org/officeDocument/2006/relationships/hyperlink" Target="https://lumivero.com/products/at-risk/" TargetMode="External" /><Relationship Id="rId3" Type="http://schemas.openxmlformats.org/officeDocument/2006/relationships/hyperlink" Target="https://www.federalregister.gov/documents/2005/01/14/05-769/final-information-quality-bulletin-for-peer-review" TargetMode="External" /><Relationship Id="rId4" Type="http://schemas.openxmlformats.org/officeDocument/2006/relationships/hyperlink" Target="https://www.govinfo.gov/content/pkg/FR-2002-10-01/pdf/02-24944.pdf" TargetMode="External" /><Relationship Id="rId5" Type="http://schemas.openxmlformats.org/officeDocument/2006/relationships/hyperlink" Target="https://www.nrc.gov/docs/ML1610/ML16105A3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53DA30A8FA3E419540B453D35E6619" ma:contentTypeVersion="8" ma:contentTypeDescription="Create a new document." ma:contentTypeScope="" ma:versionID="c1647a415093802ae66075676af68f8e">
  <xsd:schema xmlns:xsd="http://www.w3.org/2001/XMLSchema" xmlns:xs="http://www.w3.org/2001/XMLSchema" xmlns:p="http://schemas.microsoft.com/office/2006/metadata/properties" xmlns:ns1="http://schemas.microsoft.com/sharepoint/v3" xmlns:ns2="00b6466f-423f-4685-b181-7cb6e46d8b11" xmlns:ns3="cbc86945-3c34-41a8-8c10-f62a4f4c606b" targetNamespace="http://schemas.microsoft.com/office/2006/metadata/properties" ma:root="true" ma:fieldsID="a4975adbe6875b3573165b626d0e6e6a" ns1:_="" ns2:_="" ns3:_="">
    <xsd:import namespace="http://schemas.microsoft.com/sharepoint/v3"/>
    <xsd:import namespace="00b6466f-423f-4685-b181-7cb6e46d8b11"/>
    <xsd:import namespace="cbc86945-3c34-41a8-8c10-f62a4f4c60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b6466f-423f-4685-b181-7cb6e46d8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86945-3c34-41a8-8c10-f62a4f4c60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82F01-CB47-4D9D-AD6E-F19DD7A935E0}">
  <ds:schemaRefs>
    <ds:schemaRef ds:uri="http://schemas.openxmlformats.org/officeDocument/2006/bibliography"/>
  </ds:schemaRefs>
</ds:datastoreItem>
</file>

<file path=customXml/itemProps2.xml><?xml version="1.0" encoding="utf-8"?>
<ds:datastoreItem xmlns:ds="http://schemas.openxmlformats.org/officeDocument/2006/customXml" ds:itemID="{226DE3AB-60FC-49BB-9B14-153F717F9C2A}">
  <ds:schemaRefs>
    <ds:schemaRef ds:uri="http://schemas.microsoft.com/sharepoint/v3/contenttype/forms"/>
  </ds:schemaRefs>
</ds:datastoreItem>
</file>

<file path=customXml/itemProps3.xml><?xml version="1.0" encoding="utf-8"?>
<ds:datastoreItem xmlns:ds="http://schemas.openxmlformats.org/officeDocument/2006/customXml" ds:itemID="{2BF78A70-80D7-408A-81A2-A8BED71BE17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29B7504-EC94-477B-96E4-E057FC7C1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b6466f-423f-4685-b181-7cb6e46d8b11"/>
    <ds:schemaRef ds:uri="cbc86945-3c34-41a8-8c10-f62a4f4c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51</Pages>
  <Words>18010</Words>
  <Characters>99600</Characters>
  <Application>Microsoft Office Word</Application>
  <DocSecurity>0</DocSecurity>
  <Lines>4150</Lines>
  <Paragraphs>2613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2026-02-24T08:39:00Z</dcterms:created>
  <dcterms:modified xsi:type="dcterms:W3CDTF">2026-02-24T08:43:00Z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0x0101002653DA30A8FA3E419540B453D35E6619</vt:lpwstr>
  </property>
  <property fmtid="{D5CDD505-2E9C-101B-9397-08002B2CF9AE}" pid="3" name="MediaServiceImageTags">
    <vt:lpwstr/>
  </property>
</Properties>
</file>