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1B29" w:rsidRPr="00B43758" w:rsidP="00771B29" w14:paraId="40266C0E" w14:textId="61CA944F">
      <w:pPr>
        <w:framePr w:w="1584" w:h="1584" w:hRule="exact" w:hSpace="90" w:vSpace="90" w:wrap="auto" w:hAnchor="margin" w:x="3828" w:y="-210"/>
        <w:pBdr>
          <w:top w:val="single" w:sz="6" w:space="0" w:color="FFFFFF"/>
          <w:left w:val="single" w:sz="6" w:space="0" w:color="FFFFFF"/>
          <w:bottom w:val="single" w:sz="6" w:space="0" w:color="FFFFFF"/>
          <w:right w:val="single" w:sz="6" w:space="0" w:color="FFFFFF"/>
        </w:pBdr>
        <w:rPr>
          <w:rFonts w:cs="Arial"/>
          <w:sz w:val="22"/>
          <w:szCs w:val="22"/>
        </w:rPr>
      </w:pPr>
    </w:p>
    <w:p w:rsidR="00040A1C" w14:paraId="7523C647" w14:textId="392331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cs="Arial"/>
          <w:noProof/>
          <w:sz w:val="22"/>
          <w:szCs w:val="22"/>
        </w:rPr>
        <w:drawing>
          <wp:anchor distT="0" distB="0" distL="114300" distR="114300" simplePos="0" relativeHeight="251664384" behindDoc="0" locked="0" layoutInCell="1" allowOverlap="1">
            <wp:simplePos x="0" y="0"/>
            <wp:positionH relativeFrom="column">
              <wp:posOffset>2540000</wp:posOffset>
            </wp:positionH>
            <wp:positionV relativeFrom="paragraph">
              <wp:posOffset>0</wp:posOffset>
            </wp:positionV>
            <wp:extent cx="1210310" cy="1202055"/>
            <wp:effectExtent l="0" t="0" r="8890" b="0"/>
            <wp:wrapTopAndBottom/>
            <wp:docPr id="1" name="Picture 1" descr="color-seal-3-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seal-3-inch"/>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0310" cy="1202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p w:rsidR="00040A1C" w:rsidP="000E3649" w14:paraId="787A925E" w14:textId="63E3E70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855746" w:rsidRPr="00FC6C49" w:rsidP="00855746" w14:paraId="51AFC08E" w14:textId="77777777">
      <w:pPr>
        <w:widowControl/>
        <w:jc w:val="center"/>
        <w:rPr>
          <w:rFonts w:ascii="Arial" w:hAnsi="Arial" w:cs="Arial"/>
          <w:b/>
          <w:bCs/>
          <w:sz w:val="32"/>
          <w:szCs w:val="32"/>
        </w:rPr>
      </w:pPr>
      <w:r w:rsidRPr="00FC6C49">
        <w:rPr>
          <w:rFonts w:ascii="Arial" w:hAnsi="Arial" w:cs="Arial"/>
          <w:b/>
          <w:bCs/>
          <w:sz w:val="32"/>
          <w:szCs w:val="32"/>
        </w:rPr>
        <w:t xml:space="preserve">Office of Nuclear Material Safety and Safeguards  </w:t>
      </w:r>
    </w:p>
    <w:p w:rsidR="00855746" w:rsidRPr="00FC6C49" w:rsidP="00855746" w14:paraId="5E7AE612" w14:textId="77777777">
      <w:pPr>
        <w:widowControl/>
        <w:jc w:val="center"/>
        <w:rPr>
          <w:rFonts w:ascii="Arial" w:hAnsi="Arial" w:cs="Arial"/>
          <w:b/>
          <w:bCs/>
        </w:rPr>
      </w:pPr>
      <w:r w:rsidRPr="00FC6C49">
        <w:rPr>
          <w:rFonts w:ascii="Arial" w:hAnsi="Arial" w:cs="Arial"/>
          <w:b/>
          <w:bCs/>
          <w:sz w:val="32"/>
          <w:szCs w:val="32"/>
        </w:rPr>
        <w:t>Procedure Approval</w:t>
      </w:r>
    </w:p>
    <w:p w:rsidR="00855746" w:rsidRPr="002643C1" w:rsidP="00855746" w14:paraId="2BD91C41" w14:textId="77777777">
      <w:pPr>
        <w:widowControl/>
        <w:rPr>
          <w:rFonts w:cs="Arial"/>
          <w:b/>
          <w:bCs/>
          <w:sz w:val="22"/>
          <w:szCs w:val="22"/>
        </w:rPr>
      </w:pPr>
    </w:p>
    <w:p w:rsidR="00855746" w:rsidRPr="002643C1" w:rsidP="00855746" w14:paraId="431DA9AD" w14:textId="77777777">
      <w:pPr>
        <w:widowControl/>
        <w:jc w:val="center"/>
        <w:rPr>
          <w:rFonts w:ascii="Arial" w:hAnsi="Arial" w:cs="Arial"/>
          <w:b/>
          <w:bCs/>
          <w:i/>
          <w:iCs/>
          <w:sz w:val="28"/>
          <w:szCs w:val="28"/>
        </w:rPr>
      </w:pPr>
      <w:r w:rsidRPr="002643C1">
        <w:rPr>
          <w:rFonts w:ascii="Arial" w:hAnsi="Arial" w:cs="Arial"/>
          <w:b/>
          <w:bCs/>
          <w:i/>
          <w:iCs/>
          <w:sz w:val="28"/>
          <w:szCs w:val="28"/>
        </w:rPr>
        <w:t>Reporting Material Events</w:t>
      </w:r>
    </w:p>
    <w:p w:rsidR="00855746" w:rsidRPr="002643C1" w:rsidP="00855746" w14:paraId="6403374C" w14:textId="77777777">
      <w:pPr>
        <w:widowControl/>
        <w:jc w:val="center"/>
        <w:rPr>
          <w:rFonts w:ascii="Arial" w:hAnsi="Arial" w:cs="Arial"/>
          <w:b/>
          <w:bCs/>
          <w:i/>
          <w:iCs/>
          <w:sz w:val="28"/>
          <w:szCs w:val="28"/>
        </w:rPr>
      </w:pPr>
    </w:p>
    <w:p w:rsidR="002643C1" w:rsidRPr="002643C1" w:rsidP="002643C1" w14:paraId="6A6D5C90" w14:textId="77777777">
      <w:pPr>
        <w:widowControl/>
        <w:jc w:val="center"/>
        <w:rPr>
          <w:rFonts w:ascii="Arial" w:hAnsi="Arial" w:cs="Arial"/>
          <w:b/>
          <w:bCs/>
          <w:i/>
          <w:iCs/>
          <w:sz w:val="28"/>
          <w:szCs w:val="28"/>
        </w:rPr>
      </w:pPr>
      <w:r w:rsidRPr="002643C1">
        <w:rPr>
          <w:rFonts w:ascii="Arial" w:hAnsi="Arial" w:cs="Arial"/>
          <w:b/>
          <w:bCs/>
          <w:i/>
          <w:iCs/>
          <w:sz w:val="28"/>
          <w:szCs w:val="28"/>
        </w:rPr>
        <w:t>State Agreements (SA) Procedure</w:t>
      </w:r>
      <w:r w:rsidR="00B45084">
        <w:rPr>
          <w:rFonts w:ascii="Arial" w:hAnsi="Arial" w:cs="Arial"/>
          <w:b/>
          <w:bCs/>
          <w:i/>
          <w:iCs/>
          <w:sz w:val="28"/>
          <w:szCs w:val="28"/>
        </w:rPr>
        <w:t xml:space="preserve">: </w:t>
      </w:r>
      <w:r w:rsidRPr="002643C1">
        <w:rPr>
          <w:rFonts w:ascii="Arial" w:hAnsi="Arial" w:cs="Arial"/>
          <w:b/>
          <w:bCs/>
          <w:i/>
          <w:iCs/>
          <w:sz w:val="28"/>
          <w:szCs w:val="28"/>
        </w:rPr>
        <w:t xml:space="preserve"> SA-300</w:t>
      </w:r>
    </w:p>
    <w:p w:rsidR="002643C1" w:rsidRPr="007669A9" w:rsidP="002643C1" w14:paraId="0084E71E" w14:textId="77777777">
      <w:pPr>
        <w:widowControl/>
        <w:jc w:val="center"/>
        <w:rPr>
          <w:rFonts w:ascii="Arial" w:hAnsi="Arial" w:cs="Arial"/>
          <w:b/>
          <w:bCs/>
          <w:sz w:val="28"/>
          <w:szCs w:val="28"/>
        </w:rPr>
      </w:pPr>
    </w:p>
    <w:p w:rsidR="002643C1" w:rsidRPr="00237E4B" w:rsidP="002643C1" w14:paraId="05A32578" w14:textId="77777777">
      <w:pPr>
        <w:widowControl/>
        <w:rPr>
          <w:rFonts w:ascii="Arial" w:hAnsi="Arial" w:cs="Arial"/>
        </w:rPr>
      </w:pPr>
      <w:bookmarkStart w:id="0" w:name="_Hlk26434035"/>
    </w:p>
    <w:p w:rsidR="002643C1" w:rsidRPr="00237E4B" w:rsidP="002643C1" w14:paraId="5EE12F94" w14:textId="77777777">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0160"/>
                <wp:effectExtent l="0" t="0" r="0" b="0"/>
                <wp:wrapNone/>
                <wp:docPr id="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160"/>
                        </a:xfrm>
                        <a:prstGeom prst="rect">
                          <a:avLst/>
                        </a:pr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468pt;height:0.8pt;margin-top:0;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p>
    <w:p w:rsidR="002643C1" w:rsidRPr="00237E4B" w:rsidP="002643C1" w14:paraId="7FEB34EF" w14:textId="77777777">
      <w:pPr>
        <w:widowControl/>
        <w:rPr>
          <w:rFonts w:ascii="Arial" w:hAnsi="Arial" w:cs="Arial"/>
        </w:rPr>
      </w:pPr>
    </w:p>
    <w:bookmarkEnd w:id="0"/>
    <w:p w:rsidR="002643C1" w:rsidRPr="00FC6C49" w:rsidP="002643C1" w14:paraId="7D5AB28D" w14:textId="58F6BD05">
      <w:pPr>
        <w:widowControl/>
        <w:tabs>
          <w:tab w:val="left" w:pos="-1440"/>
        </w:tabs>
        <w:ind w:left="3600" w:hanging="3600"/>
        <w:rPr>
          <w:rFonts w:ascii="Arial" w:hAnsi="Arial" w:cs="Arial"/>
          <w:sz w:val="22"/>
          <w:szCs w:val="22"/>
        </w:rPr>
      </w:pPr>
      <w:r w:rsidRPr="00FC6C49">
        <w:rPr>
          <w:rFonts w:ascii="Arial" w:hAnsi="Arial" w:cs="Arial"/>
          <w:sz w:val="22"/>
          <w:szCs w:val="22"/>
        </w:rPr>
        <w:t>Issue Date:</w:t>
      </w:r>
      <w:r>
        <w:rPr>
          <w:rFonts w:ascii="Arial" w:hAnsi="Arial" w:cs="Arial"/>
          <w:sz w:val="22"/>
          <w:szCs w:val="22"/>
        </w:rPr>
        <w:tab/>
      </w:r>
      <w:r>
        <w:rPr>
          <w:rFonts w:ascii="Arial" w:hAnsi="Arial" w:cs="Arial"/>
          <w:sz w:val="22"/>
          <w:szCs w:val="22"/>
        </w:rPr>
        <w:tab/>
      </w:r>
      <w:r w:rsidR="004A6546">
        <w:rPr>
          <w:rFonts w:ascii="Arial" w:hAnsi="Arial" w:cs="Arial"/>
          <w:sz w:val="22"/>
          <w:szCs w:val="22"/>
        </w:rPr>
        <w:t>February XX,</w:t>
      </w:r>
      <w:r>
        <w:rPr>
          <w:rFonts w:ascii="Arial" w:hAnsi="Arial" w:cs="Arial"/>
          <w:sz w:val="22"/>
          <w:szCs w:val="22"/>
        </w:rPr>
        <w:t xml:space="preserve"> 202</w:t>
      </w:r>
      <w:r w:rsidR="00DA2A3E">
        <w:rPr>
          <w:rFonts w:ascii="Arial" w:hAnsi="Arial" w:cs="Arial"/>
          <w:sz w:val="22"/>
          <w:szCs w:val="22"/>
        </w:rPr>
        <w:t>2</w:t>
      </w:r>
    </w:p>
    <w:p w:rsidR="002643C1" w:rsidRPr="00FC6C49" w:rsidP="002643C1" w14:paraId="1B80C3A3" w14:textId="77777777">
      <w:pPr>
        <w:widowControl/>
        <w:rPr>
          <w:rFonts w:ascii="Arial" w:hAnsi="Arial" w:cs="Arial"/>
          <w:sz w:val="22"/>
          <w:szCs w:val="22"/>
        </w:rPr>
      </w:pPr>
    </w:p>
    <w:p w:rsidR="002643C1" w:rsidRPr="00FC6C49" w:rsidP="701A206A" w14:paraId="35DDF3CC" w14:textId="149395E2">
      <w:pPr>
        <w:widowControl/>
        <w:ind w:left="3600" w:hanging="3600"/>
        <w:rPr>
          <w:rFonts w:ascii="Arial" w:hAnsi="Arial" w:cs="Arial"/>
          <w:sz w:val="22"/>
          <w:szCs w:val="22"/>
        </w:rPr>
      </w:pPr>
      <w:r w:rsidRPr="00FC6C49">
        <w:rPr>
          <w:rFonts w:ascii="Arial" w:hAnsi="Arial" w:cs="Arial"/>
          <w:sz w:val="22"/>
          <w:szCs w:val="22"/>
        </w:rPr>
        <w:t>Review Date:</w:t>
      </w:r>
      <w:r>
        <w:tab/>
      </w:r>
      <w:r>
        <w:tab/>
      </w:r>
      <w:r w:rsidR="004A6546">
        <w:rPr>
          <w:rFonts w:ascii="Arial" w:hAnsi="Arial" w:cs="Arial"/>
          <w:sz w:val="22"/>
          <w:szCs w:val="22"/>
        </w:rPr>
        <w:t>February XX,</w:t>
      </w:r>
      <w:r>
        <w:rPr>
          <w:rFonts w:ascii="Arial" w:hAnsi="Arial" w:cs="Arial"/>
          <w:sz w:val="22"/>
          <w:szCs w:val="22"/>
        </w:rPr>
        <w:t xml:space="preserve"> 202</w:t>
      </w:r>
      <w:r w:rsidRPr="701A206A" w:rsidR="0832A531">
        <w:rPr>
          <w:rFonts w:ascii="Arial" w:hAnsi="Arial" w:cs="Arial"/>
          <w:sz w:val="22"/>
          <w:szCs w:val="22"/>
        </w:rPr>
        <w:t>7</w:t>
      </w:r>
    </w:p>
    <w:p w:rsidR="002643C1" w:rsidRPr="00FC6C49" w:rsidP="002643C1" w14:paraId="1EDE99B3" w14:textId="77777777">
      <w:pPr>
        <w:widowControl/>
        <w:tabs>
          <w:tab w:val="left" w:pos="-1440"/>
        </w:tabs>
        <w:ind w:left="2160" w:hanging="2160"/>
        <w:rPr>
          <w:rFonts w:ascii="Arial" w:hAnsi="Arial" w:cs="Arial"/>
          <w:sz w:val="22"/>
          <w:szCs w:val="22"/>
        </w:rPr>
      </w:pPr>
    </w:p>
    <w:p w:rsidR="002643C1" w:rsidRPr="00237E4B" w:rsidP="002643C1" w14:paraId="5CBB3188" w14:textId="77777777">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60288" behindDoc="1" locked="1" layoutInCell="0" allowOverlap="1">
                <wp:simplePos x="0" y="0"/>
                <wp:positionH relativeFrom="page">
                  <wp:posOffset>914400</wp:posOffset>
                </wp:positionH>
                <wp:positionV relativeFrom="paragraph">
                  <wp:posOffset>0</wp:posOffset>
                </wp:positionV>
                <wp:extent cx="5943600" cy="10160"/>
                <wp:effectExtent l="0" t="0" r="0" b="0"/>
                <wp:wrapNone/>
                <wp:docPr id="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160"/>
                        </a:xfrm>
                        <a:prstGeom prst="rect">
                          <a:avLst/>
                        </a:pr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468pt;height:0.8pt;margin-top:0;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p>
    <w:p w:rsidR="002643C1" w:rsidP="002643C1" w14:paraId="14680F84" w14:textId="77777777">
      <w:pPr>
        <w:tabs>
          <w:tab w:val="left" w:pos="-1440"/>
        </w:tabs>
        <w:ind w:left="3600" w:hanging="3600"/>
        <w:rPr>
          <w:rFonts w:ascii="Arial" w:hAnsi="Arial" w:cs="Arial"/>
          <w:sz w:val="22"/>
          <w:szCs w:val="22"/>
        </w:rPr>
      </w:pPr>
    </w:p>
    <w:p w:rsidR="002643C1" w:rsidRPr="00FC6C49" w:rsidP="002643C1" w14:paraId="7727FE03" w14:textId="77777777">
      <w:pPr>
        <w:tabs>
          <w:tab w:val="left" w:pos="-1440"/>
        </w:tabs>
        <w:ind w:left="3600" w:hanging="3600"/>
        <w:rPr>
          <w:rFonts w:ascii="Arial" w:hAnsi="Arial" w:cs="Arial"/>
          <w:sz w:val="22"/>
          <w:szCs w:val="22"/>
        </w:rPr>
      </w:pPr>
      <w:r>
        <w:rPr>
          <w:rFonts w:ascii="Arial" w:hAnsi="Arial" w:cs="Arial"/>
          <w:sz w:val="22"/>
          <w:szCs w:val="22"/>
        </w:rPr>
        <w:t xml:space="preserve">Kevin Williams </w:t>
      </w:r>
      <w:r>
        <w:rPr>
          <w:rFonts w:ascii="Arial" w:hAnsi="Arial" w:cs="Arial"/>
          <w:sz w:val="22"/>
          <w:szCs w:val="22"/>
        </w:rPr>
        <w:tab/>
      </w:r>
      <w:r>
        <w:rPr>
          <w:rFonts w:ascii="Arial" w:hAnsi="Arial" w:cs="Arial"/>
          <w:sz w:val="22"/>
          <w:szCs w:val="22"/>
        </w:rPr>
        <w:tab/>
      </w:r>
    </w:p>
    <w:p w:rsidR="002643C1" w:rsidP="002643C1" w14:paraId="5448A8BB" w14:textId="77777777">
      <w:pPr>
        <w:widowControl/>
        <w:tabs>
          <w:tab w:val="left" w:pos="-1440"/>
          <w:tab w:val="left" w:pos="4230"/>
          <w:tab w:val="left" w:pos="4320"/>
        </w:tabs>
        <w:ind w:left="7200" w:hanging="7200"/>
        <w:rPr>
          <w:rFonts w:ascii="Arial" w:hAnsi="Arial" w:cs="Arial"/>
          <w:i/>
          <w:iCs/>
          <w:sz w:val="22"/>
          <w:szCs w:val="22"/>
        </w:rPr>
      </w:pPr>
      <w:r>
        <w:rPr>
          <w:rFonts w:ascii="Arial" w:hAnsi="Arial" w:cs="Arial"/>
          <w:i/>
          <w:iCs/>
          <w:sz w:val="22"/>
          <w:szCs w:val="22"/>
        </w:rPr>
        <w:t>Director, NMSS/MSST</w:t>
      </w:r>
      <w:r>
        <w:rPr>
          <w:rFonts w:ascii="Arial" w:hAnsi="Arial" w:cs="Arial"/>
          <w:i/>
          <w:iCs/>
          <w:sz w:val="22"/>
          <w:szCs w:val="22"/>
        </w:rPr>
        <w:tab/>
      </w:r>
    </w:p>
    <w:p w:rsidR="002643C1" w:rsidP="002643C1" w14:paraId="027E00A7" w14:textId="77777777">
      <w:pPr>
        <w:widowControl/>
        <w:tabs>
          <w:tab w:val="left" w:pos="-1440"/>
          <w:tab w:val="left" w:pos="4230"/>
          <w:tab w:val="left" w:pos="4320"/>
        </w:tabs>
        <w:ind w:left="7200" w:hanging="7200"/>
        <w:rPr>
          <w:rFonts w:ascii="Arial" w:hAnsi="Arial" w:cs="Arial"/>
          <w:i/>
          <w:sz w:val="22"/>
          <w:szCs w:val="22"/>
        </w:rPr>
      </w:pPr>
    </w:p>
    <w:p w:rsidR="002643C1" w:rsidRPr="00237E4B" w:rsidP="002643C1" w14:paraId="36EBBDAB" w14:textId="77777777">
      <w:pPr>
        <w:widowControl/>
        <w:rPr>
          <w:rFonts w:ascii="Arial" w:hAnsi="Arial" w:cs="Arial"/>
        </w:rPr>
      </w:pPr>
    </w:p>
    <w:p w:rsidR="002643C1" w:rsidRPr="00237E4B" w:rsidP="002643C1" w14:paraId="0CD8090A" w14:textId="77777777">
      <w:pPr>
        <w:widowControl/>
        <w:spacing w:line="16" w:lineRule="exact"/>
        <w:rPr>
          <w:rFonts w:ascii="Arial" w:hAnsi="Arial" w:cs="Arial"/>
        </w:rPr>
      </w:pPr>
      <w:r w:rsidRPr="00237E4B">
        <w:rPr>
          <w:rFonts w:ascii="Arial" w:hAnsi="Arial" w:cs="Arial"/>
          <w:noProof/>
        </w:rPr>
        <mc:AlternateContent>
          <mc:Choice Requires="wps">
            <w:drawing>
              <wp:anchor distT="0" distB="0" distL="114300" distR="114300" simplePos="0" relativeHeight="251662336" behindDoc="1" locked="1" layoutInCell="0" allowOverlap="1">
                <wp:simplePos x="0" y="0"/>
                <wp:positionH relativeFrom="page">
                  <wp:posOffset>866775</wp:posOffset>
                </wp:positionH>
                <wp:positionV relativeFrom="paragraph">
                  <wp:posOffset>-142875</wp:posOffset>
                </wp:positionV>
                <wp:extent cx="5943600" cy="1016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160"/>
                        </a:xfrm>
                        <a:prstGeom prst="rect">
                          <a:avLst/>
                        </a:pr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468pt;height:0.8pt;margin-top:-11.25pt;margin-left:68.25pt;mso-height-percent:0;mso-height-relative:page;mso-position-horizontal-relative:page;mso-width-percent:0;mso-width-relative:page;mso-wrap-distance-bottom:0;mso-wrap-distance-left:9pt;mso-wrap-distance-right:9pt;mso-wrap-distance-top:0;mso-wrap-style:square;position:absolute;visibility:visible;v-text-anchor:top;z-index:-251653120" o:allowincell="f" fillcolor="black" stroked="f">
                <w10:anchorlock/>
              </v:rect>
            </w:pict>
          </mc:Fallback>
        </mc:AlternateContent>
      </w:r>
    </w:p>
    <w:p w:rsidR="002643C1" w:rsidRPr="00CA57CB" w:rsidP="002643C1" w14:paraId="56DF8CCA" w14:textId="633163D1">
      <w:pPr>
        <w:widowControl/>
        <w:tabs>
          <w:tab w:val="left" w:pos="-1440"/>
        </w:tabs>
        <w:ind w:left="7200" w:hanging="7200"/>
        <w:rPr>
          <w:rFonts w:ascii="Arial" w:hAnsi="Arial" w:cs="Arial"/>
          <w:i/>
          <w:iCs/>
          <w:sz w:val="22"/>
          <w:szCs w:val="22"/>
        </w:rPr>
      </w:pPr>
      <w:r>
        <w:rPr>
          <w:rFonts w:ascii="Arial" w:hAnsi="Arial" w:cs="Arial"/>
          <w:sz w:val="22"/>
          <w:szCs w:val="22"/>
        </w:rPr>
        <w:t>Brian Anderson</w:t>
      </w:r>
    </w:p>
    <w:p w:rsidR="002643C1" w:rsidP="4F48825C" w14:paraId="5928F826" w14:textId="25A0A30D">
      <w:pPr>
        <w:widowControl/>
        <w:tabs>
          <w:tab w:val="left" w:pos="4320"/>
        </w:tabs>
        <w:ind w:left="7200" w:hanging="7200"/>
        <w:rPr>
          <w:rFonts w:ascii="Arial" w:hAnsi="Arial" w:cs="Arial"/>
          <w:i/>
          <w:iCs/>
          <w:sz w:val="22"/>
          <w:szCs w:val="22"/>
        </w:rPr>
      </w:pPr>
      <w:bookmarkStart w:id="1" w:name="_Hlk24628889"/>
      <w:r w:rsidRPr="4F48825C">
        <w:rPr>
          <w:rFonts w:ascii="Arial" w:hAnsi="Arial" w:cs="Arial"/>
          <w:i/>
          <w:iCs/>
          <w:sz w:val="22"/>
          <w:szCs w:val="22"/>
        </w:rPr>
        <w:t>Branch Chief, NMSS/MSST/</w:t>
      </w:r>
      <w:bookmarkStart w:id="2" w:name="_Hlk24628815"/>
      <w:r w:rsidRPr="4F48825C" w:rsidR="5E891C24">
        <w:rPr>
          <w:rFonts w:ascii="Arial" w:hAnsi="Arial" w:cs="Arial"/>
          <w:i/>
          <w:iCs/>
          <w:sz w:val="22"/>
          <w:szCs w:val="22"/>
        </w:rPr>
        <w:t>S</w:t>
      </w:r>
      <w:r w:rsidRPr="4F48825C" w:rsidR="0FAB6608">
        <w:rPr>
          <w:rFonts w:ascii="Arial" w:hAnsi="Arial" w:cs="Arial"/>
          <w:i/>
          <w:iCs/>
          <w:sz w:val="22"/>
          <w:szCs w:val="22"/>
        </w:rPr>
        <w:t>LPB</w:t>
      </w:r>
      <w:r>
        <w:tab/>
      </w:r>
      <w:bookmarkEnd w:id="2"/>
    </w:p>
    <w:p w:rsidR="002643C1" w:rsidRPr="009E35CB" w:rsidP="002643C1" w14:paraId="13C4B0AF" w14:textId="77777777">
      <w:pPr>
        <w:widowControl/>
        <w:pBdr>
          <w:bottom w:val="single" w:sz="4" w:space="0" w:color="auto"/>
        </w:pBdr>
        <w:rPr>
          <w:rFonts w:ascii="Arial" w:hAnsi="Arial" w:cs="Arial"/>
          <w:sz w:val="22"/>
          <w:szCs w:val="22"/>
        </w:rPr>
      </w:pPr>
      <w:bookmarkStart w:id="3" w:name="_Hlk24631664"/>
      <w:bookmarkEnd w:id="1"/>
    </w:p>
    <w:p w:rsidR="002643C1" w:rsidP="002643C1" w14:paraId="7BBAEC1B" w14:textId="77777777">
      <w:pPr>
        <w:tabs>
          <w:tab w:val="left" w:pos="-1440"/>
        </w:tabs>
        <w:ind w:left="3600" w:hanging="3600"/>
        <w:rPr>
          <w:rFonts w:ascii="Arial" w:hAnsi="Arial" w:cs="Arial"/>
          <w:sz w:val="22"/>
          <w:szCs w:val="22"/>
        </w:rPr>
      </w:pPr>
    </w:p>
    <w:p w:rsidR="002643C1" w:rsidRPr="009E35CB" w:rsidP="002643C1" w14:paraId="4D00D366" w14:textId="66EF58E0">
      <w:pPr>
        <w:tabs>
          <w:tab w:val="left" w:pos="-1440"/>
        </w:tabs>
        <w:ind w:left="3600" w:hanging="3600"/>
        <w:rPr>
          <w:rFonts w:ascii="Arial" w:hAnsi="Arial" w:cs="Arial"/>
          <w:i/>
          <w:iCs/>
          <w:sz w:val="22"/>
          <w:szCs w:val="22"/>
        </w:rPr>
      </w:pPr>
      <w:r>
        <w:rPr>
          <w:rFonts w:ascii="Arial" w:hAnsi="Arial" w:cs="Arial"/>
          <w:sz w:val="22"/>
          <w:szCs w:val="22"/>
        </w:rPr>
        <w:t>Jennifer Fisher</w:t>
      </w:r>
    </w:p>
    <w:p w:rsidR="002643C1" w:rsidP="4F48825C" w14:paraId="33BAD92E" w14:textId="2B0A79BC">
      <w:pPr>
        <w:widowControl/>
        <w:tabs>
          <w:tab w:val="left" w:pos="4320"/>
        </w:tabs>
        <w:ind w:left="7200" w:hanging="7200"/>
        <w:rPr>
          <w:rFonts w:ascii="Arial" w:hAnsi="Arial" w:cs="Arial"/>
          <w:i/>
          <w:iCs/>
          <w:sz w:val="22"/>
          <w:szCs w:val="22"/>
        </w:rPr>
      </w:pPr>
      <w:r w:rsidRPr="4F48825C">
        <w:rPr>
          <w:rFonts w:ascii="Arial" w:hAnsi="Arial" w:cs="Arial"/>
          <w:i/>
          <w:iCs/>
          <w:sz w:val="22"/>
          <w:szCs w:val="22"/>
        </w:rPr>
        <w:t>Procedure</w:t>
      </w:r>
      <w:r w:rsidRPr="4F48825C" w:rsidR="14D80557">
        <w:rPr>
          <w:rFonts w:ascii="Arial" w:hAnsi="Arial" w:cs="Arial"/>
          <w:i/>
          <w:iCs/>
          <w:sz w:val="22"/>
          <w:szCs w:val="22"/>
        </w:rPr>
        <w:t xml:space="preserve"> Contact, NMSS/MSST/MSEB</w:t>
      </w:r>
      <w:r w:rsidR="009B17BA">
        <w:tab/>
      </w:r>
    </w:p>
    <w:bookmarkEnd w:id="3"/>
    <w:p w:rsidR="002643C1" w:rsidRPr="009E35CB" w:rsidP="002643C1" w14:paraId="222A8D7C" w14:textId="77777777">
      <w:pPr>
        <w:widowControl/>
        <w:pBdr>
          <w:bottom w:val="single" w:sz="4" w:space="0" w:color="auto"/>
        </w:pBdr>
        <w:rPr>
          <w:rFonts w:ascii="Arial" w:hAnsi="Arial" w:cs="Arial"/>
          <w:sz w:val="22"/>
          <w:szCs w:val="22"/>
        </w:rPr>
      </w:pPr>
    </w:p>
    <w:p w:rsidR="002643C1" w:rsidP="002643C1" w14:paraId="5582845E" w14:textId="77777777">
      <w:pPr>
        <w:tabs>
          <w:tab w:val="left" w:pos="-1440"/>
        </w:tabs>
        <w:ind w:left="3600" w:hanging="3600"/>
        <w:rPr>
          <w:rFonts w:ascii="Arial" w:hAnsi="Arial" w:cs="Arial"/>
          <w:sz w:val="22"/>
          <w:szCs w:val="22"/>
        </w:rPr>
      </w:pPr>
    </w:p>
    <w:p w:rsidR="002643C1" w:rsidRPr="009E35CB" w:rsidP="002643C1" w14:paraId="0B1CFE71" w14:textId="07316AA3">
      <w:pPr>
        <w:tabs>
          <w:tab w:val="left" w:pos="-1440"/>
        </w:tabs>
        <w:ind w:left="3600" w:hanging="3600"/>
        <w:rPr>
          <w:rFonts w:ascii="Arial" w:hAnsi="Arial" w:cs="Arial"/>
          <w:i/>
          <w:iCs/>
          <w:sz w:val="22"/>
          <w:szCs w:val="22"/>
        </w:rPr>
      </w:pPr>
      <w:r>
        <w:rPr>
          <w:rFonts w:ascii="Arial" w:hAnsi="Arial" w:cs="Arial"/>
          <w:iCs/>
          <w:sz w:val="22"/>
          <w:szCs w:val="22"/>
        </w:rPr>
        <w:t>Augustinus</w:t>
      </w:r>
      <w:r>
        <w:rPr>
          <w:rFonts w:ascii="Arial" w:hAnsi="Arial" w:cs="Arial"/>
          <w:iCs/>
          <w:sz w:val="22"/>
          <w:szCs w:val="22"/>
        </w:rPr>
        <w:t xml:space="preserve"> Ong</w:t>
      </w:r>
      <w:r>
        <w:rPr>
          <w:rFonts w:ascii="Arial" w:hAnsi="Arial" w:cs="Arial"/>
          <w:iCs/>
          <w:sz w:val="22"/>
          <w:szCs w:val="22"/>
        </w:rPr>
        <w:t xml:space="preserve"> </w:t>
      </w:r>
    </w:p>
    <w:p w:rsidR="002643C1" w:rsidP="002643C1" w14:paraId="7259E4ED" w14:textId="5DBA7643">
      <w:pPr>
        <w:widowControl/>
        <w:tabs>
          <w:tab w:val="left" w:pos="-1440"/>
          <w:tab w:val="left" w:pos="4320"/>
        </w:tabs>
        <w:ind w:left="7200" w:hanging="7200"/>
        <w:rPr>
          <w:rFonts w:ascii="Arial" w:hAnsi="Arial" w:cs="Arial"/>
          <w:i/>
          <w:iCs/>
          <w:sz w:val="22"/>
          <w:szCs w:val="22"/>
        </w:rPr>
      </w:pPr>
      <w:r>
        <w:rPr>
          <w:rFonts w:ascii="Arial" w:hAnsi="Arial" w:cs="Arial"/>
          <w:i/>
          <w:iCs/>
          <w:sz w:val="22"/>
          <w:szCs w:val="22"/>
        </w:rPr>
        <w:t>Chair, Organization of Agreement States</w:t>
      </w:r>
      <w:r>
        <w:rPr>
          <w:rFonts w:ascii="Arial" w:hAnsi="Arial" w:cs="Arial"/>
          <w:i/>
          <w:iCs/>
          <w:sz w:val="22"/>
          <w:szCs w:val="22"/>
        </w:rPr>
        <w:tab/>
      </w:r>
    </w:p>
    <w:p w:rsidR="002643C1" w:rsidRPr="009E35CB" w:rsidP="002643C1" w14:paraId="7DB05AEB" w14:textId="77777777">
      <w:pPr>
        <w:widowControl/>
        <w:pBdr>
          <w:bottom w:val="single" w:sz="4" w:space="0" w:color="auto"/>
        </w:pBdr>
        <w:rPr>
          <w:rFonts w:ascii="Arial" w:hAnsi="Arial" w:cs="Arial"/>
          <w:sz w:val="22"/>
          <w:szCs w:val="22"/>
        </w:rPr>
      </w:pPr>
    </w:p>
    <w:p w:rsidR="002643C1" w:rsidP="002643C1" w14:paraId="719CEF44" w14:textId="38ABA6A5">
      <w:pPr>
        <w:widowControl/>
        <w:tabs>
          <w:tab w:val="left" w:pos="-1440"/>
        </w:tabs>
        <w:rPr>
          <w:rFonts w:ascii="Arial" w:hAnsi="Arial" w:cs="Arial"/>
          <w:i/>
          <w:iCs/>
          <w:sz w:val="22"/>
          <w:szCs w:val="22"/>
        </w:rPr>
      </w:pPr>
    </w:p>
    <w:p w:rsidR="009B17BA" w:rsidRPr="003624B0" w:rsidP="002643C1" w14:paraId="2C24C802" w14:textId="77777777">
      <w:pPr>
        <w:widowControl/>
        <w:tabs>
          <w:tab w:val="left" w:pos="-1440"/>
        </w:tabs>
        <w:rPr>
          <w:rFonts w:ascii="Arial" w:hAnsi="Arial" w:cs="Arial"/>
          <w:i/>
          <w:iCs/>
          <w:sz w:val="22"/>
          <w:szCs w:val="22"/>
        </w:rPr>
      </w:pPr>
    </w:p>
    <w:p w:rsidR="002643C1" w:rsidRPr="00662C58" w:rsidP="002643C1" w14:paraId="2C93F452" w14:textId="3AB9A047">
      <w:pPr>
        <w:widowControl/>
        <w:rPr>
          <w:rFonts w:ascii="Arial" w:hAnsi="Arial" w:cs="Arial"/>
          <w:sz w:val="22"/>
          <w:szCs w:val="22"/>
        </w:rPr>
      </w:pPr>
      <w:r w:rsidRPr="4F48825C">
        <w:rPr>
          <w:rFonts w:ascii="Arial" w:hAnsi="Arial" w:cs="Arial"/>
          <w:b/>
          <w:bCs/>
          <w:sz w:val="22"/>
          <w:szCs w:val="22"/>
        </w:rPr>
        <w:t xml:space="preserve">ADAMS </w:t>
      </w:r>
      <w:r w:rsidR="00BB04D1">
        <w:rPr>
          <w:rFonts w:ascii="Arial" w:hAnsi="Arial" w:cs="Arial"/>
          <w:b/>
          <w:bCs/>
          <w:sz w:val="22"/>
          <w:szCs w:val="22"/>
        </w:rPr>
        <w:t>Package</w:t>
      </w:r>
      <w:r w:rsidRPr="4F48825C">
        <w:rPr>
          <w:rFonts w:ascii="Arial" w:hAnsi="Arial" w:cs="Arial"/>
          <w:b/>
          <w:bCs/>
          <w:sz w:val="22"/>
          <w:szCs w:val="22"/>
        </w:rPr>
        <w:t xml:space="preserve"> No. </w:t>
      </w:r>
      <w:r w:rsidRPr="4F48825C" w:rsidR="14D80557">
        <w:rPr>
          <w:rFonts w:ascii="Arial" w:hAnsi="Arial" w:cs="Arial"/>
          <w:b/>
          <w:bCs/>
          <w:sz w:val="22"/>
          <w:szCs w:val="22"/>
        </w:rPr>
        <w:t>ML</w:t>
      </w:r>
      <w:r w:rsidRPr="4F48825C" w:rsidR="5E891C24">
        <w:rPr>
          <w:rFonts w:ascii="Arial" w:hAnsi="Arial" w:cs="Arial"/>
          <w:b/>
          <w:bCs/>
          <w:sz w:val="22"/>
          <w:szCs w:val="22"/>
        </w:rPr>
        <w:t>21165A163</w:t>
      </w:r>
    </w:p>
    <w:p w:rsidR="002643C1" w:rsidRPr="00662C58" w:rsidP="00F936AA" w14:paraId="4310C7EE" w14:textId="77777777">
      <w:pPr>
        <w:widowControl/>
        <w:pBdr>
          <w:top w:val="single" w:sz="7" w:space="0" w:color="000000"/>
          <w:left w:val="single" w:sz="7" w:space="0" w:color="000000"/>
          <w:bottom w:val="single" w:sz="7" w:space="10" w:color="000000"/>
          <w:right w:val="single" w:sz="7" w:space="8" w:color="000000"/>
        </w:pBdr>
        <w:shd w:val="pct10" w:color="000000" w:fill="FFFFFF"/>
        <w:jc w:val="center"/>
        <w:rPr>
          <w:rFonts w:ascii="Arial" w:hAnsi="Arial" w:cs="Arial"/>
          <w:b/>
          <w:bCs/>
          <w:i/>
          <w:iCs/>
          <w:sz w:val="22"/>
          <w:szCs w:val="22"/>
        </w:rPr>
      </w:pPr>
      <w:r w:rsidRPr="00662C58">
        <w:rPr>
          <w:rFonts w:ascii="Arial" w:hAnsi="Arial" w:cs="Arial"/>
          <w:b/>
          <w:bCs/>
          <w:i/>
          <w:iCs/>
          <w:sz w:val="22"/>
          <w:szCs w:val="22"/>
        </w:rPr>
        <w:t>NOTE</w:t>
      </w:r>
    </w:p>
    <w:p w:rsidR="002643C1" w:rsidP="00F936AA" w14:paraId="75D2BCA4" w14:textId="77777777">
      <w:pPr>
        <w:widowControl/>
        <w:pBdr>
          <w:top w:val="single" w:sz="7" w:space="0" w:color="000000"/>
          <w:left w:val="single" w:sz="7" w:space="0" w:color="000000"/>
          <w:bottom w:val="single" w:sz="7" w:space="10" w:color="000000"/>
          <w:right w:val="single" w:sz="7" w:space="8" w:color="000000"/>
        </w:pBdr>
        <w:shd w:val="pct10" w:color="000000" w:fill="FFFFFF"/>
        <w:jc w:val="both"/>
        <w:rPr>
          <w:rStyle w:val="Hyperlink"/>
          <w:rFonts w:ascii="Arial" w:hAnsi="Arial" w:cs="Arial"/>
          <w:b/>
          <w:bCs/>
          <w:i/>
          <w:iCs/>
          <w:sz w:val="22"/>
          <w:szCs w:val="22"/>
        </w:rPr>
      </w:pPr>
      <w:r w:rsidRPr="00983842">
        <w:rPr>
          <w:rFonts w:ascii="Arial" w:hAnsi="Arial" w:cs="Arial"/>
          <w:b/>
          <w:bCs/>
          <w:i/>
          <w:iCs/>
          <w:sz w:val="22"/>
          <w:szCs w:val="22"/>
        </w:rPr>
        <w:t>Any changes to the procedure will be the responsibility of the NMSS Procedure Contact</w:t>
      </w:r>
      <w:r>
        <w:rPr>
          <w:rFonts w:ascii="Arial" w:hAnsi="Arial" w:cs="Arial"/>
          <w:b/>
          <w:bCs/>
          <w:i/>
          <w:iCs/>
          <w:sz w:val="22"/>
          <w:szCs w:val="22"/>
        </w:rPr>
        <w:t xml:space="preserve">.  </w:t>
      </w:r>
      <w:r w:rsidRPr="00983842">
        <w:rPr>
          <w:rFonts w:ascii="Arial" w:hAnsi="Arial" w:cs="Arial"/>
          <w:b/>
          <w:bCs/>
          <w:i/>
          <w:iCs/>
          <w:sz w:val="22"/>
          <w:szCs w:val="22"/>
        </w:rPr>
        <w:t xml:space="preserve">Copies of NMSS procedures are available through the NRC Web site at </w:t>
      </w:r>
      <w:hyperlink r:id="rId6" w:history="1">
        <w:r w:rsidRPr="00983842">
          <w:rPr>
            <w:rStyle w:val="Hyperlink"/>
            <w:rFonts w:ascii="Arial" w:hAnsi="Arial" w:cs="Arial"/>
            <w:b/>
            <w:bCs/>
            <w:i/>
            <w:iCs/>
            <w:sz w:val="22"/>
            <w:szCs w:val="22"/>
          </w:rPr>
          <w:t>https://scp.nrc.gov</w:t>
        </w:r>
      </w:hyperlink>
    </w:p>
    <w:p w:rsidR="000E3649" w14:paraId="53471274" w14:textId="0DDF19D9">
      <w:pPr>
        <w:widowControl/>
        <w:autoSpaceDE/>
        <w:autoSpaceDN/>
        <w:adjustRightInd/>
        <w:rPr>
          <w:rFonts w:ascii="Arial" w:hAnsi="Arial" w:cs="Arial"/>
          <w:b/>
          <w:bCs/>
          <w:sz w:val="22"/>
          <w:szCs w:val="22"/>
        </w:rPr>
      </w:pPr>
    </w:p>
    <w:p w:rsidR="009B17BA" w14:paraId="7355ABC5" w14:textId="77777777">
      <w:pPr>
        <w:widowControl/>
        <w:autoSpaceDE/>
        <w:autoSpaceDN/>
        <w:adjustRightInd/>
        <w:rPr>
          <w:rFonts w:ascii="Arial" w:hAnsi="Arial" w:cs="Arial"/>
          <w:b/>
          <w:bCs/>
          <w:sz w:val="22"/>
          <w:szCs w:val="22"/>
        </w:rPr>
      </w:pPr>
      <w:r>
        <w:rPr>
          <w:rFonts w:ascii="Arial" w:hAnsi="Arial" w:cs="Arial"/>
          <w:b/>
          <w:bCs/>
          <w:sz w:val="22"/>
          <w:szCs w:val="22"/>
        </w:rPr>
        <w:br w:type="page"/>
      </w:r>
    </w:p>
    <w:p w:rsidR="00040A1C" w:rsidRPr="00270E8B" w:rsidP="004149A1" w14:paraId="66CC7692" w14:textId="42EF59D2">
      <w:pPr>
        <w:widowControl/>
        <w:tabs>
          <w:tab w:val="left" w:pos="-1080"/>
          <w:tab w:val="left" w:pos="-720"/>
          <w:tab w:val="left" w:pos="-90"/>
          <w:tab w:val="left" w:pos="720"/>
        </w:tabs>
        <w:spacing w:after="200"/>
        <w:rPr>
          <w:rFonts w:ascii="Arial" w:hAnsi="Arial" w:cs="Arial"/>
          <w:sz w:val="22"/>
          <w:szCs w:val="22"/>
        </w:rPr>
      </w:pPr>
      <w:r w:rsidRPr="00270E8B">
        <w:rPr>
          <w:rFonts w:ascii="Arial" w:hAnsi="Arial" w:cs="Arial"/>
          <w:b/>
          <w:bCs/>
          <w:sz w:val="22"/>
          <w:szCs w:val="22"/>
        </w:rPr>
        <w:t>I.</w:t>
      </w:r>
      <w:r w:rsidRPr="00270E8B">
        <w:rPr>
          <w:rFonts w:ascii="Arial" w:hAnsi="Arial" w:cs="Arial"/>
          <w:b/>
          <w:bCs/>
          <w:sz w:val="22"/>
          <w:szCs w:val="22"/>
        </w:rPr>
        <w:tab/>
        <w:t>INTRODUCTION</w:t>
      </w:r>
    </w:p>
    <w:p w:rsidR="00040A1C" w:rsidRPr="00270E8B" w:rsidP="004149A1" w14:paraId="544AC7AC" w14:textId="208BD233">
      <w:pPr>
        <w:widowControl/>
        <w:tabs>
          <w:tab w:val="left" w:pos="-1080"/>
          <w:tab w:val="left" w:pos="-720"/>
          <w:tab w:val="left" w:pos="-90"/>
          <w:tab w:val="left" w:pos="720"/>
        </w:tabs>
        <w:spacing w:after="200"/>
        <w:ind w:left="720"/>
        <w:rPr>
          <w:rFonts w:ascii="Arial" w:hAnsi="Arial" w:cs="Arial"/>
          <w:b/>
          <w:bCs/>
          <w:sz w:val="22"/>
          <w:szCs w:val="22"/>
        </w:rPr>
      </w:pPr>
      <w:r w:rsidRPr="00270E8B">
        <w:rPr>
          <w:rFonts w:ascii="Arial" w:hAnsi="Arial" w:cs="Arial"/>
          <w:sz w:val="22"/>
          <w:szCs w:val="22"/>
        </w:rPr>
        <w:t xml:space="preserve">This procedure </w:t>
      </w:r>
      <w:r w:rsidR="00C3483C">
        <w:rPr>
          <w:rFonts w:ascii="Arial" w:hAnsi="Arial" w:cs="Arial"/>
          <w:sz w:val="22"/>
          <w:szCs w:val="22"/>
        </w:rPr>
        <w:t xml:space="preserve">describes </w:t>
      </w:r>
      <w:r w:rsidRPr="00270E8B">
        <w:rPr>
          <w:rFonts w:ascii="Arial" w:hAnsi="Arial" w:cs="Arial"/>
          <w:sz w:val="22"/>
          <w:szCs w:val="22"/>
        </w:rPr>
        <w:t xml:space="preserve">the collection, </w:t>
      </w:r>
      <w:r w:rsidR="00E621F4">
        <w:rPr>
          <w:rFonts w:ascii="Arial" w:hAnsi="Arial" w:cs="Arial"/>
          <w:sz w:val="22"/>
          <w:szCs w:val="22"/>
        </w:rPr>
        <w:t>handling</w:t>
      </w:r>
      <w:r w:rsidRPr="00270E8B">
        <w:rPr>
          <w:rFonts w:ascii="Arial" w:hAnsi="Arial" w:cs="Arial"/>
          <w:sz w:val="22"/>
          <w:szCs w:val="22"/>
        </w:rPr>
        <w:t xml:space="preserve">, and review of </w:t>
      </w:r>
      <w:r w:rsidRPr="00270E8B" w:rsidR="00B72758">
        <w:rPr>
          <w:rFonts w:ascii="Arial" w:hAnsi="Arial" w:cs="Arial"/>
          <w:sz w:val="22"/>
          <w:szCs w:val="22"/>
        </w:rPr>
        <w:t xml:space="preserve">nuclear </w:t>
      </w:r>
      <w:r w:rsidRPr="00270E8B">
        <w:rPr>
          <w:rFonts w:ascii="Arial" w:hAnsi="Arial" w:cs="Arial"/>
          <w:sz w:val="22"/>
          <w:szCs w:val="22"/>
        </w:rPr>
        <w:t xml:space="preserve">material events that </w:t>
      </w:r>
      <w:r w:rsidR="004149A1">
        <w:rPr>
          <w:rFonts w:ascii="Arial" w:hAnsi="Arial" w:cs="Arial"/>
          <w:sz w:val="22"/>
          <w:szCs w:val="22"/>
        </w:rPr>
        <w:t>are</w:t>
      </w:r>
      <w:r w:rsidRPr="00270E8B">
        <w:rPr>
          <w:rFonts w:ascii="Arial" w:hAnsi="Arial" w:cs="Arial"/>
          <w:sz w:val="22"/>
          <w:szCs w:val="22"/>
        </w:rPr>
        <w:t xml:space="preserve"> reported to </w:t>
      </w:r>
      <w:r w:rsidR="00B161C3">
        <w:rPr>
          <w:rFonts w:ascii="Arial" w:hAnsi="Arial" w:cs="Arial"/>
          <w:sz w:val="22"/>
          <w:szCs w:val="22"/>
        </w:rPr>
        <w:t>the U.S. Nuclear Regulatory Commission (</w:t>
      </w:r>
      <w:r w:rsidRPr="00270E8B">
        <w:rPr>
          <w:rFonts w:ascii="Arial" w:hAnsi="Arial" w:cs="Arial"/>
          <w:sz w:val="22"/>
          <w:szCs w:val="22"/>
        </w:rPr>
        <w:t>NRC</w:t>
      </w:r>
      <w:r w:rsidR="00B161C3">
        <w:rPr>
          <w:rFonts w:ascii="Arial" w:hAnsi="Arial" w:cs="Arial"/>
          <w:sz w:val="22"/>
          <w:szCs w:val="22"/>
        </w:rPr>
        <w:t>)</w:t>
      </w:r>
      <w:r w:rsidRPr="00270E8B">
        <w:rPr>
          <w:rFonts w:ascii="Arial" w:hAnsi="Arial" w:cs="Arial"/>
          <w:sz w:val="22"/>
          <w:szCs w:val="22"/>
        </w:rPr>
        <w:t xml:space="preserve"> by the Agreement States. </w:t>
      </w:r>
    </w:p>
    <w:p w:rsidR="00040A1C" w:rsidRPr="00270E8B" w:rsidP="004149A1" w14:paraId="14065859" w14:textId="77777777">
      <w:pPr>
        <w:widowControl/>
        <w:tabs>
          <w:tab w:val="left" w:pos="-1080"/>
          <w:tab w:val="left" w:pos="-720"/>
          <w:tab w:val="left" w:pos="-90"/>
          <w:tab w:val="left" w:pos="720"/>
        </w:tabs>
        <w:spacing w:after="200"/>
        <w:rPr>
          <w:rFonts w:ascii="Arial" w:hAnsi="Arial" w:cs="Arial"/>
          <w:b/>
          <w:bCs/>
          <w:sz w:val="22"/>
          <w:szCs w:val="22"/>
        </w:rPr>
      </w:pPr>
      <w:r w:rsidRPr="00270E8B">
        <w:rPr>
          <w:rFonts w:ascii="Arial" w:hAnsi="Arial" w:cs="Arial"/>
          <w:b/>
          <w:bCs/>
          <w:sz w:val="22"/>
          <w:szCs w:val="22"/>
        </w:rPr>
        <w:t xml:space="preserve">II. </w:t>
      </w:r>
      <w:r w:rsidRPr="00270E8B">
        <w:rPr>
          <w:rFonts w:ascii="Arial" w:hAnsi="Arial" w:cs="Arial"/>
          <w:b/>
          <w:bCs/>
          <w:sz w:val="22"/>
          <w:szCs w:val="22"/>
        </w:rPr>
        <w:tab/>
        <w:t>OBJECTIVES</w:t>
      </w:r>
    </w:p>
    <w:p w:rsidR="00040A1C" w:rsidRPr="00270E8B" w:rsidP="004149A1" w14:paraId="6303BBAF" w14:textId="0ABCED18">
      <w:pPr>
        <w:widowControl/>
        <w:tabs>
          <w:tab w:val="left" w:pos="-1080"/>
          <w:tab w:val="left" w:pos="-720"/>
          <w:tab w:val="left" w:pos="-90"/>
          <w:tab w:val="left" w:pos="720"/>
        </w:tabs>
        <w:spacing w:after="200"/>
        <w:ind w:left="1440" w:hanging="720"/>
        <w:rPr>
          <w:rFonts w:ascii="Arial" w:hAnsi="Arial" w:cs="Arial"/>
          <w:sz w:val="22"/>
          <w:szCs w:val="22"/>
        </w:rPr>
      </w:pPr>
      <w:r w:rsidRPr="00270E8B">
        <w:rPr>
          <w:rFonts w:ascii="Arial" w:hAnsi="Arial" w:cs="Arial"/>
          <w:sz w:val="22"/>
          <w:szCs w:val="22"/>
        </w:rPr>
        <w:t>A.</w:t>
      </w:r>
      <w:r w:rsidRPr="00270E8B">
        <w:rPr>
          <w:rFonts w:ascii="Arial" w:hAnsi="Arial" w:cs="Arial"/>
          <w:sz w:val="22"/>
          <w:szCs w:val="22"/>
        </w:rPr>
        <w:tab/>
        <w:t xml:space="preserve">To provide guidance for the Agreement States on reporting </w:t>
      </w:r>
      <w:r w:rsidRPr="00270E8B" w:rsidR="00C10E28">
        <w:rPr>
          <w:rFonts w:ascii="Arial" w:hAnsi="Arial" w:cs="Arial"/>
          <w:sz w:val="22"/>
          <w:szCs w:val="22"/>
        </w:rPr>
        <w:t xml:space="preserve">nuclear </w:t>
      </w:r>
      <w:r w:rsidRPr="00270E8B">
        <w:rPr>
          <w:rFonts w:ascii="Arial" w:hAnsi="Arial" w:cs="Arial"/>
          <w:sz w:val="22"/>
          <w:szCs w:val="22"/>
        </w:rPr>
        <w:t xml:space="preserve">material events to </w:t>
      </w:r>
      <w:r w:rsidR="007501F8">
        <w:rPr>
          <w:rFonts w:ascii="Arial" w:hAnsi="Arial" w:cs="Arial"/>
          <w:sz w:val="22"/>
          <w:szCs w:val="22"/>
        </w:rPr>
        <w:t xml:space="preserve">the </w:t>
      </w:r>
      <w:r w:rsidRPr="00270E8B">
        <w:rPr>
          <w:rFonts w:ascii="Arial" w:hAnsi="Arial" w:cs="Arial"/>
          <w:sz w:val="22"/>
          <w:szCs w:val="22"/>
        </w:rPr>
        <w:t>NRC.</w:t>
      </w:r>
    </w:p>
    <w:p w:rsidR="00040A1C" w:rsidRPr="00270E8B" w:rsidP="004149A1" w14:paraId="4E4A928F" w14:textId="07E94DEF">
      <w:pPr>
        <w:widowControl/>
        <w:tabs>
          <w:tab w:val="left" w:pos="-1080"/>
          <w:tab w:val="left" w:pos="-720"/>
          <w:tab w:val="left" w:pos="-90"/>
          <w:tab w:val="left" w:pos="720"/>
        </w:tabs>
        <w:spacing w:after="200"/>
        <w:ind w:left="1440" w:hanging="720"/>
        <w:rPr>
          <w:rFonts w:ascii="Arial" w:hAnsi="Arial" w:cs="Arial"/>
          <w:sz w:val="22"/>
          <w:szCs w:val="22"/>
        </w:rPr>
      </w:pPr>
      <w:r w:rsidRPr="00270E8B">
        <w:rPr>
          <w:rFonts w:ascii="Arial" w:hAnsi="Arial" w:cs="Arial"/>
          <w:sz w:val="22"/>
          <w:szCs w:val="22"/>
        </w:rPr>
        <w:t>B.</w:t>
      </w:r>
      <w:r w:rsidRPr="00270E8B">
        <w:rPr>
          <w:rFonts w:ascii="Arial" w:hAnsi="Arial" w:cs="Arial"/>
          <w:sz w:val="22"/>
          <w:szCs w:val="22"/>
        </w:rPr>
        <w:tab/>
      </w:r>
      <w:r w:rsidR="00C26BAB">
        <w:rPr>
          <w:rFonts w:ascii="Arial" w:hAnsi="Arial" w:cs="Arial"/>
          <w:sz w:val="22"/>
          <w:szCs w:val="22"/>
        </w:rPr>
        <w:t xml:space="preserve">To ensure that </w:t>
      </w:r>
      <w:r w:rsidRPr="00A7105B" w:rsidR="00C26BAB">
        <w:rPr>
          <w:rFonts w:ascii="Arial" w:hAnsi="Arial" w:cs="Arial"/>
          <w:sz w:val="22"/>
          <w:szCs w:val="22"/>
        </w:rPr>
        <w:t>interactions between the NRC and Agreement State are coordinated</w:t>
      </w:r>
      <w:r w:rsidR="00C26BAB">
        <w:rPr>
          <w:rFonts w:ascii="Arial" w:hAnsi="Arial" w:cs="Arial"/>
          <w:sz w:val="22"/>
          <w:szCs w:val="22"/>
        </w:rPr>
        <w:t xml:space="preserve"> </w:t>
      </w:r>
      <w:r w:rsidR="003070AD">
        <w:rPr>
          <w:rFonts w:ascii="Arial" w:hAnsi="Arial" w:cs="Arial"/>
          <w:sz w:val="22"/>
          <w:szCs w:val="22"/>
        </w:rPr>
        <w:t>regarding</w:t>
      </w:r>
      <w:r w:rsidR="00C26BAB">
        <w:rPr>
          <w:rFonts w:ascii="Arial" w:hAnsi="Arial" w:cs="Arial"/>
          <w:sz w:val="22"/>
          <w:szCs w:val="22"/>
        </w:rPr>
        <w:t xml:space="preserve"> reported nuclear material events.</w:t>
      </w:r>
      <w:r w:rsidRPr="00A7105B" w:rsidR="00C26BAB">
        <w:rPr>
          <w:rFonts w:ascii="Arial" w:hAnsi="Arial" w:cs="Arial"/>
          <w:sz w:val="22"/>
          <w:szCs w:val="22"/>
        </w:rPr>
        <w:t xml:space="preserve"> </w:t>
      </w:r>
    </w:p>
    <w:p w:rsidR="00040A1C" w:rsidRPr="00270E8B" w:rsidP="004149A1" w14:paraId="042E8526" w14:textId="77777777">
      <w:pPr>
        <w:widowControl/>
        <w:tabs>
          <w:tab w:val="left" w:pos="-1080"/>
          <w:tab w:val="left" w:pos="-720"/>
          <w:tab w:val="left" w:pos="-90"/>
          <w:tab w:val="left" w:pos="720"/>
        </w:tabs>
        <w:spacing w:after="200"/>
        <w:rPr>
          <w:rFonts w:ascii="Arial" w:hAnsi="Arial" w:cs="Arial"/>
          <w:sz w:val="22"/>
          <w:szCs w:val="22"/>
        </w:rPr>
      </w:pPr>
      <w:r w:rsidRPr="00270E8B">
        <w:rPr>
          <w:rFonts w:ascii="Arial" w:hAnsi="Arial" w:cs="Arial"/>
          <w:b/>
          <w:bCs/>
          <w:sz w:val="22"/>
          <w:szCs w:val="22"/>
        </w:rPr>
        <w:t>III.</w:t>
      </w:r>
      <w:r w:rsidRPr="00270E8B">
        <w:rPr>
          <w:rFonts w:ascii="Arial" w:hAnsi="Arial" w:cs="Arial"/>
          <w:b/>
          <w:bCs/>
          <w:sz w:val="22"/>
          <w:szCs w:val="22"/>
        </w:rPr>
        <w:tab/>
        <w:t>BACKGROUND</w:t>
      </w:r>
    </w:p>
    <w:p w:rsidR="005C5641" w:rsidP="005C5641" w14:paraId="4CE23D41" w14:textId="77777777">
      <w:pPr>
        <w:spacing w:after="200"/>
        <w:ind w:left="720"/>
        <w:rPr>
          <w:rFonts w:ascii="Arial" w:hAnsi="Arial" w:cs="Arial"/>
          <w:sz w:val="22"/>
          <w:szCs w:val="22"/>
        </w:rPr>
      </w:pPr>
      <w:r w:rsidRPr="000E3649">
        <w:rPr>
          <w:rFonts w:ascii="Arial" w:hAnsi="Arial" w:cs="Arial"/>
          <w:sz w:val="22"/>
          <w:szCs w:val="22"/>
        </w:rPr>
        <w:t xml:space="preserve">The Atomic Energy Act (AEA) allows the Commission to enter </w:t>
      </w:r>
      <w:r w:rsidRPr="000E3649" w:rsidR="0037392A">
        <w:rPr>
          <w:rFonts w:ascii="Arial" w:hAnsi="Arial" w:cs="Arial"/>
          <w:sz w:val="22"/>
          <w:szCs w:val="22"/>
        </w:rPr>
        <w:t xml:space="preserve">into </w:t>
      </w:r>
      <w:r w:rsidRPr="000E3649">
        <w:rPr>
          <w:rFonts w:ascii="Arial" w:hAnsi="Arial" w:cs="Arial"/>
          <w:sz w:val="22"/>
          <w:szCs w:val="22"/>
        </w:rPr>
        <w:t xml:space="preserve">an </w:t>
      </w:r>
      <w:r w:rsidRPr="6758BA9D" w:rsidR="000FDCC9">
        <w:rPr>
          <w:rFonts w:ascii="Arial" w:hAnsi="Arial" w:cs="Arial"/>
          <w:sz w:val="22"/>
          <w:szCs w:val="22"/>
        </w:rPr>
        <w:t>a</w:t>
      </w:r>
      <w:r w:rsidRPr="6758BA9D">
        <w:rPr>
          <w:rFonts w:ascii="Arial" w:hAnsi="Arial" w:cs="Arial"/>
          <w:sz w:val="22"/>
          <w:szCs w:val="22"/>
        </w:rPr>
        <w:t>greement</w:t>
      </w:r>
      <w:r w:rsidRPr="000E3649">
        <w:rPr>
          <w:rFonts w:ascii="Arial" w:hAnsi="Arial" w:cs="Arial"/>
          <w:sz w:val="22"/>
          <w:szCs w:val="22"/>
        </w:rPr>
        <w:t xml:space="preserve"> with a </w:t>
      </w:r>
      <w:r w:rsidRPr="6758BA9D" w:rsidR="7D876D4A">
        <w:rPr>
          <w:rFonts w:ascii="Arial" w:hAnsi="Arial" w:cs="Arial"/>
          <w:sz w:val="22"/>
          <w:szCs w:val="22"/>
        </w:rPr>
        <w:t>s</w:t>
      </w:r>
      <w:r w:rsidRPr="6758BA9D">
        <w:rPr>
          <w:rFonts w:ascii="Arial" w:hAnsi="Arial" w:cs="Arial"/>
          <w:sz w:val="22"/>
          <w:szCs w:val="22"/>
        </w:rPr>
        <w:t>tate</w:t>
      </w:r>
      <w:r w:rsidRPr="000E3649">
        <w:rPr>
          <w:rFonts w:ascii="Arial" w:hAnsi="Arial" w:cs="Arial"/>
          <w:sz w:val="22"/>
          <w:szCs w:val="22"/>
        </w:rPr>
        <w:t xml:space="preserve"> to transfer regulatory authority over certain nuclear materials.  In accordance with provisions contained in the AEA and the Energy Reorganization Act, and compatible Agreement State regulations, NRC and Agreement State licensees are required to report the occurrence of incidents and events involving the use of nuclear materials to the appropriate regulatory agency.  For purposes of compatibility, the Agreement States report</w:t>
      </w:r>
      <w:r w:rsidRPr="000E3649" w:rsidR="007821E1">
        <w:rPr>
          <w:rFonts w:ascii="Arial" w:hAnsi="Arial" w:cs="Arial"/>
          <w:sz w:val="22"/>
          <w:szCs w:val="22"/>
        </w:rPr>
        <w:t xml:space="preserve"> to </w:t>
      </w:r>
      <w:r w:rsidR="00DD51A3">
        <w:rPr>
          <w:rFonts w:ascii="Arial" w:hAnsi="Arial" w:cs="Arial"/>
          <w:sz w:val="22"/>
          <w:szCs w:val="22"/>
        </w:rPr>
        <w:t xml:space="preserve">the </w:t>
      </w:r>
      <w:r w:rsidRPr="000E3649" w:rsidR="007821E1">
        <w:rPr>
          <w:rFonts w:ascii="Arial" w:hAnsi="Arial" w:cs="Arial"/>
          <w:sz w:val="22"/>
          <w:szCs w:val="22"/>
        </w:rPr>
        <w:t>NRC</w:t>
      </w:r>
      <w:r w:rsidRPr="000E3649" w:rsidR="00462F91">
        <w:rPr>
          <w:rFonts w:ascii="Arial" w:hAnsi="Arial" w:cs="Arial"/>
          <w:sz w:val="22"/>
          <w:szCs w:val="22"/>
        </w:rPr>
        <w:t xml:space="preserve"> those</w:t>
      </w:r>
      <w:r w:rsidRPr="000E3649">
        <w:rPr>
          <w:rFonts w:ascii="Arial" w:hAnsi="Arial" w:cs="Arial"/>
          <w:sz w:val="22"/>
          <w:szCs w:val="22"/>
        </w:rPr>
        <w:t xml:space="preserve"> incidents and events</w:t>
      </w:r>
      <w:r w:rsidRPr="000E3649" w:rsidR="00462F91">
        <w:rPr>
          <w:rFonts w:ascii="Arial" w:hAnsi="Arial" w:cs="Arial"/>
          <w:sz w:val="22"/>
          <w:szCs w:val="22"/>
        </w:rPr>
        <w:t xml:space="preserve"> reported to them by their licensees </w:t>
      </w:r>
      <w:r w:rsidRPr="000E3649" w:rsidR="007A5D90">
        <w:rPr>
          <w:rFonts w:ascii="Arial" w:hAnsi="Arial" w:cs="Arial"/>
          <w:sz w:val="22"/>
          <w:szCs w:val="22"/>
        </w:rPr>
        <w:t xml:space="preserve">or non-licensees </w:t>
      </w:r>
      <w:r w:rsidRPr="000E3649" w:rsidR="00462F91">
        <w:rPr>
          <w:rFonts w:ascii="Arial" w:hAnsi="Arial" w:cs="Arial"/>
          <w:sz w:val="22"/>
          <w:szCs w:val="22"/>
        </w:rPr>
        <w:t>that involve</w:t>
      </w:r>
      <w:r w:rsidRPr="000E3649">
        <w:rPr>
          <w:rFonts w:ascii="Arial" w:hAnsi="Arial" w:cs="Arial"/>
          <w:sz w:val="22"/>
          <w:szCs w:val="22"/>
        </w:rPr>
        <w:t xml:space="preserve"> the use of nuclear materials.</w:t>
      </w:r>
    </w:p>
    <w:p w:rsidR="007E2377" w:rsidP="007E2377" w14:paraId="14D7C71F" w14:textId="77777777">
      <w:pPr>
        <w:spacing w:after="200"/>
        <w:ind w:left="720"/>
        <w:rPr>
          <w:rFonts w:ascii="Arial" w:hAnsi="Arial" w:cs="Arial"/>
          <w:sz w:val="22"/>
          <w:szCs w:val="22"/>
        </w:rPr>
      </w:pPr>
      <w:r w:rsidRPr="005C5641">
        <w:rPr>
          <w:rFonts w:ascii="Arial" w:hAnsi="Arial" w:cs="Arial"/>
          <w:sz w:val="22"/>
          <w:szCs w:val="22"/>
        </w:rPr>
        <w:t>The Agreement State Program Policy Statement addresses the Federal-State interaction under the AEA to (1) establish and maintain agreements with States under Subsection 274b. that provide for discontinuance by the NRC, and the assumption by the State, of responsibility for administration of a regulatory program for the safe use of agreement material; (2) ensure that post-agreement interactions between the NRC and Agreement State radiation control programs are coordinated; and (3) ensure Agreement States provide adequate protection of public health and safety and maintain programs that are compatible with the NRC’s regulatory program (82 FR 48535).</w:t>
      </w:r>
    </w:p>
    <w:p w:rsidR="007E2377" w:rsidRPr="007E2377" w:rsidP="007E2377" w14:paraId="6F6D4413" w14:textId="662EC25D">
      <w:pPr>
        <w:spacing w:after="200"/>
        <w:ind w:left="720"/>
        <w:rPr>
          <w:rFonts w:ascii="Arial" w:hAnsi="Arial" w:cs="Arial"/>
          <w:sz w:val="22"/>
          <w:szCs w:val="22"/>
        </w:rPr>
      </w:pPr>
      <w:r w:rsidRPr="007E2377">
        <w:rPr>
          <w:rFonts w:ascii="Arial" w:hAnsi="Arial" w:cs="Arial"/>
          <w:sz w:val="22"/>
          <w:szCs w:val="22"/>
        </w:rPr>
        <w:t xml:space="preserve">Nuclear material events are required to be reported in accordance with 10 CFR Parts 20, 30, 31, 34, 35, 36, 37, 39, 40, 70, and 71 or equivalent state regulations. </w:t>
      </w:r>
    </w:p>
    <w:p w:rsidR="00040A1C" w:rsidRPr="008B0E2B" w:rsidP="004149A1" w14:paraId="0EE3AE60" w14:textId="77777777">
      <w:pPr>
        <w:widowControl/>
        <w:tabs>
          <w:tab w:val="left" w:pos="-1080"/>
          <w:tab w:val="left" w:pos="-720"/>
          <w:tab w:val="left" w:pos="-90"/>
          <w:tab w:val="left" w:pos="720"/>
        </w:tabs>
        <w:spacing w:after="200"/>
        <w:rPr>
          <w:rFonts w:ascii="Arial" w:hAnsi="Arial" w:cs="Arial"/>
          <w:sz w:val="22"/>
          <w:szCs w:val="22"/>
        </w:rPr>
      </w:pPr>
      <w:r w:rsidRPr="008B0E2B">
        <w:rPr>
          <w:rFonts w:ascii="Arial" w:hAnsi="Arial" w:cs="Arial"/>
          <w:b/>
          <w:bCs/>
          <w:sz w:val="22"/>
          <w:szCs w:val="22"/>
        </w:rPr>
        <w:t>IV.</w:t>
      </w:r>
      <w:r w:rsidRPr="008B0E2B">
        <w:rPr>
          <w:rFonts w:ascii="Arial" w:hAnsi="Arial" w:cs="Arial"/>
          <w:b/>
          <w:bCs/>
          <w:sz w:val="22"/>
          <w:szCs w:val="22"/>
        </w:rPr>
        <w:tab/>
        <w:t>ROLES AND RESPONSIBILITIES</w:t>
      </w:r>
    </w:p>
    <w:p w:rsidR="00654DE9" w:rsidP="004149A1" w14:paraId="1D739E6F" w14:textId="487BC063">
      <w:pPr>
        <w:widowControl/>
        <w:spacing w:after="200"/>
        <w:ind w:left="720"/>
        <w:rPr>
          <w:rFonts w:ascii="Arial" w:hAnsi="Arial" w:cs="Arial"/>
          <w:sz w:val="22"/>
          <w:szCs w:val="22"/>
        </w:rPr>
      </w:pPr>
      <w:r>
        <w:rPr>
          <w:rFonts w:ascii="ArialMT" w:hAnsi="ArialMT" w:cs="ArialMT"/>
          <w:sz w:val="22"/>
          <w:szCs w:val="22"/>
        </w:rPr>
        <w:t>The Office of Nuclear Material Safety and Safeguards (</w:t>
      </w:r>
      <w:r w:rsidR="00A65B49">
        <w:rPr>
          <w:rFonts w:ascii="ArialMT" w:hAnsi="ArialMT" w:cs="ArialMT"/>
          <w:sz w:val="22"/>
          <w:szCs w:val="22"/>
        </w:rPr>
        <w:t>NMSS</w:t>
      </w:r>
      <w:r>
        <w:rPr>
          <w:rFonts w:ascii="ArialMT" w:hAnsi="ArialMT" w:cs="ArialMT"/>
          <w:sz w:val="22"/>
          <w:szCs w:val="22"/>
        </w:rPr>
        <w:t>)</w:t>
      </w:r>
      <w:r>
        <w:rPr>
          <w:rFonts w:ascii="ArialMT" w:hAnsi="ArialMT" w:cs="ArialMT"/>
          <w:sz w:val="22"/>
          <w:szCs w:val="22"/>
        </w:rPr>
        <w:t xml:space="preserve"> is the lead office responsible for the implementation of this procedure. The Division of Materials Safety, Security, State, and Tribal Programs (MSST) has the responsibility for the oversight and management of these objectives.</w:t>
      </w:r>
    </w:p>
    <w:p w:rsidR="002769DB" w:rsidP="004149A1" w14:paraId="418882D7" w14:textId="77777777">
      <w:pPr>
        <w:widowControl/>
        <w:tabs>
          <w:tab w:val="left" w:pos="-1080"/>
          <w:tab w:val="left" w:pos="-720"/>
          <w:tab w:val="left" w:pos="-90"/>
          <w:tab w:val="left" w:pos="720"/>
        </w:tabs>
        <w:spacing w:after="200"/>
        <w:ind w:left="1440" w:hanging="720"/>
        <w:rPr>
          <w:rFonts w:ascii="Helvetica" w:hAnsi="Helvetica" w:cs="Helvetica"/>
          <w:color w:val="333333"/>
          <w:sz w:val="21"/>
          <w:szCs w:val="21"/>
          <w:shd w:val="clear" w:color="auto" w:fill="FFFFFF"/>
        </w:rPr>
      </w:pPr>
      <w:r w:rsidRPr="008B0E2B">
        <w:rPr>
          <w:rFonts w:ascii="Arial" w:hAnsi="Arial" w:cs="Arial"/>
          <w:sz w:val="22"/>
          <w:szCs w:val="22"/>
        </w:rPr>
        <w:t>A.</w:t>
      </w:r>
      <w:r w:rsidRPr="008B0E2B">
        <w:rPr>
          <w:rFonts w:ascii="Arial" w:hAnsi="Arial" w:cs="Arial"/>
          <w:sz w:val="22"/>
          <w:szCs w:val="22"/>
        </w:rPr>
        <w:tab/>
      </w:r>
      <w:r w:rsidR="00B161C3">
        <w:rPr>
          <w:rFonts w:ascii="Arial" w:hAnsi="Arial" w:cs="Arial"/>
          <w:sz w:val="22"/>
          <w:szCs w:val="22"/>
        </w:rPr>
        <w:t>Director, NMSS/</w:t>
      </w:r>
      <w:r w:rsidRPr="00B34981" w:rsidR="00B161C3">
        <w:rPr>
          <w:rFonts w:ascii="Arial" w:hAnsi="Arial" w:cs="Arial"/>
          <w:sz w:val="22"/>
          <w:szCs w:val="22"/>
        </w:rPr>
        <w:t>MSST</w:t>
      </w:r>
    </w:p>
    <w:p w:rsidR="00040A1C" w:rsidRPr="004149A1" w:rsidP="004149A1" w14:paraId="32C6668F" w14:textId="569224CD">
      <w:pPr>
        <w:widowControl/>
        <w:tabs>
          <w:tab w:val="left" w:pos="-1080"/>
          <w:tab w:val="left" w:pos="-720"/>
          <w:tab w:val="left" w:pos="-90"/>
          <w:tab w:val="left" w:pos="720"/>
        </w:tabs>
        <w:spacing w:after="200"/>
        <w:ind w:left="1440" w:hanging="720"/>
        <w:rPr>
          <w:rFonts w:ascii="Arial" w:eastAsia="@MingLiU" w:hAnsi="Arial" w:cs="Arial"/>
          <w:sz w:val="22"/>
          <w:szCs w:val="22"/>
        </w:rPr>
      </w:pPr>
      <w:r>
        <w:rPr>
          <w:rFonts w:ascii="Arial" w:hAnsi="Arial" w:cs="Arial"/>
          <w:sz w:val="22"/>
          <w:szCs w:val="22"/>
        </w:rPr>
        <w:tab/>
        <w:t>The MSST Director</w:t>
      </w:r>
      <w:r w:rsidRPr="008B0E2B" w:rsidR="00946B1F">
        <w:rPr>
          <w:rFonts w:ascii="Arial" w:hAnsi="Arial" w:cs="Arial"/>
          <w:sz w:val="22"/>
          <w:szCs w:val="22"/>
        </w:rPr>
        <w:t>, or designee</w:t>
      </w:r>
      <w:r w:rsidRPr="008B0E2B">
        <w:rPr>
          <w:rFonts w:ascii="Arial" w:hAnsi="Arial" w:cs="Arial"/>
          <w:sz w:val="22"/>
          <w:szCs w:val="22"/>
        </w:rPr>
        <w:t>,</w:t>
      </w:r>
      <w:r w:rsidRPr="008B0E2B" w:rsidR="00946B1F">
        <w:rPr>
          <w:rFonts w:ascii="Arial" w:hAnsi="Arial" w:cs="Arial"/>
          <w:sz w:val="22"/>
          <w:szCs w:val="22"/>
        </w:rPr>
        <w:t xml:space="preserve"> </w:t>
      </w:r>
      <w:r w:rsidR="00E502F9">
        <w:rPr>
          <w:rFonts w:ascii="Arial" w:hAnsi="Arial" w:cs="Arial"/>
          <w:sz w:val="22"/>
          <w:szCs w:val="22"/>
        </w:rPr>
        <w:t xml:space="preserve">reviews </w:t>
      </w:r>
      <w:r w:rsidRPr="008B0E2B" w:rsidR="00C10E28">
        <w:rPr>
          <w:rFonts w:ascii="Arial" w:hAnsi="Arial" w:cs="Arial"/>
          <w:sz w:val="22"/>
          <w:szCs w:val="22"/>
        </w:rPr>
        <w:t xml:space="preserve">nuclear </w:t>
      </w:r>
      <w:r w:rsidRPr="008B0E2B" w:rsidR="00946B1F">
        <w:rPr>
          <w:rFonts w:ascii="Arial" w:hAnsi="Arial" w:cs="Arial"/>
          <w:sz w:val="22"/>
          <w:szCs w:val="22"/>
        </w:rPr>
        <w:t>material events that</w:t>
      </w:r>
      <w:r w:rsidR="000D6554">
        <w:rPr>
          <w:rFonts w:ascii="Arial" w:hAnsi="Arial" w:cs="Arial"/>
          <w:sz w:val="22"/>
          <w:szCs w:val="22"/>
        </w:rPr>
        <w:t xml:space="preserve"> are reported to the NRC Operations Center</w:t>
      </w:r>
      <w:r w:rsidR="00E502F9">
        <w:rPr>
          <w:rFonts w:ascii="Arial" w:hAnsi="Arial" w:cs="Arial"/>
          <w:sz w:val="22"/>
          <w:szCs w:val="22"/>
        </w:rPr>
        <w:t xml:space="preserve"> by </w:t>
      </w:r>
      <w:r w:rsidRPr="008B0E2B" w:rsidR="00E502F9">
        <w:rPr>
          <w:rFonts w:ascii="Arial" w:hAnsi="Arial" w:cs="Arial"/>
          <w:sz w:val="22"/>
          <w:szCs w:val="22"/>
        </w:rPr>
        <w:t>Agreement State</w:t>
      </w:r>
      <w:r w:rsidR="00E502F9">
        <w:rPr>
          <w:rFonts w:ascii="Arial" w:hAnsi="Arial" w:cs="Arial"/>
          <w:sz w:val="22"/>
          <w:szCs w:val="22"/>
        </w:rPr>
        <w:t>s</w:t>
      </w:r>
      <w:r w:rsidRPr="008B0E2B" w:rsidR="00541F1D">
        <w:rPr>
          <w:rFonts w:ascii="Arial" w:hAnsi="Arial" w:cs="Arial"/>
          <w:sz w:val="22"/>
          <w:szCs w:val="22"/>
        </w:rPr>
        <w:t>.</w:t>
      </w:r>
      <w:r w:rsidRPr="008B0E2B">
        <w:rPr>
          <w:rFonts w:ascii="Arial" w:hAnsi="Arial" w:cs="Arial"/>
          <w:sz w:val="22"/>
          <w:szCs w:val="22"/>
        </w:rPr>
        <w:t xml:space="preserve"> </w:t>
      </w:r>
      <w:r w:rsidR="00E502F9">
        <w:rPr>
          <w:rFonts w:ascii="Arial" w:hAnsi="Arial" w:cs="Arial"/>
          <w:sz w:val="22"/>
          <w:szCs w:val="22"/>
        </w:rPr>
        <w:t xml:space="preserve"> The MSST Director</w:t>
      </w:r>
      <w:r w:rsidR="00035737">
        <w:rPr>
          <w:rFonts w:ascii="Arial" w:hAnsi="Arial" w:cs="Arial"/>
          <w:sz w:val="22"/>
          <w:szCs w:val="22"/>
        </w:rPr>
        <w:t>, or designee,</w:t>
      </w:r>
      <w:r w:rsidR="00E502F9">
        <w:rPr>
          <w:rFonts w:ascii="Arial" w:hAnsi="Arial" w:cs="Arial"/>
          <w:sz w:val="22"/>
          <w:szCs w:val="22"/>
        </w:rPr>
        <w:t xml:space="preserve"> should ensure that staff review and assess Agreement State reports as described in </w:t>
      </w:r>
      <w:r w:rsidR="00DA2A3E">
        <w:rPr>
          <w:rFonts w:ascii="Arial" w:hAnsi="Arial" w:cs="Arial"/>
          <w:sz w:val="22"/>
          <w:szCs w:val="22"/>
        </w:rPr>
        <w:t>NRC Management Directives</w:t>
      </w:r>
      <w:r w:rsidR="009B17BA">
        <w:rPr>
          <w:rFonts w:ascii="Arial" w:hAnsi="Arial" w:cs="Arial"/>
          <w:sz w:val="22"/>
          <w:szCs w:val="22"/>
        </w:rPr>
        <w:t xml:space="preserve"> (MD)</w:t>
      </w:r>
      <w:r w:rsidR="00DA2A3E">
        <w:rPr>
          <w:rFonts w:ascii="Arial" w:hAnsi="Arial" w:cs="Arial"/>
          <w:sz w:val="22"/>
          <w:szCs w:val="22"/>
        </w:rPr>
        <w:t xml:space="preserve"> and implementing procedures</w:t>
      </w:r>
      <w:r w:rsidR="00E502F9">
        <w:rPr>
          <w:rFonts w:ascii="Arial" w:hAnsi="Arial" w:cs="Arial"/>
          <w:sz w:val="22"/>
          <w:szCs w:val="22"/>
        </w:rPr>
        <w:t>.</w:t>
      </w:r>
      <w:r w:rsidRPr="008B0E2B" w:rsidR="00541F1D">
        <w:rPr>
          <w:rFonts w:ascii="Arial" w:eastAsia="@MingLiU" w:hAnsi="Arial" w:cs="Arial"/>
          <w:sz w:val="22"/>
          <w:szCs w:val="22"/>
        </w:rPr>
        <w:t xml:space="preserve"> </w:t>
      </w:r>
    </w:p>
    <w:p w:rsidR="0012299C" w:rsidP="004149A1" w14:paraId="20E27EBB" w14:textId="09D4F3BC">
      <w:pPr>
        <w:widowControl/>
        <w:tabs>
          <w:tab w:val="left" w:pos="-1080"/>
          <w:tab w:val="left" w:pos="-720"/>
          <w:tab w:val="left" w:pos="-90"/>
          <w:tab w:val="left" w:pos="720"/>
        </w:tabs>
        <w:spacing w:after="200"/>
        <w:ind w:left="1440" w:hanging="720"/>
        <w:rPr>
          <w:rFonts w:ascii="Arial" w:hAnsi="Arial" w:cs="Arial"/>
          <w:sz w:val="22"/>
          <w:szCs w:val="22"/>
        </w:rPr>
      </w:pPr>
      <w:r>
        <w:rPr>
          <w:rFonts w:ascii="Arial" w:hAnsi="Arial" w:cs="Arial"/>
          <w:sz w:val="22"/>
          <w:szCs w:val="22"/>
        </w:rPr>
        <w:t>B</w:t>
      </w:r>
      <w:r w:rsidR="00576F63">
        <w:rPr>
          <w:rFonts w:ascii="Arial" w:hAnsi="Arial" w:cs="Arial"/>
          <w:sz w:val="22"/>
          <w:szCs w:val="22"/>
        </w:rPr>
        <w:t xml:space="preserve">. </w:t>
      </w:r>
      <w:r w:rsidR="00576F63">
        <w:rPr>
          <w:rFonts w:ascii="Arial" w:hAnsi="Arial" w:cs="Arial"/>
          <w:sz w:val="22"/>
          <w:szCs w:val="22"/>
        </w:rPr>
        <w:tab/>
      </w:r>
      <w:r w:rsidRPr="008B0E2B" w:rsidR="00040A1C">
        <w:rPr>
          <w:rFonts w:ascii="Arial" w:hAnsi="Arial" w:cs="Arial"/>
          <w:sz w:val="22"/>
          <w:szCs w:val="22"/>
        </w:rPr>
        <w:t>Regional State Agreements Officer (RSAO)</w:t>
      </w:r>
    </w:p>
    <w:p w:rsidR="00DA2A3E" w:rsidP="00B21B51" w14:paraId="1D38F220" w14:textId="66B69243">
      <w:pPr>
        <w:widowControl/>
        <w:tabs>
          <w:tab w:val="left" w:pos="-1080"/>
          <w:tab w:val="left" w:pos="-720"/>
          <w:tab w:val="left" w:pos="-90"/>
          <w:tab w:val="left" w:pos="720"/>
        </w:tabs>
        <w:spacing w:after="200"/>
        <w:ind w:left="1440" w:hanging="720"/>
        <w:rPr>
          <w:rFonts w:ascii="Arial" w:hAnsi="Arial" w:cs="Arial"/>
          <w:sz w:val="22"/>
          <w:szCs w:val="22"/>
        </w:rPr>
      </w:pPr>
      <w:r>
        <w:rPr>
          <w:rFonts w:ascii="Arial" w:hAnsi="Arial" w:cs="Arial"/>
          <w:sz w:val="22"/>
          <w:szCs w:val="22"/>
        </w:rPr>
        <w:tab/>
        <w:t>The RSAO</w:t>
      </w:r>
      <w:r w:rsidR="00A743B8">
        <w:rPr>
          <w:rFonts w:ascii="Arial" w:hAnsi="Arial" w:cs="Arial"/>
          <w:sz w:val="22"/>
          <w:szCs w:val="22"/>
        </w:rPr>
        <w:t xml:space="preserve"> communicates with the Agreement States</w:t>
      </w:r>
      <w:r w:rsidR="002F1600">
        <w:rPr>
          <w:rFonts w:ascii="Arial" w:hAnsi="Arial" w:cs="Arial"/>
          <w:sz w:val="22"/>
          <w:szCs w:val="22"/>
        </w:rPr>
        <w:t xml:space="preserve"> regarding reported events.  The RSAO</w:t>
      </w:r>
      <w:r w:rsidRPr="008B0E2B" w:rsidR="00040A1C">
        <w:rPr>
          <w:rFonts w:ascii="Arial" w:hAnsi="Arial" w:cs="Arial"/>
          <w:sz w:val="22"/>
          <w:szCs w:val="22"/>
        </w:rPr>
        <w:t xml:space="preserve"> serves as the point of contact for the region and </w:t>
      </w:r>
      <w:r w:rsidRPr="008B0E2B" w:rsidR="00576F63">
        <w:rPr>
          <w:rFonts w:ascii="Arial" w:hAnsi="Arial" w:cs="Arial"/>
          <w:sz w:val="22"/>
          <w:szCs w:val="22"/>
        </w:rPr>
        <w:t>MSS</w:t>
      </w:r>
      <w:r w:rsidR="00576F63">
        <w:rPr>
          <w:rFonts w:ascii="Arial" w:hAnsi="Arial" w:cs="Arial"/>
          <w:sz w:val="22"/>
          <w:szCs w:val="22"/>
        </w:rPr>
        <w:t>T</w:t>
      </w:r>
      <w:r w:rsidRPr="008B0E2B" w:rsidR="00576F63">
        <w:rPr>
          <w:rFonts w:ascii="Arial" w:hAnsi="Arial" w:cs="Arial"/>
          <w:sz w:val="22"/>
          <w:szCs w:val="22"/>
        </w:rPr>
        <w:t xml:space="preserve"> </w:t>
      </w:r>
      <w:r w:rsidRPr="008B0E2B" w:rsidR="00040A1C">
        <w:rPr>
          <w:rFonts w:ascii="Arial" w:hAnsi="Arial" w:cs="Arial"/>
          <w:sz w:val="22"/>
          <w:szCs w:val="22"/>
        </w:rPr>
        <w:t xml:space="preserve">regarding </w:t>
      </w:r>
      <w:r w:rsidR="00B34981">
        <w:rPr>
          <w:rFonts w:ascii="Arial" w:hAnsi="Arial" w:cs="Arial"/>
          <w:sz w:val="22"/>
          <w:szCs w:val="22"/>
        </w:rPr>
        <w:t xml:space="preserve">the </w:t>
      </w:r>
      <w:r w:rsidRPr="008B0E2B" w:rsidR="00040A1C">
        <w:rPr>
          <w:rFonts w:ascii="Arial" w:hAnsi="Arial" w:cs="Arial"/>
          <w:sz w:val="22"/>
          <w:szCs w:val="22"/>
        </w:rPr>
        <w:t xml:space="preserve">Agreement State radiation control programs.  </w:t>
      </w:r>
    </w:p>
    <w:p w:rsidR="00040A1C" w:rsidRPr="008B0E2B" w:rsidP="004149A1" w14:paraId="094F1EBA" w14:textId="77777777">
      <w:pPr>
        <w:widowControl/>
        <w:autoSpaceDE/>
        <w:autoSpaceDN/>
        <w:adjustRightInd/>
        <w:spacing w:after="200"/>
        <w:rPr>
          <w:rFonts w:ascii="Arial" w:hAnsi="Arial" w:cs="Arial"/>
          <w:sz w:val="22"/>
          <w:szCs w:val="22"/>
        </w:rPr>
      </w:pPr>
      <w:r w:rsidRPr="008B0E2B">
        <w:rPr>
          <w:rFonts w:ascii="Arial" w:hAnsi="Arial" w:cs="Arial"/>
          <w:b/>
          <w:bCs/>
          <w:sz w:val="22"/>
          <w:szCs w:val="22"/>
        </w:rPr>
        <w:t>V.</w:t>
      </w:r>
      <w:r w:rsidRPr="008B0E2B">
        <w:rPr>
          <w:rFonts w:ascii="Arial" w:hAnsi="Arial" w:cs="Arial"/>
          <w:b/>
          <w:bCs/>
          <w:sz w:val="22"/>
          <w:szCs w:val="22"/>
        </w:rPr>
        <w:tab/>
        <w:t>GUIDANCE</w:t>
      </w:r>
    </w:p>
    <w:p w:rsidR="00B34981" w:rsidRPr="00B34981" w:rsidP="004149A1" w14:paraId="6AF272EA" w14:textId="722F70A4">
      <w:pPr>
        <w:pStyle w:val="ListParagraph"/>
        <w:numPr>
          <w:ilvl w:val="0"/>
          <w:numId w:val="36"/>
        </w:numPr>
        <w:tabs>
          <w:tab w:val="left" w:pos="-1080"/>
          <w:tab w:val="left" w:pos="-720"/>
          <w:tab w:val="left" w:pos="-90"/>
          <w:tab w:val="left" w:pos="720"/>
        </w:tabs>
        <w:spacing w:after="200"/>
        <w:contextualSpacing w:val="0"/>
        <w:rPr>
          <w:rFonts w:ascii="Arial" w:hAnsi="Arial" w:cs="Arial"/>
          <w:sz w:val="22"/>
          <w:szCs w:val="22"/>
        </w:rPr>
      </w:pPr>
      <w:r w:rsidRPr="00B34981">
        <w:rPr>
          <w:rFonts w:ascii="Arial" w:hAnsi="Arial" w:cs="Arial"/>
          <w:sz w:val="22"/>
          <w:szCs w:val="22"/>
        </w:rPr>
        <w:t>Guidance for Agreement States</w:t>
      </w:r>
    </w:p>
    <w:p w:rsidR="0047285A" w:rsidRPr="00A7105B" w:rsidP="00A7105B" w14:paraId="78226CB4" w14:textId="7C7E3797">
      <w:pPr>
        <w:pStyle w:val="ListParagraph"/>
        <w:tabs>
          <w:tab w:val="left" w:pos="720"/>
        </w:tabs>
        <w:spacing w:after="200"/>
        <w:ind w:left="1440"/>
        <w:contextualSpacing w:val="0"/>
        <w:rPr>
          <w:rFonts w:ascii="Arial" w:hAnsi="Arial" w:cs="Arial"/>
          <w:sz w:val="22"/>
          <w:szCs w:val="22"/>
          <w:highlight w:val="yellow"/>
        </w:rPr>
      </w:pPr>
      <w:r w:rsidRPr="2A302984">
        <w:rPr>
          <w:rFonts w:ascii="Arial" w:hAnsi="Arial" w:cs="Arial"/>
          <w:sz w:val="22"/>
          <w:szCs w:val="22"/>
        </w:rPr>
        <w:t xml:space="preserve">The </w:t>
      </w:r>
      <w:r w:rsidRPr="2A302984">
        <w:rPr>
          <w:rFonts w:ascii="Arial" w:hAnsi="Arial" w:cs="Arial"/>
          <w:i/>
          <w:iCs/>
          <w:sz w:val="22"/>
          <w:szCs w:val="22"/>
        </w:rPr>
        <w:t xml:space="preserve">Handbook on Nuclear Material Event Reporting </w:t>
      </w:r>
      <w:r>
        <w:rPr>
          <w:rFonts w:ascii="Arial" w:hAnsi="Arial" w:cs="Arial"/>
          <w:i/>
          <w:iCs/>
          <w:sz w:val="22"/>
          <w:szCs w:val="22"/>
        </w:rPr>
        <w:t>for</w:t>
      </w:r>
      <w:r w:rsidRPr="2A302984">
        <w:rPr>
          <w:rFonts w:ascii="Arial" w:hAnsi="Arial" w:cs="Arial"/>
          <w:i/>
          <w:iCs/>
          <w:sz w:val="22"/>
          <w:szCs w:val="22"/>
        </w:rPr>
        <w:t xml:space="preserve"> the Agreement States</w:t>
      </w:r>
      <w:r w:rsidRPr="2A302984">
        <w:rPr>
          <w:rFonts w:ascii="Arial" w:hAnsi="Arial" w:cs="Arial"/>
          <w:sz w:val="22"/>
          <w:szCs w:val="22"/>
        </w:rPr>
        <w:t xml:space="preserve"> provides guidance for the Agreement</w:t>
      </w:r>
      <w:r w:rsidR="00AF0FB3">
        <w:rPr>
          <w:rFonts w:ascii="Arial" w:hAnsi="Arial" w:cs="Arial"/>
          <w:sz w:val="22"/>
          <w:szCs w:val="22"/>
        </w:rPr>
        <w:t xml:space="preserve"> States</w:t>
      </w:r>
      <w:r w:rsidRPr="2A302984">
        <w:rPr>
          <w:rFonts w:ascii="Arial" w:hAnsi="Arial" w:cs="Arial"/>
          <w:sz w:val="22"/>
          <w:szCs w:val="22"/>
        </w:rPr>
        <w:t xml:space="preserve">.  </w:t>
      </w:r>
      <w:r w:rsidR="005329D7">
        <w:rPr>
          <w:rFonts w:ascii="Arial" w:hAnsi="Arial" w:cs="Arial"/>
          <w:sz w:val="22"/>
          <w:szCs w:val="22"/>
        </w:rPr>
        <w:t xml:space="preserve">It can be </w:t>
      </w:r>
      <w:r w:rsidRPr="00105F7C">
        <w:rPr>
          <w:rFonts w:ascii="Arial" w:hAnsi="Arial" w:cs="Arial"/>
          <w:color w:val="000000"/>
          <w:sz w:val="22"/>
          <w:szCs w:val="22"/>
        </w:rPr>
        <w:t>obtained from the Agencywide Documents Access and Management System (ADAMS) at</w:t>
      </w:r>
      <w:r>
        <w:t xml:space="preserve"> </w:t>
      </w:r>
      <w:hyperlink r:id="rId7" w:history="1">
        <w:r w:rsidRPr="00105F7C">
          <w:rPr>
            <w:rStyle w:val="Hyperlink"/>
            <w:rFonts w:ascii="Arial" w:hAnsi="Arial" w:cs="Arial"/>
            <w:sz w:val="22"/>
            <w:szCs w:val="22"/>
          </w:rPr>
          <w:t>https://www.nrc.gov/reading-rm/adams.html</w:t>
        </w:r>
      </w:hyperlink>
      <w:r w:rsidRPr="00105F7C">
        <w:rPr>
          <w:rFonts w:ascii="Arial" w:hAnsi="Arial" w:cs="Arial"/>
          <w:sz w:val="22"/>
          <w:szCs w:val="22"/>
        </w:rPr>
        <w:t>.</w:t>
      </w:r>
      <w:r>
        <w:rPr>
          <w:rFonts w:ascii="Arial" w:hAnsi="Arial" w:cs="Arial"/>
          <w:sz w:val="22"/>
          <w:szCs w:val="22"/>
        </w:rPr>
        <w:t xml:space="preserve">  The ADAMS Accession No. is </w:t>
      </w:r>
      <w:r w:rsidRPr="0024799C">
        <w:rPr>
          <w:rFonts w:ascii="Arial" w:hAnsi="Arial" w:cs="Arial"/>
          <w:color w:val="000000"/>
          <w:sz w:val="22"/>
          <w:szCs w:val="22"/>
        </w:rPr>
        <w:t>ML21165A162</w:t>
      </w:r>
      <w:r>
        <w:rPr>
          <w:rFonts w:ascii="Arial" w:hAnsi="Arial" w:cs="Arial"/>
          <w:color w:val="000000"/>
          <w:sz w:val="22"/>
          <w:szCs w:val="22"/>
        </w:rPr>
        <w:t>.</w:t>
      </w:r>
    </w:p>
    <w:p w:rsidR="003169AC" w:rsidRPr="00FC01FE" w:rsidP="003169AC" w14:paraId="7D8F9F9B" w14:textId="6940EFFC">
      <w:pPr>
        <w:widowControl/>
        <w:tabs>
          <w:tab w:val="left" w:pos="-1080"/>
          <w:tab w:val="left" w:pos="-720"/>
          <w:tab w:val="left" w:pos="-90"/>
          <w:tab w:val="left" w:pos="1440"/>
        </w:tabs>
        <w:spacing w:after="200"/>
        <w:ind w:left="1440" w:hanging="720"/>
        <w:rPr>
          <w:rFonts w:ascii="Arial" w:hAnsi="Arial" w:cs="Arial"/>
          <w:sz w:val="22"/>
          <w:szCs w:val="22"/>
        </w:rPr>
      </w:pPr>
      <w:r w:rsidRPr="008B0E2B">
        <w:rPr>
          <w:rFonts w:ascii="Arial" w:hAnsi="Arial" w:cs="Arial"/>
          <w:sz w:val="22"/>
          <w:szCs w:val="22"/>
        </w:rPr>
        <w:t>B.</w:t>
      </w:r>
      <w:r w:rsidRPr="008B0E2B">
        <w:rPr>
          <w:rFonts w:ascii="Arial" w:hAnsi="Arial" w:cs="Arial"/>
          <w:sz w:val="22"/>
          <w:szCs w:val="22"/>
        </w:rPr>
        <w:tab/>
      </w:r>
      <w:r w:rsidRPr="008B0E2B">
        <w:rPr>
          <w:rFonts w:ascii="Arial" w:hAnsi="Arial" w:cs="Arial"/>
          <w:sz w:val="22"/>
          <w:szCs w:val="22"/>
        </w:rPr>
        <w:t>NRC</w:t>
      </w:r>
      <w:r>
        <w:rPr>
          <w:rFonts w:ascii="Arial" w:hAnsi="Arial" w:cs="Arial"/>
          <w:sz w:val="22"/>
          <w:szCs w:val="22"/>
        </w:rPr>
        <w:t xml:space="preserve"> </w:t>
      </w:r>
      <w:r w:rsidRPr="00FC01FE">
        <w:rPr>
          <w:rFonts w:ascii="Arial" w:hAnsi="Arial" w:cs="Arial"/>
          <w:sz w:val="22"/>
          <w:szCs w:val="22"/>
        </w:rPr>
        <w:t>staff should review event reports in accordance with NRC’s Management Directives (MD):</w:t>
      </w:r>
    </w:p>
    <w:p w:rsidR="003169AC" w:rsidRPr="00FC01FE" w:rsidP="003169AC" w14:paraId="09EAFD24" w14:textId="77777777">
      <w:pPr>
        <w:pStyle w:val="ListParagraph"/>
        <w:numPr>
          <w:ilvl w:val="0"/>
          <w:numId w:val="6"/>
        </w:numPr>
        <w:tabs>
          <w:tab w:val="left" w:pos="-1080"/>
          <w:tab w:val="left" w:pos="-720"/>
          <w:tab w:val="left" w:pos="-90"/>
          <w:tab w:val="clear" w:pos="1800"/>
          <w:tab w:val="num" w:pos="2160"/>
        </w:tabs>
        <w:spacing w:after="200"/>
        <w:ind w:left="2160" w:hanging="720"/>
        <w:contextualSpacing w:val="0"/>
        <w:rPr>
          <w:rFonts w:ascii="Arial" w:hAnsi="Arial" w:cs="Arial"/>
          <w:sz w:val="22"/>
          <w:szCs w:val="22"/>
        </w:rPr>
      </w:pPr>
      <w:r w:rsidRPr="00FC01FE">
        <w:rPr>
          <w:rFonts w:ascii="Arial" w:hAnsi="Arial" w:cs="Arial"/>
          <w:sz w:val="22"/>
          <w:szCs w:val="22"/>
        </w:rPr>
        <w:t xml:space="preserve">MD 5.12, “International Nuclear and Radiological Event Scale Participation” </w:t>
      </w:r>
    </w:p>
    <w:p w:rsidR="003169AC" w:rsidRPr="00FC01FE" w:rsidP="003169AC" w14:paraId="16FDFD10" w14:textId="77777777">
      <w:pPr>
        <w:pStyle w:val="ListParagraph"/>
        <w:numPr>
          <w:ilvl w:val="0"/>
          <w:numId w:val="6"/>
        </w:numPr>
        <w:tabs>
          <w:tab w:val="left" w:pos="-1080"/>
          <w:tab w:val="left" w:pos="-720"/>
          <w:tab w:val="left" w:pos="-90"/>
          <w:tab w:val="clear" w:pos="1800"/>
          <w:tab w:val="num" w:pos="2160"/>
        </w:tabs>
        <w:spacing w:after="200"/>
        <w:ind w:left="2160" w:hanging="720"/>
        <w:contextualSpacing w:val="0"/>
        <w:rPr>
          <w:rFonts w:ascii="Arial" w:hAnsi="Arial" w:cs="Arial"/>
          <w:sz w:val="22"/>
          <w:szCs w:val="22"/>
        </w:rPr>
      </w:pPr>
      <w:r w:rsidRPr="00FC01FE">
        <w:rPr>
          <w:rFonts w:ascii="Arial" w:hAnsi="Arial" w:cs="Arial"/>
          <w:sz w:val="22"/>
          <w:szCs w:val="22"/>
        </w:rPr>
        <w:t>MD 6.4, “Generic Issues Program”</w:t>
      </w:r>
    </w:p>
    <w:p w:rsidR="003169AC" w:rsidRPr="00FC01FE" w:rsidP="003169AC" w14:paraId="28E1FE05" w14:textId="77777777">
      <w:pPr>
        <w:pStyle w:val="ListParagraph"/>
        <w:numPr>
          <w:ilvl w:val="0"/>
          <w:numId w:val="6"/>
        </w:numPr>
        <w:tabs>
          <w:tab w:val="left" w:pos="-1080"/>
          <w:tab w:val="left" w:pos="-720"/>
          <w:tab w:val="left" w:pos="-90"/>
          <w:tab w:val="clear" w:pos="1800"/>
          <w:tab w:val="num" w:pos="2160"/>
        </w:tabs>
        <w:spacing w:after="200"/>
        <w:ind w:left="2160" w:hanging="720"/>
        <w:contextualSpacing w:val="0"/>
        <w:rPr>
          <w:rFonts w:ascii="Arial" w:hAnsi="Arial" w:cs="Arial"/>
          <w:sz w:val="22"/>
          <w:szCs w:val="22"/>
        </w:rPr>
      </w:pPr>
      <w:r w:rsidRPr="00FC01FE">
        <w:rPr>
          <w:rFonts w:ascii="Arial" w:hAnsi="Arial" w:cs="Arial"/>
          <w:sz w:val="22"/>
          <w:szCs w:val="22"/>
        </w:rPr>
        <w:t>MD 8.1, “Abnormal Occurrence Reporting Procedure”</w:t>
      </w:r>
    </w:p>
    <w:p w:rsidR="003169AC" w:rsidRPr="00FC01FE" w:rsidP="003169AC" w14:paraId="00DAC9EE" w14:textId="77777777">
      <w:pPr>
        <w:pStyle w:val="ListParagraph"/>
        <w:numPr>
          <w:ilvl w:val="0"/>
          <w:numId w:val="6"/>
        </w:numPr>
        <w:tabs>
          <w:tab w:val="left" w:pos="-1080"/>
          <w:tab w:val="left" w:pos="-720"/>
          <w:tab w:val="left" w:pos="-90"/>
          <w:tab w:val="clear" w:pos="1800"/>
          <w:tab w:val="num" w:pos="2160"/>
        </w:tabs>
        <w:spacing w:after="200"/>
        <w:ind w:left="2160" w:hanging="720"/>
        <w:contextualSpacing w:val="0"/>
        <w:rPr>
          <w:rFonts w:ascii="Arial" w:hAnsi="Arial" w:cs="Arial"/>
          <w:sz w:val="22"/>
          <w:szCs w:val="22"/>
        </w:rPr>
      </w:pPr>
      <w:r w:rsidRPr="00FC01FE">
        <w:rPr>
          <w:rFonts w:ascii="Arial" w:hAnsi="Arial" w:cs="Arial"/>
          <w:sz w:val="22"/>
          <w:szCs w:val="22"/>
        </w:rPr>
        <w:t>MD 8.5, “Nonreactor Operational Safety Data Review”</w:t>
      </w:r>
    </w:p>
    <w:p w:rsidR="003169AC" w:rsidRPr="00646943" w:rsidP="003169AC" w14:paraId="64816735" w14:textId="77777777">
      <w:pPr>
        <w:pStyle w:val="ListParagraph"/>
        <w:numPr>
          <w:ilvl w:val="0"/>
          <w:numId w:val="6"/>
        </w:numPr>
        <w:tabs>
          <w:tab w:val="left" w:pos="-1080"/>
          <w:tab w:val="left" w:pos="-720"/>
          <w:tab w:val="left" w:pos="-90"/>
          <w:tab w:val="clear" w:pos="1800"/>
          <w:tab w:val="num" w:pos="2160"/>
        </w:tabs>
        <w:spacing w:after="200"/>
        <w:ind w:left="2160" w:hanging="720"/>
        <w:contextualSpacing w:val="0"/>
        <w:rPr>
          <w:rFonts w:ascii="Arial" w:hAnsi="Arial" w:cs="Arial"/>
          <w:sz w:val="22"/>
          <w:szCs w:val="22"/>
        </w:rPr>
      </w:pPr>
      <w:r w:rsidRPr="00FC01FE">
        <w:rPr>
          <w:rFonts w:ascii="Arial" w:hAnsi="Arial" w:cs="Arial"/>
          <w:sz w:val="22"/>
          <w:szCs w:val="22"/>
        </w:rPr>
        <w:t>MD 8.14, “Agency Action Review Meeting”</w:t>
      </w:r>
    </w:p>
    <w:p w:rsidR="00E502F9" w:rsidP="00E502F9" w14:paraId="3FFA3B9C" w14:textId="17AC71FA">
      <w:pPr>
        <w:tabs>
          <w:tab w:val="left" w:pos="-1080"/>
          <w:tab w:val="left" w:pos="-720"/>
          <w:tab w:val="left" w:pos="-90"/>
          <w:tab w:val="left" w:pos="720"/>
          <w:tab w:val="left" w:pos="1440"/>
          <w:tab w:val="left" w:pos="2880"/>
        </w:tabs>
        <w:spacing w:after="200"/>
        <w:rPr>
          <w:rFonts w:ascii="Arial" w:hAnsi="Arial" w:cs="Arial"/>
          <w:sz w:val="22"/>
          <w:szCs w:val="22"/>
        </w:rPr>
      </w:pPr>
      <w:r>
        <w:rPr>
          <w:rFonts w:ascii="Arial" w:hAnsi="Arial" w:cs="Arial"/>
          <w:sz w:val="22"/>
          <w:szCs w:val="22"/>
        </w:rPr>
        <w:tab/>
      </w:r>
      <w:r w:rsidR="003169AC">
        <w:rPr>
          <w:rFonts w:ascii="Arial" w:hAnsi="Arial" w:cs="Arial"/>
          <w:sz w:val="22"/>
          <w:szCs w:val="22"/>
        </w:rPr>
        <w:t>C</w:t>
      </w:r>
      <w:r w:rsidRPr="008B0E2B">
        <w:rPr>
          <w:rFonts w:ascii="Arial" w:hAnsi="Arial" w:cs="Arial"/>
          <w:sz w:val="22"/>
          <w:szCs w:val="22"/>
        </w:rPr>
        <w:t>.</w:t>
      </w:r>
      <w:r>
        <w:rPr>
          <w:rFonts w:ascii="Arial" w:hAnsi="Arial" w:cs="Arial"/>
          <w:sz w:val="22"/>
          <w:szCs w:val="22"/>
        </w:rPr>
        <w:tab/>
      </w:r>
      <w:r w:rsidR="00FC01FE">
        <w:rPr>
          <w:rFonts w:ascii="Arial" w:hAnsi="Arial" w:cs="Arial"/>
          <w:sz w:val="22"/>
          <w:szCs w:val="22"/>
        </w:rPr>
        <w:t>Handling</w:t>
      </w:r>
      <w:r>
        <w:rPr>
          <w:rFonts w:ascii="Arial" w:hAnsi="Arial" w:cs="Arial"/>
          <w:sz w:val="22"/>
          <w:szCs w:val="22"/>
        </w:rPr>
        <w:t xml:space="preserve"> Sensitive </w:t>
      </w:r>
      <w:r w:rsidR="00FC01FE">
        <w:rPr>
          <w:rFonts w:ascii="Arial" w:hAnsi="Arial" w:cs="Arial"/>
          <w:sz w:val="22"/>
          <w:szCs w:val="22"/>
        </w:rPr>
        <w:t>Information</w:t>
      </w:r>
    </w:p>
    <w:p w:rsidR="00FC01FE" w:rsidP="00FC01FE" w14:paraId="10E32469" w14:textId="0E61DD1B">
      <w:pPr>
        <w:tabs>
          <w:tab w:val="left" w:pos="-1080"/>
          <w:tab w:val="left" w:pos="-720"/>
          <w:tab w:val="left" w:pos="-90"/>
          <w:tab w:val="left" w:pos="810"/>
          <w:tab w:val="left" w:pos="2160"/>
          <w:tab w:val="left" w:pos="2880"/>
        </w:tabs>
        <w:spacing w:after="200"/>
        <w:ind w:left="1440"/>
        <w:rPr>
          <w:rFonts w:ascii="Arial" w:hAnsi="Arial" w:cs="Arial"/>
          <w:sz w:val="22"/>
          <w:szCs w:val="22"/>
        </w:rPr>
      </w:pPr>
      <w:r>
        <w:rPr>
          <w:rFonts w:ascii="Arial" w:hAnsi="Arial" w:cs="Arial"/>
          <w:sz w:val="22"/>
          <w:szCs w:val="22"/>
        </w:rPr>
        <w:t xml:space="preserve">The </w:t>
      </w:r>
      <w:r w:rsidR="008C0A05">
        <w:rPr>
          <w:rFonts w:ascii="Arial" w:hAnsi="Arial" w:cs="Arial"/>
          <w:sz w:val="22"/>
          <w:szCs w:val="22"/>
        </w:rPr>
        <w:t xml:space="preserve">NRC staff </w:t>
      </w:r>
      <w:r>
        <w:rPr>
          <w:rFonts w:ascii="Arial" w:hAnsi="Arial" w:cs="Arial"/>
          <w:sz w:val="22"/>
          <w:szCs w:val="22"/>
        </w:rPr>
        <w:t>should use</w:t>
      </w:r>
      <w:r w:rsidRPr="008B0E2B" w:rsidR="003A1575">
        <w:rPr>
          <w:rFonts w:ascii="Arial" w:hAnsi="Arial" w:cs="Arial"/>
          <w:sz w:val="22"/>
          <w:szCs w:val="22"/>
        </w:rPr>
        <w:t xml:space="preserve"> guidance on handling</w:t>
      </w:r>
      <w:r w:rsidRPr="008B0E2B" w:rsidR="00032322">
        <w:rPr>
          <w:rFonts w:ascii="Arial" w:hAnsi="Arial" w:cs="Arial"/>
          <w:sz w:val="22"/>
          <w:szCs w:val="22"/>
        </w:rPr>
        <w:t xml:space="preserve"> </w:t>
      </w:r>
      <w:r w:rsidRPr="008B0E2B" w:rsidR="002A30DA">
        <w:rPr>
          <w:rFonts w:ascii="Arial" w:hAnsi="Arial" w:cs="Arial"/>
          <w:sz w:val="22"/>
          <w:szCs w:val="22"/>
        </w:rPr>
        <w:t xml:space="preserve">sensitive information (e.g., </w:t>
      </w:r>
      <w:r w:rsidRPr="008B0E2B" w:rsidR="00D50219">
        <w:rPr>
          <w:rFonts w:ascii="Arial" w:hAnsi="Arial" w:cs="Arial"/>
          <w:sz w:val="22"/>
          <w:szCs w:val="22"/>
        </w:rPr>
        <w:t>personal privacy, proprietary, safeguards,</w:t>
      </w:r>
      <w:r w:rsidRPr="008B0E2B" w:rsidR="00032322">
        <w:rPr>
          <w:rFonts w:ascii="Arial" w:hAnsi="Arial" w:cs="Arial"/>
          <w:sz w:val="22"/>
          <w:szCs w:val="22"/>
        </w:rPr>
        <w:t xml:space="preserve"> </w:t>
      </w:r>
      <w:r w:rsidRPr="008B0E2B" w:rsidR="002A30DA">
        <w:rPr>
          <w:rFonts w:ascii="Arial" w:hAnsi="Arial" w:cs="Arial"/>
          <w:sz w:val="22"/>
          <w:szCs w:val="22"/>
        </w:rPr>
        <w:t>and/</w:t>
      </w:r>
      <w:r w:rsidRPr="008B0E2B" w:rsidR="003967EF">
        <w:rPr>
          <w:rFonts w:ascii="Arial" w:hAnsi="Arial" w:cs="Arial"/>
          <w:sz w:val="22"/>
          <w:szCs w:val="22"/>
        </w:rPr>
        <w:t xml:space="preserve">or </w:t>
      </w:r>
      <w:r w:rsidR="005B24D3">
        <w:rPr>
          <w:rFonts w:ascii="Arial" w:hAnsi="Arial" w:cs="Arial"/>
          <w:sz w:val="22"/>
          <w:szCs w:val="22"/>
        </w:rPr>
        <w:t>controlled</w:t>
      </w:r>
      <w:r w:rsidRPr="008B0E2B" w:rsidR="005B24D3">
        <w:rPr>
          <w:rFonts w:ascii="Arial" w:hAnsi="Arial" w:cs="Arial"/>
          <w:sz w:val="22"/>
          <w:szCs w:val="22"/>
        </w:rPr>
        <w:t xml:space="preserve"> </w:t>
      </w:r>
      <w:r w:rsidRPr="008B0E2B" w:rsidR="003A1575">
        <w:rPr>
          <w:rFonts w:ascii="Arial" w:hAnsi="Arial" w:cs="Arial"/>
          <w:sz w:val="22"/>
          <w:szCs w:val="22"/>
        </w:rPr>
        <w:t>unclassified inform</w:t>
      </w:r>
      <w:r w:rsidRPr="008B0E2B" w:rsidR="00D50219">
        <w:rPr>
          <w:rFonts w:ascii="Arial" w:hAnsi="Arial" w:cs="Arial"/>
          <w:sz w:val="22"/>
          <w:szCs w:val="22"/>
        </w:rPr>
        <w:t>atio</w:t>
      </w:r>
      <w:r w:rsidR="00B406C2">
        <w:rPr>
          <w:rFonts w:ascii="Arial" w:hAnsi="Arial" w:cs="Arial"/>
          <w:sz w:val="22"/>
          <w:szCs w:val="22"/>
        </w:rPr>
        <w:t>n) in their handling and collection of informatio</w:t>
      </w:r>
      <w:r w:rsidR="00A90C07">
        <w:rPr>
          <w:rFonts w:ascii="Arial" w:hAnsi="Arial" w:cs="Arial"/>
          <w:sz w:val="22"/>
          <w:szCs w:val="22"/>
        </w:rPr>
        <w:t>n.</w:t>
      </w:r>
      <w:r w:rsidRPr="008B0E2B" w:rsidR="003A1575">
        <w:rPr>
          <w:rFonts w:ascii="Arial" w:hAnsi="Arial" w:cs="Arial"/>
          <w:sz w:val="22"/>
          <w:szCs w:val="22"/>
        </w:rPr>
        <w:t xml:space="preserve"> </w:t>
      </w:r>
      <w:r w:rsidR="00425F4E">
        <w:rPr>
          <w:rFonts w:ascii="Arial" w:hAnsi="Arial" w:cs="Arial"/>
          <w:sz w:val="22"/>
          <w:szCs w:val="22"/>
        </w:rPr>
        <w:t xml:space="preserve"> The guidance is included in </w:t>
      </w:r>
      <w:r w:rsidRPr="000D6554" w:rsidR="00425F4E">
        <w:rPr>
          <w:rFonts w:ascii="Arial" w:hAnsi="Arial" w:cs="Arial"/>
          <w:sz w:val="22"/>
          <w:szCs w:val="22"/>
        </w:rPr>
        <w:t xml:space="preserve">RIS 2005-031 Revision 1, “Control of Security-Related Sensitive Unclassified </w:t>
      </w:r>
      <w:r w:rsidRPr="000D6554" w:rsidR="00425F4E">
        <w:rPr>
          <w:rFonts w:ascii="Arial" w:hAnsi="Arial" w:cs="Arial"/>
          <w:sz w:val="22"/>
          <w:szCs w:val="22"/>
        </w:rPr>
        <w:t>Nonsafeguards</w:t>
      </w:r>
      <w:r w:rsidRPr="000D6554" w:rsidR="00425F4E">
        <w:rPr>
          <w:rFonts w:ascii="Arial" w:hAnsi="Arial" w:cs="Arial"/>
          <w:sz w:val="22"/>
          <w:szCs w:val="22"/>
        </w:rPr>
        <w:t xml:space="preserve"> Information Handled by Individuals, Firms, and Entities Subject to NRC Regulation of the Use of Source, Byproduct, And Special Nuclear Material</w:t>
      </w:r>
      <w:r w:rsidR="00425F4E">
        <w:rPr>
          <w:rFonts w:ascii="Arial" w:hAnsi="Arial" w:cs="Arial"/>
          <w:sz w:val="22"/>
          <w:szCs w:val="22"/>
        </w:rPr>
        <w:t>.</w:t>
      </w:r>
      <w:r w:rsidRPr="000D6554" w:rsidR="00425F4E">
        <w:rPr>
          <w:rFonts w:ascii="Arial" w:hAnsi="Arial" w:cs="Arial"/>
          <w:sz w:val="22"/>
          <w:szCs w:val="22"/>
        </w:rPr>
        <w:t>”</w:t>
      </w:r>
    </w:p>
    <w:p w:rsidR="00EF2624" w:rsidRPr="008B0E2B" w:rsidP="00FC01FE" w14:paraId="2EB19577" w14:textId="299FBD40">
      <w:pPr>
        <w:tabs>
          <w:tab w:val="left" w:pos="-1080"/>
          <w:tab w:val="left" w:pos="-720"/>
          <w:tab w:val="left" w:pos="-90"/>
          <w:tab w:val="left" w:pos="810"/>
          <w:tab w:val="left" w:pos="2160"/>
          <w:tab w:val="left" w:pos="2880"/>
        </w:tabs>
        <w:spacing w:after="200"/>
        <w:ind w:left="1440"/>
        <w:rPr>
          <w:rFonts w:ascii="Arial" w:hAnsi="Arial" w:cs="Arial"/>
          <w:sz w:val="22"/>
          <w:szCs w:val="22"/>
        </w:rPr>
      </w:pPr>
      <w:r>
        <w:rPr>
          <w:rFonts w:ascii="Arial" w:hAnsi="Arial" w:cs="Arial"/>
          <w:sz w:val="22"/>
          <w:szCs w:val="22"/>
        </w:rPr>
        <w:t>I</w:t>
      </w:r>
      <w:r w:rsidRPr="008B0E2B">
        <w:rPr>
          <w:rFonts w:ascii="Arial" w:hAnsi="Arial" w:cs="Arial"/>
          <w:sz w:val="22"/>
          <w:szCs w:val="22"/>
        </w:rPr>
        <w:t>f the information provided by the Agreement State includes sensitive information</w:t>
      </w:r>
      <w:r w:rsidR="00F5765C">
        <w:rPr>
          <w:rFonts w:ascii="Arial" w:hAnsi="Arial" w:cs="Arial"/>
          <w:sz w:val="22"/>
          <w:szCs w:val="22"/>
        </w:rPr>
        <w:t>,</w:t>
      </w:r>
      <w:r w:rsidRPr="008B0E2B">
        <w:rPr>
          <w:rFonts w:ascii="Arial" w:hAnsi="Arial" w:cs="Arial"/>
          <w:sz w:val="22"/>
          <w:szCs w:val="22"/>
        </w:rPr>
        <w:t xml:space="preserve"> </w:t>
      </w:r>
      <w:r w:rsidR="00FC01FE">
        <w:rPr>
          <w:rFonts w:ascii="Arial" w:hAnsi="Arial" w:cs="Arial"/>
          <w:sz w:val="22"/>
          <w:szCs w:val="22"/>
        </w:rPr>
        <w:t xml:space="preserve">the NRC staff should ask </w:t>
      </w:r>
      <w:r w:rsidRPr="008B0E2B">
        <w:rPr>
          <w:rFonts w:ascii="Arial" w:hAnsi="Arial" w:cs="Arial"/>
          <w:sz w:val="22"/>
          <w:szCs w:val="22"/>
        </w:rPr>
        <w:t xml:space="preserve">the Agreement State to provide a bracketed copy of the information that identifies the information that should be protected and a redacted copy of the information that deletes such information. </w:t>
      </w:r>
    </w:p>
    <w:p w:rsidR="00040A1C" w:rsidRPr="008B0E2B" w:rsidP="00DA2A3E" w14:paraId="018269C4" w14:textId="7B88714D">
      <w:pPr>
        <w:widowControl/>
        <w:tabs>
          <w:tab w:val="left" w:pos="-1080"/>
          <w:tab w:val="left" w:pos="-720"/>
          <w:tab w:val="left" w:pos="-90"/>
          <w:tab w:val="left" w:pos="720"/>
        </w:tabs>
        <w:spacing w:after="200"/>
        <w:rPr>
          <w:rFonts w:ascii="Arial" w:eastAsia="@MingLiU" w:hAnsi="Arial" w:cs="Arial"/>
          <w:sz w:val="22"/>
          <w:szCs w:val="22"/>
        </w:rPr>
      </w:pPr>
      <w:r w:rsidRPr="008B0E2B">
        <w:rPr>
          <w:rFonts w:ascii="Arial" w:eastAsia="@MingLiU" w:hAnsi="Arial" w:cs="Arial"/>
          <w:b/>
          <w:bCs/>
          <w:sz w:val="22"/>
          <w:szCs w:val="22"/>
        </w:rPr>
        <w:t>VI.</w:t>
      </w:r>
      <w:r w:rsidRPr="008B0E2B">
        <w:rPr>
          <w:rFonts w:ascii="Arial" w:eastAsia="@MingLiU" w:hAnsi="Arial" w:cs="Arial"/>
          <w:b/>
          <w:bCs/>
          <w:sz w:val="22"/>
          <w:szCs w:val="22"/>
        </w:rPr>
        <w:tab/>
        <w:t>REFERENCES</w:t>
      </w:r>
    </w:p>
    <w:p w:rsidR="00040A1C" w:rsidRPr="008C2642" w:rsidP="000D6554" w14:paraId="07F62984" w14:textId="0C7F861E">
      <w:pPr>
        <w:widowControl/>
        <w:tabs>
          <w:tab w:val="left" w:pos="-1080"/>
          <w:tab w:val="left" w:pos="-720"/>
          <w:tab w:val="left" w:pos="-90"/>
        </w:tabs>
        <w:spacing w:after="200"/>
        <w:ind w:left="720"/>
        <w:rPr>
          <w:rFonts w:ascii="Arial" w:eastAsia="@MingLiU" w:hAnsi="Arial" w:cs="Arial"/>
          <w:sz w:val="22"/>
          <w:szCs w:val="22"/>
        </w:rPr>
      </w:pPr>
      <w:r>
        <w:rPr>
          <w:rFonts w:ascii="Arial" w:eastAsia="@MingLiU" w:hAnsi="Arial" w:cs="Arial"/>
          <w:sz w:val="22"/>
          <w:szCs w:val="22"/>
        </w:rPr>
        <w:t>82 FR 48535,</w:t>
      </w:r>
      <w:r w:rsidR="00A04B5D">
        <w:rPr>
          <w:rFonts w:ascii="Arial" w:eastAsia="@MingLiU" w:hAnsi="Arial" w:cs="Arial"/>
          <w:sz w:val="22"/>
          <w:szCs w:val="22"/>
        </w:rPr>
        <w:t xml:space="preserve"> “</w:t>
      </w:r>
      <w:r w:rsidRPr="0075669C" w:rsidR="00506F9C">
        <w:rPr>
          <w:rFonts w:ascii="Arial" w:eastAsia="@MingLiU" w:hAnsi="Arial" w:cs="Arial"/>
          <w:sz w:val="22"/>
          <w:szCs w:val="22"/>
        </w:rPr>
        <w:t>Agreement State Program Policy Statement</w:t>
      </w:r>
      <w:r w:rsidRPr="0075669C" w:rsidR="00162397">
        <w:rPr>
          <w:rFonts w:ascii="Arial" w:eastAsia="@MingLiU" w:hAnsi="Arial" w:cs="Arial"/>
          <w:sz w:val="22"/>
          <w:szCs w:val="22"/>
        </w:rPr>
        <w:t>,</w:t>
      </w:r>
      <w:r w:rsidR="00A04B5D">
        <w:rPr>
          <w:rFonts w:ascii="Arial" w:eastAsia="@MingLiU" w:hAnsi="Arial" w:cs="Arial"/>
          <w:sz w:val="22"/>
          <w:szCs w:val="22"/>
        </w:rPr>
        <w:t>”</w:t>
      </w:r>
      <w:r w:rsidR="00162397">
        <w:rPr>
          <w:rFonts w:ascii="Arial" w:eastAsia="@MingLiU" w:hAnsi="Arial" w:cs="Arial"/>
          <w:i/>
          <w:iCs/>
          <w:sz w:val="22"/>
          <w:szCs w:val="22"/>
        </w:rPr>
        <w:t xml:space="preserve"> </w:t>
      </w:r>
      <w:r w:rsidR="00417312">
        <w:rPr>
          <w:rFonts w:ascii="Arial" w:eastAsia="@MingLiU" w:hAnsi="Arial" w:cs="Arial"/>
          <w:sz w:val="22"/>
          <w:szCs w:val="22"/>
        </w:rPr>
        <w:t>October 18, 2017</w:t>
      </w:r>
      <w:r w:rsidR="00C64768">
        <w:rPr>
          <w:rFonts w:ascii="Arial" w:eastAsia="@MingLiU" w:hAnsi="Arial" w:cs="Arial"/>
          <w:sz w:val="22"/>
          <w:szCs w:val="22"/>
        </w:rPr>
        <w:t>.</w:t>
      </w:r>
    </w:p>
    <w:p w:rsidR="00136A23" w:rsidRPr="000D6554" w:rsidP="00136A23" w14:paraId="13AF702F" w14:textId="77777777">
      <w:pPr>
        <w:spacing w:after="200"/>
        <w:ind w:left="720"/>
        <w:rPr>
          <w:rFonts w:ascii="Arial" w:hAnsi="Arial" w:cs="Arial"/>
          <w:sz w:val="22"/>
          <w:szCs w:val="22"/>
        </w:rPr>
      </w:pPr>
      <w:r w:rsidRPr="000D6554">
        <w:rPr>
          <w:rFonts w:ascii="Arial" w:hAnsi="Arial" w:cs="Arial"/>
          <w:sz w:val="22"/>
          <w:szCs w:val="22"/>
        </w:rPr>
        <w:t xml:space="preserve">RIS 2005-031 Revision 1, “Control of Security-Related Sensitive Unclassified </w:t>
      </w:r>
      <w:r w:rsidRPr="000D6554">
        <w:rPr>
          <w:rFonts w:ascii="Arial" w:hAnsi="Arial" w:cs="Arial"/>
          <w:sz w:val="22"/>
          <w:szCs w:val="22"/>
        </w:rPr>
        <w:t>Nonsafeguards</w:t>
      </w:r>
      <w:r w:rsidRPr="000D6554">
        <w:rPr>
          <w:rFonts w:ascii="Arial" w:hAnsi="Arial" w:cs="Arial"/>
          <w:sz w:val="22"/>
          <w:szCs w:val="22"/>
        </w:rPr>
        <w:t xml:space="preserve"> Information Handled by Individuals, Firms, and Entities Subject to NRC Regulation of the Use of Source, Byproduct, And Special Nuclear Material,” December 26, 2017</w:t>
      </w:r>
      <w:r w:rsidRPr="00136A23">
        <w:rPr>
          <w:rFonts w:ascii="Arial" w:hAnsi="Arial" w:cs="Arial"/>
          <w:sz w:val="22"/>
          <w:szCs w:val="22"/>
        </w:rPr>
        <w:t xml:space="preserve"> (ADAMS Accession No. ML16196A237).</w:t>
      </w:r>
    </w:p>
    <w:p w:rsidR="00136A23" w:rsidRPr="00136A23" w:rsidP="00136A23" w14:paraId="5D2B77DE" w14:textId="3D18ABE9">
      <w:pPr>
        <w:spacing w:after="200"/>
        <w:ind w:left="720"/>
        <w:rPr>
          <w:rFonts w:ascii="Arial" w:hAnsi="Arial" w:cs="Arial"/>
          <w:color w:val="000000"/>
          <w:sz w:val="22"/>
          <w:szCs w:val="22"/>
        </w:rPr>
      </w:pPr>
      <w:r>
        <w:rPr>
          <w:rFonts w:ascii="Arial" w:hAnsi="Arial" w:cs="Arial"/>
          <w:color w:val="000000"/>
          <w:sz w:val="22"/>
          <w:szCs w:val="22"/>
        </w:rPr>
        <w:t>Management Directives (</w:t>
      </w:r>
      <w:r w:rsidRPr="00136A23">
        <w:rPr>
          <w:rFonts w:ascii="Arial" w:hAnsi="Arial" w:cs="Arial"/>
          <w:color w:val="000000"/>
          <w:sz w:val="22"/>
          <w:szCs w:val="22"/>
        </w:rPr>
        <w:t>MDs</w:t>
      </w:r>
      <w:r>
        <w:rPr>
          <w:rFonts w:ascii="Arial" w:hAnsi="Arial" w:cs="Arial"/>
          <w:color w:val="000000"/>
          <w:sz w:val="22"/>
          <w:szCs w:val="22"/>
        </w:rPr>
        <w:t>)</w:t>
      </w:r>
      <w:r w:rsidRPr="00136A23">
        <w:rPr>
          <w:rFonts w:ascii="Arial" w:hAnsi="Arial" w:cs="Arial"/>
          <w:color w:val="000000"/>
          <w:sz w:val="22"/>
          <w:szCs w:val="22"/>
        </w:rPr>
        <w:t xml:space="preserve"> </w:t>
      </w:r>
      <w:r w:rsidRPr="00136A23">
        <w:rPr>
          <w:rFonts w:ascii="Arial" w:eastAsia="@MingLiU" w:hAnsi="Arial" w:cs="Arial"/>
          <w:sz w:val="22"/>
          <w:szCs w:val="22"/>
        </w:rPr>
        <w:t>are available at</w:t>
      </w:r>
      <w:r w:rsidRPr="00136A23">
        <w:rPr>
          <w:rFonts w:ascii="Arial" w:hAnsi="Arial" w:cs="Arial"/>
          <w:color w:val="000000"/>
          <w:sz w:val="22"/>
          <w:szCs w:val="22"/>
        </w:rPr>
        <w:t xml:space="preserve">: </w:t>
      </w:r>
      <w:hyperlink r:id="rId8" w:history="1">
        <w:r w:rsidRPr="00136A23">
          <w:rPr>
            <w:rStyle w:val="Hyperlink"/>
            <w:rFonts w:ascii="Arial" w:hAnsi="Arial" w:cs="Arial"/>
            <w:sz w:val="22"/>
            <w:szCs w:val="22"/>
          </w:rPr>
          <w:t>https://www.nrc.gov/reading-rm/doc-collections/management-directives/index.html</w:t>
        </w:r>
      </w:hyperlink>
      <w:r w:rsidRPr="00136A23">
        <w:rPr>
          <w:rFonts w:ascii="Arial" w:hAnsi="Arial" w:cs="Arial"/>
          <w:color w:val="000000"/>
          <w:sz w:val="22"/>
          <w:szCs w:val="22"/>
        </w:rPr>
        <w:t xml:space="preserve">. </w:t>
      </w:r>
    </w:p>
    <w:p w:rsidR="000D6554" w:rsidRPr="000D6554" w:rsidP="000D6554" w14:paraId="740F072C" w14:textId="7FAD5169">
      <w:pPr>
        <w:spacing w:after="200"/>
        <w:ind w:left="720"/>
        <w:rPr>
          <w:rFonts w:ascii="Arial" w:hAnsi="Arial" w:cs="Arial"/>
          <w:sz w:val="22"/>
          <w:szCs w:val="22"/>
        </w:rPr>
      </w:pPr>
      <w:r w:rsidRPr="000D6554">
        <w:rPr>
          <w:rFonts w:ascii="Arial" w:hAnsi="Arial" w:cs="Arial"/>
          <w:sz w:val="22"/>
          <w:szCs w:val="22"/>
        </w:rPr>
        <w:t xml:space="preserve">MD 5.12, “International Nuclear and Radiological Event Scale Participation.” </w:t>
      </w:r>
    </w:p>
    <w:p w:rsidR="00365648" w:rsidRPr="000D6554" w:rsidP="000D6554" w14:paraId="0F4547B4" w14:textId="3D3B17EF">
      <w:pPr>
        <w:spacing w:after="200"/>
        <w:ind w:left="720"/>
        <w:rPr>
          <w:rFonts w:ascii="Arial" w:hAnsi="Arial" w:cs="Arial"/>
          <w:sz w:val="22"/>
          <w:szCs w:val="22"/>
        </w:rPr>
      </w:pPr>
      <w:r w:rsidRPr="000D6554">
        <w:rPr>
          <w:rFonts w:ascii="Arial" w:hAnsi="Arial" w:cs="Arial"/>
          <w:sz w:val="22"/>
          <w:szCs w:val="22"/>
        </w:rPr>
        <w:t>MD 6.4, “Generic Issues Program.”</w:t>
      </w:r>
    </w:p>
    <w:p w:rsidR="00365648" w:rsidRPr="000D6554" w:rsidP="000D6554" w14:paraId="6FDC88A6" w14:textId="3443FD84">
      <w:pPr>
        <w:spacing w:after="200"/>
        <w:ind w:left="720"/>
        <w:rPr>
          <w:rFonts w:ascii="Arial" w:hAnsi="Arial" w:cs="Arial"/>
          <w:sz w:val="22"/>
          <w:szCs w:val="22"/>
        </w:rPr>
      </w:pPr>
      <w:r w:rsidRPr="000D6554">
        <w:rPr>
          <w:rFonts w:ascii="Arial" w:hAnsi="Arial" w:cs="Arial"/>
          <w:sz w:val="22"/>
          <w:szCs w:val="22"/>
        </w:rPr>
        <w:t>MD 8.</w:t>
      </w:r>
      <w:r w:rsidR="000D6554">
        <w:rPr>
          <w:rFonts w:ascii="Arial" w:hAnsi="Arial" w:cs="Arial"/>
          <w:sz w:val="22"/>
          <w:szCs w:val="22"/>
        </w:rPr>
        <w:t>1</w:t>
      </w:r>
      <w:r w:rsidRPr="000D6554">
        <w:rPr>
          <w:rFonts w:ascii="Arial" w:hAnsi="Arial" w:cs="Arial"/>
          <w:sz w:val="22"/>
          <w:szCs w:val="22"/>
        </w:rPr>
        <w:t>, “Abnormal Occurrence Reporting Procedure.”</w:t>
      </w:r>
    </w:p>
    <w:p w:rsidR="00365648" w:rsidRPr="000D6554" w:rsidP="000D6554" w14:paraId="7A733459" w14:textId="51715AED">
      <w:pPr>
        <w:spacing w:after="200"/>
        <w:ind w:left="720"/>
        <w:rPr>
          <w:rFonts w:ascii="Arial" w:hAnsi="Arial" w:cs="Arial"/>
          <w:sz w:val="22"/>
          <w:szCs w:val="22"/>
        </w:rPr>
      </w:pPr>
      <w:r w:rsidRPr="000D6554">
        <w:rPr>
          <w:rFonts w:ascii="Arial" w:hAnsi="Arial" w:cs="Arial"/>
          <w:sz w:val="22"/>
          <w:szCs w:val="22"/>
        </w:rPr>
        <w:t>MD 8.5, “Nonreactor Operational Safety Data Review.”</w:t>
      </w:r>
    </w:p>
    <w:p w:rsidR="000D6554" w:rsidRPr="000D6554" w:rsidP="000D6554" w14:paraId="4B7B33F0" w14:textId="77777777">
      <w:pPr>
        <w:spacing w:after="200"/>
        <w:ind w:left="720"/>
        <w:rPr>
          <w:rFonts w:ascii="Arial" w:hAnsi="Arial" w:cs="Arial"/>
          <w:sz w:val="22"/>
          <w:szCs w:val="22"/>
        </w:rPr>
      </w:pPr>
      <w:r w:rsidRPr="000D6554">
        <w:rPr>
          <w:rFonts w:ascii="Arial" w:hAnsi="Arial" w:cs="Arial"/>
          <w:sz w:val="22"/>
          <w:szCs w:val="22"/>
        </w:rPr>
        <w:t>MD 8.14, “Agency Action Review Meeting.”</w:t>
      </w:r>
    </w:p>
    <w:p w:rsidR="00E05757" w:rsidRPr="008B0E2B" w:rsidP="00DA2A3E" w14:paraId="104EAC19" w14:textId="3C6F88F0">
      <w:pPr>
        <w:widowControl/>
        <w:tabs>
          <w:tab w:val="left" w:pos="-1080"/>
          <w:tab w:val="left" w:pos="-720"/>
          <w:tab w:val="left" w:pos="-90"/>
          <w:tab w:val="left" w:pos="720"/>
        </w:tabs>
        <w:spacing w:after="200"/>
        <w:rPr>
          <w:rFonts w:ascii="Arial" w:eastAsia="@MingLiU" w:hAnsi="Arial" w:cs="Arial"/>
          <w:b/>
          <w:bCs/>
          <w:sz w:val="22"/>
          <w:szCs w:val="22"/>
        </w:rPr>
      </w:pPr>
      <w:r w:rsidRPr="008B0E2B">
        <w:rPr>
          <w:rFonts w:ascii="Arial" w:eastAsia="@MingLiU" w:hAnsi="Arial" w:cs="Arial"/>
          <w:b/>
          <w:bCs/>
          <w:sz w:val="22"/>
          <w:szCs w:val="22"/>
        </w:rPr>
        <w:t>VII.</w:t>
      </w:r>
      <w:r w:rsidRPr="008B0E2B">
        <w:rPr>
          <w:rFonts w:ascii="Arial" w:eastAsia="@MingLiU" w:hAnsi="Arial" w:cs="Arial"/>
          <w:b/>
          <w:bCs/>
          <w:sz w:val="22"/>
          <w:szCs w:val="22"/>
        </w:rPr>
        <w:tab/>
        <w:t>ADAMS REFERENCE DOCUMENTS</w:t>
      </w:r>
    </w:p>
    <w:p w:rsidR="00105F7C" w:rsidRPr="008B0E2B" w:rsidP="00DA2A3E" w14:paraId="4AA22A0D" w14:textId="4E45134A">
      <w:pPr>
        <w:spacing w:after="200"/>
        <w:ind w:left="720"/>
        <w:rPr>
          <w:rFonts w:ascii="Arial" w:hAnsi="Arial" w:cs="Arial"/>
          <w:color w:val="000000"/>
          <w:sz w:val="22"/>
          <w:szCs w:val="22"/>
        </w:rPr>
      </w:pPr>
      <w:r w:rsidRPr="008B0E2B">
        <w:rPr>
          <w:rFonts w:ascii="Arial" w:hAnsi="Arial" w:cs="Arial"/>
          <w:color w:val="000000"/>
          <w:sz w:val="22"/>
          <w:szCs w:val="22"/>
        </w:rPr>
        <w:t>For knowledge management purposes, all previous revisions of this procedure, as well as associated correspondence with stakeholders, are listed below.</w:t>
      </w:r>
      <w:r w:rsidR="002F2108">
        <w:rPr>
          <w:rFonts w:ascii="Arial" w:hAnsi="Arial" w:cs="Arial"/>
          <w:color w:val="000000"/>
          <w:sz w:val="22"/>
          <w:szCs w:val="22"/>
        </w:rPr>
        <w:t xml:space="preserve">  </w:t>
      </w:r>
      <w:r w:rsidRPr="00105F7C">
        <w:rPr>
          <w:rFonts w:ascii="Arial" w:hAnsi="Arial" w:cs="Arial"/>
          <w:color w:val="000000"/>
          <w:sz w:val="22"/>
          <w:szCs w:val="22"/>
        </w:rPr>
        <w:t>Documents can be obtained from ADAMS at:</w:t>
      </w:r>
      <w:r>
        <w:t xml:space="preserve">  </w:t>
      </w:r>
      <w:hyperlink r:id="rId7" w:history="1">
        <w:r w:rsidRPr="00105F7C">
          <w:rPr>
            <w:rStyle w:val="Hyperlink"/>
            <w:rFonts w:ascii="Arial" w:hAnsi="Arial" w:cs="Arial"/>
            <w:sz w:val="22"/>
            <w:szCs w:val="22"/>
          </w:rPr>
          <w:t>https://www.nrc.gov/reading-rm/adams.html</w:t>
        </w:r>
      </w:hyperlink>
      <w:r w:rsidRPr="00105F7C">
        <w:rPr>
          <w:rFonts w:ascii="Arial" w:hAnsi="Arial" w:cs="Arial"/>
          <w:sz w:val="22"/>
          <w:szCs w:val="22"/>
        </w:rPr>
        <w:t>.</w:t>
      </w:r>
    </w:p>
    <w:tbl>
      <w:tblPr>
        <w:tblW w:w="8748" w:type="dxa"/>
        <w:tblInd w:w="712" w:type="dxa"/>
        <w:tblLayout w:type="fixed"/>
        <w:tblCellMar>
          <w:left w:w="100" w:type="dxa"/>
          <w:right w:w="100" w:type="dxa"/>
        </w:tblCellMar>
        <w:tblLook w:val="0000"/>
      </w:tblPr>
      <w:tblGrid>
        <w:gridCol w:w="720"/>
        <w:gridCol w:w="1260"/>
        <w:gridCol w:w="4860"/>
        <w:gridCol w:w="1908"/>
      </w:tblGrid>
      <w:tr w14:paraId="23410120" w14:textId="77777777" w:rsidTr="00A04B5D">
        <w:tblPrEx>
          <w:tblW w:w="8748" w:type="dxa"/>
          <w:tblInd w:w="712" w:type="dxa"/>
          <w:tblLayout w:type="fixed"/>
          <w:tblCellMar>
            <w:left w:w="100" w:type="dxa"/>
            <w:right w:w="100" w:type="dxa"/>
          </w:tblCellMar>
          <w:tblLook w:val="0000"/>
        </w:tblPrEx>
        <w:trPr>
          <w:cantSplit/>
          <w:tblHeader/>
        </w:trPr>
        <w:tc>
          <w:tcPr>
            <w:tcW w:w="720" w:type="dxa"/>
            <w:tcBorders>
              <w:top w:val="single" w:sz="4" w:space="0" w:color="auto"/>
              <w:left w:val="single" w:sz="6" w:space="0" w:color="000000" w:themeColor="text1"/>
              <w:bottom w:val="double" w:sz="9" w:space="0" w:color="000000" w:themeColor="text1"/>
              <w:right w:val="nil"/>
            </w:tcBorders>
            <w:vAlign w:val="center"/>
          </w:tcPr>
          <w:p w:rsidR="00BE1C66" w:rsidRPr="008B0E2B" w:rsidP="00A24E1B" w14:paraId="258EA67D" w14:textId="77777777">
            <w:pPr>
              <w:spacing w:before="103" w:after="45"/>
              <w:jc w:val="center"/>
              <w:rPr>
                <w:rFonts w:ascii="Arial" w:hAnsi="Arial" w:cs="Arial"/>
                <w:color w:val="000000"/>
                <w:sz w:val="22"/>
                <w:szCs w:val="22"/>
              </w:rPr>
            </w:pPr>
            <w:r w:rsidRPr="008B0E2B">
              <w:rPr>
                <w:rFonts w:ascii="Arial" w:hAnsi="Arial" w:cs="Arial"/>
                <w:b/>
                <w:bCs/>
                <w:color w:val="000000"/>
                <w:sz w:val="22"/>
                <w:szCs w:val="22"/>
              </w:rPr>
              <w:t>No.</w:t>
            </w:r>
          </w:p>
        </w:tc>
        <w:tc>
          <w:tcPr>
            <w:tcW w:w="1260" w:type="dxa"/>
            <w:tcBorders>
              <w:top w:val="single" w:sz="6" w:space="0" w:color="000000" w:themeColor="text1"/>
              <w:left w:val="single" w:sz="6" w:space="0" w:color="000000" w:themeColor="text1"/>
              <w:bottom w:val="double" w:sz="9" w:space="0" w:color="000000" w:themeColor="text1"/>
              <w:right w:val="nil"/>
            </w:tcBorders>
            <w:vAlign w:val="center"/>
          </w:tcPr>
          <w:p w:rsidR="00BE1C66" w:rsidRPr="008B0E2B" w:rsidP="00A24E1B" w14:paraId="6C95CD98" w14:textId="77777777">
            <w:pPr>
              <w:spacing w:before="103" w:after="45"/>
              <w:jc w:val="center"/>
              <w:rPr>
                <w:rFonts w:ascii="Arial" w:hAnsi="Arial" w:cs="Arial"/>
                <w:color w:val="000000"/>
                <w:sz w:val="22"/>
                <w:szCs w:val="22"/>
              </w:rPr>
            </w:pPr>
            <w:r w:rsidRPr="008B0E2B">
              <w:rPr>
                <w:rFonts w:ascii="Arial" w:hAnsi="Arial" w:cs="Arial"/>
                <w:b/>
                <w:bCs/>
                <w:color w:val="000000"/>
                <w:sz w:val="22"/>
                <w:szCs w:val="22"/>
              </w:rPr>
              <w:t>Date</w:t>
            </w:r>
          </w:p>
        </w:tc>
        <w:tc>
          <w:tcPr>
            <w:tcW w:w="4860" w:type="dxa"/>
            <w:tcBorders>
              <w:top w:val="single" w:sz="6" w:space="0" w:color="000000" w:themeColor="text1"/>
              <w:left w:val="single" w:sz="6" w:space="0" w:color="000000" w:themeColor="text1"/>
              <w:bottom w:val="double" w:sz="9" w:space="0" w:color="000000" w:themeColor="text1"/>
              <w:right w:val="nil"/>
            </w:tcBorders>
            <w:vAlign w:val="center"/>
          </w:tcPr>
          <w:p w:rsidR="00BE1C66" w:rsidRPr="008B0E2B" w:rsidP="00A24E1B" w14:paraId="49FD254C" w14:textId="77777777">
            <w:pPr>
              <w:spacing w:before="103" w:after="45"/>
              <w:rPr>
                <w:rFonts w:ascii="Arial" w:hAnsi="Arial" w:cs="Arial"/>
                <w:color w:val="000000"/>
                <w:sz w:val="22"/>
                <w:szCs w:val="22"/>
              </w:rPr>
            </w:pPr>
            <w:r w:rsidRPr="008B0E2B">
              <w:rPr>
                <w:rFonts w:ascii="Arial" w:hAnsi="Arial" w:cs="Arial"/>
                <w:b/>
                <w:bCs/>
                <w:color w:val="000000"/>
                <w:sz w:val="22"/>
                <w:szCs w:val="22"/>
              </w:rPr>
              <w:t>Document Title/Description</w:t>
            </w:r>
          </w:p>
        </w:tc>
        <w:tc>
          <w:tcPr>
            <w:tcW w:w="1908" w:type="dxa"/>
            <w:tcBorders>
              <w:top w:val="single" w:sz="6" w:space="0" w:color="000000" w:themeColor="text1"/>
              <w:left w:val="single" w:sz="6" w:space="0" w:color="000000" w:themeColor="text1"/>
              <w:bottom w:val="double" w:sz="9" w:space="0" w:color="000000" w:themeColor="text1"/>
              <w:right w:val="single" w:sz="6" w:space="0" w:color="000000" w:themeColor="text1"/>
            </w:tcBorders>
            <w:vAlign w:val="center"/>
          </w:tcPr>
          <w:p w:rsidR="00BE1C66" w:rsidRPr="008B0E2B" w:rsidP="00A24E1B" w14:paraId="0F8CAFCD" w14:textId="656FCE65">
            <w:pPr>
              <w:spacing w:before="103" w:after="45"/>
              <w:jc w:val="center"/>
              <w:rPr>
                <w:rFonts w:ascii="Arial" w:hAnsi="Arial" w:cs="Arial"/>
                <w:color w:val="000000"/>
                <w:sz w:val="22"/>
                <w:szCs w:val="22"/>
              </w:rPr>
            </w:pPr>
            <w:r>
              <w:rPr>
                <w:rFonts w:ascii="Arial" w:hAnsi="Arial" w:cs="Arial"/>
                <w:b/>
                <w:bCs/>
                <w:color w:val="000000"/>
                <w:sz w:val="22"/>
                <w:szCs w:val="22"/>
              </w:rPr>
              <w:t xml:space="preserve">ADAMS </w:t>
            </w:r>
            <w:r w:rsidRPr="008B0E2B">
              <w:rPr>
                <w:rFonts w:ascii="Arial" w:hAnsi="Arial" w:cs="Arial"/>
                <w:b/>
                <w:bCs/>
                <w:color w:val="000000"/>
                <w:sz w:val="22"/>
                <w:szCs w:val="22"/>
              </w:rPr>
              <w:t>Accession Number</w:t>
            </w:r>
          </w:p>
        </w:tc>
      </w:tr>
      <w:tr w14:paraId="6B84E420"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nil"/>
              <w:right w:val="nil"/>
            </w:tcBorders>
            <w:vAlign w:val="center"/>
          </w:tcPr>
          <w:p w:rsidR="00BE1C66" w:rsidRPr="008B0E2B" w:rsidP="00A24E1B" w14:paraId="0FD4DE34" w14:textId="77777777">
            <w:pPr>
              <w:spacing w:before="103" w:after="45"/>
              <w:jc w:val="center"/>
              <w:rPr>
                <w:rFonts w:ascii="Arial" w:hAnsi="Arial" w:cs="Arial"/>
                <w:color w:val="000000"/>
                <w:sz w:val="22"/>
                <w:szCs w:val="22"/>
              </w:rPr>
            </w:pPr>
            <w:r w:rsidRPr="008B0E2B">
              <w:rPr>
                <w:rFonts w:ascii="Arial" w:hAnsi="Arial" w:cs="Arial"/>
                <w:color w:val="000000"/>
                <w:sz w:val="22"/>
                <w:szCs w:val="22"/>
              </w:rPr>
              <w:t>1</w:t>
            </w:r>
          </w:p>
        </w:tc>
        <w:tc>
          <w:tcPr>
            <w:tcW w:w="1260" w:type="dxa"/>
            <w:tcBorders>
              <w:top w:val="single" w:sz="6" w:space="0" w:color="000000" w:themeColor="text1"/>
              <w:left w:val="single" w:sz="6" w:space="0" w:color="000000" w:themeColor="text1"/>
              <w:bottom w:val="nil"/>
              <w:right w:val="nil"/>
            </w:tcBorders>
            <w:vAlign w:val="center"/>
          </w:tcPr>
          <w:p w:rsidR="00BE1C66" w:rsidRPr="008B0E2B" w:rsidP="009803F8" w14:paraId="745D1F7E" w14:textId="77777777">
            <w:pPr>
              <w:spacing w:before="103" w:after="45"/>
              <w:jc w:val="center"/>
              <w:rPr>
                <w:rFonts w:ascii="Arial" w:hAnsi="Arial" w:cs="Arial"/>
                <w:color w:val="000000"/>
                <w:sz w:val="22"/>
                <w:szCs w:val="22"/>
              </w:rPr>
            </w:pPr>
            <w:r w:rsidRPr="00A04B5D">
              <w:rPr>
                <w:rFonts w:ascii="Arial" w:hAnsi="Arial" w:cs="Arial"/>
                <w:sz w:val="22"/>
                <w:szCs w:val="22"/>
              </w:rPr>
              <w:t>12/7/00</w:t>
            </w:r>
          </w:p>
        </w:tc>
        <w:tc>
          <w:tcPr>
            <w:tcW w:w="4860" w:type="dxa"/>
            <w:tcBorders>
              <w:top w:val="single" w:sz="6" w:space="0" w:color="000000" w:themeColor="text1"/>
              <w:left w:val="single" w:sz="6" w:space="0" w:color="000000" w:themeColor="text1"/>
              <w:bottom w:val="nil"/>
              <w:right w:val="nil"/>
            </w:tcBorders>
            <w:vAlign w:val="center"/>
          </w:tcPr>
          <w:p w:rsidR="00625D4C" w:rsidRPr="00A04B5D" w:rsidP="00A04B5D" w14:paraId="338E243A" w14:textId="77777777">
            <w:pPr>
              <w:spacing w:before="100" w:after="100"/>
              <w:rPr>
                <w:rFonts w:ascii="Arial" w:hAnsi="Arial" w:cs="Arial"/>
                <w:sz w:val="22"/>
                <w:szCs w:val="22"/>
              </w:rPr>
            </w:pPr>
            <w:r w:rsidRPr="00A04B5D">
              <w:rPr>
                <w:rFonts w:ascii="Arial" w:hAnsi="Arial" w:cs="Arial"/>
                <w:sz w:val="22"/>
                <w:szCs w:val="22"/>
              </w:rPr>
              <w:t>STP-00-084, Opportunity to Comment on Draft Revisions to STP Procedure SA-300</w:t>
            </w:r>
          </w:p>
        </w:tc>
        <w:tc>
          <w:tcPr>
            <w:tcW w:w="1908" w:type="dxa"/>
            <w:tcBorders>
              <w:top w:val="single" w:sz="6" w:space="0" w:color="000000" w:themeColor="text1"/>
              <w:left w:val="single" w:sz="6" w:space="0" w:color="000000" w:themeColor="text1"/>
              <w:bottom w:val="nil"/>
              <w:right w:val="single" w:sz="6" w:space="0" w:color="000000" w:themeColor="text1"/>
            </w:tcBorders>
            <w:vAlign w:val="center"/>
          </w:tcPr>
          <w:p w:rsidR="00BE1C66" w:rsidRPr="008B0E2B" w:rsidP="0074719A" w14:paraId="6F109DDC" w14:textId="77777777">
            <w:pPr>
              <w:spacing w:before="103" w:after="45"/>
              <w:jc w:val="center"/>
              <w:rPr>
                <w:rFonts w:ascii="Arial" w:hAnsi="Arial" w:cs="Arial"/>
                <w:color w:val="000000"/>
                <w:sz w:val="22"/>
                <w:szCs w:val="22"/>
              </w:rPr>
            </w:pPr>
            <w:r>
              <w:rPr>
                <w:rFonts w:ascii="Arial" w:hAnsi="Arial" w:cs="Arial"/>
                <w:color w:val="000000"/>
                <w:sz w:val="22"/>
                <w:szCs w:val="22"/>
              </w:rPr>
              <w:t>ML012500411</w:t>
            </w:r>
          </w:p>
        </w:tc>
      </w:tr>
      <w:tr w14:paraId="08C6AB0B"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nil"/>
              <w:right w:val="nil"/>
            </w:tcBorders>
            <w:vAlign w:val="center"/>
          </w:tcPr>
          <w:p w:rsidR="00BE1C66" w:rsidRPr="008B0E2B" w:rsidP="00A24E1B" w14:paraId="64308C58" w14:textId="77777777">
            <w:pPr>
              <w:spacing w:before="103" w:after="45"/>
              <w:jc w:val="center"/>
              <w:rPr>
                <w:rFonts w:ascii="Arial" w:hAnsi="Arial" w:cs="Arial"/>
                <w:color w:val="000000"/>
                <w:sz w:val="22"/>
                <w:szCs w:val="22"/>
              </w:rPr>
            </w:pPr>
            <w:r w:rsidRPr="008B0E2B">
              <w:rPr>
                <w:rFonts w:ascii="Arial" w:hAnsi="Arial" w:cs="Arial"/>
                <w:color w:val="000000"/>
                <w:sz w:val="22"/>
                <w:szCs w:val="22"/>
              </w:rPr>
              <w:t>2</w:t>
            </w:r>
          </w:p>
        </w:tc>
        <w:tc>
          <w:tcPr>
            <w:tcW w:w="1260" w:type="dxa"/>
            <w:tcBorders>
              <w:top w:val="single" w:sz="6" w:space="0" w:color="000000" w:themeColor="text1"/>
              <w:left w:val="single" w:sz="6" w:space="0" w:color="000000" w:themeColor="text1"/>
              <w:bottom w:val="nil"/>
              <w:right w:val="nil"/>
            </w:tcBorders>
            <w:vAlign w:val="center"/>
          </w:tcPr>
          <w:p w:rsidR="00BE1C66" w:rsidRPr="008B0E2B" w:rsidP="00A24E1B" w14:paraId="3584FB63" w14:textId="77777777">
            <w:pPr>
              <w:spacing w:before="103" w:after="45"/>
              <w:jc w:val="center"/>
              <w:rPr>
                <w:rFonts w:ascii="Arial" w:hAnsi="Arial" w:cs="Arial"/>
                <w:color w:val="000000"/>
                <w:sz w:val="22"/>
                <w:szCs w:val="22"/>
              </w:rPr>
            </w:pPr>
            <w:r w:rsidRPr="00A04B5D">
              <w:rPr>
                <w:rFonts w:ascii="Arial" w:hAnsi="Arial" w:cs="Arial"/>
                <w:sz w:val="22"/>
                <w:szCs w:val="22"/>
              </w:rPr>
              <w:t>5/23/01</w:t>
            </w:r>
          </w:p>
        </w:tc>
        <w:tc>
          <w:tcPr>
            <w:tcW w:w="4860" w:type="dxa"/>
            <w:tcBorders>
              <w:top w:val="single" w:sz="6" w:space="0" w:color="000000" w:themeColor="text1"/>
              <w:left w:val="single" w:sz="6" w:space="0" w:color="000000" w:themeColor="text1"/>
              <w:bottom w:val="nil"/>
              <w:right w:val="nil"/>
            </w:tcBorders>
            <w:vAlign w:val="center"/>
          </w:tcPr>
          <w:p w:rsidR="00BE1C66" w:rsidRPr="008B0E2B" w:rsidP="00A04B5D" w14:paraId="49ACE2A0" w14:textId="77777777">
            <w:pPr>
              <w:spacing w:before="100" w:after="100"/>
              <w:rPr>
                <w:rFonts w:ascii="Arial" w:hAnsi="Arial" w:cs="Arial"/>
                <w:color w:val="000000"/>
                <w:sz w:val="22"/>
                <w:szCs w:val="22"/>
              </w:rPr>
            </w:pPr>
            <w:r w:rsidRPr="00A04B5D">
              <w:rPr>
                <w:rFonts w:ascii="Arial" w:hAnsi="Arial" w:cs="Arial"/>
                <w:sz w:val="22"/>
                <w:szCs w:val="22"/>
              </w:rPr>
              <w:t>STP-01-045, Final Revision</w:t>
            </w:r>
            <w:r w:rsidRPr="00A04B5D" w:rsidR="0074719A">
              <w:rPr>
                <w:rFonts w:ascii="Arial" w:hAnsi="Arial" w:cs="Arial"/>
                <w:sz w:val="22"/>
                <w:szCs w:val="22"/>
              </w:rPr>
              <w:t>s</w:t>
            </w:r>
            <w:r w:rsidRPr="00A04B5D">
              <w:rPr>
                <w:rFonts w:ascii="Arial" w:hAnsi="Arial" w:cs="Arial"/>
                <w:sz w:val="22"/>
                <w:szCs w:val="22"/>
              </w:rPr>
              <w:t xml:space="preserve"> to SA-300</w:t>
            </w:r>
          </w:p>
        </w:tc>
        <w:tc>
          <w:tcPr>
            <w:tcW w:w="1908" w:type="dxa"/>
            <w:tcBorders>
              <w:top w:val="single" w:sz="6" w:space="0" w:color="000000" w:themeColor="text1"/>
              <w:left w:val="single" w:sz="6" w:space="0" w:color="000000" w:themeColor="text1"/>
              <w:bottom w:val="nil"/>
              <w:right w:val="single" w:sz="6" w:space="0" w:color="000000" w:themeColor="text1"/>
            </w:tcBorders>
            <w:vAlign w:val="center"/>
          </w:tcPr>
          <w:p w:rsidR="00BE1C66" w:rsidRPr="008B0E2B" w:rsidP="0074719A" w14:paraId="087EEFEA" w14:textId="77777777">
            <w:pPr>
              <w:spacing w:before="103" w:after="45"/>
              <w:jc w:val="center"/>
              <w:rPr>
                <w:rFonts w:ascii="Arial" w:hAnsi="Arial" w:cs="Arial"/>
                <w:color w:val="000000"/>
                <w:sz w:val="22"/>
                <w:szCs w:val="22"/>
              </w:rPr>
            </w:pPr>
            <w:r>
              <w:rPr>
                <w:rFonts w:ascii="Arial" w:hAnsi="Arial" w:cs="Arial"/>
                <w:color w:val="000000"/>
                <w:sz w:val="22"/>
                <w:szCs w:val="22"/>
              </w:rPr>
              <w:t>ML011450316</w:t>
            </w:r>
          </w:p>
        </w:tc>
      </w:tr>
      <w:tr w14:paraId="16FF7963" w14:textId="77777777" w:rsidTr="00A04B5D">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nil"/>
              <w:right w:val="nil"/>
            </w:tcBorders>
            <w:vAlign w:val="center"/>
          </w:tcPr>
          <w:p w:rsidR="009803F8" w:rsidRPr="008B0E2B" w:rsidP="00A24E1B" w14:paraId="489C7FF7" w14:textId="77777777">
            <w:pPr>
              <w:spacing w:before="103" w:after="45"/>
              <w:jc w:val="center"/>
              <w:rPr>
                <w:rFonts w:ascii="Arial" w:hAnsi="Arial" w:cs="Arial"/>
                <w:color w:val="000000"/>
                <w:sz w:val="22"/>
                <w:szCs w:val="22"/>
              </w:rPr>
            </w:pPr>
            <w:r>
              <w:rPr>
                <w:rFonts w:ascii="Arial" w:hAnsi="Arial" w:cs="Arial"/>
                <w:color w:val="000000"/>
                <w:sz w:val="22"/>
                <w:szCs w:val="22"/>
              </w:rPr>
              <w:t>3</w:t>
            </w:r>
          </w:p>
        </w:tc>
        <w:tc>
          <w:tcPr>
            <w:tcW w:w="1260" w:type="dxa"/>
            <w:tcBorders>
              <w:top w:val="single" w:sz="6" w:space="0" w:color="000000" w:themeColor="text1"/>
              <w:left w:val="single" w:sz="6" w:space="0" w:color="000000" w:themeColor="text1"/>
              <w:bottom w:val="nil"/>
              <w:right w:val="nil"/>
            </w:tcBorders>
            <w:vAlign w:val="center"/>
          </w:tcPr>
          <w:p w:rsidR="009803F8" w:rsidP="00A24E1B" w14:paraId="36E5FEB2" w14:textId="77777777">
            <w:pPr>
              <w:spacing w:before="103" w:after="45"/>
              <w:jc w:val="center"/>
              <w:rPr>
                <w:rFonts w:ascii="Arial" w:hAnsi="Arial" w:cs="Arial"/>
                <w:color w:val="000000"/>
                <w:sz w:val="22"/>
                <w:szCs w:val="22"/>
              </w:rPr>
            </w:pPr>
            <w:r w:rsidRPr="00A04B5D">
              <w:rPr>
                <w:rFonts w:ascii="Arial" w:hAnsi="Arial" w:cs="Arial"/>
                <w:sz w:val="22"/>
                <w:szCs w:val="22"/>
              </w:rPr>
              <w:t>5/23/01</w:t>
            </w:r>
          </w:p>
        </w:tc>
        <w:tc>
          <w:tcPr>
            <w:tcW w:w="4860" w:type="dxa"/>
            <w:tcBorders>
              <w:top w:val="single" w:sz="6" w:space="0" w:color="000000" w:themeColor="text1"/>
              <w:left w:val="single" w:sz="6" w:space="0" w:color="000000" w:themeColor="text1"/>
              <w:bottom w:val="single" w:sz="4" w:space="0" w:color="auto"/>
              <w:right w:val="nil"/>
            </w:tcBorders>
            <w:vAlign w:val="center"/>
          </w:tcPr>
          <w:p w:rsidR="009803F8" w:rsidP="00A04B5D" w14:paraId="3068D5F2" w14:textId="77777777">
            <w:pPr>
              <w:spacing w:before="100" w:after="100"/>
              <w:rPr>
                <w:rFonts w:ascii="Arial" w:hAnsi="Arial" w:cs="Arial"/>
                <w:color w:val="000000"/>
                <w:sz w:val="22"/>
                <w:szCs w:val="22"/>
              </w:rPr>
            </w:pPr>
            <w:r w:rsidRPr="00A04B5D">
              <w:rPr>
                <w:rFonts w:ascii="Arial" w:hAnsi="Arial" w:cs="Arial"/>
                <w:sz w:val="22"/>
                <w:szCs w:val="22"/>
              </w:rPr>
              <w:t>STP Procedure SA-300</w:t>
            </w:r>
          </w:p>
        </w:tc>
        <w:tc>
          <w:tcPr>
            <w:tcW w:w="190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9803F8" w:rsidP="0074719A" w14:paraId="40E4723E" w14:textId="77777777">
            <w:pPr>
              <w:spacing w:before="103" w:after="45"/>
              <w:jc w:val="center"/>
              <w:rPr>
                <w:rFonts w:ascii="Arial" w:hAnsi="Arial" w:cs="Arial"/>
                <w:color w:val="000000"/>
                <w:sz w:val="22"/>
                <w:szCs w:val="22"/>
              </w:rPr>
            </w:pPr>
            <w:r>
              <w:rPr>
                <w:rFonts w:ascii="Arial" w:hAnsi="Arial" w:cs="Arial"/>
                <w:color w:val="000000"/>
                <w:sz w:val="22"/>
                <w:szCs w:val="22"/>
              </w:rPr>
              <w:t>ML011450424</w:t>
            </w:r>
          </w:p>
        </w:tc>
      </w:tr>
      <w:tr w14:paraId="04DBDF4E" w14:textId="77777777" w:rsidTr="00A04B5D">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BE1C66" w:rsidRPr="008B0E2B" w:rsidP="00A24E1B" w14:paraId="61E07BAB" w14:textId="77777777">
            <w:pPr>
              <w:spacing w:before="103" w:after="45"/>
              <w:jc w:val="center"/>
              <w:rPr>
                <w:rFonts w:ascii="Arial" w:hAnsi="Arial" w:cs="Arial"/>
                <w:color w:val="000000"/>
                <w:sz w:val="22"/>
                <w:szCs w:val="22"/>
              </w:rPr>
            </w:pPr>
            <w:r>
              <w:rPr>
                <w:rFonts w:ascii="Arial" w:hAnsi="Arial" w:cs="Arial"/>
                <w:color w:val="000000"/>
                <w:sz w:val="22"/>
                <w:szCs w:val="22"/>
              </w:rPr>
              <w:t>4</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BE1C66" w:rsidRPr="008B0E2B" w:rsidP="00A24E1B" w14:paraId="7BF52B81" w14:textId="77777777">
            <w:pPr>
              <w:spacing w:before="103" w:after="45"/>
              <w:jc w:val="center"/>
              <w:rPr>
                <w:rFonts w:ascii="Arial" w:hAnsi="Arial" w:cs="Arial"/>
                <w:color w:val="000000"/>
                <w:sz w:val="22"/>
                <w:szCs w:val="22"/>
              </w:rPr>
            </w:pPr>
            <w:r>
              <w:rPr>
                <w:rFonts w:ascii="Arial" w:hAnsi="Arial" w:cs="Arial"/>
                <w:sz w:val="22"/>
                <w:szCs w:val="22"/>
              </w:rPr>
              <w:t>8/30/05</w:t>
            </w:r>
          </w:p>
        </w:tc>
        <w:tc>
          <w:tcPr>
            <w:tcW w:w="4860" w:type="dxa"/>
            <w:tcBorders>
              <w:top w:val="single" w:sz="4" w:space="0" w:color="auto"/>
              <w:left w:val="single" w:sz="6" w:space="0" w:color="000000" w:themeColor="text1"/>
              <w:bottom w:val="single" w:sz="6" w:space="0" w:color="000000" w:themeColor="text1"/>
              <w:right w:val="nil"/>
            </w:tcBorders>
            <w:vAlign w:val="center"/>
          </w:tcPr>
          <w:p w:rsidR="00BE1C66" w:rsidRPr="008B0E2B" w:rsidP="00A04B5D" w14:paraId="0792F2A5" w14:textId="77777777">
            <w:pPr>
              <w:spacing w:before="100" w:after="100"/>
              <w:rPr>
                <w:rFonts w:ascii="Arial" w:hAnsi="Arial" w:cs="Arial"/>
                <w:color w:val="000000"/>
                <w:sz w:val="22"/>
                <w:szCs w:val="22"/>
              </w:rPr>
            </w:pPr>
            <w:r w:rsidRPr="00A04B5D">
              <w:rPr>
                <w:rFonts w:ascii="Arial" w:hAnsi="Arial" w:cs="Arial"/>
                <w:sz w:val="22"/>
                <w:szCs w:val="22"/>
              </w:rPr>
              <w:t>STP-05-064, Opportunity to Comment on Draft Revisions to STP Procedure SA-300</w:t>
            </w:r>
          </w:p>
        </w:tc>
        <w:tc>
          <w:tcPr>
            <w:tcW w:w="1908"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BE1C66" w:rsidRPr="008B0E2B" w:rsidP="0074719A" w14:paraId="2B73644E" w14:textId="77777777">
            <w:pPr>
              <w:spacing w:before="103" w:after="45"/>
              <w:jc w:val="center"/>
              <w:rPr>
                <w:rFonts w:ascii="Arial" w:hAnsi="Arial" w:cs="Arial"/>
                <w:color w:val="000000"/>
                <w:sz w:val="22"/>
                <w:szCs w:val="22"/>
              </w:rPr>
            </w:pPr>
            <w:r>
              <w:rPr>
                <w:rFonts w:ascii="Arial" w:hAnsi="Arial" w:cs="Arial"/>
                <w:sz w:val="22"/>
                <w:szCs w:val="22"/>
              </w:rPr>
              <w:t>ML052420717</w:t>
            </w:r>
          </w:p>
        </w:tc>
      </w:tr>
      <w:tr w14:paraId="05181490" w14:textId="77777777" w:rsidTr="00A04B5D">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nil"/>
              <w:right w:val="nil"/>
            </w:tcBorders>
            <w:vAlign w:val="center"/>
          </w:tcPr>
          <w:p w:rsidR="009803F8" w:rsidRPr="008B0E2B" w:rsidP="00A24E1B" w14:paraId="02125415" w14:textId="77777777">
            <w:pPr>
              <w:spacing w:before="103" w:after="45"/>
              <w:jc w:val="center"/>
              <w:rPr>
                <w:rFonts w:ascii="Arial" w:hAnsi="Arial" w:cs="Arial"/>
                <w:color w:val="000000"/>
                <w:sz w:val="22"/>
                <w:szCs w:val="22"/>
              </w:rPr>
            </w:pPr>
            <w:r>
              <w:rPr>
                <w:rFonts w:ascii="Arial" w:hAnsi="Arial" w:cs="Arial"/>
                <w:color w:val="000000"/>
                <w:sz w:val="22"/>
                <w:szCs w:val="22"/>
              </w:rPr>
              <w:t>5</w:t>
            </w:r>
          </w:p>
        </w:tc>
        <w:tc>
          <w:tcPr>
            <w:tcW w:w="1260" w:type="dxa"/>
            <w:tcBorders>
              <w:top w:val="single" w:sz="6" w:space="0" w:color="000000" w:themeColor="text1"/>
              <w:left w:val="single" w:sz="6" w:space="0" w:color="000000" w:themeColor="text1"/>
              <w:bottom w:val="nil"/>
              <w:right w:val="nil"/>
            </w:tcBorders>
            <w:vAlign w:val="center"/>
          </w:tcPr>
          <w:p w:rsidR="009803F8" w:rsidRPr="008B0E2B" w:rsidP="00A24E1B" w14:paraId="14306B92" w14:textId="77777777">
            <w:pPr>
              <w:spacing w:before="103" w:after="45"/>
              <w:jc w:val="center"/>
              <w:rPr>
                <w:rFonts w:ascii="Arial" w:hAnsi="Arial" w:cs="Arial"/>
                <w:sz w:val="22"/>
                <w:szCs w:val="22"/>
              </w:rPr>
            </w:pPr>
            <w:r>
              <w:rPr>
                <w:rFonts w:ascii="Arial" w:hAnsi="Arial" w:cs="Arial"/>
                <w:sz w:val="22"/>
                <w:szCs w:val="22"/>
              </w:rPr>
              <w:t>3/8/06</w:t>
            </w:r>
          </w:p>
        </w:tc>
        <w:tc>
          <w:tcPr>
            <w:tcW w:w="4860" w:type="dxa"/>
            <w:tcBorders>
              <w:top w:val="single" w:sz="6" w:space="0" w:color="000000" w:themeColor="text1"/>
              <w:left w:val="single" w:sz="6" w:space="0" w:color="000000" w:themeColor="text1"/>
              <w:bottom w:val="nil"/>
              <w:right w:val="nil"/>
            </w:tcBorders>
            <w:vAlign w:val="center"/>
          </w:tcPr>
          <w:p w:rsidR="009803F8" w:rsidP="00A04B5D" w14:paraId="209B6D86" w14:textId="77777777">
            <w:pPr>
              <w:spacing w:before="100" w:after="100"/>
              <w:rPr>
                <w:rFonts w:ascii="Arial" w:hAnsi="Arial" w:cs="Arial"/>
                <w:sz w:val="22"/>
                <w:szCs w:val="22"/>
              </w:rPr>
            </w:pPr>
            <w:r>
              <w:rPr>
                <w:rFonts w:ascii="Arial" w:hAnsi="Arial" w:cs="Arial"/>
                <w:sz w:val="22"/>
                <w:szCs w:val="22"/>
              </w:rPr>
              <w:t>STP-06-021, Availability of Final Revisions to SA-300</w:t>
            </w:r>
          </w:p>
        </w:tc>
        <w:tc>
          <w:tcPr>
            <w:tcW w:w="1908" w:type="dxa"/>
            <w:tcBorders>
              <w:top w:val="single" w:sz="6" w:space="0" w:color="000000" w:themeColor="text1"/>
              <w:left w:val="single" w:sz="6" w:space="0" w:color="000000" w:themeColor="text1"/>
              <w:bottom w:val="nil"/>
              <w:right w:val="single" w:sz="6" w:space="0" w:color="000000" w:themeColor="text1"/>
            </w:tcBorders>
            <w:vAlign w:val="center"/>
          </w:tcPr>
          <w:p w:rsidR="009803F8" w:rsidRPr="008B0E2B" w:rsidP="0074719A" w14:paraId="05C581FA" w14:textId="77777777">
            <w:pPr>
              <w:spacing w:before="103" w:after="45"/>
              <w:jc w:val="center"/>
              <w:rPr>
                <w:rFonts w:ascii="Arial" w:hAnsi="Arial" w:cs="Arial"/>
                <w:sz w:val="22"/>
                <w:szCs w:val="22"/>
              </w:rPr>
            </w:pPr>
            <w:r>
              <w:rPr>
                <w:rFonts w:ascii="Arial" w:hAnsi="Arial" w:cs="Arial"/>
                <w:sz w:val="22"/>
                <w:szCs w:val="22"/>
              </w:rPr>
              <w:t>ML060670592</w:t>
            </w:r>
          </w:p>
        </w:tc>
      </w:tr>
      <w:tr w14:paraId="0A52C8CF"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nil"/>
              <w:right w:val="nil"/>
            </w:tcBorders>
            <w:vAlign w:val="center"/>
          </w:tcPr>
          <w:p w:rsidR="00BE1C66" w:rsidRPr="008B0E2B" w:rsidP="00A24E1B" w14:paraId="07D98965" w14:textId="77777777">
            <w:pPr>
              <w:spacing w:before="103" w:after="45"/>
              <w:jc w:val="center"/>
              <w:rPr>
                <w:rFonts w:ascii="Arial" w:hAnsi="Arial" w:cs="Arial"/>
                <w:color w:val="000000"/>
                <w:sz w:val="22"/>
                <w:szCs w:val="22"/>
              </w:rPr>
            </w:pPr>
            <w:r>
              <w:rPr>
                <w:rFonts w:ascii="Arial" w:hAnsi="Arial" w:cs="Arial"/>
                <w:color w:val="000000"/>
                <w:sz w:val="22"/>
                <w:szCs w:val="22"/>
              </w:rPr>
              <w:t>6</w:t>
            </w:r>
          </w:p>
        </w:tc>
        <w:tc>
          <w:tcPr>
            <w:tcW w:w="1260" w:type="dxa"/>
            <w:tcBorders>
              <w:top w:val="single" w:sz="6" w:space="0" w:color="000000" w:themeColor="text1"/>
              <w:left w:val="single" w:sz="6" w:space="0" w:color="000000" w:themeColor="text1"/>
              <w:bottom w:val="nil"/>
              <w:right w:val="nil"/>
            </w:tcBorders>
            <w:vAlign w:val="center"/>
          </w:tcPr>
          <w:p w:rsidR="00BE1C66" w:rsidRPr="008B0E2B" w:rsidP="00A24E1B" w14:paraId="3F789A32" w14:textId="77777777">
            <w:pPr>
              <w:spacing w:before="103" w:after="45"/>
              <w:jc w:val="center"/>
              <w:rPr>
                <w:rFonts w:ascii="Arial" w:hAnsi="Arial" w:cs="Arial"/>
                <w:color w:val="000000"/>
                <w:sz w:val="22"/>
                <w:szCs w:val="22"/>
              </w:rPr>
            </w:pPr>
            <w:r w:rsidRPr="008B0E2B">
              <w:rPr>
                <w:rFonts w:ascii="Arial" w:hAnsi="Arial" w:cs="Arial"/>
                <w:sz w:val="22"/>
                <w:szCs w:val="22"/>
              </w:rPr>
              <w:t>03/8/06</w:t>
            </w:r>
          </w:p>
        </w:tc>
        <w:tc>
          <w:tcPr>
            <w:tcW w:w="4860" w:type="dxa"/>
            <w:tcBorders>
              <w:top w:val="single" w:sz="6" w:space="0" w:color="000000" w:themeColor="text1"/>
              <w:left w:val="single" w:sz="6" w:space="0" w:color="000000" w:themeColor="text1"/>
              <w:bottom w:val="nil"/>
              <w:right w:val="nil"/>
            </w:tcBorders>
            <w:vAlign w:val="center"/>
          </w:tcPr>
          <w:p w:rsidR="00BE1C66" w:rsidRPr="008B0E2B" w:rsidP="00A04B5D" w14:paraId="10C033FA" w14:textId="77777777">
            <w:pPr>
              <w:spacing w:before="100" w:after="100"/>
              <w:rPr>
                <w:rFonts w:ascii="Arial" w:hAnsi="Arial" w:cs="Arial"/>
                <w:color w:val="000000"/>
                <w:sz w:val="22"/>
                <w:szCs w:val="22"/>
              </w:rPr>
            </w:pPr>
            <w:r>
              <w:rPr>
                <w:rFonts w:ascii="Arial" w:hAnsi="Arial" w:cs="Arial"/>
                <w:sz w:val="22"/>
                <w:szCs w:val="22"/>
              </w:rPr>
              <w:t xml:space="preserve">STP Procedure SA-300, </w:t>
            </w:r>
            <w:r w:rsidRPr="008B0E2B">
              <w:rPr>
                <w:rFonts w:ascii="Arial" w:hAnsi="Arial" w:cs="Arial"/>
                <w:sz w:val="22"/>
                <w:szCs w:val="22"/>
              </w:rPr>
              <w:t>Reporting Materials Events</w:t>
            </w:r>
          </w:p>
        </w:tc>
        <w:tc>
          <w:tcPr>
            <w:tcW w:w="1908" w:type="dxa"/>
            <w:tcBorders>
              <w:top w:val="single" w:sz="6" w:space="0" w:color="000000" w:themeColor="text1"/>
              <w:left w:val="single" w:sz="6" w:space="0" w:color="000000" w:themeColor="text1"/>
              <w:bottom w:val="nil"/>
              <w:right w:val="single" w:sz="6" w:space="0" w:color="000000" w:themeColor="text1"/>
            </w:tcBorders>
            <w:vAlign w:val="center"/>
          </w:tcPr>
          <w:p w:rsidR="00BE1C66" w:rsidRPr="008B0E2B" w:rsidP="0074719A" w14:paraId="3896C00F" w14:textId="77777777">
            <w:pPr>
              <w:spacing w:before="103" w:after="45"/>
              <w:jc w:val="center"/>
              <w:rPr>
                <w:rFonts w:ascii="Arial" w:hAnsi="Arial" w:cs="Arial"/>
                <w:color w:val="000000"/>
                <w:sz w:val="22"/>
                <w:szCs w:val="22"/>
              </w:rPr>
            </w:pPr>
            <w:r w:rsidRPr="008B0E2B">
              <w:rPr>
                <w:rFonts w:ascii="Arial" w:hAnsi="Arial" w:cs="Arial"/>
                <w:sz w:val="22"/>
                <w:szCs w:val="22"/>
              </w:rPr>
              <w:t>ML081690879</w:t>
            </w:r>
          </w:p>
        </w:tc>
      </w:tr>
      <w:tr w14:paraId="060BF72D"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BE1C66" w:rsidRPr="008B0E2B" w:rsidP="00A24E1B" w14:paraId="24EE5A02" w14:textId="77777777">
            <w:pPr>
              <w:spacing w:before="103" w:after="45"/>
              <w:jc w:val="center"/>
              <w:rPr>
                <w:rFonts w:ascii="Arial" w:hAnsi="Arial" w:cs="Arial"/>
                <w:color w:val="000000"/>
                <w:sz w:val="22"/>
                <w:szCs w:val="22"/>
              </w:rPr>
            </w:pPr>
            <w:r>
              <w:rPr>
                <w:rFonts w:ascii="Arial" w:hAnsi="Arial" w:cs="Arial"/>
                <w:color w:val="000000"/>
                <w:sz w:val="22"/>
                <w:szCs w:val="22"/>
              </w:rPr>
              <w:t>7</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BE1C66" w:rsidRPr="008B0E2B" w:rsidP="00A24E1B" w14:paraId="66FFCA07" w14:textId="77777777">
            <w:pPr>
              <w:spacing w:before="103" w:after="45"/>
              <w:jc w:val="center"/>
              <w:rPr>
                <w:rFonts w:ascii="Arial" w:hAnsi="Arial" w:cs="Arial"/>
                <w:color w:val="000000"/>
                <w:sz w:val="22"/>
                <w:szCs w:val="22"/>
              </w:rPr>
            </w:pPr>
            <w:r>
              <w:rPr>
                <w:rFonts w:ascii="Arial" w:hAnsi="Arial" w:cs="Arial"/>
                <w:color w:val="000000"/>
                <w:sz w:val="22"/>
                <w:szCs w:val="22"/>
              </w:rPr>
              <w:t>1/11/10</w:t>
            </w:r>
          </w:p>
        </w:tc>
        <w:tc>
          <w:tcPr>
            <w:tcW w:w="4860" w:type="dxa"/>
            <w:tcBorders>
              <w:top w:val="single" w:sz="6" w:space="0" w:color="000000" w:themeColor="text1"/>
              <w:left w:val="single" w:sz="6" w:space="0" w:color="000000" w:themeColor="text1"/>
              <w:bottom w:val="single" w:sz="6" w:space="0" w:color="000000" w:themeColor="text1"/>
              <w:right w:val="nil"/>
            </w:tcBorders>
            <w:vAlign w:val="center"/>
          </w:tcPr>
          <w:p w:rsidR="00BE1C66" w:rsidRPr="00A04B5D" w:rsidP="00A04B5D" w14:paraId="7DF65D6F" w14:textId="77777777">
            <w:pPr>
              <w:spacing w:before="100" w:after="100"/>
              <w:rPr>
                <w:rFonts w:ascii="Arial" w:hAnsi="Arial" w:cs="Arial"/>
                <w:sz w:val="22"/>
                <w:szCs w:val="22"/>
              </w:rPr>
            </w:pPr>
            <w:r w:rsidRPr="00A04B5D">
              <w:rPr>
                <w:rFonts w:ascii="Arial" w:hAnsi="Arial" w:cs="Arial"/>
                <w:sz w:val="22"/>
                <w:szCs w:val="22"/>
              </w:rPr>
              <w:t>FSME-10-002, Opportunity to Comment on Draft Revisions to FSME Procedure SA-300</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1C66" w:rsidRPr="008B0E2B" w:rsidP="0074719A" w14:paraId="6F6B64EE" w14:textId="77777777">
            <w:pPr>
              <w:spacing w:before="103" w:after="45"/>
              <w:jc w:val="center"/>
              <w:rPr>
                <w:rFonts w:ascii="Arial" w:hAnsi="Arial" w:cs="Arial"/>
                <w:color w:val="000000"/>
                <w:sz w:val="22"/>
                <w:szCs w:val="22"/>
              </w:rPr>
            </w:pPr>
            <w:r>
              <w:rPr>
                <w:rFonts w:ascii="Arial" w:hAnsi="Arial" w:cs="Arial"/>
                <w:color w:val="000000"/>
                <w:sz w:val="22"/>
                <w:szCs w:val="22"/>
              </w:rPr>
              <w:t>ML093370257</w:t>
            </w:r>
          </w:p>
        </w:tc>
      </w:tr>
      <w:tr w14:paraId="45B6451D"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48227E" w:rsidP="00A24E1B" w14:paraId="14161E71" w14:textId="77777777">
            <w:pPr>
              <w:spacing w:before="103" w:after="45"/>
              <w:jc w:val="center"/>
              <w:rPr>
                <w:rFonts w:ascii="Arial" w:hAnsi="Arial" w:cs="Arial"/>
                <w:color w:val="000000"/>
                <w:sz w:val="22"/>
                <w:szCs w:val="22"/>
              </w:rPr>
            </w:pPr>
            <w:r w:rsidRPr="4F48825C">
              <w:rPr>
                <w:rFonts w:ascii="Arial" w:hAnsi="Arial" w:cs="Arial"/>
                <w:color w:val="000000" w:themeColor="text1"/>
                <w:sz w:val="22"/>
                <w:szCs w:val="22"/>
              </w:rPr>
              <w:t>8</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48227E" w:rsidP="00A24E1B" w14:paraId="2F9A8528" w14:textId="77777777">
            <w:pPr>
              <w:spacing w:before="103" w:after="45"/>
              <w:jc w:val="center"/>
              <w:rPr>
                <w:rFonts w:ascii="Arial" w:hAnsi="Arial" w:cs="Arial"/>
                <w:color w:val="000000"/>
                <w:sz w:val="22"/>
                <w:szCs w:val="22"/>
              </w:rPr>
            </w:pPr>
            <w:r>
              <w:rPr>
                <w:rFonts w:ascii="Arial" w:hAnsi="Arial" w:cs="Arial"/>
                <w:color w:val="000000"/>
                <w:sz w:val="22"/>
                <w:szCs w:val="22"/>
              </w:rPr>
              <w:t>3/27/2013</w:t>
            </w:r>
          </w:p>
        </w:tc>
        <w:tc>
          <w:tcPr>
            <w:tcW w:w="4860" w:type="dxa"/>
            <w:tcBorders>
              <w:top w:val="single" w:sz="6" w:space="0" w:color="000000" w:themeColor="text1"/>
              <w:left w:val="single" w:sz="6" w:space="0" w:color="000000" w:themeColor="text1"/>
              <w:bottom w:val="single" w:sz="6" w:space="0" w:color="000000" w:themeColor="text1"/>
              <w:right w:val="nil"/>
            </w:tcBorders>
            <w:vAlign w:val="center"/>
          </w:tcPr>
          <w:p w:rsidR="0048227E" w:rsidRPr="00A04B5D" w:rsidP="00A04B5D" w14:paraId="55F31A89" w14:textId="77777777">
            <w:pPr>
              <w:spacing w:before="100" w:after="100"/>
              <w:rPr>
                <w:rFonts w:ascii="Arial" w:hAnsi="Arial" w:cs="Arial"/>
                <w:sz w:val="22"/>
                <w:szCs w:val="22"/>
              </w:rPr>
            </w:pPr>
            <w:r w:rsidRPr="00A04B5D">
              <w:rPr>
                <w:rFonts w:ascii="Arial" w:hAnsi="Arial" w:cs="Arial"/>
                <w:sz w:val="22"/>
                <w:szCs w:val="22"/>
              </w:rPr>
              <w:t>FSME Procedure; State Agreement (SA)-300, Reporting Material Events</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8227E" w:rsidP="0048227E" w14:paraId="6A4DCCCA" w14:textId="77777777">
            <w:pPr>
              <w:spacing w:before="103" w:after="45"/>
              <w:jc w:val="center"/>
              <w:rPr>
                <w:rFonts w:ascii="Arial" w:hAnsi="Arial" w:cs="Arial"/>
                <w:color w:val="000000"/>
                <w:sz w:val="22"/>
                <w:szCs w:val="22"/>
              </w:rPr>
            </w:pPr>
            <w:r w:rsidRPr="4F48825C">
              <w:rPr>
                <w:rFonts w:ascii="Arial" w:hAnsi="Arial" w:cs="Arial"/>
                <w:color w:val="000000" w:themeColor="text1"/>
                <w:sz w:val="22"/>
                <w:szCs w:val="22"/>
              </w:rPr>
              <w:t>ML13053A346</w:t>
            </w:r>
          </w:p>
        </w:tc>
      </w:tr>
      <w:tr w14:paraId="374D8E51"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576F63" w:rsidP="00A24E1B" w14:paraId="7C863A4E" w14:textId="77777777">
            <w:pPr>
              <w:spacing w:before="103" w:after="45"/>
              <w:jc w:val="center"/>
              <w:rPr>
                <w:rFonts w:ascii="Arial" w:hAnsi="Arial" w:cs="Arial"/>
                <w:color w:val="000000"/>
                <w:sz w:val="22"/>
                <w:szCs w:val="22"/>
              </w:rPr>
            </w:pPr>
            <w:r>
              <w:rPr>
                <w:rFonts w:ascii="Arial" w:hAnsi="Arial" w:cs="Arial"/>
                <w:color w:val="000000"/>
                <w:sz w:val="22"/>
                <w:szCs w:val="22"/>
              </w:rPr>
              <w:t>9</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576F63" w:rsidRPr="00CA57CB" w:rsidP="00A24E1B" w14:paraId="4477BB32" w14:textId="0C3FCF8C">
            <w:pPr>
              <w:spacing w:before="103" w:after="45"/>
              <w:jc w:val="center"/>
              <w:rPr>
                <w:rFonts w:ascii="Arial" w:hAnsi="Arial" w:cs="Arial"/>
                <w:color w:val="000000"/>
                <w:sz w:val="22"/>
                <w:szCs w:val="22"/>
                <w:highlight w:val="yellow"/>
              </w:rPr>
            </w:pPr>
            <w:r w:rsidRPr="00CA57CB">
              <w:rPr>
                <w:rFonts w:ascii="Arial" w:hAnsi="Arial" w:cs="Arial"/>
                <w:color w:val="000000"/>
                <w:sz w:val="22"/>
                <w:szCs w:val="22"/>
                <w:highlight w:val="yellow"/>
              </w:rPr>
              <w:t>x</w:t>
            </w:r>
            <w:r w:rsidRPr="00CA57CB">
              <w:rPr>
                <w:rFonts w:ascii="Arial" w:hAnsi="Arial" w:cs="Arial"/>
                <w:color w:val="000000"/>
                <w:sz w:val="22"/>
                <w:szCs w:val="22"/>
                <w:highlight w:val="yellow"/>
              </w:rPr>
              <w:t>/x/202</w:t>
            </w:r>
            <w:r w:rsidRPr="00CA57CB" w:rsidR="00CA57CB">
              <w:rPr>
                <w:rFonts w:ascii="Arial" w:hAnsi="Arial" w:cs="Arial"/>
                <w:color w:val="000000"/>
                <w:sz w:val="22"/>
                <w:szCs w:val="22"/>
                <w:highlight w:val="yellow"/>
              </w:rPr>
              <w:t>2</w:t>
            </w:r>
          </w:p>
        </w:tc>
        <w:tc>
          <w:tcPr>
            <w:tcW w:w="4860" w:type="dxa"/>
            <w:tcBorders>
              <w:top w:val="single" w:sz="6" w:space="0" w:color="000000" w:themeColor="text1"/>
              <w:left w:val="single" w:sz="6" w:space="0" w:color="000000" w:themeColor="text1"/>
              <w:bottom w:val="single" w:sz="6" w:space="0" w:color="000000" w:themeColor="text1"/>
              <w:right w:val="nil"/>
            </w:tcBorders>
            <w:vAlign w:val="center"/>
          </w:tcPr>
          <w:p w:rsidR="00576F63" w:rsidP="00A04B5D" w14:paraId="4055468E" w14:textId="1E6B1D1F">
            <w:pPr>
              <w:spacing w:before="100" w:after="100"/>
              <w:rPr>
                <w:rFonts w:ascii="Arial" w:hAnsi="Arial" w:cs="Arial"/>
                <w:color w:val="000000"/>
                <w:sz w:val="22"/>
                <w:szCs w:val="22"/>
              </w:rPr>
            </w:pPr>
            <w:r w:rsidRPr="00A04B5D">
              <w:rPr>
                <w:rFonts w:ascii="Arial" w:hAnsi="Arial" w:cs="Arial"/>
                <w:sz w:val="22"/>
                <w:szCs w:val="22"/>
              </w:rPr>
              <w:t>NMSS</w:t>
            </w:r>
            <w:r w:rsidRPr="00A04B5D" w:rsidR="00466028">
              <w:rPr>
                <w:rFonts w:ascii="Arial" w:hAnsi="Arial" w:cs="Arial"/>
                <w:sz w:val="22"/>
                <w:szCs w:val="22"/>
              </w:rPr>
              <w:t xml:space="preserve"> Procedure</w:t>
            </w:r>
            <w:r w:rsidRPr="00A04B5D">
              <w:rPr>
                <w:rFonts w:ascii="Arial" w:hAnsi="Arial" w:cs="Arial"/>
                <w:sz w:val="22"/>
                <w:szCs w:val="22"/>
              </w:rPr>
              <w:t xml:space="preserve"> SA-300, </w:t>
            </w:r>
            <w:r w:rsidRPr="00A04B5D" w:rsidR="00653D2A">
              <w:rPr>
                <w:rFonts w:ascii="Arial" w:hAnsi="Arial" w:cs="Arial"/>
                <w:sz w:val="22"/>
                <w:szCs w:val="22"/>
              </w:rPr>
              <w:t>“</w:t>
            </w:r>
            <w:r w:rsidRPr="00A04B5D">
              <w:rPr>
                <w:rFonts w:ascii="Arial" w:hAnsi="Arial" w:cs="Arial"/>
                <w:sz w:val="22"/>
                <w:szCs w:val="22"/>
              </w:rPr>
              <w:t>Reporting Material Events</w:t>
            </w:r>
            <w:r w:rsidRPr="00A04B5D" w:rsidR="00653D2A">
              <w:rPr>
                <w:rFonts w:ascii="Arial" w:hAnsi="Arial" w:cs="Arial"/>
                <w:sz w:val="22"/>
                <w:szCs w:val="22"/>
              </w:rPr>
              <w:t>”</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76F63" w:rsidRPr="0048227E" w:rsidP="0048227E" w14:paraId="228083D0" w14:textId="24361563">
            <w:pPr>
              <w:spacing w:before="103" w:after="45"/>
              <w:jc w:val="center"/>
              <w:rPr>
                <w:rFonts w:ascii="Arial" w:hAnsi="Arial" w:cs="Arial"/>
                <w:color w:val="000000"/>
                <w:sz w:val="22"/>
                <w:szCs w:val="22"/>
              </w:rPr>
            </w:pPr>
            <w:r w:rsidRPr="009A0CAD">
              <w:rPr>
                <w:rFonts w:ascii="Arial" w:hAnsi="Arial" w:cs="Arial"/>
                <w:color w:val="000000"/>
                <w:sz w:val="22"/>
                <w:szCs w:val="22"/>
              </w:rPr>
              <w:t>ML21165A155</w:t>
            </w:r>
          </w:p>
        </w:tc>
      </w:tr>
      <w:tr w14:paraId="6851DDA8"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1775A0" w:rsidP="00A24E1B" w14:paraId="5338F074" w14:textId="2683762B">
            <w:pPr>
              <w:spacing w:before="103" w:after="45"/>
              <w:jc w:val="center"/>
              <w:rPr>
                <w:rFonts w:ascii="Arial" w:hAnsi="Arial" w:cs="Arial"/>
                <w:color w:val="000000"/>
                <w:sz w:val="22"/>
                <w:szCs w:val="22"/>
              </w:rPr>
            </w:pPr>
            <w:r>
              <w:rPr>
                <w:rFonts w:ascii="Arial" w:hAnsi="Arial" w:cs="Arial"/>
                <w:color w:val="000000"/>
                <w:sz w:val="22"/>
                <w:szCs w:val="22"/>
              </w:rPr>
              <w:t xml:space="preserve">10 </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1775A0" w:rsidRPr="00CA57CB" w:rsidP="00A24E1B" w14:paraId="4A6D6563" w14:textId="1078A2B6">
            <w:pPr>
              <w:spacing w:before="103" w:after="45"/>
              <w:jc w:val="center"/>
              <w:rPr>
                <w:rFonts w:ascii="Arial" w:hAnsi="Arial" w:cs="Arial"/>
                <w:color w:val="000000"/>
                <w:sz w:val="22"/>
                <w:szCs w:val="22"/>
                <w:highlight w:val="yellow"/>
              </w:rPr>
            </w:pPr>
            <w:r>
              <w:rPr>
                <w:rFonts w:ascii="Arial" w:hAnsi="Arial" w:cs="Arial"/>
                <w:color w:val="000000"/>
                <w:sz w:val="22"/>
                <w:szCs w:val="22"/>
                <w:highlight w:val="yellow"/>
              </w:rPr>
              <w:t>x/x/2022</w:t>
            </w:r>
          </w:p>
        </w:tc>
        <w:tc>
          <w:tcPr>
            <w:tcW w:w="4860" w:type="dxa"/>
            <w:tcBorders>
              <w:top w:val="single" w:sz="6" w:space="0" w:color="000000" w:themeColor="text1"/>
              <w:left w:val="single" w:sz="6" w:space="0" w:color="000000" w:themeColor="text1"/>
              <w:bottom w:val="single" w:sz="6" w:space="0" w:color="000000" w:themeColor="text1"/>
              <w:right w:val="nil"/>
            </w:tcBorders>
            <w:vAlign w:val="center"/>
          </w:tcPr>
          <w:p w:rsidR="001775A0" w:rsidP="00A04B5D" w14:paraId="61D7593C" w14:textId="7F14D4BE">
            <w:pPr>
              <w:spacing w:before="100" w:after="100"/>
              <w:rPr>
                <w:rFonts w:ascii="Arial" w:hAnsi="Arial" w:cs="Arial"/>
                <w:color w:val="000000"/>
                <w:sz w:val="22"/>
                <w:szCs w:val="22"/>
              </w:rPr>
            </w:pPr>
            <w:r w:rsidRPr="00A04B5D">
              <w:rPr>
                <w:rFonts w:ascii="Arial" w:hAnsi="Arial" w:cs="Arial"/>
                <w:sz w:val="22"/>
                <w:szCs w:val="22"/>
              </w:rPr>
              <w:t xml:space="preserve">Handbook on Nuclear Material Event Reporting </w:t>
            </w:r>
            <w:r w:rsidRPr="00A04B5D" w:rsidR="00E42D94">
              <w:rPr>
                <w:rFonts w:ascii="Arial" w:hAnsi="Arial" w:cs="Arial"/>
                <w:sz w:val="22"/>
                <w:szCs w:val="22"/>
              </w:rPr>
              <w:t>for the</w:t>
            </w:r>
            <w:r w:rsidRPr="00A04B5D">
              <w:rPr>
                <w:rFonts w:ascii="Arial" w:hAnsi="Arial" w:cs="Arial"/>
                <w:sz w:val="22"/>
                <w:szCs w:val="22"/>
              </w:rPr>
              <w:t xml:space="preserve"> Agreement States</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75A0" w:rsidRPr="009A0CAD" w:rsidP="0048227E" w14:paraId="1D873D92" w14:textId="1E7146AE">
            <w:pPr>
              <w:spacing w:before="103" w:after="45"/>
              <w:jc w:val="center"/>
              <w:rPr>
                <w:rFonts w:ascii="Arial" w:hAnsi="Arial" w:cs="Arial"/>
                <w:color w:val="000000"/>
                <w:sz w:val="22"/>
                <w:szCs w:val="22"/>
              </w:rPr>
            </w:pPr>
            <w:r w:rsidRPr="0024799C">
              <w:rPr>
                <w:rFonts w:ascii="Arial" w:hAnsi="Arial" w:cs="Arial"/>
                <w:color w:val="000000"/>
                <w:sz w:val="22"/>
                <w:szCs w:val="22"/>
              </w:rPr>
              <w:t>ML21165A162</w:t>
            </w:r>
          </w:p>
        </w:tc>
      </w:tr>
      <w:tr w14:paraId="1F3A4EED" w14:textId="77777777" w:rsidTr="00052D7A">
        <w:tblPrEx>
          <w:tblW w:w="8748" w:type="dxa"/>
          <w:tblInd w:w="712" w:type="dxa"/>
          <w:tblLayout w:type="fixed"/>
          <w:tblCellMar>
            <w:left w:w="100" w:type="dxa"/>
            <w:right w:w="100" w:type="dxa"/>
          </w:tblCellMar>
          <w:tblLook w:val="0000"/>
        </w:tblPrEx>
        <w:trPr>
          <w:cantSplit/>
        </w:trPr>
        <w:tc>
          <w:tcPr>
            <w:tcW w:w="720" w:type="dxa"/>
            <w:tcBorders>
              <w:top w:val="single" w:sz="6" w:space="0" w:color="000000" w:themeColor="text1"/>
              <w:left w:val="single" w:sz="6" w:space="0" w:color="000000" w:themeColor="text1"/>
              <w:bottom w:val="single" w:sz="6" w:space="0" w:color="000000" w:themeColor="text1"/>
              <w:right w:val="nil"/>
            </w:tcBorders>
            <w:vAlign w:val="center"/>
          </w:tcPr>
          <w:p w:rsidR="00CA57CB" w:rsidP="00A24E1B" w14:paraId="5A938233" w14:textId="0108A028">
            <w:pPr>
              <w:spacing w:before="103" w:after="45"/>
              <w:jc w:val="center"/>
              <w:rPr>
                <w:rFonts w:ascii="Arial" w:hAnsi="Arial" w:cs="Arial"/>
                <w:color w:val="000000"/>
                <w:sz w:val="22"/>
                <w:szCs w:val="22"/>
              </w:rPr>
            </w:pPr>
            <w:r>
              <w:rPr>
                <w:rFonts w:ascii="Arial" w:hAnsi="Arial" w:cs="Arial"/>
                <w:color w:val="000000"/>
                <w:sz w:val="22"/>
                <w:szCs w:val="22"/>
              </w:rPr>
              <w:t>10</w:t>
            </w:r>
          </w:p>
        </w:tc>
        <w:tc>
          <w:tcPr>
            <w:tcW w:w="1260" w:type="dxa"/>
            <w:tcBorders>
              <w:top w:val="single" w:sz="6" w:space="0" w:color="000000" w:themeColor="text1"/>
              <w:left w:val="single" w:sz="6" w:space="0" w:color="000000" w:themeColor="text1"/>
              <w:bottom w:val="single" w:sz="6" w:space="0" w:color="000000" w:themeColor="text1"/>
              <w:right w:val="nil"/>
            </w:tcBorders>
            <w:vAlign w:val="center"/>
          </w:tcPr>
          <w:p w:rsidR="00CA57CB" w:rsidRPr="00CA57CB" w:rsidP="00A24E1B" w14:paraId="67F6D4D7" w14:textId="3AB0A626">
            <w:pPr>
              <w:spacing w:before="103" w:after="45"/>
              <w:jc w:val="center"/>
              <w:rPr>
                <w:rFonts w:ascii="Arial" w:hAnsi="Arial" w:cs="Arial"/>
                <w:color w:val="000000"/>
                <w:sz w:val="22"/>
                <w:szCs w:val="22"/>
                <w:highlight w:val="yellow"/>
              </w:rPr>
            </w:pPr>
            <w:r w:rsidRPr="00A04B5D">
              <w:rPr>
                <w:rFonts w:ascii="Arial" w:hAnsi="Arial" w:cs="Arial"/>
                <w:sz w:val="22"/>
                <w:szCs w:val="22"/>
                <w:highlight w:val="yellow"/>
              </w:rPr>
              <w:t>X/X/2022</w:t>
            </w:r>
          </w:p>
        </w:tc>
        <w:tc>
          <w:tcPr>
            <w:tcW w:w="4860" w:type="dxa"/>
            <w:tcBorders>
              <w:top w:val="single" w:sz="6" w:space="0" w:color="000000" w:themeColor="text1"/>
              <w:left w:val="single" w:sz="6" w:space="0" w:color="000000" w:themeColor="text1"/>
              <w:bottom w:val="single" w:sz="6" w:space="0" w:color="000000" w:themeColor="text1"/>
              <w:right w:val="nil"/>
            </w:tcBorders>
            <w:vAlign w:val="center"/>
          </w:tcPr>
          <w:p w:rsidR="00CA57CB" w:rsidP="00A04B5D" w14:paraId="035025AF" w14:textId="57015C97">
            <w:pPr>
              <w:spacing w:before="100" w:after="100"/>
              <w:rPr>
                <w:rFonts w:ascii="Arial" w:hAnsi="Arial" w:cs="Arial"/>
                <w:color w:val="000000"/>
                <w:sz w:val="22"/>
                <w:szCs w:val="22"/>
              </w:rPr>
            </w:pPr>
            <w:r w:rsidRPr="00A04B5D">
              <w:rPr>
                <w:rFonts w:ascii="Arial" w:hAnsi="Arial" w:cs="Arial"/>
                <w:sz w:val="22"/>
                <w:szCs w:val="22"/>
              </w:rPr>
              <w:t>STC -22-0</w:t>
            </w:r>
            <w:r w:rsidRPr="00A04B5D">
              <w:rPr>
                <w:rFonts w:ascii="Arial" w:hAnsi="Arial" w:cs="Arial"/>
                <w:sz w:val="22"/>
                <w:szCs w:val="22"/>
                <w:highlight w:val="yellow"/>
              </w:rPr>
              <w:t>XX</w:t>
            </w:r>
            <w:r w:rsidRPr="00A04B5D">
              <w:rPr>
                <w:rFonts w:ascii="Arial" w:hAnsi="Arial" w:cs="Arial"/>
                <w:sz w:val="22"/>
                <w:szCs w:val="22"/>
              </w:rPr>
              <w:t xml:space="preserve">, Notification of the Issuance, and Opportunity to Comment on the Interim Procedure SA-300 and the Handbook on Nuclear Material Event Reporting for the Agreement States. </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A57CB" w:rsidRPr="009A0CAD" w:rsidP="0048227E" w14:paraId="34C25B6E" w14:textId="63D115D4">
            <w:pPr>
              <w:spacing w:before="103" w:after="45"/>
              <w:jc w:val="center"/>
              <w:rPr>
                <w:rFonts w:ascii="Arial" w:hAnsi="Arial" w:cs="Arial"/>
                <w:color w:val="000000"/>
                <w:sz w:val="22"/>
                <w:szCs w:val="22"/>
              </w:rPr>
            </w:pPr>
            <w:r>
              <w:rPr>
                <w:rFonts w:ascii="Arial" w:hAnsi="Arial" w:cs="Arial"/>
                <w:color w:val="000000"/>
                <w:sz w:val="22"/>
                <w:szCs w:val="22"/>
              </w:rPr>
              <w:t>ML22035A083</w:t>
            </w:r>
          </w:p>
        </w:tc>
      </w:tr>
    </w:tbl>
    <w:p w:rsidR="00A04B5D" w:rsidRPr="00A04B5D" w:rsidP="00A04B5D" w14:paraId="6D087DBA" w14:textId="5F1653E4">
      <w:pPr>
        <w:ind w:right="259"/>
        <w:rPr>
          <w:rFonts w:ascii="Arial" w:hAnsi="Arial" w:cs="Arial"/>
          <w:sz w:val="22"/>
          <w:szCs w:val="22"/>
        </w:rPr>
      </w:pPr>
    </w:p>
    <w:sectPr w:rsidSect="00646943">
      <w:headerReference w:type="default" r:id="rId9"/>
      <w:footerReference w:type="default" r:id="rId10"/>
      <w:pgSz w:w="12240" w:h="15840"/>
      <w:pgMar w:top="1350" w:right="1440" w:bottom="1440" w:left="1440" w:header="1440" w:footer="144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77A1" w14:paraId="48D1CE47" w14:textId="77777777">
    <w:pPr>
      <w:spacing w:line="76" w:lineRule="exact"/>
    </w:pPr>
  </w:p>
  <w:p w:rsidR="000C77A1" w14:paraId="33E360F8" w14:textId="77777777">
    <w:pPr>
      <w:framePr w:w="12960" w:wrap="notBeside" w:vAnchor="text" w:hAnchor="text" w:x="1" w:y="1"/>
      <w:tabs>
        <w:tab w:val="right" w:pos="9360"/>
        <w:tab w:val="left" w:pos="9810"/>
        <w:tab w:val="left" w:pos="10530"/>
        <w:tab w:val="left" w:pos="11250"/>
        <w:tab w:val="left" w:pos="11970"/>
        <w:tab w:val="left" w:pos="12690"/>
        <w:tab w:val="left" w:pos="13410"/>
        <w:tab w:val="left" w:pos="14130"/>
        <w:tab w:val="left" w:pos="14850"/>
        <w:tab w:val="left" w:pos="15570"/>
      </w:tabs>
      <w:ind w:left="450"/>
      <w:rPr>
        <w:sz w:val="22"/>
        <w:szCs w:val="22"/>
      </w:rPr>
    </w:pPr>
    <w:r>
      <w:rPr>
        <w:sz w:val="22"/>
        <w:szCs w:val="22"/>
      </w:rPr>
      <w:tab/>
    </w:r>
  </w:p>
  <w:p w:rsidR="000C77A1" w14:paraId="350BE881" w14:textId="77777777">
    <w:pPr>
      <w:framePr w:w="12961" w:wrap="notBeside" w:vAnchor="text" w:hAnchor="text" w:x="1" w:y="1"/>
      <w:jc w:val="center"/>
      <w:rPr>
        <w:sz w:val="22"/>
        <w:szCs w:val="22"/>
      </w:rPr>
    </w:pPr>
  </w:p>
  <w:p w:rsidR="000C77A1" w14:paraId="24E3719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540" w:type="dxa"/>
      <w:tblInd w:w="-15"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tblPr>
    <w:tblGrid>
      <w:gridCol w:w="7560"/>
      <w:gridCol w:w="1980"/>
    </w:tblGrid>
    <w:tr w14:paraId="1B87BF7E" w14:textId="77777777" w:rsidTr="00D73584">
      <w:tblPrEx>
        <w:tblW w:w="9540" w:type="dxa"/>
        <w:tblInd w:w="-15"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tblPrEx>
      <w:trPr>
        <w:trHeight w:val="864"/>
      </w:trPr>
      <w:tc>
        <w:tcPr>
          <w:tcW w:w="7560" w:type="dxa"/>
          <w:tcBorders>
            <w:bottom w:val="single" w:sz="12" w:space="0" w:color="auto"/>
            <w:right w:val="single" w:sz="12" w:space="0" w:color="auto"/>
          </w:tcBorders>
          <w:shd w:val="clear" w:color="auto" w:fill="D9D9D9" w:themeFill="background1" w:themeFillShade="D9"/>
          <w:vAlign w:val="center"/>
        </w:tcPr>
        <w:p w:rsidR="00646943" w:rsidRPr="00662C58" w:rsidP="00646943" w14:paraId="1D6238FA" w14:textId="77777777">
          <w:pPr>
            <w:rPr>
              <w:rFonts w:ascii="Arial" w:hAnsi="Arial" w:cs="Arial"/>
              <w:b/>
              <w:bCs/>
            </w:rPr>
          </w:pPr>
          <w:r w:rsidRPr="00662C58">
            <w:rPr>
              <w:rFonts w:ascii="Arial" w:hAnsi="Arial" w:cs="Arial"/>
              <w:b/>
              <w:bCs/>
            </w:rPr>
            <w:t>SA-</w:t>
          </w:r>
          <w:r>
            <w:rPr>
              <w:rFonts w:ascii="Arial" w:hAnsi="Arial" w:cs="Arial"/>
              <w:b/>
              <w:bCs/>
            </w:rPr>
            <w:t>300</w:t>
          </w:r>
          <w:r w:rsidRPr="00662C58">
            <w:rPr>
              <w:rFonts w:ascii="Arial" w:hAnsi="Arial" w:cs="Arial"/>
              <w:b/>
              <w:bCs/>
            </w:rPr>
            <w:t xml:space="preserve">: </w:t>
          </w:r>
          <w:r>
            <w:rPr>
              <w:rFonts w:ascii="Arial" w:hAnsi="Arial" w:cs="Arial"/>
              <w:b/>
              <w:bCs/>
              <w:i/>
              <w:iCs/>
            </w:rPr>
            <w:t>Reporting Material Events</w:t>
          </w:r>
        </w:p>
      </w:tc>
      <w:tc>
        <w:tcPr>
          <w:tcW w:w="1980" w:type="dxa"/>
          <w:tcBorders>
            <w:left w:val="single" w:sz="12" w:space="0" w:color="auto"/>
            <w:bottom w:val="single" w:sz="12" w:space="0" w:color="auto"/>
          </w:tcBorders>
          <w:shd w:val="clear" w:color="auto" w:fill="D9D9D9" w:themeFill="background1" w:themeFillShade="D9"/>
        </w:tcPr>
        <w:p w:rsidR="00646943" w:rsidRPr="00662C58" w:rsidP="00646943" w14:paraId="5C30A2F7" w14:textId="78AE980A">
          <w:pPr>
            <w:rPr>
              <w:rFonts w:ascii="Arial" w:hAnsi="Arial" w:cs="Arial"/>
              <w:b/>
              <w:bCs/>
            </w:rPr>
          </w:pPr>
          <w:r w:rsidRPr="00662C58">
            <w:rPr>
              <w:rFonts w:ascii="Arial" w:hAnsi="Arial" w:cs="Arial"/>
              <w:b/>
              <w:bCs/>
            </w:rPr>
            <w:t xml:space="preserve">Page: </w:t>
          </w:r>
          <w:r w:rsidRPr="00662C58">
            <w:rPr>
              <w:rFonts w:ascii="Arial" w:hAnsi="Arial" w:cs="Arial"/>
              <w:b/>
              <w:bCs/>
            </w:rPr>
            <w:fldChar w:fldCharType="begin"/>
          </w:r>
          <w:r w:rsidRPr="00662C58">
            <w:rPr>
              <w:rFonts w:ascii="Arial" w:hAnsi="Arial" w:cs="Arial"/>
              <w:b/>
              <w:bCs/>
            </w:rPr>
            <w:instrText xml:space="preserve"> PAGE   \* MERGEFORMAT </w:instrText>
          </w:r>
          <w:r w:rsidRPr="00662C58">
            <w:rPr>
              <w:rFonts w:ascii="Arial" w:hAnsi="Arial" w:cs="Arial"/>
              <w:b/>
              <w:bCs/>
            </w:rPr>
            <w:fldChar w:fldCharType="separate"/>
          </w:r>
          <w:r w:rsidRPr="00662C58">
            <w:rPr>
              <w:rFonts w:ascii="Arial" w:hAnsi="Arial" w:cs="Arial"/>
              <w:b/>
              <w:bCs/>
              <w:noProof/>
            </w:rPr>
            <w:t>7</w:t>
          </w:r>
          <w:r w:rsidRPr="00662C58">
            <w:rPr>
              <w:rFonts w:ascii="Arial" w:hAnsi="Arial" w:cs="Arial"/>
              <w:b/>
              <w:bCs/>
              <w:noProof/>
            </w:rPr>
            <w:fldChar w:fldCharType="end"/>
          </w:r>
          <w:r w:rsidRPr="00662C58">
            <w:rPr>
              <w:rFonts w:ascii="Arial" w:hAnsi="Arial" w:cs="Arial"/>
              <w:b/>
              <w:bCs/>
              <w:noProof/>
            </w:rPr>
            <w:t xml:space="preserve"> </w:t>
          </w:r>
          <w:r w:rsidRPr="00662C58">
            <w:rPr>
              <w:rFonts w:ascii="Arial" w:hAnsi="Arial" w:cs="Arial"/>
              <w:b/>
              <w:bCs/>
            </w:rPr>
            <w:t xml:space="preserve">of </w:t>
          </w:r>
          <w:r>
            <w:rPr>
              <w:rFonts w:ascii="Arial" w:hAnsi="Arial" w:cs="Arial"/>
              <w:b/>
              <w:bCs/>
            </w:rPr>
            <w:t>6</w:t>
          </w:r>
        </w:p>
        <w:p w:rsidR="00646943" w:rsidP="00646943" w14:paraId="50E8B6E5" w14:textId="77777777">
          <w:pPr>
            <w:rPr>
              <w:rFonts w:ascii="Arial" w:hAnsi="Arial" w:cs="Arial"/>
              <w:b/>
              <w:bCs/>
            </w:rPr>
          </w:pPr>
          <w:r w:rsidRPr="00662C58">
            <w:rPr>
              <w:rFonts w:ascii="Arial" w:hAnsi="Arial" w:cs="Arial"/>
              <w:b/>
              <w:bCs/>
            </w:rPr>
            <w:t xml:space="preserve">Issue Date: </w:t>
          </w:r>
        </w:p>
        <w:p w:rsidR="00646943" w:rsidRPr="00662C58" w:rsidP="00646943" w14:paraId="0ABD4EE1" w14:textId="0AD2D431">
          <w:pPr>
            <w:rPr>
              <w:rFonts w:ascii="Arial" w:hAnsi="Arial" w:cs="Arial"/>
              <w:b/>
              <w:bCs/>
            </w:rPr>
          </w:pPr>
          <w:r w:rsidRPr="00646943">
            <w:rPr>
              <w:rFonts w:ascii="Arial" w:hAnsi="Arial" w:cs="Arial"/>
              <w:b/>
              <w:bCs/>
              <w:highlight w:val="yellow"/>
            </w:rPr>
            <w:t>XX/XX</w:t>
          </w:r>
          <w:r>
            <w:rPr>
              <w:rFonts w:ascii="Arial" w:hAnsi="Arial" w:cs="Arial"/>
              <w:b/>
              <w:bCs/>
            </w:rPr>
            <w:t>/2022</w:t>
          </w:r>
        </w:p>
      </w:tc>
    </w:tr>
  </w:tbl>
  <w:p w:rsidR="00646943" w14:paraId="6735B8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C7903"/>
    <w:multiLevelType w:val="hybridMultilevel"/>
    <w:tmpl w:val="8258DC7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nsid w:val="085A0CA3"/>
    <w:multiLevelType w:val="hybridMultilevel"/>
    <w:tmpl w:val="C66A4970"/>
    <w:lvl w:ilvl="0">
      <w:start w:val="1"/>
      <w:numFmt w:val="lowerLetter"/>
      <w:lvlText w:val="%1."/>
      <w:lvlJc w:val="left"/>
      <w:pPr>
        <w:tabs>
          <w:tab w:val="num" w:pos="2520"/>
        </w:tabs>
        <w:ind w:left="2520" w:hanging="360"/>
      </w:pPr>
    </w:lvl>
    <w:lvl w:ilvl="1">
      <w:start w:val="1"/>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nsid w:val="0C9E3BAD"/>
    <w:multiLevelType w:val="hybridMultilevel"/>
    <w:tmpl w:val="954ADD28"/>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014E4F"/>
    <w:multiLevelType w:val="hybridMultilevel"/>
    <w:tmpl w:val="6B92225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8813183"/>
    <w:multiLevelType w:val="hybridMultilevel"/>
    <w:tmpl w:val="A18CEFF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B1941C5"/>
    <w:multiLevelType w:val="hybridMultilevel"/>
    <w:tmpl w:val="EA86D38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1D7669E5"/>
    <w:multiLevelType w:val="hybridMultilevel"/>
    <w:tmpl w:val="7EBEA3C4"/>
    <w:lvl w:ilvl="0">
      <w:start w:val="1"/>
      <w:numFmt w:val="bullet"/>
      <w:lvlText w:val=""/>
      <w:lvlJc w:val="left"/>
      <w:pPr>
        <w:ind w:left="1094" w:hanging="360"/>
      </w:pPr>
      <w:rPr>
        <w:rFonts w:ascii="Wingdings" w:hAnsi="Wingdings"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7">
    <w:nsid w:val="1E9F770B"/>
    <w:multiLevelType w:val="hybridMultilevel"/>
    <w:tmpl w:val="02CE1A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812A5F"/>
    <w:multiLevelType w:val="hybridMultilevel"/>
    <w:tmpl w:val="69F0AB4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2101499A"/>
    <w:multiLevelType w:val="hybridMultilevel"/>
    <w:tmpl w:val="0D90A756"/>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12407C6"/>
    <w:multiLevelType w:val="hybridMultilevel"/>
    <w:tmpl w:val="CE24D6F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36052C6"/>
    <w:multiLevelType w:val="hybridMultilevel"/>
    <w:tmpl w:val="541C09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249A6271"/>
    <w:multiLevelType w:val="hybridMultilevel"/>
    <w:tmpl w:val="69F0AB4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28807073"/>
    <w:multiLevelType w:val="hybridMultilevel"/>
    <w:tmpl w:val="61DCC0A6"/>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nsid w:val="29376293"/>
    <w:multiLevelType w:val="hybridMultilevel"/>
    <w:tmpl w:val="5BA2B942"/>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2DB12308"/>
    <w:multiLevelType w:val="hybridMultilevel"/>
    <w:tmpl w:val="B224C20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016F84"/>
    <w:multiLevelType w:val="multilevel"/>
    <w:tmpl w:val="541C09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38D046C2"/>
    <w:multiLevelType w:val="hybridMultilevel"/>
    <w:tmpl w:val="F1BA0D7C"/>
    <w:lvl w:ilvl="0">
      <w:start w:val="4"/>
      <w:numFmt w:val="decimal"/>
      <w:lvlText w:val="%1."/>
      <w:lvlJc w:val="left"/>
      <w:pPr>
        <w:tabs>
          <w:tab w:val="num" w:pos="2878"/>
        </w:tabs>
        <w:ind w:left="2878" w:hanging="720"/>
      </w:pPr>
      <w:rPr>
        <w:rFonts w:hint="default"/>
      </w:rPr>
    </w:lvl>
    <w:lvl w:ilvl="1" w:tentative="1">
      <w:start w:val="1"/>
      <w:numFmt w:val="lowerLetter"/>
      <w:lvlText w:val="%2."/>
      <w:lvlJc w:val="left"/>
      <w:pPr>
        <w:tabs>
          <w:tab w:val="num" w:pos="3238"/>
        </w:tabs>
        <w:ind w:left="3238" w:hanging="360"/>
      </w:pPr>
    </w:lvl>
    <w:lvl w:ilvl="2" w:tentative="1">
      <w:start w:val="1"/>
      <w:numFmt w:val="lowerRoman"/>
      <w:lvlText w:val="%3."/>
      <w:lvlJc w:val="right"/>
      <w:pPr>
        <w:tabs>
          <w:tab w:val="num" w:pos="3958"/>
        </w:tabs>
        <w:ind w:left="3958" w:hanging="180"/>
      </w:pPr>
    </w:lvl>
    <w:lvl w:ilvl="3" w:tentative="1">
      <w:start w:val="1"/>
      <w:numFmt w:val="decimal"/>
      <w:lvlText w:val="%4."/>
      <w:lvlJc w:val="left"/>
      <w:pPr>
        <w:tabs>
          <w:tab w:val="num" w:pos="4678"/>
        </w:tabs>
        <w:ind w:left="4678" w:hanging="360"/>
      </w:pPr>
    </w:lvl>
    <w:lvl w:ilvl="4" w:tentative="1">
      <w:start w:val="1"/>
      <w:numFmt w:val="lowerLetter"/>
      <w:lvlText w:val="%5."/>
      <w:lvlJc w:val="left"/>
      <w:pPr>
        <w:tabs>
          <w:tab w:val="num" w:pos="5398"/>
        </w:tabs>
        <w:ind w:left="5398" w:hanging="360"/>
      </w:pPr>
    </w:lvl>
    <w:lvl w:ilvl="5" w:tentative="1">
      <w:start w:val="1"/>
      <w:numFmt w:val="lowerRoman"/>
      <w:lvlText w:val="%6."/>
      <w:lvlJc w:val="right"/>
      <w:pPr>
        <w:tabs>
          <w:tab w:val="num" w:pos="6118"/>
        </w:tabs>
        <w:ind w:left="6118" w:hanging="180"/>
      </w:pPr>
    </w:lvl>
    <w:lvl w:ilvl="6" w:tentative="1">
      <w:start w:val="1"/>
      <w:numFmt w:val="decimal"/>
      <w:lvlText w:val="%7."/>
      <w:lvlJc w:val="left"/>
      <w:pPr>
        <w:tabs>
          <w:tab w:val="num" w:pos="6838"/>
        </w:tabs>
        <w:ind w:left="6838" w:hanging="360"/>
      </w:pPr>
    </w:lvl>
    <w:lvl w:ilvl="7" w:tentative="1">
      <w:start w:val="1"/>
      <w:numFmt w:val="lowerLetter"/>
      <w:lvlText w:val="%8."/>
      <w:lvlJc w:val="left"/>
      <w:pPr>
        <w:tabs>
          <w:tab w:val="num" w:pos="7558"/>
        </w:tabs>
        <w:ind w:left="7558" w:hanging="360"/>
      </w:pPr>
    </w:lvl>
    <w:lvl w:ilvl="8" w:tentative="1">
      <w:start w:val="1"/>
      <w:numFmt w:val="lowerRoman"/>
      <w:lvlText w:val="%9."/>
      <w:lvlJc w:val="right"/>
      <w:pPr>
        <w:tabs>
          <w:tab w:val="num" w:pos="8278"/>
        </w:tabs>
        <w:ind w:left="8278" w:hanging="180"/>
      </w:pPr>
    </w:lvl>
  </w:abstractNum>
  <w:abstractNum w:abstractNumId="18">
    <w:nsid w:val="396340AC"/>
    <w:multiLevelType w:val="hybridMultilevel"/>
    <w:tmpl w:val="69F0AB4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39775A18"/>
    <w:multiLevelType w:val="hybridMultilevel"/>
    <w:tmpl w:val="3B8CE3F6"/>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0A1388"/>
    <w:multiLevelType w:val="multilevel"/>
    <w:tmpl w:val="DB3AC9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01412FE"/>
    <w:multiLevelType w:val="multilevel"/>
    <w:tmpl w:val="5298EDD0"/>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4EED0E1C"/>
    <w:multiLevelType w:val="hybridMultilevel"/>
    <w:tmpl w:val="2F98676E"/>
    <w:lvl w:ilvl="0">
      <w:start w:val="2"/>
      <w:numFmt w:val="decimal"/>
      <w:lvlText w:val="%1."/>
      <w:lvlJc w:val="left"/>
      <w:pPr>
        <w:tabs>
          <w:tab w:val="num" w:pos="1440"/>
        </w:tabs>
        <w:ind w:left="1440" w:hanging="90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51DF0E06"/>
    <w:multiLevelType w:val="hybridMultilevel"/>
    <w:tmpl w:val="C8F4AD90"/>
    <w:lvl w:ilvl="0">
      <w:start w:val="4"/>
      <w:numFmt w:val="decimal"/>
      <w:pStyle w:val="Level1"/>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54AA33B7"/>
    <w:multiLevelType w:val="hybridMultilevel"/>
    <w:tmpl w:val="7DFEF75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9B5BA1"/>
    <w:multiLevelType w:val="hybridMultilevel"/>
    <w:tmpl w:val="DB3AC94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624253A0"/>
    <w:multiLevelType w:val="hybridMultilevel"/>
    <w:tmpl w:val="57EA418C"/>
    <w:lvl w:ilvl="0">
      <w:start w:val="3"/>
      <w:numFmt w:val="decimal"/>
      <w:lvlText w:val="%1."/>
      <w:lvlJc w:val="left"/>
      <w:pPr>
        <w:tabs>
          <w:tab w:val="num" w:pos="2520"/>
        </w:tabs>
        <w:ind w:left="2520" w:hanging="360"/>
      </w:pPr>
      <w:rPr>
        <w:rFonts w:ascii="Times New Roman" w:hAnsi="Times New Roman" w:cs="Times New Roman" w:hint="default"/>
        <w:sz w:val="24"/>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3481491"/>
    <w:multiLevelType w:val="multilevel"/>
    <w:tmpl w:val="CAACE69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64212418"/>
    <w:multiLevelType w:val="multilevel"/>
    <w:tmpl w:val="541C09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65140653"/>
    <w:multiLevelType w:val="hybridMultilevel"/>
    <w:tmpl w:val="83DE51C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nsid w:val="73EC7C73"/>
    <w:multiLevelType w:val="hybridMultilevel"/>
    <w:tmpl w:val="33D60A8E"/>
    <w:lvl w:ilvl="0">
      <w:start w:val="9"/>
      <w:numFmt w:val="lowerLetter"/>
      <w:lvlText w:val="%1."/>
      <w:lvlJc w:val="left"/>
      <w:pPr>
        <w:ind w:left="1440" w:hanging="360"/>
      </w:pPr>
      <w:rPr>
        <w:rFonts w:ascii="ArialMT" w:hAnsi="ArialMT" w:cs="ArialMT"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4385FF7"/>
    <w:multiLevelType w:val="hybridMultilevel"/>
    <w:tmpl w:val="83BA170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8C4451A"/>
    <w:multiLevelType w:val="multilevel"/>
    <w:tmpl w:val="76C00F64"/>
    <w:lvl w:ilvl="0">
      <w:start w:val="1"/>
      <w:numFmt w:val="lowerLetter"/>
      <w:lvlText w:val="%1."/>
      <w:legacy w:legacy="1" w:legacySpace="0" w:legacyIndent="0"/>
      <w:lvlJc w:val="left"/>
      <w:pPr>
        <w:ind w:left="180" w:firstLine="0"/>
      </w:pPr>
    </w:lvl>
    <w:lvl w:ilvl="1">
      <w:start w:val="1"/>
      <w:numFmt w:val="lowerLetter"/>
      <w:lvlText w:val="%2."/>
      <w:legacy w:legacy="1" w:legacySpace="0" w:legacyIndent="0"/>
      <w:lvlJc w:val="left"/>
      <w:pPr>
        <w:ind w:left="180" w:firstLine="0"/>
      </w:pPr>
    </w:lvl>
    <w:lvl w:ilvl="2">
      <w:start w:val="1"/>
      <w:numFmt w:val="lowerLetter"/>
      <w:lvlText w:val="%3."/>
      <w:legacy w:legacy="1" w:legacySpace="0" w:legacyIndent="0"/>
      <w:lvlJc w:val="left"/>
      <w:pPr>
        <w:ind w:left="180" w:firstLine="0"/>
      </w:pPr>
    </w:lvl>
    <w:lvl w:ilvl="3">
      <w:start w:val="1"/>
      <w:numFmt w:val="lowerLetter"/>
      <w:lvlText w:val="%4."/>
      <w:legacy w:legacy="1" w:legacySpace="0" w:legacyIndent="0"/>
      <w:lvlJc w:val="left"/>
      <w:pPr>
        <w:ind w:left="180" w:firstLine="0"/>
      </w:pPr>
    </w:lvl>
    <w:lvl w:ilvl="4">
      <w:start w:val="1"/>
      <w:numFmt w:val="lowerLetter"/>
      <w:lvlText w:val="%5."/>
      <w:legacy w:legacy="1" w:legacySpace="0" w:legacyIndent="0"/>
      <w:lvlJc w:val="left"/>
      <w:pPr>
        <w:ind w:left="180" w:firstLine="0"/>
      </w:pPr>
    </w:lvl>
    <w:lvl w:ilvl="5">
      <w:start w:val="1"/>
      <w:numFmt w:val="lowerLetter"/>
      <w:lvlText w:val="%6."/>
      <w:legacy w:legacy="1" w:legacySpace="0" w:legacyIndent="0"/>
      <w:lvlJc w:val="left"/>
      <w:pPr>
        <w:ind w:left="180" w:firstLine="0"/>
      </w:pPr>
    </w:lvl>
    <w:lvl w:ilvl="6">
      <w:start w:val="1"/>
      <w:numFmt w:val="lowerLetter"/>
      <w:lvlText w:val="%7."/>
      <w:legacy w:legacy="1" w:legacySpace="0" w:legacyIndent="0"/>
      <w:lvlJc w:val="left"/>
      <w:pPr>
        <w:ind w:left="180" w:firstLine="0"/>
      </w:pPr>
    </w:lvl>
    <w:lvl w:ilvl="7">
      <w:start w:val="1"/>
      <w:numFmt w:val="lowerLetter"/>
      <w:lvlText w:val="%8."/>
      <w:legacy w:legacy="1" w:legacySpace="0" w:legacyIndent="0"/>
      <w:lvlJc w:val="left"/>
      <w:pPr>
        <w:ind w:left="180" w:firstLine="0"/>
      </w:pPr>
    </w:lvl>
    <w:lvl w:ilvl="8">
      <w:start w:val="1"/>
      <w:numFmt w:val="lowerRoman"/>
      <w:lvlText w:val="%9)"/>
      <w:legacy w:legacy="1" w:legacySpace="0" w:legacyIndent="0"/>
      <w:lvlJc w:val="left"/>
      <w:pPr>
        <w:ind w:left="180" w:firstLine="0"/>
      </w:pPr>
    </w:lvl>
  </w:abstractNum>
  <w:abstractNum w:abstractNumId="33">
    <w:nsid w:val="7D806E04"/>
    <w:multiLevelType w:val="hybridMultilevel"/>
    <w:tmpl w:val="DEBE9D14"/>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4">
    <w:nsid w:val="7FBF0E04"/>
    <w:multiLevelType w:val="hybridMultilevel"/>
    <w:tmpl w:val="8D0ECF62"/>
    <w:lvl w:ilvl="0">
      <w:start w:val="9"/>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3"/>
  </w:num>
  <w:num w:numId="2">
    <w:abstractNumId w:val="32"/>
  </w:num>
  <w:num w:numId="3">
    <w:abstractNumId w:val="3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17"/>
  </w:num>
  <w:num w:numId="5">
    <w:abstractNumId w:val="26"/>
  </w:num>
  <w:num w:numId="6">
    <w:abstractNumId w:val="18"/>
  </w:num>
  <w:num w:numId="7">
    <w:abstractNumId w:val="27"/>
  </w:num>
  <w:num w:numId="8">
    <w:abstractNumId w:val="21"/>
  </w:num>
  <w:num w:numId="9">
    <w:abstractNumId w:val="5"/>
  </w:num>
  <w:num w:numId="10">
    <w:abstractNumId w:val="10"/>
  </w:num>
  <w:num w:numId="11">
    <w:abstractNumId w:val="31"/>
  </w:num>
  <w:num w:numId="12">
    <w:abstractNumId w:val="25"/>
  </w:num>
  <w:num w:numId="13">
    <w:abstractNumId w:val="20"/>
  </w:num>
  <w:num w:numId="14">
    <w:abstractNumId w:val="1"/>
  </w:num>
  <w:num w:numId="15">
    <w:abstractNumId w:val="0"/>
  </w:num>
  <w:num w:numId="16">
    <w:abstractNumId w:val="11"/>
  </w:num>
  <w:num w:numId="17">
    <w:abstractNumId w:val="22"/>
  </w:num>
  <w:num w:numId="18">
    <w:abstractNumId w:val="28"/>
  </w:num>
  <w:num w:numId="19">
    <w:abstractNumId w:val="16"/>
  </w:num>
  <w:num w:numId="20">
    <w:abstractNumId w:val="33"/>
  </w:num>
  <w:num w:numId="21">
    <w:abstractNumId w:val="29"/>
  </w:num>
  <w:num w:numId="22">
    <w:abstractNumId w:val="3"/>
  </w:num>
  <w:num w:numId="23">
    <w:abstractNumId w:val="2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 w:numId="28">
    <w:abstractNumId w:val="7"/>
  </w:num>
  <w:num w:numId="29">
    <w:abstractNumId w:val="4"/>
  </w:num>
  <w:num w:numId="30">
    <w:abstractNumId w:val="15"/>
  </w:num>
  <w:num w:numId="31">
    <w:abstractNumId w:val="8"/>
  </w:num>
  <w:num w:numId="32">
    <w:abstractNumId w:val="12"/>
  </w:num>
  <w:num w:numId="33">
    <w:abstractNumId w:val="19"/>
  </w:num>
  <w:num w:numId="34">
    <w:abstractNumId w:val="34"/>
  </w:num>
  <w:num w:numId="35">
    <w:abstractNumId w:val="30"/>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C"/>
    <w:rsid w:val="000016A9"/>
    <w:rsid w:val="00002CF0"/>
    <w:rsid w:val="000040AD"/>
    <w:rsid w:val="0001164B"/>
    <w:rsid w:val="0001205E"/>
    <w:rsid w:val="0001286D"/>
    <w:rsid w:val="00013A0F"/>
    <w:rsid w:val="000148CA"/>
    <w:rsid w:val="00017C27"/>
    <w:rsid w:val="00032322"/>
    <w:rsid w:val="0003235F"/>
    <w:rsid w:val="00035737"/>
    <w:rsid w:val="000367D7"/>
    <w:rsid w:val="00037C02"/>
    <w:rsid w:val="00040A1C"/>
    <w:rsid w:val="00042315"/>
    <w:rsid w:val="000438B8"/>
    <w:rsid w:val="00047BB7"/>
    <w:rsid w:val="00050786"/>
    <w:rsid w:val="00052BAE"/>
    <w:rsid w:val="00052D7A"/>
    <w:rsid w:val="0005722C"/>
    <w:rsid w:val="000631A2"/>
    <w:rsid w:val="00066E51"/>
    <w:rsid w:val="00080E65"/>
    <w:rsid w:val="00081BD0"/>
    <w:rsid w:val="00083BA8"/>
    <w:rsid w:val="00086786"/>
    <w:rsid w:val="00091A17"/>
    <w:rsid w:val="00091A75"/>
    <w:rsid w:val="00094A48"/>
    <w:rsid w:val="000956B8"/>
    <w:rsid w:val="000A1F5C"/>
    <w:rsid w:val="000B582D"/>
    <w:rsid w:val="000B7E70"/>
    <w:rsid w:val="000C3B83"/>
    <w:rsid w:val="000C5E3F"/>
    <w:rsid w:val="000C71C9"/>
    <w:rsid w:val="000C77A1"/>
    <w:rsid w:val="000D0219"/>
    <w:rsid w:val="000D1A3D"/>
    <w:rsid w:val="000D1FB1"/>
    <w:rsid w:val="000D2089"/>
    <w:rsid w:val="000D6554"/>
    <w:rsid w:val="000D6C06"/>
    <w:rsid w:val="000E282A"/>
    <w:rsid w:val="000E2967"/>
    <w:rsid w:val="000E3649"/>
    <w:rsid w:val="000E45C2"/>
    <w:rsid w:val="000F1F58"/>
    <w:rsid w:val="000F2526"/>
    <w:rsid w:val="000F47C0"/>
    <w:rsid w:val="000F65F3"/>
    <w:rsid w:val="000F6E4F"/>
    <w:rsid w:val="000FDCC9"/>
    <w:rsid w:val="001007D4"/>
    <w:rsid w:val="001025A3"/>
    <w:rsid w:val="0010576D"/>
    <w:rsid w:val="00105F7C"/>
    <w:rsid w:val="00116B11"/>
    <w:rsid w:val="0012299C"/>
    <w:rsid w:val="00132EB9"/>
    <w:rsid w:val="001337DF"/>
    <w:rsid w:val="00136A23"/>
    <w:rsid w:val="00137CA4"/>
    <w:rsid w:val="00142C13"/>
    <w:rsid w:val="001432BC"/>
    <w:rsid w:val="0014361A"/>
    <w:rsid w:val="00143C08"/>
    <w:rsid w:val="00144128"/>
    <w:rsid w:val="00145B7A"/>
    <w:rsid w:val="00151F96"/>
    <w:rsid w:val="001612FB"/>
    <w:rsid w:val="00162397"/>
    <w:rsid w:val="00163EC4"/>
    <w:rsid w:val="00164725"/>
    <w:rsid w:val="001649C6"/>
    <w:rsid w:val="00165E22"/>
    <w:rsid w:val="00170D4D"/>
    <w:rsid w:val="001775A0"/>
    <w:rsid w:val="00180C0A"/>
    <w:rsid w:val="00185752"/>
    <w:rsid w:val="00197326"/>
    <w:rsid w:val="001A3202"/>
    <w:rsid w:val="001A44F0"/>
    <w:rsid w:val="001A59A2"/>
    <w:rsid w:val="001A69DB"/>
    <w:rsid w:val="001B128F"/>
    <w:rsid w:val="001B2FCF"/>
    <w:rsid w:val="001B4843"/>
    <w:rsid w:val="001C6DFB"/>
    <w:rsid w:val="001C77BF"/>
    <w:rsid w:val="001D5635"/>
    <w:rsid w:val="001D7B41"/>
    <w:rsid w:val="001E07A5"/>
    <w:rsid w:val="001E2CC0"/>
    <w:rsid w:val="001E3D71"/>
    <w:rsid w:val="001E6B52"/>
    <w:rsid w:val="001F2AE5"/>
    <w:rsid w:val="00201D6C"/>
    <w:rsid w:val="002064B0"/>
    <w:rsid w:val="00212270"/>
    <w:rsid w:val="002161B2"/>
    <w:rsid w:val="00216937"/>
    <w:rsid w:val="00222B35"/>
    <w:rsid w:val="0022587D"/>
    <w:rsid w:val="0023063B"/>
    <w:rsid w:val="00232FAC"/>
    <w:rsid w:val="00234E25"/>
    <w:rsid w:val="00236CD7"/>
    <w:rsid w:val="00237E4B"/>
    <w:rsid w:val="0024534A"/>
    <w:rsid w:val="0024799C"/>
    <w:rsid w:val="00247FAD"/>
    <w:rsid w:val="00250D1B"/>
    <w:rsid w:val="00252A31"/>
    <w:rsid w:val="00254FBD"/>
    <w:rsid w:val="00261F65"/>
    <w:rsid w:val="002631BB"/>
    <w:rsid w:val="002643C1"/>
    <w:rsid w:val="00266A74"/>
    <w:rsid w:val="00270E8B"/>
    <w:rsid w:val="00273374"/>
    <w:rsid w:val="002769DB"/>
    <w:rsid w:val="00277D92"/>
    <w:rsid w:val="0028021A"/>
    <w:rsid w:val="00281587"/>
    <w:rsid w:val="00283A01"/>
    <w:rsid w:val="002847D8"/>
    <w:rsid w:val="00284E93"/>
    <w:rsid w:val="00290213"/>
    <w:rsid w:val="00290A3F"/>
    <w:rsid w:val="00292B85"/>
    <w:rsid w:val="002948C3"/>
    <w:rsid w:val="00294E9C"/>
    <w:rsid w:val="00295205"/>
    <w:rsid w:val="00297104"/>
    <w:rsid w:val="002A0014"/>
    <w:rsid w:val="002A30DA"/>
    <w:rsid w:val="002A3ADC"/>
    <w:rsid w:val="002A4214"/>
    <w:rsid w:val="002B34AD"/>
    <w:rsid w:val="002B3E88"/>
    <w:rsid w:val="002B79DE"/>
    <w:rsid w:val="002C187A"/>
    <w:rsid w:val="002C1D88"/>
    <w:rsid w:val="002C2AED"/>
    <w:rsid w:val="002C2BB7"/>
    <w:rsid w:val="002C33E9"/>
    <w:rsid w:val="002C644F"/>
    <w:rsid w:val="002D30CE"/>
    <w:rsid w:val="002D62F9"/>
    <w:rsid w:val="002D677D"/>
    <w:rsid w:val="002E1281"/>
    <w:rsid w:val="002E2B49"/>
    <w:rsid w:val="002E2E13"/>
    <w:rsid w:val="002E4815"/>
    <w:rsid w:val="002F14B8"/>
    <w:rsid w:val="002F1600"/>
    <w:rsid w:val="002F2108"/>
    <w:rsid w:val="002F291C"/>
    <w:rsid w:val="002F2E4D"/>
    <w:rsid w:val="00302E19"/>
    <w:rsid w:val="003070AD"/>
    <w:rsid w:val="003102D2"/>
    <w:rsid w:val="0031106F"/>
    <w:rsid w:val="003114B7"/>
    <w:rsid w:val="00312177"/>
    <w:rsid w:val="003149EF"/>
    <w:rsid w:val="003169AC"/>
    <w:rsid w:val="003177A6"/>
    <w:rsid w:val="003278B2"/>
    <w:rsid w:val="0033048F"/>
    <w:rsid w:val="003342B2"/>
    <w:rsid w:val="00337ADE"/>
    <w:rsid w:val="003406DB"/>
    <w:rsid w:val="003428B2"/>
    <w:rsid w:val="003464D1"/>
    <w:rsid w:val="003526D0"/>
    <w:rsid w:val="0036009D"/>
    <w:rsid w:val="00360E2E"/>
    <w:rsid w:val="003624B0"/>
    <w:rsid w:val="00365648"/>
    <w:rsid w:val="00371107"/>
    <w:rsid w:val="00371AB5"/>
    <w:rsid w:val="00372BC7"/>
    <w:rsid w:val="0037392A"/>
    <w:rsid w:val="00375718"/>
    <w:rsid w:val="00382219"/>
    <w:rsid w:val="00382A3A"/>
    <w:rsid w:val="0039364C"/>
    <w:rsid w:val="00394B41"/>
    <w:rsid w:val="003967EF"/>
    <w:rsid w:val="003A1575"/>
    <w:rsid w:val="003A2204"/>
    <w:rsid w:val="003A3243"/>
    <w:rsid w:val="003A40CF"/>
    <w:rsid w:val="003A4D12"/>
    <w:rsid w:val="003A65F0"/>
    <w:rsid w:val="003A759A"/>
    <w:rsid w:val="003A7EA9"/>
    <w:rsid w:val="003A7EF4"/>
    <w:rsid w:val="003B2E87"/>
    <w:rsid w:val="003B302F"/>
    <w:rsid w:val="003B3C03"/>
    <w:rsid w:val="003B6556"/>
    <w:rsid w:val="003C4663"/>
    <w:rsid w:val="003D45CF"/>
    <w:rsid w:val="003D4B09"/>
    <w:rsid w:val="003E1C24"/>
    <w:rsid w:val="003F2714"/>
    <w:rsid w:val="003F655A"/>
    <w:rsid w:val="003F7A8F"/>
    <w:rsid w:val="0040026A"/>
    <w:rsid w:val="004037F8"/>
    <w:rsid w:val="0040646A"/>
    <w:rsid w:val="004069F9"/>
    <w:rsid w:val="004149A1"/>
    <w:rsid w:val="00417312"/>
    <w:rsid w:val="004222DD"/>
    <w:rsid w:val="00422D9B"/>
    <w:rsid w:val="00424B11"/>
    <w:rsid w:val="00425F4E"/>
    <w:rsid w:val="004348B4"/>
    <w:rsid w:val="00436B5A"/>
    <w:rsid w:val="0044157F"/>
    <w:rsid w:val="00441B8F"/>
    <w:rsid w:val="0044239E"/>
    <w:rsid w:val="004427D1"/>
    <w:rsid w:val="00443FFA"/>
    <w:rsid w:val="00447E2B"/>
    <w:rsid w:val="00450573"/>
    <w:rsid w:val="00453761"/>
    <w:rsid w:val="00454A3F"/>
    <w:rsid w:val="00457576"/>
    <w:rsid w:val="00460D35"/>
    <w:rsid w:val="00462F91"/>
    <w:rsid w:val="004631A0"/>
    <w:rsid w:val="00463D27"/>
    <w:rsid w:val="00464270"/>
    <w:rsid w:val="00464D6D"/>
    <w:rsid w:val="00466028"/>
    <w:rsid w:val="00467C41"/>
    <w:rsid w:val="00467E69"/>
    <w:rsid w:val="00471664"/>
    <w:rsid w:val="0047285A"/>
    <w:rsid w:val="00472C2B"/>
    <w:rsid w:val="00472EEC"/>
    <w:rsid w:val="00473570"/>
    <w:rsid w:val="00473F4C"/>
    <w:rsid w:val="0048227E"/>
    <w:rsid w:val="00484B68"/>
    <w:rsid w:val="00487BBC"/>
    <w:rsid w:val="004916B6"/>
    <w:rsid w:val="004919D7"/>
    <w:rsid w:val="00492FCE"/>
    <w:rsid w:val="004971B8"/>
    <w:rsid w:val="0049726A"/>
    <w:rsid w:val="00497B07"/>
    <w:rsid w:val="004A14E1"/>
    <w:rsid w:val="004A15A3"/>
    <w:rsid w:val="004A2083"/>
    <w:rsid w:val="004A6546"/>
    <w:rsid w:val="004B0835"/>
    <w:rsid w:val="004B0999"/>
    <w:rsid w:val="004B26CA"/>
    <w:rsid w:val="004B5B6C"/>
    <w:rsid w:val="004B5BFC"/>
    <w:rsid w:val="004C18B2"/>
    <w:rsid w:val="004C390A"/>
    <w:rsid w:val="004C3F96"/>
    <w:rsid w:val="004C4204"/>
    <w:rsid w:val="004C4DDF"/>
    <w:rsid w:val="004C698E"/>
    <w:rsid w:val="004E08C0"/>
    <w:rsid w:val="004E1C15"/>
    <w:rsid w:val="004E6580"/>
    <w:rsid w:val="004E68F4"/>
    <w:rsid w:val="004E759D"/>
    <w:rsid w:val="004F491D"/>
    <w:rsid w:val="004F496E"/>
    <w:rsid w:val="004F51AE"/>
    <w:rsid w:val="004F5254"/>
    <w:rsid w:val="005017BC"/>
    <w:rsid w:val="00501FEE"/>
    <w:rsid w:val="00503328"/>
    <w:rsid w:val="00503DC9"/>
    <w:rsid w:val="005060E4"/>
    <w:rsid w:val="00506F9C"/>
    <w:rsid w:val="00510DB4"/>
    <w:rsid w:val="00514A5E"/>
    <w:rsid w:val="00515EAB"/>
    <w:rsid w:val="00516A75"/>
    <w:rsid w:val="0052064F"/>
    <w:rsid w:val="00520ADA"/>
    <w:rsid w:val="00525AA5"/>
    <w:rsid w:val="0053209A"/>
    <w:rsid w:val="005329D7"/>
    <w:rsid w:val="00536150"/>
    <w:rsid w:val="00541A2F"/>
    <w:rsid w:val="00541F1D"/>
    <w:rsid w:val="00545FEA"/>
    <w:rsid w:val="00546267"/>
    <w:rsid w:val="00550659"/>
    <w:rsid w:val="00551801"/>
    <w:rsid w:val="0055259E"/>
    <w:rsid w:val="00554641"/>
    <w:rsid w:val="005601CD"/>
    <w:rsid w:val="0056036E"/>
    <w:rsid w:val="00564258"/>
    <w:rsid w:val="00573F1A"/>
    <w:rsid w:val="00576F63"/>
    <w:rsid w:val="00583654"/>
    <w:rsid w:val="005847B3"/>
    <w:rsid w:val="00584F74"/>
    <w:rsid w:val="00585780"/>
    <w:rsid w:val="0058673C"/>
    <w:rsid w:val="00590D5D"/>
    <w:rsid w:val="005947E3"/>
    <w:rsid w:val="005974B4"/>
    <w:rsid w:val="005A136F"/>
    <w:rsid w:val="005A4A5D"/>
    <w:rsid w:val="005B06A3"/>
    <w:rsid w:val="005B24D3"/>
    <w:rsid w:val="005B2DF5"/>
    <w:rsid w:val="005B3916"/>
    <w:rsid w:val="005B426C"/>
    <w:rsid w:val="005C141D"/>
    <w:rsid w:val="005C5641"/>
    <w:rsid w:val="005C5AAC"/>
    <w:rsid w:val="005C6649"/>
    <w:rsid w:val="005C6C34"/>
    <w:rsid w:val="005D21AA"/>
    <w:rsid w:val="005D462E"/>
    <w:rsid w:val="005D56BD"/>
    <w:rsid w:val="005D5FA7"/>
    <w:rsid w:val="005D6242"/>
    <w:rsid w:val="005E3D47"/>
    <w:rsid w:val="005F40DD"/>
    <w:rsid w:val="005F4EAA"/>
    <w:rsid w:val="00601BEA"/>
    <w:rsid w:val="00605F18"/>
    <w:rsid w:val="00612DB0"/>
    <w:rsid w:val="0062039C"/>
    <w:rsid w:val="00625D4C"/>
    <w:rsid w:val="006305ED"/>
    <w:rsid w:val="00631232"/>
    <w:rsid w:val="006334B5"/>
    <w:rsid w:val="00633C94"/>
    <w:rsid w:val="00641C1E"/>
    <w:rsid w:val="00645181"/>
    <w:rsid w:val="00646943"/>
    <w:rsid w:val="0065085A"/>
    <w:rsid w:val="00650E04"/>
    <w:rsid w:val="00651F0A"/>
    <w:rsid w:val="00652999"/>
    <w:rsid w:val="00653D2A"/>
    <w:rsid w:val="00654DE9"/>
    <w:rsid w:val="00657822"/>
    <w:rsid w:val="006629A7"/>
    <w:rsid w:val="00662C58"/>
    <w:rsid w:val="0066478B"/>
    <w:rsid w:val="00664E4D"/>
    <w:rsid w:val="00665106"/>
    <w:rsid w:val="00665216"/>
    <w:rsid w:val="00667F05"/>
    <w:rsid w:val="00667FCE"/>
    <w:rsid w:val="006701BE"/>
    <w:rsid w:val="00672C0F"/>
    <w:rsid w:val="00673FD6"/>
    <w:rsid w:val="006810AA"/>
    <w:rsid w:val="006856CA"/>
    <w:rsid w:val="00692A27"/>
    <w:rsid w:val="00694740"/>
    <w:rsid w:val="00694A77"/>
    <w:rsid w:val="006963A5"/>
    <w:rsid w:val="006A09A7"/>
    <w:rsid w:val="006A2556"/>
    <w:rsid w:val="006A462E"/>
    <w:rsid w:val="006A6045"/>
    <w:rsid w:val="006A719F"/>
    <w:rsid w:val="006A7B3C"/>
    <w:rsid w:val="006B161F"/>
    <w:rsid w:val="006B1B7F"/>
    <w:rsid w:val="006B39E7"/>
    <w:rsid w:val="006B78FC"/>
    <w:rsid w:val="006C0E33"/>
    <w:rsid w:val="006D11AB"/>
    <w:rsid w:val="006D6297"/>
    <w:rsid w:val="006E488E"/>
    <w:rsid w:val="006E751B"/>
    <w:rsid w:val="006F1530"/>
    <w:rsid w:val="006F3D7C"/>
    <w:rsid w:val="006F4CB7"/>
    <w:rsid w:val="006F7104"/>
    <w:rsid w:val="00701D7B"/>
    <w:rsid w:val="00710A38"/>
    <w:rsid w:val="00711C51"/>
    <w:rsid w:val="00714ACB"/>
    <w:rsid w:val="00726264"/>
    <w:rsid w:val="00726C79"/>
    <w:rsid w:val="00733C83"/>
    <w:rsid w:val="007364CA"/>
    <w:rsid w:val="0074098F"/>
    <w:rsid w:val="00740C06"/>
    <w:rsid w:val="00740C84"/>
    <w:rsid w:val="00740DEB"/>
    <w:rsid w:val="00741248"/>
    <w:rsid w:val="007414F6"/>
    <w:rsid w:val="00742A97"/>
    <w:rsid w:val="0074553C"/>
    <w:rsid w:val="007455F6"/>
    <w:rsid w:val="0074719A"/>
    <w:rsid w:val="007501F8"/>
    <w:rsid w:val="0075669C"/>
    <w:rsid w:val="0076534D"/>
    <w:rsid w:val="007669A9"/>
    <w:rsid w:val="00767515"/>
    <w:rsid w:val="00767798"/>
    <w:rsid w:val="007679B0"/>
    <w:rsid w:val="00771B29"/>
    <w:rsid w:val="0077355D"/>
    <w:rsid w:val="007778AD"/>
    <w:rsid w:val="00781E28"/>
    <w:rsid w:val="007821E1"/>
    <w:rsid w:val="00782A5F"/>
    <w:rsid w:val="00783841"/>
    <w:rsid w:val="00792972"/>
    <w:rsid w:val="00793551"/>
    <w:rsid w:val="00794264"/>
    <w:rsid w:val="0079530A"/>
    <w:rsid w:val="00795529"/>
    <w:rsid w:val="0079655D"/>
    <w:rsid w:val="007A032C"/>
    <w:rsid w:val="007A12E7"/>
    <w:rsid w:val="007A5779"/>
    <w:rsid w:val="007A5D90"/>
    <w:rsid w:val="007A777F"/>
    <w:rsid w:val="007A7C07"/>
    <w:rsid w:val="007B6230"/>
    <w:rsid w:val="007B7C1C"/>
    <w:rsid w:val="007B7D70"/>
    <w:rsid w:val="007C098F"/>
    <w:rsid w:val="007C68E2"/>
    <w:rsid w:val="007D0A2C"/>
    <w:rsid w:val="007D367C"/>
    <w:rsid w:val="007D3E33"/>
    <w:rsid w:val="007D63C8"/>
    <w:rsid w:val="007E2377"/>
    <w:rsid w:val="007E3298"/>
    <w:rsid w:val="007F05BC"/>
    <w:rsid w:val="007F1944"/>
    <w:rsid w:val="007F4680"/>
    <w:rsid w:val="007F59D0"/>
    <w:rsid w:val="007F72EF"/>
    <w:rsid w:val="00801075"/>
    <w:rsid w:val="0080276F"/>
    <w:rsid w:val="00803A9B"/>
    <w:rsid w:val="008047B9"/>
    <w:rsid w:val="008050D5"/>
    <w:rsid w:val="0081664A"/>
    <w:rsid w:val="008206BB"/>
    <w:rsid w:val="00823CA4"/>
    <w:rsid w:val="00825073"/>
    <w:rsid w:val="008455B7"/>
    <w:rsid w:val="0085078C"/>
    <w:rsid w:val="00855182"/>
    <w:rsid w:val="00855746"/>
    <w:rsid w:val="0085776A"/>
    <w:rsid w:val="0086201D"/>
    <w:rsid w:val="008632D9"/>
    <w:rsid w:val="00863455"/>
    <w:rsid w:val="00867B36"/>
    <w:rsid w:val="0087514B"/>
    <w:rsid w:val="00880F64"/>
    <w:rsid w:val="0088772C"/>
    <w:rsid w:val="008927B5"/>
    <w:rsid w:val="00896255"/>
    <w:rsid w:val="00896A58"/>
    <w:rsid w:val="00897AC7"/>
    <w:rsid w:val="008A7C2E"/>
    <w:rsid w:val="008B0E2B"/>
    <w:rsid w:val="008B214C"/>
    <w:rsid w:val="008B5235"/>
    <w:rsid w:val="008B709F"/>
    <w:rsid w:val="008C0A05"/>
    <w:rsid w:val="008C2642"/>
    <w:rsid w:val="008D13F3"/>
    <w:rsid w:val="008D27C2"/>
    <w:rsid w:val="008D3FAE"/>
    <w:rsid w:val="008D6C45"/>
    <w:rsid w:val="008D70F4"/>
    <w:rsid w:val="008F05C2"/>
    <w:rsid w:val="008F2C39"/>
    <w:rsid w:val="008F7A33"/>
    <w:rsid w:val="0090301E"/>
    <w:rsid w:val="0090372A"/>
    <w:rsid w:val="00906411"/>
    <w:rsid w:val="00907077"/>
    <w:rsid w:val="009108AA"/>
    <w:rsid w:val="00910BEB"/>
    <w:rsid w:val="00912A86"/>
    <w:rsid w:val="0091328B"/>
    <w:rsid w:val="009136F5"/>
    <w:rsid w:val="009137A2"/>
    <w:rsid w:val="009147E5"/>
    <w:rsid w:val="00915F28"/>
    <w:rsid w:val="009202CE"/>
    <w:rsid w:val="00920F93"/>
    <w:rsid w:val="00925B09"/>
    <w:rsid w:val="00925C07"/>
    <w:rsid w:val="009264F1"/>
    <w:rsid w:val="00932344"/>
    <w:rsid w:val="00932376"/>
    <w:rsid w:val="00933C46"/>
    <w:rsid w:val="00936C8C"/>
    <w:rsid w:val="0093721D"/>
    <w:rsid w:val="0094140B"/>
    <w:rsid w:val="0094199D"/>
    <w:rsid w:val="00942CED"/>
    <w:rsid w:val="0094562B"/>
    <w:rsid w:val="00946B1F"/>
    <w:rsid w:val="009478D5"/>
    <w:rsid w:val="0095222F"/>
    <w:rsid w:val="00952360"/>
    <w:rsid w:val="00955A71"/>
    <w:rsid w:val="00975802"/>
    <w:rsid w:val="009803F8"/>
    <w:rsid w:val="00983842"/>
    <w:rsid w:val="00983CC4"/>
    <w:rsid w:val="00996D14"/>
    <w:rsid w:val="009A0CAD"/>
    <w:rsid w:val="009A521B"/>
    <w:rsid w:val="009B17BA"/>
    <w:rsid w:val="009B1DC7"/>
    <w:rsid w:val="009B2659"/>
    <w:rsid w:val="009B6522"/>
    <w:rsid w:val="009B77A1"/>
    <w:rsid w:val="009C4E96"/>
    <w:rsid w:val="009D3C20"/>
    <w:rsid w:val="009E35CB"/>
    <w:rsid w:val="009E6DBE"/>
    <w:rsid w:val="009F3B6D"/>
    <w:rsid w:val="009F68B6"/>
    <w:rsid w:val="00A04770"/>
    <w:rsid w:val="00A04B5D"/>
    <w:rsid w:val="00A156E9"/>
    <w:rsid w:val="00A158ED"/>
    <w:rsid w:val="00A228C1"/>
    <w:rsid w:val="00A23955"/>
    <w:rsid w:val="00A246B1"/>
    <w:rsid w:val="00A246FF"/>
    <w:rsid w:val="00A24E1B"/>
    <w:rsid w:val="00A41C30"/>
    <w:rsid w:val="00A44231"/>
    <w:rsid w:val="00A4632F"/>
    <w:rsid w:val="00A4671F"/>
    <w:rsid w:val="00A5694B"/>
    <w:rsid w:val="00A61053"/>
    <w:rsid w:val="00A64D8B"/>
    <w:rsid w:val="00A65B49"/>
    <w:rsid w:val="00A70089"/>
    <w:rsid w:val="00A7105B"/>
    <w:rsid w:val="00A73673"/>
    <w:rsid w:val="00A743B8"/>
    <w:rsid w:val="00A82A82"/>
    <w:rsid w:val="00A8493F"/>
    <w:rsid w:val="00A90C07"/>
    <w:rsid w:val="00A92B23"/>
    <w:rsid w:val="00A93025"/>
    <w:rsid w:val="00A96373"/>
    <w:rsid w:val="00A96FCD"/>
    <w:rsid w:val="00AA3BA9"/>
    <w:rsid w:val="00AC01F3"/>
    <w:rsid w:val="00AC5A09"/>
    <w:rsid w:val="00AC718E"/>
    <w:rsid w:val="00AD3565"/>
    <w:rsid w:val="00AD7778"/>
    <w:rsid w:val="00AE47F2"/>
    <w:rsid w:val="00AE6319"/>
    <w:rsid w:val="00AF0EF6"/>
    <w:rsid w:val="00AF0FB3"/>
    <w:rsid w:val="00AF44B0"/>
    <w:rsid w:val="00B0034D"/>
    <w:rsid w:val="00B00427"/>
    <w:rsid w:val="00B07DA6"/>
    <w:rsid w:val="00B11631"/>
    <w:rsid w:val="00B12DC0"/>
    <w:rsid w:val="00B13E22"/>
    <w:rsid w:val="00B146C8"/>
    <w:rsid w:val="00B161C3"/>
    <w:rsid w:val="00B17D38"/>
    <w:rsid w:val="00B21116"/>
    <w:rsid w:val="00B21B51"/>
    <w:rsid w:val="00B229B6"/>
    <w:rsid w:val="00B24B08"/>
    <w:rsid w:val="00B34349"/>
    <w:rsid w:val="00B34981"/>
    <w:rsid w:val="00B40177"/>
    <w:rsid w:val="00B406C2"/>
    <w:rsid w:val="00B40AD0"/>
    <w:rsid w:val="00B41278"/>
    <w:rsid w:val="00B41760"/>
    <w:rsid w:val="00B41C33"/>
    <w:rsid w:val="00B43758"/>
    <w:rsid w:val="00B45084"/>
    <w:rsid w:val="00B461FD"/>
    <w:rsid w:val="00B46559"/>
    <w:rsid w:val="00B50E14"/>
    <w:rsid w:val="00B55943"/>
    <w:rsid w:val="00B568BC"/>
    <w:rsid w:val="00B576BC"/>
    <w:rsid w:val="00B60D86"/>
    <w:rsid w:val="00B61F3A"/>
    <w:rsid w:val="00B631FC"/>
    <w:rsid w:val="00B72024"/>
    <w:rsid w:val="00B72758"/>
    <w:rsid w:val="00B73B50"/>
    <w:rsid w:val="00B801AE"/>
    <w:rsid w:val="00B84604"/>
    <w:rsid w:val="00B854C3"/>
    <w:rsid w:val="00B855AA"/>
    <w:rsid w:val="00B91B4B"/>
    <w:rsid w:val="00B91FE7"/>
    <w:rsid w:val="00B925E1"/>
    <w:rsid w:val="00B93301"/>
    <w:rsid w:val="00B94F43"/>
    <w:rsid w:val="00B94FBC"/>
    <w:rsid w:val="00B95311"/>
    <w:rsid w:val="00B96C9D"/>
    <w:rsid w:val="00BA35F9"/>
    <w:rsid w:val="00BA5AF0"/>
    <w:rsid w:val="00BA7AD7"/>
    <w:rsid w:val="00BB04D1"/>
    <w:rsid w:val="00BB0E60"/>
    <w:rsid w:val="00BC13DB"/>
    <w:rsid w:val="00BC3925"/>
    <w:rsid w:val="00BC4172"/>
    <w:rsid w:val="00BC5652"/>
    <w:rsid w:val="00BC785C"/>
    <w:rsid w:val="00BD1307"/>
    <w:rsid w:val="00BD713D"/>
    <w:rsid w:val="00BE0DA5"/>
    <w:rsid w:val="00BE148A"/>
    <w:rsid w:val="00BE1C66"/>
    <w:rsid w:val="00BE62AA"/>
    <w:rsid w:val="00BF1568"/>
    <w:rsid w:val="00BF23CE"/>
    <w:rsid w:val="00BF2408"/>
    <w:rsid w:val="00BF358A"/>
    <w:rsid w:val="00C016A2"/>
    <w:rsid w:val="00C060BE"/>
    <w:rsid w:val="00C06396"/>
    <w:rsid w:val="00C10E28"/>
    <w:rsid w:val="00C115FC"/>
    <w:rsid w:val="00C118F1"/>
    <w:rsid w:val="00C20572"/>
    <w:rsid w:val="00C24078"/>
    <w:rsid w:val="00C2430E"/>
    <w:rsid w:val="00C24F36"/>
    <w:rsid w:val="00C26BAB"/>
    <w:rsid w:val="00C315E9"/>
    <w:rsid w:val="00C32CDF"/>
    <w:rsid w:val="00C3483C"/>
    <w:rsid w:val="00C36F16"/>
    <w:rsid w:val="00C370DA"/>
    <w:rsid w:val="00C407B4"/>
    <w:rsid w:val="00C448F3"/>
    <w:rsid w:val="00C454BC"/>
    <w:rsid w:val="00C529A6"/>
    <w:rsid w:val="00C53873"/>
    <w:rsid w:val="00C53E42"/>
    <w:rsid w:val="00C546D0"/>
    <w:rsid w:val="00C60253"/>
    <w:rsid w:val="00C60374"/>
    <w:rsid w:val="00C60A0E"/>
    <w:rsid w:val="00C64768"/>
    <w:rsid w:val="00C65036"/>
    <w:rsid w:val="00C66900"/>
    <w:rsid w:val="00C70C40"/>
    <w:rsid w:val="00C72C52"/>
    <w:rsid w:val="00C74E84"/>
    <w:rsid w:val="00C80F75"/>
    <w:rsid w:val="00C852EB"/>
    <w:rsid w:val="00C8749E"/>
    <w:rsid w:val="00C9492F"/>
    <w:rsid w:val="00C95167"/>
    <w:rsid w:val="00C9543E"/>
    <w:rsid w:val="00C96B7E"/>
    <w:rsid w:val="00CA0028"/>
    <w:rsid w:val="00CA57CB"/>
    <w:rsid w:val="00CB2089"/>
    <w:rsid w:val="00CB253B"/>
    <w:rsid w:val="00CB3004"/>
    <w:rsid w:val="00CB36F3"/>
    <w:rsid w:val="00CB564E"/>
    <w:rsid w:val="00CC0137"/>
    <w:rsid w:val="00CC5028"/>
    <w:rsid w:val="00CC72DD"/>
    <w:rsid w:val="00CC74B6"/>
    <w:rsid w:val="00CC7C2B"/>
    <w:rsid w:val="00CD0473"/>
    <w:rsid w:val="00CD1664"/>
    <w:rsid w:val="00CE1310"/>
    <w:rsid w:val="00CE3C31"/>
    <w:rsid w:val="00CE445E"/>
    <w:rsid w:val="00CE5FC2"/>
    <w:rsid w:val="00CF0BD4"/>
    <w:rsid w:val="00CF272A"/>
    <w:rsid w:val="00CF5DF4"/>
    <w:rsid w:val="00D01CEF"/>
    <w:rsid w:val="00D02BD9"/>
    <w:rsid w:val="00D02CFE"/>
    <w:rsid w:val="00D035EB"/>
    <w:rsid w:val="00D05218"/>
    <w:rsid w:val="00D05298"/>
    <w:rsid w:val="00D10C2A"/>
    <w:rsid w:val="00D13C2E"/>
    <w:rsid w:val="00D14F8F"/>
    <w:rsid w:val="00D214F4"/>
    <w:rsid w:val="00D305FB"/>
    <w:rsid w:val="00D309E9"/>
    <w:rsid w:val="00D4364E"/>
    <w:rsid w:val="00D43F2B"/>
    <w:rsid w:val="00D44242"/>
    <w:rsid w:val="00D4526A"/>
    <w:rsid w:val="00D50219"/>
    <w:rsid w:val="00D65BDE"/>
    <w:rsid w:val="00D66EF6"/>
    <w:rsid w:val="00D71E3F"/>
    <w:rsid w:val="00D720CE"/>
    <w:rsid w:val="00D73584"/>
    <w:rsid w:val="00D7463A"/>
    <w:rsid w:val="00D81DA9"/>
    <w:rsid w:val="00D828E0"/>
    <w:rsid w:val="00D84990"/>
    <w:rsid w:val="00D87009"/>
    <w:rsid w:val="00D90E9A"/>
    <w:rsid w:val="00D91FB3"/>
    <w:rsid w:val="00D948A9"/>
    <w:rsid w:val="00D97367"/>
    <w:rsid w:val="00DA2A3E"/>
    <w:rsid w:val="00DA70F1"/>
    <w:rsid w:val="00DA79BA"/>
    <w:rsid w:val="00DA7C4D"/>
    <w:rsid w:val="00DB185E"/>
    <w:rsid w:val="00DB34DC"/>
    <w:rsid w:val="00DC4372"/>
    <w:rsid w:val="00DD3009"/>
    <w:rsid w:val="00DD30A7"/>
    <w:rsid w:val="00DD4804"/>
    <w:rsid w:val="00DD4A44"/>
    <w:rsid w:val="00DD51A3"/>
    <w:rsid w:val="00DE6127"/>
    <w:rsid w:val="00DE66B2"/>
    <w:rsid w:val="00DF0796"/>
    <w:rsid w:val="00DF1F35"/>
    <w:rsid w:val="00DF46A9"/>
    <w:rsid w:val="00E0287E"/>
    <w:rsid w:val="00E043EC"/>
    <w:rsid w:val="00E05757"/>
    <w:rsid w:val="00E1313D"/>
    <w:rsid w:val="00E13E4B"/>
    <w:rsid w:val="00E174AB"/>
    <w:rsid w:val="00E2089E"/>
    <w:rsid w:val="00E21628"/>
    <w:rsid w:val="00E21B70"/>
    <w:rsid w:val="00E226B4"/>
    <w:rsid w:val="00E2371F"/>
    <w:rsid w:val="00E243D7"/>
    <w:rsid w:val="00E274FB"/>
    <w:rsid w:val="00E30919"/>
    <w:rsid w:val="00E3411F"/>
    <w:rsid w:val="00E3700C"/>
    <w:rsid w:val="00E42D94"/>
    <w:rsid w:val="00E502F9"/>
    <w:rsid w:val="00E51CE0"/>
    <w:rsid w:val="00E52AE2"/>
    <w:rsid w:val="00E54EBD"/>
    <w:rsid w:val="00E570A6"/>
    <w:rsid w:val="00E60A96"/>
    <w:rsid w:val="00E60DAA"/>
    <w:rsid w:val="00E621F4"/>
    <w:rsid w:val="00E62407"/>
    <w:rsid w:val="00E667A1"/>
    <w:rsid w:val="00E70A0C"/>
    <w:rsid w:val="00E712FA"/>
    <w:rsid w:val="00E766D1"/>
    <w:rsid w:val="00E77F64"/>
    <w:rsid w:val="00E853A2"/>
    <w:rsid w:val="00E857C8"/>
    <w:rsid w:val="00E86120"/>
    <w:rsid w:val="00E94AB0"/>
    <w:rsid w:val="00EA2466"/>
    <w:rsid w:val="00EA4806"/>
    <w:rsid w:val="00EB04B1"/>
    <w:rsid w:val="00EB3A6E"/>
    <w:rsid w:val="00EC3C74"/>
    <w:rsid w:val="00EC78D3"/>
    <w:rsid w:val="00ED6881"/>
    <w:rsid w:val="00EF2247"/>
    <w:rsid w:val="00EF2624"/>
    <w:rsid w:val="00EF4098"/>
    <w:rsid w:val="00EF5D36"/>
    <w:rsid w:val="00EF6AD2"/>
    <w:rsid w:val="00F00901"/>
    <w:rsid w:val="00F0251B"/>
    <w:rsid w:val="00F04C96"/>
    <w:rsid w:val="00F066F1"/>
    <w:rsid w:val="00F07ED2"/>
    <w:rsid w:val="00F10439"/>
    <w:rsid w:val="00F14F18"/>
    <w:rsid w:val="00F22A2D"/>
    <w:rsid w:val="00F25E73"/>
    <w:rsid w:val="00F3029B"/>
    <w:rsid w:val="00F306EA"/>
    <w:rsid w:val="00F35235"/>
    <w:rsid w:val="00F35E98"/>
    <w:rsid w:val="00F370F2"/>
    <w:rsid w:val="00F377E9"/>
    <w:rsid w:val="00F42CD5"/>
    <w:rsid w:val="00F44598"/>
    <w:rsid w:val="00F44EF4"/>
    <w:rsid w:val="00F5228D"/>
    <w:rsid w:val="00F5765C"/>
    <w:rsid w:val="00F6097E"/>
    <w:rsid w:val="00F656E5"/>
    <w:rsid w:val="00F65938"/>
    <w:rsid w:val="00F65DA5"/>
    <w:rsid w:val="00F72378"/>
    <w:rsid w:val="00F728B6"/>
    <w:rsid w:val="00F72BEE"/>
    <w:rsid w:val="00F73418"/>
    <w:rsid w:val="00F73937"/>
    <w:rsid w:val="00F7546E"/>
    <w:rsid w:val="00F7757C"/>
    <w:rsid w:val="00F81514"/>
    <w:rsid w:val="00F82C4C"/>
    <w:rsid w:val="00F900B4"/>
    <w:rsid w:val="00F936AA"/>
    <w:rsid w:val="00F95354"/>
    <w:rsid w:val="00F97A16"/>
    <w:rsid w:val="00FA2346"/>
    <w:rsid w:val="00FA23B1"/>
    <w:rsid w:val="00FA3B38"/>
    <w:rsid w:val="00FA4F90"/>
    <w:rsid w:val="00FA5D90"/>
    <w:rsid w:val="00FA609E"/>
    <w:rsid w:val="00FC01FE"/>
    <w:rsid w:val="00FC039B"/>
    <w:rsid w:val="00FC1039"/>
    <w:rsid w:val="00FC2758"/>
    <w:rsid w:val="00FC4703"/>
    <w:rsid w:val="00FC56EE"/>
    <w:rsid w:val="00FC6409"/>
    <w:rsid w:val="00FC6C49"/>
    <w:rsid w:val="00FD011F"/>
    <w:rsid w:val="00FD32EE"/>
    <w:rsid w:val="00FE0BB2"/>
    <w:rsid w:val="00FF1126"/>
    <w:rsid w:val="00FF21AC"/>
    <w:rsid w:val="00FF491E"/>
    <w:rsid w:val="00FF6E72"/>
    <w:rsid w:val="014D3DEB"/>
    <w:rsid w:val="04583347"/>
    <w:rsid w:val="066437FC"/>
    <w:rsid w:val="0832A531"/>
    <w:rsid w:val="0B94D34B"/>
    <w:rsid w:val="0C76158E"/>
    <w:rsid w:val="0FAB6608"/>
    <w:rsid w:val="13C649A3"/>
    <w:rsid w:val="14D80557"/>
    <w:rsid w:val="161951DE"/>
    <w:rsid w:val="193F65C4"/>
    <w:rsid w:val="1AD1609F"/>
    <w:rsid w:val="1C4A36AB"/>
    <w:rsid w:val="1DAFA233"/>
    <w:rsid w:val="1DCF83FC"/>
    <w:rsid w:val="1F9FCEE1"/>
    <w:rsid w:val="2394A425"/>
    <w:rsid w:val="2459F66D"/>
    <w:rsid w:val="2536CB73"/>
    <w:rsid w:val="27186E64"/>
    <w:rsid w:val="2A302984"/>
    <w:rsid w:val="2E96F351"/>
    <w:rsid w:val="2F4425A7"/>
    <w:rsid w:val="2FA0E074"/>
    <w:rsid w:val="30C1C0A2"/>
    <w:rsid w:val="314E80BC"/>
    <w:rsid w:val="3237407E"/>
    <w:rsid w:val="3330FDFC"/>
    <w:rsid w:val="372BD248"/>
    <w:rsid w:val="3A2079A6"/>
    <w:rsid w:val="3DDD8365"/>
    <w:rsid w:val="3E54CEA4"/>
    <w:rsid w:val="3F649B98"/>
    <w:rsid w:val="421E93D5"/>
    <w:rsid w:val="42A9880E"/>
    <w:rsid w:val="44A06EA1"/>
    <w:rsid w:val="45736DDF"/>
    <w:rsid w:val="468D7583"/>
    <w:rsid w:val="470C5AA0"/>
    <w:rsid w:val="496AEF7D"/>
    <w:rsid w:val="49A585E3"/>
    <w:rsid w:val="49C5C6E3"/>
    <w:rsid w:val="4A8A7E48"/>
    <w:rsid w:val="4D2749FE"/>
    <w:rsid w:val="4E78F706"/>
    <w:rsid w:val="4F1AAC79"/>
    <w:rsid w:val="4F48825C"/>
    <w:rsid w:val="4F942AEF"/>
    <w:rsid w:val="510F5E54"/>
    <w:rsid w:val="5270AF5D"/>
    <w:rsid w:val="536AA25D"/>
    <w:rsid w:val="54D53716"/>
    <w:rsid w:val="5654D6A3"/>
    <w:rsid w:val="57A4A6F9"/>
    <w:rsid w:val="5E891C24"/>
    <w:rsid w:val="605319B7"/>
    <w:rsid w:val="6385D755"/>
    <w:rsid w:val="6758BA9D"/>
    <w:rsid w:val="6A9CFED6"/>
    <w:rsid w:val="6BD7AA0C"/>
    <w:rsid w:val="6C192EE8"/>
    <w:rsid w:val="6C201055"/>
    <w:rsid w:val="6F02E6EA"/>
    <w:rsid w:val="701A206A"/>
    <w:rsid w:val="71370C79"/>
    <w:rsid w:val="71B9816B"/>
    <w:rsid w:val="75F7083A"/>
    <w:rsid w:val="7CEE1B9E"/>
    <w:rsid w:val="7D876D4A"/>
    <w:rsid w:val="7E51BE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916E90"/>
  <w15:docId w15:val="{0EC10F6F-8EE2-4B2C-A2E2-BF0F231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2247"/>
    <w:pPr>
      <w:widowControl w:val="0"/>
      <w:autoSpaceDE w:val="0"/>
      <w:autoSpaceDN w:val="0"/>
      <w:adjustRightInd w:val="0"/>
    </w:pPr>
    <w:rPr>
      <w:sz w:val="24"/>
      <w:szCs w:val="24"/>
    </w:rPr>
  </w:style>
  <w:style w:type="paragraph" w:styleId="Heading1">
    <w:name w:val="heading 1"/>
    <w:basedOn w:val="Normal"/>
    <w:qFormat/>
    <w:rsid w:val="003B6556"/>
    <w:pPr>
      <w:widowControl/>
      <w:autoSpaceDE/>
      <w:autoSpaceDN/>
      <w:adjustRightInd/>
      <w:spacing w:before="100" w:beforeAutospacing="1" w:after="100" w:afterAutospacing="1"/>
      <w:outlineLvl w:val="0"/>
    </w:pPr>
    <w:rPr>
      <w:rFonts w:ascii="Verdana" w:hAnsi="Verdana"/>
      <w:b/>
      <w:bCs/>
      <w:color w:val="0000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2247"/>
  </w:style>
  <w:style w:type="paragraph" w:customStyle="1" w:styleId="Level1">
    <w:name w:val="Level 1"/>
    <w:basedOn w:val="Normal"/>
    <w:rsid w:val="00EF2247"/>
    <w:pPr>
      <w:numPr>
        <w:numId w:val="1"/>
      </w:numPr>
      <w:ind w:left="2160" w:hanging="720"/>
      <w:outlineLvl w:val="0"/>
    </w:pPr>
  </w:style>
  <w:style w:type="paragraph" w:styleId="Header">
    <w:name w:val="header"/>
    <w:basedOn w:val="Normal"/>
    <w:rsid w:val="007F4680"/>
    <w:pPr>
      <w:tabs>
        <w:tab w:val="center" w:pos="4320"/>
        <w:tab w:val="right" w:pos="8640"/>
      </w:tabs>
    </w:pPr>
  </w:style>
  <w:style w:type="paragraph" w:styleId="Footer">
    <w:name w:val="footer"/>
    <w:basedOn w:val="Normal"/>
    <w:rsid w:val="007F4680"/>
    <w:pPr>
      <w:tabs>
        <w:tab w:val="center" w:pos="4320"/>
        <w:tab w:val="right" w:pos="8640"/>
      </w:tabs>
    </w:pPr>
  </w:style>
  <w:style w:type="table" w:styleId="TableGrid">
    <w:name w:val="Table Grid"/>
    <w:basedOn w:val="TableNormal"/>
    <w:rsid w:val="00DF1F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C60A0E"/>
    <w:rPr>
      <w:color w:val="0000FF"/>
      <w:u w:val="single"/>
    </w:rPr>
  </w:style>
  <w:style w:type="character" w:styleId="Hyperlink">
    <w:name w:val="Hyperlink"/>
    <w:basedOn w:val="DefaultParagraphFont"/>
    <w:uiPriority w:val="99"/>
    <w:rsid w:val="00266A74"/>
    <w:rPr>
      <w:color w:val="0000FF"/>
      <w:u w:val="single"/>
    </w:rPr>
  </w:style>
  <w:style w:type="paragraph" w:styleId="FootnoteText">
    <w:name w:val="footnote text"/>
    <w:basedOn w:val="Normal"/>
    <w:semiHidden/>
    <w:rsid w:val="006701BE"/>
    <w:rPr>
      <w:sz w:val="20"/>
      <w:szCs w:val="20"/>
    </w:rPr>
  </w:style>
  <w:style w:type="character" w:styleId="FollowedHyperlink">
    <w:name w:val="FollowedHyperlink"/>
    <w:basedOn w:val="DefaultParagraphFont"/>
    <w:rsid w:val="00925C07"/>
    <w:rPr>
      <w:color w:val="800080"/>
      <w:u w:val="single"/>
    </w:rPr>
  </w:style>
  <w:style w:type="paragraph" w:customStyle="1" w:styleId="footnotetex">
    <w:name w:val="footnote tex"/>
    <w:rsid w:val="00740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style>
  <w:style w:type="paragraph" w:styleId="BalloonText">
    <w:name w:val="Balloon Text"/>
    <w:basedOn w:val="Normal"/>
    <w:semiHidden/>
    <w:rsid w:val="005A4A5D"/>
    <w:rPr>
      <w:rFonts w:ascii="Tahoma" w:hAnsi="Tahoma" w:cs="Tahoma"/>
      <w:sz w:val="16"/>
      <w:szCs w:val="16"/>
    </w:rPr>
  </w:style>
  <w:style w:type="character" w:styleId="PageNumber">
    <w:name w:val="page number"/>
    <w:basedOn w:val="DefaultParagraphFont"/>
    <w:rsid w:val="00585780"/>
  </w:style>
  <w:style w:type="paragraph" w:customStyle="1" w:styleId="Default">
    <w:name w:val="Default"/>
    <w:basedOn w:val="Normal"/>
    <w:link w:val="DefaultChar"/>
    <w:rsid w:val="003B6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rPr>
  </w:style>
  <w:style w:type="character" w:customStyle="1" w:styleId="DefaultChar">
    <w:name w:val="Default Char"/>
    <w:basedOn w:val="DefaultParagraphFont"/>
    <w:link w:val="Default"/>
    <w:rsid w:val="003B6556"/>
    <w:rPr>
      <w:rFonts w:ascii="Arial" w:hAnsi="Arial" w:cs="Arial"/>
      <w:sz w:val="24"/>
      <w:szCs w:val="24"/>
      <w:lang w:val="en-US" w:eastAsia="en-US" w:bidi="ar-SA"/>
    </w:rPr>
  </w:style>
  <w:style w:type="character" w:styleId="CommentReference">
    <w:name w:val="annotation reference"/>
    <w:basedOn w:val="DefaultParagraphFont"/>
    <w:semiHidden/>
    <w:rsid w:val="00B576BC"/>
    <w:rPr>
      <w:sz w:val="16"/>
      <w:szCs w:val="16"/>
    </w:rPr>
  </w:style>
  <w:style w:type="paragraph" w:styleId="CommentText">
    <w:name w:val="annotation text"/>
    <w:basedOn w:val="Normal"/>
    <w:semiHidden/>
    <w:rsid w:val="00B576BC"/>
    <w:rPr>
      <w:sz w:val="20"/>
      <w:szCs w:val="20"/>
    </w:rPr>
  </w:style>
  <w:style w:type="paragraph" w:styleId="CommentSubject">
    <w:name w:val="annotation subject"/>
    <w:basedOn w:val="CommentText"/>
    <w:next w:val="CommentText"/>
    <w:semiHidden/>
    <w:rsid w:val="00B576BC"/>
    <w:rPr>
      <w:b/>
      <w:bCs/>
    </w:rPr>
  </w:style>
  <w:style w:type="paragraph" w:styleId="HTMLPreformatted">
    <w:name w:val="HTML Preformatted"/>
    <w:basedOn w:val="Normal"/>
    <w:link w:val="HTMLPreformattedChar"/>
    <w:uiPriority w:val="99"/>
    <w:unhideWhenUsed/>
    <w:rsid w:val="00295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5205"/>
    <w:rPr>
      <w:rFonts w:ascii="Courier New" w:hAnsi="Courier New" w:cs="Courier New"/>
    </w:rPr>
  </w:style>
  <w:style w:type="paragraph" w:styleId="ListParagraph">
    <w:name w:val="List Paragraph"/>
    <w:basedOn w:val="Normal"/>
    <w:link w:val="ListParagraphChar"/>
    <w:uiPriority w:val="34"/>
    <w:qFormat/>
    <w:rsid w:val="003A65F0"/>
    <w:pPr>
      <w:widowControl/>
      <w:ind w:left="720"/>
      <w:contextualSpacing/>
    </w:pPr>
    <w:rPr>
      <w:sz w:val="20"/>
      <w:szCs w:val="20"/>
    </w:rPr>
  </w:style>
  <w:style w:type="paragraph" w:styleId="Revision">
    <w:name w:val="Revision"/>
    <w:hidden/>
    <w:uiPriority w:val="99"/>
    <w:semiHidden/>
    <w:rsid w:val="0001164B"/>
    <w:rPr>
      <w:sz w:val="24"/>
      <w:szCs w:val="24"/>
    </w:rPr>
  </w:style>
  <w:style w:type="character" w:customStyle="1" w:styleId="ListParagraphChar">
    <w:name w:val="List Paragraph Char"/>
    <w:basedOn w:val="DefaultParagraphFont"/>
    <w:link w:val="ListParagraph"/>
    <w:uiPriority w:val="34"/>
    <w:locked/>
    <w:rsid w:val="00DA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scp.nrc.gov" TargetMode="External" /><Relationship Id="rId7" Type="http://schemas.openxmlformats.org/officeDocument/2006/relationships/hyperlink" Target="https://www.nrc.gov/reading-rm/adams.html" TargetMode="External" /><Relationship Id="rId8" Type="http://schemas.openxmlformats.org/officeDocument/2006/relationships/hyperlink" Target="https://www.nrc.gov/reading-rm/doc-collections/management-directives/index.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4726-E54C-444A-9799-D72F9815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6350</Characters>
  <Application>Microsoft Office Word</Application>
  <DocSecurity>0</DocSecurity>
  <Lines>52</Lines>
  <Paragraphs>14</Paragraphs>
  <ScaleCrop>false</ScaleCrop>
  <Company>Indellient</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Poy, Stephen</cp:lastModifiedBy>
  <cp:revision>2</cp:revision>
  <cp:lastPrinted>2013-03-27T13:49:00Z</cp:lastPrinted>
  <dcterms:created xsi:type="dcterms:W3CDTF">2022-03-10T22:07:00Z</dcterms:created>
  <dcterms:modified xsi:type="dcterms:W3CDTF">2022-03-10T22:07:00Z</dcterms:modified>
</cp:coreProperties>
</file>