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34D4" w:rsidRPr="00702B0F" w:rsidP="00A76851" w14:paraId="1ADEB76E" w14:textId="6F4F9045">
      <w:pPr>
        <w:tabs>
          <w:tab w:val="left" w:pos="360"/>
        </w:tabs>
        <w:ind w:left="360" w:hanging="360"/>
        <w:jc w:val="center"/>
        <w:rPr>
          <w:rFonts w:cs="Times New Roman"/>
        </w:rPr>
      </w:pPr>
      <w:r w:rsidRPr="00702B0F">
        <w:rPr>
          <w:rFonts w:cs="Times New Roman"/>
        </w:rPr>
        <w:t>Justification</w:t>
      </w:r>
    </w:p>
    <w:p w:rsidR="008D4B57" w:rsidRPr="008D4B57" w:rsidP="004F0353" w14:paraId="4DD5CDCA" w14:textId="77777777">
      <w:pPr>
        <w:tabs>
          <w:tab w:val="left" w:pos="360"/>
        </w:tabs>
        <w:ind w:left="360" w:hanging="360"/>
        <w:jc w:val="center"/>
        <w:rPr>
          <w:b/>
          <w:bCs/>
        </w:rPr>
      </w:pPr>
      <w:bookmarkStart w:id="0" w:name="_Hlk199328243"/>
      <w:r w:rsidRPr="008D4B57">
        <w:rPr>
          <w:b/>
          <w:bCs/>
        </w:rPr>
        <w:t xml:space="preserve">Citizen-Centric Online Self-Services </w:t>
      </w:r>
      <w:bookmarkEnd w:id="0"/>
      <w:r w:rsidRPr="008D4B57">
        <w:rPr>
          <w:b/>
          <w:bCs/>
        </w:rPr>
        <w:t xml:space="preserve">(CCOSS) Authorization </w:t>
      </w:r>
    </w:p>
    <w:p w:rsidR="002936A8" w:rsidRPr="00702B0F" w:rsidP="004F0353" w14:paraId="213D18FA" w14:textId="03F44A5F">
      <w:pPr>
        <w:tabs>
          <w:tab w:val="left" w:pos="360"/>
        </w:tabs>
        <w:ind w:left="360" w:hanging="360"/>
        <w:jc w:val="center"/>
        <w:rPr>
          <w:rFonts w:cs="Times New Roman"/>
          <w:b/>
          <w:bCs/>
        </w:rPr>
      </w:pPr>
      <w:r w:rsidRPr="00702B0F">
        <w:rPr>
          <w:b/>
          <w:bCs/>
        </w:rPr>
        <w:t>Forms COA-1</w:t>
      </w:r>
      <w:r w:rsidRPr="00702B0F" w:rsidR="0030182A">
        <w:rPr>
          <w:b/>
          <w:bCs/>
        </w:rPr>
        <w:t xml:space="preserve"> and DDC-1</w:t>
      </w:r>
    </w:p>
    <w:p w:rsidR="003434D4" w:rsidRPr="00702B0F" w:rsidP="002F536A" w14:paraId="6B2DF8BF" w14:textId="77777777">
      <w:pPr>
        <w:tabs>
          <w:tab w:val="left" w:pos="360"/>
        </w:tabs>
        <w:ind w:left="360" w:hanging="360"/>
        <w:jc w:val="both"/>
        <w:rPr>
          <w:rFonts w:cs="Times New Roman"/>
        </w:rPr>
      </w:pPr>
      <w:bookmarkStart w:id="1" w:name="_Hlk190419624"/>
    </w:p>
    <w:p w:rsidR="0073163E" w:rsidRPr="0073163E" w:rsidP="0073163E" w14:paraId="7E4D72A9" w14:textId="2BAFB5E1">
      <w:pPr>
        <w:numPr>
          <w:ilvl w:val="0"/>
          <w:numId w:val="2"/>
        </w:numPr>
        <w:tabs>
          <w:tab w:val="left" w:pos="540"/>
        </w:tabs>
        <w:ind w:hanging="540"/>
        <w:jc w:val="both"/>
        <w:rPr>
          <w:rFonts w:cs="Times New Roman"/>
        </w:rPr>
      </w:pPr>
      <w:bookmarkStart w:id="2" w:name="_Hlk190420656"/>
      <w:r w:rsidRPr="0073163E">
        <w:rPr>
          <w:rFonts w:cs="Times New Roman"/>
          <w:u w:val="single"/>
        </w:rPr>
        <w:t>Circumstances of information collection</w:t>
      </w:r>
      <w:r w:rsidRPr="0073163E">
        <w:rPr>
          <w:rFonts w:cs="Times New Roman"/>
        </w:rPr>
        <w:t xml:space="preserve"> </w:t>
      </w:r>
      <w:r w:rsidRPr="0073163E" w:rsidR="1313012A">
        <w:rPr>
          <w:rFonts w:eastAsia="Arial"/>
          <w:szCs w:val="22"/>
        </w:rPr>
        <w:t xml:space="preserve">– </w:t>
      </w:r>
      <w:r w:rsidRPr="0073163E">
        <w:rPr>
          <w:rFonts w:cs="Times New Roman"/>
        </w:rPr>
        <w:t>Section 7(b)(6) of the Railroad Retirement Act (RRA) (</w:t>
      </w:r>
      <w:bookmarkStart w:id="3" w:name="_Hlk204775424"/>
      <w:r w:rsidRPr="0073163E">
        <w:rPr>
          <w:rFonts w:cs="Times New Roman"/>
        </w:rPr>
        <w:t>45 U.S.C.231f</w:t>
      </w:r>
      <w:bookmarkEnd w:id="3"/>
      <w:r w:rsidRPr="0073163E">
        <w:rPr>
          <w:rFonts w:cs="Times New Roman"/>
        </w:rPr>
        <w:t xml:space="preserve">) </w:t>
      </w:r>
      <w:bookmarkStart w:id="4" w:name="_Hlk204775474"/>
      <w:r w:rsidRPr="0073163E">
        <w:rPr>
          <w:rFonts w:cs="Times New Roman"/>
        </w:rPr>
        <w:t>and section 12(l) of the Railroad Unemployment Insurance Act (45 U.S.C. 362(l)</w:t>
      </w:r>
      <w:bookmarkEnd w:id="4"/>
      <w:r>
        <w:rPr>
          <w:rFonts w:cs="Times New Roman"/>
        </w:rPr>
        <w:t>)</w:t>
      </w:r>
      <w:r w:rsidRPr="0073163E">
        <w:rPr>
          <w:rFonts w:cs="Times New Roman"/>
        </w:rPr>
        <w:t xml:space="preserve"> permits annuitants, beneficiaries, and claimants to submit direct deposit and mailing address authorizations to facilitate the Railroad Retirement Board (RRB) verification and certification of benefit payments electronically.  </w:t>
      </w:r>
    </w:p>
    <w:p w:rsidR="00A212A9" w:rsidRPr="0073163E" w:rsidP="0073163E" w14:paraId="15D9104C" w14:textId="7C34B880">
      <w:pPr>
        <w:tabs>
          <w:tab w:val="left" w:pos="540"/>
        </w:tabs>
        <w:ind w:left="360"/>
        <w:jc w:val="both"/>
        <w:rPr>
          <w:rFonts w:cs="Times New Roman"/>
        </w:rPr>
      </w:pPr>
      <w:r w:rsidRPr="0073163E">
        <w:rPr>
          <w:rFonts w:cs="Times New Roman"/>
        </w:rPr>
        <w:t xml:space="preserve"> </w:t>
      </w:r>
      <w:r w:rsidRPr="0073163E" w:rsidR="00BC163C">
        <w:rPr>
          <w:rFonts w:cs="Times New Roman"/>
        </w:rPr>
        <w:t xml:space="preserve">  </w:t>
      </w:r>
    </w:p>
    <w:p w:rsidR="00A212A9" w:rsidRPr="00702B0F" w:rsidP="00A212A9" w14:paraId="142E9F90" w14:textId="530B64EE">
      <w:pPr>
        <w:ind w:left="360"/>
        <w:jc w:val="both"/>
        <w:rPr>
          <w:rFonts w:cs="Times New Roman"/>
        </w:rPr>
      </w:pPr>
      <w:r w:rsidRPr="00702B0F">
        <w:t xml:space="preserve">The </w:t>
      </w:r>
      <w:r w:rsidRPr="00702B0F" w:rsidR="00D04B0B">
        <w:t xml:space="preserve">procedures pertaining to the RRB’s </w:t>
      </w:r>
      <w:r w:rsidRPr="00702B0F" w:rsidR="00626685">
        <w:t xml:space="preserve">authority to </w:t>
      </w:r>
      <w:r w:rsidRPr="00702B0F" w:rsidR="00D04B0B">
        <w:t xml:space="preserve">collect direct deposit and </w:t>
      </w:r>
      <w:r w:rsidRPr="00702B0F" w:rsidR="00626685">
        <w:t xml:space="preserve">mailing </w:t>
      </w:r>
      <w:r w:rsidRPr="00702B0F" w:rsidR="00D04B0B">
        <w:t xml:space="preserve">address information to carry out RRA and RUIA benefit payment are contained in </w:t>
      </w:r>
      <w:r w:rsidRPr="00702B0F">
        <w:t>20 CFR 321</w:t>
      </w:r>
      <w:r w:rsidR="00557CF9">
        <w:t xml:space="preserve"> and </w:t>
      </w:r>
      <w:r w:rsidRPr="00557CF9" w:rsidR="00557CF9">
        <w:t>20 CFR 325</w:t>
      </w:r>
      <w:r w:rsidRPr="00702B0F">
        <w:rPr>
          <w:rFonts w:cs="Times New Roman"/>
        </w:rPr>
        <w:t>.</w:t>
      </w:r>
    </w:p>
    <w:bookmarkEnd w:id="1"/>
    <w:bookmarkEnd w:id="2"/>
    <w:p w:rsidR="003434D4" w:rsidRPr="00702B0F" w:rsidP="004F0353" w14:paraId="45D54FFC" w14:textId="77777777">
      <w:pPr>
        <w:tabs>
          <w:tab w:val="left" w:pos="-1440"/>
          <w:tab w:val="left" w:pos="360"/>
        </w:tabs>
        <w:ind w:left="360" w:hanging="540"/>
        <w:jc w:val="both"/>
        <w:rPr>
          <w:rFonts w:cs="Times New Roman"/>
        </w:rPr>
      </w:pPr>
    </w:p>
    <w:p w:rsidR="00EF6D74" w:rsidRPr="00702B0F" w:rsidP="004F0353" w14:paraId="285DCCA3" w14:textId="77777777">
      <w:pPr>
        <w:numPr>
          <w:ilvl w:val="0"/>
          <w:numId w:val="2"/>
        </w:numPr>
        <w:tabs>
          <w:tab w:val="left" w:pos="540"/>
        </w:tabs>
        <w:ind w:hanging="540"/>
        <w:jc w:val="both"/>
        <w:rPr>
          <w:rFonts w:cs="Times New Roman"/>
        </w:rPr>
      </w:pPr>
      <w:r w:rsidRPr="00702B0F">
        <w:rPr>
          <w:rFonts w:cs="Times New Roman"/>
          <w:u w:val="single"/>
        </w:rPr>
        <w:t>Purposes of collecting/consequences of not collecting the information</w:t>
      </w:r>
      <w:r w:rsidRPr="00702B0F">
        <w:rPr>
          <w:rFonts w:cs="Times New Roman"/>
        </w:rPr>
        <w:t xml:space="preserve"> –</w:t>
      </w:r>
      <w:r w:rsidRPr="00702B0F">
        <w:rPr>
          <w:rFonts w:cs="Times New Roman"/>
        </w:rPr>
        <w:t xml:space="preserve"> </w:t>
      </w:r>
      <w:r w:rsidRPr="00702B0F" w:rsidR="1A0FC1C6">
        <w:t xml:space="preserve">In meeting its primary mission for the payment of benefits under the </w:t>
      </w:r>
      <w:r w:rsidRPr="00702B0F">
        <w:t xml:space="preserve">RRA and RUIA, </w:t>
      </w:r>
      <w:r w:rsidRPr="00702B0F" w:rsidR="1A0FC1C6">
        <w:t xml:space="preserve">the </w:t>
      </w:r>
      <w:r w:rsidRPr="00702B0F">
        <w:t xml:space="preserve">RRB </w:t>
      </w:r>
      <w:r w:rsidRPr="00702B0F" w:rsidR="1A0FC1C6">
        <w:t xml:space="preserve">requires correct address and direct deposit information. </w:t>
      </w:r>
      <w:r w:rsidRPr="00702B0F" w:rsidR="1A0FC1C6">
        <w:rPr>
          <w:rFonts w:cs="Times New Roman"/>
        </w:rPr>
        <w:t xml:space="preserve">All RRA and RUIA initial address and direct deposit information </w:t>
      </w:r>
      <w:r w:rsidRPr="00702B0F" w:rsidR="1A0FC1C6">
        <w:rPr>
          <w:rFonts w:cs="Times New Roman"/>
        </w:rPr>
        <w:t>is</w:t>
      </w:r>
      <w:r w:rsidRPr="00702B0F" w:rsidR="1A0FC1C6">
        <w:rPr>
          <w:rFonts w:cs="Times New Roman"/>
        </w:rPr>
        <w:t xml:space="preserve"> </w:t>
      </w:r>
      <w:r w:rsidRPr="00702B0F" w:rsidR="70229DE5">
        <w:rPr>
          <w:rFonts w:cs="Times New Roman"/>
        </w:rPr>
        <w:t xml:space="preserve">currently </w:t>
      </w:r>
      <w:r w:rsidRPr="00702B0F" w:rsidR="1A0FC1C6">
        <w:rPr>
          <w:rFonts w:cs="Times New Roman"/>
        </w:rPr>
        <w:t xml:space="preserve">received </w:t>
      </w:r>
      <w:r w:rsidRPr="00702B0F">
        <w:rPr>
          <w:rFonts w:cs="Times New Roman"/>
        </w:rPr>
        <w:t xml:space="preserve">during </w:t>
      </w:r>
      <w:r w:rsidRPr="00702B0F" w:rsidR="1A0FC1C6">
        <w:rPr>
          <w:rFonts w:cs="Times New Roman"/>
        </w:rPr>
        <w:t xml:space="preserve">the benefit application process. The applicant is required to submit documentary evidence in support of </w:t>
      </w:r>
      <w:r w:rsidRPr="00702B0F" w:rsidR="4800C85E">
        <w:rPr>
          <w:rFonts w:cs="Times New Roman"/>
        </w:rPr>
        <w:t>their</w:t>
      </w:r>
      <w:r w:rsidRPr="00702B0F" w:rsidR="1A0FC1C6">
        <w:rPr>
          <w:rFonts w:cs="Times New Roman"/>
        </w:rPr>
        <w:t xml:space="preserve"> application. </w:t>
      </w:r>
      <w:bookmarkStart w:id="5" w:name="_Hlk190852137"/>
      <w:r w:rsidRPr="00702B0F" w:rsidR="14BB8D7F">
        <w:rPr>
          <w:rFonts w:cs="Times New Roman"/>
        </w:rPr>
        <w:t xml:space="preserve">Subsequently, </w:t>
      </w:r>
      <w:r w:rsidRPr="00702B0F" w:rsidR="14BB8D7F">
        <w:t>t</w:t>
      </w:r>
      <w:r w:rsidRPr="00702B0F" w:rsidR="70229DE5">
        <w:t xml:space="preserve">he RRB proposes to use the following forms to obtain the information needed to determine the validity of </w:t>
      </w:r>
      <w:r w:rsidRPr="00702B0F" w:rsidR="00DC33F9">
        <w:t xml:space="preserve">the </w:t>
      </w:r>
      <w:r w:rsidRPr="00702B0F" w:rsidR="70229DE5">
        <w:t xml:space="preserve">banking </w:t>
      </w:r>
      <w:r w:rsidRPr="00702B0F" w:rsidR="3B695913">
        <w:t xml:space="preserve">information </w:t>
      </w:r>
      <w:r w:rsidRPr="00702B0F" w:rsidR="70229DE5">
        <w:t>and postal addresses for annuitants, beneficiaries</w:t>
      </w:r>
      <w:r w:rsidRPr="00702B0F" w:rsidR="013BB148">
        <w:t>,</w:t>
      </w:r>
      <w:r w:rsidRPr="00702B0F" w:rsidR="70229DE5">
        <w:t xml:space="preserve"> and claimants. </w:t>
      </w:r>
      <w:r w:rsidRPr="00702B0F">
        <w:t xml:space="preserve"> </w:t>
      </w:r>
    </w:p>
    <w:bookmarkEnd w:id="5"/>
    <w:p w:rsidR="00EF6D74" w:rsidRPr="00702B0F" w:rsidP="004F0353" w14:paraId="30E8BFDF" w14:textId="77777777">
      <w:pPr>
        <w:autoSpaceDE w:val="0"/>
        <w:autoSpaceDN w:val="0"/>
        <w:adjustRightInd w:val="0"/>
        <w:ind w:left="360" w:hanging="540"/>
        <w:jc w:val="both"/>
        <w:rPr>
          <w:b/>
          <w:bCs/>
        </w:rPr>
      </w:pPr>
    </w:p>
    <w:p w:rsidR="009E24DD" w:rsidRPr="00702B0F" w:rsidP="001805E7" w14:paraId="41E3C06A" w14:textId="6910174F">
      <w:pPr>
        <w:autoSpaceDE w:val="0"/>
        <w:autoSpaceDN w:val="0"/>
        <w:adjustRightInd w:val="0"/>
        <w:ind w:left="360"/>
        <w:jc w:val="both"/>
      </w:pPr>
      <w:bookmarkStart w:id="6" w:name="_Hlk190852928"/>
      <w:r w:rsidRPr="00702B0F">
        <w:rPr>
          <w:b/>
          <w:bCs/>
        </w:rPr>
        <w:t>Form</w:t>
      </w:r>
      <w:r w:rsidRPr="00702B0F">
        <w:rPr>
          <w:b/>
          <w:bCs/>
        </w:rPr>
        <w:t xml:space="preserve"> COA-1</w:t>
      </w:r>
      <w:r w:rsidRPr="00702B0F">
        <w:rPr>
          <w:b/>
          <w:bCs/>
        </w:rPr>
        <w:t xml:space="preserve">, </w:t>
      </w:r>
      <w:r w:rsidRPr="00702B0F">
        <w:rPr>
          <w:b/>
          <w:bCs/>
        </w:rPr>
        <w:t>Change of Address</w:t>
      </w:r>
      <w:r w:rsidRPr="00702B0F" w:rsidR="008F38C9">
        <w:rPr>
          <w:b/>
          <w:bCs/>
        </w:rPr>
        <w:t xml:space="preserve"> (Internet)</w:t>
      </w:r>
      <w:r w:rsidRPr="00702B0F">
        <w:t xml:space="preserve">, </w:t>
      </w:r>
      <w:r w:rsidRPr="00702B0F">
        <w:t>i</w:t>
      </w:r>
      <w:bookmarkStart w:id="7" w:name="_Hlk195878643"/>
      <w:r w:rsidRPr="00702B0F">
        <w:t xml:space="preserve">s </w:t>
      </w:r>
      <w:r w:rsidRPr="00702B0F">
        <w:t xml:space="preserve">completed on MyRRB (RRB.gov) </w:t>
      </w:r>
      <w:r w:rsidRPr="00702B0F">
        <w:rPr>
          <w:rFonts w:cs="Times New Roman"/>
        </w:rPr>
        <w:t xml:space="preserve">by a railroad annuitant, beneficiary, or claimant when they need to change their </w:t>
      </w:r>
      <w:r w:rsidRPr="00702B0F" w:rsidR="008F38C9">
        <w:rPr>
          <w:rFonts w:cs="Times New Roman"/>
        </w:rPr>
        <w:t xml:space="preserve">mailing </w:t>
      </w:r>
      <w:r w:rsidRPr="00702B0F" w:rsidR="008F38C9">
        <w:t xml:space="preserve">address </w:t>
      </w:r>
      <w:r w:rsidRPr="00702B0F">
        <w:t xml:space="preserve">they have on file at the RRB </w:t>
      </w:r>
      <w:r w:rsidRPr="00702B0F">
        <w:rPr>
          <w:rFonts w:cs="Times New Roman"/>
        </w:rPr>
        <w:t>after they have gone through the identify verification using Login.gov.</w:t>
      </w:r>
      <w:bookmarkStart w:id="8" w:name="_Hlk195878667"/>
      <w:bookmarkEnd w:id="7"/>
      <w:r w:rsidRPr="00702B0F" w:rsidR="001805E7">
        <w:rPr>
          <w:rFonts w:cs="Times New Roman"/>
        </w:rPr>
        <w:t xml:space="preserve"> </w:t>
      </w:r>
      <w:r w:rsidRPr="00702B0F">
        <w:t xml:space="preserve">To initiate a change to mailing address, an annuitant, beneficiary, or claimant must establish an account on Login.gov to authenticate the user.  Once the Login.gov account has been established, the user can access all RRB Internet-based services through the rrb.gov/myRRB web portal. </w:t>
      </w:r>
    </w:p>
    <w:p w:rsidR="009E24DD" w:rsidRPr="00702B0F" w:rsidP="004F0353" w14:paraId="43BDEB39" w14:textId="77777777">
      <w:pPr>
        <w:spacing w:line="259" w:lineRule="auto"/>
        <w:ind w:left="360"/>
        <w:jc w:val="both"/>
      </w:pPr>
    </w:p>
    <w:p w:rsidR="00257547" w:rsidRPr="00702B0F" w:rsidP="008F38C9" w14:paraId="343F79DF" w14:textId="21F5437E">
      <w:pPr>
        <w:ind w:left="360"/>
        <w:jc w:val="both"/>
      </w:pPr>
      <w:r w:rsidRPr="00702B0F">
        <w:t xml:space="preserve">When </w:t>
      </w:r>
      <w:r w:rsidRPr="00702B0F" w:rsidR="00A477F5">
        <w:t>an RRB</w:t>
      </w:r>
      <w:r w:rsidRPr="00702B0F" w:rsidR="66242EBC">
        <w:t xml:space="preserve"> user</w:t>
      </w:r>
      <w:r w:rsidRPr="00702B0F">
        <w:t xml:space="preserve"> enters a change of address</w:t>
      </w:r>
      <w:r w:rsidRPr="00702B0F" w:rsidR="009E24DD">
        <w:t xml:space="preserve"> on the rrb.gov/myRRB web portal</w:t>
      </w:r>
      <w:r w:rsidRPr="00702B0F">
        <w:t xml:space="preserve">, </w:t>
      </w:r>
      <w:r w:rsidRPr="00702B0F" w:rsidR="5FA6C6AC">
        <w:t xml:space="preserve">the </w:t>
      </w:r>
      <w:r w:rsidR="00A477F5">
        <w:t xml:space="preserve">Form </w:t>
      </w:r>
      <w:r w:rsidRPr="00702B0F" w:rsidR="5FA6C6AC">
        <w:t>COA-1 form entr</w:t>
      </w:r>
      <w:r w:rsidRPr="00702B0F" w:rsidR="00E002FB">
        <w:t>y</w:t>
      </w:r>
      <w:r w:rsidRPr="00702B0F" w:rsidR="5FA6C6AC">
        <w:t xml:space="preserve"> will be</w:t>
      </w:r>
      <w:r w:rsidRPr="00702B0F">
        <w:t xml:space="preserve"> match</w:t>
      </w:r>
      <w:r w:rsidRPr="00702B0F" w:rsidR="5FA6C6AC">
        <w:t>ed</w:t>
      </w:r>
      <w:r w:rsidRPr="00702B0F">
        <w:t xml:space="preserve"> with </w:t>
      </w:r>
      <w:r w:rsidRPr="00702B0F" w:rsidR="2A38B049">
        <w:t xml:space="preserve">the </w:t>
      </w:r>
      <w:r w:rsidRPr="00702B0F">
        <w:t xml:space="preserve">USPS address validation to </w:t>
      </w:r>
      <w:r w:rsidRPr="00702B0F" w:rsidR="72B696DA">
        <w:t>ensure</w:t>
      </w:r>
      <w:r w:rsidRPr="00702B0F">
        <w:t xml:space="preserve"> correct</w:t>
      </w:r>
      <w:r w:rsidRPr="00702B0F" w:rsidR="001131F5">
        <w:t xml:space="preserve"> </w:t>
      </w:r>
      <w:r w:rsidRPr="00702B0F" w:rsidR="00050981">
        <w:t>address information</w:t>
      </w:r>
      <w:r w:rsidRPr="00702B0F">
        <w:t xml:space="preserve">. </w:t>
      </w:r>
      <w:r w:rsidRPr="00702B0F" w:rsidR="00F57E72">
        <w:t xml:space="preserve"> </w:t>
      </w:r>
      <w:r w:rsidRPr="00702B0F" w:rsidR="00F57E72">
        <w:rPr>
          <w:rFonts w:cs="Times New Roman"/>
        </w:rPr>
        <w:t xml:space="preserve">Railroad annuitants, beneficiaries, or claimants </w:t>
      </w:r>
      <w:r w:rsidRPr="00702B0F">
        <w:t xml:space="preserve">will be able to update their </w:t>
      </w:r>
      <w:r w:rsidRPr="00702B0F" w:rsidR="00F57E72">
        <w:t xml:space="preserve">mailing </w:t>
      </w:r>
      <w:r w:rsidRPr="00702B0F">
        <w:t xml:space="preserve">address as </w:t>
      </w:r>
      <w:r w:rsidRPr="00702B0F" w:rsidR="5622FDFA">
        <w:t>needed</w:t>
      </w:r>
      <w:r w:rsidRPr="00702B0F" w:rsidR="00F57E72">
        <w:t xml:space="preserve">, including </w:t>
      </w:r>
      <w:r w:rsidRPr="00702B0F" w:rsidR="16B7AA8F">
        <w:t xml:space="preserve">retirees who have multiple residences and live temporarily </w:t>
      </w:r>
      <w:r w:rsidRPr="00702B0F" w:rsidR="333F345D">
        <w:t xml:space="preserve">at </w:t>
      </w:r>
      <w:r w:rsidRPr="00702B0F" w:rsidR="16B7AA8F">
        <w:t xml:space="preserve">each residence </w:t>
      </w:r>
      <w:r w:rsidRPr="00702B0F" w:rsidR="00244528">
        <w:t xml:space="preserve">for </w:t>
      </w:r>
      <w:r w:rsidRPr="00702B0F" w:rsidR="16B7AA8F">
        <w:t xml:space="preserve">part of </w:t>
      </w:r>
      <w:r w:rsidRPr="00702B0F" w:rsidR="333F345D">
        <w:t xml:space="preserve">the </w:t>
      </w:r>
      <w:r w:rsidRPr="00702B0F" w:rsidR="16B7AA8F">
        <w:t>year</w:t>
      </w:r>
      <w:r w:rsidRPr="00702B0F" w:rsidR="00F57E72">
        <w:t xml:space="preserve"> and </w:t>
      </w:r>
      <w:r w:rsidRPr="00702B0F" w:rsidR="16B7AA8F">
        <w:t xml:space="preserve">request two or more address changes </w:t>
      </w:r>
      <w:r w:rsidRPr="00702B0F" w:rsidR="00244528">
        <w:t>annually</w:t>
      </w:r>
      <w:r w:rsidRPr="00702B0F" w:rsidR="16B7AA8F">
        <w:t>.</w:t>
      </w:r>
      <w:r w:rsidRPr="00702B0F">
        <w:t xml:space="preserve"> </w:t>
      </w:r>
      <w:r w:rsidRPr="00702B0F" w:rsidR="76F93AB8">
        <w:t>T</w:t>
      </w:r>
      <w:r w:rsidRPr="00702B0F" w:rsidR="16B7AA8F">
        <w:t xml:space="preserve">he RRB </w:t>
      </w:r>
      <w:r w:rsidRPr="00702B0F" w:rsidR="2D688A1A">
        <w:t>will also save</w:t>
      </w:r>
      <w:r w:rsidRPr="00702B0F" w:rsidR="4EB7DBFE">
        <w:t xml:space="preserve"> </w:t>
      </w:r>
      <w:r w:rsidRPr="00702B0F" w:rsidR="16B7AA8F">
        <w:t xml:space="preserve">resources normally committed to manual processing. </w:t>
      </w:r>
      <w:bookmarkEnd w:id="6"/>
    </w:p>
    <w:bookmarkEnd w:id="8"/>
    <w:p w:rsidR="00257547" w:rsidRPr="00702B0F" w:rsidP="004F0353" w14:paraId="023324E0" w14:textId="77777777">
      <w:pPr>
        <w:ind w:left="360" w:hanging="540"/>
        <w:jc w:val="both"/>
      </w:pPr>
    </w:p>
    <w:p w:rsidR="00257547" w:rsidRPr="00702B0F" w:rsidP="00167C3B" w14:paraId="7F1A5613" w14:textId="45F4DE6D">
      <w:pPr>
        <w:ind w:left="360"/>
        <w:jc w:val="both"/>
        <w:rPr>
          <w:b/>
          <w:bCs/>
        </w:rPr>
      </w:pPr>
      <w:r w:rsidRPr="00702B0F">
        <w:rPr>
          <w:b/>
          <w:bCs/>
        </w:rPr>
        <w:t>The R</w:t>
      </w:r>
      <w:r w:rsidRPr="00702B0F" w:rsidR="62B35BD0">
        <w:rPr>
          <w:b/>
          <w:bCs/>
        </w:rPr>
        <w:t>R</w:t>
      </w:r>
      <w:r w:rsidRPr="00702B0F">
        <w:rPr>
          <w:b/>
          <w:bCs/>
        </w:rPr>
        <w:t xml:space="preserve">B proposes </w:t>
      </w:r>
      <w:r w:rsidRPr="00702B0F" w:rsidR="00A477F5">
        <w:rPr>
          <w:b/>
          <w:bCs/>
        </w:rPr>
        <w:t>a new</w:t>
      </w:r>
      <w:r w:rsidRPr="00702B0F" w:rsidR="00F57E72">
        <w:rPr>
          <w:b/>
          <w:bCs/>
        </w:rPr>
        <w:t xml:space="preserve"> </w:t>
      </w:r>
      <w:r w:rsidRPr="00702B0F" w:rsidR="6051C779">
        <w:rPr>
          <w:b/>
          <w:bCs/>
        </w:rPr>
        <w:t>Form COA-1</w:t>
      </w:r>
      <w:r w:rsidRPr="00702B0F" w:rsidR="3B365887">
        <w:rPr>
          <w:b/>
          <w:bCs/>
        </w:rPr>
        <w:t>.</w:t>
      </w:r>
      <w:r w:rsidRPr="00702B0F" w:rsidR="7881FA6E">
        <w:rPr>
          <w:b/>
          <w:bCs/>
        </w:rPr>
        <w:t xml:space="preserve"> </w:t>
      </w:r>
    </w:p>
    <w:p w:rsidR="00BF5D44" w:rsidRPr="00702B0F" w:rsidP="00167C3B" w14:paraId="164889C2" w14:textId="77777777">
      <w:pPr>
        <w:ind w:left="360"/>
        <w:jc w:val="both"/>
        <w:rPr>
          <w:b/>
          <w:bCs/>
        </w:rPr>
      </w:pPr>
    </w:p>
    <w:p w:rsidR="00BF5D44" w:rsidRPr="00702B0F" w:rsidP="00BF5D44" w14:paraId="5F26FE96" w14:textId="55320B50">
      <w:pPr>
        <w:autoSpaceDE w:val="0"/>
        <w:autoSpaceDN w:val="0"/>
        <w:adjustRightInd w:val="0"/>
        <w:ind w:left="360"/>
        <w:jc w:val="both"/>
        <w:rPr>
          <w:rFonts w:cs="Times New Roman"/>
        </w:rPr>
      </w:pPr>
      <w:r w:rsidRPr="00702B0F">
        <w:rPr>
          <w:b/>
          <w:bCs/>
        </w:rPr>
        <w:t>Form</w:t>
      </w:r>
      <w:r w:rsidRPr="00702B0F">
        <w:rPr>
          <w:b/>
          <w:bCs/>
        </w:rPr>
        <w:t xml:space="preserve"> DDC-1, D</w:t>
      </w:r>
      <w:r w:rsidRPr="00702B0F">
        <w:rPr>
          <w:rFonts w:cs="Times New Roman"/>
          <w:b/>
          <w:bCs/>
        </w:rPr>
        <w:t>irect Deposit Change (Internet)</w:t>
      </w:r>
      <w:r w:rsidRPr="00702B0F">
        <w:rPr>
          <w:rFonts w:cs="Times New Roman"/>
        </w:rPr>
        <w:t xml:space="preserve">, is completed on </w:t>
      </w:r>
      <w:r w:rsidRPr="00702B0F" w:rsidR="009B055A">
        <w:rPr>
          <w:rFonts w:cs="Times New Roman"/>
        </w:rPr>
        <w:t>m</w:t>
      </w:r>
      <w:r w:rsidRPr="00702B0F">
        <w:rPr>
          <w:rFonts w:cs="Times New Roman"/>
        </w:rPr>
        <w:t xml:space="preserve">yRRB (RRB.gov) by a railroad annuitant, beneficiary, or claimant when they need to change their </w:t>
      </w:r>
      <w:r w:rsidRPr="00702B0F">
        <w:t xml:space="preserve">Electronic Funds Transfer (EFT) bank account they have on file at the RRB </w:t>
      </w:r>
      <w:r w:rsidRPr="00702B0F">
        <w:rPr>
          <w:rFonts w:cs="Times New Roman"/>
        </w:rPr>
        <w:t>after they have gone through the identify verification using Login.gov.</w:t>
      </w:r>
    </w:p>
    <w:p w:rsidR="00BF5D44" w:rsidRPr="00702B0F" w:rsidP="00BF5D44" w14:paraId="7601A0B2" w14:textId="77777777">
      <w:pPr>
        <w:jc w:val="both"/>
      </w:pPr>
    </w:p>
    <w:p w:rsidR="00BF5D44" w:rsidRPr="00702B0F" w:rsidP="00BF5D44" w14:paraId="377ED58F" w14:textId="77777777">
      <w:pPr>
        <w:ind w:left="360"/>
        <w:jc w:val="both"/>
      </w:pPr>
      <w:r w:rsidRPr="00702B0F">
        <w:t xml:space="preserve">To initiate </w:t>
      </w:r>
      <w:bookmarkStart w:id="9" w:name="_Hlk195878391"/>
      <w:r w:rsidRPr="00702B0F">
        <w:t>a direct deposit</w:t>
      </w:r>
      <w:bookmarkEnd w:id="9"/>
      <w:r w:rsidRPr="00702B0F">
        <w:t xml:space="preserve"> change, an annuitant, beneficiary, or claimant must establish an account on Login.gov to authenticate the user.  Once the Login.gov account has been established, the user can access all RRB Internet-based services through the rrb.gov/myRRB web portal. </w:t>
      </w:r>
    </w:p>
    <w:p w:rsidR="00BF5D44" w:rsidRPr="00702B0F" w:rsidP="00BF5D44" w14:paraId="17D3A365" w14:textId="77777777">
      <w:pPr>
        <w:ind w:left="360" w:hanging="540"/>
        <w:jc w:val="both"/>
      </w:pPr>
    </w:p>
    <w:p w:rsidR="00BF5D44" w:rsidRPr="00702B0F" w:rsidP="00BF5D44" w14:paraId="2D30285E" w14:textId="01325DBE">
      <w:pPr>
        <w:spacing w:line="259" w:lineRule="auto"/>
        <w:ind w:left="360"/>
        <w:jc w:val="both"/>
      </w:pPr>
      <w:r w:rsidRPr="00702B0F">
        <w:t xml:space="preserve">The information collected on the </w:t>
      </w:r>
      <w:r w:rsidR="00A477F5">
        <w:t xml:space="preserve">Form DDC-1 </w:t>
      </w:r>
      <w:r w:rsidRPr="00702B0F">
        <w:t xml:space="preserve">direct deposit screen reflects the direct deposit information collected from the manual versions of the RRA and RUIA application forms and Standard Form 1199A, Direct Deposit Sign-up Form. Collecting direct deposit information allows the payment of benefits to be deposited into the myRRB users’ financial institution account. The key information needed to route benefit payments to the users account at the financial institution are the users account number and the financial institution's routing transit number. This information is used by Treasury, the Federal Reserve System, and the financial institution to route payments to the correct payee's account. The direct deposit screen will provide the RRB user with immediate notification of errors with the entry, alerting the user of incorrect information, and </w:t>
      </w:r>
      <w:r w:rsidRPr="00702B0F" w:rsidR="00A477F5">
        <w:t>help</w:t>
      </w:r>
      <w:r w:rsidRPr="00702B0F">
        <w:t xml:space="preserve"> eliminate errors in payments.</w:t>
      </w:r>
    </w:p>
    <w:p w:rsidR="00BF5D44" w:rsidRPr="00702B0F" w:rsidP="00BF5D44" w14:paraId="2B896D59" w14:textId="77777777">
      <w:pPr>
        <w:spacing w:line="259" w:lineRule="auto"/>
        <w:ind w:left="360"/>
        <w:jc w:val="both"/>
      </w:pPr>
    </w:p>
    <w:p w:rsidR="00BF5D44" w:rsidRPr="00702B0F" w:rsidP="00BF5D44" w14:paraId="5234C8F2" w14:textId="6905FF15">
      <w:pPr>
        <w:ind w:left="360"/>
        <w:jc w:val="both"/>
        <w:rPr>
          <w:b/>
          <w:bCs/>
        </w:rPr>
      </w:pPr>
      <w:r w:rsidRPr="00702B0F">
        <w:rPr>
          <w:b/>
          <w:bCs/>
        </w:rPr>
        <w:t xml:space="preserve">The RRB proposes </w:t>
      </w:r>
      <w:r w:rsidR="00A477F5">
        <w:rPr>
          <w:b/>
          <w:bCs/>
        </w:rPr>
        <w:t xml:space="preserve">a </w:t>
      </w:r>
      <w:r w:rsidRPr="00702B0F">
        <w:rPr>
          <w:b/>
          <w:bCs/>
        </w:rPr>
        <w:t>new Form DDC-1</w:t>
      </w:r>
    </w:p>
    <w:p w:rsidR="00BF5D44" w:rsidRPr="00702B0F" w:rsidP="00167C3B" w14:paraId="1D65A2E5" w14:textId="77777777">
      <w:pPr>
        <w:ind w:left="360"/>
        <w:jc w:val="both"/>
        <w:rPr>
          <w:b/>
          <w:bCs/>
        </w:rPr>
      </w:pPr>
    </w:p>
    <w:p w:rsidR="00505D98" w:rsidRPr="00505D98" w:rsidP="00640061" w14:paraId="177DE6FF" w14:textId="4E3FA06D">
      <w:pPr>
        <w:numPr>
          <w:ilvl w:val="0"/>
          <w:numId w:val="2"/>
        </w:numPr>
        <w:ind w:hanging="540"/>
      </w:pPr>
      <w:r w:rsidRPr="00702B0F">
        <w:rPr>
          <w:rFonts w:cs="Times New Roman"/>
          <w:szCs w:val="22"/>
          <w:u w:val="single"/>
        </w:rPr>
        <w:t>Planned use of technology or technical/legal impediments to further burden reduction</w:t>
      </w:r>
      <w:r w:rsidRPr="00702B0F" w:rsidR="4B9B3089">
        <w:rPr>
          <w:rFonts w:cs="Times New Roman"/>
          <w:szCs w:val="22"/>
        </w:rPr>
        <w:t xml:space="preserve"> </w:t>
      </w:r>
      <w:r w:rsidRPr="00702B0F" w:rsidR="00094F89">
        <w:rPr>
          <w:rFonts w:cs="Times New Roman"/>
          <w:szCs w:val="22"/>
        </w:rPr>
        <w:t>–</w:t>
      </w:r>
      <w:r w:rsidRPr="00702B0F" w:rsidR="4B9B3089">
        <w:rPr>
          <w:rFonts w:cs="Times New Roman"/>
          <w:szCs w:val="22"/>
        </w:rPr>
        <w:t xml:space="preserve"> </w:t>
      </w:r>
      <w:bookmarkStart w:id="10" w:name="_Hlk195878712"/>
      <w:r w:rsidRPr="00702B0F" w:rsidR="0039179B">
        <w:rPr>
          <w:rFonts w:cs="Times New Roman"/>
          <w:szCs w:val="22"/>
        </w:rPr>
        <w:t xml:space="preserve">None.  </w:t>
      </w:r>
      <w:bookmarkStart w:id="11" w:name="_Hlk199333060"/>
      <w:bookmarkStart w:id="12" w:name="_Hlk199332981"/>
      <w:bookmarkEnd w:id="10"/>
      <w:r w:rsidRPr="00702B0F" w:rsidR="00AC13E0">
        <w:rPr>
          <w:rFonts w:cs="Times New Roman"/>
          <w:szCs w:val="22"/>
        </w:rPr>
        <w:t xml:space="preserve">As required by the </w:t>
      </w:r>
      <w:bookmarkStart w:id="13" w:name="_Hlk196988016"/>
      <w:r w:rsidRPr="00702B0F" w:rsidR="00AC13E0">
        <w:rPr>
          <w:rFonts w:eastAsia="Aptos"/>
          <w:szCs w:val="22"/>
        </w:rPr>
        <w:t>Government Paperwork Elimination Act (GPEA)</w:t>
      </w:r>
      <w:bookmarkEnd w:id="13"/>
      <w:r w:rsidRPr="00702B0F" w:rsidR="00AC13E0">
        <w:rPr>
          <w:rFonts w:eastAsia="Aptos"/>
          <w:szCs w:val="22"/>
        </w:rPr>
        <w:t xml:space="preserve">, federal agencies must provide the </w:t>
      </w:r>
      <w:r w:rsidRPr="00702B0F">
        <w:rPr>
          <w:rFonts w:eastAsia="Aptos"/>
          <w:szCs w:val="22"/>
        </w:rPr>
        <w:t>public with</w:t>
      </w:r>
      <w:r w:rsidRPr="00702B0F" w:rsidR="00AC13E0">
        <w:rPr>
          <w:rFonts w:eastAsia="Aptos"/>
          <w:szCs w:val="22"/>
        </w:rPr>
        <w:t xml:space="preserve"> the option to submit, maintain and transact business electronically.  </w:t>
      </w:r>
    </w:p>
    <w:p w:rsidR="00505D98" w:rsidP="00505D98" w14:paraId="0BC84D21" w14:textId="77777777">
      <w:pPr>
        <w:ind w:left="360"/>
        <w:rPr>
          <w:rFonts w:cs="Times New Roman"/>
          <w:szCs w:val="22"/>
          <w:u w:val="single"/>
        </w:rPr>
      </w:pPr>
    </w:p>
    <w:p w:rsidR="00505D98" w:rsidRPr="00702B0F" w:rsidP="00505D98" w14:paraId="16CCBB1D" w14:textId="23B75CE4">
      <w:pPr>
        <w:ind w:left="360"/>
        <w:rPr>
          <w:rFonts w:eastAsia="Aptos"/>
          <w:szCs w:val="22"/>
        </w:rPr>
      </w:pPr>
      <w:r w:rsidRPr="00702B0F">
        <w:rPr>
          <w:rFonts w:cs="Times New Roman"/>
          <w:szCs w:val="22"/>
        </w:rPr>
        <w:t>Consistent with the goals of</w:t>
      </w:r>
      <w:r>
        <w:rPr>
          <w:rFonts w:cs="Times New Roman"/>
          <w:szCs w:val="22"/>
        </w:rPr>
        <w:t xml:space="preserve"> the </w:t>
      </w:r>
      <w:r w:rsidRPr="00702B0F">
        <w:rPr>
          <w:rFonts w:eastAsia="Aptos"/>
          <w:szCs w:val="22"/>
        </w:rPr>
        <w:t xml:space="preserve">GPEA, the RRB </w:t>
      </w:r>
      <w:r>
        <w:rPr>
          <w:rFonts w:eastAsia="Aptos"/>
          <w:szCs w:val="22"/>
        </w:rPr>
        <w:t xml:space="preserve">propose to offer internet versions of </w:t>
      </w:r>
      <w:r w:rsidRPr="00702B0F">
        <w:rPr>
          <w:rFonts w:eastAsia="Aptos"/>
          <w:szCs w:val="22"/>
        </w:rPr>
        <w:t>Forms COA-1 and DDC-1 so the public can request a change of address and direct deposit authorization</w:t>
      </w:r>
      <w:r>
        <w:rPr>
          <w:rFonts w:eastAsia="Aptos"/>
          <w:szCs w:val="22"/>
        </w:rPr>
        <w:t xml:space="preserve"> </w:t>
      </w:r>
      <w:r w:rsidRPr="00702B0F">
        <w:rPr>
          <w:rFonts w:eastAsia="Aptos"/>
          <w:szCs w:val="22"/>
        </w:rPr>
        <w:t xml:space="preserve">via </w:t>
      </w:r>
      <w:r w:rsidRPr="00702B0F">
        <w:rPr>
          <w:rFonts w:cs="Times New Roman"/>
        </w:rPr>
        <w:t xml:space="preserve">CCOSS on </w:t>
      </w:r>
      <w:r w:rsidRPr="00702B0F">
        <w:t>rrb.gov/myRRB</w:t>
      </w:r>
      <w:r>
        <w:t xml:space="preserve">.  </w:t>
      </w:r>
    </w:p>
    <w:bookmarkEnd w:id="11"/>
    <w:bookmarkEnd w:id="12"/>
    <w:p w:rsidR="00460378" w:rsidRPr="00702B0F" w:rsidP="0030182A" w14:paraId="508C5EB1" w14:textId="45D04617">
      <w:pPr>
        <w:ind w:left="360"/>
        <w:jc w:val="both"/>
        <w:rPr>
          <w:szCs w:val="22"/>
        </w:rPr>
      </w:pPr>
    </w:p>
    <w:p w:rsidR="00F85F78" w:rsidRPr="00702B0F" w:rsidP="004F0353" w14:paraId="231A1CD3" w14:textId="57322780">
      <w:pPr>
        <w:numPr>
          <w:ilvl w:val="0"/>
          <w:numId w:val="2"/>
        </w:numPr>
        <w:tabs>
          <w:tab w:val="clear" w:pos="360"/>
        </w:tabs>
        <w:ind w:hanging="540"/>
        <w:jc w:val="both"/>
        <w:rPr>
          <w:rFonts w:eastAsia="Aptos"/>
          <w:sz w:val="24"/>
          <w:szCs w:val="24"/>
        </w:rPr>
      </w:pPr>
      <w:r w:rsidRPr="00702B0F">
        <w:rPr>
          <w:szCs w:val="22"/>
          <w:u w:val="single"/>
        </w:rPr>
        <w:t>Efforts to identify duplication</w:t>
      </w:r>
      <w:r w:rsidRPr="00702B0F" w:rsidR="0D391C33">
        <w:rPr>
          <w:szCs w:val="22"/>
        </w:rPr>
        <w:t xml:space="preserve"> </w:t>
      </w:r>
      <w:r w:rsidRPr="00702B0F" w:rsidR="0FA95D53">
        <w:rPr>
          <w:szCs w:val="22"/>
        </w:rPr>
        <w:t>–</w:t>
      </w:r>
      <w:r w:rsidRPr="00702B0F">
        <w:rPr>
          <w:szCs w:val="22"/>
        </w:rPr>
        <w:t xml:space="preserve"> </w:t>
      </w:r>
      <w:r w:rsidRPr="00702B0F" w:rsidR="6A760528">
        <w:rPr>
          <w:rFonts w:eastAsia="Aptos"/>
          <w:szCs w:val="22"/>
        </w:rPr>
        <w:t xml:space="preserve">To our knowledge, </w:t>
      </w:r>
      <w:r w:rsidR="009F4477">
        <w:rPr>
          <w:rFonts w:eastAsia="Aptos"/>
          <w:szCs w:val="22"/>
        </w:rPr>
        <w:t xml:space="preserve">the Department of Treasury use </w:t>
      </w:r>
      <w:r w:rsidRPr="00702B0F" w:rsidR="009F4477">
        <w:t xml:space="preserve">Standard Form 1199A, Direct Deposit Sign-up Form (OMB No. </w:t>
      </w:r>
      <w:r w:rsidRPr="009F4477" w:rsidR="009F4477">
        <w:t>1530-0006</w:t>
      </w:r>
      <w:r w:rsidRPr="00702B0F" w:rsidR="009F4477">
        <w:t>)</w:t>
      </w:r>
      <w:r w:rsidR="009F4477">
        <w:t xml:space="preserve"> to collect direct deposit information and </w:t>
      </w:r>
      <w:r w:rsidRPr="00702B0F" w:rsidR="0039179B">
        <w:rPr>
          <w:rFonts w:eastAsia="Aptos"/>
          <w:szCs w:val="22"/>
        </w:rPr>
        <w:t xml:space="preserve">other federal agencies use electronic direct deposit and change of mailing address forms </w:t>
      </w:r>
      <w:r w:rsidRPr="00702B0F" w:rsidR="6A760528">
        <w:rPr>
          <w:rFonts w:eastAsia="Aptos"/>
          <w:szCs w:val="22"/>
        </w:rPr>
        <w:t>similar to</w:t>
      </w:r>
      <w:r w:rsidRPr="00702B0F" w:rsidR="6A760528">
        <w:rPr>
          <w:rFonts w:eastAsia="Aptos"/>
          <w:szCs w:val="22"/>
        </w:rPr>
        <w:t xml:space="preserve"> proposed </w:t>
      </w:r>
      <w:r w:rsidRPr="00702B0F" w:rsidR="0039179B">
        <w:rPr>
          <w:rFonts w:eastAsia="Aptos"/>
          <w:szCs w:val="22"/>
        </w:rPr>
        <w:t xml:space="preserve">Forms DDC-1 and COA-1 </w:t>
      </w:r>
      <w:r w:rsidRPr="00702B0F" w:rsidR="6A760528">
        <w:rPr>
          <w:rFonts w:eastAsia="Aptos"/>
          <w:szCs w:val="22"/>
        </w:rPr>
        <w:t>and this information collection does not duplicate any other RRB information collection</w:t>
      </w:r>
      <w:r w:rsidRPr="00702B0F" w:rsidR="60796FB2">
        <w:rPr>
          <w:rFonts w:eastAsia="Aptos"/>
          <w:szCs w:val="22"/>
        </w:rPr>
        <w:t>.</w:t>
      </w:r>
      <w:r w:rsidRPr="00702B0F" w:rsidR="006C5D18">
        <w:rPr>
          <w:szCs w:val="22"/>
        </w:rPr>
        <w:t xml:space="preserve"> </w:t>
      </w:r>
    </w:p>
    <w:p w:rsidR="006C5D18" w:rsidRPr="00702B0F" w:rsidP="004F0353" w14:paraId="6C157128" w14:textId="77777777">
      <w:pPr>
        <w:ind w:left="360"/>
        <w:jc w:val="both"/>
      </w:pPr>
    </w:p>
    <w:p w:rsidR="003434D4" w:rsidRPr="00702B0F" w:rsidP="004F0353" w14:paraId="0993F567" w14:textId="3FE15F16">
      <w:pPr>
        <w:numPr>
          <w:ilvl w:val="0"/>
          <w:numId w:val="2"/>
        </w:numPr>
        <w:tabs>
          <w:tab w:val="clear" w:pos="360"/>
          <w:tab w:val="left" w:pos="540"/>
        </w:tabs>
        <w:ind w:hanging="540"/>
        <w:jc w:val="both"/>
        <w:rPr>
          <w:rFonts w:cs="Times New Roman"/>
        </w:rPr>
      </w:pPr>
      <w:r w:rsidRPr="00702B0F">
        <w:rPr>
          <w:rFonts w:cs="Times New Roman"/>
          <w:u w:val="single"/>
        </w:rPr>
        <w:t>Small business respondents</w:t>
      </w:r>
      <w:r w:rsidRPr="00702B0F" w:rsidR="0D391C33">
        <w:rPr>
          <w:rFonts w:cs="Times New Roman"/>
        </w:rPr>
        <w:t xml:space="preserve"> </w:t>
      </w:r>
      <w:r w:rsidRPr="00702B0F" w:rsidR="63781A34">
        <w:rPr>
          <w:rFonts w:cs="Times New Roman"/>
        </w:rPr>
        <w:t>–</w:t>
      </w:r>
      <w:r w:rsidRPr="00702B0F">
        <w:rPr>
          <w:rFonts w:cs="Times New Roman"/>
        </w:rPr>
        <w:t xml:space="preserve"> N</w:t>
      </w:r>
      <w:r w:rsidRPr="00702B0F" w:rsidR="736BA8BE">
        <w:rPr>
          <w:rFonts w:cs="Times New Roman"/>
        </w:rPr>
        <w:t>/</w:t>
      </w:r>
      <w:r w:rsidRPr="00702B0F">
        <w:rPr>
          <w:rFonts w:cs="Times New Roman"/>
        </w:rPr>
        <w:t>A</w:t>
      </w:r>
      <w:r w:rsidRPr="00702B0F" w:rsidR="4BD20C08">
        <w:rPr>
          <w:rFonts w:cs="Times New Roman"/>
        </w:rPr>
        <w:t>.</w:t>
      </w:r>
    </w:p>
    <w:p w:rsidR="003434D4" w:rsidRPr="00702B0F" w:rsidP="004F0353" w14:paraId="0C3A3176" w14:textId="77777777">
      <w:pPr>
        <w:tabs>
          <w:tab w:val="left" w:pos="540"/>
        </w:tabs>
        <w:ind w:left="360" w:hanging="540"/>
        <w:jc w:val="both"/>
        <w:rPr>
          <w:rFonts w:cs="Times New Roman"/>
          <w:szCs w:val="28"/>
        </w:rPr>
      </w:pPr>
    </w:p>
    <w:p w:rsidR="003434D4" w:rsidRPr="00702B0F" w:rsidP="004F0353" w14:paraId="2F882275" w14:textId="59D2EFC2">
      <w:pPr>
        <w:numPr>
          <w:ilvl w:val="0"/>
          <w:numId w:val="2"/>
        </w:numPr>
        <w:tabs>
          <w:tab w:val="clear" w:pos="360"/>
          <w:tab w:val="left" w:pos="540"/>
        </w:tabs>
        <w:ind w:hanging="540"/>
        <w:jc w:val="both"/>
        <w:rPr>
          <w:rFonts w:cs="Times New Roman"/>
        </w:rPr>
      </w:pPr>
      <w:r w:rsidRPr="00702B0F">
        <w:rPr>
          <w:rFonts w:cs="Times New Roman"/>
          <w:u w:val="single"/>
        </w:rPr>
        <w:t>Consequences of less frequent collections</w:t>
      </w:r>
      <w:r w:rsidRPr="00702B0F" w:rsidR="0D391C33">
        <w:rPr>
          <w:rFonts w:cs="Times New Roman"/>
        </w:rPr>
        <w:t xml:space="preserve"> </w:t>
      </w:r>
      <w:r w:rsidRPr="00702B0F" w:rsidR="253F4EA9">
        <w:rPr>
          <w:rFonts w:cs="Times New Roman"/>
        </w:rPr>
        <w:t>–</w:t>
      </w:r>
      <w:r w:rsidRPr="00702B0F">
        <w:rPr>
          <w:rFonts w:cs="Times New Roman"/>
        </w:rPr>
        <w:t xml:space="preserve"> None. </w:t>
      </w:r>
    </w:p>
    <w:p w:rsidR="00EB4183" w:rsidRPr="00702B0F" w:rsidP="004F0353" w14:paraId="149EAAE3" w14:textId="77777777">
      <w:pPr>
        <w:tabs>
          <w:tab w:val="left" w:pos="540"/>
        </w:tabs>
        <w:ind w:left="360" w:hanging="540"/>
        <w:jc w:val="both"/>
        <w:rPr>
          <w:rFonts w:cs="Times New Roman"/>
          <w:szCs w:val="28"/>
        </w:rPr>
      </w:pPr>
    </w:p>
    <w:p w:rsidR="003434D4" w:rsidRPr="00702B0F" w:rsidP="004F0353" w14:paraId="260E8BC7" w14:textId="2FC5BE50">
      <w:pPr>
        <w:numPr>
          <w:ilvl w:val="0"/>
          <w:numId w:val="2"/>
        </w:numPr>
        <w:tabs>
          <w:tab w:val="clear" w:pos="360"/>
          <w:tab w:val="left" w:pos="540"/>
        </w:tabs>
        <w:spacing w:line="233" w:lineRule="auto"/>
        <w:ind w:hanging="540"/>
        <w:jc w:val="both"/>
        <w:rPr>
          <w:rFonts w:cs="Times New Roman"/>
        </w:rPr>
      </w:pPr>
      <w:r w:rsidRPr="00702B0F">
        <w:rPr>
          <w:rFonts w:cs="Times New Roman"/>
          <w:u w:val="single"/>
        </w:rPr>
        <w:t>Special circumstances</w:t>
      </w:r>
      <w:r w:rsidRPr="00702B0F" w:rsidR="594ADFD7">
        <w:rPr>
          <w:rFonts w:cs="Times New Roman"/>
        </w:rPr>
        <w:t xml:space="preserve"> – </w:t>
      </w:r>
      <w:r w:rsidRPr="00702B0F" w:rsidR="00FF1A4E">
        <w:rPr>
          <w:rFonts w:cs="Times New Roman"/>
        </w:rPr>
        <w:t>N/A</w:t>
      </w:r>
    </w:p>
    <w:p w:rsidR="0004222D" w:rsidRPr="00702B0F" w:rsidP="004F0353" w14:paraId="17150572" w14:textId="77777777">
      <w:pPr>
        <w:tabs>
          <w:tab w:val="left" w:pos="-1440"/>
          <w:tab w:val="left" w:pos="360"/>
        </w:tabs>
        <w:spacing w:line="233" w:lineRule="auto"/>
        <w:ind w:left="360" w:hanging="540"/>
        <w:jc w:val="both"/>
        <w:rPr>
          <w:rFonts w:cs="Times New Roman"/>
          <w:szCs w:val="28"/>
        </w:rPr>
      </w:pPr>
    </w:p>
    <w:p w:rsidR="003434D4" w:rsidRPr="00702B0F" w:rsidP="004F0353" w14:paraId="1C7EAA14" w14:textId="5B9F78DC">
      <w:pPr>
        <w:numPr>
          <w:ilvl w:val="0"/>
          <w:numId w:val="2"/>
        </w:numPr>
        <w:tabs>
          <w:tab w:val="clear" w:pos="360"/>
        </w:tabs>
        <w:spacing w:line="233" w:lineRule="auto"/>
        <w:ind w:hanging="540"/>
        <w:jc w:val="both"/>
        <w:rPr>
          <w:rFonts w:cs="Times New Roman"/>
        </w:rPr>
      </w:pPr>
      <w:r w:rsidRPr="00702B0F">
        <w:rPr>
          <w:rFonts w:cs="Times New Roman"/>
          <w:u w:val="single"/>
        </w:rPr>
        <w:t>Public comments/consultations outside the</w:t>
      </w:r>
      <w:r w:rsidRPr="00702B0F" w:rsidR="217B6200">
        <w:rPr>
          <w:rFonts w:cs="Times New Roman"/>
          <w:u w:val="single"/>
        </w:rPr>
        <w:t xml:space="preserve"> agency</w:t>
      </w:r>
      <w:r w:rsidRPr="00702B0F" w:rsidR="0D391C33">
        <w:rPr>
          <w:rFonts w:cs="Times New Roman"/>
        </w:rPr>
        <w:t xml:space="preserve"> </w:t>
      </w:r>
      <w:r w:rsidRPr="00702B0F" w:rsidR="61761500">
        <w:rPr>
          <w:rFonts w:cs="Times New Roman"/>
        </w:rPr>
        <w:t>–</w:t>
      </w:r>
      <w:r w:rsidRPr="00702B0F">
        <w:rPr>
          <w:rFonts w:cs="Times New Roman"/>
        </w:rPr>
        <w:t xml:space="preserve"> In accordance with 5 CFR 1320.8(d),</w:t>
      </w:r>
      <w:r w:rsidRPr="00702B0F" w:rsidR="00FF1A4E">
        <w:rPr>
          <w:rFonts w:cs="Times New Roman"/>
        </w:rPr>
        <w:t xml:space="preserve"> </w:t>
      </w:r>
      <w:r w:rsidRPr="00702B0F">
        <w:rPr>
          <w:rFonts w:cs="Times New Roman"/>
        </w:rPr>
        <w:t>comments were invited from the public regarding the information collection.  The notice to the public was published on page</w:t>
      </w:r>
      <w:r w:rsidRPr="00702B0F" w:rsidR="6490B8EE">
        <w:rPr>
          <w:rFonts w:cs="Times New Roman"/>
        </w:rPr>
        <w:t xml:space="preserve"> </w:t>
      </w:r>
      <w:r w:rsidRPr="00702B0F" w:rsidR="00C27D23">
        <w:rPr>
          <w:rFonts w:cs="Times New Roman"/>
        </w:rPr>
        <w:t>24167</w:t>
      </w:r>
      <w:r w:rsidRPr="00702B0F" w:rsidR="405032E9">
        <w:rPr>
          <w:rFonts w:cs="Times New Roman"/>
        </w:rPr>
        <w:t xml:space="preserve"> </w:t>
      </w:r>
      <w:r w:rsidRPr="00702B0F">
        <w:rPr>
          <w:rFonts w:cs="Times New Roman"/>
        </w:rPr>
        <w:t xml:space="preserve">of </w:t>
      </w:r>
      <w:r w:rsidRPr="00702B0F" w:rsidR="001805E7">
        <w:rPr>
          <w:rFonts w:cs="Times New Roman"/>
        </w:rPr>
        <w:t>the June</w:t>
      </w:r>
      <w:r w:rsidRPr="00702B0F" w:rsidR="00C27D23">
        <w:rPr>
          <w:rFonts w:cs="Times New Roman"/>
        </w:rPr>
        <w:t xml:space="preserve"> 6, 202</w:t>
      </w:r>
      <w:r w:rsidRPr="00702B0F" w:rsidR="0039179B">
        <w:rPr>
          <w:rFonts w:cs="Times New Roman"/>
        </w:rPr>
        <w:t>5</w:t>
      </w:r>
      <w:r w:rsidRPr="00702B0F" w:rsidR="1AB6ECE4">
        <w:rPr>
          <w:rFonts w:cs="Times New Roman"/>
        </w:rPr>
        <w:t xml:space="preserve">, </w:t>
      </w:r>
      <w:r w:rsidRPr="00702B0F">
        <w:rPr>
          <w:rFonts w:cs="Times New Roman"/>
        </w:rPr>
        <w:t>Federal Register. No requests for further information or comments were received.</w:t>
      </w:r>
    </w:p>
    <w:p w:rsidR="003434D4" w:rsidRPr="00702B0F" w:rsidP="004F0353" w14:paraId="424F7591" w14:textId="77777777">
      <w:pPr>
        <w:tabs>
          <w:tab w:val="left" w:pos="540"/>
        </w:tabs>
        <w:spacing w:line="233" w:lineRule="auto"/>
        <w:ind w:left="360" w:hanging="540"/>
        <w:jc w:val="both"/>
        <w:rPr>
          <w:rFonts w:cs="Times New Roman"/>
          <w:szCs w:val="28"/>
        </w:rPr>
      </w:pPr>
    </w:p>
    <w:p w:rsidR="003434D4" w:rsidRPr="00702B0F" w:rsidP="004F0353" w14:paraId="7D5E0D45" w14:textId="16FA6F3A">
      <w:pPr>
        <w:numPr>
          <w:ilvl w:val="0"/>
          <w:numId w:val="2"/>
        </w:numPr>
        <w:tabs>
          <w:tab w:val="clear" w:pos="360"/>
        </w:tabs>
        <w:spacing w:line="233" w:lineRule="auto"/>
        <w:ind w:hanging="540"/>
        <w:jc w:val="both"/>
        <w:rPr>
          <w:rFonts w:cs="Times New Roman"/>
        </w:rPr>
      </w:pPr>
      <w:r w:rsidRPr="00702B0F">
        <w:rPr>
          <w:rFonts w:cs="Times New Roman"/>
          <w:u w:val="single"/>
        </w:rPr>
        <w:t>Payments or gifts to respondents</w:t>
      </w:r>
      <w:r w:rsidRPr="00702B0F" w:rsidR="75B5EB02">
        <w:rPr>
          <w:rFonts w:cs="Times New Roman"/>
        </w:rPr>
        <w:t xml:space="preserve"> – </w:t>
      </w:r>
      <w:r w:rsidRPr="00702B0F">
        <w:rPr>
          <w:rFonts w:cs="Times New Roman"/>
        </w:rPr>
        <w:t>None</w:t>
      </w:r>
      <w:r w:rsidRPr="00702B0F" w:rsidR="75B5EB02">
        <w:rPr>
          <w:rFonts w:cs="Times New Roman"/>
        </w:rPr>
        <w:t>.</w:t>
      </w:r>
    </w:p>
    <w:p w:rsidR="003434D4" w:rsidRPr="00702B0F" w:rsidP="004F0353" w14:paraId="1C3008DA" w14:textId="77777777">
      <w:pPr>
        <w:tabs>
          <w:tab w:val="left" w:pos="540"/>
        </w:tabs>
        <w:spacing w:line="233" w:lineRule="auto"/>
        <w:ind w:left="360" w:hanging="540"/>
        <w:jc w:val="both"/>
        <w:rPr>
          <w:rFonts w:cs="Times New Roman"/>
        </w:rPr>
      </w:pPr>
    </w:p>
    <w:p w:rsidR="00FE2031" w:rsidRPr="00571FFA" w:rsidP="004F0353" w14:paraId="79D0658A" w14:textId="434B58D5">
      <w:pPr>
        <w:numPr>
          <w:ilvl w:val="0"/>
          <w:numId w:val="2"/>
        </w:numPr>
        <w:tabs>
          <w:tab w:val="clear" w:pos="360"/>
        </w:tabs>
        <w:spacing w:line="233" w:lineRule="auto"/>
        <w:ind w:hanging="540"/>
        <w:jc w:val="both"/>
        <w:rPr>
          <w:rFonts w:cs="Times New Roman"/>
        </w:rPr>
      </w:pPr>
      <w:r w:rsidRPr="00702B0F">
        <w:rPr>
          <w:rFonts w:cs="Times New Roman"/>
          <w:u w:val="single"/>
        </w:rPr>
        <w:t>Confidentiality</w:t>
      </w:r>
      <w:r w:rsidRPr="00702B0F" w:rsidR="0D391C33">
        <w:rPr>
          <w:rFonts w:cs="Times New Roman"/>
        </w:rPr>
        <w:t xml:space="preserve"> </w:t>
      </w:r>
      <w:r w:rsidRPr="00702B0F" w:rsidR="3FC73408">
        <w:rPr>
          <w:rFonts w:cs="Times New Roman"/>
        </w:rPr>
        <w:t>–</w:t>
      </w:r>
      <w:r w:rsidRPr="00702B0F">
        <w:rPr>
          <w:rFonts w:cs="Times New Roman"/>
        </w:rPr>
        <w:t xml:space="preserve"> Privacy Act System of Records,</w:t>
      </w:r>
      <w:r w:rsidRPr="00702B0F" w:rsidR="0B73FE57">
        <w:t xml:space="preserve"> </w:t>
      </w:r>
      <w:r w:rsidRPr="00702B0F" w:rsidR="437B5F05">
        <w:t>RRB-21</w:t>
      </w:r>
      <w:r w:rsidRPr="00702B0F" w:rsidR="2FE77AF7">
        <w:t xml:space="preserve"> Railroad Unemployment an</w:t>
      </w:r>
      <w:r w:rsidRPr="00702B0F" w:rsidR="00644EF4">
        <w:t>d</w:t>
      </w:r>
      <w:r w:rsidRPr="00702B0F" w:rsidR="00665F60">
        <w:t xml:space="preserve"> </w:t>
      </w:r>
      <w:r w:rsidRPr="00702B0F" w:rsidR="2FE77AF7">
        <w:t>Sickness Insurance Benefit System</w:t>
      </w:r>
      <w:r w:rsidRPr="00702B0F" w:rsidR="5DCD2323">
        <w:t xml:space="preserve"> and </w:t>
      </w:r>
      <w:r w:rsidRPr="00702B0F" w:rsidR="0B73FE57">
        <w:t>RRB-22, Railroad Retirement, Survivor</w:t>
      </w:r>
      <w:r w:rsidRPr="00702B0F" w:rsidR="0E2B9491">
        <w:t>,</w:t>
      </w:r>
      <w:r w:rsidRPr="00702B0F" w:rsidR="0B73FE57">
        <w:t xml:space="preserve"> and Pensioner Benefit System</w:t>
      </w:r>
      <w:r w:rsidRPr="00702B0F">
        <w:rPr>
          <w:rFonts w:cs="Times New Roman"/>
        </w:rPr>
        <w:t>.</w:t>
      </w:r>
      <w:r w:rsidRPr="00702B0F" w:rsidR="1AB6ECE4">
        <w:rPr>
          <w:rFonts w:cs="Times New Roman"/>
        </w:rPr>
        <w:t xml:space="preserve"> </w:t>
      </w:r>
      <w:r w:rsidRPr="00702B0F" w:rsidR="1AB6ECE4">
        <w:t xml:space="preserve">In accordance with OMB Circular M-03-22, a Privacy Impact Assessment for this information collection was completed and can be found at </w:t>
      </w:r>
      <w:bookmarkStart w:id="14" w:name="_Hlk204776257"/>
      <w:hyperlink r:id="rId8" w:history="1">
        <w:r w:rsidRPr="00702B0F" w:rsidR="20B069A6">
          <w:rPr>
            <w:rStyle w:val="Hyperlink"/>
          </w:rPr>
          <w:t>https://www.rrb.gov/sites/default/files/2017-06/PIA-BPO.pdf</w:t>
        </w:r>
      </w:hyperlink>
      <w:bookmarkEnd w:id="14"/>
      <w:r w:rsidRPr="00702B0F" w:rsidR="20B069A6">
        <w:t>.</w:t>
      </w:r>
    </w:p>
    <w:p w:rsidR="00571FFA" w:rsidP="00571FFA" w14:paraId="4ED4F87E" w14:textId="77777777">
      <w:pPr>
        <w:pStyle w:val="ListParagraph"/>
        <w:rPr>
          <w:rFonts w:cs="Times New Roman"/>
        </w:rPr>
      </w:pPr>
    </w:p>
    <w:p w:rsidR="00571FFA" w:rsidRPr="00571FFA" w:rsidP="00571FFA" w14:paraId="6AD37FA6" w14:textId="48A26B2F">
      <w:pPr>
        <w:spacing w:line="233" w:lineRule="auto"/>
        <w:ind w:left="360"/>
        <w:jc w:val="both"/>
        <w:rPr>
          <w:rFonts w:cs="Times New Roman"/>
          <w:b/>
          <w:bCs/>
        </w:rPr>
      </w:pPr>
      <w:r w:rsidRPr="00571FFA">
        <w:rPr>
          <w:rFonts w:cs="Times New Roman"/>
          <w:b/>
          <w:bCs/>
        </w:rPr>
        <w:t xml:space="preserve">Note: </w:t>
      </w:r>
      <w:r>
        <w:rPr>
          <w:rFonts w:cs="Times New Roman"/>
          <w:b/>
          <w:bCs/>
        </w:rPr>
        <w:t xml:space="preserve">Created </w:t>
      </w:r>
      <w:r w:rsidRPr="00571FFA">
        <w:rPr>
          <w:rFonts w:cs="Times New Roman"/>
          <w:b/>
          <w:bCs/>
        </w:rPr>
        <w:t xml:space="preserve">to ICs in ROCIS.gov to account for RRB Privacy Act System of Records RRB-21 and RRB-22. </w:t>
      </w:r>
    </w:p>
    <w:p w:rsidR="003434D4" w:rsidRPr="00702B0F" w:rsidP="004F0353" w14:paraId="4AD450E0" w14:textId="77777777">
      <w:pPr>
        <w:tabs>
          <w:tab w:val="left" w:pos="540"/>
        </w:tabs>
        <w:spacing w:line="233" w:lineRule="auto"/>
        <w:ind w:left="360" w:hanging="540"/>
        <w:jc w:val="both"/>
        <w:rPr>
          <w:rFonts w:cs="Times New Roman"/>
        </w:rPr>
      </w:pPr>
    </w:p>
    <w:p w:rsidR="00AD5F1F" w:rsidRPr="00702B0F" w:rsidP="004F0353" w14:paraId="4E2F7106" w14:textId="3F51EC86">
      <w:pPr>
        <w:numPr>
          <w:ilvl w:val="0"/>
          <w:numId w:val="2"/>
        </w:numPr>
        <w:tabs>
          <w:tab w:val="clear" w:pos="360"/>
        </w:tabs>
        <w:ind w:hanging="540"/>
        <w:jc w:val="both"/>
        <w:rPr>
          <w:rFonts w:cs="Times New Roman"/>
        </w:rPr>
      </w:pPr>
      <w:r w:rsidRPr="00702B0F">
        <w:rPr>
          <w:rFonts w:cs="Times New Roman"/>
          <w:u w:val="single"/>
        </w:rPr>
        <w:t>Sensitive questions</w:t>
      </w:r>
      <w:r w:rsidRPr="00702B0F" w:rsidR="0D391C33">
        <w:rPr>
          <w:rFonts w:cs="Times New Roman"/>
        </w:rPr>
        <w:t xml:space="preserve"> </w:t>
      </w:r>
      <w:r w:rsidRPr="00702B0F" w:rsidR="59E2B71E">
        <w:rPr>
          <w:rFonts w:cs="Times New Roman"/>
        </w:rPr>
        <w:t>–</w:t>
      </w:r>
      <w:r w:rsidRPr="00702B0F">
        <w:rPr>
          <w:rFonts w:cs="Times New Roman"/>
        </w:rPr>
        <w:t xml:space="preserve"> </w:t>
      </w:r>
      <w:r w:rsidRPr="00702B0F" w:rsidR="00BB47CC">
        <w:rPr>
          <w:rFonts w:cs="Times New Roman"/>
        </w:rPr>
        <w:t>N/A</w:t>
      </w:r>
      <w:r w:rsidRPr="00702B0F">
        <w:rPr>
          <w:rFonts w:cs="Times New Roman"/>
        </w:rPr>
        <w:t>.</w:t>
      </w:r>
    </w:p>
    <w:p w:rsidR="004E56F8" w:rsidRPr="00702B0F" w:rsidP="004F0353" w14:paraId="60D02031" w14:textId="77777777">
      <w:pPr>
        <w:tabs>
          <w:tab w:val="left" w:pos="540"/>
        </w:tabs>
        <w:ind w:left="360" w:hanging="540"/>
        <w:jc w:val="both"/>
        <w:rPr>
          <w:rFonts w:cs="Times New Roman"/>
        </w:rPr>
      </w:pPr>
    </w:p>
    <w:p w:rsidR="005A12BE" w:rsidRPr="00702B0F" w:rsidP="004F0353" w14:paraId="562B1507" w14:textId="7B7EF521">
      <w:pPr>
        <w:numPr>
          <w:ilvl w:val="0"/>
          <w:numId w:val="2"/>
        </w:numPr>
        <w:tabs>
          <w:tab w:val="clear" w:pos="360"/>
        </w:tabs>
        <w:ind w:hanging="540"/>
        <w:jc w:val="both"/>
        <w:rPr>
          <w:rFonts w:cs="Times New Roman"/>
          <w:b/>
          <w:bCs/>
        </w:rPr>
      </w:pPr>
      <w:r w:rsidRPr="00702B0F">
        <w:rPr>
          <w:rFonts w:cs="Times New Roman"/>
          <w:u w:val="single"/>
        </w:rPr>
        <w:t>Estimate of respondent burden</w:t>
      </w:r>
      <w:r w:rsidRPr="00702B0F" w:rsidR="0D391C33">
        <w:rPr>
          <w:rFonts w:cs="Times New Roman"/>
        </w:rPr>
        <w:t xml:space="preserve"> </w:t>
      </w:r>
      <w:r w:rsidRPr="00702B0F" w:rsidR="717C8463">
        <w:rPr>
          <w:rFonts w:cs="Times New Roman"/>
        </w:rPr>
        <w:t>–</w:t>
      </w:r>
      <w:r w:rsidRPr="00702B0F">
        <w:rPr>
          <w:rFonts w:cs="Times New Roman"/>
        </w:rPr>
        <w:t xml:space="preserve"> The proposed </w:t>
      </w:r>
      <w:r w:rsidRPr="00702B0F" w:rsidR="00A86FFC">
        <w:rPr>
          <w:rFonts w:cs="Times New Roman"/>
        </w:rPr>
        <w:t xml:space="preserve">estimated </w:t>
      </w:r>
      <w:r w:rsidRPr="00702B0F" w:rsidR="00015A6F">
        <w:rPr>
          <w:rFonts w:cs="Times New Roman"/>
        </w:rPr>
        <w:t xml:space="preserve">annual </w:t>
      </w:r>
      <w:r w:rsidRPr="00702B0F">
        <w:rPr>
          <w:rFonts w:cs="Times New Roman"/>
        </w:rPr>
        <w:t>burden for</w:t>
      </w:r>
      <w:r w:rsidRPr="00702B0F" w:rsidR="7FFC6A64">
        <w:rPr>
          <w:rFonts w:cs="Times New Roman"/>
        </w:rPr>
        <w:t xml:space="preserve"> </w:t>
      </w:r>
      <w:r w:rsidRPr="00702B0F" w:rsidR="00D901E3">
        <w:rPr>
          <w:rFonts w:cs="Times New Roman"/>
        </w:rPr>
        <w:t xml:space="preserve">this </w:t>
      </w:r>
      <w:r w:rsidRPr="00702B0F">
        <w:rPr>
          <w:rFonts w:cs="Times New Roman"/>
        </w:rPr>
        <w:t xml:space="preserve">collection </w:t>
      </w:r>
      <w:r w:rsidRPr="00702B0F" w:rsidR="00D901E3">
        <w:rPr>
          <w:rFonts w:cs="Times New Roman"/>
        </w:rPr>
        <w:t xml:space="preserve">is </w:t>
      </w:r>
      <w:r w:rsidRPr="00702B0F">
        <w:rPr>
          <w:rFonts w:cs="Times New Roman"/>
        </w:rPr>
        <w:t>as follows</w:t>
      </w:r>
      <w:r w:rsidRPr="00702B0F" w:rsidR="7FFC6A64">
        <w:rPr>
          <w:rFonts w:cs="Times New Roman"/>
        </w:rPr>
        <w:t>:</w:t>
      </w:r>
      <w:r w:rsidRPr="00702B0F">
        <w:rPr>
          <w:rFonts w:cs="Times New Roman"/>
        </w:rPr>
        <w:t xml:space="preserve"> </w:t>
      </w:r>
    </w:p>
    <w:p w:rsidR="003434D4" w:rsidRPr="00702B0F" w:rsidP="004F0353" w14:paraId="57280019" w14:textId="48C448E6">
      <w:pPr>
        <w:keepNext/>
        <w:ind w:left="360" w:hanging="540"/>
        <w:jc w:val="center"/>
        <w:rPr>
          <w:rFonts w:cs="Times New Roman"/>
          <w:b/>
        </w:rPr>
      </w:pPr>
    </w:p>
    <w:p w:rsidR="00121BFF" w:rsidRPr="00702B0F" w:rsidP="004F0353" w14:paraId="39B8E452" w14:textId="7060A9B6">
      <w:pPr>
        <w:ind w:left="360" w:hanging="540"/>
        <w:jc w:val="center"/>
        <w:rPr>
          <w:b/>
          <w:bCs/>
          <w:sz w:val="24"/>
          <w:szCs w:val="24"/>
        </w:rPr>
      </w:pPr>
      <w:r w:rsidRPr="00702B0F">
        <w:rPr>
          <w:b/>
          <w:bCs/>
          <w:sz w:val="24"/>
          <w:szCs w:val="24"/>
        </w:rPr>
        <w:t>Proposed Burden</w:t>
      </w:r>
    </w:p>
    <w:p w:rsidR="00815229" w:rsidRPr="00702B0F" w:rsidP="00C950BE" w14:paraId="7C85F13C" w14:textId="77777777">
      <w:pPr>
        <w:ind w:left="540" w:right="576"/>
        <w:jc w:val="both"/>
        <w:rPr>
          <w:rFonts w:eastAsia="Calibri"/>
          <w:strike/>
          <w:snapToGrid/>
          <w:sz w:val="21"/>
          <w:szCs w:val="21"/>
        </w:rPr>
      </w:pPr>
    </w:p>
    <w:tbl>
      <w:tblPr>
        <w:tblW w:w="8820" w:type="dxa"/>
        <w:tblInd w:w="648" w:type="dxa"/>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ayout w:type="fixed"/>
        <w:tblLook w:val="01E0"/>
      </w:tblPr>
      <w:tblGrid>
        <w:gridCol w:w="2817"/>
        <w:gridCol w:w="2250"/>
        <w:gridCol w:w="1863"/>
        <w:gridCol w:w="1890"/>
      </w:tblGrid>
      <w:tr w14:paraId="7BFD0F82" w14:textId="77777777" w:rsidTr="00815229">
        <w:tblPrEx>
          <w:tblW w:w="8820" w:type="dxa"/>
          <w:tblInd w:w="648" w:type="dxa"/>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ayout w:type="fixed"/>
          <w:tblLook w:val="01E0"/>
        </w:tblPrEx>
        <w:trPr>
          <w:cantSplit/>
          <w:trHeight w:hRule="exact" w:val="500"/>
        </w:trPr>
        <w:tc>
          <w:tcPr>
            <w:tcW w:w="2817" w:type="dxa"/>
            <w:vAlign w:val="center"/>
          </w:tcPr>
          <w:p w:rsidR="00815229" w:rsidRPr="00702B0F" w:rsidP="00335A53" w14:paraId="3AB69D46" w14:textId="77777777">
            <w:pPr>
              <w:keepNext/>
              <w:rPr>
                <w:b/>
                <w:bCs/>
                <w:szCs w:val="22"/>
              </w:rPr>
            </w:pPr>
            <w:bookmarkStart w:id="15" w:name="_Hlk205448294"/>
            <w:r w:rsidRPr="00702B0F">
              <w:rPr>
                <w:b/>
                <w:bCs/>
                <w:szCs w:val="22"/>
              </w:rPr>
              <w:t>Form Number</w:t>
            </w:r>
          </w:p>
        </w:tc>
        <w:tc>
          <w:tcPr>
            <w:tcW w:w="2250" w:type="dxa"/>
            <w:vAlign w:val="center"/>
          </w:tcPr>
          <w:p w:rsidR="00815229" w:rsidRPr="00702B0F" w:rsidP="00335A53" w14:paraId="0ABC6A17" w14:textId="77777777">
            <w:pPr>
              <w:keepNext/>
              <w:rPr>
                <w:b/>
                <w:bCs/>
                <w:szCs w:val="22"/>
              </w:rPr>
            </w:pPr>
            <w:r w:rsidRPr="00702B0F">
              <w:rPr>
                <w:b/>
                <w:bCs/>
                <w:szCs w:val="22"/>
              </w:rPr>
              <w:t>Annual Responses</w:t>
            </w:r>
          </w:p>
        </w:tc>
        <w:tc>
          <w:tcPr>
            <w:tcW w:w="1863" w:type="dxa"/>
            <w:vAlign w:val="center"/>
          </w:tcPr>
          <w:p w:rsidR="00815229" w:rsidRPr="00702B0F" w:rsidP="00335A53" w14:paraId="793E97CB" w14:textId="77777777">
            <w:pPr>
              <w:keepNext/>
              <w:rPr>
                <w:b/>
                <w:bCs/>
                <w:szCs w:val="22"/>
              </w:rPr>
            </w:pPr>
            <w:r w:rsidRPr="00702B0F">
              <w:rPr>
                <w:b/>
                <w:bCs/>
                <w:szCs w:val="22"/>
              </w:rPr>
              <w:t>Time (Minutes)</w:t>
            </w:r>
          </w:p>
        </w:tc>
        <w:tc>
          <w:tcPr>
            <w:tcW w:w="1890" w:type="dxa"/>
            <w:vAlign w:val="center"/>
          </w:tcPr>
          <w:p w:rsidR="00815229" w:rsidRPr="00702B0F" w:rsidP="00335A53" w14:paraId="715243B9" w14:textId="672B476F">
            <w:pPr>
              <w:keepNext/>
              <w:rPr>
                <w:b/>
                <w:bCs/>
                <w:szCs w:val="22"/>
              </w:rPr>
            </w:pPr>
            <w:r w:rsidRPr="00702B0F">
              <w:rPr>
                <w:b/>
                <w:bCs/>
                <w:szCs w:val="22"/>
              </w:rPr>
              <w:t>Burden (Hours)</w:t>
            </w:r>
          </w:p>
        </w:tc>
      </w:tr>
      <w:tr w14:paraId="3078D705" w14:textId="77777777" w:rsidTr="00815229">
        <w:tblPrEx>
          <w:tblW w:w="8820" w:type="dxa"/>
          <w:tblInd w:w="648" w:type="dxa"/>
          <w:tblLayout w:type="fixed"/>
          <w:tblLook w:val="01E0"/>
        </w:tblPrEx>
        <w:trPr>
          <w:cantSplit/>
          <w:trHeight w:hRule="exact" w:val="500"/>
        </w:trPr>
        <w:tc>
          <w:tcPr>
            <w:tcW w:w="2817" w:type="dxa"/>
            <w:vAlign w:val="center"/>
          </w:tcPr>
          <w:p w:rsidR="000D14D4" w:rsidRPr="00702B0F" w:rsidP="000D14D4" w14:paraId="4AABD103" w14:textId="7B1B8F96">
            <w:pPr>
              <w:keepNext/>
              <w:rPr>
                <w:b/>
                <w:bCs/>
                <w:szCs w:val="22"/>
              </w:rPr>
            </w:pPr>
            <w:bookmarkStart w:id="16" w:name="_Hlk205448131"/>
            <w:r w:rsidRPr="00702B0F">
              <w:rPr>
                <w:szCs w:val="22"/>
              </w:rPr>
              <w:t>COA-1</w:t>
            </w:r>
          </w:p>
        </w:tc>
        <w:tc>
          <w:tcPr>
            <w:tcW w:w="2250" w:type="dxa"/>
            <w:vAlign w:val="center"/>
          </w:tcPr>
          <w:p w:rsidR="000D14D4" w:rsidRPr="00702B0F" w:rsidP="000D14D4" w14:paraId="3C7E495D" w14:textId="0C18D373">
            <w:pPr>
              <w:keepNext/>
              <w:jc w:val="center"/>
              <w:rPr>
                <w:b/>
                <w:bCs/>
                <w:szCs w:val="22"/>
              </w:rPr>
            </w:pPr>
            <w:r w:rsidRPr="00702B0F">
              <w:t>30,395</w:t>
            </w:r>
          </w:p>
        </w:tc>
        <w:tc>
          <w:tcPr>
            <w:tcW w:w="1863" w:type="dxa"/>
            <w:vAlign w:val="center"/>
          </w:tcPr>
          <w:p w:rsidR="000D14D4" w:rsidRPr="00702B0F" w:rsidP="000D14D4" w14:paraId="53D1567E" w14:textId="0ABF413E">
            <w:pPr>
              <w:keepNext/>
              <w:jc w:val="center"/>
              <w:rPr>
                <w:b/>
                <w:bCs/>
                <w:szCs w:val="22"/>
              </w:rPr>
            </w:pPr>
            <w:r w:rsidRPr="00702B0F">
              <w:t>8</w:t>
            </w:r>
          </w:p>
        </w:tc>
        <w:tc>
          <w:tcPr>
            <w:tcW w:w="1890" w:type="dxa"/>
            <w:vAlign w:val="center"/>
          </w:tcPr>
          <w:p w:rsidR="000D14D4" w:rsidRPr="00702B0F" w:rsidP="000D14D4" w14:paraId="20EFF438" w14:textId="08863242">
            <w:pPr>
              <w:keepNext/>
              <w:jc w:val="center"/>
              <w:rPr>
                <w:b/>
                <w:bCs/>
                <w:szCs w:val="22"/>
              </w:rPr>
            </w:pPr>
            <w:r w:rsidRPr="00702B0F">
              <w:t>4,025</w:t>
            </w:r>
          </w:p>
        </w:tc>
      </w:tr>
      <w:tr w14:paraId="743146E7" w14:textId="77777777" w:rsidTr="00815229">
        <w:tblPrEx>
          <w:tblW w:w="8820" w:type="dxa"/>
          <w:tblInd w:w="648" w:type="dxa"/>
          <w:tblLayout w:type="fixed"/>
          <w:tblLook w:val="01E0"/>
        </w:tblPrEx>
        <w:trPr>
          <w:cantSplit/>
          <w:trHeight w:hRule="exact" w:val="433"/>
        </w:trPr>
        <w:tc>
          <w:tcPr>
            <w:tcW w:w="2817" w:type="dxa"/>
            <w:vAlign w:val="center"/>
          </w:tcPr>
          <w:p w:rsidR="000D14D4" w:rsidRPr="00702B0F" w:rsidP="000D14D4" w14:paraId="3648DF72" w14:textId="1D695F49">
            <w:pPr>
              <w:keepNext/>
              <w:rPr>
                <w:szCs w:val="22"/>
              </w:rPr>
            </w:pPr>
            <w:r w:rsidRPr="00702B0F">
              <w:rPr>
                <w:szCs w:val="22"/>
              </w:rPr>
              <w:t>D</w:t>
            </w:r>
            <w:r w:rsidR="007936D3">
              <w:rPr>
                <w:szCs w:val="22"/>
              </w:rPr>
              <w:t>DC</w:t>
            </w:r>
            <w:r w:rsidRPr="00702B0F">
              <w:rPr>
                <w:szCs w:val="22"/>
              </w:rPr>
              <w:t>-1</w:t>
            </w:r>
          </w:p>
        </w:tc>
        <w:tc>
          <w:tcPr>
            <w:tcW w:w="2250" w:type="dxa"/>
            <w:vAlign w:val="center"/>
          </w:tcPr>
          <w:p w:rsidR="000D14D4" w:rsidRPr="00702B0F" w:rsidP="000D14D4" w14:paraId="24B0DD93" w14:textId="2F74A9BC">
            <w:pPr>
              <w:keepNext/>
              <w:tabs>
                <w:tab w:val="right" w:pos="1152"/>
              </w:tabs>
              <w:jc w:val="center"/>
              <w:rPr>
                <w:szCs w:val="22"/>
              </w:rPr>
            </w:pPr>
            <w:r w:rsidRPr="00702B0F">
              <w:t>37,595</w:t>
            </w:r>
          </w:p>
        </w:tc>
        <w:tc>
          <w:tcPr>
            <w:tcW w:w="1863" w:type="dxa"/>
            <w:vAlign w:val="center"/>
          </w:tcPr>
          <w:p w:rsidR="000D14D4" w:rsidRPr="00702B0F" w:rsidP="000D14D4" w14:paraId="30311CFB" w14:textId="5A40C583">
            <w:pPr>
              <w:keepNext/>
              <w:tabs>
                <w:tab w:val="right" w:pos="882"/>
              </w:tabs>
              <w:jc w:val="center"/>
              <w:rPr>
                <w:szCs w:val="22"/>
              </w:rPr>
            </w:pPr>
            <w:r w:rsidRPr="00702B0F">
              <w:t>6</w:t>
            </w:r>
          </w:p>
        </w:tc>
        <w:tc>
          <w:tcPr>
            <w:tcW w:w="1890" w:type="dxa"/>
            <w:vAlign w:val="center"/>
          </w:tcPr>
          <w:p w:rsidR="000D14D4" w:rsidRPr="00702B0F" w:rsidP="000D14D4" w14:paraId="67319515" w14:textId="6165B565">
            <w:pPr>
              <w:keepNext/>
              <w:tabs>
                <w:tab w:val="right" w:pos="882"/>
              </w:tabs>
              <w:jc w:val="center"/>
              <w:rPr>
                <w:szCs w:val="22"/>
              </w:rPr>
            </w:pPr>
            <w:r w:rsidRPr="00702B0F">
              <w:t>3,760</w:t>
            </w:r>
          </w:p>
        </w:tc>
      </w:tr>
      <w:bookmarkEnd w:id="16"/>
      <w:tr w14:paraId="6C7AC953" w14:textId="77777777" w:rsidTr="00815229">
        <w:tblPrEx>
          <w:tblW w:w="8820" w:type="dxa"/>
          <w:tblInd w:w="648" w:type="dxa"/>
          <w:tblLayout w:type="fixed"/>
          <w:tblLook w:val="01E0"/>
        </w:tblPrEx>
        <w:trPr>
          <w:cantSplit/>
          <w:trHeight w:hRule="exact" w:val="500"/>
        </w:trPr>
        <w:tc>
          <w:tcPr>
            <w:tcW w:w="2817" w:type="dxa"/>
            <w:tcBorders>
              <w:top w:val="double" w:sz="12" w:space="0" w:color="auto"/>
              <w:bottom w:val="double" w:sz="12" w:space="0" w:color="auto"/>
            </w:tcBorders>
            <w:vAlign w:val="center"/>
          </w:tcPr>
          <w:p w:rsidR="000D14D4" w:rsidRPr="00702B0F" w:rsidP="000D14D4" w14:paraId="5A7291E9" w14:textId="77777777">
            <w:pPr>
              <w:keepNext/>
              <w:jc w:val="center"/>
              <w:rPr>
                <w:b/>
                <w:szCs w:val="22"/>
              </w:rPr>
            </w:pPr>
            <w:r w:rsidRPr="00702B0F">
              <w:rPr>
                <w:b/>
                <w:szCs w:val="22"/>
              </w:rPr>
              <w:t>Total</w:t>
            </w:r>
          </w:p>
        </w:tc>
        <w:tc>
          <w:tcPr>
            <w:tcW w:w="2250" w:type="dxa"/>
            <w:tcBorders>
              <w:top w:val="double" w:sz="12" w:space="0" w:color="auto"/>
              <w:bottom w:val="double" w:sz="12" w:space="0" w:color="auto"/>
            </w:tcBorders>
            <w:vAlign w:val="center"/>
          </w:tcPr>
          <w:p w:rsidR="000D14D4" w:rsidRPr="00702B0F" w:rsidP="00176481" w14:paraId="785479B9" w14:textId="0194FF2F">
            <w:pPr>
              <w:keepNext/>
              <w:tabs>
                <w:tab w:val="right" w:pos="1152"/>
              </w:tabs>
              <w:jc w:val="center"/>
              <w:rPr>
                <w:b/>
                <w:bCs/>
                <w:szCs w:val="22"/>
              </w:rPr>
            </w:pPr>
            <w:r w:rsidRPr="00702B0F">
              <w:rPr>
                <w:b/>
                <w:bCs/>
              </w:rPr>
              <w:t>67,990</w:t>
            </w:r>
          </w:p>
        </w:tc>
        <w:tc>
          <w:tcPr>
            <w:tcW w:w="1863" w:type="dxa"/>
            <w:tcBorders>
              <w:top w:val="double" w:sz="12" w:space="0" w:color="auto"/>
              <w:bottom w:val="double" w:sz="12" w:space="0" w:color="auto"/>
            </w:tcBorders>
            <w:vAlign w:val="center"/>
          </w:tcPr>
          <w:p w:rsidR="000D14D4" w:rsidRPr="00702B0F" w:rsidP="000D14D4" w14:paraId="5BCEA57E" w14:textId="77777777">
            <w:pPr>
              <w:keepNext/>
              <w:jc w:val="both"/>
              <w:rPr>
                <w:b/>
                <w:szCs w:val="22"/>
              </w:rPr>
            </w:pPr>
          </w:p>
        </w:tc>
        <w:tc>
          <w:tcPr>
            <w:tcW w:w="1890" w:type="dxa"/>
            <w:tcBorders>
              <w:top w:val="double" w:sz="12" w:space="0" w:color="auto"/>
              <w:bottom w:val="double" w:sz="12" w:space="0" w:color="auto"/>
            </w:tcBorders>
            <w:vAlign w:val="center"/>
          </w:tcPr>
          <w:p w:rsidR="000D14D4" w:rsidRPr="00702B0F" w:rsidP="000D14D4" w14:paraId="21AFB335" w14:textId="376C0DDA">
            <w:pPr>
              <w:keepNext/>
              <w:tabs>
                <w:tab w:val="right" w:pos="999"/>
              </w:tabs>
              <w:jc w:val="center"/>
              <w:rPr>
                <w:b/>
                <w:bCs/>
                <w:szCs w:val="22"/>
              </w:rPr>
            </w:pPr>
            <w:r w:rsidRPr="00702B0F">
              <w:rPr>
                <w:b/>
                <w:bCs/>
                <w:szCs w:val="22"/>
              </w:rPr>
              <w:t>7,785</w:t>
            </w:r>
          </w:p>
        </w:tc>
      </w:tr>
    </w:tbl>
    <w:bookmarkEnd w:id="15"/>
    <w:p w:rsidR="00C950BE" w:rsidRPr="00702B0F" w:rsidP="00C950BE" w14:paraId="04472717" w14:textId="6B80621C">
      <w:pPr>
        <w:ind w:left="1124" w:hanging="490"/>
        <w:rPr>
          <w:rFonts w:cs="Times New Roman"/>
        </w:rPr>
      </w:pPr>
      <w:r w:rsidRPr="00702B0F">
        <w:tab/>
      </w:r>
      <w:r w:rsidRPr="00702B0F">
        <w:tab/>
      </w:r>
      <w:r w:rsidRPr="00702B0F">
        <w:tab/>
      </w:r>
    </w:p>
    <w:p w:rsidR="003434D4" w:rsidRPr="00702B0F" w:rsidP="004F0353" w14:paraId="649D2E96" w14:textId="677D0855">
      <w:pPr>
        <w:numPr>
          <w:ilvl w:val="0"/>
          <w:numId w:val="2"/>
        </w:numPr>
        <w:tabs>
          <w:tab w:val="clear" w:pos="360"/>
        </w:tabs>
        <w:ind w:hanging="540"/>
        <w:jc w:val="both"/>
        <w:rPr>
          <w:rFonts w:cs="Times New Roman"/>
        </w:rPr>
      </w:pPr>
      <w:r w:rsidRPr="00702B0F">
        <w:rPr>
          <w:rFonts w:cs="Times New Roman"/>
          <w:u w:val="single"/>
        </w:rPr>
        <w:t>Estimate of annual cost burden to respondents or record</w:t>
      </w:r>
      <w:r w:rsidRPr="00702B0F" w:rsidR="0D391C33">
        <w:rPr>
          <w:rFonts w:cs="Times New Roman"/>
          <w:u w:val="single"/>
        </w:rPr>
        <w:t xml:space="preserve"> </w:t>
      </w:r>
      <w:r w:rsidRPr="00702B0F">
        <w:rPr>
          <w:rFonts w:cs="Times New Roman"/>
          <w:u w:val="single"/>
        </w:rPr>
        <w:t>keepers</w:t>
      </w:r>
      <w:r w:rsidRPr="00702B0F" w:rsidR="68AA7C5C">
        <w:rPr>
          <w:rFonts w:cs="Times New Roman"/>
        </w:rPr>
        <w:t xml:space="preserve"> – </w:t>
      </w:r>
      <w:r w:rsidRPr="00702B0F">
        <w:rPr>
          <w:rFonts w:cs="Times New Roman"/>
        </w:rPr>
        <w:t>N</w:t>
      </w:r>
      <w:r w:rsidRPr="00702B0F" w:rsidR="68AA7C5C">
        <w:rPr>
          <w:rFonts w:cs="Times New Roman"/>
        </w:rPr>
        <w:t>/</w:t>
      </w:r>
      <w:r w:rsidRPr="00702B0F">
        <w:rPr>
          <w:rFonts w:cs="Times New Roman"/>
        </w:rPr>
        <w:t>A.</w:t>
      </w:r>
    </w:p>
    <w:p w:rsidR="003434D4" w:rsidRPr="00702B0F" w:rsidP="004F0353" w14:paraId="7D111C89" w14:textId="77777777">
      <w:pPr>
        <w:tabs>
          <w:tab w:val="left" w:pos="540"/>
        </w:tabs>
        <w:ind w:left="360" w:hanging="540"/>
        <w:jc w:val="both"/>
        <w:rPr>
          <w:rFonts w:cs="Times New Roman"/>
        </w:rPr>
      </w:pPr>
    </w:p>
    <w:p w:rsidR="003434D4" w:rsidRPr="00702B0F" w:rsidP="004F0353" w14:paraId="1480B121" w14:textId="4B23C3FA">
      <w:pPr>
        <w:numPr>
          <w:ilvl w:val="0"/>
          <w:numId w:val="2"/>
        </w:numPr>
        <w:tabs>
          <w:tab w:val="clear" w:pos="360"/>
        </w:tabs>
        <w:ind w:hanging="540"/>
        <w:jc w:val="both"/>
        <w:rPr>
          <w:rFonts w:cs="Times New Roman"/>
        </w:rPr>
      </w:pPr>
      <w:r w:rsidRPr="00702B0F">
        <w:rPr>
          <w:rFonts w:cs="Times New Roman"/>
          <w:u w:val="single"/>
        </w:rPr>
        <w:t>Estimate of cost to Federal Government</w:t>
      </w:r>
      <w:r w:rsidRPr="00702B0F">
        <w:rPr>
          <w:rFonts w:cs="Times New Roman"/>
        </w:rPr>
        <w:t xml:space="preserve"> </w:t>
      </w:r>
      <w:r w:rsidRPr="00702B0F" w:rsidR="793252EA">
        <w:rPr>
          <w:rFonts w:cs="Times New Roman"/>
        </w:rPr>
        <w:t>–</w:t>
      </w:r>
      <w:r w:rsidRPr="00702B0F">
        <w:rPr>
          <w:rFonts w:cs="Times New Roman"/>
        </w:rPr>
        <w:t xml:space="preserve"> N</w:t>
      </w:r>
      <w:r w:rsidRPr="00702B0F" w:rsidR="44CE3572">
        <w:rPr>
          <w:rFonts w:cs="Times New Roman"/>
        </w:rPr>
        <w:t>/</w:t>
      </w:r>
      <w:r w:rsidRPr="00702B0F">
        <w:rPr>
          <w:rFonts w:cs="Times New Roman"/>
        </w:rPr>
        <w:t>A.</w:t>
      </w:r>
    </w:p>
    <w:p w:rsidR="003434D4" w:rsidRPr="00702B0F" w:rsidP="004F0353" w14:paraId="2817EE1F" w14:textId="77777777">
      <w:pPr>
        <w:tabs>
          <w:tab w:val="left" w:pos="540"/>
        </w:tabs>
        <w:ind w:left="360" w:hanging="540"/>
        <w:jc w:val="both"/>
        <w:rPr>
          <w:rFonts w:cs="Times New Roman"/>
        </w:rPr>
      </w:pPr>
    </w:p>
    <w:p w:rsidR="003434D4" w:rsidRPr="00702B0F" w:rsidP="004F0353" w14:paraId="3916D867" w14:textId="362226C3">
      <w:pPr>
        <w:numPr>
          <w:ilvl w:val="0"/>
          <w:numId w:val="2"/>
        </w:numPr>
        <w:tabs>
          <w:tab w:val="clear" w:pos="360"/>
        </w:tabs>
        <w:ind w:hanging="540"/>
        <w:jc w:val="both"/>
        <w:rPr>
          <w:rFonts w:cs="Times New Roman"/>
        </w:rPr>
      </w:pPr>
      <w:r w:rsidRPr="00702B0F">
        <w:rPr>
          <w:rFonts w:cs="Times New Roman"/>
          <w:u w:val="single"/>
        </w:rPr>
        <w:t>E</w:t>
      </w:r>
      <w:r w:rsidRPr="00702B0F" w:rsidR="7E00E022">
        <w:rPr>
          <w:rFonts w:cs="Times New Roman"/>
          <w:u w:val="single"/>
        </w:rPr>
        <w:t>xplanation for changes in burden</w:t>
      </w:r>
      <w:r w:rsidRPr="00702B0F" w:rsidR="0D391C33">
        <w:rPr>
          <w:rFonts w:cs="Times New Roman"/>
        </w:rPr>
        <w:t xml:space="preserve"> </w:t>
      </w:r>
      <w:r w:rsidRPr="00702B0F" w:rsidR="57302662">
        <w:rPr>
          <w:rFonts w:cs="Times New Roman"/>
        </w:rPr>
        <w:t>–</w:t>
      </w:r>
      <w:r w:rsidRPr="00702B0F" w:rsidR="6E3EAF00">
        <w:rPr>
          <w:rFonts w:cs="Times New Roman"/>
        </w:rPr>
        <w:t xml:space="preserve"> </w:t>
      </w:r>
      <w:r w:rsidRPr="00702B0F">
        <w:rPr>
          <w:rFonts w:cs="Times New Roman"/>
        </w:rPr>
        <w:t>N</w:t>
      </w:r>
      <w:r w:rsidRPr="00702B0F" w:rsidR="4FBDDA3A">
        <w:rPr>
          <w:rFonts w:cs="Times New Roman"/>
        </w:rPr>
        <w:t>/</w:t>
      </w:r>
      <w:r w:rsidRPr="00702B0F">
        <w:rPr>
          <w:rFonts w:cs="Times New Roman"/>
        </w:rPr>
        <w:t>A.</w:t>
      </w:r>
    </w:p>
    <w:p w:rsidR="0004222D" w:rsidRPr="00702B0F" w:rsidP="004F0353" w14:paraId="3C78C9A6" w14:textId="77777777">
      <w:pPr>
        <w:tabs>
          <w:tab w:val="left" w:pos="540"/>
        </w:tabs>
        <w:ind w:left="360" w:hanging="540"/>
        <w:jc w:val="both"/>
        <w:rPr>
          <w:rFonts w:cs="Times New Roman"/>
        </w:rPr>
      </w:pPr>
    </w:p>
    <w:p w:rsidR="003434D4" w:rsidRPr="00702B0F" w:rsidP="004F0353" w14:paraId="00DCC42B" w14:textId="6241963E">
      <w:pPr>
        <w:numPr>
          <w:ilvl w:val="0"/>
          <w:numId w:val="2"/>
        </w:numPr>
        <w:tabs>
          <w:tab w:val="clear" w:pos="360"/>
        </w:tabs>
        <w:spacing w:line="259" w:lineRule="auto"/>
        <w:ind w:hanging="540"/>
        <w:jc w:val="both"/>
        <w:rPr>
          <w:rFonts w:cs="Times New Roman"/>
          <w:u w:val="single"/>
        </w:rPr>
      </w:pPr>
      <w:r w:rsidRPr="00702B0F">
        <w:rPr>
          <w:rFonts w:cs="Times New Roman"/>
          <w:u w:val="single"/>
        </w:rPr>
        <w:t>Time schedule for data collections and publications</w:t>
      </w:r>
      <w:r w:rsidRPr="00702B0F" w:rsidR="0D391C33">
        <w:rPr>
          <w:rFonts w:cs="Times New Roman"/>
        </w:rPr>
        <w:t xml:space="preserve"> </w:t>
      </w:r>
      <w:r w:rsidRPr="00702B0F" w:rsidR="79CA6A38">
        <w:rPr>
          <w:rFonts w:cs="Times New Roman"/>
        </w:rPr>
        <w:t>–</w:t>
      </w:r>
      <w:r w:rsidRPr="00702B0F">
        <w:rPr>
          <w:rFonts w:cs="Times New Roman"/>
        </w:rPr>
        <w:t xml:space="preserve"> The results of this collection will not </w:t>
      </w:r>
      <w:r w:rsidRPr="00702B0F" w:rsidR="7DAAB485">
        <w:rPr>
          <w:rFonts w:cs="Times New Roman"/>
        </w:rPr>
        <w:t>be published.</w:t>
      </w:r>
    </w:p>
    <w:p w:rsidR="00A2732B" w:rsidRPr="00702B0F" w:rsidP="004F0353" w14:paraId="7E97E46F" w14:textId="77777777">
      <w:pPr>
        <w:tabs>
          <w:tab w:val="left" w:pos="540"/>
        </w:tabs>
        <w:spacing w:line="259" w:lineRule="auto"/>
        <w:ind w:left="360" w:hanging="540"/>
        <w:jc w:val="both"/>
        <w:rPr>
          <w:rFonts w:cs="Times New Roman"/>
          <w:u w:val="single"/>
        </w:rPr>
      </w:pPr>
    </w:p>
    <w:p w:rsidR="00C82888" w:rsidP="00BF5FC2" w14:paraId="60133162" w14:textId="0DB7551D">
      <w:pPr>
        <w:numPr>
          <w:ilvl w:val="0"/>
          <w:numId w:val="2"/>
        </w:numPr>
        <w:tabs>
          <w:tab w:val="clear" w:pos="360"/>
        </w:tabs>
        <w:ind w:hanging="547"/>
        <w:contextualSpacing/>
        <w:jc w:val="both"/>
      </w:pPr>
      <w:r w:rsidRPr="00901FD5">
        <w:rPr>
          <w:rFonts w:cs="Times New Roman"/>
          <w:u w:val="single"/>
        </w:rPr>
        <w:t>Request not to display OMB expiration date</w:t>
      </w:r>
      <w:r w:rsidRPr="00901FD5">
        <w:rPr>
          <w:rFonts w:cs="Times New Roman"/>
        </w:rPr>
        <w:t xml:space="preserve"> </w:t>
      </w:r>
      <w:r w:rsidRPr="00901FD5" w:rsidR="1407E5BB">
        <w:rPr>
          <w:rFonts w:cs="Times New Roman"/>
        </w:rPr>
        <w:t>–</w:t>
      </w:r>
      <w:bookmarkStart w:id="17" w:name="_Hlk182390730"/>
      <w:r w:rsidR="00901FD5">
        <w:rPr>
          <w:rFonts w:cs="Times New Roman"/>
        </w:rPr>
        <w:t xml:space="preserve"> </w:t>
      </w:r>
      <w:r w:rsidRPr="008A2FEC">
        <w:t xml:space="preserve">The RRB </w:t>
      </w:r>
      <w:r>
        <w:t xml:space="preserve">is still involved in an </w:t>
      </w:r>
      <w:r w:rsidRPr="008A2FEC">
        <w:t xml:space="preserve">extensive multi-year IT Modernization Initiative </w:t>
      </w:r>
      <w:r>
        <w:t xml:space="preserve">that began in </w:t>
      </w:r>
      <w:r w:rsidRPr="008A2FEC">
        <w:t>Fiscal Year 2019 to transform our operations into the 21</w:t>
      </w:r>
      <w:r w:rsidRPr="00901FD5">
        <w:rPr>
          <w:vertAlign w:val="superscript"/>
        </w:rPr>
        <w:t>st</w:t>
      </w:r>
      <w:r w:rsidRPr="008A2FEC">
        <w:t xml:space="preserve"> Century using multiple contractor services to improve mission performance, expand service capabilities, and strengthen cybersecurity and modernization is still in progress.  </w:t>
      </w:r>
      <w:r w:rsidRPr="00C82888">
        <w:t>Citizen-Centric Online Self-Services (CCOSS)</w:t>
      </w:r>
      <w:r>
        <w:t xml:space="preserve"> is a product of the</w:t>
      </w:r>
      <w:r w:rsidR="00901FD5">
        <w:t xml:space="preserve"> IT Modernization Initiative to improve the </w:t>
      </w:r>
      <w:r w:rsidRPr="00901FD5" w:rsidR="00901FD5">
        <w:rPr>
          <w:rFonts w:cs="Times New Roman"/>
        </w:rPr>
        <w:t xml:space="preserve">rrb.gov/myrrb.gov environment to </w:t>
      </w:r>
      <w:r w:rsidRPr="00901FD5" w:rsidR="00901FD5">
        <w:rPr>
          <w:szCs w:val="22"/>
        </w:rPr>
        <w:t xml:space="preserve">expand service capabilities.  </w:t>
      </w:r>
      <w:r w:rsidRPr="008A2FEC">
        <w:t>The RRB hired a new CIO on November 4</w:t>
      </w:r>
      <w:r>
        <w:t xml:space="preserve">, </w:t>
      </w:r>
      <w:r w:rsidRPr="008A2FEC" w:rsidR="00901FD5">
        <w:t>2024,</w:t>
      </w:r>
      <w:r w:rsidRPr="008A2FEC">
        <w:t xml:space="preserve"> </w:t>
      </w:r>
      <w:r w:rsidR="00901FD5">
        <w:t xml:space="preserve">who is </w:t>
      </w:r>
      <w:r>
        <w:t xml:space="preserve">involved with </w:t>
      </w:r>
      <w:r w:rsidR="00901FD5">
        <w:t xml:space="preserve">streamlining </w:t>
      </w:r>
      <w:r w:rsidRPr="008A2FEC">
        <w:t>modernization initiative</w:t>
      </w:r>
      <w:r w:rsidR="00901FD5">
        <w:t>s and t</w:t>
      </w:r>
      <w:r w:rsidRPr="008A2FEC">
        <w:t xml:space="preserve">he RRB will provide OMB with any updates to the consolidated project timeline. </w:t>
      </w:r>
    </w:p>
    <w:p w:rsidR="00901FD5" w:rsidP="00C82888" w14:paraId="21145A3F" w14:textId="77777777">
      <w:pPr>
        <w:tabs>
          <w:tab w:val="left" w:pos="540"/>
        </w:tabs>
        <w:contextualSpacing/>
        <w:jc w:val="both"/>
      </w:pPr>
    </w:p>
    <w:p w:rsidR="00901FD5" w:rsidP="00901FD5" w14:paraId="1D265635" w14:textId="00FE1F8D">
      <w:pPr>
        <w:tabs>
          <w:tab w:val="left" w:pos="-1440"/>
          <w:tab w:val="left" w:pos="0"/>
          <w:tab w:val="left" w:pos="630"/>
        </w:tabs>
        <w:ind w:left="360"/>
        <w:jc w:val="both"/>
        <w:rPr>
          <w:rFonts w:eastAsia="Calibri"/>
          <w:b/>
          <w:bCs/>
          <w:szCs w:val="22"/>
          <w:u w:val="single"/>
        </w:rPr>
      </w:pPr>
      <w:r w:rsidRPr="00702B0F">
        <w:rPr>
          <w:rFonts w:eastAsia="Calibri"/>
          <w:szCs w:val="22"/>
        </w:rPr>
        <w:t xml:space="preserve">Given the </w:t>
      </w:r>
      <w:r w:rsidRPr="00702B0F" w:rsidR="00505D98">
        <w:rPr>
          <w:rFonts w:eastAsia="Calibri"/>
          <w:szCs w:val="22"/>
        </w:rPr>
        <w:t>reduction</w:t>
      </w:r>
      <w:r w:rsidRPr="00702B0F">
        <w:rPr>
          <w:rFonts w:eastAsia="Calibri"/>
          <w:szCs w:val="22"/>
        </w:rPr>
        <w:t xml:space="preserve"> in FTE and contractor staff</w:t>
      </w:r>
      <w:r w:rsidR="00505D98">
        <w:rPr>
          <w:rFonts w:eastAsia="Calibri"/>
          <w:szCs w:val="22"/>
        </w:rPr>
        <w:t>;</w:t>
      </w:r>
      <w:r>
        <w:rPr>
          <w:rFonts w:eastAsia="Calibri"/>
          <w:szCs w:val="22"/>
        </w:rPr>
        <w:t xml:space="preserve"> </w:t>
      </w:r>
      <w:r w:rsidRPr="00702B0F">
        <w:rPr>
          <w:rFonts w:eastAsia="Calibri"/>
          <w:szCs w:val="22"/>
        </w:rPr>
        <w:t>budget cuts</w:t>
      </w:r>
      <w:r w:rsidR="00505D98">
        <w:rPr>
          <w:rFonts w:eastAsia="Calibri"/>
          <w:szCs w:val="22"/>
        </w:rPr>
        <w:t xml:space="preserve">; </w:t>
      </w:r>
      <w:r>
        <w:rPr>
          <w:rFonts w:eastAsia="Calibri"/>
          <w:szCs w:val="22"/>
        </w:rPr>
        <w:t>the effort t</w:t>
      </w:r>
      <w:r w:rsidRPr="008A2FEC">
        <w:t xml:space="preserve">o </w:t>
      </w:r>
      <w:r>
        <w:t xml:space="preserve">start keeping </w:t>
      </w:r>
      <w:r w:rsidRPr="008A2FEC">
        <w:t>the appropriate OMB expiration date in place</w:t>
      </w:r>
      <w:r w:rsidR="00505D98">
        <w:t xml:space="preserve"> as we do not currently maintain an OMB expiration date on none of our forms;</w:t>
      </w:r>
      <w:r>
        <w:t xml:space="preserve"> </w:t>
      </w:r>
      <w:r w:rsidRPr="008A2FEC">
        <w:t xml:space="preserve">and our desire to reevaluate </w:t>
      </w:r>
      <w:r w:rsidR="00505D98">
        <w:t xml:space="preserve">this </w:t>
      </w:r>
      <w:r w:rsidRPr="008A2FEC">
        <w:t>after the completion of the modernization project,</w:t>
      </w:r>
      <w:r w:rsidRPr="008A2FEC">
        <w:rPr>
          <w:b/>
        </w:rPr>
        <w:t xml:space="preserve"> </w:t>
      </w:r>
      <w:r w:rsidRPr="008A2FEC">
        <w:rPr>
          <w:b/>
          <w:u w:val="single"/>
        </w:rPr>
        <w:t>the RRB requests the authority to not display the expiration date on the forms</w:t>
      </w:r>
      <w:r w:rsidRPr="008A2FEC">
        <w:t>.</w:t>
      </w:r>
    </w:p>
    <w:p w:rsidR="00901FD5" w:rsidP="00901FD5" w14:paraId="493F92E2" w14:textId="77777777">
      <w:pPr>
        <w:tabs>
          <w:tab w:val="left" w:pos="-1440"/>
          <w:tab w:val="left" w:pos="0"/>
          <w:tab w:val="left" w:pos="630"/>
        </w:tabs>
        <w:jc w:val="both"/>
        <w:rPr>
          <w:rFonts w:eastAsia="Calibri"/>
          <w:szCs w:val="22"/>
        </w:rPr>
      </w:pPr>
    </w:p>
    <w:bookmarkEnd w:id="17"/>
    <w:p w:rsidR="003434D4" w:rsidRPr="00702B0F" w:rsidP="004F0353" w14:paraId="0DA107D9" w14:textId="32CE577D">
      <w:pPr>
        <w:numPr>
          <w:ilvl w:val="0"/>
          <w:numId w:val="2"/>
        </w:numPr>
        <w:tabs>
          <w:tab w:val="clear" w:pos="360"/>
        </w:tabs>
        <w:ind w:hanging="540"/>
        <w:jc w:val="both"/>
        <w:rPr>
          <w:rFonts w:cs="Times New Roman"/>
        </w:rPr>
      </w:pPr>
      <w:r w:rsidRPr="00702B0F">
        <w:rPr>
          <w:rFonts w:cs="Times New Roman"/>
          <w:u w:val="single"/>
        </w:rPr>
        <w:t>Exceptions to the certification statement</w:t>
      </w:r>
      <w:r w:rsidRPr="00702B0F" w:rsidR="0D391C33">
        <w:rPr>
          <w:rFonts w:cs="Times New Roman"/>
        </w:rPr>
        <w:t xml:space="preserve"> </w:t>
      </w:r>
      <w:r w:rsidRPr="00702B0F" w:rsidR="740CA441">
        <w:rPr>
          <w:rFonts w:cs="Times New Roman"/>
        </w:rPr>
        <w:t>–</w:t>
      </w:r>
      <w:r w:rsidRPr="00702B0F">
        <w:rPr>
          <w:rFonts w:cs="Times New Roman"/>
        </w:rPr>
        <w:t xml:space="preserve"> None</w:t>
      </w:r>
      <w:r w:rsidRPr="00702B0F">
        <w:tab/>
      </w:r>
    </w:p>
    <w:p w:rsidR="00DB6DA3" w:rsidP="00DB6DA3" w14:paraId="4486EB7D" w14:textId="77777777">
      <w:pPr>
        <w:ind w:left="360"/>
        <w:jc w:val="both"/>
        <w:rPr>
          <w:rFonts w:cs="Times New Roman"/>
          <w:u w:val="single"/>
        </w:rPr>
      </w:pPr>
    </w:p>
    <w:p w:rsidR="00DB6DA3" w:rsidP="00DB6DA3" w14:paraId="640CAD91" w14:textId="77777777">
      <w:pPr>
        <w:ind w:left="360"/>
        <w:jc w:val="both"/>
        <w:rPr>
          <w:rFonts w:cs="Times New Roman"/>
          <w:u w:val="single"/>
        </w:rPr>
      </w:pPr>
    </w:p>
    <w:sectPr w:rsidSect="00815229">
      <w:headerReference w:type="default" r:id="rId9"/>
      <w:footerReference w:type="even" r:id="rId10"/>
      <w:footerReference w:type="default" r:id="rId11"/>
      <w:headerReference w:type="first" r:id="rId12"/>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921" w:rsidP="00BF765D" w14:paraId="4B89442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D3921" w14:paraId="6C08B98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921" w:rsidRPr="00557E2F" w:rsidP="00BF765D" w14:paraId="4DE9529C" w14:textId="34D0E4D0">
    <w:pPr>
      <w:pStyle w:val="Footer"/>
      <w:framePr w:wrap="around" w:vAnchor="text" w:hAnchor="margin" w:xAlign="center" w:y="1"/>
      <w:rPr>
        <w:rStyle w:val="PageNumber"/>
        <w:szCs w:val="28"/>
      </w:rPr>
    </w:pPr>
    <w:r w:rsidRPr="00557E2F">
      <w:rPr>
        <w:rStyle w:val="PageNumber"/>
        <w:szCs w:val="28"/>
      </w:rPr>
      <w:fldChar w:fldCharType="begin"/>
    </w:r>
    <w:r w:rsidRPr="00557E2F">
      <w:rPr>
        <w:rStyle w:val="PageNumber"/>
        <w:szCs w:val="28"/>
      </w:rPr>
      <w:instrText xml:space="preserve">PAGE  </w:instrText>
    </w:r>
    <w:r w:rsidRPr="00557E2F">
      <w:rPr>
        <w:rStyle w:val="PageNumber"/>
        <w:szCs w:val="28"/>
      </w:rPr>
      <w:fldChar w:fldCharType="separate"/>
    </w:r>
    <w:r w:rsidR="0058657E">
      <w:rPr>
        <w:rStyle w:val="PageNumber"/>
        <w:noProof/>
        <w:szCs w:val="28"/>
      </w:rPr>
      <w:t>3</w:t>
    </w:r>
    <w:r w:rsidRPr="00557E2F">
      <w:rPr>
        <w:rStyle w:val="PageNumber"/>
        <w:szCs w:val="28"/>
      </w:rPr>
      <w:fldChar w:fldCharType="end"/>
    </w:r>
  </w:p>
  <w:p w:rsidR="009D3921" w:rsidRPr="00BF765D" w14:paraId="0B12FB99" w14:textId="77777777">
    <w:pPr>
      <w:pStyle w:val="Footer"/>
      <w:rPr>
        <w:rFonts w:ascii="CG Times" w:hAnsi="CG Times"/>
        <w:szCs w:val="2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921" w:rsidP="005C325A" w14:paraId="57BB1B5A" w14:textId="3FDEAE58">
    <w:pPr>
      <w:pStyle w:val="Header"/>
      <w:jc w:val="right"/>
      <w:rPr>
        <w:rFonts w:cs="Times New Roman"/>
      </w:rPr>
    </w:pPr>
    <w:r>
      <w:rPr>
        <w:rFonts w:cs="Times New Roman"/>
      </w:rPr>
      <w:t>O</w:t>
    </w:r>
    <w:r w:rsidR="00B22035">
      <w:rPr>
        <w:rFonts w:cs="Times New Roman"/>
      </w:rPr>
      <w:t>MB No</w:t>
    </w:r>
    <w:r>
      <w:rPr>
        <w:rFonts w:cs="Times New Roman"/>
      </w:rPr>
      <w:t>. 3220-</w:t>
    </w:r>
    <w:r w:rsidR="00757CF3">
      <w:rPr>
        <w:rFonts w:cs="Times New Roman"/>
      </w:rPr>
      <w:t>XXXX</w:t>
    </w:r>
  </w:p>
  <w:p w:rsidR="009D3921" w:rsidRPr="007B0CE8" w:rsidP="005C325A" w14:paraId="40152D41" w14:textId="77777777">
    <w:pPr>
      <w:pStyle w:val="Header"/>
      <w:jc w:val="right"/>
      <w:rPr>
        <w:rFonts w:cs="Times New Roman"/>
      </w:rPr>
    </w:pPr>
  </w:p>
  <w:p w:rsidR="009D3921" w:rsidRPr="00DB50F9" w14:paraId="0775DD20" w14:textId="77777777">
    <w:pPr>
      <w:pStyle w:val="Heade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921" w:rsidRPr="00BF765D" w:rsidP="00BF765D" w14:paraId="3C1995BE" w14:textId="77777777">
    <w:pPr>
      <w:pStyle w:val="Header"/>
      <w:tabs>
        <w:tab w:val="clear" w:pos="8640"/>
        <w:tab w:val="right" w:pos="9360"/>
      </w:tabs>
      <w:rPr>
        <w:rFonts w:ascii="CG Times" w:hAnsi="CG Times"/>
        <w:sz w:val="24"/>
        <w:szCs w:val="24"/>
      </w:rPr>
    </w:pPr>
    <w:r>
      <w:t xml:space="preserve"> </w:t>
    </w:r>
    <w:r>
      <w:tab/>
    </w:r>
    <w:r>
      <w:tab/>
    </w:r>
    <w:r w:rsidRPr="00BF765D">
      <w:rPr>
        <w:rFonts w:ascii="CG Times" w:hAnsi="CG Times"/>
        <w:sz w:val="24"/>
        <w:szCs w:val="24"/>
      </w:rPr>
      <w:t>OMB 3220-0198</w:t>
    </w:r>
  </w:p>
  <w:p w:rsidR="009D3921" w:rsidP="00BF765D" w14:paraId="3C92622E" w14:textId="0148DEC4">
    <w:pPr>
      <w:pStyle w:val="Header"/>
      <w:tabs>
        <w:tab w:val="clear" w:pos="8640"/>
        <w:tab w:val="right" w:pos="9360"/>
      </w:tabs>
    </w:pPr>
    <w:r w:rsidRPr="00BF765D">
      <w:rPr>
        <w:rFonts w:ascii="CG Times" w:hAnsi="CG Times"/>
        <w:sz w:val="24"/>
        <w:szCs w:val="24"/>
      </w:rPr>
      <w:tab/>
      <w:t xml:space="preserve"> </w:t>
    </w:r>
    <w:r w:rsidRPr="00BF765D">
      <w:rPr>
        <w:rFonts w:ascii="CG Times" w:hAnsi="CG Times"/>
        <w:sz w:val="24"/>
        <w:szCs w:val="24"/>
      </w:rPr>
      <w:tab/>
    </w:r>
    <w:r w:rsidRPr="00BF765D">
      <w:rPr>
        <w:rFonts w:ascii="CG Times" w:hAnsi="CG Times"/>
        <w:sz w:val="24"/>
        <w:szCs w:val="24"/>
      </w:rPr>
      <w:fldChar w:fldCharType="begin"/>
    </w:r>
    <w:r w:rsidRPr="00BF765D">
      <w:rPr>
        <w:rFonts w:ascii="CG Times" w:hAnsi="CG Times"/>
        <w:sz w:val="24"/>
        <w:szCs w:val="24"/>
      </w:rPr>
      <w:instrText xml:space="preserve"> DATE \@ "MMMM d, yyyy" </w:instrText>
    </w:r>
    <w:r w:rsidRPr="00BF765D">
      <w:rPr>
        <w:rFonts w:ascii="CG Times" w:hAnsi="CG Times"/>
        <w:sz w:val="24"/>
        <w:szCs w:val="24"/>
      </w:rPr>
      <w:fldChar w:fldCharType="separate"/>
    </w:r>
    <w:r w:rsidR="00571FFA">
      <w:rPr>
        <w:rFonts w:ascii="CG Times" w:hAnsi="CG Times"/>
        <w:noProof/>
        <w:sz w:val="24"/>
        <w:szCs w:val="24"/>
      </w:rPr>
      <w:t>August 7, 2025</w:t>
    </w:r>
    <w:r w:rsidRPr="00BF765D">
      <w:rPr>
        <w:rFonts w:ascii="CG Times" w:hAnsi="CG Times"/>
        <w:sz w:val="24"/>
        <w:szCs w:val="24"/>
      </w:rPr>
      <w:fldChar w:fldCharType="end"/>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5140"/>
    <w:multiLevelType w:val="hybridMultilevel"/>
    <w:tmpl w:val="8506AD44"/>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
    <w:nsid w:val="288B9C7D"/>
    <w:multiLevelType w:val="hybridMultilevel"/>
    <w:tmpl w:val="265021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0122268"/>
    <w:multiLevelType w:val="hybridMultilevel"/>
    <w:tmpl w:val="59100C36"/>
    <w:lvl w:ilvl="0">
      <w:start w:val="1"/>
      <w:numFmt w:val="decimal"/>
      <w:lvlText w:val="(%1)"/>
      <w:lvlJc w:val="left"/>
      <w:pPr>
        <w:tabs>
          <w:tab w:val="num" w:pos="1170"/>
        </w:tabs>
        <w:ind w:left="1170" w:hanging="45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452261F5"/>
    <w:multiLevelType w:val="hybridMultilevel"/>
    <w:tmpl w:val="9DAA216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4C3C5DD3"/>
    <w:multiLevelType w:val="hybridMultilevel"/>
    <w:tmpl w:val="B120CF70"/>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3E23D18"/>
    <w:multiLevelType w:val="hybridMultilevel"/>
    <w:tmpl w:val="1C5094D0"/>
    <w:lvl w:ilvl="0">
      <w:start w:val="1"/>
      <w:numFmt w:val="decimal"/>
      <w:lvlText w:val="(%1)"/>
      <w:lvlJc w:val="left"/>
      <w:pPr>
        <w:tabs>
          <w:tab w:val="num" w:pos="1170"/>
        </w:tabs>
        <w:ind w:left="1170" w:hanging="45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60C40583"/>
    <w:multiLevelType w:val="hybridMultilevel"/>
    <w:tmpl w:val="4B127D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74898221">
    <w:abstractNumId w:val="1"/>
  </w:num>
  <w:num w:numId="2" w16cid:durableId="2012756070">
    <w:abstractNumId w:val="0"/>
  </w:num>
  <w:num w:numId="3" w16cid:durableId="642274817">
    <w:abstractNumId w:val="3"/>
  </w:num>
  <w:num w:numId="4" w16cid:durableId="1541429789">
    <w:abstractNumId w:val="5"/>
  </w:num>
  <w:num w:numId="5" w16cid:durableId="604267174">
    <w:abstractNumId w:val="2"/>
  </w:num>
  <w:num w:numId="6" w16cid:durableId="626666284">
    <w:abstractNumId w:val="4"/>
  </w:num>
  <w:num w:numId="7" w16cid:durableId="13876063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88989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57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BE9"/>
    <w:rsid w:val="000067D3"/>
    <w:rsid w:val="00014074"/>
    <w:rsid w:val="0001460D"/>
    <w:rsid w:val="00015A6F"/>
    <w:rsid w:val="00020C55"/>
    <w:rsid w:val="00027B41"/>
    <w:rsid w:val="00032402"/>
    <w:rsid w:val="00032E24"/>
    <w:rsid w:val="0003519B"/>
    <w:rsid w:val="0004222D"/>
    <w:rsid w:val="000428F2"/>
    <w:rsid w:val="00050981"/>
    <w:rsid w:val="00057F3B"/>
    <w:rsid w:val="00072C29"/>
    <w:rsid w:val="0008717E"/>
    <w:rsid w:val="00094F89"/>
    <w:rsid w:val="000A3507"/>
    <w:rsid w:val="000B128F"/>
    <w:rsid w:val="000B5EAD"/>
    <w:rsid w:val="000D14D4"/>
    <w:rsid w:val="000D2EE2"/>
    <w:rsid w:val="000D3403"/>
    <w:rsid w:val="000D4EC7"/>
    <w:rsid w:val="000D7710"/>
    <w:rsid w:val="000E028B"/>
    <w:rsid w:val="000E0C56"/>
    <w:rsid w:val="000F5ABD"/>
    <w:rsid w:val="0010166F"/>
    <w:rsid w:val="001025C2"/>
    <w:rsid w:val="001131F5"/>
    <w:rsid w:val="001210A3"/>
    <w:rsid w:val="00121BFF"/>
    <w:rsid w:val="00126BB3"/>
    <w:rsid w:val="001301D5"/>
    <w:rsid w:val="00151C38"/>
    <w:rsid w:val="0016345C"/>
    <w:rsid w:val="00166E9F"/>
    <w:rsid w:val="00167C3B"/>
    <w:rsid w:val="00170A3F"/>
    <w:rsid w:val="001731C6"/>
    <w:rsid w:val="00176481"/>
    <w:rsid w:val="001805E7"/>
    <w:rsid w:val="001821D6"/>
    <w:rsid w:val="00184E3D"/>
    <w:rsid w:val="00186F73"/>
    <w:rsid w:val="00191E2A"/>
    <w:rsid w:val="001A139F"/>
    <w:rsid w:val="001A33F9"/>
    <w:rsid w:val="001A5FE2"/>
    <w:rsid w:val="001A7DE5"/>
    <w:rsid w:val="001B4AFD"/>
    <w:rsid w:val="001B757F"/>
    <w:rsid w:val="001C0213"/>
    <w:rsid w:val="001C105E"/>
    <w:rsid w:val="001C1AF2"/>
    <w:rsid w:val="001C33AF"/>
    <w:rsid w:val="001C3BE4"/>
    <w:rsid w:val="001D50D5"/>
    <w:rsid w:val="001D5995"/>
    <w:rsid w:val="001D5C86"/>
    <w:rsid w:val="001D6DA5"/>
    <w:rsid w:val="001E4CE0"/>
    <w:rsid w:val="001F08F5"/>
    <w:rsid w:val="001F3158"/>
    <w:rsid w:val="001F4045"/>
    <w:rsid w:val="001F5874"/>
    <w:rsid w:val="001F7767"/>
    <w:rsid w:val="001F7D6F"/>
    <w:rsid w:val="0021254D"/>
    <w:rsid w:val="00212ECF"/>
    <w:rsid w:val="00213946"/>
    <w:rsid w:val="00213CB6"/>
    <w:rsid w:val="00216750"/>
    <w:rsid w:val="00233A59"/>
    <w:rsid w:val="00244528"/>
    <w:rsid w:val="00244EA7"/>
    <w:rsid w:val="00251A40"/>
    <w:rsid w:val="00255097"/>
    <w:rsid w:val="00257547"/>
    <w:rsid w:val="00257727"/>
    <w:rsid w:val="00257ADA"/>
    <w:rsid w:val="0026017B"/>
    <w:rsid w:val="002800E0"/>
    <w:rsid w:val="0028032A"/>
    <w:rsid w:val="002817FE"/>
    <w:rsid w:val="002858E1"/>
    <w:rsid w:val="002936A8"/>
    <w:rsid w:val="002A2EED"/>
    <w:rsid w:val="002B59C9"/>
    <w:rsid w:val="002D0012"/>
    <w:rsid w:val="002E3E19"/>
    <w:rsid w:val="002E6DF0"/>
    <w:rsid w:val="002F16DA"/>
    <w:rsid w:val="002F1811"/>
    <w:rsid w:val="002F1A45"/>
    <w:rsid w:val="002F2E9B"/>
    <w:rsid w:val="002F3260"/>
    <w:rsid w:val="002F5006"/>
    <w:rsid w:val="002F536A"/>
    <w:rsid w:val="002F679C"/>
    <w:rsid w:val="002F7686"/>
    <w:rsid w:val="00300D15"/>
    <w:rsid w:val="0030182A"/>
    <w:rsid w:val="00307180"/>
    <w:rsid w:val="003074ED"/>
    <w:rsid w:val="00311DA6"/>
    <w:rsid w:val="00314C9F"/>
    <w:rsid w:val="00316176"/>
    <w:rsid w:val="00323197"/>
    <w:rsid w:val="00324B0B"/>
    <w:rsid w:val="0033194D"/>
    <w:rsid w:val="00333301"/>
    <w:rsid w:val="00335A53"/>
    <w:rsid w:val="00336CA7"/>
    <w:rsid w:val="003434D4"/>
    <w:rsid w:val="00343F01"/>
    <w:rsid w:val="00344DE1"/>
    <w:rsid w:val="003506F3"/>
    <w:rsid w:val="00356C73"/>
    <w:rsid w:val="00357958"/>
    <w:rsid w:val="003654F5"/>
    <w:rsid w:val="003723F9"/>
    <w:rsid w:val="00374F6D"/>
    <w:rsid w:val="00377945"/>
    <w:rsid w:val="00387A46"/>
    <w:rsid w:val="0039179B"/>
    <w:rsid w:val="00395CE5"/>
    <w:rsid w:val="003A0E04"/>
    <w:rsid w:val="003A2D2D"/>
    <w:rsid w:val="003A3409"/>
    <w:rsid w:val="003A372D"/>
    <w:rsid w:val="003A5126"/>
    <w:rsid w:val="003A6805"/>
    <w:rsid w:val="003B05F7"/>
    <w:rsid w:val="003B07C7"/>
    <w:rsid w:val="003B1774"/>
    <w:rsid w:val="003B615F"/>
    <w:rsid w:val="003C085B"/>
    <w:rsid w:val="003F60B3"/>
    <w:rsid w:val="00402D3B"/>
    <w:rsid w:val="00410E32"/>
    <w:rsid w:val="00430F21"/>
    <w:rsid w:val="004463B2"/>
    <w:rsid w:val="00460378"/>
    <w:rsid w:val="0047010A"/>
    <w:rsid w:val="00471306"/>
    <w:rsid w:val="00484078"/>
    <w:rsid w:val="00487B5F"/>
    <w:rsid w:val="00494344"/>
    <w:rsid w:val="004A3EC0"/>
    <w:rsid w:val="004B33CD"/>
    <w:rsid w:val="004B38BB"/>
    <w:rsid w:val="004B719E"/>
    <w:rsid w:val="004C5AB8"/>
    <w:rsid w:val="004E29A7"/>
    <w:rsid w:val="004E56F8"/>
    <w:rsid w:val="004F0353"/>
    <w:rsid w:val="004F3A1D"/>
    <w:rsid w:val="004F7862"/>
    <w:rsid w:val="005002C3"/>
    <w:rsid w:val="00505D98"/>
    <w:rsid w:val="00510190"/>
    <w:rsid w:val="00512BA8"/>
    <w:rsid w:val="00520EC1"/>
    <w:rsid w:val="0053393D"/>
    <w:rsid w:val="0054414F"/>
    <w:rsid w:val="005530AF"/>
    <w:rsid w:val="00557CF9"/>
    <w:rsid w:val="00557E2F"/>
    <w:rsid w:val="00561A34"/>
    <w:rsid w:val="00566F3A"/>
    <w:rsid w:val="00570306"/>
    <w:rsid w:val="00571FFA"/>
    <w:rsid w:val="00582A6D"/>
    <w:rsid w:val="00585E17"/>
    <w:rsid w:val="0058657E"/>
    <w:rsid w:val="005879DD"/>
    <w:rsid w:val="005A12BE"/>
    <w:rsid w:val="005A1CFE"/>
    <w:rsid w:val="005B3388"/>
    <w:rsid w:val="005B4263"/>
    <w:rsid w:val="005B74AB"/>
    <w:rsid w:val="005C0BEB"/>
    <w:rsid w:val="005C325A"/>
    <w:rsid w:val="005C696B"/>
    <w:rsid w:val="005D08D0"/>
    <w:rsid w:val="005D59F9"/>
    <w:rsid w:val="005D5C0B"/>
    <w:rsid w:val="005E3E03"/>
    <w:rsid w:val="005E6BE9"/>
    <w:rsid w:val="005F61E8"/>
    <w:rsid w:val="00605542"/>
    <w:rsid w:val="00612136"/>
    <w:rsid w:val="00615915"/>
    <w:rsid w:val="006229EE"/>
    <w:rsid w:val="006265E5"/>
    <w:rsid w:val="00626685"/>
    <w:rsid w:val="00633F03"/>
    <w:rsid w:val="00640061"/>
    <w:rsid w:val="00644EF4"/>
    <w:rsid w:val="00665F60"/>
    <w:rsid w:val="006721F9"/>
    <w:rsid w:val="00672EC1"/>
    <w:rsid w:val="00674F80"/>
    <w:rsid w:val="00677142"/>
    <w:rsid w:val="0068378D"/>
    <w:rsid w:val="00686C8F"/>
    <w:rsid w:val="006870FB"/>
    <w:rsid w:val="00687505"/>
    <w:rsid w:val="00687BF2"/>
    <w:rsid w:val="006901BD"/>
    <w:rsid w:val="006930D9"/>
    <w:rsid w:val="0069709B"/>
    <w:rsid w:val="006A03D3"/>
    <w:rsid w:val="006A61F1"/>
    <w:rsid w:val="006B4235"/>
    <w:rsid w:val="006C5D18"/>
    <w:rsid w:val="006C7E85"/>
    <w:rsid w:val="006D3197"/>
    <w:rsid w:val="006D4861"/>
    <w:rsid w:val="006E202C"/>
    <w:rsid w:val="006E4B3A"/>
    <w:rsid w:val="006F01EE"/>
    <w:rsid w:val="00702B0F"/>
    <w:rsid w:val="00705FEF"/>
    <w:rsid w:val="00706C83"/>
    <w:rsid w:val="00711AA7"/>
    <w:rsid w:val="007124D5"/>
    <w:rsid w:val="00715F90"/>
    <w:rsid w:val="007214DE"/>
    <w:rsid w:val="007231DE"/>
    <w:rsid w:val="007276DE"/>
    <w:rsid w:val="0073163E"/>
    <w:rsid w:val="00746BE7"/>
    <w:rsid w:val="00747162"/>
    <w:rsid w:val="007569F7"/>
    <w:rsid w:val="00757CF3"/>
    <w:rsid w:val="00766195"/>
    <w:rsid w:val="00767131"/>
    <w:rsid w:val="0076733E"/>
    <w:rsid w:val="00775C6C"/>
    <w:rsid w:val="0078037D"/>
    <w:rsid w:val="00781A7D"/>
    <w:rsid w:val="00783719"/>
    <w:rsid w:val="0078615B"/>
    <w:rsid w:val="007936D3"/>
    <w:rsid w:val="00794295"/>
    <w:rsid w:val="00794DED"/>
    <w:rsid w:val="00796191"/>
    <w:rsid w:val="007A5465"/>
    <w:rsid w:val="007B0CE8"/>
    <w:rsid w:val="007B3E0B"/>
    <w:rsid w:val="007B66B1"/>
    <w:rsid w:val="007C1088"/>
    <w:rsid w:val="007D01FC"/>
    <w:rsid w:val="007D52D3"/>
    <w:rsid w:val="007E494C"/>
    <w:rsid w:val="007E4B6D"/>
    <w:rsid w:val="007E6B9E"/>
    <w:rsid w:val="00800417"/>
    <w:rsid w:val="00804367"/>
    <w:rsid w:val="00810C43"/>
    <w:rsid w:val="00813A7B"/>
    <w:rsid w:val="00815229"/>
    <w:rsid w:val="00817E95"/>
    <w:rsid w:val="0082697C"/>
    <w:rsid w:val="0083681F"/>
    <w:rsid w:val="008452F3"/>
    <w:rsid w:val="00852DCA"/>
    <w:rsid w:val="00855565"/>
    <w:rsid w:val="008559C8"/>
    <w:rsid w:val="008668CE"/>
    <w:rsid w:val="00866F51"/>
    <w:rsid w:val="00867E32"/>
    <w:rsid w:val="0087178D"/>
    <w:rsid w:val="00874BFD"/>
    <w:rsid w:val="00874CB2"/>
    <w:rsid w:val="00882BDB"/>
    <w:rsid w:val="008879DD"/>
    <w:rsid w:val="00892045"/>
    <w:rsid w:val="0089515B"/>
    <w:rsid w:val="0089515D"/>
    <w:rsid w:val="00895869"/>
    <w:rsid w:val="008A1485"/>
    <w:rsid w:val="008A2FEC"/>
    <w:rsid w:val="008C2201"/>
    <w:rsid w:val="008C50F6"/>
    <w:rsid w:val="008C7D5B"/>
    <w:rsid w:val="008D1320"/>
    <w:rsid w:val="008D35EE"/>
    <w:rsid w:val="008D4B57"/>
    <w:rsid w:val="008D6A34"/>
    <w:rsid w:val="008D7CB0"/>
    <w:rsid w:val="008E3783"/>
    <w:rsid w:val="008E3C7E"/>
    <w:rsid w:val="008F38C9"/>
    <w:rsid w:val="008F6C7B"/>
    <w:rsid w:val="008F7066"/>
    <w:rsid w:val="009017BA"/>
    <w:rsid w:val="00901FD5"/>
    <w:rsid w:val="009025B0"/>
    <w:rsid w:val="009141F3"/>
    <w:rsid w:val="00920150"/>
    <w:rsid w:val="00926C67"/>
    <w:rsid w:val="009362E8"/>
    <w:rsid w:val="0094020F"/>
    <w:rsid w:val="009405B2"/>
    <w:rsid w:val="00940B44"/>
    <w:rsid w:val="00941BB9"/>
    <w:rsid w:val="00950273"/>
    <w:rsid w:val="009513B7"/>
    <w:rsid w:val="009550E4"/>
    <w:rsid w:val="00955D09"/>
    <w:rsid w:val="00956667"/>
    <w:rsid w:val="00964BB9"/>
    <w:rsid w:val="00981C2A"/>
    <w:rsid w:val="00993DD2"/>
    <w:rsid w:val="009B055A"/>
    <w:rsid w:val="009B7D77"/>
    <w:rsid w:val="009C4210"/>
    <w:rsid w:val="009C5D5D"/>
    <w:rsid w:val="009D3921"/>
    <w:rsid w:val="009D3A26"/>
    <w:rsid w:val="009D6F58"/>
    <w:rsid w:val="009E24DD"/>
    <w:rsid w:val="009E6F33"/>
    <w:rsid w:val="009F354F"/>
    <w:rsid w:val="009F4477"/>
    <w:rsid w:val="009F5788"/>
    <w:rsid w:val="009F6B31"/>
    <w:rsid w:val="00A06F02"/>
    <w:rsid w:val="00A07185"/>
    <w:rsid w:val="00A1339A"/>
    <w:rsid w:val="00A212A9"/>
    <w:rsid w:val="00A2397C"/>
    <w:rsid w:val="00A2732B"/>
    <w:rsid w:val="00A31C46"/>
    <w:rsid w:val="00A3436E"/>
    <w:rsid w:val="00A4288E"/>
    <w:rsid w:val="00A477F5"/>
    <w:rsid w:val="00A52452"/>
    <w:rsid w:val="00A53840"/>
    <w:rsid w:val="00A563C5"/>
    <w:rsid w:val="00A662C7"/>
    <w:rsid w:val="00A75769"/>
    <w:rsid w:val="00A76851"/>
    <w:rsid w:val="00A842B5"/>
    <w:rsid w:val="00A85D3C"/>
    <w:rsid w:val="00A86FFC"/>
    <w:rsid w:val="00A9274B"/>
    <w:rsid w:val="00A92AEC"/>
    <w:rsid w:val="00A938AC"/>
    <w:rsid w:val="00A9548D"/>
    <w:rsid w:val="00AA0971"/>
    <w:rsid w:val="00AA0A08"/>
    <w:rsid w:val="00AA175E"/>
    <w:rsid w:val="00AA39D8"/>
    <w:rsid w:val="00AA7A94"/>
    <w:rsid w:val="00AB041C"/>
    <w:rsid w:val="00AB227A"/>
    <w:rsid w:val="00AB2766"/>
    <w:rsid w:val="00AC13E0"/>
    <w:rsid w:val="00AC1F91"/>
    <w:rsid w:val="00AC6A69"/>
    <w:rsid w:val="00AD5F1F"/>
    <w:rsid w:val="00AE6F79"/>
    <w:rsid w:val="00B00111"/>
    <w:rsid w:val="00B07C35"/>
    <w:rsid w:val="00B07E1B"/>
    <w:rsid w:val="00B13C2E"/>
    <w:rsid w:val="00B158DA"/>
    <w:rsid w:val="00B22035"/>
    <w:rsid w:val="00B22182"/>
    <w:rsid w:val="00B26E99"/>
    <w:rsid w:val="00B34117"/>
    <w:rsid w:val="00B4097B"/>
    <w:rsid w:val="00B47984"/>
    <w:rsid w:val="00B47ED6"/>
    <w:rsid w:val="00B51C2B"/>
    <w:rsid w:val="00B61B95"/>
    <w:rsid w:val="00B64336"/>
    <w:rsid w:val="00B66558"/>
    <w:rsid w:val="00B67E19"/>
    <w:rsid w:val="00B81670"/>
    <w:rsid w:val="00B81CA2"/>
    <w:rsid w:val="00B8484B"/>
    <w:rsid w:val="00B87960"/>
    <w:rsid w:val="00B90EB1"/>
    <w:rsid w:val="00B92F2E"/>
    <w:rsid w:val="00B94C79"/>
    <w:rsid w:val="00BA0BFE"/>
    <w:rsid w:val="00BA1275"/>
    <w:rsid w:val="00BA2B51"/>
    <w:rsid w:val="00BA2C2F"/>
    <w:rsid w:val="00BA50CC"/>
    <w:rsid w:val="00BA6564"/>
    <w:rsid w:val="00BB1163"/>
    <w:rsid w:val="00BB382F"/>
    <w:rsid w:val="00BB47CC"/>
    <w:rsid w:val="00BB5D7B"/>
    <w:rsid w:val="00BB6CDE"/>
    <w:rsid w:val="00BC163C"/>
    <w:rsid w:val="00BC4107"/>
    <w:rsid w:val="00BC5AAB"/>
    <w:rsid w:val="00BD02ED"/>
    <w:rsid w:val="00BD6041"/>
    <w:rsid w:val="00BD732E"/>
    <w:rsid w:val="00BE1726"/>
    <w:rsid w:val="00BE1797"/>
    <w:rsid w:val="00BE601B"/>
    <w:rsid w:val="00BF019D"/>
    <w:rsid w:val="00BF1CBD"/>
    <w:rsid w:val="00BF4A7B"/>
    <w:rsid w:val="00BF5D44"/>
    <w:rsid w:val="00BF5FC2"/>
    <w:rsid w:val="00BF765D"/>
    <w:rsid w:val="00C15F6A"/>
    <w:rsid w:val="00C20AF1"/>
    <w:rsid w:val="00C26193"/>
    <w:rsid w:val="00C272F7"/>
    <w:rsid w:val="00C27D23"/>
    <w:rsid w:val="00C36970"/>
    <w:rsid w:val="00C373B5"/>
    <w:rsid w:val="00C37EE3"/>
    <w:rsid w:val="00C510DD"/>
    <w:rsid w:val="00C5325A"/>
    <w:rsid w:val="00C551FB"/>
    <w:rsid w:val="00C55637"/>
    <w:rsid w:val="00C55938"/>
    <w:rsid w:val="00C621C4"/>
    <w:rsid w:val="00C711D0"/>
    <w:rsid w:val="00C82888"/>
    <w:rsid w:val="00C83AE3"/>
    <w:rsid w:val="00C950BE"/>
    <w:rsid w:val="00C9672B"/>
    <w:rsid w:val="00CA05D6"/>
    <w:rsid w:val="00CA1583"/>
    <w:rsid w:val="00CA3A2F"/>
    <w:rsid w:val="00CA5EAD"/>
    <w:rsid w:val="00CC3B0F"/>
    <w:rsid w:val="00CC72FF"/>
    <w:rsid w:val="00CE4282"/>
    <w:rsid w:val="00CE4B6D"/>
    <w:rsid w:val="00CF433E"/>
    <w:rsid w:val="00CF49FB"/>
    <w:rsid w:val="00CF6761"/>
    <w:rsid w:val="00CF7B35"/>
    <w:rsid w:val="00CF7EBB"/>
    <w:rsid w:val="00D04B0B"/>
    <w:rsid w:val="00D07778"/>
    <w:rsid w:val="00D143EC"/>
    <w:rsid w:val="00D174EE"/>
    <w:rsid w:val="00D22098"/>
    <w:rsid w:val="00D24861"/>
    <w:rsid w:val="00D30DB0"/>
    <w:rsid w:val="00D31D77"/>
    <w:rsid w:val="00D36E7F"/>
    <w:rsid w:val="00D40EDD"/>
    <w:rsid w:val="00D511C7"/>
    <w:rsid w:val="00D53837"/>
    <w:rsid w:val="00D5547D"/>
    <w:rsid w:val="00D57E09"/>
    <w:rsid w:val="00D622CA"/>
    <w:rsid w:val="00D65354"/>
    <w:rsid w:val="00D65CAC"/>
    <w:rsid w:val="00D714EE"/>
    <w:rsid w:val="00D76C86"/>
    <w:rsid w:val="00D82B01"/>
    <w:rsid w:val="00D8607D"/>
    <w:rsid w:val="00D901E3"/>
    <w:rsid w:val="00D902C7"/>
    <w:rsid w:val="00D93200"/>
    <w:rsid w:val="00D97506"/>
    <w:rsid w:val="00DA539E"/>
    <w:rsid w:val="00DA7D78"/>
    <w:rsid w:val="00DB0A65"/>
    <w:rsid w:val="00DB50F9"/>
    <w:rsid w:val="00DB5B05"/>
    <w:rsid w:val="00DB6DA3"/>
    <w:rsid w:val="00DC206C"/>
    <w:rsid w:val="00DC33F9"/>
    <w:rsid w:val="00DC5483"/>
    <w:rsid w:val="00DC69DF"/>
    <w:rsid w:val="00DC7F34"/>
    <w:rsid w:val="00DD1067"/>
    <w:rsid w:val="00DD2285"/>
    <w:rsid w:val="00DD366F"/>
    <w:rsid w:val="00DD6B77"/>
    <w:rsid w:val="00DE39C6"/>
    <w:rsid w:val="00DE6C9C"/>
    <w:rsid w:val="00DE72CA"/>
    <w:rsid w:val="00DF08A2"/>
    <w:rsid w:val="00DF1A38"/>
    <w:rsid w:val="00DF2F3A"/>
    <w:rsid w:val="00DF3B94"/>
    <w:rsid w:val="00E002FB"/>
    <w:rsid w:val="00E00C4E"/>
    <w:rsid w:val="00E01C2F"/>
    <w:rsid w:val="00E07B48"/>
    <w:rsid w:val="00E14B40"/>
    <w:rsid w:val="00E17239"/>
    <w:rsid w:val="00E25757"/>
    <w:rsid w:val="00E262B2"/>
    <w:rsid w:val="00E3323D"/>
    <w:rsid w:val="00E4046F"/>
    <w:rsid w:val="00E55766"/>
    <w:rsid w:val="00E61391"/>
    <w:rsid w:val="00E7376E"/>
    <w:rsid w:val="00E752AF"/>
    <w:rsid w:val="00E820AF"/>
    <w:rsid w:val="00E820DD"/>
    <w:rsid w:val="00E90B6F"/>
    <w:rsid w:val="00E94125"/>
    <w:rsid w:val="00E949C7"/>
    <w:rsid w:val="00EB4183"/>
    <w:rsid w:val="00EB7086"/>
    <w:rsid w:val="00EC1B15"/>
    <w:rsid w:val="00EC3DB2"/>
    <w:rsid w:val="00EC7F75"/>
    <w:rsid w:val="00EE1A73"/>
    <w:rsid w:val="00EE3E4A"/>
    <w:rsid w:val="00EE5BF6"/>
    <w:rsid w:val="00EE677B"/>
    <w:rsid w:val="00EF4157"/>
    <w:rsid w:val="00EF6D74"/>
    <w:rsid w:val="00F00F97"/>
    <w:rsid w:val="00F06F7A"/>
    <w:rsid w:val="00F27CAD"/>
    <w:rsid w:val="00F349BC"/>
    <w:rsid w:val="00F3509F"/>
    <w:rsid w:val="00F378EC"/>
    <w:rsid w:val="00F55091"/>
    <w:rsid w:val="00F57E72"/>
    <w:rsid w:val="00F61345"/>
    <w:rsid w:val="00F7135B"/>
    <w:rsid w:val="00F83973"/>
    <w:rsid w:val="00F84694"/>
    <w:rsid w:val="00F85F78"/>
    <w:rsid w:val="00F9162E"/>
    <w:rsid w:val="00F93B66"/>
    <w:rsid w:val="00F941F6"/>
    <w:rsid w:val="00F946EC"/>
    <w:rsid w:val="00FA1FD0"/>
    <w:rsid w:val="00FA716C"/>
    <w:rsid w:val="00FB2C85"/>
    <w:rsid w:val="00FC0509"/>
    <w:rsid w:val="00FC13B6"/>
    <w:rsid w:val="00FC32D9"/>
    <w:rsid w:val="00FC43AB"/>
    <w:rsid w:val="00FC64B9"/>
    <w:rsid w:val="00FD5242"/>
    <w:rsid w:val="00FE0467"/>
    <w:rsid w:val="00FE2031"/>
    <w:rsid w:val="00FF0319"/>
    <w:rsid w:val="00FF0A72"/>
    <w:rsid w:val="00FF1A4E"/>
    <w:rsid w:val="00FF24A6"/>
    <w:rsid w:val="013BB148"/>
    <w:rsid w:val="019AC3D6"/>
    <w:rsid w:val="01B5D57D"/>
    <w:rsid w:val="02EA5A36"/>
    <w:rsid w:val="03116BA7"/>
    <w:rsid w:val="033F55F7"/>
    <w:rsid w:val="03AF6763"/>
    <w:rsid w:val="04D2B5B4"/>
    <w:rsid w:val="05B3A7CB"/>
    <w:rsid w:val="061562F2"/>
    <w:rsid w:val="0646C25F"/>
    <w:rsid w:val="075DB0DC"/>
    <w:rsid w:val="07E61495"/>
    <w:rsid w:val="08154B79"/>
    <w:rsid w:val="08C2E75B"/>
    <w:rsid w:val="09DD266A"/>
    <w:rsid w:val="09EFB6C7"/>
    <w:rsid w:val="0A58367B"/>
    <w:rsid w:val="0A6EB6F0"/>
    <w:rsid w:val="0AA8D0A4"/>
    <w:rsid w:val="0B73FE57"/>
    <w:rsid w:val="0C2ECAE5"/>
    <w:rsid w:val="0D391C33"/>
    <w:rsid w:val="0D81357D"/>
    <w:rsid w:val="0E2B9491"/>
    <w:rsid w:val="0E47AD7D"/>
    <w:rsid w:val="0E8E4C2D"/>
    <w:rsid w:val="0EB432BA"/>
    <w:rsid w:val="0F5C2184"/>
    <w:rsid w:val="0FA95D53"/>
    <w:rsid w:val="11760183"/>
    <w:rsid w:val="118073AF"/>
    <w:rsid w:val="11CE6CB3"/>
    <w:rsid w:val="12147DFD"/>
    <w:rsid w:val="128FBBB6"/>
    <w:rsid w:val="1313012A"/>
    <w:rsid w:val="13830316"/>
    <w:rsid w:val="13A6DBC9"/>
    <w:rsid w:val="13C7A344"/>
    <w:rsid w:val="1407E5BB"/>
    <w:rsid w:val="148FB40D"/>
    <w:rsid w:val="149BDB92"/>
    <w:rsid w:val="14BB8D7F"/>
    <w:rsid w:val="152D6A31"/>
    <w:rsid w:val="167381C4"/>
    <w:rsid w:val="16B7AA8F"/>
    <w:rsid w:val="16BE427D"/>
    <w:rsid w:val="18260155"/>
    <w:rsid w:val="188090BB"/>
    <w:rsid w:val="189DEF8F"/>
    <w:rsid w:val="19AB30E8"/>
    <w:rsid w:val="1A0FC1C6"/>
    <w:rsid w:val="1A1CCE5B"/>
    <w:rsid w:val="1AB6ECE4"/>
    <w:rsid w:val="1AFF6BCC"/>
    <w:rsid w:val="1B250A49"/>
    <w:rsid w:val="1D6458B7"/>
    <w:rsid w:val="1E43593B"/>
    <w:rsid w:val="1EF7FBBC"/>
    <w:rsid w:val="1F75A32E"/>
    <w:rsid w:val="1F92CC0C"/>
    <w:rsid w:val="20609C57"/>
    <w:rsid w:val="20B069A6"/>
    <w:rsid w:val="213CC3C8"/>
    <w:rsid w:val="2178909F"/>
    <w:rsid w:val="217B6200"/>
    <w:rsid w:val="23F72472"/>
    <w:rsid w:val="253F4EA9"/>
    <w:rsid w:val="25D2D0F0"/>
    <w:rsid w:val="265A9735"/>
    <w:rsid w:val="265B496A"/>
    <w:rsid w:val="26A2DD3D"/>
    <w:rsid w:val="27A7FCA9"/>
    <w:rsid w:val="27D0752E"/>
    <w:rsid w:val="27F1F51D"/>
    <w:rsid w:val="282B8A0B"/>
    <w:rsid w:val="2897D3D9"/>
    <w:rsid w:val="2904ED27"/>
    <w:rsid w:val="292CAAC7"/>
    <w:rsid w:val="298CC1ED"/>
    <w:rsid w:val="29F2121B"/>
    <w:rsid w:val="2A38B049"/>
    <w:rsid w:val="2ADD514D"/>
    <w:rsid w:val="2BA3A7A9"/>
    <w:rsid w:val="2BB63652"/>
    <w:rsid w:val="2C279C9D"/>
    <w:rsid w:val="2C7D30D8"/>
    <w:rsid w:val="2CF62823"/>
    <w:rsid w:val="2D688A1A"/>
    <w:rsid w:val="2E26295E"/>
    <w:rsid w:val="2E95EC14"/>
    <w:rsid w:val="2F2194A4"/>
    <w:rsid w:val="2FE77AF7"/>
    <w:rsid w:val="2FF9BD82"/>
    <w:rsid w:val="31A90127"/>
    <w:rsid w:val="31D76D19"/>
    <w:rsid w:val="323CE7DD"/>
    <w:rsid w:val="333F345D"/>
    <w:rsid w:val="33F4135D"/>
    <w:rsid w:val="3519CA3C"/>
    <w:rsid w:val="360124AF"/>
    <w:rsid w:val="3700E26C"/>
    <w:rsid w:val="37FAD0F2"/>
    <w:rsid w:val="38181152"/>
    <w:rsid w:val="3880C5A7"/>
    <w:rsid w:val="39E21F5D"/>
    <w:rsid w:val="3A12C918"/>
    <w:rsid w:val="3B0EDC0F"/>
    <w:rsid w:val="3B365887"/>
    <w:rsid w:val="3B695913"/>
    <w:rsid w:val="3F14BD1C"/>
    <w:rsid w:val="3FC73408"/>
    <w:rsid w:val="405032E9"/>
    <w:rsid w:val="41A7E1A6"/>
    <w:rsid w:val="42E0386C"/>
    <w:rsid w:val="437B5F05"/>
    <w:rsid w:val="438FD529"/>
    <w:rsid w:val="44CE3572"/>
    <w:rsid w:val="44E349F5"/>
    <w:rsid w:val="44F4204D"/>
    <w:rsid w:val="4664BF67"/>
    <w:rsid w:val="47240D60"/>
    <w:rsid w:val="47EAB5CB"/>
    <w:rsid w:val="4800C85E"/>
    <w:rsid w:val="48F43033"/>
    <w:rsid w:val="495B7E1C"/>
    <w:rsid w:val="49B10A06"/>
    <w:rsid w:val="49ED6F46"/>
    <w:rsid w:val="4AAFBAB8"/>
    <w:rsid w:val="4AE08545"/>
    <w:rsid w:val="4B9B3089"/>
    <w:rsid w:val="4BC70554"/>
    <w:rsid w:val="4BD1DF30"/>
    <w:rsid w:val="4BD20C08"/>
    <w:rsid w:val="4BD55F19"/>
    <w:rsid w:val="4BF7EE35"/>
    <w:rsid w:val="4C17DDC8"/>
    <w:rsid w:val="4CE79225"/>
    <w:rsid w:val="4D29CD9F"/>
    <w:rsid w:val="4E26A7EF"/>
    <w:rsid w:val="4EB7DBFE"/>
    <w:rsid w:val="4EC439C9"/>
    <w:rsid w:val="4FBDDA3A"/>
    <w:rsid w:val="507134A2"/>
    <w:rsid w:val="50892A09"/>
    <w:rsid w:val="50AB8F57"/>
    <w:rsid w:val="51123E0A"/>
    <w:rsid w:val="517282AD"/>
    <w:rsid w:val="518E0F77"/>
    <w:rsid w:val="51B7FE1C"/>
    <w:rsid w:val="51C59DB0"/>
    <w:rsid w:val="52CA594D"/>
    <w:rsid w:val="5319880A"/>
    <w:rsid w:val="532AFCB9"/>
    <w:rsid w:val="533195FD"/>
    <w:rsid w:val="54F2EB83"/>
    <w:rsid w:val="5622FDFA"/>
    <w:rsid w:val="564C028D"/>
    <w:rsid w:val="57302662"/>
    <w:rsid w:val="575F0852"/>
    <w:rsid w:val="57802853"/>
    <w:rsid w:val="5791487D"/>
    <w:rsid w:val="57B4920E"/>
    <w:rsid w:val="58C1EEE9"/>
    <w:rsid w:val="594ADFD7"/>
    <w:rsid w:val="595EBAE8"/>
    <w:rsid w:val="59E2B71E"/>
    <w:rsid w:val="5B0DCB46"/>
    <w:rsid w:val="5CDCE74C"/>
    <w:rsid w:val="5D0E34C3"/>
    <w:rsid w:val="5D8563DE"/>
    <w:rsid w:val="5DCD2323"/>
    <w:rsid w:val="5F9C6D06"/>
    <w:rsid w:val="5FA6C6AC"/>
    <w:rsid w:val="6051C779"/>
    <w:rsid w:val="60796FB2"/>
    <w:rsid w:val="6167F849"/>
    <w:rsid w:val="61761500"/>
    <w:rsid w:val="618B2F09"/>
    <w:rsid w:val="61A75EAC"/>
    <w:rsid w:val="62B35BD0"/>
    <w:rsid w:val="62C11DE6"/>
    <w:rsid w:val="62F03337"/>
    <w:rsid w:val="630DC4AA"/>
    <w:rsid w:val="63781A34"/>
    <w:rsid w:val="63B1F532"/>
    <w:rsid w:val="63B67F20"/>
    <w:rsid w:val="6411645E"/>
    <w:rsid w:val="6417B6D2"/>
    <w:rsid w:val="6490B8EE"/>
    <w:rsid w:val="6493686A"/>
    <w:rsid w:val="64CEE565"/>
    <w:rsid w:val="652E3DA9"/>
    <w:rsid w:val="6575C3AD"/>
    <w:rsid w:val="65BE33AD"/>
    <w:rsid w:val="65EEDDF6"/>
    <w:rsid w:val="66242EBC"/>
    <w:rsid w:val="6712E9CD"/>
    <w:rsid w:val="68721400"/>
    <w:rsid w:val="68AA7C5C"/>
    <w:rsid w:val="69520CBC"/>
    <w:rsid w:val="697B89FA"/>
    <w:rsid w:val="6A760528"/>
    <w:rsid w:val="6B2DB47A"/>
    <w:rsid w:val="6B32FB4E"/>
    <w:rsid w:val="6BAECEDC"/>
    <w:rsid w:val="6C0F843B"/>
    <w:rsid w:val="6C198A37"/>
    <w:rsid w:val="6C23D07B"/>
    <w:rsid w:val="6CCB30BA"/>
    <w:rsid w:val="6D6B001B"/>
    <w:rsid w:val="6E3EAF00"/>
    <w:rsid w:val="6EA2B9E8"/>
    <w:rsid w:val="6F8E237F"/>
    <w:rsid w:val="6FC20C66"/>
    <w:rsid w:val="6FDB0D7A"/>
    <w:rsid w:val="6FE40A65"/>
    <w:rsid w:val="6FEA3205"/>
    <w:rsid w:val="70229DE5"/>
    <w:rsid w:val="705D8E44"/>
    <w:rsid w:val="70ED2BC4"/>
    <w:rsid w:val="717C8463"/>
    <w:rsid w:val="72A5CF70"/>
    <w:rsid w:val="72B696DA"/>
    <w:rsid w:val="72CA951C"/>
    <w:rsid w:val="7305FA56"/>
    <w:rsid w:val="736BA8BE"/>
    <w:rsid w:val="740CA441"/>
    <w:rsid w:val="74325B16"/>
    <w:rsid w:val="74ADD8F3"/>
    <w:rsid w:val="74BFC6C8"/>
    <w:rsid w:val="75A18388"/>
    <w:rsid w:val="75B5EB02"/>
    <w:rsid w:val="76AF932A"/>
    <w:rsid w:val="76F93AB8"/>
    <w:rsid w:val="78095C05"/>
    <w:rsid w:val="7861D311"/>
    <w:rsid w:val="78624A85"/>
    <w:rsid w:val="7881FA6E"/>
    <w:rsid w:val="793252EA"/>
    <w:rsid w:val="79382D05"/>
    <w:rsid w:val="79CA6A38"/>
    <w:rsid w:val="7A333994"/>
    <w:rsid w:val="7A3FE97D"/>
    <w:rsid w:val="7A9E27E3"/>
    <w:rsid w:val="7B246067"/>
    <w:rsid w:val="7B3D4C31"/>
    <w:rsid w:val="7B771042"/>
    <w:rsid w:val="7B9FCDC0"/>
    <w:rsid w:val="7C08141B"/>
    <w:rsid w:val="7CD2695A"/>
    <w:rsid w:val="7DAAB485"/>
    <w:rsid w:val="7E00E022"/>
    <w:rsid w:val="7E2C5E4B"/>
    <w:rsid w:val="7E971CEF"/>
    <w:rsid w:val="7F2587D7"/>
    <w:rsid w:val="7FC28794"/>
    <w:rsid w:val="7FFC6A6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65C460B"/>
  <w15:chartTrackingRefBased/>
  <w15:docId w15:val="{9E614597-4123-4C74-95D8-7A0E43AA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7142"/>
    <w:rPr>
      <w:rFonts w:ascii="Arial" w:hAnsi="Arial" w:cs="Arial"/>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jc w:val="both"/>
    </w:pPr>
    <w:rPr>
      <w:rFonts w:ascii="Times New Roman" w:hAnsi="Times New Roman" w:cs="Times New Roman"/>
      <w:b/>
      <w:bCs/>
      <w:sz w:val="24"/>
    </w:rPr>
  </w:style>
  <w:style w:type="paragraph" w:styleId="BodyText">
    <w:name w:val="Body Text"/>
    <w:basedOn w:val="Normal"/>
    <w:pPr>
      <w:tabs>
        <w:tab w:val="left" w:pos="-1440"/>
      </w:tabs>
      <w:ind w:right="540"/>
      <w:jc w:val="both"/>
    </w:pPr>
    <w:rPr>
      <w:rFonts w:ascii="Times New Roman" w:hAnsi="Times New Roman" w:cs="Times New Roman"/>
      <w:sz w:val="24"/>
      <w:szCs w:val="28"/>
    </w:rPr>
  </w:style>
  <w:style w:type="character" w:styleId="PageNumber">
    <w:name w:val="page number"/>
    <w:basedOn w:val="DefaultParagraphFont"/>
    <w:rsid w:val="00BF765D"/>
  </w:style>
  <w:style w:type="paragraph" w:styleId="BalloonText">
    <w:name w:val="Balloon Text"/>
    <w:basedOn w:val="Normal"/>
    <w:semiHidden/>
    <w:rsid w:val="00E820AF"/>
    <w:rPr>
      <w:rFonts w:cs="Tahoma"/>
      <w:sz w:val="16"/>
      <w:szCs w:val="16"/>
    </w:rPr>
  </w:style>
  <w:style w:type="paragraph" w:styleId="ListParagraph">
    <w:name w:val="List Paragraph"/>
    <w:basedOn w:val="Normal"/>
    <w:uiPriority w:val="34"/>
    <w:qFormat/>
    <w:rsid w:val="00920150"/>
    <w:pPr>
      <w:ind w:left="720"/>
    </w:pPr>
  </w:style>
  <w:style w:type="character" w:styleId="Hyperlink">
    <w:name w:val="Hyperlink"/>
    <w:rsid w:val="0094020F"/>
    <w:rPr>
      <w:color w:val="0000FF"/>
      <w:u w:val="single"/>
    </w:rPr>
  </w:style>
  <w:style w:type="character" w:styleId="FollowedHyperlink">
    <w:name w:val="FollowedHyperlink"/>
    <w:rsid w:val="0094020F"/>
    <w:rPr>
      <w:color w:val="800080"/>
      <w:u w:val="single"/>
    </w:rPr>
  </w:style>
  <w:style w:type="character" w:styleId="CommentReference">
    <w:name w:val="annotation reference"/>
    <w:basedOn w:val="DefaultParagraphFont"/>
    <w:rsid w:val="00E7376E"/>
    <w:rPr>
      <w:sz w:val="16"/>
      <w:szCs w:val="16"/>
    </w:rPr>
  </w:style>
  <w:style w:type="paragraph" w:styleId="CommentText">
    <w:name w:val="annotation text"/>
    <w:basedOn w:val="Normal"/>
    <w:link w:val="CommentTextChar"/>
    <w:rsid w:val="00E7376E"/>
    <w:rPr>
      <w:sz w:val="20"/>
    </w:rPr>
  </w:style>
  <w:style w:type="character" w:customStyle="1" w:styleId="CommentTextChar">
    <w:name w:val="Comment Text Char"/>
    <w:basedOn w:val="DefaultParagraphFont"/>
    <w:link w:val="CommentText"/>
    <w:rsid w:val="00E7376E"/>
    <w:rPr>
      <w:rFonts w:ascii="Arial" w:hAnsi="Arial" w:cs="Arial"/>
      <w:snapToGrid w:val="0"/>
    </w:rPr>
  </w:style>
  <w:style w:type="paragraph" w:styleId="CommentSubject">
    <w:name w:val="annotation subject"/>
    <w:basedOn w:val="CommentText"/>
    <w:next w:val="CommentText"/>
    <w:link w:val="CommentSubjectChar"/>
    <w:rsid w:val="00E7376E"/>
    <w:rPr>
      <w:b/>
      <w:bCs/>
    </w:rPr>
  </w:style>
  <w:style w:type="character" w:customStyle="1" w:styleId="CommentSubjectChar">
    <w:name w:val="Comment Subject Char"/>
    <w:basedOn w:val="CommentTextChar"/>
    <w:link w:val="CommentSubject"/>
    <w:rsid w:val="00E7376E"/>
    <w:rPr>
      <w:rFonts w:ascii="Arial" w:hAnsi="Arial" w:cs="Arial"/>
      <w:b/>
      <w:bCs/>
      <w:snapToGrid w:val="0"/>
    </w:rPr>
  </w:style>
  <w:style w:type="paragraph" w:styleId="Revision">
    <w:name w:val="Revision"/>
    <w:hidden/>
    <w:uiPriority w:val="99"/>
    <w:semiHidden/>
    <w:rsid w:val="008452F3"/>
    <w:rPr>
      <w:rFonts w:ascii="Arial" w:hAnsi="Arial" w:cs="Arial"/>
      <w:snapToGrid w:val="0"/>
      <w:sz w:val="22"/>
    </w:rPr>
  </w:style>
  <w:style w:type="character" w:styleId="UnresolvedMention">
    <w:name w:val="Unresolved Mention"/>
    <w:basedOn w:val="DefaultParagraphFont"/>
    <w:uiPriority w:val="99"/>
    <w:semiHidden/>
    <w:unhideWhenUsed/>
    <w:rsid w:val="00767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rrb.gov/sites/default/files/2017-06/PIA-BPO.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D2C7176E56E1042B7855C28E3F63E9F" ma:contentTypeVersion="4" ma:contentTypeDescription="Create a new document." ma:contentTypeScope="" ma:versionID="5e72175871402173dec8b2c1012e7474">
  <xsd:schema xmlns:xsd="http://www.w3.org/2001/XMLSchema" xmlns:xs="http://www.w3.org/2001/XMLSchema" xmlns:p="http://schemas.microsoft.com/office/2006/metadata/properties" xmlns:ns2="82ef34c2-bef9-414d-b55c-20bfb0e6e1a9" targetNamespace="http://schemas.microsoft.com/office/2006/metadata/properties" ma:root="true" ma:fieldsID="4491d19629fbed56bec7fe8327dc530f" ns2:_="">
    <xsd:import namespace="82ef34c2-bef9-414d-b55c-20bfb0e6e1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f34c2-bef9-414d-b55c-20bfb0e6e1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B8AE78-2F3D-4EBA-9829-700830B1EE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374E05-E1C7-4A54-AA9F-73FD23D2EFBD}">
  <ds:schemaRefs>
    <ds:schemaRef ds:uri="http://schemas.openxmlformats.org/officeDocument/2006/bibliography"/>
  </ds:schemaRefs>
</ds:datastoreItem>
</file>

<file path=customXml/itemProps3.xml><?xml version="1.0" encoding="utf-8"?>
<ds:datastoreItem xmlns:ds="http://schemas.openxmlformats.org/officeDocument/2006/customXml" ds:itemID="{EB805412-650F-4CFB-844F-FD09CC802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f34c2-bef9-414d-b55c-20bfb0e6e1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A16745-EA53-4DC4-B88E-5B0F2D8B87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1126</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Justification</vt:lpstr>
    </vt:vector>
  </TitlesOfParts>
  <Company>ft</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Darlene Velez</dc:creator>
  <cp:lastModifiedBy>Foster, Brian D.</cp:lastModifiedBy>
  <cp:revision>6</cp:revision>
  <cp:lastPrinted>2018-01-09T03:03:00Z</cp:lastPrinted>
  <dcterms:created xsi:type="dcterms:W3CDTF">2025-08-07T14:14:00Z</dcterms:created>
  <dcterms:modified xsi:type="dcterms:W3CDTF">2025-08-07T15:13:00Z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0x0101000D2C7176E56E1042B7855C28E3F63E9F</vt:lpwstr>
  </property>
  <property fmtid="{D5CDD505-2E9C-101B-9397-08002B2CF9AE}" pid="3" name="MSIP_Label_1cd1430f-2c0b-4901-b6c7-3aa2a1c3e0b3_ActionId">
    <vt:lpwstr>1cb9862a-8b40-4c10-9d5b-04e9195b954f</vt:lpwstr>
  </property>
  <property fmtid="{D5CDD505-2E9C-101B-9397-08002B2CF9AE}" pid="4" name="MSIP_Label_1cd1430f-2c0b-4901-b6c7-3aa2a1c3e0b3_ContentBits">
    <vt:lpwstr>0</vt:lpwstr>
  </property>
  <property fmtid="{D5CDD505-2E9C-101B-9397-08002B2CF9AE}" pid="5" name="MSIP_Label_1cd1430f-2c0b-4901-b6c7-3aa2a1c3e0b3_Enabled">
    <vt:lpwstr>true</vt:lpwstr>
  </property>
  <property fmtid="{D5CDD505-2E9C-101B-9397-08002B2CF9AE}" pid="6" name="MSIP_Label_1cd1430f-2c0b-4901-b6c7-3aa2a1c3e0b3_Method">
    <vt:lpwstr>Standard</vt:lpwstr>
  </property>
  <property fmtid="{D5CDD505-2E9C-101B-9397-08002B2CF9AE}" pid="7" name="MSIP_Label_1cd1430f-2c0b-4901-b6c7-3aa2a1c3e0b3_Name">
    <vt:lpwstr>Public</vt:lpwstr>
  </property>
  <property fmtid="{D5CDD505-2E9C-101B-9397-08002B2CF9AE}" pid="8" name="MSIP_Label_1cd1430f-2c0b-4901-b6c7-3aa2a1c3e0b3_SetDate">
    <vt:lpwstr>2025-02-26T14:15:41Z</vt:lpwstr>
  </property>
  <property fmtid="{D5CDD505-2E9C-101B-9397-08002B2CF9AE}" pid="9" name="MSIP_Label_1cd1430f-2c0b-4901-b6c7-3aa2a1c3e0b3_SiteId">
    <vt:lpwstr>1e57432d-31e2-496a-bec6-f2a69ad917b2</vt:lpwstr>
  </property>
  <property fmtid="{D5CDD505-2E9C-101B-9397-08002B2CF9AE}" pid="10" name="MSIP_Label_1cd1430f-2c0b-4901-b6c7-3aa2a1c3e0b3_Tag">
    <vt:lpwstr>10, 3, 0, 2</vt:lpwstr>
  </property>
</Properties>
</file>