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50E10" w:rsidRPr="00BA61E8" w:rsidP="00BA61E8" w14:paraId="24BB53FC" w14:textId="6257FBC4">
      <w:pPr>
        <w:jc w:val="center"/>
      </w:pPr>
      <w:r>
        <w:t>Cognitive Testing of Supplemental Nutrition Assistance Program</w:t>
      </w:r>
      <w:r w:rsidR="005548F2">
        <w:t xml:space="preserve"> Client</w:t>
      </w:r>
      <w:r>
        <w:t xml:space="preserve"> </w:t>
      </w:r>
      <w:r w:rsidR="005548F2">
        <w:t xml:space="preserve">Integrity </w:t>
      </w:r>
      <w:r>
        <w:t>Messaging</w:t>
      </w:r>
      <w:r w:rsidR="007C5224">
        <w:t>,</w:t>
      </w:r>
      <w:r>
        <w:t xml:space="preserve"> </w:t>
      </w:r>
      <w:r w:rsidR="001054C0">
        <w:t xml:space="preserve">     </w:t>
      </w:r>
      <w:r>
        <w:t>Submitted Under Generic Clearance for Questionnaire Pretesting</w:t>
      </w:r>
    </w:p>
    <w:p w:rsidR="00BE7D94" w:rsidRPr="00282AC3" w:rsidP="0027657A" w14:paraId="183C9DE9" w14:textId="77777777">
      <w:pPr>
        <w:jc w:val="center"/>
        <w:rPr>
          <w:b/>
          <w:color w:val="000000"/>
          <w:sz w:val="24"/>
          <w:szCs w:val="24"/>
        </w:rPr>
      </w:pPr>
      <w:r w:rsidRPr="00282AC3">
        <w:rPr>
          <w:b/>
          <w:color w:val="000000"/>
          <w:sz w:val="24"/>
          <w:szCs w:val="24"/>
        </w:rPr>
        <w:t>Generic Information Collection Request Addendum</w:t>
      </w:r>
    </w:p>
    <w:p w:rsidR="00BE7D94" w14:paraId="1AEBFDA8" w14:textId="1E28B796">
      <w:r w:rsidRPr="00BA61E8">
        <w:rPr>
          <w:b/>
        </w:rPr>
        <w:t>Request:</w:t>
      </w:r>
      <w:r>
        <w:t xml:space="preserve"> </w:t>
      </w:r>
      <w:r w:rsidRPr="00BE7D94">
        <w:t>As indicated in the original OMB submission titled, “</w:t>
      </w:r>
      <w:r>
        <w:t>Cognitive Testing of Supplemental Nutrition Assistance Program Client Integrity Messaging</w:t>
      </w:r>
      <w:r w:rsidRPr="00BE7D94">
        <w:t>” and approved on</w:t>
      </w:r>
      <w:r>
        <w:t xml:space="preserve"> January 13, 2023</w:t>
      </w:r>
      <w:r w:rsidR="008B7F23">
        <w:t xml:space="preserve">, we had planned to conduct up to 30 interviews in three </w:t>
      </w:r>
      <w:r w:rsidR="000E1EB3">
        <w:t>different states/</w:t>
      </w:r>
      <w:r w:rsidR="008B7F23">
        <w:t xml:space="preserve">jurisdictions. </w:t>
      </w:r>
      <w:r w:rsidR="004A3296">
        <w:t>This request is to increase the number of interviews from 30 to 40 in the same locations</w:t>
      </w:r>
      <w:r w:rsidR="009A54A7">
        <w:t xml:space="preserve"> (Washington, DC and Pennsylvania)</w:t>
      </w:r>
      <w:r w:rsidR="004A3296">
        <w:t xml:space="preserve">. Due to a reduction in scope, we are reducing the number of locations for the overall study and increasing interviews in remaining locations. </w:t>
      </w:r>
      <w:r w:rsidR="008B7F23">
        <w:t xml:space="preserve">We </w:t>
      </w:r>
      <w:r w:rsidR="00E57B77">
        <w:t>plan</w:t>
      </w:r>
      <w:r w:rsidR="008B7F23">
        <w:t xml:space="preserve"> to submit a separate request for </w:t>
      </w:r>
      <w:r w:rsidR="009A54A7">
        <w:t xml:space="preserve">the remaining </w:t>
      </w:r>
      <w:r w:rsidR="008B7F23">
        <w:t>interviews</w:t>
      </w:r>
      <w:r w:rsidR="009A54A7">
        <w:t xml:space="preserve"> in April,</w:t>
      </w:r>
      <w:r w:rsidR="008B7F23">
        <w:t xml:space="preserve"> for a total of 50 interviews for our entire project. </w:t>
      </w:r>
    </w:p>
    <w:p w:rsidR="00E522E5" w:rsidRPr="00647667" w14:paraId="10235803" w14:textId="15E64CC1">
      <w:pPr>
        <w:rPr>
          <w:b/>
        </w:rPr>
      </w:pPr>
      <w:r>
        <w:rPr>
          <w:b/>
        </w:rPr>
        <w:t xml:space="preserve">Purpose: </w:t>
      </w:r>
      <w:r w:rsidRPr="00BE7D94" w:rsidR="00BE7D94">
        <w:rPr>
          <w:bCs/>
        </w:rPr>
        <w:t xml:space="preserve">The purpose of this project remains the same. The results of </w:t>
      </w:r>
      <w:r w:rsidR="0027657A">
        <w:rPr>
          <w:bCs/>
        </w:rPr>
        <w:t>this study</w:t>
      </w:r>
      <w:r w:rsidRPr="00BE7D94" w:rsidR="00BE7D94">
        <w:rPr>
          <w:bCs/>
        </w:rPr>
        <w:t xml:space="preserve"> will </w:t>
      </w:r>
      <w:r w:rsidR="00647667">
        <w:rPr>
          <w:bCs/>
        </w:rPr>
        <w:t xml:space="preserve">be used to </w:t>
      </w:r>
      <w:r w:rsidR="00647667">
        <w:t xml:space="preserve">evaluate SNAP Client Integrity messages used in each jurisdiction with regard to whether they are clear and easy to understand, and to improve the guidance provided to states </w:t>
      </w:r>
      <w:r w:rsidR="0027657A">
        <w:t>for</w:t>
      </w:r>
      <w:r w:rsidR="00647667">
        <w:t xml:space="preserve"> crafting Client Integrity messages by the Food and Nutrition Service, which administers SNAP.</w:t>
      </w:r>
      <w:r w:rsidR="00E81B8D">
        <w:t xml:space="preserve"> </w:t>
      </w:r>
    </w:p>
    <w:p w:rsidR="00DF1F41" w14:paraId="03C588A0" w14:textId="27D40FAB">
      <w:pPr>
        <w:rPr>
          <w:b/>
        </w:rPr>
      </w:pPr>
      <w:r>
        <w:rPr>
          <w:b/>
        </w:rPr>
        <w:t>Popul</w:t>
      </w:r>
      <w:r w:rsidR="00974826">
        <w:rPr>
          <w:b/>
        </w:rPr>
        <w:t xml:space="preserve">ation of Interest: </w:t>
      </w:r>
      <w:r w:rsidR="00647667">
        <w:t>No change.</w:t>
      </w:r>
    </w:p>
    <w:p w:rsidR="00974826" w:rsidRPr="00974826" w14:paraId="22BB3558" w14:textId="668B47D7">
      <w:r>
        <w:rPr>
          <w:b/>
        </w:rPr>
        <w:t xml:space="preserve">Timeline: </w:t>
      </w:r>
      <w:r w:rsidR="00647667">
        <w:t>No change.</w:t>
      </w:r>
      <w:r w:rsidRPr="00C32782">
        <w:rPr>
          <w:szCs w:val="24"/>
        </w:rPr>
        <w:t xml:space="preserve"> </w:t>
      </w:r>
    </w:p>
    <w:p w:rsidR="004865B3" w:rsidP="004865B3" w14:paraId="09A5A468" w14:textId="5C0A9382">
      <w:pPr>
        <w:shd w:val="clear" w:color="auto" w:fill="FFFFFF" w:themeFill="background1"/>
        <w:rPr>
          <w:b/>
        </w:rPr>
      </w:pPr>
      <w:r w:rsidRPr="24D7F6F7">
        <w:rPr>
          <w:b/>
          <w:color w:val="000000" w:themeColor="text1"/>
        </w:rPr>
        <w:t>Language</w:t>
      </w:r>
      <w:r w:rsidRPr="24D7F6F7">
        <w:rPr>
          <w:color w:val="000000" w:themeColor="text1"/>
        </w:rPr>
        <w:t xml:space="preserve">: </w:t>
      </w:r>
      <w:r w:rsidR="00647667">
        <w:rPr>
          <w:color w:val="000000" w:themeColor="text1"/>
        </w:rPr>
        <w:t>No change.</w:t>
      </w:r>
    </w:p>
    <w:p w:rsidR="00974826" w:rsidP="004920F4" w14:paraId="297362C5" w14:textId="0622587F">
      <w:pPr>
        <w:rPr>
          <w:b/>
        </w:rPr>
      </w:pPr>
      <w:r>
        <w:rPr>
          <w:b/>
        </w:rPr>
        <w:t xml:space="preserve">Sample: </w:t>
      </w:r>
      <w:r w:rsidR="00647667">
        <w:t>No change.</w:t>
      </w:r>
    </w:p>
    <w:p w:rsidR="00AE7EBD" w:rsidRPr="00567F77" w:rsidP="00AE7EBD" w14:paraId="52514D39" w14:textId="3A09A763">
      <w:r>
        <w:rPr>
          <w:b/>
        </w:rPr>
        <w:t xml:space="preserve">Recruitment: </w:t>
      </w:r>
      <w:r w:rsidR="00647667">
        <w:t>No change.</w:t>
      </w:r>
    </w:p>
    <w:p w:rsidR="00F569E8" w:rsidP="00647667" w14:paraId="733145A1" w14:textId="4CEA1E31">
      <w:r>
        <w:rPr>
          <w:b/>
        </w:rPr>
        <w:t>Location</w:t>
      </w:r>
      <w:r w:rsidR="00605398">
        <w:rPr>
          <w:b/>
        </w:rPr>
        <w:t>s</w:t>
      </w:r>
      <w:r>
        <w:rPr>
          <w:b/>
        </w:rPr>
        <w:t xml:space="preserve"> of interviews</w:t>
      </w:r>
      <w:r w:rsidR="005C175F">
        <w:rPr>
          <w:b/>
        </w:rPr>
        <w:t xml:space="preserve">: </w:t>
      </w:r>
      <w:r w:rsidRPr="00647667" w:rsidR="00647667">
        <w:rPr>
          <w:bCs/>
        </w:rPr>
        <w:t>No change.</w:t>
      </w:r>
      <w:r w:rsidR="00647667">
        <w:t xml:space="preserve"> The additional</w:t>
      </w:r>
      <w:r w:rsidR="005C175F">
        <w:t xml:space="preserve"> i</w:t>
      </w:r>
      <w:r w:rsidR="00AE7EBD">
        <w:t xml:space="preserve">nterviews will be conducted </w:t>
      </w:r>
      <w:r>
        <w:t xml:space="preserve">in </w:t>
      </w:r>
      <w:r w:rsidR="00647667">
        <w:t>two of the jurisdictions for which we already have approval</w:t>
      </w:r>
      <w:r>
        <w:t>:</w:t>
      </w:r>
      <w:r w:rsidR="00647667">
        <w:t xml:space="preserve"> </w:t>
      </w:r>
      <w:r>
        <w:t>Scranton</w:t>
      </w:r>
      <w:r w:rsidR="004E3415">
        <w:t>, Pennsylvania</w:t>
      </w:r>
      <w:r w:rsidR="00647667">
        <w:t xml:space="preserve">, and the </w:t>
      </w:r>
      <w:r>
        <w:t>District of Columbia</w:t>
      </w:r>
      <w:r w:rsidR="00647667">
        <w:t>.</w:t>
      </w:r>
    </w:p>
    <w:p w:rsidR="00605398" w:rsidP="00647667" w14:paraId="2AD101D7" w14:textId="4FC7C745">
      <w:r>
        <w:rPr>
          <w:b/>
        </w:rPr>
        <w:t>Protocol:</w:t>
      </w:r>
      <w:r w:rsidR="00E6205A">
        <w:rPr>
          <w:b/>
        </w:rPr>
        <w:t xml:space="preserve"> </w:t>
      </w:r>
      <w:r w:rsidR="00647667">
        <w:t>No change.</w:t>
      </w:r>
    </w:p>
    <w:p w:rsidR="005C175F" w:rsidP="003C6A4B" w14:paraId="07641572" w14:textId="1355C5B0">
      <w:pPr>
        <w:rPr>
          <w:b/>
        </w:rPr>
      </w:pPr>
      <w:r>
        <w:rPr>
          <w:b/>
        </w:rPr>
        <w:t xml:space="preserve">Informed Consent: </w:t>
      </w:r>
      <w:r w:rsidR="00CB353C">
        <w:rPr>
          <w:szCs w:val="24"/>
        </w:rPr>
        <w:t>No change.</w:t>
      </w:r>
    </w:p>
    <w:p w:rsidR="005C175F" w:rsidP="003C6A4B" w14:paraId="713EEC1D" w14:textId="31C8A111">
      <w:pPr>
        <w:rPr>
          <w:b/>
        </w:rPr>
      </w:pPr>
      <w:r>
        <w:rPr>
          <w:b/>
        </w:rPr>
        <w:t xml:space="preserve">Incentive: </w:t>
      </w:r>
      <w:r w:rsidR="00CB353C">
        <w:t>No change.</w:t>
      </w:r>
      <w:r w:rsidRPr="00A82318" w:rsidR="00A82318">
        <w:t xml:space="preserve"> </w:t>
      </w:r>
    </w:p>
    <w:p w:rsidR="0027657A" w:rsidP="004865B3" w14:paraId="61DDFFBB" w14:textId="78D7DA05">
      <w:pPr>
        <w:rPr>
          <w:b/>
        </w:rPr>
      </w:pPr>
      <w:r>
        <w:rPr>
          <w:b/>
        </w:rPr>
        <w:t xml:space="preserve">Length of Interview: </w:t>
      </w:r>
      <w:r w:rsidRPr="00CB353C" w:rsidR="00CB353C">
        <w:rPr>
          <w:bCs/>
        </w:rPr>
        <w:t>No change.</w:t>
      </w:r>
      <w:r w:rsidR="00CB353C">
        <w:rPr>
          <w:b/>
        </w:rPr>
        <w:t xml:space="preserve"> </w:t>
      </w:r>
      <w:r w:rsidR="00A82318">
        <w:t>W</w:t>
      </w:r>
      <w:r w:rsidRPr="00BA4D7B" w:rsidR="00A82318">
        <w:t xml:space="preserve">e estimate that each </w:t>
      </w:r>
      <w:r w:rsidR="00A82318">
        <w:t xml:space="preserve">cognitive </w:t>
      </w:r>
      <w:r w:rsidRPr="00BA4D7B" w:rsidR="00A82318">
        <w:t xml:space="preserve">interview will take approximately </w:t>
      </w:r>
      <w:r w:rsidR="00A82318">
        <w:t>60 minutes.</w:t>
      </w:r>
    </w:p>
    <w:p w:rsidR="004865B3" w:rsidP="004865B3" w14:paraId="195A46A6" w14:textId="5924AEFE">
      <w:r>
        <w:rPr>
          <w:b/>
        </w:rPr>
        <w:t xml:space="preserve">Burden hours: </w:t>
      </w:r>
      <w:r w:rsidR="00CB353C">
        <w:t>The additional 10 interviews will result in an additional burden of 10 hours.</w:t>
      </w:r>
      <w:r w:rsidRPr="00BA4D7B">
        <w:t xml:space="preserve"> </w:t>
      </w:r>
    </w:p>
    <w:p w:rsidR="004865B3" w:rsidP="004865B3" w14:paraId="1442C2A9" w14:textId="6A277FC6">
      <w:r w:rsidRPr="00BA4D7B">
        <w:t xml:space="preserve">The pre-approved generic screening questionnaire will take approximately ten minutes per person, and the additional screening questions specific to this research </w:t>
      </w:r>
      <w:r w:rsidRPr="006B1C79">
        <w:t>will take two minutes per person</w:t>
      </w:r>
      <w:r w:rsidR="00CB353C">
        <w:t>. W</w:t>
      </w:r>
      <w:r w:rsidRPr="00BA4D7B">
        <w:t>e estimate that we will screen</w:t>
      </w:r>
      <w:r w:rsidR="0032222F">
        <w:t xml:space="preserve"> up to</w:t>
      </w:r>
      <w:r w:rsidRPr="00BA4D7B">
        <w:t xml:space="preserve"> </w:t>
      </w:r>
      <w:r w:rsidRPr="003E57E7" w:rsidR="007E76C7">
        <w:t>three</w:t>
      </w:r>
      <w:r w:rsidRPr="00BA4D7B">
        <w:t xml:space="preserve"> people for each successful recruit for each of the </w:t>
      </w:r>
      <w:r w:rsidR="00CB353C">
        <w:t>10 additional</w:t>
      </w:r>
      <w:r w:rsidRPr="00BA4D7B">
        <w:t xml:space="preserve"> interviews. Therefore, we estimate a total of </w:t>
      </w:r>
      <w:r w:rsidR="00CB353C">
        <w:t>30</w:t>
      </w:r>
      <w:r w:rsidRPr="00BA4D7B">
        <w:t xml:space="preserve"> people screened for a total of </w:t>
      </w:r>
      <w:r w:rsidR="002F7A78">
        <w:t xml:space="preserve">about </w:t>
      </w:r>
      <w:r w:rsidR="00CB353C">
        <w:t>1</w:t>
      </w:r>
      <w:r w:rsidRPr="00BA4D7B">
        <w:t xml:space="preserve"> hour</w:t>
      </w:r>
      <w:r>
        <w:t xml:space="preserve"> (</w:t>
      </w:r>
      <w:r w:rsidR="00CB353C">
        <w:t>30</w:t>
      </w:r>
      <w:r w:rsidRPr="00BA4D7B">
        <w:t xml:space="preserve"> people at 2 minutes each). </w:t>
      </w:r>
    </w:p>
    <w:p w:rsidR="005C175F" w:rsidP="003C6A4B" w14:paraId="05D5EEA3" w14:textId="3E613062">
      <w:pPr>
        <w:rPr>
          <w:b/>
        </w:rPr>
      </w:pPr>
      <w:r w:rsidRPr="00593D86">
        <w:rPr>
          <w:color w:val="000000"/>
          <w:szCs w:val="24"/>
        </w:rPr>
        <w:t xml:space="preserve">The </w:t>
      </w:r>
      <w:r w:rsidR="00A82318">
        <w:rPr>
          <w:color w:val="000000"/>
          <w:szCs w:val="24"/>
        </w:rPr>
        <w:t xml:space="preserve">total </w:t>
      </w:r>
      <w:r w:rsidRPr="00593D86">
        <w:rPr>
          <w:color w:val="000000"/>
          <w:szCs w:val="24"/>
        </w:rPr>
        <w:t xml:space="preserve">estimated </w:t>
      </w:r>
      <w:r>
        <w:rPr>
          <w:color w:val="000000"/>
          <w:szCs w:val="24"/>
        </w:rPr>
        <w:t>participant</w:t>
      </w:r>
      <w:r w:rsidRPr="00593D86">
        <w:rPr>
          <w:color w:val="000000"/>
          <w:szCs w:val="24"/>
        </w:rPr>
        <w:t xml:space="preserve"> burden for </w:t>
      </w:r>
      <w:r w:rsidR="00CB353C">
        <w:rPr>
          <w:color w:val="000000"/>
          <w:szCs w:val="24"/>
        </w:rPr>
        <w:t>the 10 additional interviews is 11 hours</w:t>
      </w:r>
      <w:r w:rsidR="000E1EB3">
        <w:rPr>
          <w:color w:val="000000"/>
          <w:szCs w:val="24"/>
        </w:rPr>
        <w:t>, as indicated in the table below</w:t>
      </w:r>
      <w:r w:rsidRPr="00593D86">
        <w:rPr>
          <w:color w:val="000000"/>
          <w:szCs w:val="24"/>
        </w:rPr>
        <w:t>.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1800"/>
        <w:gridCol w:w="1620"/>
        <w:gridCol w:w="990"/>
      </w:tblGrid>
      <w:tr w14:paraId="73A1B066" w14:textId="77777777" w:rsidTr="00486207">
        <w:tblPrEx>
          <w:tblW w:w="93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486207" w14:paraId="08E7E32A" w14:textId="77777777">
            <w:pPr>
              <w:rPr>
                <w:color w:val="000000" w:themeColor="text1"/>
              </w:rPr>
            </w:pPr>
            <w:r w:rsidRPr="00C16D35">
              <w:rPr>
                <w:b/>
                <w:color w:val="000000" w:themeColor="text1"/>
              </w:rPr>
              <w:t xml:space="preserve">Category 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486207" w14:paraId="43027EA6" w14:textId="2F9656F8">
            <w:pPr>
              <w:rPr>
                <w:color w:val="000000" w:themeColor="text1"/>
              </w:rPr>
            </w:pPr>
            <w:r w:rsidRPr="00C16D35">
              <w:rPr>
                <w:b/>
                <w:color w:val="000000" w:themeColor="text1"/>
              </w:rPr>
              <w:t>N</w:t>
            </w:r>
            <w:r w:rsidR="00A3604B">
              <w:rPr>
                <w:b/>
                <w:color w:val="000000" w:themeColor="text1"/>
              </w:rPr>
              <w:t>umber</w:t>
            </w:r>
            <w:r w:rsidRPr="00C16D35">
              <w:rPr>
                <w:b/>
                <w:color w:val="000000" w:themeColor="text1"/>
              </w:rPr>
              <w:t xml:space="preserve"> of </w:t>
            </w:r>
            <w:r w:rsidR="00CB353C">
              <w:rPr>
                <w:b/>
                <w:color w:val="000000" w:themeColor="text1"/>
              </w:rPr>
              <w:t xml:space="preserve">additional </w:t>
            </w:r>
            <w:r w:rsidR="00A3604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486207" w14:paraId="51C18F94" w14:textId="77777777">
            <w:pPr>
              <w:rPr>
                <w:color w:val="000000" w:themeColor="text1"/>
              </w:rPr>
            </w:pPr>
            <w:r w:rsidRPr="00C16D35">
              <w:rPr>
                <w:b/>
                <w:color w:val="000000" w:themeColor="text1"/>
              </w:rPr>
              <w:t>Participation Time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486207" w14:paraId="09AE027A" w14:textId="77777777">
            <w:pPr>
              <w:rPr>
                <w:color w:val="000000" w:themeColor="text1"/>
              </w:rPr>
            </w:pPr>
            <w:r w:rsidRPr="00C16D35">
              <w:rPr>
                <w:b/>
                <w:color w:val="000000" w:themeColor="text1"/>
              </w:rPr>
              <w:t>Burden</w:t>
            </w:r>
          </w:p>
        </w:tc>
      </w:tr>
      <w:tr w14:paraId="3210E202" w14:textId="77777777" w:rsidTr="00486207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22"/>
        </w:trPr>
        <w:tc>
          <w:tcPr>
            <w:tcW w:w="49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486207" w14:paraId="1CF92E18" w14:textId="77777777">
            <w:pPr>
              <w:rPr>
                <w:color w:val="000000" w:themeColor="text1"/>
              </w:rPr>
            </w:pPr>
            <w:r w:rsidRPr="00C16D35">
              <w:rPr>
                <w:color w:val="000000" w:themeColor="text1"/>
              </w:rPr>
              <w:t>  Screening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486207" w14:paraId="1E6A1E12" w14:textId="0C1C3E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486207" w14:paraId="681059B9" w14:textId="77777777">
            <w:pPr>
              <w:rPr>
                <w:color w:val="000000" w:themeColor="text1"/>
              </w:rPr>
            </w:pPr>
            <w:r w:rsidRPr="00C16D35">
              <w:rPr>
                <w:color w:val="000000" w:themeColor="text1"/>
              </w:rPr>
              <w:t>2 minutes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486207" w14:paraId="564F0F75" w14:textId="3E94D8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16D35">
              <w:rPr>
                <w:color w:val="000000" w:themeColor="text1"/>
              </w:rPr>
              <w:t xml:space="preserve"> hour</w:t>
            </w:r>
          </w:p>
        </w:tc>
      </w:tr>
      <w:tr w14:paraId="38F042AA" w14:textId="77777777" w:rsidTr="00486207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486207" w14:paraId="4CBB2CC9" w14:textId="77777777">
            <w:pPr>
              <w:rPr>
                <w:color w:val="000000" w:themeColor="text1"/>
              </w:rPr>
            </w:pPr>
            <w:r w:rsidRPr="00C16D35">
              <w:rPr>
                <w:color w:val="000000" w:themeColor="text1"/>
              </w:rPr>
              <w:t>  Cognitive Interviews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486207" w14:paraId="43B1EE7D" w14:textId="00A2E5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486207" w14:paraId="1C171897" w14:textId="2863FADA">
            <w:pPr>
              <w:rPr>
                <w:color w:val="000000" w:themeColor="text1"/>
              </w:rPr>
            </w:pPr>
            <w:r w:rsidRPr="00C16D35">
              <w:rPr>
                <w:color w:val="000000" w:themeColor="text1"/>
              </w:rPr>
              <w:t>60</w:t>
            </w:r>
            <w:r w:rsidRPr="00C16D35">
              <w:rPr>
                <w:color w:val="000000" w:themeColor="text1"/>
              </w:rPr>
              <w:t xml:space="preserve"> minutes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2F7A78" w14:paraId="3D1710E7" w14:textId="025CA7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E76C7">
              <w:rPr>
                <w:color w:val="000000" w:themeColor="text1"/>
              </w:rPr>
              <w:t>0</w:t>
            </w:r>
            <w:r w:rsidRPr="00C16D35">
              <w:rPr>
                <w:color w:val="000000" w:themeColor="text1"/>
              </w:rPr>
              <w:t xml:space="preserve"> hours</w:t>
            </w:r>
          </w:p>
        </w:tc>
      </w:tr>
      <w:tr w14:paraId="70FEA810" w14:textId="77777777" w:rsidTr="00486207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486207" w14:paraId="157159C9" w14:textId="63B377A2">
            <w:pPr>
              <w:rPr>
                <w:color w:val="000000" w:themeColor="text1"/>
              </w:rPr>
            </w:pPr>
            <w:r w:rsidRPr="00C16D35">
              <w:rPr>
                <w:b/>
                <w:color w:val="000000" w:themeColor="text1"/>
              </w:rPr>
              <w:t>Total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486207" w14:paraId="388E271F" w14:textId="77777777">
            <w:pPr>
              <w:rPr>
                <w:color w:val="000000"/>
              </w:rPr>
            </w:pP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486207" w14:paraId="407FA575" w14:textId="77777777">
            <w:pPr>
              <w:rPr>
                <w:color w:val="000000"/>
              </w:rPr>
            </w:pP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65B3" w:rsidRPr="00C16D35" w:rsidP="002F7A78" w14:paraId="7BFB4122" w14:textId="6EB9A9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C16D35">
              <w:rPr>
                <w:color w:val="000000" w:themeColor="text1"/>
              </w:rPr>
              <w:t xml:space="preserve"> hours</w:t>
            </w:r>
          </w:p>
        </w:tc>
      </w:tr>
    </w:tbl>
    <w:p w:rsidR="005C175F" w:rsidP="003C6A4B" w14:paraId="03E0336C" w14:textId="359718B3">
      <w:pPr>
        <w:rPr>
          <w:b/>
        </w:rPr>
      </w:pPr>
    </w:p>
    <w:p w:rsidR="00A82318" w:rsidP="005C175F" w14:paraId="0D960E6E" w14:textId="12D569FE">
      <w:r>
        <w:t>The original OMB request – approved January 13, 2023 – is enclosed as an attachment to this addendum (Attachment 1 - Cognitive Testing of Supplemental Nutrition Assistance Program Client Integrity Messaging).</w:t>
      </w:r>
    </w:p>
    <w:p w:rsidR="005C175F" w:rsidRPr="005C175F" w:rsidP="005C175F" w14:paraId="283156D9" w14:textId="50B44656">
      <w:r w:rsidRPr="005C175F">
        <w:t xml:space="preserve">The contact person for questions regarding this </w:t>
      </w:r>
      <w:r w:rsidR="002F7A78">
        <w:t>request</w:t>
      </w:r>
      <w:r w:rsidRPr="005C175F">
        <w:t xml:space="preserve"> is listed below:</w:t>
      </w:r>
    </w:p>
    <w:p w:rsidR="005C175F" w:rsidP="005C175F" w14:paraId="1888587A" w14:textId="0491B7B8">
      <w:pPr>
        <w:spacing w:after="0" w:line="240" w:lineRule="auto"/>
        <w:ind w:left="720"/>
      </w:pPr>
      <w:r>
        <w:t>Alfred “Dave” Tuttle</w:t>
      </w:r>
    </w:p>
    <w:p w:rsidR="005C175F" w:rsidRPr="005C175F" w:rsidP="005C175F" w14:paraId="5732D94F" w14:textId="63BB5DDE">
      <w:pPr>
        <w:spacing w:after="0" w:line="240" w:lineRule="auto"/>
        <w:ind w:left="720"/>
      </w:pPr>
      <w:r w:rsidRPr="005C175F">
        <w:t xml:space="preserve">Center for </w:t>
      </w:r>
      <w:r w:rsidR="002F7A78">
        <w:t>Behavioral Science Methods</w:t>
      </w:r>
    </w:p>
    <w:p w:rsidR="005C175F" w:rsidRPr="005C175F" w:rsidP="005C175F" w14:paraId="54C78ADB" w14:textId="0A8042FE">
      <w:pPr>
        <w:spacing w:after="0" w:line="240" w:lineRule="auto"/>
        <w:ind w:left="720"/>
      </w:pPr>
      <w:r w:rsidRPr="005C175F">
        <w:t xml:space="preserve">U.S. Census Bureau </w:t>
      </w:r>
    </w:p>
    <w:p w:rsidR="005C175F" w:rsidRPr="005C175F" w:rsidP="005C175F" w14:paraId="1D90A677" w14:textId="61DFEB68">
      <w:pPr>
        <w:spacing w:after="0" w:line="240" w:lineRule="auto"/>
        <w:ind w:left="720"/>
      </w:pPr>
      <w:r w:rsidRPr="005C175F">
        <w:t>Washington, D.C. 20233</w:t>
      </w:r>
    </w:p>
    <w:p w:rsidR="005C175F" w:rsidRPr="005C175F" w:rsidP="005C175F" w14:paraId="514EE5B1" w14:textId="5057CD4B">
      <w:pPr>
        <w:spacing w:after="0" w:line="240" w:lineRule="auto"/>
        <w:ind w:left="720"/>
      </w:pPr>
      <w:r w:rsidRPr="005C175F">
        <w:t>(301) 763-</w:t>
      </w:r>
      <w:r w:rsidR="00A851C8">
        <w:t>7809</w:t>
      </w:r>
    </w:p>
    <w:p w:rsidR="005C175F" w:rsidRPr="005C175F" w:rsidP="005C175F" w14:paraId="450FA22C" w14:textId="720766A0">
      <w:pPr>
        <w:spacing w:after="0" w:line="240" w:lineRule="auto"/>
        <w:ind w:left="720"/>
      </w:pPr>
      <w:r>
        <w:t>alfred.d.tuttle</w:t>
      </w:r>
      <w:r w:rsidRPr="005C175F">
        <w:t>@census.gov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7B27" w14:paraId="4EB823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629928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7B27" w14:paraId="42F6D7A2" w14:textId="257B04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D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7B27" w14:paraId="4E473E7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7B27" w14:paraId="562629B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7B27" w14:paraId="3285EF3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7B27" w14:paraId="0393146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7B27" w14:paraId="45FB457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7A6A5B"/>
    <w:multiLevelType w:val="hybridMultilevel"/>
    <w:tmpl w:val="E9F29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2570D"/>
    <w:multiLevelType w:val="hybridMultilevel"/>
    <w:tmpl w:val="89D0737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3F7B6F"/>
    <w:multiLevelType w:val="hybridMultilevel"/>
    <w:tmpl w:val="5694B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34D5"/>
    <w:multiLevelType w:val="hybridMultilevel"/>
    <w:tmpl w:val="08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B0B2F"/>
    <w:multiLevelType w:val="hybridMultilevel"/>
    <w:tmpl w:val="89D0737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8F79F4"/>
    <w:multiLevelType w:val="hybridMultilevel"/>
    <w:tmpl w:val="9B104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530EC"/>
    <w:multiLevelType w:val="hybridMultilevel"/>
    <w:tmpl w:val="89D0737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680827"/>
    <w:multiLevelType w:val="hybridMultilevel"/>
    <w:tmpl w:val="DF58B3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83598">
    <w:abstractNumId w:val="2"/>
  </w:num>
  <w:num w:numId="2" w16cid:durableId="221672766">
    <w:abstractNumId w:val="7"/>
  </w:num>
  <w:num w:numId="3" w16cid:durableId="767236782">
    <w:abstractNumId w:val="6"/>
  </w:num>
  <w:num w:numId="4" w16cid:durableId="1943603628">
    <w:abstractNumId w:val="5"/>
  </w:num>
  <w:num w:numId="5" w16cid:durableId="2139451964">
    <w:abstractNumId w:val="0"/>
  </w:num>
  <w:num w:numId="6" w16cid:durableId="1149977419">
    <w:abstractNumId w:val="1"/>
  </w:num>
  <w:num w:numId="7" w16cid:durableId="1080754522">
    <w:abstractNumId w:val="4"/>
  </w:num>
  <w:num w:numId="8" w16cid:durableId="441727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DB"/>
    <w:rsid w:val="00003A65"/>
    <w:rsid w:val="000471F5"/>
    <w:rsid w:val="0006725A"/>
    <w:rsid w:val="000725AA"/>
    <w:rsid w:val="0007457F"/>
    <w:rsid w:val="00083190"/>
    <w:rsid w:val="000C041B"/>
    <w:rsid w:val="000C6240"/>
    <w:rsid w:val="000E1EB3"/>
    <w:rsid w:val="001054C0"/>
    <w:rsid w:val="00117164"/>
    <w:rsid w:val="00121A28"/>
    <w:rsid w:val="001347DB"/>
    <w:rsid w:val="00152C74"/>
    <w:rsid w:val="00155C64"/>
    <w:rsid w:val="00180142"/>
    <w:rsid w:val="001C0D3F"/>
    <w:rsid w:val="001E0890"/>
    <w:rsid w:val="002011D4"/>
    <w:rsid w:val="002464F0"/>
    <w:rsid w:val="00250A9C"/>
    <w:rsid w:val="00255935"/>
    <w:rsid w:val="00261C5C"/>
    <w:rsid w:val="0027657A"/>
    <w:rsid w:val="00282AC3"/>
    <w:rsid w:val="00287713"/>
    <w:rsid w:val="002A0159"/>
    <w:rsid w:val="002E7516"/>
    <w:rsid w:val="002F6037"/>
    <w:rsid w:val="002F7A78"/>
    <w:rsid w:val="00300CAD"/>
    <w:rsid w:val="00317B27"/>
    <w:rsid w:val="0032222F"/>
    <w:rsid w:val="00326E9E"/>
    <w:rsid w:val="00330707"/>
    <w:rsid w:val="003403D3"/>
    <w:rsid w:val="003567D7"/>
    <w:rsid w:val="00372913"/>
    <w:rsid w:val="00375E1E"/>
    <w:rsid w:val="00394A57"/>
    <w:rsid w:val="00395763"/>
    <w:rsid w:val="00395BFD"/>
    <w:rsid w:val="003A0862"/>
    <w:rsid w:val="003A52D6"/>
    <w:rsid w:val="003A6F9C"/>
    <w:rsid w:val="003C6A4B"/>
    <w:rsid w:val="003E2A77"/>
    <w:rsid w:val="003E35CF"/>
    <w:rsid w:val="003E4096"/>
    <w:rsid w:val="003E57E7"/>
    <w:rsid w:val="003F2000"/>
    <w:rsid w:val="00405648"/>
    <w:rsid w:val="00441696"/>
    <w:rsid w:val="00481507"/>
    <w:rsid w:val="00485064"/>
    <w:rsid w:val="00486207"/>
    <w:rsid w:val="004865B3"/>
    <w:rsid w:val="004920F4"/>
    <w:rsid w:val="0049632C"/>
    <w:rsid w:val="004A3296"/>
    <w:rsid w:val="004B1DC8"/>
    <w:rsid w:val="004C0AA2"/>
    <w:rsid w:val="004E0085"/>
    <w:rsid w:val="004E3415"/>
    <w:rsid w:val="004F06EE"/>
    <w:rsid w:val="004F4E5E"/>
    <w:rsid w:val="0050593F"/>
    <w:rsid w:val="00513143"/>
    <w:rsid w:val="00545BA6"/>
    <w:rsid w:val="005548F2"/>
    <w:rsid w:val="00567F77"/>
    <w:rsid w:val="00593D86"/>
    <w:rsid w:val="005C175F"/>
    <w:rsid w:val="005D2AA1"/>
    <w:rsid w:val="005D5FE6"/>
    <w:rsid w:val="005E3CFA"/>
    <w:rsid w:val="00605398"/>
    <w:rsid w:val="00617672"/>
    <w:rsid w:val="00617761"/>
    <w:rsid w:val="00623688"/>
    <w:rsid w:val="00635964"/>
    <w:rsid w:val="00643B29"/>
    <w:rsid w:val="006467C7"/>
    <w:rsid w:val="00647667"/>
    <w:rsid w:val="0068139B"/>
    <w:rsid w:val="006B1C79"/>
    <w:rsid w:val="006E2782"/>
    <w:rsid w:val="00715DAC"/>
    <w:rsid w:val="0071710F"/>
    <w:rsid w:val="00721DB8"/>
    <w:rsid w:val="007230E8"/>
    <w:rsid w:val="00787EBC"/>
    <w:rsid w:val="007C5224"/>
    <w:rsid w:val="007D7D10"/>
    <w:rsid w:val="007E6FCB"/>
    <w:rsid w:val="007E76C7"/>
    <w:rsid w:val="00832668"/>
    <w:rsid w:val="0083389F"/>
    <w:rsid w:val="00850678"/>
    <w:rsid w:val="00876A6C"/>
    <w:rsid w:val="00881A16"/>
    <w:rsid w:val="00881DBB"/>
    <w:rsid w:val="008827DD"/>
    <w:rsid w:val="00896D0B"/>
    <w:rsid w:val="008B1FA1"/>
    <w:rsid w:val="008B7F23"/>
    <w:rsid w:val="008E5D14"/>
    <w:rsid w:val="008F07E7"/>
    <w:rsid w:val="008F4735"/>
    <w:rsid w:val="008F747A"/>
    <w:rsid w:val="00917093"/>
    <w:rsid w:val="00923720"/>
    <w:rsid w:val="0094435C"/>
    <w:rsid w:val="00954B60"/>
    <w:rsid w:val="00971C2E"/>
    <w:rsid w:val="009727FE"/>
    <w:rsid w:val="00974826"/>
    <w:rsid w:val="00991549"/>
    <w:rsid w:val="00995336"/>
    <w:rsid w:val="00997038"/>
    <w:rsid w:val="009A54A7"/>
    <w:rsid w:val="009B2C11"/>
    <w:rsid w:val="009C362C"/>
    <w:rsid w:val="009E3DD0"/>
    <w:rsid w:val="009F3539"/>
    <w:rsid w:val="00A3604B"/>
    <w:rsid w:val="00A55306"/>
    <w:rsid w:val="00A80620"/>
    <w:rsid w:val="00A82318"/>
    <w:rsid w:val="00A851C8"/>
    <w:rsid w:val="00A94603"/>
    <w:rsid w:val="00AE2030"/>
    <w:rsid w:val="00AE7EBD"/>
    <w:rsid w:val="00AF3E76"/>
    <w:rsid w:val="00B67DD3"/>
    <w:rsid w:val="00BA2E9D"/>
    <w:rsid w:val="00BA4D7B"/>
    <w:rsid w:val="00BA61E8"/>
    <w:rsid w:val="00BB1B4D"/>
    <w:rsid w:val="00BD38E9"/>
    <w:rsid w:val="00BD38F1"/>
    <w:rsid w:val="00BD6BDE"/>
    <w:rsid w:val="00BD7C98"/>
    <w:rsid w:val="00BE7D94"/>
    <w:rsid w:val="00C02CEB"/>
    <w:rsid w:val="00C16D35"/>
    <w:rsid w:val="00C20162"/>
    <w:rsid w:val="00C32782"/>
    <w:rsid w:val="00C572D9"/>
    <w:rsid w:val="00C62A5A"/>
    <w:rsid w:val="00C650F1"/>
    <w:rsid w:val="00CB353C"/>
    <w:rsid w:val="00CD29E2"/>
    <w:rsid w:val="00CD5FBC"/>
    <w:rsid w:val="00CD6ACF"/>
    <w:rsid w:val="00CE052D"/>
    <w:rsid w:val="00D05A50"/>
    <w:rsid w:val="00D1656F"/>
    <w:rsid w:val="00D16CE9"/>
    <w:rsid w:val="00D27BA8"/>
    <w:rsid w:val="00D50E10"/>
    <w:rsid w:val="00D561CB"/>
    <w:rsid w:val="00D7341C"/>
    <w:rsid w:val="00DC6F50"/>
    <w:rsid w:val="00DD06C6"/>
    <w:rsid w:val="00DD67BE"/>
    <w:rsid w:val="00DE547F"/>
    <w:rsid w:val="00DF1F41"/>
    <w:rsid w:val="00E0326A"/>
    <w:rsid w:val="00E508F7"/>
    <w:rsid w:val="00E522E5"/>
    <w:rsid w:val="00E57B77"/>
    <w:rsid w:val="00E6205A"/>
    <w:rsid w:val="00E654C9"/>
    <w:rsid w:val="00E658BE"/>
    <w:rsid w:val="00E75D48"/>
    <w:rsid w:val="00E81B8D"/>
    <w:rsid w:val="00E87CDE"/>
    <w:rsid w:val="00EA7082"/>
    <w:rsid w:val="00EC61DC"/>
    <w:rsid w:val="00EC68FA"/>
    <w:rsid w:val="00ED3B25"/>
    <w:rsid w:val="00ED3E22"/>
    <w:rsid w:val="00EE7B80"/>
    <w:rsid w:val="00F26835"/>
    <w:rsid w:val="00F31AEC"/>
    <w:rsid w:val="00F569E8"/>
    <w:rsid w:val="00F8568D"/>
    <w:rsid w:val="00FC6003"/>
    <w:rsid w:val="00FF0DF0"/>
    <w:rsid w:val="00FF2EEF"/>
    <w:rsid w:val="24D7F6F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85729"/>
  <w15:chartTrackingRefBased/>
  <w15:docId w15:val="{288A8D98-9597-45AA-A3EC-149A7C8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7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1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D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D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D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030"/>
  </w:style>
  <w:style w:type="paragraph" w:styleId="Footer">
    <w:name w:val="footer"/>
    <w:basedOn w:val="Normal"/>
    <w:link w:val="FooterChar"/>
    <w:uiPriority w:val="99"/>
    <w:unhideWhenUsed/>
    <w:rsid w:val="00AE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030"/>
  </w:style>
  <w:style w:type="paragraph" w:styleId="FootnoteText">
    <w:name w:val="footnote text"/>
    <w:basedOn w:val="Normal"/>
    <w:link w:val="FootnoteTextChar"/>
    <w:uiPriority w:val="99"/>
    <w:semiHidden/>
    <w:unhideWhenUsed/>
    <w:rsid w:val="00971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C2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71C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41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A3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D65A73BD3CC418BF416674C841882" ma:contentTypeVersion="5" ma:contentTypeDescription="Create a new document." ma:contentTypeScope="" ma:versionID="2515d041ef85a513ae45960556d93ed2">
  <xsd:schema xmlns:xsd="http://www.w3.org/2001/XMLSchema" xmlns:xs="http://www.w3.org/2001/XMLSchema" xmlns:p="http://schemas.microsoft.com/office/2006/metadata/properties" xmlns:ns2="f96fbfc9-91d9-4776-8c8b-7b7f35937fc7" xmlns:ns3="728f2862-fa9b-417c-8ce3-a142683084b2" targetNamespace="http://schemas.microsoft.com/office/2006/metadata/properties" ma:root="true" ma:fieldsID="f149b542878394ffcd966910faecec90" ns2:_="" ns3:_="">
    <xsd:import namespace="f96fbfc9-91d9-4776-8c8b-7b7f35937fc7"/>
    <xsd:import namespace="728f2862-fa9b-417c-8ce3-a14268308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fbfc9-91d9-4776-8c8b-7b7f3593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f2862-fa9b-417c-8ce3-a14268308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1F6A7-41F2-4DD5-88D0-8FD437674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fbfc9-91d9-4776-8c8b-7b7f35937fc7"/>
    <ds:schemaRef ds:uri="728f2862-fa9b-417c-8ce3-a14268308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E6179-7F8D-4656-B087-A6E3141A5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4BE820-B317-474D-ACD0-E67CDF146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142858-1301-412C-8EA5-0C3BB792C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Aleia Yvonne Clark Fobia (CENSUS/CSM FED)</dc:creator>
  <cp:lastModifiedBy>Alfred D Tuttle (CENSUS/CBSM FED)</cp:lastModifiedBy>
  <cp:revision>3</cp:revision>
  <cp:lastPrinted>2019-07-25T19:06:00Z</cp:lastPrinted>
  <dcterms:created xsi:type="dcterms:W3CDTF">2023-02-22T16:43:00Z</dcterms:created>
  <dcterms:modified xsi:type="dcterms:W3CDTF">2023-02-22T16:44:00Z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0x010100869D65A73BD3CC418BF416674C841882</vt:lpwstr>
  </property>
</Properties>
</file>