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0E10" w:rsidRPr="003454C0" w:rsidP="00BA61E8" w14:paraId="24BB53FC" w14:textId="71FA5010">
      <w:pPr>
        <w:jc w:val="center"/>
        <w:rPr>
          <w:b/>
          <w:bCs/>
        </w:rPr>
      </w:pPr>
      <w:r w:rsidRPr="003454C0">
        <w:rPr>
          <w:b/>
          <w:bCs/>
        </w:rPr>
        <w:t xml:space="preserve">Cognitive Testing of Supplemental Nutrition Assistance Program Messaging for Able-Bodied Adults without </w:t>
      </w:r>
      <w:r w:rsidRPr="003454C0" w:rsidR="00971C2E">
        <w:rPr>
          <w:b/>
          <w:bCs/>
        </w:rPr>
        <w:t>Dependents</w:t>
      </w:r>
      <w:r w:rsidRPr="003454C0" w:rsidR="007C5224">
        <w:rPr>
          <w:b/>
          <w:bCs/>
        </w:rPr>
        <w:t>,</w:t>
      </w:r>
      <w:r w:rsidRPr="003454C0">
        <w:rPr>
          <w:b/>
          <w:bCs/>
        </w:rPr>
        <w:t xml:space="preserve"> Submitted Under Generic Clearance for Questionnaire Pretesting</w:t>
      </w:r>
    </w:p>
    <w:p w:rsidR="001C0D3F" w14:paraId="5E603CB9" w14:textId="1664589F">
      <w:r w:rsidRPr="00BA61E8">
        <w:rPr>
          <w:b/>
        </w:rPr>
        <w:t>Request:</w:t>
      </w:r>
      <w:r>
        <w:t xml:space="preserve"> The Census Bureau plans to conduct additional research under the generic clearance for questionnaire pretesting research. We plan to conduct up to </w:t>
      </w:r>
      <w:r w:rsidR="00DB4D55">
        <w:t>3</w:t>
      </w:r>
      <w:r w:rsidR="009A1F0B">
        <w:t>0</w:t>
      </w:r>
      <w:r>
        <w:t xml:space="preserve"> cognitive interviews to </w:t>
      </w:r>
      <w:r w:rsidR="003C6A4B">
        <w:t xml:space="preserve">test messaging for a subset of </w:t>
      </w:r>
      <w:r>
        <w:t xml:space="preserve">Supplemental Nutrition Assistance Program (SNAP) </w:t>
      </w:r>
      <w:r w:rsidR="003C6A4B">
        <w:t>recipients that are subject to</w:t>
      </w:r>
      <w:r w:rsidR="00EA7082">
        <w:t xml:space="preserve"> eligibility time limits based on their status as</w:t>
      </w:r>
      <w:r>
        <w:t xml:space="preserve"> Able-Bodied Adults without </w:t>
      </w:r>
      <w:r w:rsidR="00971C2E">
        <w:t>Dependents</w:t>
      </w:r>
      <w:r>
        <w:t xml:space="preserve"> (</w:t>
      </w:r>
      <w:r w:rsidR="003C6A4B">
        <w:t>ABAWD</w:t>
      </w:r>
      <w:r w:rsidR="00EA7082">
        <w:t>s</w:t>
      </w:r>
      <w:r>
        <w:t>)</w:t>
      </w:r>
      <w:r w:rsidR="00EA7082">
        <w:t xml:space="preserve">. </w:t>
      </w:r>
      <w:r w:rsidR="00971C2E">
        <w:t>SNAP recipients who are between the ages of 18 and 49</w:t>
      </w:r>
      <w:r>
        <w:t>,</w:t>
      </w:r>
      <w:r w:rsidR="00971C2E">
        <w:t xml:space="preserve"> </w:t>
      </w:r>
      <w:r>
        <w:t>have</w:t>
      </w:r>
      <w:r w:rsidR="00971C2E">
        <w:t xml:space="preserve"> no dependents</w:t>
      </w:r>
      <w:r>
        <w:t>,</w:t>
      </w:r>
      <w:r w:rsidR="00971C2E">
        <w:t xml:space="preserve"> and are not disabled can only get SNAP benefits for </w:t>
      </w:r>
      <w:r w:rsidR="004E04A4">
        <w:t>three</w:t>
      </w:r>
      <w:r w:rsidR="00971C2E">
        <w:t xml:space="preserve"> months in </w:t>
      </w:r>
      <w:r w:rsidR="004E04A4">
        <w:t>three</w:t>
      </w:r>
      <w:r w:rsidR="00971C2E">
        <w:t xml:space="preserve"> years if they do not meet special work requirements.</w:t>
      </w:r>
      <w:r>
        <w:rPr>
          <w:rStyle w:val="FootnoteReference"/>
        </w:rPr>
        <w:footnoteReference w:id="2"/>
      </w:r>
      <w:r w:rsidR="00971C2E">
        <w:t xml:space="preserve"> </w:t>
      </w:r>
      <w:r>
        <w:t xml:space="preserve">We plan to evaluate messaging that communicates </w:t>
      </w:r>
      <w:r w:rsidR="00254C49">
        <w:t xml:space="preserve">ABAWD </w:t>
      </w:r>
      <w:r>
        <w:t>work</w:t>
      </w:r>
      <w:r w:rsidR="00971C2E">
        <w:t xml:space="preserve"> </w:t>
      </w:r>
      <w:r>
        <w:t xml:space="preserve">requirements, eligibility </w:t>
      </w:r>
      <w:r w:rsidR="00395BFD">
        <w:t>criteria</w:t>
      </w:r>
      <w:r>
        <w:t>, and sanctions</w:t>
      </w:r>
      <w:r w:rsidR="00395BFD">
        <w:t xml:space="preserve"> as to whether it is clear and easy to understand</w:t>
      </w:r>
      <w:r>
        <w:t xml:space="preserve">. </w:t>
      </w:r>
    </w:p>
    <w:p w:rsidR="003C6A4B" w14:paraId="381C2132" w14:textId="198FFE22">
      <w:r>
        <w:rPr>
          <w:b/>
        </w:rPr>
        <w:t xml:space="preserve">Purpose: </w:t>
      </w:r>
      <w:r w:rsidR="00540DF5">
        <w:t>SNAP is a federal program but is administered</w:t>
      </w:r>
      <w:r w:rsidR="009A1F0B">
        <w:t xml:space="preserve"> by the states; thus</w:t>
      </w:r>
      <w:r w:rsidR="00254C49">
        <w:t>,</w:t>
      </w:r>
      <w:r w:rsidR="009A1F0B">
        <w:t xml:space="preserve"> state agencies craft their own messaging related to ABAWD time limits and work requirements. </w:t>
      </w:r>
      <w:r>
        <w:t xml:space="preserve">The ABAWD eligibility time limits are federally </w:t>
      </w:r>
      <w:r w:rsidR="00A15B5C">
        <w:t>mandated,</w:t>
      </w:r>
      <w:r>
        <w:t xml:space="preserve"> and some states have add</w:t>
      </w:r>
      <w:r w:rsidR="00CD6ACF">
        <w:t>itional work requirements for SNAP recipients. The two types of work requirements create complexity in messaging and communications for SNAP recipients.</w:t>
      </w:r>
      <w:r>
        <w:t xml:space="preserve"> </w:t>
      </w:r>
      <w:r>
        <w:t xml:space="preserve">Our goal is to test whether current messaging is clear and easy to understand, to provide recommendations for </w:t>
      </w:r>
      <w:r w:rsidR="003454C0">
        <w:t>addressing</w:t>
      </w:r>
      <w:r>
        <w:t xml:space="preserve"> any issues we might find, and to develop best practices for communicating with SNAP recipients who are subject to ABAWD time limits.</w:t>
      </w:r>
      <w:r>
        <w:t xml:space="preserve"> </w:t>
      </w:r>
      <w:r w:rsidR="00974826">
        <w:t xml:space="preserve">Staff from the Center for Behavioral Science Methods (CBSM) </w:t>
      </w:r>
      <w:r w:rsidR="00A15B5C">
        <w:t>are</w:t>
      </w:r>
      <w:r>
        <w:t xml:space="preserve"> working closely with staff from the Food and Nutrition Service (FNS) to develop recommendations for messaging</w:t>
      </w:r>
      <w:r w:rsidR="00CD6ACF">
        <w:t xml:space="preserve"> that is broadly applicable across states.</w:t>
      </w:r>
    </w:p>
    <w:p w:rsidR="00540DF5" w:rsidP="00540DF5" w14:paraId="48FA1B80" w14:textId="44DDFD86">
      <w:r>
        <w:t>We have conducted two previous rounds of testing of ABAWD messages, and t</w:t>
      </w:r>
      <w:r>
        <w:t>his</w:t>
      </w:r>
      <w:r>
        <w:t xml:space="preserve"> request</w:t>
      </w:r>
      <w:r>
        <w:t xml:space="preserve"> is</w:t>
      </w:r>
      <w:r>
        <w:t xml:space="preserve"> for</w:t>
      </w:r>
      <w:r>
        <w:t xml:space="preserve"> the third and final round. We </w:t>
      </w:r>
      <w:r>
        <w:t>plan to</w:t>
      </w:r>
      <w:r>
        <w:t xml:space="preserve"> conduct cognitive interviews in two states: Minnesota and Wisconsin. We will conduct up to 15 cognitive interviews in each </w:t>
      </w:r>
      <w:r w:rsidR="004E04A4">
        <w:t>state</w:t>
      </w:r>
      <w:r>
        <w:t xml:space="preserve"> (for a maximum of 30 interviews) to test messaging currently in use in each state. This research will </w:t>
      </w:r>
      <w:r w:rsidR="00066233">
        <w:t>determine whether the messages in use</w:t>
      </w:r>
      <w:r>
        <w:t xml:space="preserve"> in each state</w:t>
      </w:r>
      <w:r w:rsidR="00066233">
        <w:t xml:space="preserve"> are clear and easy to understand</w:t>
      </w:r>
      <w:r>
        <w:t xml:space="preserve"> </w:t>
      </w:r>
      <w:r w:rsidR="00610E7A">
        <w:t>and</w:t>
      </w:r>
      <w:r w:rsidR="003454C0">
        <w:t xml:space="preserve"> will</w:t>
      </w:r>
      <w:r>
        <w:t xml:space="preserve"> </w:t>
      </w:r>
      <w:r w:rsidR="00610E7A">
        <w:t>inform guidance</w:t>
      </w:r>
      <w:r>
        <w:t xml:space="preserve"> applicable to messaging for ABAWDs across states.</w:t>
      </w:r>
    </w:p>
    <w:p w:rsidR="00DF1F41" w14:paraId="03C588A0" w14:textId="5FC78884">
      <w:pPr>
        <w:rPr>
          <w:b/>
        </w:rPr>
      </w:pPr>
      <w:r>
        <w:rPr>
          <w:b/>
        </w:rPr>
        <w:t>Popul</w:t>
      </w:r>
      <w:r w:rsidR="00974826">
        <w:rPr>
          <w:b/>
        </w:rPr>
        <w:t xml:space="preserve">ation of Interest: </w:t>
      </w:r>
      <w:r w:rsidR="00A15B5C">
        <w:t xml:space="preserve">SNAP </w:t>
      </w:r>
      <w:r w:rsidR="004865B3">
        <w:t xml:space="preserve">recipients </w:t>
      </w:r>
      <w:r w:rsidR="00F8568D">
        <w:t>who</w:t>
      </w:r>
      <w:r w:rsidR="00974826">
        <w:t xml:space="preserve"> are potentially subject to ABAWD eligibility time limits</w:t>
      </w:r>
      <w:r w:rsidR="00F8568D">
        <w:t xml:space="preserve">, </w:t>
      </w:r>
      <w:r w:rsidR="00734597">
        <w:t xml:space="preserve">recent or current SNAP applicants, </w:t>
      </w:r>
      <w:r w:rsidR="00F8568D">
        <w:t xml:space="preserve">and </w:t>
      </w:r>
      <w:r w:rsidR="00CD5FBC">
        <w:t>individuals who would likely qualify for food assistance and meet ABAWD eligibility criteria if they applied</w:t>
      </w:r>
      <w:r w:rsidR="00974826">
        <w:t>.</w:t>
      </w:r>
    </w:p>
    <w:p w:rsidR="00974826" w:rsidRPr="00974826" w14:paraId="22BB3558" w14:textId="2D4D844C">
      <w:r>
        <w:rPr>
          <w:b/>
        </w:rPr>
        <w:t xml:space="preserve">Timeline: </w:t>
      </w:r>
      <w:r w:rsidR="0072215B">
        <w:t xml:space="preserve">Between </w:t>
      </w:r>
      <w:r w:rsidR="00066233">
        <w:t>March</w:t>
      </w:r>
      <w:r w:rsidR="004E04A4">
        <w:t xml:space="preserve"> </w:t>
      </w:r>
      <w:r w:rsidR="0072215B">
        <w:t xml:space="preserve">and July </w:t>
      </w:r>
      <w:r w:rsidR="004E3415">
        <w:t>202</w:t>
      </w:r>
      <w:r w:rsidR="008A3626">
        <w:t>3</w:t>
      </w:r>
      <w:r>
        <w:t xml:space="preserve">, </w:t>
      </w:r>
      <w:r w:rsidRPr="00D23E54">
        <w:rPr>
          <w:szCs w:val="24"/>
        </w:rPr>
        <w:t xml:space="preserve">staff </w:t>
      </w:r>
      <w:r w:rsidRPr="00C32782">
        <w:rPr>
          <w:szCs w:val="24"/>
        </w:rPr>
        <w:t xml:space="preserve">from </w:t>
      </w:r>
      <w:r>
        <w:rPr>
          <w:szCs w:val="24"/>
        </w:rPr>
        <w:t xml:space="preserve">CBSM </w:t>
      </w:r>
      <w:r w:rsidRPr="00C32782">
        <w:rPr>
          <w:szCs w:val="24"/>
        </w:rPr>
        <w:t xml:space="preserve">will conduct cognitive interviews </w:t>
      </w:r>
      <w:r w:rsidR="002A0F22">
        <w:rPr>
          <w:szCs w:val="24"/>
        </w:rPr>
        <w:t xml:space="preserve">in Minnesota and Wisconsin </w:t>
      </w:r>
      <w:r w:rsidRPr="00C32782">
        <w:rPr>
          <w:szCs w:val="24"/>
        </w:rPr>
        <w:t xml:space="preserve">with up to </w:t>
      </w:r>
      <w:r w:rsidR="00066233">
        <w:rPr>
          <w:szCs w:val="24"/>
        </w:rPr>
        <w:t>30</w:t>
      </w:r>
      <w:r w:rsidRPr="00C32782">
        <w:rPr>
          <w:szCs w:val="24"/>
        </w:rPr>
        <w:t xml:space="preserve"> </w:t>
      </w:r>
      <w:r w:rsidR="004E3415">
        <w:rPr>
          <w:szCs w:val="24"/>
        </w:rPr>
        <w:t>participants</w:t>
      </w:r>
      <w:r w:rsidR="002A0F22">
        <w:rPr>
          <w:szCs w:val="24"/>
        </w:rPr>
        <w:t xml:space="preserve"> total</w:t>
      </w:r>
      <w:r w:rsidRPr="00C32782">
        <w:rPr>
          <w:szCs w:val="24"/>
        </w:rPr>
        <w:t xml:space="preserve">. </w:t>
      </w:r>
    </w:p>
    <w:p w:rsidR="004865B3" w:rsidP="004865B3" w14:paraId="09A5A468" w14:textId="6F3C1ACB">
      <w:pPr>
        <w:shd w:val="clear" w:color="auto" w:fill="FFFFFF" w:themeFill="background1"/>
        <w:rPr>
          <w:b/>
        </w:rPr>
      </w:pPr>
      <w:r w:rsidRPr="24D7F6F7">
        <w:rPr>
          <w:b/>
          <w:color w:val="000000" w:themeColor="text1"/>
        </w:rPr>
        <w:t>Language</w:t>
      </w:r>
      <w:r w:rsidRPr="24D7F6F7">
        <w:rPr>
          <w:color w:val="000000" w:themeColor="text1"/>
        </w:rPr>
        <w:t>: Intervie</w:t>
      </w:r>
      <w:r>
        <w:rPr>
          <w:color w:val="000000" w:themeColor="text1"/>
        </w:rPr>
        <w:t>ws will be conducted in English.</w:t>
      </w:r>
    </w:p>
    <w:p w:rsidR="00974826" w:rsidP="004920F4" w14:paraId="297362C5" w14:textId="3FCFC76D">
      <w:pPr>
        <w:rPr>
          <w:b/>
        </w:rPr>
      </w:pPr>
      <w:r>
        <w:rPr>
          <w:b/>
        </w:rPr>
        <w:t xml:space="preserve">Sample: </w:t>
      </w:r>
      <w:r>
        <w:t xml:space="preserve">We will focus on recruiting respondents who are </w:t>
      </w:r>
      <w:r w:rsidR="00155C64">
        <w:t>eligible to receive</w:t>
      </w:r>
      <w:r>
        <w:t xml:space="preserve"> SNAP benefits</w:t>
      </w:r>
      <w:r w:rsidR="004920F4">
        <w:t xml:space="preserve"> and w</w:t>
      </w:r>
      <w:r>
        <w:t xml:space="preserve">ho potentially meet the </w:t>
      </w:r>
      <w:r w:rsidR="00F8674B">
        <w:t xml:space="preserve">ABAWD </w:t>
      </w:r>
      <w:r>
        <w:t>eligibility criteria</w:t>
      </w:r>
      <w:r w:rsidR="004920F4">
        <w:t>. We will also sample for diversity based on level of education, race, and gender.</w:t>
      </w:r>
      <w:r>
        <w:rPr>
          <w:b/>
        </w:rPr>
        <w:t xml:space="preserve"> </w:t>
      </w:r>
    </w:p>
    <w:p w:rsidR="00AE7EBD" w:rsidRPr="00567F77" w:rsidP="00AE7EBD" w14:paraId="52514D39" w14:textId="30B12979">
      <w:r>
        <w:rPr>
          <w:b/>
        </w:rPr>
        <w:t xml:space="preserve">Recruitment: </w:t>
      </w:r>
      <w:r>
        <w:t>Respondents will be recruited with the help of local SNAP offices</w:t>
      </w:r>
      <w:r w:rsidR="003454C0">
        <w:t xml:space="preserve"> and charitable assistance organizations</w:t>
      </w:r>
      <w:r>
        <w:t>. CBSM will provide SNAP offices</w:t>
      </w:r>
      <w:r w:rsidR="003454C0">
        <w:t xml:space="preserve"> and assistance organizations</w:t>
      </w:r>
      <w:r w:rsidR="004865B3">
        <w:t xml:space="preserve"> in </w:t>
      </w:r>
      <w:r w:rsidR="00066233">
        <w:t>each site</w:t>
      </w:r>
      <w:r>
        <w:t xml:space="preserve"> with flyers and advertisements that can be sent electronically to recipient listservs</w:t>
      </w:r>
      <w:r w:rsidR="00155C64">
        <w:t xml:space="preserve">, </w:t>
      </w:r>
      <w:r>
        <w:t>posted on local websites</w:t>
      </w:r>
      <w:r w:rsidR="00155C64">
        <w:t xml:space="preserve">, or physically posted </w:t>
      </w:r>
      <w:r w:rsidR="00375E1E">
        <w:t>in public areas of service offices</w:t>
      </w:r>
      <w:r>
        <w:t>. These materials will include a</w:t>
      </w:r>
      <w:r w:rsidR="00254C49">
        <w:t xml:space="preserve"> </w:t>
      </w:r>
      <w:r w:rsidRPr="004E04A4" w:rsidR="00254C49">
        <w:t>URL</w:t>
      </w:r>
      <w:r w:rsidR="00254C49">
        <w:t xml:space="preserve"> and a</w:t>
      </w:r>
      <w:r>
        <w:t xml:space="preserve"> toll-free </w:t>
      </w:r>
      <w:r w:rsidR="00254C49">
        <w:t xml:space="preserve">telephone </w:t>
      </w:r>
      <w:r>
        <w:t xml:space="preserve">number that potential participants can </w:t>
      </w:r>
      <w:r w:rsidR="00375E1E">
        <w:t>use</w:t>
      </w:r>
      <w:r>
        <w:t xml:space="preserve"> if they wish to participate</w:t>
      </w:r>
      <w:r w:rsidR="004865B3">
        <w:t xml:space="preserve"> (See </w:t>
      </w:r>
      <w:r w:rsidRPr="00B84DBE" w:rsidR="004865B3">
        <w:t>Enclosure 1</w:t>
      </w:r>
      <w:r w:rsidR="00B84DBE">
        <w:t xml:space="preserve"> – </w:t>
      </w:r>
      <w:r w:rsidRPr="00B84DBE" w:rsidR="004865B3">
        <w:t xml:space="preserve">Recruitment </w:t>
      </w:r>
      <w:r w:rsidR="00B84DBE">
        <w:t>Materials</w:t>
      </w:r>
      <w:r w:rsidR="004865B3">
        <w:t>)</w:t>
      </w:r>
      <w:r>
        <w:t>. Participants will be screened</w:t>
      </w:r>
      <w:r w:rsidR="00F8674B">
        <w:t xml:space="preserve"> via online questionnaire or phone interview</w:t>
      </w:r>
      <w:r>
        <w:t xml:space="preserve"> and scheduled for a</w:t>
      </w:r>
      <w:r w:rsidR="00F8674B">
        <w:t xml:space="preserve"> cognitive</w:t>
      </w:r>
      <w:r>
        <w:t xml:space="preserve"> interview if they qualify</w:t>
      </w:r>
      <w:r w:rsidR="004865B3">
        <w:t xml:space="preserve"> (See </w:t>
      </w:r>
      <w:r w:rsidRPr="00B84DBE" w:rsidR="004865B3">
        <w:t>Enclosure 2</w:t>
      </w:r>
      <w:r w:rsidR="00B84DBE">
        <w:t xml:space="preserve"> – </w:t>
      </w:r>
      <w:r w:rsidRPr="00B84DBE" w:rsidR="00B84DBE">
        <w:t xml:space="preserve">Additional </w:t>
      </w:r>
      <w:r w:rsidRPr="00B84DBE" w:rsidR="004865B3">
        <w:t>Screening Questions</w:t>
      </w:r>
      <w:r w:rsidR="004865B3">
        <w:t>)</w:t>
      </w:r>
      <w:r>
        <w:t xml:space="preserve">. </w:t>
      </w:r>
    </w:p>
    <w:p w:rsidR="001347DB" w:rsidP="00AE7EBD" w14:paraId="18912EEF" w14:textId="1604E6CC">
      <w:r>
        <w:rPr>
          <w:b/>
        </w:rPr>
        <w:t>Location</w:t>
      </w:r>
      <w:r w:rsidR="00605398">
        <w:rPr>
          <w:b/>
        </w:rPr>
        <w:t>s</w:t>
      </w:r>
      <w:r>
        <w:rPr>
          <w:b/>
        </w:rPr>
        <w:t xml:space="preserve"> of interviews</w:t>
      </w:r>
      <w:r w:rsidR="005C175F">
        <w:rPr>
          <w:b/>
        </w:rPr>
        <w:t xml:space="preserve">: </w:t>
      </w:r>
      <w:r w:rsidR="005C175F">
        <w:t>Th</w:t>
      </w:r>
      <w:r w:rsidR="008A3626">
        <w:t>is</w:t>
      </w:r>
      <w:r w:rsidR="005C175F">
        <w:t xml:space="preserve"> round of i</w:t>
      </w:r>
      <w:r w:rsidR="00AE7EBD">
        <w:t>nterviews will be conducted in and around the cit</w:t>
      </w:r>
      <w:r w:rsidR="00C032B4">
        <w:t>ies</w:t>
      </w:r>
      <w:r w:rsidR="00AE7EBD">
        <w:t xml:space="preserve"> of </w:t>
      </w:r>
      <w:r w:rsidR="002D179D">
        <w:t>St. Cloud, Minnesota</w:t>
      </w:r>
      <w:r w:rsidR="00123F47">
        <w:t xml:space="preserve"> and Green Bay, </w:t>
      </w:r>
      <w:r w:rsidR="008A3626">
        <w:t>Wisconsin</w:t>
      </w:r>
      <w:r w:rsidR="004E04A4">
        <w:t>,</w:t>
      </w:r>
      <w:r w:rsidR="002D179D">
        <w:t xml:space="preserve"> </w:t>
      </w:r>
      <w:r w:rsidR="00AE7EBD">
        <w:t xml:space="preserve">in </w:t>
      </w:r>
      <w:r w:rsidR="00F30E8A">
        <w:t>state agency offices where SNAP participants apply for benefits</w:t>
      </w:r>
      <w:r w:rsidR="00AE7EBD">
        <w:t xml:space="preserve">. We chose </w:t>
      </w:r>
      <w:r w:rsidR="002D179D">
        <w:t>St. Cloud</w:t>
      </w:r>
      <w:r w:rsidR="00123F47">
        <w:t xml:space="preserve"> and Green Bay</w:t>
      </w:r>
      <w:r w:rsidR="002D179D">
        <w:t xml:space="preserve"> </w:t>
      </w:r>
      <w:r w:rsidR="00AE7EBD">
        <w:t>because of the density and diversity of SNAP recipients in the</w:t>
      </w:r>
      <w:r w:rsidR="00123F47">
        <w:t>se</w:t>
      </w:r>
      <w:r w:rsidR="00AE7EBD">
        <w:t xml:space="preserve"> area</w:t>
      </w:r>
      <w:r w:rsidR="00123F47">
        <w:t>s.</w:t>
      </w:r>
      <w:r w:rsidR="00AE7EBD">
        <w:t xml:space="preserve"> </w:t>
      </w:r>
    </w:p>
    <w:p w:rsidR="002A0F22" w:rsidP="00BD0746" w14:paraId="2BA10C29" w14:textId="69BDB4C2">
      <w:r>
        <w:rPr>
          <w:b/>
        </w:rPr>
        <w:t>Protocol:</w:t>
      </w:r>
      <w:r w:rsidR="00E6205A">
        <w:rPr>
          <w:b/>
        </w:rPr>
        <w:t xml:space="preserve"> </w:t>
      </w:r>
      <w:r w:rsidR="00E6205A">
        <w:t xml:space="preserve">The protocol is designed to test messaging to ABAWDs in use in </w:t>
      </w:r>
      <w:r w:rsidR="00123F47">
        <w:t xml:space="preserve">Minnesota and Wisconsin </w:t>
      </w:r>
      <w:r w:rsidR="00BD0746">
        <w:t>to communicate issues related to</w:t>
      </w:r>
      <w:r w:rsidR="004E3415">
        <w:t xml:space="preserve"> ABAWD time limits</w:t>
      </w:r>
      <w:r w:rsidR="00E6205A">
        <w:t xml:space="preserve">. </w:t>
      </w:r>
      <w:r w:rsidR="004E3415">
        <w:t xml:space="preserve">Participants </w:t>
      </w:r>
      <w:r w:rsidR="00E6205A">
        <w:t xml:space="preserve">will be trained to think-aloud and to give their immediate reactions to what they are reading. </w:t>
      </w:r>
      <w:r w:rsidR="00BD0746">
        <w:t>Researchers will remind participants to think aloud as they are reading the materials and ask scripted and spontaneous probes designed to gauge comprehension and interpretation of the materials being tested</w:t>
      </w:r>
      <w:r>
        <w:t xml:space="preserve">. </w:t>
      </w:r>
    </w:p>
    <w:p w:rsidR="00605398" w:rsidRPr="004E04A4" w:rsidP="003C6A4B" w14:paraId="2AD101D7" w14:textId="3E5D79FA">
      <w:pPr>
        <w:rPr>
          <w:highlight w:val="yellow"/>
        </w:rPr>
      </w:pPr>
      <w:r>
        <w:t xml:space="preserve">We plan to </w:t>
      </w:r>
      <w:r w:rsidR="00954B60">
        <w:t xml:space="preserve">test </w:t>
      </w:r>
      <w:r w:rsidR="00C032B4">
        <w:t xml:space="preserve">five </w:t>
      </w:r>
      <w:r w:rsidR="004E3415">
        <w:t>documents</w:t>
      </w:r>
      <w:r w:rsidR="00BD0746">
        <w:t xml:space="preserve"> </w:t>
      </w:r>
      <w:r w:rsidR="0027525D">
        <w:t>from</w:t>
      </w:r>
      <w:r w:rsidR="00BD0746">
        <w:t xml:space="preserve"> each state</w:t>
      </w:r>
      <w:r>
        <w:t xml:space="preserve">. The </w:t>
      </w:r>
      <w:r w:rsidR="004E3415">
        <w:t>documents</w:t>
      </w:r>
      <w:r>
        <w:t xml:space="preserve"> all include descriptions of eligibility criteria for the ABAWD time limits or are designed to notify SNAP recipients about </w:t>
      </w:r>
      <w:r w:rsidR="00F26835">
        <w:t xml:space="preserve">their eligibility for continuing to receive food assistance. </w:t>
      </w:r>
      <w:r w:rsidRPr="002A0F22" w:rsidR="00954B60">
        <w:t xml:space="preserve">The test materials were provided by the </w:t>
      </w:r>
      <w:r w:rsidRPr="002A0F22" w:rsidR="00C032B4">
        <w:t xml:space="preserve">Minnesota and Wisconsin </w:t>
      </w:r>
      <w:r w:rsidRPr="002A0F22" w:rsidR="00954B60">
        <w:t>SNAP liaison</w:t>
      </w:r>
      <w:r w:rsidRPr="002A0F22" w:rsidR="00C032B4">
        <w:t>s</w:t>
      </w:r>
      <w:r w:rsidRPr="002A0F22" w:rsidR="00954B60">
        <w:t xml:space="preserve"> and chosen for testing with input from FNS staff. </w:t>
      </w:r>
      <w:r w:rsidRPr="002A0F22" w:rsidR="00F26835">
        <w:t xml:space="preserve">The materials we plan to test </w:t>
      </w:r>
      <w:r w:rsidRPr="002A0F22" w:rsidR="002A0F22">
        <w:t>in each state are listed below.</w:t>
      </w:r>
      <w:r w:rsidRPr="002A0F22" w:rsidR="00F26835">
        <w:t xml:space="preserve"> </w:t>
      </w:r>
    </w:p>
    <w:p w:rsidR="00B84DBE" w:rsidRPr="0027525D" w:rsidP="00B84DBE" w14:paraId="586CE636" w14:textId="77777777">
      <w:pPr>
        <w:ind w:left="360"/>
      </w:pPr>
      <w:r w:rsidRPr="0027525D">
        <w:t xml:space="preserve">Minnesota: </w:t>
      </w:r>
    </w:p>
    <w:p w:rsidR="00B84DBE" w:rsidRPr="0027525D" w:rsidP="00B84DBE" w14:paraId="64C896E8" w14:textId="77777777">
      <w:pPr>
        <w:pStyle w:val="ListParagraph"/>
        <w:numPr>
          <w:ilvl w:val="0"/>
          <w:numId w:val="7"/>
        </w:numPr>
      </w:pPr>
      <w:r w:rsidRPr="0027525D">
        <w:t>Letter 1 – Notice of Decision</w:t>
      </w:r>
    </w:p>
    <w:p w:rsidR="00B84DBE" w:rsidRPr="0027525D" w:rsidP="00B84DBE" w14:paraId="7E5234B1" w14:textId="77777777">
      <w:pPr>
        <w:pStyle w:val="ListParagraph"/>
        <w:numPr>
          <w:ilvl w:val="0"/>
          <w:numId w:val="7"/>
        </w:numPr>
      </w:pPr>
      <w:r w:rsidRPr="0027525D">
        <w:t>Letter 2 – Work Rules Notice</w:t>
      </w:r>
    </w:p>
    <w:p w:rsidR="00B84DBE" w:rsidRPr="0027525D" w:rsidP="00B84DBE" w14:paraId="32BC7884" w14:textId="77777777">
      <w:pPr>
        <w:pStyle w:val="ListParagraph"/>
        <w:numPr>
          <w:ilvl w:val="0"/>
          <w:numId w:val="7"/>
        </w:numPr>
      </w:pPr>
      <w:r w:rsidRPr="0027525D">
        <w:t>Letter 3 – First Sanction Notice</w:t>
      </w:r>
    </w:p>
    <w:p w:rsidR="00B84DBE" w:rsidRPr="0027525D" w:rsidP="00B84DBE" w14:paraId="03683081" w14:textId="77777777">
      <w:pPr>
        <w:pStyle w:val="ListParagraph"/>
        <w:numPr>
          <w:ilvl w:val="0"/>
          <w:numId w:val="7"/>
        </w:numPr>
      </w:pPr>
      <w:r w:rsidRPr="0027525D">
        <w:t>Letter 4 – Multi-Person Sanction Notice</w:t>
      </w:r>
    </w:p>
    <w:p w:rsidR="00B84DBE" w:rsidP="00B84DBE" w14:paraId="4F198274" w14:textId="77777777">
      <w:pPr>
        <w:pStyle w:val="ListParagraph"/>
        <w:numPr>
          <w:ilvl w:val="0"/>
          <w:numId w:val="7"/>
        </w:numPr>
      </w:pPr>
      <w:r w:rsidRPr="0027525D">
        <w:t xml:space="preserve">Letter 5 – Closing Notice </w:t>
      </w:r>
    </w:p>
    <w:p w:rsidR="00123F47" w:rsidRPr="0027525D" w:rsidP="00CF7089" w14:paraId="5A20F2AB" w14:textId="6265A7EF">
      <w:pPr>
        <w:ind w:left="360"/>
      </w:pPr>
      <w:r w:rsidRPr="0027525D">
        <w:t xml:space="preserve">Wisconsin: </w:t>
      </w:r>
    </w:p>
    <w:p w:rsidR="0027525D" w:rsidRPr="0027525D" w:rsidP="002A0F22" w14:paraId="5B0756D9" w14:textId="41F4B8D3">
      <w:pPr>
        <w:pStyle w:val="ListParagraph"/>
        <w:numPr>
          <w:ilvl w:val="0"/>
          <w:numId w:val="6"/>
        </w:numPr>
      </w:pPr>
      <w:r w:rsidRPr="0027525D">
        <w:t xml:space="preserve">Letter 1 </w:t>
      </w:r>
      <w:r w:rsidR="00B84DBE">
        <w:t>–</w:t>
      </w:r>
      <w:r w:rsidRPr="0027525D">
        <w:t xml:space="preserve"> About Your Benefits</w:t>
      </w:r>
    </w:p>
    <w:p w:rsidR="0027525D" w:rsidRPr="0027525D" w:rsidP="002A0F22" w14:paraId="06B94E76" w14:textId="2D23ACBA">
      <w:pPr>
        <w:pStyle w:val="ListParagraph"/>
        <w:numPr>
          <w:ilvl w:val="0"/>
          <w:numId w:val="6"/>
        </w:numPr>
      </w:pPr>
      <w:r w:rsidRPr="0027525D">
        <w:t xml:space="preserve">Letter 2 </w:t>
      </w:r>
      <w:r w:rsidR="00B84DBE">
        <w:t>–</w:t>
      </w:r>
      <w:r w:rsidRPr="0027525D">
        <w:t xml:space="preserve"> Time Limited</w:t>
      </w:r>
    </w:p>
    <w:p w:rsidR="0027525D" w:rsidRPr="0027525D" w:rsidP="002A0F22" w14:paraId="466F3A0A" w14:textId="1BBCD824">
      <w:pPr>
        <w:pStyle w:val="ListParagraph"/>
        <w:numPr>
          <w:ilvl w:val="0"/>
          <w:numId w:val="6"/>
        </w:numPr>
      </w:pPr>
      <w:r w:rsidRPr="0027525D">
        <w:t xml:space="preserve">Letter 3 </w:t>
      </w:r>
      <w:r w:rsidR="00B84DBE">
        <w:t>–</w:t>
      </w:r>
      <w:r w:rsidRPr="0027525D">
        <w:t xml:space="preserve"> Work Requirements Flyer</w:t>
      </w:r>
    </w:p>
    <w:p w:rsidR="0027525D" w:rsidRPr="0027525D" w:rsidP="002A0F22" w14:paraId="31ACC6B6" w14:textId="77777777">
      <w:pPr>
        <w:pStyle w:val="ListParagraph"/>
        <w:numPr>
          <w:ilvl w:val="0"/>
          <w:numId w:val="6"/>
        </w:numPr>
      </w:pPr>
      <w:r w:rsidRPr="0027525D">
        <w:t>Letter 4 – FSET Initial Appointment</w:t>
      </w:r>
    </w:p>
    <w:p w:rsidR="0027525D" w:rsidP="002A0F22" w14:paraId="3FA929CF" w14:textId="77777777">
      <w:pPr>
        <w:pStyle w:val="ListParagraph"/>
        <w:numPr>
          <w:ilvl w:val="0"/>
          <w:numId w:val="6"/>
        </w:numPr>
      </w:pPr>
      <w:r w:rsidRPr="0027525D">
        <w:t>Letter 5 – FSET Appointment Final Notice</w:t>
      </w:r>
    </w:p>
    <w:p w:rsidR="002A0F22" w:rsidP="002A0F22" w14:paraId="2868762D" w14:textId="62BFA0DE">
      <w:r w:rsidRPr="00B84DBE">
        <w:t>Enclosures 3 and 4</w:t>
      </w:r>
      <w:r>
        <w:t xml:space="preserve"> contain the interview protocols and testing materials for Minnesota and Wisconsin, respectively.</w:t>
      </w:r>
    </w:p>
    <w:p w:rsidR="005C175F" w:rsidP="003C6A4B" w14:paraId="07641572" w14:textId="47D3BBAE">
      <w:pPr>
        <w:rPr>
          <w:b/>
        </w:rPr>
      </w:pPr>
      <w:r>
        <w:rPr>
          <w:b/>
        </w:rPr>
        <w:t xml:space="preserve">Informed Consent: </w:t>
      </w:r>
      <w:r w:rsidRPr="00F16E86">
        <w:rPr>
          <w:szCs w:val="24"/>
        </w:rPr>
        <w:t xml:space="preserve">We will inform participants that their response is voluntary and that the information they provide is confidential and will be accessed only by employees involved in the research project. The consent form will also indicate that the respondent agrees that the interview can be audio-taped to facilitate analysis of the results. Participants who do not consent to be audio-taped will still be allowed to participate. A copy of the consent form is attached (see </w:t>
      </w:r>
      <w:r w:rsidRPr="00B84DBE">
        <w:rPr>
          <w:szCs w:val="24"/>
        </w:rPr>
        <w:t xml:space="preserve">Enclosure </w:t>
      </w:r>
      <w:r w:rsidR="00B84DBE">
        <w:rPr>
          <w:szCs w:val="24"/>
        </w:rPr>
        <w:t>5 –</w:t>
      </w:r>
      <w:r w:rsidRPr="00B84DBE">
        <w:rPr>
          <w:szCs w:val="24"/>
        </w:rPr>
        <w:t xml:space="preserve"> Consent Form</w:t>
      </w:r>
      <w:r w:rsidRPr="00F16E86">
        <w:rPr>
          <w:szCs w:val="24"/>
        </w:rPr>
        <w:t>).</w:t>
      </w:r>
    </w:p>
    <w:p w:rsidR="005C175F" w:rsidP="003C6A4B" w14:paraId="713EEC1D" w14:textId="2FAA25FA">
      <w:pPr>
        <w:rPr>
          <w:b/>
        </w:rPr>
      </w:pPr>
      <w:r>
        <w:rPr>
          <w:b/>
        </w:rPr>
        <w:t xml:space="preserve">Incentive: </w:t>
      </w:r>
      <w:r w:rsidR="004E04A4">
        <w:t>Participants will receive a $</w:t>
      </w:r>
      <w:r w:rsidRPr="004E3415" w:rsidR="004E04A4">
        <w:t>50</w:t>
      </w:r>
      <w:r w:rsidR="004E04A4">
        <w:t xml:space="preserve"> incentive for in-person participation and $40 for remote interviews.</w:t>
      </w:r>
      <w:r>
        <w:rPr>
          <w:rStyle w:val="FootnoteReference"/>
        </w:rPr>
        <w:footnoteReference w:id="3"/>
      </w:r>
    </w:p>
    <w:p w:rsidR="004865B3" w:rsidP="004865B3" w14:paraId="195A46A6" w14:textId="10AE8D77">
      <w:r>
        <w:rPr>
          <w:b/>
        </w:rPr>
        <w:t xml:space="preserve">Length of Interview: </w:t>
      </w:r>
      <w:r>
        <w:t>W</w:t>
      </w:r>
      <w:r w:rsidRPr="00BA4D7B">
        <w:t xml:space="preserve">e estimate that each </w:t>
      </w:r>
      <w:r>
        <w:t xml:space="preserve">of the </w:t>
      </w:r>
      <w:r w:rsidR="00F30E8A">
        <w:t>30</w:t>
      </w:r>
      <w:r w:rsidRPr="00BA4D7B">
        <w:t xml:space="preserve"> </w:t>
      </w:r>
      <w:r>
        <w:t xml:space="preserve">in-person cognitive </w:t>
      </w:r>
      <w:r w:rsidRPr="00BA4D7B">
        <w:t xml:space="preserve">interviews will take approximately </w:t>
      </w:r>
      <w:r>
        <w:t>60 minutes.</w:t>
      </w:r>
      <w:r w:rsidRPr="00BA4D7B">
        <w:t xml:space="preserve"> </w:t>
      </w:r>
      <w:r>
        <w:t>This results in a burden of</w:t>
      </w:r>
      <w:r w:rsidRPr="00BA4D7B">
        <w:t xml:space="preserve"> </w:t>
      </w:r>
      <w:r w:rsidR="00F30E8A">
        <w:t>30</w:t>
      </w:r>
      <w:r w:rsidRPr="00BA4D7B">
        <w:t xml:space="preserve"> hours. </w:t>
      </w:r>
    </w:p>
    <w:p w:rsidR="004865B3" w:rsidP="004865B3" w14:paraId="1442C2A9" w14:textId="0445F82F">
      <w:r w:rsidRPr="00BA4D7B">
        <w:t xml:space="preserve">The pre-approved generic screening questionnaire will take approximately ten minutes per person, and the additional screening questions specific to this research </w:t>
      </w:r>
      <w:r w:rsidRPr="006B1C79">
        <w:t xml:space="preserve">will take two minutes per person (see </w:t>
      </w:r>
      <w:r w:rsidRPr="00B84DBE">
        <w:t>Enclosure 2</w:t>
      </w:r>
      <w:r w:rsidRPr="006B1C79">
        <w:t>).</w:t>
      </w:r>
      <w:r w:rsidRPr="00BA4D7B">
        <w:t xml:space="preserve"> We estimate that we will screen</w:t>
      </w:r>
      <w:r w:rsidR="0032222F">
        <w:t xml:space="preserve"> up to</w:t>
      </w:r>
      <w:r w:rsidRPr="00BA4D7B">
        <w:t xml:space="preserve"> </w:t>
      </w:r>
      <w:r w:rsidR="00F30E8A">
        <w:t>three</w:t>
      </w:r>
      <w:r w:rsidRPr="00BA4D7B">
        <w:t xml:space="preserve"> people for each successful recruit for each of the </w:t>
      </w:r>
      <w:r w:rsidR="00F30E8A">
        <w:t>30</w:t>
      </w:r>
      <w:r w:rsidRPr="00BA4D7B">
        <w:t xml:space="preserve"> interviews. Therefore, we estimate a total of </w:t>
      </w:r>
      <w:r w:rsidR="00F30E8A">
        <w:t>90</w:t>
      </w:r>
      <w:r w:rsidRPr="00BA4D7B">
        <w:t xml:space="preserve"> people screened for a total of </w:t>
      </w:r>
      <w:r w:rsidR="002F7A78">
        <w:t xml:space="preserve">about </w:t>
      </w:r>
      <w:r w:rsidR="00F30E8A">
        <w:t>3</w:t>
      </w:r>
      <w:r w:rsidRPr="00BA4D7B">
        <w:t xml:space="preserve"> hours</w:t>
      </w:r>
      <w:r>
        <w:t xml:space="preserve"> (</w:t>
      </w:r>
      <w:r w:rsidR="00F30E8A">
        <w:t>90</w:t>
      </w:r>
      <w:r w:rsidRPr="00BA4D7B">
        <w:t xml:space="preserve"> people at 2 minutes each). </w:t>
      </w:r>
    </w:p>
    <w:p w:rsidR="005C175F" w:rsidP="003C6A4B" w14:paraId="05D5EEA3" w14:textId="5E28D96E">
      <w:pPr>
        <w:rPr>
          <w:b/>
        </w:rPr>
      </w:pPr>
      <w:r w:rsidRPr="00593D86">
        <w:rPr>
          <w:color w:val="000000"/>
          <w:szCs w:val="24"/>
        </w:rPr>
        <w:t xml:space="preserve">The total estimated </w:t>
      </w:r>
      <w:r>
        <w:rPr>
          <w:color w:val="000000"/>
          <w:szCs w:val="24"/>
        </w:rPr>
        <w:t>participant</w:t>
      </w:r>
      <w:r w:rsidRPr="00593D86">
        <w:rPr>
          <w:color w:val="000000"/>
          <w:szCs w:val="24"/>
        </w:rPr>
        <w:t xml:space="preserve"> burden for this </w:t>
      </w:r>
      <w:r>
        <w:rPr>
          <w:color w:val="000000"/>
          <w:szCs w:val="24"/>
        </w:rPr>
        <w:t>request</w:t>
      </w:r>
      <w:r w:rsidRPr="00593D86">
        <w:rPr>
          <w:color w:val="000000"/>
          <w:szCs w:val="24"/>
        </w:rPr>
        <w:t xml:space="preserve"> is </w:t>
      </w:r>
      <w:r w:rsidR="00F30E8A">
        <w:rPr>
          <w:color w:val="000000"/>
          <w:szCs w:val="24"/>
        </w:rPr>
        <w:t>33</w:t>
      </w:r>
      <w:r w:rsidRPr="00593D86">
        <w:rPr>
          <w:color w:val="000000"/>
          <w:szCs w:val="24"/>
        </w:rPr>
        <w:t xml:space="preserve"> hours</w:t>
      </w:r>
      <w:r>
        <w:rPr>
          <w:color w:val="000000"/>
          <w:szCs w:val="24"/>
        </w:rPr>
        <w:t xml:space="preserve"> or less</w:t>
      </w:r>
      <w:r w:rsidRPr="00593D86">
        <w:rPr>
          <w:color w:val="000000"/>
          <w:szCs w:val="24"/>
        </w:rPr>
        <w:t>.</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920"/>
        <w:gridCol w:w="1800"/>
        <w:gridCol w:w="1620"/>
        <w:gridCol w:w="990"/>
      </w:tblGrid>
      <w:tr w14:paraId="73A1B066" w14:textId="77777777" w:rsidTr="00486207">
        <w:tblPrEx>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4865B3" w:rsidRPr="00C16D35" w:rsidP="00486207" w14:paraId="08E7E32A" w14:textId="77777777">
            <w:pPr>
              <w:rPr>
                <w:color w:val="000000" w:themeColor="text1"/>
              </w:rPr>
            </w:pPr>
            <w:r w:rsidRPr="00C16D35">
              <w:rPr>
                <w:b/>
                <w:color w:val="000000" w:themeColor="text1"/>
              </w:rPr>
              <w:t xml:space="preserve">Category </w:t>
            </w:r>
          </w:p>
        </w:tc>
        <w:tc>
          <w:tcPr>
            <w:tcW w:w="1800" w:type="dxa"/>
            <w:tcMar>
              <w:top w:w="60" w:type="dxa"/>
              <w:left w:w="60" w:type="dxa"/>
              <w:bottom w:w="60" w:type="dxa"/>
              <w:right w:w="60" w:type="dxa"/>
            </w:tcMar>
            <w:hideMark/>
          </w:tcPr>
          <w:p w:rsidR="004865B3" w:rsidRPr="00C16D35" w:rsidP="00486207" w14:paraId="43027EA6" w14:textId="77777777">
            <w:pPr>
              <w:rPr>
                <w:color w:val="000000" w:themeColor="text1"/>
              </w:rPr>
            </w:pPr>
            <w:r w:rsidRPr="00C16D35">
              <w:rPr>
                <w:b/>
                <w:color w:val="000000" w:themeColor="text1"/>
              </w:rPr>
              <w:t>No. of Respondents</w:t>
            </w:r>
          </w:p>
        </w:tc>
        <w:tc>
          <w:tcPr>
            <w:tcW w:w="1620" w:type="dxa"/>
            <w:tcMar>
              <w:top w:w="60" w:type="dxa"/>
              <w:left w:w="60" w:type="dxa"/>
              <w:bottom w:w="60" w:type="dxa"/>
              <w:right w:w="60" w:type="dxa"/>
            </w:tcMar>
            <w:hideMark/>
          </w:tcPr>
          <w:p w:rsidR="004865B3" w:rsidRPr="00C16D35" w:rsidP="00486207" w14:paraId="51C18F94" w14:textId="77777777">
            <w:pPr>
              <w:rPr>
                <w:color w:val="000000" w:themeColor="text1"/>
              </w:rPr>
            </w:pPr>
            <w:r w:rsidRPr="00C16D35">
              <w:rPr>
                <w:b/>
                <w:color w:val="000000" w:themeColor="text1"/>
              </w:rPr>
              <w:t>Participation Time</w:t>
            </w:r>
          </w:p>
        </w:tc>
        <w:tc>
          <w:tcPr>
            <w:tcW w:w="990" w:type="dxa"/>
            <w:tcMar>
              <w:top w:w="60" w:type="dxa"/>
              <w:left w:w="60" w:type="dxa"/>
              <w:bottom w:w="60" w:type="dxa"/>
              <w:right w:w="60" w:type="dxa"/>
            </w:tcMar>
            <w:hideMark/>
          </w:tcPr>
          <w:p w:rsidR="004865B3" w:rsidRPr="00C16D35" w:rsidP="00486207" w14:paraId="09AE027A" w14:textId="77777777">
            <w:pPr>
              <w:rPr>
                <w:color w:val="000000" w:themeColor="text1"/>
              </w:rPr>
            </w:pPr>
            <w:r w:rsidRPr="00C16D35">
              <w:rPr>
                <w:b/>
                <w:color w:val="000000" w:themeColor="text1"/>
              </w:rPr>
              <w:t>Burden</w:t>
            </w:r>
          </w:p>
        </w:tc>
      </w:tr>
      <w:tr w14:paraId="3210E202" w14:textId="77777777" w:rsidTr="00486207">
        <w:tblPrEx>
          <w:tblW w:w="9330" w:type="dxa"/>
          <w:tblLayout w:type="fixed"/>
          <w:tblCellMar>
            <w:top w:w="15" w:type="dxa"/>
            <w:left w:w="15" w:type="dxa"/>
            <w:bottom w:w="15" w:type="dxa"/>
            <w:right w:w="15" w:type="dxa"/>
          </w:tblCellMar>
          <w:tblLook w:val="04A0"/>
        </w:tblPrEx>
        <w:trPr>
          <w:trHeight w:val="222"/>
        </w:trPr>
        <w:tc>
          <w:tcPr>
            <w:tcW w:w="4920" w:type="dxa"/>
            <w:tcMar>
              <w:top w:w="60" w:type="dxa"/>
              <w:left w:w="60" w:type="dxa"/>
              <w:bottom w:w="60" w:type="dxa"/>
              <w:right w:w="60" w:type="dxa"/>
            </w:tcMar>
            <w:hideMark/>
          </w:tcPr>
          <w:p w:rsidR="004865B3" w:rsidRPr="00C16D35" w:rsidP="00486207" w14:paraId="1CF92E18" w14:textId="77777777">
            <w:pPr>
              <w:rPr>
                <w:color w:val="000000" w:themeColor="text1"/>
              </w:rPr>
            </w:pPr>
            <w:r w:rsidRPr="00C16D35">
              <w:rPr>
                <w:color w:val="000000" w:themeColor="text1"/>
              </w:rPr>
              <w:t>  Screening</w:t>
            </w:r>
          </w:p>
        </w:tc>
        <w:tc>
          <w:tcPr>
            <w:tcW w:w="1800" w:type="dxa"/>
            <w:tcMar>
              <w:top w:w="60" w:type="dxa"/>
              <w:left w:w="60" w:type="dxa"/>
              <w:bottom w:w="60" w:type="dxa"/>
              <w:right w:w="60" w:type="dxa"/>
            </w:tcMar>
            <w:hideMark/>
          </w:tcPr>
          <w:p w:rsidR="004865B3" w:rsidRPr="00C16D35" w:rsidP="00486207" w14:paraId="1E6A1E12" w14:textId="061B55EA">
            <w:pPr>
              <w:rPr>
                <w:color w:val="000000" w:themeColor="text1"/>
              </w:rPr>
            </w:pPr>
            <w:r>
              <w:rPr>
                <w:color w:val="000000" w:themeColor="text1"/>
              </w:rPr>
              <w:t>90</w:t>
            </w:r>
          </w:p>
        </w:tc>
        <w:tc>
          <w:tcPr>
            <w:tcW w:w="1620" w:type="dxa"/>
            <w:tcMar>
              <w:top w:w="60" w:type="dxa"/>
              <w:left w:w="60" w:type="dxa"/>
              <w:bottom w:w="60" w:type="dxa"/>
              <w:right w:w="60" w:type="dxa"/>
            </w:tcMar>
            <w:hideMark/>
          </w:tcPr>
          <w:p w:rsidR="004865B3" w:rsidRPr="00C16D35" w:rsidP="00486207" w14:paraId="681059B9" w14:textId="77777777">
            <w:pPr>
              <w:rPr>
                <w:color w:val="000000" w:themeColor="text1"/>
              </w:rPr>
            </w:pPr>
            <w:r w:rsidRPr="00C16D35">
              <w:rPr>
                <w:color w:val="000000" w:themeColor="text1"/>
              </w:rPr>
              <w:t>2 minutes</w:t>
            </w:r>
          </w:p>
        </w:tc>
        <w:tc>
          <w:tcPr>
            <w:tcW w:w="990" w:type="dxa"/>
            <w:tcMar>
              <w:top w:w="60" w:type="dxa"/>
              <w:left w:w="60" w:type="dxa"/>
              <w:bottom w:w="60" w:type="dxa"/>
              <w:right w:w="60" w:type="dxa"/>
            </w:tcMar>
            <w:hideMark/>
          </w:tcPr>
          <w:p w:rsidR="004865B3" w:rsidRPr="00C16D35" w:rsidP="00486207" w14:paraId="564F0F75" w14:textId="787D440F">
            <w:pPr>
              <w:rPr>
                <w:color w:val="000000" w:themeColor="text1"/>
              </w:rPr>
            </w:pPr>
            <w:r>
              <w:rPr>
                <w:color w:val="000000" w:themeColor="text1"/>
              </w:rPr>
              <w:t>3</w:t>
            </w:r>
            <w:r w:rsidRPr="00C16D35">
              <w:rPr>
                <w:color w:val="000000" w:themeColor="text1"/>
              </w:rPr>
              <w:t xml:space="preserve"> hours</w:t>
            </w:r>
          </w:p>
        </w:tc>
      </w:tr>
      <w:tr w14:paraId="38F042AA" w14:textId="77777777" w:rsidTr="00486207">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4865B3" w:rsidRPr="00C16D35" w:rsidP="00486207" w14:paraId="4CBB2CC9" w14:textId="77777777">
            <w:pPr>
              <w:rPr>
                <w:color w:val="000000" w:themeColor="text1"/>
              </w:rPr>
            </w:pPr>
            <w:r w:rsidRPr="00C16D35">
              <w:rPr>
                <w:color w:val="000000" w:themeColor="text1"/>
              </w:rPr>
              <w:t>  Cognitive Interviews</w:t>
            </w:r>
          </w:p>
        </w:tc>
        <w:tc>
          <w:tcPr>
            <w:tcW w:w="1800" w:type="dxa"/>
            <w:tcMar>
              <w:top w:w="60" w:type="dxa"/>
              <w:left w:w="60" w:type="dxa"/>
              <w:bottom w:w="60" w:type="dxa"/>
              <w:right w:w="60" w:type="dxa"/>
            </w:tcMar>
            <w:hideMark/>
          </w:tcPr>
          <w:p w:rsidR="004865B3" w:rsidRPr="00C16D35" w:rsidP="00486207" w14:paraId="43B1EE7D" w14:textId="671E0CF7">
            <w:pPr>
              <w:rPr>
                <w:color w:val="000000" w:themeColor="text1"/>
              </w:rPr>
            </w:pPr>
            <w:r>
              <w:rPr>
                <w:color w:val="000000" w:themeColor="text1"/>
              </w:rPr>
              <w:t>30</w:t>
            </w:r>
          </w:p>
        </w:tc>
        <w:tc>
          <w:tcPr>
            <w:tcW w:w="1620" w:type="dxa"/>
            <w:tcMar>
              <w:top w:w="60" w:type="dxa"/>
              <w:left w:w="60" w:type="dxa"/>
              <w:bottom w:w="60" w:type="dxa"/>
              <w:right w:w="60" w:type="dxa"/>
            </w:tcMar>
            <w:hideMark/>
          </w:tcPr>
          <w:p w:rsidR="004865B3" w:rsidRPr="00C16D35" w:rsidP="00486207" w14:paraId="1C171897" w14:textId="2863FADA">
            <w:pPr>
              <w:rPr>
                <w:color w:val="000000" w:themeColor="text1"/>
              </w:rPr>
            </w:pPr>
            <w:r w:rsidRPr="00C16D35">
              <w:rPr>
                <w:color w:val="000000" w:themeColor="text1"/>
              </w:rPr>
              <w:t>60</w:t>
            </w:r>
            <w:r w:rsidRPr="00C16D35">
              <w:rPr>
                <w:color w:val="000000" w:themeColor="text1"/>
              </w:rPr>
              <w:t xml:space="preserve"> minutes</w:t>
            </w:r>
          </w:p>
        </w:tc>
        <w:tc>
          <w:tcPr>
            <w:tcW w:w="990" w:type="dxa"/>
            <w:tcMar>
              <w:top w:w="60" w:type="dxa"/>
              <w:left w:w="60" w:type="dxa"/>
              <w:bottom w:w="60" w:type="dxa"/>
              <w:right w:w="60" w:type="dxa"/>
            </w:tcMar>
            <w:hideMark/>
          </w:tcPr>
          <w:p w:rsidR="004865B3" w:rsidRPr="00C16D35" w:rsidP="002F7A78" w14:paraId="3D1710E7" w14:textId="7F1450C1">
            <w:pPr>
              <w:rPr>
                <w:color w:val="000000" w:themeColor="text1"/>
              </w:rPr>
            </w:pPr>
            <w:r>
              <w:rPr>
                <w:color w:val="000000" w:themeColor="text1"/>
              </w:rPr>
              <w:t>30</w:t>
            </w:r>
            <w:r w:rsidRPr="00C16D35">
              <w:rPr>
                <w:color w:val="000000" w:themeColor="text1"/>
              </w:rPr>
              <w:t xml:space="preserve"> hours</w:t>
            </w:r>
          </w:p>
        </w:tc>
      </w:tr>
      <w:tr w14:paraId="70FEA810" w14:textId="77777777" w:rsidTr="00486207">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4865B3" w:rsidRPr="00C16D35" w:rsidP="00486207" w14:paraId="157159C9" w14:textId="18D9C7C0">
            <w:pPr>
              <w:rPr>
                <w:color w:val="000000" w:themeColor="text1"/>
              </w:rPr>
            </w:pPr>
            <w:r w:rsidRPr="00C16D35">
              <w:rPr>
                <w:b/>
                <w:color w:val="000000" w:themeColor="text1"/>
              </w:rPr>
              <w:t>Total</w:t>
            </w:r>
          </w:p>
        </w:tc>
        <w:tc>
          <w:tcPr>
            <w:tcW w:w="1800" w:type="dxa"/>
            <w:tcMar>
              <w:top w:w="60" w:type="dxa"/>
              <w:left w:w="60" w:type="dxa"/>
              <w:bottom w:w="60" w:type="dxa"/>
              <w:right w:w="60" w:type="dxa"/>
            </w:tcMar>
            <w:hideMark/>
          </w:tcPr>
          <w:p w:rsidR="004865B3" w:rsidRPr="00C16D35" w:rsidP="00486207" w14:paraId="388E271F" w14:textId="77777777">
            <w:pPr>
              <w:rPr>
                <w:color w:val="000000"/>
              </w:rPr>
            </w:pPr>
          </w:p>
        </w:tc>
        <w:tc>
          <w:tcPr>
            <w:tcW w:w="1620" w:type="dxa"/>
            <w:tcMar>
              <w:top w:w="60" w:type="dxa"/>
              <w:left w:w="60" w:type="dxa"/>
              <w:bottom w:w="60" w:type="dxa"/>
              <w:right w:w="60" w:type="dxa"/>
            </w:tcMar>
            <w:hideMark/>
          </w:tcPr>
          <w:p w:rsidR="004865B3" w:rsidRPr="00C16D35" w:rsidP="00486207" w14:paraId="407FA575" w14:textId="77777777">
            <w:pPr>
              <w:rPr>
                <w:color w:val="000000"/>
              </w:rPr>
            </w:pPr>
          </w:p>
        </w:tc>
        <w:tc>
          <w:tcPr>
            <w:tcW w:w="990" w:type="dxa"/>
            <w:tcMar>
              <w:top w:w="60" w:type="dxa"/>
              <w:left w:w="60" w:type="dxa"/>
              <w:bottom w:w="60" w:type="dxa"/>
              <w:right w:w="60" w:type="dxa"/>
            </w:tcMar>
            <w:hideMark/>
          </w:tcPr>
          <w:p w:rsidR="004865B3" w:rsidRPr="00C16D35" w:rsidP="002F7A78" w14:paraId="7BFB4122" w14:textId="641BB4C0">
            <w:pPr>
              <w:rPr>
                <w:color w:val="000000" w:themeColor="text1"/>
              </w:rPr>
            </w:pPr>
            <w:r>
              <w:rPr>
                <w:color w:val="000000" w:themeColor="text1"/>
              </w:rPr>
              <w:t>33</w:t>
            </w:r>
            <w:r w:rsidRPr="00C16D35">
              <w:rPr>
                <w:color w:val="000000" w:themeColor="text1"/>
              </w:rPr>
              <w:t xml:space="preserve"> hours</w:t>
            </w:r>
          </w:p>
        </w:tc>
      </w:tr>
    </w:tbl>
    <w:p w:rsidR="005C175F" w:rsidP="003C6A4B" w14:paraId="03E0336C" w14:textId="359718B3">
      <w:pPr>
        <w:rPr>
          <w:b/>
        </w:rPr>
      </w:pPr>
    </w:p>
    <w:p w:rsidR="005C175F" w:rsidRPr="005C175F" w:rsidP="005C175F" w14:paraId="08D24677" w14:textId="77777777">
      <w:pPr>
        <w:spacing w:after="0"/>
      </w:pPr>
      <w:r w:rsidRPr="005C175F">
        <w:t>The following documents are included as attachments:</w:t>
      </w:r>
    </w:p>
    <w:p w:rsidR="005C175F" w:rsidRPr="005C175F" w:rsidP="005C175F" w14:paraId="05E60998" w14:textId="0ADF87C1">
      <w:pPr>
        <w:spacing w:after="0"/>
        <w:ind w:left="720"/>
      </w:pPr>
      <w:r>
        <w:t xml:space="preserve">Enclosure 1: Recruitment </w:t>
      </w:r>
      <w:r w:rsidR="00B84DBE">
        <w:t>Materials</w:t>
      </w:r>
      <w:r>
        <w:t xml:space="preserve"> </w:t>
      </w:r>
    </w:p>
    <w:p w:rsidR="005C175F" w:rsidRPr="005C175F" w:rsidP="005C175F" w14:paraId="650AAED5" w14:textId="32E791EC">
      <w:pPr>
        <w:spacing w:after="0"/>
        <w:ind w:left="720"/>
      </w:pPr>
      <w:r>
        <w:t xml:space="preserve">Enclosure 2: </w:t>
      </w:r>
      <w:r w:rsidR="002F7A78">
        <w:t xml:space="preserve">Additional </w:t>
      </w:r>
      <w:r w:rsidR="00B84DBE">
        <w:t>S</w:t>
      </w:r>
      <w:r w:rsidR="002F7A78">
        <w:t xml:space="preserve">creening </w:t>
      </w:r>
      <w:r w:rsidR="00B84DBE">
        <w:t>Q</w:t>
      </w:r>
      <w:r w:rsidR="002F7A78">
        <w:t>uestions</w:t>
      </w:r>
      <w:r>
        <w:t xml:space="preserve"> </w:t>
      </w:r>
    </w:p>
    <w:p w:rsidR="005C175F" w:rsidRPr="00B84DBE" w:rsidP="005C175F" w14:paraId="2EB6683C" w14:textId="78D5E445">
      <w:pPr>
        <w:spacing w:after="0"/>
        <w:ind w:left="720"/>
      </w:pPr>
      <w:bookmarkStart w:id="0" w:name="_Hlk127367633"/>
      <w:r>
        <w:t xml:space="preserve">Enclosure 3: </w:t>
      </w:r>
      <w:r w:rsidRPr="00B84DBE" w:rsidR="0027525D">
        <w:t xml:space="preserve">Minnesota </w:t>
      </w:r>
      <w:r w:rsidRPr="00B84DBE">
        <w:t xml:space="preserve">Protocol </w:t>
      </w:r>
      <w:r w:rsidRPr="00B84DBE" w:rsidR="00ED3E22">
        <w:t>and Test</w:t>
      </w:r>
      <w:r w:rsidRPr="00B84DBE" w:rsidR="0027525D">
        <w:t>ing</w:t>
      </w:r>
      <w:r w:rsidRPr="00B84DBE" w:rsidR="00ED3E22">
        <w:t xml:space="preserve"> Materials</w:t>
      </w:r>
    </w:p>
    <w:p w:rsidR="0027525D" w:rsidP="005C175F" w14:paraId="66CAE24E" w14:textId="40A32D97">
      <w:pPr>
        <w:spacing w:after="0"/>
        <w:ind w:left="720"/>
      </w:pPr>
      <w:r w:rsidRPr="00B84DBE">
        <w:t xml:space="preserve">Enclosure 4: </w:t>
      </w:r>
      <w:r w:rsidRPr="00B84DBE">
        <w:t>Wisconsin</w:t>
      </w:r>
      <w:r>
        <w:t xml:space="preserve"> Protocol and Testing Materials</w:t>
      </w:r>
    </w:p>
    <w:bookmarkEnd w:id="0"/>
    <w:p w:rsidR="004865B3" w:rsidRPr="005C175F" w:rsidP="0027525D" w14:paraId="2C0005FC" w14:textId="2096149E">
      <w:pPr>
        <w:spacing w:after="0"/>
        <w:ind w:left="720"/>
      </w:pPr>
      <w:r>
        <w:t xml:space="preserve">Enclosure 5: </w:t>
      </w:r>
      <w:r>
        <w:t>Consent Form</w:t>
      </w:r>
    </w:p>
    <w:p w:rsidR="005C175F" w:rsidRPr="005C175F" w:rsidP="005C175F" w14:paraId="1D1E22FF" w14:textId="77777777"/>
    <w:p w:rsidR="005C175F" w:rsidRPr="005C175F" w:rsidP="005C175F" w14:paraId="283156D9" w14:textId="38A1BDC0">
      <w:r w:rsidRPr="005C175F">
        <w:t xml:space="preserve">The contact person for questions regarding this </w:t>
      </w:r>
      <w:r w:rsidR="002F7A78">
        <w:t>request</w:t>
      </w:r>
      <w:r w:rsidRPr="005C175F">
        <w:t xml:space="preserve"> is:</w:t>
      </w:r>
    </w:p>
    <w:p w:rsidR="005C175F" w:rsidP="005C175F" w14:paraId="1888587A" w14:textId="0491B7B8">
      <w:pPr>
        <w:spacing w:after="0" w:line="240" w:lineRule="auto"/>
        <w:ind w:left="720"/>
      </w:pPr>
      <w:r>
        <w:t>Alfred “Dave” Tuttle</w:t>
      </w:r>
    </w:p>
    <w:p w:rsidR="005C175F" w:rsidRPr="005C175F" w:rsidP="005C175F" w14:paraId="5732D94F" w14:textId="63BB5DDE">
      <w:pPr>
        <w:spacing w:after="0" w:line="240" w:lineRule="auto"/>
        <w:ind w:left="720"/>
      </w:pPr>
      <w:r w:rsidRPr="005C175F">
        <w:t xml:space="preserve">Center for </w:t>
      </w:r>
      <w:r w:rsidR="002F7A78">
        <w:t>Behavioral Science Methods</w:t>
      </w:r>
    </w:p>
    <w:p w:rsidR="005C175F" w:rsidRPr="005C175F" w:rsidP="005C175F" w14:paraId="54C78ADB" w14:textId="0A8042FE">
      <w:pPr>
        <w:spacing w:after="0" w:line="240" w:lineRule="auto"/>
        <w:ind w:left="720"/>
      </w:pPr>
      <w:r w:rsidRPr="005C175F">
        <w:t xml:space="preserve">U.S. Census Bureau </w:t>
      </w:r>
    </w:p>
    <w:p w:rsidR="005C175F" w:rsidRPr="005C175F" w:rsidP="005C175F" w14:paraId="1D90A677" w14:textId="61DFEB68">
      <w:pPr>
        <w:spacing w:after="0" w:line="240" w:lineRule="auto"/>
        <w:ind w:left="720"/>
      </w:pPr>
      <w:r w:rsidRPr="005C175F">
        <w:t>Washington, D.C. 20233</w:t>
      </w:r>
    </w:p>
    <w:p w:rsidR="005C175F" w:rsidRPr="005C175F" w:rsidP="005C175F" w14:paraId="514EE5B1" w14:textId="5057CD4B">
      <w:pPr>
        <w:spacing w:after="0" w:line="240" w:lineRule="auto"/>
        <w:ind w:left="720"/>
      </w:pPr>
      <w:r w:rsidRPr="005C175F">
        <w:t>(301) 763-</w:t>
      </w:r>
      <w:r w:rsidR="00A851C8">
        <w:t>7809</w:t>
      </w:r>
    </w:p>
    <w:p w:rsidR="005C175F" w:rsidRPr="005C175F" w:rsidP="005C175F" w14:paraId="450FA22C" w14:textId="720766A0">
      <w:pPr>
        <w:spacing w:after="0" w:line="240" w:lineRule="auto"/>
        <w:ind w:left="720"/>
      </w:pPr>
      <w:r>
        <w:t>alfred.d.tuttle</w:t>
      </w:r>
      <w:r w:rsidRPr="005C175F">
        <w:t>@census.gov</w:t>
      </w:r>
    </w:p>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B27" w14:paraId="4EB823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9928233"/>
      <w:docPartObj>
        <w:docPartGallery w:val="Page Numbers (Bottom of Page)"/>
        <w:docPartUnique/>
      </w:docPartObj>
    </w:sdtPr>
    <w:sdtEndPr>
      <w:rPr>
        <w:noProof/>
      </w:rPr>
    </w:sdtEndPr>
    <w:sdtContent>
      <w:p w:rsidR="00317B27" w14:paraId="42F6D7A2" w14:textId="257B04E7">
        <w:pPr>
          <w:pStyle w:val="Footer"/>
          <w:jc w:val="center"/>
        </w:pPr>
        <w:r>
          <w:fldChar w:fldCharType="begin"/>
        </w:r>
        <w:r>
          <w:instrText xml:space="preserve"> PAGE   \* MERGEFORMAT </w:instrText>
        </w:r>
        <w:r>
          <w:fldChar w:fldCharType="separate"/>
        </w:r>
        <w:r w:rsidR="00C16D35">
          <w:rPr>
            <w:noProof/>
          </w:rPr>
          <w:t>2</w:t>
        </w:r>
        <w:r>
          <w:rPr>
            <w:noProof/>
          </w:rPr>
          <w:fldChar w:fldCharType="end"/>
        </w:r>
      </w:p>
    </w:sdtContent>
  </w:sdt>
  <w:p w:rsidR="00317B27" w14:paraId="4E473E7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B27" w14:paraId="562629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7241B" w:rsidP="00AE2030" w14:paraId="5BF3C3E0" w14:textId="77777777">
      <w:pPr>
        <w:spacing w:after="0" w:line="240" w:lineRule="auto"/>
      </w:pPr>
      <w:r>
        <w:separator/>
      </w:r>
    </w:p>
  </w:footnote>
  <w:footnote w:type="continuationSeparator" w:id="1">
    <w:p w:rsidR="00D7241B" w:rsidP="00AE2030" w14:paraId="0546089F" w14:textId="77777777">
      <w:pPr>
        <w:spacing w:after="0" w:line="240" w:lineRule="auto"/>
      </w:pPr>
      <w:r>
        <w:continuationSeparator/>
      </w:r>
    </w:p>
  </w:footnote>
  <w:footnote w:id="2">
    <w:p w:rsidR="00971C2E" w14:paraId="11F8DAF2" w14:textId="6199DE04">
      <w:pPr>
        <w:pStyle w:val="FootnoteText"/>
      </w:pPr>
      <w:r>
        <w:rPr>
          <w:rStyle w:val="FootnoteReference"/>
        </w:rPr>
        <w:footnoteRef/>
      </w:r>
      <w:r>
        <w:t xml:space="preserve"> </w:t>
      </w:r>
      <w:hyperlink r:id="rId1" w:history="1">
        <w:r>
          <w:rPr>
            <w:rStyle w:val="Hyperlink"/>
          </w:rPr>
          <w:t>https://www.fns.usda.gov/snap/ABAWD</w:t>
        </w:r>
      </w:hyperlink>
    </w:p>
  </w:footnote>
  <w:footnote w:id="3">
    <w:p w:rsidR="004E04A4" w:rsidP="004E04A4" w14:paraId="2D7FAC62" w14:textId="77777777">
      <w:pPr>
        <w:pStyle w:val="FootnoteText"/>
      </w:pPr>
      <w:r>
        <w:rPr>
          <w:rStyle w:val="FootnoteReference"/>
        </w:rPr>
        <w:footnoteRef/>
      </w:r>
      <w:r>
        <w:t xml:space="preserve"> We do not currently plan on remote interviews but if conditions change, we will consider remote interviewing.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B27" w14:paraId="3285EF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B27" w14:paraId="0393146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B27" w14:paraId="45FB45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3F7B6F"/>
    <w:multiLevelType w:val="hybridMultilevel"/>
    <w:tmpl w:val="5694BF9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71F5050"/>
    <w:multiLevelType w:val="hybridMultilevel"/>
    <w:tmpl w:val="C9CAF7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B167120"/>
    <w:multiLevelType w:val="hybridMultilevel"/>
    <w:tmpl w:val="746E18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D6A3A09"/>
    <w:multiLevelType w:val="hybridMultilevel"/>
    <w:tmpl w:val="5F1AF0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40B530EC"/>
    <w:multiLevelType w:val="hybridMultilevel"/>
    <w:tmpl w:val="89D073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00D648E"/>
    <w:multiLevelType w:val="hybridMultilevel"/>
    <w:tmpl w:val="809A19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B680827"/>
    <w:multiLevelType w:val="hybridMultilevel"/>
    <w:tmpl w:val="DF58B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40101372">
    <w:abstractNumId w:val="0"/>
  </w:num>
  <w:num w:numId="2" w16cid:durableId="662507968">
    <w:abstractNumId w:val="6"/>
  </w:num>
  <w:num w:numId="3" w16cid:durableId="1778403783">
    <w:abstractNumId w:val="4"/>
  </w:num>
  <w:num w:numId="4" w16cid:durableId="827865737">
    <w:abstractNumId w:val="1"/>
  </w:num>
  <w:num w:numId="5" w16cid:durableId="1554923384">
    <w:abstractNumId w:val="5"/>
  </w:num>
  <w:num w:numId="6" w16cid:durableId="1642074424">
    <w:abstractNumId w:val="3"/>
  </w:num>
  <w:num w:numId="7" w16cid:durableId="42368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7DB"/>
    <w:rsid w:val="00003A65"/>
    <w:rsid w:val="00066233"/>
    <w:rsid w:val="000725AA"/>
    <w:rsid w:val="00121A28"/>
    <w:rsid w:val="00123F47"/>
    <w:rsid w:val="001347DB"/>
    <w:rsid w:val="00152C74"/>
    <w:rsid w:val="00155C64"/>
    <w:rsid w:val="001C0D3F"/>
    <w:rsid w:val="002431D6"/>
    <w:rsid w:val="00250A9C"/>
    <w:rsid w:val="00254C49"/>
    <w:rsid w:val="0027525D"/>
    <w:rsid w:val="002A0F22"/>
    <w:rsid w:val="002D179D"/>
    <w:rsid w:val="002E7516"/>
    <w:rsid w:val="002F6037"/>
    <w:rsid w:val="002F7A78"/>
    <w:rsid w:val="00300CAD"/>
    <w:rsid w:val="00317B27"/>
    <w:rsid w:val="0032222F"/>
    <w:rsid w:val="00330707"/>
    <w:rsid w:val="003454C0"/>
    <w:rsid w:val="003567D7"/>
    <w:rsid w:val="00372913"/>
    <w:rsid w:val="00375E1E"/>
    <w:rsid w:val="00395BFD"/>
    <w:rsid w:val="003A0862"/>
    <w:rsid w:val="003C6A4B"/>
    <w:rsid w:val="003E35CF"/>
    <w:rsid w:val="00405648"/>
    <w:rsid w:val="00486207"/>
    <w:rsid w:val="004865B3"/>
    <w:rsid w:val="004920F4"/>
    <w:rsid w:val="004B1DC8"/>
    <w:rsid w:val="004E04A4"/>
    <w:rsid w:val="004E164C"/>
    <w:rsid w:val="004E3415"/>
    <w:rsid w:val="004E3B26"/>
    <w:rsid w:val="004F4E5E"/>
    <w:rsid w:val="0050593F"/>
    <w:rsid w:val="00540DF5"/>
    <w:rsid w:val="00545BA6"/>
    <w:rsid w:val="00567F77"/>
    <w:rsid w:val="00593D86"/>
    <w:rsid w:val="005C175F"/>
    <w:rsid w:val="00605398"/>
    <w:rsid w:val="00610E7A"/>
    <w:rsid w:val="00617672"/>
    <w:rsid w:val="0068139B"/>
    <w:rsid w:val="006B1C79"/>
    <w:rsid w:val="0072215B"/>
    <w:rsid w:val="00734597"/>
    <w:rsid w:val="007C5224"/>
    <w:rsid w:val="008734AD"/>
    <w:rsid w:val="00876A6C"/>
    <w:rsid w:val="00881DBB"/>
    <w:rsid w:val="00896D0B"/>
    <w:rsid w:val="008A3626"/>
    <w:rsid w:val="008F07E7"/>
    <w:rsid w:val="008F4735"/>
    <w:rsid w:val="009251BE"/>
    <w:rsid w:val="0094435C"/>
    <w:rsid w:val="00954B60"/>
    <w:rsid w:val="00971C2E"/>
    <w:rsid w:val="00974826"/>
    <w:rsid w:val="009A1F0B"/>
    <w:rsid w:val="009B2C11"/>
    <w:rsid w:val="009E3DD0"/>
    <w:rsid w:val="00A15B5C"/>
    <w:rsid w:val="00A851C8"/>
    <w:rsid w:val="00AE2030"/>
    <w:rsid w:val="00AE7EBD"/>
    <w:rsid w:val="00AF3E76"/>
    <w:rsid w:val="00B84DBE"/>
    <w:rsid w:val="00BA4D7B"/>
    <w:rsid w:val="00BA61E8"/>
    <w:rsid w:val="00BB1B4D"/>
    <w:rsid w:val="00BD0746"/>
    <w:rsid w:val="00BD6BDE"/>
    <w:rsid w:val="00C032B4"/>
    <w:rsid w:val="00C16D35"/>
    <w:rsid w:val="00C32782"/>
    <w:rsid w:val="00C62A5A"/>
    <w:rsid w:val="00CD29E2"/>
    <w:rsid w:val="00CD5FBC"/>
    <w:rsid w:val="00CD6ACF"/>
    <w:rsid w:val="00CF7089"/>
    <w:rsid w:val="00D139C2"/>
    <w:rsid w:val="00D23E54"/>
    <w:rsid w:val="00D50E10"/>
    <w:rsid w:val="00D535DD"/>
    <w:rsid w:val="00D70673"/>
    <w:rsid w:val="00D7241B"/>
    <w:rsid w:val="00D7341C"/>
    <w:rsid w:val="00DB4D55"/>
    <w:rsid w:val="00DD06C6"/>
    <w:rsid w:val="00DF1F41"/>
    <w:rsid w:val="00E6205A"/>
    <w:rsid w:val="00E658BE"/>
    <w:rsid w:val="00E81B8D"/>
    <w:rsid w:val="00EA7082"/>
    <w:rsid w:val="00ED3E22"/>
    <w:rsid w:val="00F16E86"/>
    <w:rsid w:val="00F26835"/>
    <w:rsid w:val="00F30E8A"/>
    <w:rsid w:val="00F8568D"/>
    <w:rsid w:val="00F8674B"/>
    <w:rsid w:val="24D7F6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D85729"/>
  <w15:chartTrackingRefBased/>
  <w15:docId w15:val="{288A8D98-9597-45AA-A3EC-149A7C8E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7DB"/>
    <w:pPr>
      <w:ind w:left="720"/>
      <w:contextualSpacing/>
    </w:pPr>
  </w:style>
  <w:style w:type="character" w:styleId="CommentReference">
    <w:name w:val="annotation reference"/>
    <w:basedOn w:val="DefaultParagraphFont"/>
    <w:uiPriority w:val="99"/>
    <w:semiHidden/>
    <w:unhideWhenUsed/>
    <w:rsid w:val="00881DBB"/>
    <w:rPr>
      <w:sz w:val="16"/>
      <w:szCs w:val="16"/>
    </w:rPr>
  </w:style>
  <w:style w:type="paragraph" w:styleId="CommentText">
    <w:name w:val="annotation text"/>
    <w:basedOn w:val="Normal"/>
    <w:link w:val="CommentTextChar"/>
    <w:uiPriority w:val="99"/>
    <w:semiHidden/>
    <w:unhideWhenUsed/>
    <w:rsid w:val="00881DBB"/>
    <w:pPr>
      <w:spacing w:line="240" w:lineRule="auto"/>
    </w:pPr>
    <w:rPr>
      <w:sz w:val="20"/>
      <w:szCs w:val="20"/>
    </w:rPr>
  </w:style>
  <w:style w:type="character" w:customStyle="1" w:styleId="CommentTextChar">
    <w:name w:val="Comment Text Char"/>
    <w:basedOn w:val="DefaultParagraphFont"/>
    <w:link w:val="CommentText"/>
    <w:uiPriority w:val="99"/>
    <w:semiHidden/>
    <w:rsid w:val="00881DBB"/>
    <w:rPr>
      <w:sz w:val="20"/>
      <w:szCs w:val="20"/>
    </w:rPr>
  </w:style>
  <w:style w:type="paragraph" w:styleId="CommentSubject">
    <w:name w:val="annotation subject"/>
    <w:basedOn w:val="CommentText"/>
    <w:next w:val="CommentText"/>
    <w:link w:val="CommentSubjectChar"/>
    <w:uiPriority w:val="99"/>
    <w:semiHidden/>
    <w:unhideWhenUsed/>
    <w:rsid w:val="00881DBB"/>
    <w:rPr>
      <w:b/>
      <w:bCs/>
    </w:rPr>
  </w:style>
  <w:style w:type="character" w:customStyle="1" w:styleId="CommentSubjectChar">
    <w:name w:val="Comment Subject Char"/>
    <w:basedOn w:val="CommentTextChar"/>
    <w:link w:val="CommentSubject"/>
    <w:uiPriority w:val="99"/>
    <w:semiHidden/>
    <w:rsid w:val="00881DBB"/>
    <w:rPr>
      <w:b/>
      <w:bCs/>
      <w:sz w:val="20"/>
      <w:szCs w:val="20"/>
    </w:rPr>
  </w:style>
  <w:style w:type="paragraph" w:styleId="BalloonText">
    <w:name w:val="Balloon Text"/>
    <w:basedOn w:val="Normal"/>
    <w:link w:val="BalloonTextChar"/>
    <w:uiPriority w:val="99"/>
    <w:semiHidden/>
    <w:unhideWhenUsed/>
    <w:rsid w:val="00881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DBB"/>
    <w:rPr>
      <w:rFonts w:ascii="Segoe UI" w:hAnsi="Segoe UI" w:cs="Segoe UI"/>
      <w:sz w:val="18"/>
      <w:szCs w:val="18"/>
    </w:rPr>
  </w:style>
  <w:style w:type="paragraph" w:styleId="Header">
    <w:name w:val="header"/>
    <w:basedOn w:val="Normal"/>
    <w:link w:val="HeaderChar"/>
    <w:uiPriority w:val="99"/>
    <w:unhideWhenUsed/>
    <w:rsid w:val="00AE2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030"/>
  </w:style>
  <w:style w:type="paragraph" w:styleId="Footer">
    <w:name w:val="footer"/>
    <w:basedOn w:val="Normal"/>
    <w:link w:val="FooterChar"/>
    <w:uiPriority w:val="99"/>
    <w:unhideWhenUsed/>
    <w:rsid w:val="00AE2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030"/>
  </w:style>
  <w:style w:type="paragraph" w:styleId="FootnoteText">
    <w:name w:val="footnote text"/>
    <w:basedOn w:val="Normal"/>
    <w:link w:val="FootnoteTextChar"/>
    <w:uiPriority w:val="99"/>
    <w:semiHidden/>
    <w:unhideWhenUsed/>
    <w:rsid w:val="00971C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C2E"/>
    <w:rPr>
      <w:sz w:val="20"/>
      <w:szCs w:val="20"/>
    </w:rPr>
  </w:style>
  <w:style w:type="character" w:styleId="FootnoteReference">
    <w:name w:val="footnote reference"/>
    <w:basedOn w:val="DefaultParagraphFont"/>
    <w:uiPriority w:val="99"/>
    <w:semiHidden/>
    <w:unhideWhenUsed/>
    <w:rsid w:val="00971C2E"/>
    <w:rPr>
      <w:vertAlign w:val="superscript"/>
    </w:rPr>
  </w:style>
  <w:style w:type="character" w:styleId="Hyperlink">
    <w:name w:val="Hyperlink"/>
    <w:basedOn w:val="DefaultParagraphFont"/>
    <w:uiPriority w:val="99"/>
    <w:semiHidden/>
    <w:unhideWhenUsed/>
    <w:rsid w:val="00971C2E"/>
    <w:rPr>
      <w:color w:val="0000FF"/>
      <w:u w:val="single"/>
    </w:rPr>
  </w:style>
  <w:style w:type="character" w:styleId="FollowedHyperlink">
    <w:name w:val="FollowedHyperlink"/>
    <w:basedOn w:val="DefaultParagraphFont"/>
    <w:uiPriority w:val="99"/>
    <w:semiHidden/>
    <w:unhideWhenUsed/>
    <w:rsid w:val="004E3415"/>
    <w:rPr>
      <w:color w:val="954F72" w:themeColor="followedHyperlink"/>
      <w:u w:val="single"/>
    </w:rPr>
  </w:style>
  <w:style w:type="paragraph" w:styleId="Revision">
    <w:name w:val="Revision"/>
    <w:hidden/>
    <w:uiPriority w:val="99"/>
    <w:semiHidden/>
    <w:rsid w:val="008A36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fns.usda.gov/snap/ABAW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6179-7F8D-4656-B087-A6E3141A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Aleia Yvonne Clark Fobia (CENSUS/CSM FED)</dc:creator>
  <cp:lastModifiedBy>Alfred D Tuttle (CENSUS/CBSM FED)</cp:lastModifiedBy>
  <cp:revision>18</cp:revision>
  <cp:lastPrinted>2019-07-25T19:06:00Z</cp:lastPrinted>
  <dcterms:created xsi:type="dcterms:W3CDTF">2023-01-27T04:57:00Z</dcterms:created>
  <dcterms:modified xsi:type="dcterms:W3CDTF">2023-03-07T16:13:00Z</dcterms:modified>
</cp:coreProperties>
</file>