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6DD1" w:rsidRPr="00E47870" w:rsidP="004F20AE" w14:paraId="14D5DC0B" w14:textId="33E89C27">
      <w:pPr>
        <w:rPr>
          <w:b/>
          <w:color w:val="000000"/>
          <w:sz w:val="24"/>
          <w:szCs w:val="24"/>
        </w:rPr>
      </w:pPr>
      <w:r w:rsidRPr="00E47870">
        <w:rPr>
          <w:b/>
          <w:color w:val="000000"/>
          <w:sz w:val="24"/>
          <w:szCs w:val="24"/>
        </w:rPr>
        <w:t xml:space="preserve">Web </w:t>
      </w:r>
      <w:r w:rsidR="00D95323">
        <w:rPr>
          <w:b/>
          <w:color w:val="000000"/>
          <w:sz w:val="24"/>
          <w:szCs w:val="24"/>
        </w:rPr>
        <w:t xml:space="preserve">Survey </w:t>
      </w:r>
      <w:r w:rsidRPr="00E47870">
        <w:rPr>
          <w:b/>
          <w:color w:val="000000"/>
          <w:sz w:val="24"/>
          <w:szCs w:val="24"/>
        </w:rPr>
        <w:t xml:space="preserve">Design Standards </w:t>
      </w:r>
      <w:r w:rsidR="00520A5C">
        <w:rPr>
          <w:b/>
          <w:color w:val="000000"/>
          <w:sz w:val="24"/>
          <w:szCs w:val="24"/>
        </w:rPr>
        <w:t>Eye Tracking</w:t>
      </w:r>
      <w:r w:rsidRPr="00E47870">
        <w:rPr>
          <w:b/>
          <w:color w:val="000000"/>
          <w:sz w:val="24"/>
          <w:szCs w:val="24"/>
        </w:rPr>
        <w:t xml:space="preserve"> Research Submitted Under </w:t>
      </w:r>
      <w:r w:rsidRPr="00E47870">
        <w:rPr>
          <w:b/>
          <w:color w:val="000000"/>
          <w:sz w:val="24"/>
          <w:szCs w:val="24"/>
        </w:rPr>
        <w:t>Generic Information Collection Request</w:t>
      </w:r>
    </w:p>
    <w:p w:rsidR="00686DD1" w:rsidP="004F20AE" w14:paraId="6B673C8E" w14:textId="77777777">
      <w:pPr>
        <w:rPr>
          <w:color w:val="000000"/>
          <w:sz w:val="24"/>
          <w:szCs w:val="24"/>
        </w:rPr>
      </w:pPr>
    </w:p>
    <w:p w:rsidR="004F20AE" w:rsidRPr="000A1027" w:rsidP="004F20AE" w14:paraId="728AF404" w14:textId="4E5384E8">
      <w:pPr>
        <w:rPr>
          <w:rFonts w:ascii="Times" w:hAnsi="Times"/>
          <w:sz w:val="24"/>
        </w:rPr>
      </w:pPr>
      <w:r w:rsidRPr="00825309">
        <w:rPr>
          <w:b/>
          <w:color w:val="000000"/>
          <w:sz w:val="24"/>
          <w:szCs w:val="24"/>
        </w:rPr>
        <w:t>Request</w:t>
      </w:r>
      <w:r>
        <w:rPr>
          <w:color w:val="000000"/>
          <w:sz w:val="24"/>
          <w:szCs w:val="24"/>
        </w:rPr>
        <w:t xml:space="preserve">: </w:t>
      </w:r>
      <w:r w:rsidRPr="00A55039" w:rsidR="008F7F56">
        <w:rPr>
          <w:color w:val="000000"/>
          <w:sz w:val="24"/>
          <w:szCs w:val="24"/>
        </w:rPr>
        <w:t xml:space="preserve">The Census </w:t>
      </w:r>
      <w:r w:rsidRPr="00F22A67" w:rsidR="008F7F56">
        <w:rPr>
          <w:color w:val="000000"/>
          <w:sz w:val="24"/>
          <w:szCs w:val="24"/>
        </w:rPr>
        <w:t xml:space="preserve">Bureau plans to conduct </w:t>
      </w:r>
      <w:r w:rsidR="008F7F56">
        <w:rPr>
          <w:color w:val="000000"/>
          <w:sz w:val="24"/>
          <w:szCs w:val="24"/>
        </w:rPr>
        <w:t xml:space="preserve">research under the generic clearance for </w:t>
      </w:r>
      <w:r w:rsidR="006F1DB1">
        <w:rPr>
          <w:color w:val="000000"/>
          <w:sz w:val="24"/>
          <w:szCs w:val="24"/>
        </w:rPr>
        <w:t>p</w:t>
      </w:r>
      <w:r w:rsidR="008F7F56">
        <w:rPr>
          <w:color w:val="000000"/>
          <w:sz w:val="24"/>
          <w:szCs w:val="24"/>
        </w:rPr>
        <w:t>retesting (</w:t>
      </w:r>
      <w:r w:rsidRPr="000C2E69" w:rsidR="008F7F56">
        <w:rPr>
          <w:color w:val="000000"/>
          <w:sz w:val="24"/>
          <w:szCs w:val="24"/>
        </w:rPr>
        <w:t>OMB number 0607-0</w:t>
      </w:r>
      <w:r w:rsidR="001B28AC">
        <w:rPr>
          <w:color w:val="000000"/>
          <w:sz w:val="24"/>
          <w:szCs w:val="24"/>
        </w:rPr>
        <w:t>7</w:t>
      </w:r>
      <w:r w:rsidR="006F1DB1">
        <w:rPr>
          <w:color w:val="000000"/>
          <w:sz w:val="24"/>
          <w:szCs w:val="24"/>
        </w:rPr>
        <w:t>25)</w:t>
      </w:r>
      <w:r w:rsidR="008F7F56">
        <w:rPr>
          <w:color w:val="000000"/>
          <w:sz w:val="24"/>
          <w:szCs w:val="24"/>
        </w:rPr>
        <w:t xml:space="preserve">.  We </w:t>
      </w:r>
      <w:r w:rsidR="00E47870">
        <w:rPr>
          <w:color w:val="000000"/>
          <w:sz w:val="24"/>
          <w:szCs w:val="24"/>
        </w:rPr>
        <w:t>will be</w:t>
      </w:r>
      <w:r w:rsidR="008F7F56">
        <w:rPr>
          <w:color w:val="000000"/>
          <w:sz w:val="24"/>
          <w:szCs w:val="24"/>
        </w:rPr>
        <w:t xml:space="preserve"> conduct</w:t>
      </w:r>
      <w:r w:rsidR="00E47870">
        <w:rPr>
          <w:color w:val="000000"/>
          <w:sz w:val="24"/>
          <w:szCs w:val="24"/>
        </w:rPr>
        <w:t>ing</w:t>
      </w:r>
      <w:r w:rsidR="008F7F56">
        <w:rPr>
          <w:color w:val="000000"/>
          <w:sz w:val="24"/>
          <w:szCs w:val="24"/>
        </w:rPr>
        <w:t xml:space="preserve"> </w:t>
      </w:r>
      <w:r w:rsidR="00471B40">
        <w:rPr>
          <w:color w:val="000000"/>
          <w:sz w:val="24"/>
          <w:szCs w:val="24"/>
        </w:rPr>
        <w:t>an eye tracking study</w:t>
      </w:r>
      <w:r w:rsidR="00317CE8">
        <w:rPr>
          <w:color w:val="000000"/>
          <w:sz w:val="24"/>
          <w:szCs w:val="24"/>
        </w:rPr>
        <w:t xml:space="preserve">. Participants will look at and interact with </w:t>
      </w:r>
      <w:r w:rsidR="00471B40">
        <w:rPr>
          <w:color w:val="000000"/>
          <w:sz w:val="24"/>
          <w:szCs w:val="24"/>
        </w:rPr>
        <w:t xml:space="preserve">some of the screens developed </w:t>
      </w:r>
      <w:r w:rsidR="00317CE8">
        <w:rPr>
          <w:color w:val="000000"/>
          <w:sz w:val="24"/>
          <w:szCs w:val="24"/>
        </w:rPr>
        <w:t>using</w:t>
      </w:r>
      <w:r w:rsidR="00471B40">
        <w:rPr>
          <w:color w:val="000000"/>
          <w:sz w:val="24"/>
          <w:szCs w:val="24"/>
        </w:rPr>
        <w:t xml:space="preserve"> the Census Bureau DICE web survey guidelines. The study will occur from </w:t>
      </w:r>
      <w:r w:rsidR="00833380">
        <w:rPr>
          <w:color w:val="000000"/>
          <w:sz w:val="24"/>
          <w:szCs w:val="24"/>
        </w:rPr>
        <w:t>October through December 2023</w:t>
      </w:r>
      <w:r w:rsidR="00471B40">
        <w:rPr>
          <w:color w:val="000000"/>
          <w:sz w:val="24"/>
          <w:szCs w:val="24"/>
        </w:rPr>
        <w:t xml:space="preserve">. </w:t>
      </w:r>
      <w:r w:rsidR="00833380">
        <w:rPr>
          <w:color w:val="000000"/>
          <w:sz w:val="24"/>
          <w:szCs w:val="24"/>
        </w:rPr>
        <w:t>Up to 40</w:t>
      </w:r>
      <w:r w:rsidR="00471B40">
        <w:rPr>
          <w:color w:val="000000"/>
          <w:sz w:val="24"/>
          <w:szCs w:val="24"/>
        </w:rPr>
        <w:t xml:space="preserve"> participants will answer a 10-minute survey, which includes looking at different online screen designs. </w:t>
      </w:r>
    </w:p>
    <w:p w:rsidR="004F20AE" w:rsidP="004F20AE" w14:paraId="57C034F6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9942A0" w:rsidP="00DB458C" w14:paraId="3DCBE417" w14:textId="1FAB6CF8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sz w:val="24"/>
          <w:szCs w:val="24"/>
        </w:rPr>
        <w:t>Purpose</w:t>
      </w:r>
      <w:r>
        <w:rPr>
          <w:sz w:val="24"/>
          <w:szCs w:val="24"/>
        </w:rPr>
        <w:t xml:space="preserve">: </w:t>
      </w:r>
      <w:r w:rsidR="00317CE8">
        <w:rPr>
          <w:sz w:val="24"/>
          <w:szCs w:val="24"/>
        </w:rPr>
        <w:t xml:space="preserve">The purpose is to gather more data </w:t>
      </w:r>
      <w:r w:rsidR="00520A5C">
        <w:rPr>
          <w:sz w:val="24"/>
          <w:szCs w:val="24"/>
        </w:rPr>
        <w:t>about the burden for</w:t>
      </w:r>
      <w:r w:rsidR="00317CE8">
        <w:rPr>
          <w:sz w:val="24"/>
          <w:szCs w:val="24"/>
        </w:rPr>
        <w:t xml:space="preserve"> different </w:t>
      </w:r>
      <w:r w:rsidR="00520A5C">
        <w:rPr>
          <w:sz w:val="24"/>
          <w:szCs w:val="24"/>
        </w:rPr>
        <w:t xml:space="preserve">online </w:t>
      </w:r>
      <w:r w:rsidR="00317CE8">
        <w:rPr>
          <w:sz w:val="24"/>
          <w:szCs w:val="24"/>
        </w:rPr>
        <w:t xml:space="preserve">screen designs. Burden here is defined by the eye movements. The more eye-fixations or inefficient gaze patterns, the more burdensome the design. Participants will see one design for </w:t>
      </w:r>
      <w:r w:rsidR="006C6FB5">
        <w:rPr>
          <w:sz w:val="24"/>
          <w:szCs w:val="24"/>
        </w:rPr>
        <w:t>each</w:t>
      </w:r>
      <w:r w:rsidR="00317CE8">
        <w:rPr>
          <w:sz w:val="24"/>
          <w:szCs w:val="24"/>
        </w:rPr>
        <w:t xml:space="preserve"> </w:t>
      </w:r>
      <w:r w:rsidR="006C6FB5">
        <w:rPr>
          <w:sz w:val="24"/>
          <w:szCs w:val="24"/>
        </w:rPr>
        <w:t>topic</w:t>
      </w:r>
      <w:r w:rsidR="00317CE8">
        <w:rPr>
          <w:sz w:val="24"/>
          <w:szCs w:val="24"/>
        </w:rPr>
        <w:t>. Fixations and eye patterns will be compared across designs</w:t>
      </w:r>
      <w:r w:rsidR="00833380">
        <w:rPr>
          <w:sz w:val="24"/>
          <w:szCs w:val="24"/>
        </w:rPr>
        <w:t>.  The designs will evaluate:</w:t>
      </w:r>
    </w:p>
    <w:p w:rsidR="00833380" w:rsidP="00833380" w14:paraId="27735633" w14:textId="339CC691">
      <w:pPr>
        <w:pStyle w:val="ListParagraph"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Order of the two-part sex-gender question series</w:t>
      </w:r>
    </w:p>
    <w:p w:rsidR="003177F7" w:rsidP="003177F7" w14:paraId="207A87B0" w14:textId="403DE0D6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Sex then </w:t>
      </w:r>
      <w:r>
        <w:rPr>
          <w:rFonts w:ascii="Times New Roman" w:hAnsi="Times New Roman"/>
          <w:sz w:val="24"/>
          <w:szCs w:val="24"/>
        </w:rPr>
        <w:t>gender</w:t>
      </w:r>
    </w:p>
    <w:p w:rsidR="003177F7" w:rsidRPr="00AE4A47" w:rsidP="003177F7" w14:paraId="20E75938" w14:textId="74D18A37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 then sex</w:t>
      </w:r>
    </w:p>
    <w:p w:rsidR="00833380" w:rsidRPr="00AE4A47" w:rsidP="00833380" w14:paraId="5795C378" w14:textId="7D99E648">
      <w:pPr>
        <w:pStyle w:val="ListParagraph"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Text emphasis</w:t>
      </w:r>
    </w:p>
    <w:p w:rsidR="00833380" w:rsidRPr="00AE4A47" w:rsidP="00833380" w14:paraId="14245D62" w14:textId="43A10552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 xml:space="preserve">Capitalization </w:t>
      </w:r>
      <w:r w:rsidRPr="00AE4A47" w:rsidR="007808B2">
        <w:rPr>
          <w:rFonts w:ascii="Times New Roman" w:hAnsi="Times New Roman"/>
          <w:sz w:val="24"/>
          <w:szCs w:val="24"/>
        </w:rPr>
        <w:t xml:space="preserve">of </w:t>
      </w:r>
      <w:r w:rsidRPr="00AE4A47" w:rsidR="00AE4A47">
        <w:rPr>
          <w:rFonts w:ascii="Times New Roman" w:hAnsi="Times New Roman"/>
          <w:sz w:val="24"/>
          <w:szCs w:val="24"/>
        </w:rPr>
        <w:t xml:space="preserve">emphasized text </w:t>
      </w:r>
      <w:r w:rsidRPr="00AE4A47">
        <w:rPr>
          <w:rFonts w:ascii="Times New Roman" w:hAnsi="Times New Roman"/>
          <w:sz w:val="24"/>
          <w:szCs w:val="24"/>
        </w:rPr>
        <w:t>within a bolded question.</w:t>
      </w:r>
    </w:p>
    <w:p w:rsidR="00833380" w:rsidRPr="00AE4A47" w:rsidP="00833380" w14:paraId="337A7AAC" w14:textId="63AAB541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 xml:space="preserve">Bold and capitalization </w:t>
      </w:r>
      <w:r w:rsidRPr="00AE4A47" w:rsidR="00AE4A47">
        <w:rPr>
          <w:rFonts w:ascii="Times New Roman" w:hAnsi="Times New Roman"/>
          <w:sz w:val="24"/>
          <w:szCs w:val="24"/>
        </w:rPr>
        <w:t xml:space="preserve">of emphasized text </w:t>
      </w:r>
      <w:r w:rsidRPr="00AE4A47">
        <w:rPr>
          <w:rFonts w:ascii="Times New Roman" w:hAnsi="Times New Roman"/>
          <w:sz w:val="24"/>
          <w:szCs w:val="24"/>
        </w:rPr>
        <w:t xml:space="preserve">within an </w:t>
      </w:r>
      <w:r w:rsidRPr="00AE4A47">
        <w:rPr>
          <w:rFonts w:ascii="Times New Roman" w:hAnsi="Times New Roman"/>
          <w:sz w:val="24"/>
          <w:szCs w:val="24"/>
        </w:rPr>
        <w:t>unbolded</w:t>
      </w:r>
      <w:r w:rsidRPr="00AE4A47">
        <w:rPr>
          <w:rFonts w:ascii="Times New Roman" w:hAnsi="Times New Roman"/>
          <w:sz w:val="24"/>
          <w:szCs w:val="24"/>
        </w:rPr>
        <w:t xml:space="preserve"> question.</w:t>
      </w:r>
    </w:p>
    <w:p w:rsidR="00833380" w:rsidRPr="00AE4A47" w:rsidP="00833380" w14:paraId="666F10F2" w14:textId="7E52DDCA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 xml:space="preserve">Bolded question with no </w:t>
      </w:r>
      <w:r w:rsidRPr="00AE4A47" w:rsidR="00AE4A47">
        <w:rPr>
          <w:rFonts w:ascii="Times New Roman" w:hAnsi="Times New Roman"/>
          <w:sz w:val="24"/>
          <w:szCs w:val="24"/>
        </w:rPr>
        <w:t>special</w:t>
      </w:r>
      <w:r w:rsidRPr="00AE4A47">
        <w:rPr>
          <w:rFonts w:ascii="Times New Roman" w:hAnsi="Times New Roman"/>
          <w:sz w:val="24"/>
          <w:szCs w:val="24"/>
        </w:rPr>
        <w:t xml:space="preserve"> emphasis </w:t>
      </w:r>
      <w:r w:rsidRPr="00AE4A47">
        <w:rPr>
          <w:rFonts w:ascii="Times New Roman" w:hAnsi="Times New Roman"/>
          <w:sz w:val="24"/>
          <w:szCs w:val="24"/>
        </w:rPr>
        <w:t>used</w:t>
      </w:r>
    </w:p>
    <w:p w:rsidR="00833380" w:rsidRPr="00AE4A47" w:rsidP="00833380" w14:paraId="1B697DA8" w14:textId="2623B8BA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 xml:space="preserve">Bold only </w:t>
      </w:r>
      <w:r w:rsidRPr="00AE4A47" w:rsidR="00AE4A47">
        <w:rPr>
          <w:rFonts w:ascii="Times New Roman" w:hAnsi="Times New Roman"/>
          <w:sz w:val="24"/>
          <w:szCs w:val="24"/>
        </w:rPr>
        <w:t xml:space="preserve">of emphasized text </w:t>
      </w:r>
      <w:r w:rsidRPr="00AE4A47">
        <w:rPr>
          <w:rFonts w:ascii="Times New Roman" w:hAnsi="Times New Roman"/>
          <w:sz w:val="24"/>
          <w:szCs w:val="24"/>
        </w:rPr>
        <w:t xml:space="preserve">within an </w:t>
      </w:r>
      <w:r w:rsidRPr="00AE4A47">
        <w:rPr>
          <w:rFonts w:ascii="Times New Roman" w:hAnsi="Times New Roman"/>
          <w:sz w:val="24"/>
          <w:szCs w:val="24"/>
        </w:rPr>
        <w:t>unbolded</w:t>
      </w:r>
      <w:r w:rsidRPr="00AE4A47">
        <w:rPr>
          <w:rFonts w:ascii="Times New Roman" w:hAnsi="Times New Roman"/>
          <w:sz w:val="24"/>
          <w:szCs w:val="24"/>
        </w:rPr>
        <w:t xml:space="preserve"> question.</w:t>
      </w:r>
    </w:p>
    <w:p w:rsidR="00AE4A47" w:rsidRPr="00AE4A47" w:rsidP="00AE4A47" w14:paraId="08B5C1AC" w14:textId="34BC42F3">
      <w:pPr>
        <w:pStyle w:val="ListParagraph"/>
        <w:numPr>
          <w:ilvl w:val="2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E.g., employment question series</w:t>
      </w:r>
    </w:p>
    <w:p w:rsidR="00833380" w:rsidRPr="00AE4A47" w:rsidP="00833380" w14:paraId="276D35F9" w14:textId="4CB273E1">
      <w:pPr>
        <w:pStyle w:val="ListParagraph"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Use of radio buttons versus checkboxes</w:t>
      </w:r>
    </w:p>
    <w:p w:rsidR="00833380" w:rsidRPr="00AE4A47" w:rsidP="003177F7" w14:paraId="75146AB5" w14:textId="1D6A77EF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E.g., f</w:t>
      </w:r>
      <w:r w:rsidRPr="00AE4A47" w:rsidR="00AE4A47">
        <w:rPr>
          <w:rFonts w:ascii="Times New Roman" w:hAnsi="Times New Roman"/>
          <w:sz w:val="24"/>
          <w:szCs w:val="24"/>
        </w:rPr>
        <w:t>irst</w:t>
      </w:r>
      <w:r w:rsidRPr="00AE4A47">
        <w:rPr>
          <w:rFonts w:ascii="Times New Roman" w:hAnsi="Times New Roman"/>
          <w:sz w:val="24"/>
          <w:szCs w:val="24"/>
        </w:rPr>
        <w:t xml:space="preserve"> employment question </w:t>
      </w:r>
      <w:r>
        <w:rPr>
          <w:rFonts w:ascii="Times New Roman" w:hAnsi="Times New Roman"/>
          <w:sz w:val="24"/>
          <w:szCs w:val="24"/>
        </w:rPr>
        <w:t>versions</w:t>
      </w:r>
    </w:p>
    <w:p w:rsidR="00833380" w:rsidRPr="00AE4A47" w:rsidP="00833380" w14:paraId="24FBE83A" w14:textId="35F00295">
      <w:pPr>
        <w:pStyle w:val="ListParagraph"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Race and Hispanic origin designs</w:t>
      </w:r>
    </w:p>
    <w:p w:rsidR="00833380" w:rsidRPr="00AE4A47" w:rsidP="003177F7" w14:paraId="539FDDA1" w14:textId="3AEA4DCB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Combined race and Hispanic origin with unfolding of details beneath each main response choice</w:t>
      </w:r>
    </w:p>
    <w:p w:rsidR="00833380" w:rsidRPr="00AE4A47" w:rsidP="003177F7" w14:paraId="49B73A77" w14:textId="432F4EC8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Two-part combined question with race/ethnicity details asked in a separate question after the main response choice</w:t>
      </w:r>
      <w:r w:rsidRPr="00AE4A47" w:rsidR="007808B2">
        <w:rPr>
          <w:rFonts w:ascii="Times New Roman" w:hAnsi="Times New Roman"/>
          <w:sz w:val="24"/>
          <w:szCs w:val="24"/>
        </w:rPr>
        <w:t xml:space="preserve"> (but on the same page, which makes a very long scrollable page)</w:t>
      </w:r>
    </w:p>
    <w:p w:rsidR="007808B2" w:rsidRPr="00AE4A47" w:rsidP="003177F7" w14:paraId="08EE28F3" w14:textId="3B11B54C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Two-part combined question with race/ethnicity details asked in a separate question after the main response choice (but on the next page)</w:t>
      </w:r>
    </w:p>
    <w:p w:rsidR="00833380" w:rsidRPr="00AE4A47" w:rsidP="00833380" w14:paraId="74A69F5C" w14:textId="2C89F497">
      <w:pPr>
        <w:pStyle w:val="ListParagraph"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Two-part questions versus separate questions.</w:t>
      </w:r>
    </w:p>
    <w:p w:rsidR="00833380" w:rsidRPr="00AE4A47" w:rsidP="003177F7" w14:paraId="2F84AB69" w14:textId="3165068B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E.g., Race, Place of birth, education level, language study</w:t>
      </w:r>
    </w:p>
    <w:p w:rsidR="00AE4A47" w:rsidRPr="00AE4A47" w:rsidP="00AE4A47" w14:paraId="71394775" w14:textId="77777777">
      <w:pPr>
        <w:pStyle w:val="ListParagraph"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Text response entry differences</w:t>
      </w:r>
    </w:p>
    <w:p w:rsidR="00AE4A47" w:rsidRPr="00AE4A47" w:rsidP="003177F7" w14:paraId="3D7746E5" w14:textId="77777777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 xml:space="preserve">Color of response field and use of placeholder text </w:t>
      </w:r>
    </w:p>
    <w:p w:rsidR="00AE4A47" w:rsidRPr="00AE4A47" w:rsidP="003177F7" w14:paraId="23E78E8B" w14:textId="4794D16E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E.g., fictional name task</w:t>
      </w:r>
    </w:p>
    <w:p w:rsidR="00AE4A47" w:rsidRPr="00AE4A47" w:rsidP="00AE4A47" w14:paraId="333339CF" w14:textId="3454D3D6">
      <w:pPr>
        <w:pStyle w:val="ListParagraph"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Image designs</w:t>
      </w:r>
    </w:p>
    <w:p w:rsidR="00AE4A47" w:rsidRPr="00AE4A47" w:rsidP="003177F7" w14:paraId="354F7BBB" w14:textId="09F8C5E3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 xml:space="preserve">Help modals with different images in </w:t>
      </w:r>
      <w:r w:rsidRPr="00AE4A47">
        <w:rPr>
          <w:rFonts w:ascii="Times New Roman" w:hAnsi="Times New Roman"/>
          <w:sz w:val="24"/>
          <w:szCs w:val="24"/>
        </w:rPr>
        <w:t>banner</w:t>
      </w:r>
    </w:p>
    <w:p w:rsidR="00AE4A47" w:rsidRPr="00AE4A47" w:rsidP="003177F7" w14:paraId="519BFF42" w14:textId="281062E1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FAQ with accordion design and plain banner</w:t>
      </w:r>
    </w:p>
    <w:p w:rsidR="00AE4A47" w:rsidRPr="00AE4A47" w:rsidP="003177F7" w14:paraId="17AE23CA" w14:textId="6F477F8C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Login pages</w:t>
      </w:r>
    </w:p>
    <w:p w:rsidR="00AE4A47" w:rsidRPr="00AE4A47" w:rsidP="003177F7" w14:paraId="24F4FFA5" w14:textId="4EA32E11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 xml:space="preserve">Download and upload </w:t>
      </w:r>
      <w:r w:rsidRPr="00AE4A47">
        <w:rPr>
          <w:rFonts w:ascii="Times New Roman" w:hAnsi="Times New Roman"/>
          <w:sz w:val="24"/>
          <w:szCs w:val="24"/>
        </w:rPr>
        <w:t>page</w:t>
      </w:r>
    </w:p>
    <w:p w:rsidR="00AE4A47" w:rsidRPr="00AE4A47" w:rsidP="003177F7" w14:paraId="652B1678" w14:textId="7071DA05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Dashboard</w:t>
      </w:r>
    </w:p>
    <w:p w:rsidR="00AE4A47" w:rsidRPr="00AE4A47" w:rsidP="003177F7" w14:paraId="5AC5EA73" w14:textId="7460E9FF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Summation design</w:t>
      </w:r>
    </w:p>
    <w:p w:rsidR="00AE4A47" w:rsidRPr="00AE4A47" w:rsidP="003177F7" w14:paraId="37699A59" w14:textId="2CA743A8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Review screen</w:t>
      </w:r>
    </w:p>
    <w:p w:rsidR="00AE4A47" w:rsidRPr="00AE4A47" w:rsidP="003177F7" w14:paraId="27DB4D17" w14:textId="64B117F6">
      <w:pPr>
        <w:pStyle w:val="ListParagraph"/>
        <w:numPr>
          <w:ilvl w:val="1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AE4A47">
        <w:rPr>
          <w:rFonts w:ascii="Times New Roman" w:hAnsi="Times New Roman"/>
          <w:sz w:val="24"/>
          <w:szCs w:val="24"/>
        </w:rPr>
        <w:t>Grid design</w:t>
      </w:r>
    </w:p>
    <w:p w:rsidR="009942A0" w:rsidP="00DB458C" w14:paraId="3F243067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A52414" w:rsidP="00A52414" w14:paraId="5E43C240" w14:textId="4E62D97F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sz w:val="24"/>
          <w:szCs w:val="24"/>
        </w:rPr>
        <w:t>Population of Interest</w:t>
      </w:r>
      <w:r>
        <w:rPr>
          <w:sz w:val="24"/>
          <w:szCs w:val="24"/>
        </w:rPr>
        <w:t xml:space="preserve">: The planned </w:t>
      </w:r>
      <w:r w:rsidR="000A20D0">
        <w:rPr>
          <w:sz w:val="24"/>
          <w:szCs w:val="24"/>
        </w:rPr>
        <w:t>research</w:t>
      </w:r>
      <w:r>
        <w:rPr>
          <w:sz w:val="24"/>
          <w:szCs w:val="24"/>
        </w:rPr>
        <w:t xml:space="preserve"> will focus on </w:t>
      </w:r>
      <w:r w:rsidR="00630757">
        <w:rPr>
          <w:sz w:val="24"/>
          <w:szCs w:val="24"/>
        </w:rPr>
        <w:t xml:space="preserve">recruiting </w:t>
      </w:r>
      <w:r w:rsidR="008F7641">
        <w:rPr>
          <w:sz w:val="24"/>
          <w:szCs w:val="24"/>
        </w:rPr>
        <w:t>people</w:t>
      </w:r>
      <w:r w:rsidR="00D95323">
        <w:rPr>
          <w:sz w:val="24"/>
          <w:szCs w:val="24"/>
        </w:rPr>
        <w:t xml:space="preserve"> over the age of 18</w:t>
      </w:r>
      <w:r w:rsidR="00471B40">
        <w:rPr>
          <w:sz w:val="24"/>
          <w:szCs w:val="24"/>
        </w:rPr>
        <w:t xml:space="preserve"> who might answer our surveys and censuses</w:t>
      </w:r>
      <w:r w:rsidR="001D0D07">
        <w:rPr>
          <w:sz w:val="24"/>
          <w:szCs w:val="24"/>
        </w:rPr>
        <w:t>.</w:t>
      </w:r>
      <w:r w:rsidR="000A20D0">
        <w:rPr>
          <w:sz w:val="24"/>
          <w:szCs w:val="24"/>
        </w:rPr>
        <w:t xml:space="preserve"> </w:t>
      </w:r>
    </w:p>
    <w:p w:rsidR="00A52414" w:rsidP="008D0E72" w14:paraId="687FF653" w14:textId="77777777">
      <w:pPr>
        <w:rPr>
          <w:rFonts w:ascii="Times" w:hAnsi="Times"/>
          <w:sz w:val="24"/>
        </w:rPr>
      </w:pPr>
    </w:p>
    <w:p w:rsidR="00A52414" w:rsidP="006321D1" w14:paraId="1019CFA2" w14:textId="6AD4F33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Timeline</w:t>
      </w:r>
      <w:r>
        <w:rPr>
          <w:color w:val="000000"/>
          <w:sz w:val="24"/>
          <w:szCs w:val="24"/>
        </w:rPr>
        <w:t xml:space="preserve">: </w:t>
      </w:r>
      <w:r w:rsidR="00774A10">
        <w:rPr>
          <w:color w:val="000000"/>
          <w:sz w:val="24"/>
          <w:szCs w:val="24"/>
        </w:rPr>
        <w:t>T</w:t>
      </w:r>
      <w:r w:rsidR="007F4BE3">
        <w:rPr>
          <w:color w:val="000000"/>
          <w:sz w:val="24"/>
          <w:szCs w:val="24"/>
        </w:rPr>
        <w:t xml:space="preserve">he </w:t>
      </w:r>
      <w:r w:rsidR="00471B40">
        <w:rPr>
          <w:color w:val="000000"/>
          <w:sz w:val="24"/>
          <w:szCs w:val="24"/>
        </w:rPr>
        <w:t>st</w:t>
      </w:r>
      <w:r w:rsidR="00630757">
        <w:rPr>
          <w:color w:val="000000"/>
          <w:sz w:val="24"/>
          <w:szCs w:val="24"/>
        </w:rPr>
        <w:t xml:space="preserve">udy will run from </w:t>
      </w:r>
      <w:r w:rsidR="00AE4A47">
        <w:rPr>
          <w:color w:val="000000"/>
          <w:sz w:val="24"/>
          <w:szCs w:val="24"/>
        </w:rPr>
        <w:t>October through December</w:t>
      </w:r>
      <w:r w:rsidR="00630757">
        <w:rPr>
          <w:color w:val="000000"/>
          <w:sz w:val="24"/>
          <w:szCs w:val="24"/>
        </w:rPr>
        <w:t xml:space="preserve"> 2023.</w:t>
      </w:r>
    </w:p>
    <w:p w:rsidR="00A52414" w:rsidP="006321D1" w14:paraId="493F28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6321D1" w:rsidP="006321D1" w14:paraId="1702C978" w14:textId="1F0EBABF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Language</w:t>
      </w:r>
      <w:r>
        <w:rPr>
          <w:color w:val="000000"/>
          <w:sz w:val="24"/>
          <w:szCs w:val="24"/>
        </w:rPr>
        <w:t xml:space="preserve">: </w:t>
      </w:r>
      <w:r w:rsidR="00FD35AF">
        <w:rPr>
          <w:color w:val="000000"/>
          <w:sz w:val="24"/>
          <w:szCs w:val="24"/>
        </w:rPr>
        <w:t xml:space="preserve">Testing will be conducted </w:t>
      </w:r>
      <w:r w:rsidR="00C53D90">
        <w:rPr>
          <w:color w:val="000000"/>
          <w:sz w:val="24"/>
          <w:szCs w:val="24"/>
        </w:rPr>
        <w:t>in English</w:t>
      </w:r>
      <w:r>
        <w:rPr>
          <w:color w:val="000000"/>
          <w:sz w:val="24"/>
          <w:szCs w:val="24"/>
        </w:rPr>
        <w:t xml:space="preserve"> only</w:t>
      </w:r>
      <w:r w:rsidR="00C53D9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</w:t>
      </w:r>
    </w:p>
    <w:p w:rsidR="00DC4966" w:rsidRPr="00DC4966" w:rsidP="008D0E72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95323" w:rsidP="00D95323" w14:paraId="66EC47C2" w14:textId="41BBC8CF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Method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We </w:t>
      </w:r>
      <w:r w:rsidR="00471B40">
        <w:rPr>
          <w:color w:val="000000"/>
          <w:sz w:val="24"/>
          <w:szCs w:val="24"/>
        </w:rPr>
        <w:t xml:space="preserve">will conduct an in-person one-on-one study </w:t>
      </w:r>
      <w:r>
        <w:rPr>
          <w:color w:val="000000"/>
          <w:sz w:val="24"/>
          <w:szCs w:val="24"/>
        </w:rPr>
        <w:t xml:space="preserve">use an online Qualtrics survey to gather data. There will be no paper or telephone option. </w:t>
      </w:r>
      <w:r w:rsidR="00317CE8">
        <w:rPr>
          <w:color w:val="000000"/>
          <w:sz w:val="24"/>
          <w:szCs w:val="24"/>
        </w:rPr>
        <w:t>Sessions will be conducted in reserved library rooms in local libraries as the Census Bureau headquarters building is not accessible currently.</w:t>
      </w:r>
    </w:p>
    <w:p w:rsidR="00904877" w:rsidP="008D0E72" w14:paraId="646F44A9" w14:textId="4C40A44F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F552F" w:rsidP="008D2CA7" w14:paraId="5E4D5285" w14:textId="7F33E8E1">
      <w:pPr>
        <w:rPr>
          <w:sz w:val="24"/>
          <w:szCs w:val="24"/>
        </w:rPr>
      </w:pPr>
      <w:r w:rsidRPr="00E363EB">
        <w:rPr>
          <w:b/>
          <w:color w:val="000000"/>
          <w:sz w:val="24"/>
          <w:szCs w:val="24"/>
        </w:rPr>
        <w:t>Sample</w:t>
      </w:r>
      <w:r w:rsidRPr="008D2CA7">
        <w:rPr>
          <w:color w:val="000000"/>
          <w:sz w:val="24"/>
          <w:szCs w:val="24"/>
        </w:rPr>
        <w:t>:</w:t>
      </w:r>
      <w:r w:rsidR="009942A0">
        <w:rPr>
          <w:color w:val="000000"/>
          <w:sz w:val="24"/>
          <w:szCs w:val="24"/>
        </w:rPr>
        <w:t xml:space="preserve">  </w:t>
      </w:r>
      <w:r w:rsidR="00471B40">
        <w:rPr>
          <w:color w:val="000000"/>
          <w:sz w:val="24"/>
          <w:szCs w:val="24"/>
        </w:rPr>
        <w:t xml:space="preserve">We will recruit </w:t>
      </w:r>
      <w:r w:rsidR="00AE4A47">
        <w:rPr>
          <w:color w:val="000000"/>
          <w:sz w:val="24"/>
          <w:szCs w:val="24"/>
        </w:rPr>
        <w:t>up to 4</w:t>
      </w:r>
      <w:r w:rsidR="00471B40">
        <w:rPr>
          <w:color w:val="000000"/>
          <w:sz w:val="24"/>
          <w:szCs w:val="24"/>
        </w:rPr>
        <w:t>0 participants for this study and the study will be conducted in the metropolitan Washington DC area.</w:t>
      </w:r>
      <w:r w:rsidR="004A645C">
        <w:rPr>
          <w:sz w:val="24"/>
          <w:szCs w:val="24"/>
        </w:rPr>
        <w:t xml:space="preserve"> We require a general population sample</w:t>
      </w:r>
      <w:r w:rsidR="00854938">
        <w:rPr>
          <w:sz w:val="24"/>
          <w:szCs w:val="24"/>
        </w:rPr>
        <w:t xml:space="preserve"> over 18 years old</w:t>
      </w:r>
      <w:r w:rsidR="004A645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195360" w:rsidP="008D2CA7" w14:paraId="162FA06D" w14:textId="77777777">
      <w:pPr>
        <w:rPr>
          <w:sz w:val="24"/>
          <w:szCs w:val="24"/>
        </w:rPr>
      </w:pPr>
    </w:p>
    <w:p w:rsidR="00DC4966" w:rsidP="00DC4966" w14:paraId="35309638" w14:textId="676B839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Recruitment</w:t>
      </w:r>
      <w:r>
        <w:rPr>
          <w:color w:val="000000"/>
        </w:rPr>
        <w:t xml:space="preserve">: </w:t>
      </w:r>
      <w:r w:rsidR="00471B40">
        <w:rPr>
          <w:color w:val="000000"/>
        </w:rPr>
        <w:t>We will contact previous</w:t>
      </w:r>
      <w:r w:rsidR="00317CE8">
        <w:rPr>
          <w:color w:val="000000"/>
        </w:rPr>
        <w:t xml:space="preserve"> qualitative testing</w:t>
      </w:r>
      <w:r w:rsidR="00471B40">
        <w:rPr>
          <w:color w:val="000000"/>
        </w:rPr>
        <w:t xml:space="preserve"> participants who live in the DC area and who are in our universal recruitment database. If necessary, we will send out a</w:t>
      </w:r>
      <w:r w:rsidR="003E78E1">
        <w:rPr>
          <w:color w:val="000000"/>
        </w:rPr>
        <w:t xml:space="preserve"> Bureau of the Census (BO</w:t>
      </w:r>
      <w:r w:rsidR="007479E9">
        <w:rPr>
          <w:color w:val="000000"/>
        </w:rPr>
        <w:t>C</w:t>
      </w:r>
      <w:r w:rsidR="003E78E1">
        <w:rPr>
          <w:color w:val="000000"/>
        </w:rPr>
        <w:t>) Broadcast email</w:t>
      </w:r>
      <w:r w:rsidR="00471B40">
        <w:rPr>
          <w:color w:val="000000"/>
        </w:rPr>
        <w:t xml:space="preserve"> for new participants who live in and around the DC area.</w:t>
      </w:r>
      <w:r w:rsidR="00317CE8">
        <w:rPr>
          <w:color w:val="000000"/>
        </w:rPr>
        <w:t xml:space="preserve"> Any new participants will be screened using the generic OMB-approved screener.</w:t>
      </w:r>
    </w:p>
    <w:p w:rsidR="00DC4966" w:rsidP="00DC4966" w14:paraId="23FFB332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1D30E9" w:rsidP="001D30E9" w14:paraId="7BA3C275" w14:textId="301CE31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D30E9">
        <w:rPr>
          <w:b/>
          <w:color w:val="000000"/>
        </w:rPr>
        <w:t>Consent:</w:t>
      </w:r>
      <w:r w:rsidRPr="001D30E9">
        <w:rPr>
          <w:color w:val="000000"/>
        </w:rPr>
        <w:t xml:space="preserve"> We will inform participants that their response is voluntary and that the information they provide is confidential and will be accessed only by employees involved in the research project. </w:t>
      </w:r>
    </w:p>
    <w:p w:rsidR="001D30E9" w:rsidRPr="001D30E9" w:rsidP="001D30E9" w14:paraId="7A32AD4C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71B40" w:rsidP="005678A0" w14:paraId="4C4C4862" w14:textId="47D7C03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Use of Incentive</w:t>
      </w:r>
      <w:r>
        <w:rPr>
          <w:color w:val="000000"/>
        </w:rPr>
        <w:t xml:space="preserve">: </w:t>
      </w:r>
      <w:r w:rsidR="003155F9">
        <w:rPr>
          <w:color w:val="000000"/>
        </w:rPr>
        <w:t xml:space="preserve">The </w:t>
      </w:r>
      <w:r>
        <w:rPr>
          <w:color w:val="000000"/>
        </w:rPr>
        <w:t>study will take no more than one hour and we will provide a $40 incentive for travel, parking, and childcare.</w:t>
      </w:r>
    </w:p>
    <w:p w:rsidR="00BD3025" w:rsidP="005678A0" w14:paraId="27F289D3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D0E72" w:rsidP="008D0E72" w14:paraId="665253BE" w14:textId="642203A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Below is a list of materials to be used in the current study. </w:t>
      </w:r>
    </w:p>
    <w:p w:rsidR="008D0E72" w:rsidP="008D0E72" w14:paraId="7F63864C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8F7F56" w:rsidP="0019121A" w14:paraId="6DA4EAA8" w14:textId="73572A91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15C7B">
        <w:rPr>
          <w:color w:val="000000"/>
          <w:sz w:val="24"/>
          <w:szCs w:val="24"/>
        </w:rPr>
        <w:t xml:space="preserve">Questionnaire for the online </w:t>
      </w:r>
      <w:r w:rsidR="00854938">
        <w:rPr>
          <w:color w:val="000000"/>
          <w:sz w:val="24"/>
          <w:szCs w:val="24"/>
        </w:rPr>
        <w:t xml:space="preserve">study </w:t>
      </w:r>
      <w:r w:rsidRPr="00815C7B">
        <w:rPr>
          <w:color w:val="000000"/>
          <w:sz w:val="24"/>
          <w:szCs w:val="24"/>
        </w:rPr>
        <w:t>(Enclosure 1)</w:t>
      </w:r>
      <w:r w:rsidRPr="00815C7B" w:rsidR="00FB5D31">
        <w:rPr>
          <w:color w:val="000000"/>
          <w:sz w:val="24"/>
          <w:szCs w:val="24"/>
        </w:rPr>
        <w:t xml:space="preserve"> </w:t>
      </w:r>
    </w:p>
    <w:p w:rsidR="00317CE8" w:rsidP="0019121A" w14:paraId="5339DB26" w14:textId="2835B78B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BOC Broadcast message (Enclosure 2) </w:t>
      </w:r>
    </w:p>
    <w:p w:rsidR="007F552F" w:rsidP="007F552F" w14:paraId="3EA36BE8" w14:textId="19C514C9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815C7B" w:rsidRPr="00815C7B" w:rsidP="00815C7B" w14:paraId="014D891C" w14:textId="77777777">
      <w:pPr>
        <w:shd w:val="clear" w:color="auto" w:fill="FFFFFF"/>
        <w:autoSpaceDE/>
        <w:autoSpaceDN/>
        <w:adjustRightInd/>
        <w:ind w:left="720"/>
        <w:rPr>
          <w:color w:val="000000"/>
          <w:sz w:val="24"/>
          <w:szCs w:val="24"/>
        </w:rPr>
      </w:pPr>
    </w:p>
    <w:p w:rsidR="0035358E" w:rsidP="0035358E" w14:paraId="1C8C1021" w14:textId="0DA1BF73">
      <w:pPr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Length of interview</w:t>
      </w:r>
      <w:r>
        <w:rPr>
          <w:color w:val="000000"/>
          <w:sz w:val="24"/>
          <w:szCs w:val="24"/>
        </w:rPr>
        <w:t xml:space="preserve">: </w:t>
      </w:r>
      <w:r w:rsidR="003155F9">
        <w:rPr>
          <w:color w:val="000000"/>
          <w:sz w:val="24"/>
          <w:szCs w:val="24"/>
        </w:rPr>
        <w:t xml:space="preserve">We estimate </w:t>
      </w:r>
      <w:r w:rsidR="00317CE8">
        <w:rPr>
          <w:color w:val="000000"/>
          <w:sz w:val="24"/>
          <w:szCs w:val="24"/>
        </w:rPr>
        <w:t>1 hour for each session</w:t>
      </w:r>
      <w:r w:rsidR="00FA364D">
        <w:rPr>
          <w:color w:val="000000"/>
          <w:sz w:val="24"/>
          <w:szCs w:val="24"/>
        </w:rPr>
        <w:t xml:space="preserve"> and 15 minutes to schedule participants.</w:t>
      </w:r>
    </w:p>
    <w:p w:rsidR="0035358E" w:rsidP="0035358E" w14:paraId="5462442F" w14:textId="77777777">
      <w:pPr>
        <w:rPr>
          <w:color w:val="000000"/>
          <w:sz w:val="24"/>
          <w:szCs w:val="24"/>
        </w:rPr>
      </w:pPr>
    </w:p>
    <w:p w:rsidR="00593D86" w:rsidP="00593D86" w14:paraId="6ACB330D" w14:textId="6DC5208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593D86">
        <w:rPr>
          <w:color w:val="000000"/>
          <w:sz w:val="24"/>
          <w:szCs w:val="24"/>
        </w:rPr>
        <w:t xml:space="preserve">The total estimated respondent burden for this </w:t>
      </w:r>
      <w:r w:rsidR="00A52414">
        <w:rPr>
          <w:color w:val="000000"/>
          <w:sz w:val="24"/>
          <w:szCs w:val="24"/>
        </w:rPr>
        <w:t>request</w:t>
      </w:r>
      <w:r w:rsidRPr="00593D86" w:rsidR="00A52414">
        <w:rPr>
          <w:color w:val="000000"/>
          <w:sz w:val="24"/>
          <w:szCs w:val="24"/>
        </w:rPr>
        <w:t xml:space="preserve"> </w:t>
      </w:r>
      <w:r w:rsidRPr="00593D86">
        <w:rPr>
          <w:color w:val="000000"/>
          <w:sz w:val="24"/>
          <w:szCs w:val="24"/>
        </w:rPr>
        <w:t xml:space="preserve">is </w:t>
      </w:r>
      <w:r w:rsidR="00AE4A47">
        <w:rPr>
          <w:color w:val="000000"/>
          <w:sz w:val="24"/>
          <w:szCs w:val="24"/>
        </w:rPr>
        <w:t>50</w:t>
      </w:r>
      <w:r w:rsidRPr="00593D86" w:rsidR="00BF1FE3">
        <w:rPr>
          <w:color w:val="000000"/>
          <w:sz w:val="24"/>
          <w:szCs w:val="24"/>
        </w:rPr>
        <w:t xml:space="preserve"> </w:t>
      </w:r>
      <w:r w:rsidRPr="00593D86">
        <w:rPr>
          <w:color w:val="000000"/>
          <w:sz w:val="24"/>
          <w:szCs w:val="24"/>
        </w:rPr>
        <w:t xml:space="preserve">hours. </w:t>
      </w:r>
    </w:p>
    <w:p w:rsidR="003E78E1" w14:paraId="5102F344" w14:textId="207001AE">
      <w:p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35358E" w:rsidP="00593D86" w14:paraId="03FD2D35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35358E" w:rsidRPr="00B843FB" w:rsidP="0035358E" w14:paraId="55D09BBD" w14:textId="77777777">
      <w:pPr>
        <w:rPr>
          <w:b/>
          <w:sz w:val="22"/>
          <w:szCs w:val="22"/>
        </w:rPr>
      </w:pPr>
      <w:r w:rsidRPr="00B843FB">
        <w:rPr>
          <w:sz w:val="22"/>
          <w:szCs w:val="22"/>
        </w:rPr>
        <w:t xml:space="preserve">Table </w:t>
      </w:r>
      <w:r w:rsidRPr="00B843FB">
        <w:rPr>
          <w:sz w:val="22"/>
          <w:szCs w:val="22"/>
        </w:rPr>
        <w:fldChar w:fldCharType="begin"/>
      </w:r>
      <w:r w:rsidRPr="00B843FB">
        <w:rPr>
          <w:sz w:val="22"/>
          <w:szCs w:val="22"/>
        </w:rPr>
        <w:instrText xml:space="preserve"> SEQ Table \* ARABIC </w:instrText>
      </w:r>
      <w:r w:rsidRPr="00B843FB">
        <w:rPr>
          <w:sz w:val="22"/>
          <w:szCs w:val="22"/>
        </w:rPr>
        <w:fldChar w:fldCharType="separate"/>
      </w:r>
      <w:r w:rsidRPr="00B843FB">
        <w:rPr>
          <w:sz w:val="22"/>
          <w:szCs w:val="22"/>
        </w:rPr>
        <w:t>1</w:t>
      </w:r>
      <w:r w:rsidRPr="00B843FB">
        <w:rPr>
          <w:sz w:val="22"/>
          <w:szCs w:val="22"/>
        </w:rPr>
        <w:fldChar w:fldCharType="end"/>
      </w:r>
      <w:r w:rsidRPr="00B843FB">
        <w:rPr>
          <w:sz w:val="22"/>
          <w:szCs w:val="22"/>
        </w:rPr>
        <w:t>. Total Estimated Burden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5"/>
        <w:gridCol w:w="2430"/>
        <w:gridCol w:w="1530"/>
        <w:gridCol w:w="1685"/>
      </w:tblGrid>
      <w:tr w14:paraId="0CDC6671" w14:textId="77777777" w:rsidTr="005B0A1A">
        <w:tblPrEx>
          <w:tblW w:w="93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58E" w:rsidRPr="00B843FB" w:rsidP="00CA1672" w14:paraId="3EF390DB" w14:textId="77777777">
            <w:pPr>
              <w:rPr>
                <w:color w:val="000000" w:themeColor="text1"/>
                <w:sz w:val="22"/>
                <w:szCs w:val="22"/>
              </w:rPr>
            </w:pPr>
            <w:r w:rsidRPr="00B843FB">
              <w:rPr>
                <w:b/>
                <w:color w:val="000000" w:themeColor="text1"/>
                <w:sz w:val="22"/>
                <w:szCs w:val="22"/>
              </w:rPr>
              <w:t xml:space="preserve">Category of Respondent </w:t>
            </w:r>
          </w:p>
        </w:tc>
        <w:tc>
          <w:tcPr>
            <w:tcW w:w="24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58E" w:rsidRPr="00B843FB" w:rsidP="00CA1672" w14:paraId="2108EA51" w14:textId="77777777">
            <w:pPr>
              <w:rPr>
                <w:color w:val="000000" w:themeColor="text1"/>
                <w:sz w:val="22"/>
                <w:szCs w:val="22"/>
              </w:rPr>
            </w:pPr>
            <w:r w:rsidRPr="00B843FB">
              <w:rPr>
                <w:b/>
                <w:color w:val="000000" w:themeColor="text1"/>
                <w:sz w:val="22"/>
                <w:szCs w:val="22"/>
              </w:rPr>
              <w:t>No. of Respondents</w:t>
            </w:r>
          </w:p>
        </w:tc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58E" w:rsidRPr="00B843FB" w:rsidP="00CA1672" w14:paraId="6E11E736" w14:textId="77777777">
            <w:pPr>
              <w:rPr>
                <w:color w:val="000000" w:themeColor="text1"/>
                <w:sz w:val="22"/>
                <w:szCs w:val="22"/>
              </w:rPr>
            </w:pPr>
            <w:r w:rsidRPr="00B843FB">
              <w:rPr>
                <w:b/>
                <w:color w:val="000000" w:themeColor="text1"/>
                <w:sz w:val="22"/>
                <w:szCs w:val="22"/>
              </w:rPr>
              <w:t>Participation Time</w:t>
            </w: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58E" w:rsidRPr="00B843FB" w:rsidP="00CA1672" w14:paraId="3FDFEEE4" w14:textId="77777777">
            <w:pPr>
              <w:rPr>
                <w:color w:val="000000" w:themeColor="text1"/>
                <w:sz w:val="22"/>
                <w:szCs w:val="22"/>
              </w:rPr>
            </w:pPr>
            <w:r w:rsidRPr="00B843FB">
              <w:rPr>
                <w:b/>
                <w:color w:val="000000" w:themeColor="text1"/>
                <w:sz w:val="22"/>
                <w:szCs w:val="22"/>
              </w:rPr>
              <w:t>Burden</w:t>
            </w:r>
          </w:p>
        </w:tc>
      </w:tr>
      <w:tr w14:paraId="4454D931" w14:textId="77777777" w:rsidTr="005B0A1A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6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4A47" w:rsidRPr="00AE4A47" w:rsidP="00CA1672" w14:paraId="32738B3E" w14:textId="68C3F32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E4A47">
              <w:rPr>
                <w:bCs/>
                <w:color w:val="000000" w:themeColor="text1"/>
                <w:sz w:val="22"/>
                <w:szCs w:val="22"/>
              </w:rPr>
              <w:t>Recruiting</w:t>
            </w:r>
          </w:p>
        </w:tc>
        <w:tc>
          <w:tcPr>
            <w:tcW w:w="24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4A47" w:rsidRPr="00AE4A47" w:rsidP="00CA1672" w14:paraId="15B18791" w14:textId="012B73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E4A47">
              <w:rPr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4A47" w:rsidRPr="00AE4A47" w:rsidP="00CA1672" w14:paraId="56AA8870" w14:textId="30AE84F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E4A47">
              <w:rPr>
                <w:bCs/>
                <w:color w:val="000000" w:themeColor="text1"/>
                <w:sz w:val="22"/>
                <w:szCs w:val="22"/>
              </w:rPr>
              <w:t>15 min</w:t>
            </w: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4A47" w:rsidRPr="00AE4A47" w:rsidP="00CA1672" w14:paraId="67410475" w14:textId="2F0F39E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E4A47">
              <w:rPr>
                <w:bCs/>
                <w:color w:val="000000" w:themeColor="text1"/>
                <w:sz w:val="22"/>
                <w:szCs w:val="22"/>
              </w:rPr>
              <w:t>10 hours</w:t>
            </w:r>
          </w:p>
        </w:tc>
      </w:tr>
      <w:tr w14:paraId="7AD7D12E" w14:textId="77777777" w:rsidTr="005B0A1A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2"/>
        </w:trPr>
        <w:tc>
          <w:tcPr>
            <w:tcW w:w="36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58E" w:rsidRPr="00B843FB" w:rsidP="00815C7B" w14:paraId="549A32FF" w14:textId="6298E3C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Online general population sample</w:t>
            </w:r>
          </w:p>
        </w:tc>
        <w:tc>
          <w:tcPr>
            <w:tcW w:w="24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0A1A" w:rsidP="00CA1672" w14:paraId="04BCC303" w14:textId="34960FB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317CE8">
              <w:rPr>
                <w:color w:val="000000" w:themeColor="text1"/>
                <w:sz w:val="22"/>
                <w:szCs w:val="22"/>
              </w:rPr>
              <w:t>0</w:t>
            </w:r>
          </w:p>
          <w:p w:rsidR="00F86670" w:rsidRPr="00B843FB" w:rsidP="00CA1672" w14:paraId="3AA33502" w14:textId="4AEF7C3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58E" w:rsidP="00CA1672" w14:paraId="649D08AF" w14:textId="2DBDF54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hour</w:t>
            </w:r>
          </w:p>
          <w:p w:rsidR="00F86670" w:rsidRPr="00B843FB" w:rsidP="00CA1672" w14:paraId="2235556F" w14:textId="43CF572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58E" w:rsidP="00CA1672" w14:paraId="70AA3424" w14:textId="3163314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317CE8">
              <w:rPr>
                <w:color w:val="000000" w:themeColor="text1"/>
                <w:sz w:val="22"/>
                <w:szCs w:val="22"/>
              </w:rPr>
              <w:t>0 hours</w:t>
            </w:r>
          </w:p>
          <w:p w:rsidR="00F86670" w:rsidRPr="00B843FB" w:rsidP="00CA1672" w14:paraId="731B56A4" w14:textId="024790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14:paraId="407C6DB2" w14:textId="77777777" w:rsidTr="005B0A1A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2"/>
        </w:trPr>
        <w:tc>
          <w:tcPr>
            <w:tcW w:w="36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364D" w:rsidP="00815C7B" w14:paraId="1387CC40" w14:textId="6A2D437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24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364D" w:rsidP="00CA1672" w14:paraId="5BB378A2" w14:textId="777777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364D" w:rsidP="00CA1672" w14:paraId="0F27C056" w14:textId="777777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364D" w:rsidP="00CA1672" w14:paraId="030A62C9" w14:textId="7E32BF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hours</w:t>
            </w:r>
          </w:p>
        </w:tc>
      </w:tr>
    </w:tbl>
    <w:p w:rsidR="0035358E" w:rsidP="00593D86" w14:paraId="5CE8FCE0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593D86" w:rsidRPr="00593D86" w:rsidP="00593D86" w14:paraId="10727C07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FB6223" w:rsidP="00FB6223" w14:paraId="130CC73A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:rsidR="00D2154F" w:rsidP="00FB6223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D2154F" w:rsidP="00D2154F" w14:paraId="7CA0F4CB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Elizabeth Nichols</w:t>
      </w:r>
    </w:p>
    <w:p w:rsidR="00D2154F" w:rsidP="00D2154F" w14:paraId="45DC12CC" w14:textId="77566E3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Center for </w:t>
      </w:r>
      <w:r w:rsidR="008D2CA7">
        <w:rPr>
          <w:color w:val="000000"/>
          <w:sz w:val="24"/>
          <w:szCs w:val="24"/>
        </w:rPr>
        <w:t xml:space="preserve">Behavioral Science Methods </w:t>
      </w:r>
    </w:p>
    <w:p w:rsidR="00D2154F" w:rsidP="00D2154F" w14:paraId="26C9EA1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U.S. Census Bureau </w:t>
      </w:r>
    </w:p>
    <w:p w:rsidR="00D2154F" w:rsidP="00D2154F" w14:paraId="2B27116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Washington, D.C. 20233</w:t>
      </w:r>
    </w:p>
    <w:p w:rsidR="00D2154F" w:rsidP="00D2154F" w14:paraId="14D2B4F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</w:t>
      </w:r>
      <w:r w:rsidR="0003644D">
        <w:rPr>
          <w:color w:val="000000"/>
          <w:sz w:val="24"/>
          <w:szCs w:val="24"/>
        </w:rPr>
        <w:t>1724</w:t>
      </w:r>
    </w:p>
    <w:p w:rsidR="00D2154F" w:rsidP="00D2154F" w14:paraId="7274614E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Elizabeth.May.Nichols</w:t>
      </w:r>
      <w:r>
        <w:rPr>
          <w:color w:val="000000"/>
          <w:sz w:val="24"/>
          <w:szCs w:val="24"/>
        </w:rPr>
        <w:t>@census.gov</w:t>
      </w:r>
    </w:p>
    <w:p w:rsidR="00D2154F" w14:paraId="75C5F2C8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E77" w14:paraId="552E9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7E77" w14:paraId="217A4552" w14:textId="07B3F1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7E77" w14:paraId="6AC23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E77" w14:paraId="75D6CB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E77" w14:paraId="49DB3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98D" w14:paraId="607C6C3F" w14:textId="4AC7F741">
    <w:pPr>
      <w:pStyle w:val="Header"/>
    </w:pPr>
  </w:p>
  <w:p w:rsidR="00107E77" w14:paraId="24BF73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E77" w14:paraId="2C933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02AD8"/>
    <w:multiLevelType w:val="hybridMultilevel"/>
    <w:tmpl w:val="CE70267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069"/>
    <w:multiLevelType w:val="hybridMultilevel"/>
    <w:tmpl w:val="20C0C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4466E"/>
    <w:multiLevelType w:val="hybridMultilevel"/>
    <w:tmpl w:val="EEE2EA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1206C0"/>
    <w:multiLevelType w:val="hybridMultilevel"/>
    <w:tmpl w:val="8EAE3D4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86EC5"/>
    <w:multiLevelType w:val="hybridMultilevel"/>
    <w:tmpl w:val="9648C46C"/>
    <w:lvl w:ilvl="0">
      <w:start w:val="1"/>
      <w:numFmt w:val="decimal"/>
      <w:lvlText w:val="(%1)"/>
      <w:lvlJc w:val="left"/>
      <w:pPr>
        <w:ind w:left="420" w:hanging="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76A50"/>
    <w:multiLevelType w:val="hybridMultilevel"/>
    <w:tmpl w:val="A76A3FC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12AC"/>
    <w:multiLevelType w:val="hybridMultilevel"/>
    <w:tmpl w:val="E6341B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6A2C30"/>
    <w:multiLevelType w:val="hybridMultilevel"/>
    <w:tmpl w:val="7234A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24220"/>
    <w:multiLevelType w:val="hybridMultilevel"/>
    <w:tmpl w:val="EA94E2D2"/>
    <w:lvl w:ilvl="0">
      <w:start w:val="1"/>
      <w:numFmt w:val="decimal"/>
      <w:lvlText w:val="%1)"/>
      <w:lvlJc w:val="left"/>
      <w:pPr>
        <w:ind w:left="1138" w:hanging="360"/>
      </w:pPr>
    </w:lvl>
    <w:lvl w:ilvl="1" w:tentative="1">
      <w:start w:val="1"/>
      <w:numFmt w:val="lowerLetter"/>
      <w:lvlText w:val="%2."/>
      <w:lvlJc w:val="left"/>
      <w:pPr>
        <w:ind w:left="1858" w:hanging="360"/>
      </w:pPr>
    </w:lvl>
    <w:lvl w:ilvl="2" w:tentative="1">
      <w:start w:val="1"/>
      <w:numFmt w:val="lowerRoman"/>
      <w:lvlText w:val="%3."/>
      <w:lvlJc w:val="right"/>
      <w:pPr>
        <w:ind w:left="2578" w:hanging="180"/>
      </w:pPr>
    </w:lvl>
    <w:lvl w:ilvl="3" w:tentative="1">
      <w:start w:val="1"/>
      <w:numFmt w:val="decimal"/>
      <w:lvlText w:val="%4."/>
      <w:lvlJc w:val="left"/>
      <w:pPr>
        <w:ind w:left="3298" w:hanging="360"/>
      </w:pPr>
    </w:lvl>
    <w:lvl w:ilvl="4" w:tentative="1">
      <w:start w:val="1"/>
      <w:numFmt w:val="lowerLetter"/>
      <w:lvlText w:val="%5."/>
      <w:lvlJc w:val="left"/>
      <w:pPr>
        <w:ind w:left="4018" w:hanging="360"/>
      </w:pPr>
    </w:lvl>
    <w:lvl w:ilvl="5" w:tentative="1">
      <w:start w:val="1"/>
      <w:numFmt w:val="lowerRoman"/>
      <w:lvlText w:val="%6."/>
      <w:lvlJc w:val="right"/>
      <w:pPr>
        <w:ind w:left="4738" w:hanging="180"/>
      </w:pPr>
    </w:lvl>
    <w:lvl w:ilvl="6" w:tentative="1">
      <w:start w:val="1"/>
      <w:numFmt w:val="decimal"/>
      <w:lvlText w:val="%7."/>
      <w:lvlJc w:val="left"/>
      <w:pPr>
        <w:ind w:left="5458" w:hanging="360"/>
      </w:pPr>
    </w:lvl>
    <w:lvl w:ilvl="7" w:tentative="1">
      <w:start w:val="1"/>
      <w:numFmt w:val="lowerLetter"/>
      <w:lvlText w:val="%8."/>
      <w:lvlJc w:val="left"/>
      <w:pPr>
        <w:ind w:left="6178" w:hanging="360"/>
      </w:pPr>
    </w:lvl>
    <w:lvl w:ilvl="8" w:tentative="1">
      <w:start w:val="1"/>
      <w:numFmt w:val="lowerRoman"/>
      <w:lvlText w:val="%9."/>
      <w:lvlJc w:val="right"/>
      <w:pPr>
        <w:ind w:left="6898" w:hanging="180"/>
      </w:pPr>
    </w:lvl>
  </w:abstractNum>
  <w:num w:numId="1" w16cid:durableId="1463038514">
    <w:abstractNumId w:val="3"/>
  </w:num>
  <w:num w:numId="2" w16cid:durableId="1060011515">
    <w:abstractNumId w:val="3"/>
  </w:num>
  <w:num w:numId="3" w16cid:durableId="534536878">
    <w:abstractNumId w:val="3"/>
  </w:num>
  <w:num w:numId="4" w16cid:durableId="1639336004">
    <w:abstractNumId w:val="3"/>
  </w:num>
  <w:num w:numId="5" w16cid:durableId="438987961">
    <w:abstractNumId w:val="3"/>
  </w:num>
  <w:num w:numId="6" w16cid:durableId="384526535">
    <w:abstractNumId w:val="3"/>
  </w:num>
  <w:num w:numId="7" w16cid:durableId="426272442">
    <w:abstractNumId w:val="3"/>
  </w:num>
  <w:num w:numId="8" w16cid:durableId="1726103035">
    <w:abstractNumId w:val="3"/>
  </w:num>
  <w:num w:numId="9" w16cid:durableId="1055667721">
    <w:abstractNumId w:val="3"/>
  </w:num>
  <w:num w:numId="10" w16cid:durableId="1783837264">
    <w:abstractNumId w:val="1"/>
  </w:num>
  <w:num w:numId="11" w16cid:durableId="1521436702">
    <w:abstractNumId w:val="8"/>
  </w:num>
  <w:num w:numId="12" w16cid:durableId="1216087921">
    <w:abstractNumId w:val="1"/>
  </w:num>
  <w:num w:numId="13" w16cid:durableId="1190796184">
    <w:abstractNumId w:val="5"/>
  </w:num>
  <w:num w:numId="14" w16cid:durableId="1463187912">
    <w:abstractNumId w:val="2"/>
  </w:num>
  <w:num w:numId="15" w16cid:durableId="182138807">
    <w:abstractNumId w:val="0"/>
  </w:num>
  <w:num w:numId="16" w16cid:durableId="197206058">
    <w:abstractNumId w:val="10"/>
  </w:num>
  <w:num w:numId="17" w16cid:durableId="1691489586">
    <w:abstractNumId w:val="7"/>
  </w:num>
  <w:num w:numId="18" w16cid:durableId="779879283">
    <w:abstractNumId w:val="6"/>
  </w:num>
  <w:num w:numId="19" w16cid:durableId="550576817">
    <w:abstractNumId w:val="9"/>
  </w:num>
  <w:num w:numId="20" w16cid:durableId="116878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56"/>
    <w:rsid w:val="00015E7B"/>
    <w:rsid w:val="0003644D"/>
    <w:rsid w:val="000410AD"/>
    <w:rsid w:val="00063EA4"/>
    <w:rsid w:val="00065B0B"/>
    <w:rsid w:val="000662AA"/>
    <w:rsid w:val="000958CC"/>
    <w:rsid w:val="000A1027"/>
    <w:rsid w:val="000A20D0"/>
    <w:rsid w:val="000A30FD"/>
    <w:rsid w:val="000B2654"/>
    <w:rsid w:val="000C2E69"/>
    <w:rsid w:val="000D3F1B"/>
    <w:rsid w:val="000F2088"/>
    <w:rsid w:val="000F28A9"/>
    <w:rsid w:val="001029AE"/>
    <w:rsid w:val="00107E77"/>
    <w:rsid w:val="00114596"/>
    <w:rsid w:val="00120CC5"/>
    <w:rsid w:val="0012570C"/>
    <w:rsid w:val="00177779"/>
    <w:rsid w:val="0018369D"/>
    <w:rsid w:val="00187ED6"/>
    <w:rsid w:val="0019121A"/>
    <w:rsid w:val="00195360"/>
    <w:rsid w:val="001B1537"/>
    <w:rsid w:val="001B28AC"/>
    <w:rsid w:val="001C7024"/>
    <w:rsid w:val="001D0D07"/>
    <w:rsid w:val="001D30E9"/>
    <w:rsid w:val="001D692A"/>
    <w:rsid w:val="001F0B91"/>
    <w:rsid w:val="00214E3A"/>
    <w:rsid w:val="00215556"/>
    <w:rsid w:val="002164C0"/>
    <w:rsid w:val="00236E96"/>
    <w:rsid w:val="0027512E"/>
    <w:rsid w:val="00281160"/>
    <w:rsid w:val="00293C4A"/>
    <w:rsid w:val="002971AB"/>
    <w:rsid w:val="002A2FB7"/>
    <w:rsid w:val="002A5E94"/>
    <w:rsid w:val="002D2371"/>
    <w:rsid w:val="002D6353"/>
    <w:rsid w:val="002E0A08"/>
    <w:rsid w:val="002F09E8"/>
    <w:rsid w:val="0030111D"/>
    <w:rsid w:val="003155F9"/>
    <w:rsid w:val="00315D8F"/>
    <w:rsid w:val="003177F7"/>
    <w:rsid w:val="00317CE8"/>
    <w:rsid w:val="003202CF"/>
    <w:rsid w:val="003262F4"/>
    <w:rsid w:val="00326C3D"/>
    <w:rsid w:val="00327A32"/>
    <w:rsid w:val="003321F9"/>
    <w:rsid w:val="003343C5"/>
    <w:rsid w:val="00342002"/>
    <w:rsid w:val="0035358E"/>
    <w:rsid w:val="003611F1"/>
    <w:rsid w:val="00372AAE"/>
    <w:rsid w:val="003A747F"/>
    <w:rsid w:val="003D4437"/>
    <w:rsid w:val="003E78E1"/>
    <w:rsid w:val="003F0C5B"/>
    <w:rsid w:val="00402F86"/>
    <w:rsid w:val="00406DB0"/>
    <w:rsid w:val="00411C11"/>
    <w:rsid w:val="0045316E"/>
    <w:rsid w:val="00453C3C"/>
    <w:rsid w:val="00466B7B"/>
    <w:rsid w:val="00471B40"/>
    <w:rsid w:val="00486720"/>
    <w:rsid w:val="004A14DC"/>
    <w:rsid w:val="004A645C"/>
    <w:rsid w:val="004B7198"/>
    <w:rsid w:val="004D74CE"/>
    <w:rsid w:val="004F20AE"/>
    <w:rsid w:val="004F29C6"/>
    <w:rsid w:val="00511105"/>
    <w:rsid w:val="00515892"/>
    <w:rsid w:val="00520A5C"/>
    <w:rsid w:val="00561FA8"/>
    <w:rsid w:val="00564CC4"/>
    <w:rsid w:val="005678A0"/>
    <w:rsid w:val="00567A43"/>
    <w:rsid w:val="00572590"/>
    <w:rsid w:val="00586C40"/>
    <w:rsid w:val="0059274E"/>
    <w:rsid w:val="00593D86"/>
    <w:rsid w:val="005B0A1A"/>
    <w:rsid w:val="005B1129"/>
    <w:rsid w:val="005D38BD"/>
    <w:rsid w:val="005E07EC"/>
    <w:rsid w:val="005F1B88"/>
    <w:rsid w:val="005F41CA"/>
    <w:rsid w:val="005F42D1"/>
    <w:rsid w:val="00625734"/>
    <w:rsid w:val="00630757"/>
    <w:rsid w:val="006321D1"/>
    <w:rsid w:val="00644EFC"/>
    <w:rsid w:val="006644E8"/>
    <w:rsid w:val="0066461F"/>
    <w:rsid w:val="00671B61"/>
    <w:rsid w:val="00676F22"/>
    <w:rsid w:val="00686DD1"/>
    <w:rsid w:val="006A69AA"/>
    <w:rsid w:val="006C22C8"/>
    <w:rsid w:val="006C6FB5"/>
    <w:rsid w:val="006E7E11"/>
    <w:rsid w:val="006F1DB1"/>
    <w:rsid w:val="007203A8"/>
    <w:rsid w:val="0072377F"/>
    <w:rsid w:val="007276A3"/>
    <w:rsid w:val="007370BE"/>
    <w:rsid w:val="007479E9"/>
    <w:rsid w:val="00774A10"/>
    <w:rsid w:val="007760E3"/>
    <w:rsid w:val="007808B2"/>
    <w:rsid w:val="00784584"/>
    <w:rsid w:val="00794D15"/>
    <w:rsid w:val="007B7959"/>
    <w:rsid w:val="007C2128"/>
    <w:rsid w:val="007C374E"/>
    <w:rsid w:val="007C72C6"/>
    <w:rsid w:val="007D074C"/>
    <w:rsid w:val="007D468D"/>
    <w:rsid w:val="007E768D"/>
    <w:rsid w:val="007F4BE3"/>
    <w:rsid w:val="007F552F"/>
    <w:rsid w:val="0080144C"/>
    <w:rsid w:val="00801471"/>
    <w:rsid w:val="00815A21"/>
    <w:rsid w:val="00815C7B"/>
    <w:rsid w:val="00825309"/>
    <w:rsid w:val="00833380"/>
    <w:rsid w:val="00844C7D"/>
    <w:rsid w:val="00854938"/>
    <w:rsid w:val="0087640E"/>
    <w:rsid w:val="008766CA"/>
    <w:rsid w:val="00884A79"/>
    <w:rsid w:val="00887CEB"/>
    <w:rsid w:val="008B6BFF"/>
    <w:rsid w:val="008C23E1"/>
    <w:rsid w:val="008C4937"/>
    <w:rsid w:val="008D0E72"/>
    <w:rsid w:val="008D2CA7"/>
    <w:rsid w:val="008E411C"/>
    <w:rsid w:val="008F7641"/>
    <w:rsid w:val="008F7F56"/>
    <w:rsid w:val="0090177C"/>
    <w:rsid w:val="00901829"/>
    <w:rsid w:val="00904877"/>
    <w:rsid w:val="00904CC6"/>
    <w:rsid w:val="00920006"/>
    <w:rsid w:val="00937751"/>
    <w:rsid w:val="00956C44"/>
    <w:rsid w:val="009742E9"/>
    <w:rsid w:val="0097650C"/>
    <w:rsid w:val="009942A0"/>
    <w:rsid w:val="009C4CA6"/>
    <w:rsid w:val="009D38AA"/>
    <w:rsid w:val="009E11B6"/>
    <w:rsid w:val="009F64C3"/>
    <w:rsid w:val="00A14952"/>
    <w:rsid w:val="00A17ACD"/>
    <w:rsid w:val="00A52414"/>
    <w:rsid w:val="00A55039"/>
    <w:rsid w:val="00A569EE"/>
    <w:rsid w:val="00A72711"/>
    <w:rsid w:val="00A73B5E"/>
    <w:rsid w:val="00A85A2C"/>
    <w:rsid w:val="00AB5FDD"/>
    <w:rsid w:val="00AD42DD"/>
    <w:rsid w:val="00AE4A47"/>
    <w:rsid w:val="00AF606A"/>
    <w:rsid w:val="00AF616E"/>
    <w:rsid w:val="00B22036"/>
    <w:rsid w:val="00B3398D"/>
    <w:rsid w:val="00B42CBF"/>
    <w:rsid w:val="00B5695B"/>
    <w:rsid w:val="00B65ED5"/>
    <w:rsid w:val="00B6719E"/>
    <w:rsid w:val="00B70945"/>
    <w:rsid w:val="00B71AF4"/>
    <w:rsid w:val="00B724C6"/>
    <w:rsid w:val="00B843FB"/>
    <w:rsid w:val="00BA485E"/>
    <w:rsid w:val="00BB0A94"/>
    <w:rsid w:val="00BD07D3"/>
    <w:rsid w:val="00BD3025"/>
    <w:rsid w:val="00BE4268"/>
    <w:rsid w:val="00BE4A65"/>
    <w:rsid w:val="00BF04A8"/>
    <w:rsid w:val="00BF1A7B"/>
    <w:rsid w:val="00BF1FE3"/>
    <w:rsid w:val="00C16CE0"/>
    <w:rsid w:val="00C31844"/>
    <w:rsid w:val="00C375A3"/>
    <w:rsid w:val="00C53D90"/>
    <w:rsid w:val="00C66DF2"/>
    <w:rsid w:val="00C7134C"/>
    <w:rsid w:val="00C772E9"/>
    <w:rsid w:val="00C85E15"/>
    <w:rsid w:val="00CA13C9"/>
    <w:rsid w:val="00CA1672"/>
    <w:rsid w:val="00CA2E0E"/>
    <w:rsid w:val="00CB2FDB"/>
    <w:rsid w:val="00CB3798"/>
    <w:rsid w:val="00CC7683"/>
    <w:rsid w:val="00CD01A9"/>
    <w:rsid w:val="00CE2C34"/>
    <w:rsid w:val="00D0616A"/>
    <w:rsid w:val="00D2154F"/>
    <w:rsid w:val="00D270E2"/>
    <w:rsid w:val="00D5061E"/>
    <w:rsid w:val="00D5068E"/>
    <w:rsid w:val="00D53A91"/>
    <w:rsid w:val="00D775B9"/>
    <w:rsid w:val="00D87D75"/>
    <w:rsid w:val="00D95323"/>
    <w:rsid w:val="00DA7173"/>
    <w:rsid w:val="00DA7423"/>
    <w:rsid w:val="00DB01B3"/>
    <w:rsid w:val="00DB458C"/>
    <w:rsid w:val="00DC4966"/>
    <w:rsid w:val="00DE310D"/>
    <w:rsid w:val="00DE5770"/>
    <w:rsid w:val="00DE7250"/>
    <w:rsid w:val="00E0606C"/>
    <w:rsid w:val="00E165F0"/>
    <w:rsid w:val="00E25B4C"/>
    <w:rsid w:val="00E32E84"/>
    <w:rsid w:val="00E34C90"/>
    <w:rsid w:val="00E363EB"/>
    <w:rsid w:val="00E36DD4"/>
    <w:rsid w:val="00E43C9B"/>
    <w:rsid w:val="00E47870"/>
    <w:rsid w:val="00E51ACA"/>
    <w:rsid w:val="00E542D2"/>
    <w:rsid w:val="00E550DF"/>
    <w:rsid w:val="00E620DA"/>
    <w:rsid w:val="00E674F1"/>
    <w:rsid w:val="00E91AF0"/>
    <w:rsid w:val="00EB695D"/>
    <w:rsid w:val="00EB74A3"/>
    <w:rsid w:val="00EC1E8E"/>
    <w:rsid w:val="00EC6745"/>
    <w:rsid w:val="00EE438B"/>
    <w:rsid w:val="00F22A67"/>
    <w:rsid w:val="00F64988"/>
    <w:rsid w:val="00F66212"/>
    <w:rsid w:val="00F673D0"/>
    <w:rsid w:val="00F75C50"/>
    <w:rsid w:val="00F81ED1"/>
    <w:rsid w:val="00F83636"/>
    <w:rsid w:val="00F86670"/>
    <w:rsid w:val="00FA364D"/>
    <w:rsid w:val="00FA459E"/>
    <w:rsid w:val="00FA6DEB"/>
    <w:rsid w:val="00FB5D31"/>
    <w:rsid w:val="00FB6223"/>
    <w:rsid w:val="00FB6AE1"/>
    <w:rsid w:val="00FB771E"/>
    <w:rsid w:val="00FC0BD4"/>
    <w:rsid w:val="00FD35AF"/>
  </w:rsids>
  <w:docVars>
    <w:docVar w:name="_AMO_ReportControlsVisible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1850B"/>
  <w15:docId w15:val="{62A735C3-D27B-4B6E-A5AE-6660CF6A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67F01-7922-4791-A4EB-FD77895D7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2A111-26A3-4F42-AA96-2DEE5D1010DF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4B0D78-2848-40C2-A0D6-E703F4136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21173-CFD1-4950-A937-DCC7692DC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Jasmine Luck (CENSUS/CBSM FED)</cp:lastModifiedBy>
  <cp:revision>2</cp:revision>
  <dcterms:created xsi:type="dcterms:W3CDTF">2023-08-03T20:12:00Z</dcterms:created>
  <dcterms:modified xsi:type="dcterms:W3CDTF">2023-08-03T20:12:00Z</dcterms:modified>
</cp:coreProperties>
</file>