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1AA0" w:rsidP="004F20AE" w14:paraId="078C214E" w14:textId="77777777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Addendum:</w:t>
      </w:r>
    </w:p>
    <w:p w:rsidR="00686DD1" w:rsidRPr="009C476D" w:rsidP="004F20AE" w14:paraId="14D5DC0B" w14:textId="4891418A">
      <w:pPr>
        <w:rPr>
          <w:b/>
          <w:color w:val="000000"/>
          <w:sz w:val="24"/>
          <w:szCs w:val="24"/>
        </w:rPr>
      </w:pPr>
      <w:r w:rsidRPr="009C476D">
        <w:rPr>
          <w:b/>
          <w:color w:val="000000"/>
          <w:sz w:val="24"/>
          <w:szCs w:val="24"/>
        </w:rPr>
        <w:t>Generic Information Collection Request</w:t>
      </w:r>
      <w:r w:rsidR="00833F23">
        <w:rPr>
          <w:b/>
          <w:color w:val="000000"/>
          <w:sz w:val="24"/>
          <w:szCs w:val="24"/>
        </w:rPr>
        <w:t xml:space="preserve">: </w:t>
      </w:r>
      <w:r w:rsidR="00EA36F9">
        <w:rPr>
          <w:b/>
          <w:color w:val="000000"/>
          <w:sz w:val="24"/>
          <w:szCs w:val="24"/>
        </w:rPr>
        <w:t>Focus groups with</w:t>
      </w:r>
      <w:r w:rsidR="00833F23">
        <w:rPr>
          <w:b/>
          <w:color w:val="000000"/>
          <w:sz w:val="24"/>
          <w:szCs w:val="24"/>
        </w:rPr>
        <w:t xml:space="preserve"> G</w:t>
      </w:r>
      <w:r w:rsidR="007A768E">
        <w:rPr>
          <w:b/>
          <w:color w:val="000000"/>
          <w:sz w:val="24"/>
          <w:szCs w:val="24"/>
        </w:rPr>
        <w:t xml:space="preserve">roup </w:t>
      </w:r>
      <w:r w:rsidR="00833F23">
        <w:rPr>
          <w:b/>
          <w:color w:val="000000"/>
          <w:sz w:val="24"/>
          <w:szCs w:val="24"/>
        </w:rPr>
        <w:t>Q</w:t>
      </w:r>
      <w:r w:rsidR="007A768E">
        <w:rPr>
          <w:b/>
          <w:color w:val="000000"/>
          <w:sz w:val="24"/>
          <w:szCs w:val="24"/>
        </w:rPr>
        <w:t>uarters</w:t>
      </w:r>
      <w:r w:rsidR="00833F23">
        <w:rPr>
          <w:b/>
          <w:color w:val="000000"/>
          <w:sz w:val="24"/>
          <w:szCs w:val="24"/>
        </w:rPr>
        <w:t xml:space="preserve"> Administrators to Inform Plans for an Internet Self-Response Instrument for </w:t>
      </w:r>
      <w:r w:rsidR="007A768E">
        <w:rPr>
          <w:b/>
          <w:color w:val="000000"/>
          <w:sz w:val="24"/>
          <w:szCs w:val="24"/>
        </w:rPr>
        <w:t xml:space="preserve">Group Quarters </w:t>
      </w:r>
      <w:r w:rsidR="00833F23">
        <w:rPr>
          <w:b/>
          <w:color w:val="000000"/>
          <w:sz w:val="24"/>
          <w:szCs w:val="24"/>
        </w:rPr>
        <w:t>residents in the 2030 Census.</w:t>
      </w:r>
    </w:p>
    <w:p w:rsidR="00686DD1" w:rsidP="004F20AE" w14:paraId="6B673C8E" w14:textId="77777777">
      <w:pPr>
        <w:rPr>
          <w:color w:val="000000"/>
          <w:sz w:val="24"/>
          <w:szCs w:val="24"/>
        </w:rPr>
      </w:pPr>
    </w:p>
    <w:p w:rsidR="00612A8E" w:rsidRPr="00612A8E" w:rsidP="00612A8E" w14:paraId="79BFA187" w14:textId="5E223754">
      <w:pPr>
        <w:rPr>
          <w:rFonts w:ascii="Times" w:hAnsi="Times"/>
          <w:sz w:val="24"/>
        </w:rPr>
      </w:pPr>
      <w:r w:rsidRPr="00612A8E">
        <w:rPr>
          <w:b/>
          <w:color w:val="000000"/>
          <w:sz w:val="24"/>
          <w:szCs w:val="24"/>
        </w:rPr>
        <w:t>Request</w:t>
      </w:r>
      <w:r w:rsidRPr="00612A8E">
        <w:rPr>
          <w:color w:val="000000"/>
          <w:sz w:val="24"/>
          <w:szCs w:val="24"/>
        </w:rPr>
        <w:t xml:space="preserve">: </w:t>
      </w:r>
      <w:r w:rsidRPr="00612A8E">
        <w:rPr>
          <w:color w:val="000000"/>
          <w:sz w:val="24"/>
          <w:szCs w:val="24"/>
        </w:rPr>
        <w:t xml:space="preserve">This is an addendum to the request for “Focus groups with Group Quarters Administrators to Inform Plans for an Internet Self-Response instrument for Group Quarters residents in the 2030 Census” that was approved on June 16, 2023. </w:t>
      </w:r>
      <w:r w:rsidRPr="00612A8E" w:rsidR="008F7F56">
        <w:rPr>
          <w:color w:val="000000"/>
          <w:sz w:val="24"/>
          <w:szCs w:val="24"/>
        </w:rPr>
        <w:t xml:space="preserve">The Census Bureau </w:t>
      </w:r>
      <w:r w:rsidRPr="00612A8E" w:rsidR="00D241FA">
        <w:rPr>
          <w:color w:val="000000"/>
          <w:sz w:val="24"/>
          <w:szCs w:val="24"/>
        </w:rPr>
        <w:t>plan</w:t>
      </w:r>
      <w:r w:rsidRPr="00612A8E">
        <w:rPr>
          <w:color w:val="000000"/>
          <w:sz w:val="24"/>
          <w:szCs w:val="24"/>
        </w:rPr>
        <w:t>s</w:t>
      </w:r>
      <w:r w:rsidRPr="00612A8E" w:rsidR="00D241FA">
        <w:rPr>
          <w:color w:val="000000"/>
          <w:sz w:val="24"/>
          <w:szCs w:val="24"/>
        </w:rPr>
        <w:t xml:space="preserve"> </w:t>
      </w:r>
      <w:r w:rsidRPr="00612A8E" w:rsidR="00686DD1">
        <w:rPr>
          <w:color w:val="000000"/>
          <w:sz w:val="24"/>
          <w:szCs w:val="24"/>
        </w:rPr>
        <w:t>to</w:t>
      </w:r>
      <w:r w:rsidRPr="00612A8E" w:rsidR="008F7F56">
        <w:rPr>
          <w:color w:val="000000"/>
          <w:sz w:val="24"/>
          <w:szCs w:val="24"/>
        </w:rPr>
        <w:t xml:space="preserve"> conduc</w:t>
      </w:r>
      <w:r w:rsidRPr="00612A8E" w:rsidR="00EA36F9">
        <w:rPr>
          <w:color w:val="000000"/>
          <w:sz w:val="24"/>
          <w:szCs w:val="24"/>
        </w:rPr>
        <w:t xml:space="preserve">t </w:t>
      </w:r>
      <w:r w:rsidRPr="00612A8E">
        <w:rPr>
          <w:color w:val="000000"/>
          <w:sz w:val="24"/>
          <w:szCs w:val="24"/>
        </w:rPr>
        <w:t xml:space="preserve">two additional focus groups </w:t>
      </w:r>
      <w:r w:rsidRPr="00612A8E" w:rsidR="00EA36F9">
        <w:rPr>
          <w:color w:val="000000"/>
          <w:sz w:val="24"/>
          <w:szCs w:val="24"/>
        </w:rPr>
        <w:t xml:space="preserve">with </w:t>
      </w:r>
      <w:r w:rsidRPr="00612A8E" w:rsidR="00D241FA">
        <w:rPr>
          <w:color w:val="000000"/>
          <w:sz w:val="24"/>
          <w:szCs w:val="24"/>
        </w:rPr>
        <w:t xml:space="preserve">administrators of group </w:t>
      </w:r>
      <w:r w:rsidRPr="00612A8E" w:rsidR="004D3DFA">
        <w:rPr>
          <w:color w:val="000000"/>
          <w:sz w:val="24"/>
          <w:szCs w:val="24"/>
        </w:rPr>
        <w:t>quarters</w:t>
      </w:r>
      <w:r w:rsidRPr="00612A8E">
        <w:rPr>
          <w:color w:val="000000"/>
          <w:sz w:val="24"/>
          <w:szCs w:val="24"/>
        </w:rPr>
        <w:t xml:space="preserve"> under the pretesting clearance (OMB number 0607-0725). We plan to conduct a focus group with administrators of military group quarters residences and </w:t>
      </w:r>
      <w:r w:rsidR="007D1AA0">
        <w:rPr>
          <w:color w:val="000000"/>
          <w:sz w:val="24"/>
          <w:szCs w:val="24"/>
        </w:rPr>
        <w:t xml:space="preserve">an </w:t>
      </w:r>
      <w:r w:rsidRPr="00612A8E">
        <w:rPr>
          <w:color w:val="000000"/>
          <w:sz w:val="24"/>
          <w:szCs w:val="24"/>
        </w:rPr>
        <w:t xml:space="preserve">additional </w:t>
      </w:r>
      <w:r w:rsidR="007D1AA0">
        <w:rPr>
          <w:color w:val="000000"/>
          <w:sz w:val="24"/>
          <w:szCs w:val="24"/>
        </w:rPr>
        <w:t xml:space="preserve">focus </w:t>
      </w:r>
      <w:r w:rsidRPr="00612A8E">
        <w:rPr>
          <w:color w:val="000000"/>
          <w:sz w:val="24"/>
          <w:szCs w:val="24"/>
        </w:rPr>
        <w:t xml:space="preserve">group with </w:t>
      </w:r>
      <w:r w:rsidR="007D1AA0">
        <w:rPr>
          <w:color w:val="000000"/>
          <w:sz w:val="24"/>
          <w:szCs w:val="24"/>
        </w:rPr>
        <w:t xml:space="preserve">administrators of </w:t>
      </w:r>
      <w:r w:rsidRPr="00612A8E">
        <w:rPr>
          <w:rFonts w:ascii="Times" w:hAnsi="Times"/>
          <w:sz w:val="24"/>
        </w:rPr>
        <w:t>Workers’ Group Living Quarters and Job Corps Centers</w:t>
      </w:r>
      <w:r>
        <w:rPr>
          <w:rFonts w:ascii="Times" w:hAnsi="Times"/>
          <w:sz w:val="24"/>
        </w:rPr>
        <w:t xml:space="preserve">. </w:t>
      </w:r>
      <w:r w:rsidR="007D1AA0">
        <w:rPr>
          <w:rFonts w:ascii="Times" w:hAnsi="Times"/>
          <w:sz w:val="24"/>
        </w:rPr>
        <w:t>Only one individual from a</w:t>
      </w:r>
      <w:r>
        <w:rPr>
          <w:rFonts w:ascii="Times" w:hAnsi="Times"/>
          <w:sz w:val="24"/>
        </w:rPr>
        <w:t xml:space="preserve"> Workers’ Group Living Quarters participated last round</w:t>
      </w:r>
      <w:r w:rsidR="009B6F58">
        <w:rPr>
          <w:rFonts w:ascii="Times" w:hAnsi="Times"/>
          <w:sz w:val="24"/>
        </w:rPr>
        <w:t>. The other three participants</w:t>
      </w:r>
      <w:r w:rsidR="007D1AA0">
        <w:rPr>
          <w:rFonts w:ascii="Times" w:hAnsi="Times"/>
          <w:sz w:val="24"/>
        </w:rPr>
        <w:t xml:space="preserve"> who had agreed</w:t>
      </w:r>
      <w:r w:rsidR="009B6F58">
        <w:rPr>
          <w:rFonts w:ascii="Times" w:hAnsi="Times"/>
          <w:sz w:val="24"/>
        </w:rPr>
        <w:t xml:space="preserve"> did not join the MS Teams call</w:t>
      </w:r>
      <w:r w:rsidR="007D1AA0">
        <w:rPr>
          <w:rFonts w:ascii="Times" w:hAnsi="Times"/>
          <w:sz w:val="24"/>
        </w:rPr>
        <w:t>.</w:t>
      </w:r>
    </w:p>
    <w:p w:rsidR="00B31759" w:rsidP="004F20AE" w14:paraId="5F0743BD" w14:textId="47A4AD4E">
      <w:pPr>
        <w:rPr>
          <w:color w:val="000000"/>
          <w:sz w:val="24"/>
          <w:szCs w:val="24"/>
        </w:rPr>
      </w:pPr>
    </w:p>
    <w:p w:rsidR="00E96552" w:rsidP="004F20AE" w14:paraId="5F4827D3" w14:textId="6FBD871B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FB77D4">
        <w:rPr>
          <w:b/>
          <w:sz w:val="24"/>
          <w:szCs w:val="24"/>
        </w:rPr>
        <w:t>Purpose</w:t>
      </w:r>
      <w:r w:rsidRPr="00FB77D4">
        <w:rPr>
          <w:sz w:val="24"/>
          <w:szCs w:val="24"/>
        </w:rPr>
        <w:t xml:space="preserve">: </w:t>
      </w:r>
      <w:r w:rsidR="007D1AA0">
        <w:rPr>
          <w:sz w:val="24"/>
          <w:szCs w:val="24"/>
        </w:rPr>
        <w:t>No change</w:t>
      </w:r>
    </w:p>
    <w:p w:rsidR="00DF72CD" w:rsidP="004F20AE" w14:paraId="73788790" w14:textId="77777777">
      <w:pPr>
        <w:shd w:val="clear" w:color="auto" w:fill="FFFFFF"/>
        <w:autoSpaceDE/>
        <w:autoSpaceDN/>
        <w:adjustRightInd/>
        <w:rPr>
          <w:sz w:val="24"/>
          <w:szCs w:val="24"/>
        </w:rPr>
      </w:pPr>
    </w:p>
    <w:p w:rsidR="00612A8E" w:rsidP="00612A8E" w14:paraId="108CA867" w14:textId="77777777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sz w:val="24"/>
          <w:szCs w:val="24"/>
        </w:rPr>
        <w:t>Population of Interest</w:t>
      </w:r>
      <w:r>
        <w:rPr>
          <w:sz w:val="24"/>
          <w:szCs w:val="24"/>
        </w:rPr>
        <w:t xml:space="preserve">: </w:t>
      </w:r>
      <w:r w:rsidR="00A45FFE">
        <w:rPr>
          <w:sz w:val="24"/>
          <w:szCs w:val="24"/>
        </w:rPr>
        <w:t xml:space="preserve">The population of interest is GQ administrators. </w:t>
      </w:r>
    </w:p>
    <w:p w:rsidR="00B31759" w:rsidRPr="00612A8E" w:rsidP="00612A8E" w14:paraId="252B8706" w14:textId="492E4EAA">
      <w:pPr>
        <w:pStyle w:val="ListParagraph"/>
        <w:numPr>
          <w:ilvl w:val="0"/>
          <w:numId w:val="15"/>
        </w:numPr>
        <w:shd w:val="clear" w:color="auto" w:fill="FFFFFF"/>
        <w:autoSpaceDE/>
        <w:autoSpaceDN/>
        <w:adjustRightInd/>
        <w:rPr>
          <w:rFonts w:ascii="Times" w:hAnsi="Times"/>
          <w:sz w:val="24"/>
        </w:rPr>
      </w:pPr>
      <w:r w:rsidRPr="00612A8E">
        <w:rPr>
          <w:rFonts w:ascii="Times" w:hAnsi="Times"/>
          <w:sz w:val="24"/>
        </w:rPr>
        <w:t xml:space="preserve">Workers’ Group Living Quarters and Job Corps Centers </w:t>
      </w:r>
    </w:p>
    <w:p w:rsidR="009A6094" w:rsidRPr="00D001A9" w:rsidP="009A6094" w14:paraId="47141376" w14:textId="4E31B78A">
      <w:pPr>
        <w:pStyle w:val="ListParagraph"/>
        <w:numPr>
          <w:ilvl w:val="0"/>
          <w:numId w:val="15"/>
        </w:numPr>
        <w:rPr>
          <w:rFonts w:ascii="Times" w:hAnsi="Times"/>
          <w:sz w:val="24"/>
        </w:rPr>
      </w:pPr>
      <w:r>
        <w:rPr>
          <w:rFonts w:ascii="Times" w:hAnsi="Times"/>
          <w:sz w:val="24"/>
        </w:rPr>
        <w:t>Military Group Quarter</w:t>
      </w:r>
    </w:p>
    <w:p w:rsidR="00B31759" w:rsidP="00B31759" w14:paraId="6A765167" w14:textId="77777777">
      <w:pPr>
        <w:rPr>
          <w:rFonts w:ascii="Times" w:hAnsi="Times"/>
          <w:sz w:val="24"/>
        </w:rPr>
      </w:pPr>
    </w:p>
    <w:p w:rsidR="00A52414" w:rsidP="006321D1" w14:paraId="1019CFA2" w14:textId="3E1A2CC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C22A3">
        <w:rPr>
          <w:b/>
          <w:color w:val="000000"/>
          <w:sz w:val="24"/>
          <w:szCs w:val="24"/>
        </w:rPr>
        <w:t>Timeline</w:t>
      </w:r>
      <w:r w:rsidRPr="009C22A3">
        <w:rPr>
          <w:color w:val="000000"/>
          <w:sz w:val="24"/>
          <w:szCs w:val="24"/>
        </w:rPr>
        <w:t xml:space="preserve">: </w:t>
      </w:r>
      <w:r w:rsidR="00D241FA">
        <w:rPr>
          <w:color w:val="000000"/>
          <w:sz w:val="24"/>
          <w:szCs w:val="24"/>
        </w:rPr>
        <w:t xml:space="preserve">We plan to </w:t>
      </w:r>
      <w:r w:rsidR="00E96552">
        <w:rPr>
          <w:color w:val="000000"/>
          <w:sz w:val="24"/>
          <w:szCs w:val="24"/>
        </w:rPr>
        <w:t xml:space="preserve">conduct the focus groups </w:t>
      </w:r>
      <w:r w:rsidR="00612A8E">
        <w:rPr>
          <w:color w:val="000000"/>
          <w:sz w:val="24"/>
          <w:szCs w:val="24"/>
        </w:rPr>
        <w:t>in the fall of 2023</w:t>
      </w:r>
      <w:r w:rsidR="00E96552">
        <w:rPr>
          <w:color w:val="000000"/>
          <w:sz w:val="24"/>
          <w:szCs w:val="24"/>
        </w:rPr>
        <w:t>.</w:t>
      </w:r>
    </w:p>
    <w:p w:rsidR="00A52414" w:rsidP="006321D1" w14:paraId="493F288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6321D1" w:rsidP="006321D1" w14:paraId="1702C978" w14:textId="4C2F2434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Language</w:t>
      </w:r>
      <w:r>
        <w:rPr>
          <w:color w:val="000000"/>
          <w:sz w:val="24"/>
          <w:szCs w:val="24"/>
        </w:rPr>
        <w:t xml:space="preserve">: </w:t>
      </w:r>
      <w:r w:rsidR="007D1AA0">
        <w:rPr>
          <w:color w:val="000000"/>
          <w:sz w:val="24"/>
          <w:szCs w:val="24"/>
        </w:rPr>
        <w:t>No change. The focus group will be in English only.</w:t>
      </w:r>
    </w:p>
    <w:p w:rsidR="00DC4966" w:rsidRPr="00DC4966" w:rsidP="008D0E72" w14:paraId="60F7AED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1E01C8" w:rsidP="008067ED" w14:paraId="71C8D752" w14:textId="27988FF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</w:rPr>
        <w:t xml:space="preserve">Focus Group </w:t>
      </w:r>
      <w:r w:rsidR="008067ED">
        <w:rPr>
          <w:b/>
        </w:rPr>
        <w:t>Administration</w:t>
      </w:r>
      <w:r w:rsidRPr="00F16E86" w:rsidR="008067ED">
        <w:rPr>
          <w:b/>
        </w:rPr>
        <w:t>:</w:t>
      </w:r>
      <w:r w:rsidRPr="00F16E86" w:rsidR="008067ED">
        <w:t xml:space="preserve"> </w:t>
      </w:r>
      <w:r w:rsidR="007D1AA0">
        <w:t xml:space="preserve">No change. </w:t>
      </w:r>
      <w:r w:rsidR="007D1AA0">
        <w:rPr>
          <w:color w:val="000000"/>
        </w:rPr>
        <w:t>The protocol and administration is the same.</w:t>
      </w:r>
    </w:p>
    <w:p w:rsidR="00904877" w:rsidP="008D0E72" w14:paraId="646F44A9" w14:textId="00177FC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8A4D78" w:rsidP="00A4772B" w14:paraId="62910372" w14:textId="0344849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E31223">
        <w:rPr>
          <w:b/>
          <w:color w:val="000000"/>
          <w:sz w:val="24"/>
          <w:szCs w:val="24"/>
        </w:rPr>
        <w:t>Sample</w:t>
      </w:r>
      <w:r w:rsidRPr="00E31223">
        <w:rPr>
          <w:color w:val="000000"/>
          <w:sz w:val="24"/>
          <w:szCs w:val="24"/>
        </w:rPr>
        <w:t xml:space="preserve">: </w:t>
      </w:r>
      <w:r w:rsidR="00275D51">
        <w:rPr>
          <w:color w:val="000000"/>
          <w:sz w:val="24"/>
          <w:szCs w:val="24"/>
        </w:rPr>
        <w:t xml:space="preserve">We will conduct </w:t>
      </w:r>
      <w:r w:rsidR="007D1AA0">
        <w:rPr>
          <w:color w:val="000000"/>
          <w:sz w:val="24"/>
          <w:szCs w:val="24"/>
        </w:rPr>
        <w:t xml:space="preserve">two </w:t>
      </w:r>
      <w:r w:rsidR="00E96552">
        <w:rPr>
          <w:color w:val="000000"/>
          <w:sz w:val="24"/>
          <w:szCs w:val="24"/>
        </w:rPr>
        <w:t xml:space="preserve">focus groups with </w:t>
      </w:r>
      <w:r w:rsidR="007D1AA0">
        <w:rPr>
          <w:color w:val="000000"/>
          <w:sz w:val="24"/>
          <w:szCs w:val="24"/>
        </w:rPr>
        <w:t>eight to 10</w:t>
      </w:r>
      <w:r w:rsidR="00E96552">
        <w:rPr>
          <w:color w:val="000000"/>
          <w:sz w:val="24"/>
          <w:szCs w:val="24"/>
        </w:rPr>
        <w:t xml:space="preserve"> GQ administrators</w:t>
      </w:r>
      <w:r>
        <w:rPr>
          <w:color w:val="000000"/>
          <w:sz w:val="24"/>
          <w:szCs w:val="24"/>
        </w:rPr>
        <w:t xml:space="preserve"> in each focus group.</w:t>
      </w:r>
      <w:r w:rsidR="00985818">
        <w:rPr>
          <w:color w:val="000000"/>
          <w:sz w:val="24"/>
          <w:szCs w:val="24"/>
        </w:rPr>
        <w:t xml:space="preserve"> </w:t>
      </w:r>
      <w:r w:rsidR="00A4546B">
        <w:rPr>
          <w:color w:val="000000"/>
          <w:sz w:val="24"/>
          <w:szCs w:val="24"/>
        </w:rPr>
        <w:t xml:space="preserve">This is an opt-in sample. </w:t>
      </w:r>
    </w:p>
    <w:p w:rsidR="00547949" w:rsidP="00A4772B" w14:paraId="366173F4" w14:textId="2ED2635D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</w:t>
      </w:r>
      <w:r w:rsidR="008A4D78">
        <w:rPr>
          <w:color w:val="000000"/>
          <w:sz w:val="24"/>
          <w:szCs w:val="24"/>
        </w:rPr>
        <w:t xml:space="preserve">possible </w:t>
      </w:r>
      <w:r w:rsidR="005F71D6">
        <w:rPr>
          <w:color w:val="000000"/>
          <w:sz w:val="24"/>
          <w:szCs w:val="24"/>
        </w:rPr>
        <w:t xml:space="preserve">in-scope GQ types </w:t>
      </w:r>
      <w:r w:rsidR="008A4D78">
        <w:rPr>
          <w:color w:val="000000"/>
          <w:sz w:val="24"/>
          <w:szCs w:val="24"/>
        </w:rPr>
        <w:t>and number of participants</w:t>
      </w:r>
      <w:r>
        <w:rPr>
          <w:color w:val="000000"/>
          <w:sz w:val="24"/>
          <w:szCs w:val="24"/>
        </w:rPr>
        <w:t xml:space="preserve"> are listed in </w:t>
      </w:r>
      <w:r w:rsidR="006810C8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able </w:t>
      </w:r>
      <w:r w:rsidR="006810C8">
        <w:rPr>
          <w:color w:val="000000"/>
          <w:sz w:val="24"/>
          <w:szCs w:val="24"/>
        </w:rPr>
        <w:t xml:space="preserve">1 </w:t>
      </w:r>
      <w:r>
        <w:rPr>
          <w:color w:val="000000"/>
          <w:sz w:val="24"/>
          <w:szCs w:val="24"/>
        </w:rPr>
        <w:t>below.</w:t>
      </w:r>
    </w:p>
    <w:p w:rsidR="006810C8" w:rsidP="00A4772B" w14:paraId="38917473" w14:textId="4917E25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547949" w:rsidP="00A4772B" w14:paraId="7603F003" w14:textId="61A3444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Table 1: GQ types and </w:t>
      </w:r>
      <w:r w:rsidR="008A4D78">
        <w:rPr>
          <w:color w:val="000000"/>
          <w:sz w:val="24"/>
          <w:szCs w:val="24"/>
        </w:rPr>
        <w:t>participant numbers</w:t>
      </w:r>
      <w:r>
        <w:rPr>
          <w:color w:val="000000"/>
          <w:sz w:val="24"/>
          <w:szCs w:val="24"/>
        </w:rPr>
        <w:t xml:space="preserve"> for the </w:t>
      </w:r>
      <w:r w:rsidR="001F4B8A">
        <w:rPr>
          <w:color w:val="000000"/>
          <w:sz w:val="24"/>
          <w:szCs w:val="24"/>
        </w:rPr>
        <w:t>focus groups</w:t>
      </w:r>
    </w:p>
    <w:tbl>
      <w:tblPr>
        <w:tblW w:w="77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44" w:type="dxa"/>
        </w:tblCellMar>
        <w:tblLook w:val="04A0"/>
      </w:tblPr>
      <w:tblGrid>
        <w:gridCol w:w="6187"/>
        <w:gridCol w:w="1566"/>
      </w:tblGrid>
      <w:tr w14:paraId="0E4B4753" w14:textId="77777777" w:rsidTr="00A45FFE">
        <w:tblPrEx>
          <w:tblW w:w="7753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rPr>
          <w:trHeight w:val="278"/>
        </w:trPr>
        <w:tc>
          <w:tcPr>
            <w:tcW w:w="61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949" w:rsidRPr="009422A1" w:rsidP="00433D3A" w14:paraId="43BDEDF4" w14:textId="78FA2A7C">
            <w:pPr>
              <w:pStyle w:val="CommentText"/>
              <w:rPr>
                <w:rStyle w:val="xcontentpasted2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422A1">
              <w:rPr>
                <w:rStyle w:val="xcontentpasted2"/>
                <w:b/>
                <w:bCs/>
                <w:sz w:val="24"/>
                <w:szCs w:val="24"/>
                <w:bdr w:val="none" w:sz="0" w:space="0" w:color="auto" w:frame="1"/>
              </w:rPr>
              <w:t xml:space="preserve">GQ </w:t>
            </w:r>
            <w:r w:rsidR="008A4D78">
              <w:rPr>
                <w:rStyle w:val="xcontentpasted2"/>
                <w:b/>
                <w:bCs/>
                <w:sz w:val="24"/>
                <w:szCs w:val="24"/>
                <w:bdr w:val="none" w:sz="0" w:space="0" w:color="auto" w:frame="1"/>
              </w:rPr>
              <w:t>f</w:t>
            </w:r>
            <w:r w:rsidRPr="00A45FFE" w:rsidR="008A4D78">
              <w:rPr>
                <w:rStyle w:val="xcontentpasted2"/>
                <w:b/>
                <w:bCs/>
                <w:sz w:val="24"/>
                <w:szCs w:val="24"/>
                <w:bdr w:val="none" w:sz="0" w:space="0" w:color="auto" w:frame="1"/>
              </w:rPr>
              <w:t xml:space="preserve">ocus group </w:t>
            </w:r>
            <w:r w:rsidRPr="009422A1">
              <w:rPr>
                <w:rStyle w:val="xcontentpasted2"/>
                <w:b/>
                <w:bCs/>
                <w:sz w:val="24"/>
                <w:szCs w:val="24"/>
                <w:bdr w:val="none" w:sz="0" w:space="0" w:color="auto" w:frame="1"/>
              </w:rPr>
              <w:t>type</w:t>
            </w:r>
            <w:r w:rsidR="008A4D78">
              <w:rPr>
                <w:rStyle w:val="xcontentpasted2"/>
                <w:b/>
                <w:bCs/>
                <w:sz w:val="24"/>
                <w:szCs w:val="24"/>
                <w:bdr w:val="none" w:sz="0" w:space="0" w:color="auto" w:frame="1"/>
              </w:rPr>
              <w:t>s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7949" w:rsidRPr="009422A1" w:rsidP="00433D3A" w14:paraId="685E8CC5" w14:textId="7BE840B2">
            <w:pPr>
              <w:pStyle w:val="CommentText"/>
              <w:rPr>
                <w:rStyle w:val="xcontentpasted2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45FFE">
              <w:rPr>
                <w:rStyle w:val="xcontentpasted2"/>
                <w:b/>
                <w:bCs/>
                <w:sz w:val="24"/>
                <w:szCs w:val="24"/>
                <w:bdr w:val="none" w:sz="0" w:space="0" w:color="auto" w:frame="1"/>
              </w:rPr>
              <w:t>Number of participants</w:t>
            </w:r>
          </w:p>
        </w:tc>
      </w:tr>
      <w:tr w14:paraId="0C0B00BE" w14:textId="20EDF10A" w:rsidTr="00A45FFE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c>
          <w:tcPr>
            <w:tcW w:w="6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8E" w:rsidRPr="00A647C1" w:rsidP="00612A8E" w14:paraId="0EDB3EF5" w14:textId="4384F435">
            <w:pPr>
              <w:rPr>
                <w:sz w:val="24"/>
                <w:szCs w:val="24"/>
              </w:rPr>
            </w:pPr>
            <w:r w:rsidRPr="00A647C1">
              <w:rPr>
                <w:sz w:val="24"/>
                <w:szCs w:val="24"/>
              </w:rPr>
              <w:t>Workers’ Group Living Quarters and Job Corps Centers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A8E" w:rsidRPr="009422A1" w:rsidP="00612A8E" w14:paraId="6344D3AA" w14:textId="3CA9FB86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14:paraId="63550200" w14:textId="62790216" w:rsidTr="00A45FFE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c>
          <w:tcPr>
            <w:tcW w:w="6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552" w:rsidRPr="00A647C1" w:rsidP="00E96552" w14:paraId="2A6AEEB9" w14:textId="1AA3A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Military Group Quarter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552" w:rsidRPr="009422A1" w:rsidP="00E96552" w14:paraId="57520452" w14:textId="40C30E27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14:paraId="2413F47E" w14:textId="77777777" w:rsidTr="00A45FFE">
        <w:tblPrEx>
          <w:tblW w:w="7753" w:type="dxa"/>
          <w:tblInd w:w="5" w:type="dxa"/>
          <w:shd w:val="clear" w:color="auto" w:fill="FFFFFF"/>
          <w:tblCellMar>
            <w:top w:w="15" w:type="dxa"/>
            <w:left w:w="15" w:type="dxa"/>
            <w:bottom w:w="15" w:type="dxa"/>
            <w:right w:w="144" w:type="dxa"/>
          </w:tblCellMar>
          <w:tblLook w:val="04A0"/>
        </w:tblPrEx>
        <w:tc>
          <w:tcPr>
            <w:tcW w:w="6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552" w:rsidRPr="009422A1" w:rsidP="00E96552" w14:paraId="1717BC28" w14:textId="2B6520A2">
            <w:pPr>
              <w:rPr>
                <w:b/>
                <w:bCs/>
                <w:sz w:val="24"/>
                <w:szCs w:val="24"/>
              </w:rPr>
            </w:pPr>
            <w:r w:rsidRPr="009422A1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E96552" w:rsidRPr="00A647C1" w:rsidP="00E96552" w14:paraId="049A073A" w14:textId="4B79A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A52414" w:rsidP="00DC4966" w14:paraId="5F46AB90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612A8E" w:rsidP="00A4546B" w14:paraId="19F64E48" w14:textId="6BE1D3E3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A45FFE">
        <w:rPr>
          <w:b/>
          <w:color w:val="000000"/>
          <w:sz w:val="24"/>
          <w:szCs w:val="24"/>
        </w:rPr>
        <w:t>Recruitment</w:t>
      </w:r>
      <w:r w:rsidRPr="00E31223">
        <w:rPr>
          <w:color w:val="000000"/>
        </w:rPr>
        <w:t xml:space="preserve">: </w:t>
      </w:r>
      <w:r w:rsidR="00A4546B">
        <w:rPr>
          <w:color w:val="000000"/>
          <w:sz w:val="24"/>
          <w:szCs w:val="24"/>
        </w:rPr>
        <w:t xml:space="preserve">We will recruit participants </w:t>
      </w:r>
      <w:r>
        <w:rPr>
          <w:color w:val="000000"/>
          <w:sz w:val="24"/>
          <w:szCs w:val="24"/>
        </w:rPr>
        <w:t xml:space="preserve">through contacts the Census Bureau staff have made with Job Corp groups and military groups. </w:t>
      </w:r>
      <w:r w:rsidR="007D1AA0">
        <w:rPr>
          <w:color w:val="000000"/>
          <w:sz w:val="24"/>
          <w:szCs w:val="24"/>
        </w:rPr>
        <w:t>Initial calls will be made to gauge interest and then a save the date email will be sent with the consent form.</w:t>
      </w:r>
    </w:p>
    <w:p w:rsidR="00DC4966" w:rsidP="00DC4966" w14:paraId="23FFB332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5678A0" w:rsidRPr="00D501CC" w:rsidP="005678A0" w14:paraId="18280830" w14:textId="6264708F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Incentive</w:t>
      </w:r>
      <w:r>
        <w:rPr>
          <w:color w:val="000000"/>
        </w:rPr>
        <w:t xml:space="preserve">: </w:t>
      </w:r>
      <w:r w:rsidR="007D1AA0">
        <w:rPr>
          <w:color w:val="000000"/>
        </w:rPr>
        <w:t xml:space="preserve">No change. </w:t>
      </w:r>
      <w:r w:rsidR="00DD5ABA">
        <w:rPr>
          <w:color w:val="000000"/>
        </w:rPr>
        <w:t xml:space="preserve">Participants will not be provided an incentive for their participation in </w:t>
      </w:r>
      <w:r w:rsidR="00601B45">
        <w:rPr>
          <w:color w:val="000000"/>
        </w:rPr>
        <w:t>the</w:t>
      </w:r>
      <w:r w:rsidR="00DD5ABA">
        <w:rPr>
          <w:color w:val="000000"/>
        </w:rPr>
        <w:t xml:space="preserve"> </w:t>
      </w:r>
      <w:r w:rsidR="003147E9">
        <w:rPr>
          <w:color w:val="000000"/>
        </w:rPr>
        <w:t>focus group.</w:t>
      </w:r>
    </w:p>
    <w:p w:rsidR="008F7F56" w:rsidP="008F7F56" w14:paraId="6DA4EAA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6810C8" w:rsidP="006810C8" w14:paraId="73FBA660" w14:textId="0AFFBF5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Burden hours</w:t>
      </w:r>
      <w:r w:rsidR="00A52414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We estimate that recruiting telephone calls </w:t>
      </w:r>
      <w:r w:rsidR="003147E9">
        <w:rPr>
          <w:color w:val="000000"/>
          <w:sz w:val="24"/>
          <w:szCs w:val="24"/>
        </w:rPr>
        <w:t>and email to schedule participants</w:t>
      </w:r>
      <w:r w:rsidR="007A768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will take up to 3 minutes each</w:t>
      </w:r>
      <w:r w:rsidR="003147E9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We estimate that the </w:t>
      </w:r>
      <w:r w:rsidR="003147E9">
        <w:rPr>
          <w:color w:val="000000"/>
          <w:sz w:val="24"/>
          <w:szCs w:val="24"/>
        </w:rPr>
        <w:t xml:space="preserve">focus group </w:t>
      </w:r>
      <w:r>
        <w:rPr>
          <w:color w:val="000000"/>
          <w:sz w:val="24"/>
          <w:szCs w:val="24"/>
        </w:rPr>
        <w:t xml:space="preserve">will take </w:t>
      </w:r>
      <w:r w:rsidR="003147E9">
        <w:rPr>
          <w:color w:val="000000"/>
          <w:sz w:val="24"/>
          <w:szCs w:val="24"/>
        </w:rPr>
        <w:t>90</w:t>
      </w:r>
      <w:r>
        <w:rPr>
          <w:color w:val="000000"/>
          <w:sz w:val="24"/>
          <w:szCs w:val="24"/>
        </w:rPr>
        <w:t xml:space="preserve"> minutes. </w:t>
      </w:r>
    </w:p>
    <w:p w:rsidR="00AD79AD" w:rsidP="006810C8" w14:paraId="0A32CCA9" w14:textId="59E21AC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F9530E" w:rsidP="006810C8" w14:paraId="522A24A6" w14:textId="5508998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burden associated with specific tasks is summarized in Table 2. We estimate the total burden for this study to be </w:t>
      </w:r>
      <w:r w:rsidR="00A66AF3">
        <w:rPr>
          <w:color w:val="000000"/>
          <w:sz w:val="24"/>
          <w:szCs w:val="24"/>
        </w:rPr>
        <w:t>28.8</w:t>
      </w:r>
      <w:r>
        <w:rPr>
          <w:color w:val="000000"/>
          <w:sz w:val="24"/>
          <w:szCs w:val="24"/>
        </w:rPr>
        <w:t xml:space="preserve"> hours.</w:t>
      </w:r>
    </w:p>
    <w:p w:rsidR="006810C8" w:rsidP="00593D86" w14:paraId="3B84C564" w14:textId="47FF49F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6810C8" w:rsidP="00593D86" w14:paraId="27C6253C" w14:textId="771477F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Table 2: Description of burden hours by task</w:t>
      </w:r>
    </w:p>
    <w:tbl>
      <w:tblPr>
        <w:tblStyle w:val="TableGrid"/>
        <w:tblW w:w="0" w:type="auto"/>
        <w:tblLook w:val="04A0"/>
      </w:tblPr>
      <w:tblGrid>
        <w:gridCol w:w="1998"/>
        <w:gridCol w:w="2430"/>
        <w:gridCol w:w="1980"/>
        <w:gridCol w:w="2610"/>
      </w:tblGrid>
      <w:tr w14:paraId="20D6C083" w14:textId="77777777" w:rsidTr="007A768E">
        <w:tblPrEx>
          <w:tblW w:w="0" w:type="auto"/>
          <w:tblLook w:val="04A0"/>
        </w:tblPrEx>
        <w:tc>
          <w:tcPr>
            <w:tcW w:w="1998" w:type="dxa"/>
          </w:tcPr>
          <w:p w:rsidR="00845B39" w:rsidP="00593D86" w14:paraId="00A2B5A2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845B39" w:rsidP="00593D86" w14:paraId="7D1EB57B" w14:textId="6EB9CC92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Number of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articipants</w:t>
            </w:r>
          </w:p>
        </w:tc>
        <w:tc>
          <w:tcPr>
            <w:tcW w:w="1980" w:type="dxa"/>
          </w:tcPr>
          <w:p w:rsidR="00845B39" w:rsidP="00593D86" w14:paraId="1E252147" w14:textId="2116E1C5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Participation time</w:t>
            </w:r>
          </w:p>
        </w:tc>
        <w:tc>
          <w:tcPr>
            <w:tcW w:w="2610" w:type="dxa"/>
          </w:tcPr>
          <w:p w:rsidR="00845B39" w:rsidP="00593D86" w14:paraId="117A6DE6" w14:textId="439F62B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 burden hours</w:t>
            </w:r>
          </w:p>
        </w:tc>
      </w:tr>
      <w:tr w14:paraId="7BA73838" w14:textId="77777777" w:rsidTr="007A768E">
        <w:tblPrEx>
          <w:tblW w:w="0" w:type="auto"/>
          <w:tblLook w:val="04A0"/>
        </w:tblPrEx>
        <w:tc>
          <w:tcPr>
            <w:tcW w:w="1998" w:type="dxa"/>
          </w:tcPr>
          <w:p w:rsidR="00845B39" w:rsidP="00593D86" w14:paraId="1A5D3681" w14:textId="49A97A9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Recruiting calls </w:t>
            </w:r>
            <w:r w:rsidR="000C43A0">
              <w:rPr>
                <w:color w:val="000000"/>
                <w:sz w:val="24"/>
                <w:szCs w:val="24"/>
              </w:rPr>
              <w:t xml:space="preserve">/emails </w:t>
            </w:r>
            <w:r>
              <w:rPr>
                <w:color w:val="000000"/>
                <w:sz w:val="24"/>
                <w:szCs w:val="24"/>
              </w:rPr>
              <w:t xml:space="preserve">for </w:t>
            </w:r>
            <w:r w:rsidR="000C43A0">
              <w:rPr>
                <w:color w:val="000000"/>
                <w:sz w:val="24"/>
                <w:szCs w:val="24"/>
              </w:rPr>
              <w:t>focus groups</w:t>
            </w:r>
          </w:p>
        </w:tc>
        <w:tc>
          <w:tcPr>
            <w:tcW w:w="2430" w:type="dxa"/>
          </w:tcPr>
          <w:p w:rsidR="00845B39" w:rsidP="00593D86" w14:paraId="0500B9E6" w14:textId="1FF5A65B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0" w:type="dxa"/>
          </w:tcPr>
          <w:p w:rsidR="00845B39" w:rsidP="00593D86" w14:paraId="07E86787" w14:textId="4CF16F5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845B39" w:rsidP="00593D86" w14:paraId="79D857A4" w14:textId="1E3553AA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 minutes</w:t>
            </w:r>
          </w:p>
        </w:tc>
      </w:tr>
      <w:tr w14:paraId="55BCD3DB" w14:textId="77777777" w:rsidTr="007A768E">
        <w:tblPrEx>
          <w:tblW w:w="0" w:type="auto"/>
          <w:tblLook w:val="04A0"/>
        </w:tblPrEx>
        <w:tc>
          <w:tcPr>
            <w:tcW w:w="1998" w:type="dxa"/>
          </w:tcPr>
          <w:p w:rsidR="00845B39" w:rsidP="00593D86" w14:paraId="7A4683A3" w14:textId="6C4A64F1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Focus group</w:t>
            </w:r>
          </w:p>
        </w:tc>
        <w:tc>
          <w:tcPr>
            <w:tcW w:w="2430" w:type="dxa"/>
          </w:tcPr>
          <w:p w:rsidR="00845B39" w:rsidP="00593D86" w14:paraId="7E350490" w14:textId="66C81816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:rsidR="00845B39" w:rsidP="00593D86" w14:paraId="52FD0E5C" w14:textId="513BD0EF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610" w:type="dxa"/>
          </w:tcPr>
          <w:p w:rsidR="00845B39" w:rsidP="00593D86" w14:paraId="511CB79D" w14:textId="7F5DBBFF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1,620</w:t>
            </w:r>
            <w:r>
              <w:rPr>
                <w:color w:val="000000"/>
                <w:sz w:val="24"/>
                <w:szCs w:val="24"/>
              </w:rPr>
              <w:t xml:space="preserve"> min</w:t>
            </w:r>
          </w:p>
        </w:tc>
      </w:tr>
      <w:tr w14:paraId="797F0935" w14:textId="77777777" w:rsidTr="007A768E">
        <w:tblPrEx>
          <w:tblW w:w="0" w:type="auto"/>
          <w:tblLook w:val="04A0"/>
        </w:tblPrEx>
        <w:tc>
          <w:tcPr>
            <w:tcW w:w="1998" w:type="dxa"/>
          </w:tcPr>
          <w:p w:rsidR="00845B39" w:rsidP="00593D86" w14:paraId="21FBA119" w14:textId="0932B25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 burden</w:t>
            </w:r>
          </w:p>
        </w:tc>
        <w:tc>
          <w:tcPr>
            <w:tcW w:w="2430" w:type="dxa"/>
          </w:tcPr>
          <w:p w:rsidR="00845B39" w:rsidP="00593D86" w14:paraId="4D5FFE3E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5B39" w:rsidP="00593D86" w14:paraId="76A97945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</w:tcPr>
          <w:p w:rsidR="00845B39" w:rsidP="00593D86" w14:paraId="5E9E49B8" w14:textId="406E323B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1,728</w:t>
            </w:r>
            <w:r>
              <w:rPr>
                <w:color w:val="000000"/>
                <w:sz w:val="24"/>
                <w:szCs w:val="24"/>
              </w:rPr>
              <w:t xml:space="preserve"> min or </w:t>
            </w:r>
            <w:r>
              <w:rPr>
                <w:b/>
                <w:bCs/>
                <w:color w:val="000000"/>
                <w:sz w:val="24"/>
                <w:szCs w:val="24"/>
              </w:rPr>
              <w:t>28.8</w:t>
            </w:r>
            <w:r w:rsidRPr="007A768E">
              <w:rPr>
                <w:b/>
                <w:bCs/>
                <w:color w:val="000000"/>
                <w:sz w:val="24"/>
                <w:szCs w:val="24"/>
              </w:rPr>
              <w:t xml:space="preserve"> hours</w:t>
            </w:r>
          </w:p>
        </w:tc>
      </w:tr>
    </w:tbl>
    <w:p w:rsidR="000B645B" w:rsidP="00593D86" w14:paraId="59B77BF0" w14:textId="6F1A933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0B645B" w:rsidP="00593D86" w14:paraId="5B08C27E" w14:textId="7A1A491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833F23" w:rsidRPr="008729CF" w:rsidP="00833F23" w14:paraId="7D9EBD85" w14:textId="496E103E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The</w:t>
      </w:r>
      <w:r w:rsidRPr="008729CF">
        <w:rPr>
          <w:rFonts w:ascii="Times" w:hAnsi="Times"/>
          <w:sz w:val="24"/>
        </w:rPr>
        <w:t xml:space="preserve"> materials to be used in the current study</w:t>
      </w:r>
      <w:r>
        <w:rPr>
          <w:rFonts w:ascii="Times" w:hAnsi="Times"/>
          <w:sz w:val="24"/>
        </w:rPr>
        <w:t xml:space="preserve"> are listed below</w:t>
      </w:r>
      <w:r w:rsidR="008067ED">
        <w:rPr>
          <w:rFonts w:ascii="Times" w:hAnsi="Times"/>
          <w:sz w:val="24"/>
        </w:rPr>
        <w:t>:</w:t>
      </w:r>
      <w:r w:rsidRPr="008729CF">
        <w:rPr>
          <w:rFonts w:ascii="Times" w:hAnsi="Times"/>
          <w:sz w:val="24"/>
        </w:rPr>
        <w:t xml:space="preserve"> </w:t>
      </w:r>
    </w:p>
    <w:p w:rsidR="00833F23" w:rsidRPr="008729CF" w:rsidP="00833F23" w14:paraId="4DD989A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F9530E" w:rsidP="00F9530E" w14:paraId="0EED6FA5" w14:textId="67C447F3">
      <w:pPr>
        <w:shd w:val="clear" w:color="auto" w:fill="FFFFFF"/>
        <w:autoSpaceDE/>
        <w:autoSpaceDN/>
        <w:adjustRightInd/>
        <w:ind w:left="360"/>
        <w:rPr>
          <w:color w:val="000000"/>
          <w:sz w:val="24"/>
          <w:szCs w:val="24"/>
        </w:rPr>
      </w:pPr>
      <w:r w:rsidRPr="008729CF">
        <w:rPr>
          <w:color w:val="000000"/>
          <w:sz w:val="24"/>
          <w:szCs w:val="24"/>
        </w:rPr>
        <w:t xml:space="preserve">Enclosure </w:t>
      </w:r>
      <w:r>
        <w:rPr>
          <w:color w:val="000000"/>
          <w:sz w:val="24"/>
          <w:szCs w:val="24"/>
        </w:rPr>
        <w:t xml:space="preserve">1: </w:t>
      </w:r>
      <w:r w:rsidR="00062243">
        <w:rPr>
          <w:color w:val="000000"/>
          <w:sz w:val="24"/>
          <w:szCs w:val="24"/>
        </w:rPr>
        <w:t>Save the date</w:t>
      </w:r>
      <w:r w:rsidR="00A66AF3">
        <w:rPr>
          <w:color w:val="000000"/>
          <w:sz w:val="24"/>
          <w:szCs w:val="24"/>
        </w:rPr>
        <w:t xml:space="preserve"> email (new)</w:t>
      </w:r>
    </w:p>
    <w:p w:rsidR="00833F23" w:rsidP="000B645B" w14:paraId="2D82D311" w14:textId="3FBECEB3">
      <w:pPr>
        <w:shd w:val="clear" w:color="auto" w:fill="FFFFFF"/>
        <w:autoSpaceDE/>
        <w:autoSpaceDN/>
        <w:adjustRightInd/>
        <w:ind w:left="360"/>
        <w:rPr>
          <w:color w:val="000000"/>
          <w:sz w:val="24"/>
          <w:szCs w:val="24"/>
        </w:rPr>
      </w:pPr>
      <w:r w:rsidRPr="008729CF">
        <w:rPr>
          <w:color w:val="000000"/>
          <w:sz w:val="24"/>
          <w:szCs w:val="24"/>
        </w:rPr>
        <w:t xml:space="preserve">Enclosure </w:t>
      </w:r>
      <w:r w:rsidR="00F9530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: </w:t>
      </w:r>
      <w:r w:rsidR="003147E9">
        <w:rPr>
          <w:color w:val="000000"/>
          <w:sz w:val="24"/>
          <w:szCs w:val="24"/>
        </w:rPr>
        <w:t>Consent form</w:t>
      </w:r>
      <w:r w:rsidR="00BB3692">
        <w:rPr>
          <w:color w:val="000000"/>
          <w:sz w:val="24"/>
          <w:szCs w:val="24"/>
        </w:rPr>
        <w:t xml:space="preserve"> </w:t>
      </w:r>
      <w:r w:rsidR="00A66AF3">
        <w:rPr>
          <w:color w:val="000000"/>
          <w:sz w:val="24"/>
          <w:szCs w:val="24"/>
        </w:rPr>
        <w:t>(no change)</w:t>
      </w:r>
    </w:p>
    <w:p w:rsidR="000B645B" w:rsidRPr="008729CF" w:rsidP="000B645B" w14:paraId="72B14348" w14:textId="140626BB">
      <w:pPr>
        <w:shd w:val="clear" w:color="auto" w:fill="FFFFFF"/>
        <w:autoSpaceDE/>
        <w:autoSpaceDN/>
        <w:adjustRightInd/>
        <w:ind w:left="360"/>
        <w:rPr>
          <w:color w:val="000000"/>
          <w:sz w:val="24"/>
          <w:szCs w:val="24"/>
        </w:rPr>
      </w:pPr>
      <w:r w:rsidRPr="008729CF">
        <w:rPr>
          <w:color w:val="000000"/>
          <w:sz w:val="24"/>
          <w:szCs w:val="24"/>
        </w:rPr>
        <w:t xml:space="preserve">Enclosure </w:t>
      </w:r>
      <w:r w:rsidR="00406A1A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: </w:t>
      </w:r>
      <w:r w:rsidR="00406A1A">
        <w:rPr>
          <w:color w:val="000000"/>
          <w:sz w:val="24"/>
          <w:szCs w:val="24"/>
        </w:rPr>
        <w:t xml:space="preserve">Focus group </w:t>
      </w:r>
      <w:r w:rsidR="00F9530E">
        <w:rPr>
          <w:color w:val="000000"/>
          <w:sz w:val="24"/>
          <w:szCs w:val="24"/>
        </w:rPr>
        <w:t>moderator’s guide</w:t>
      </w:r>
      <w:r w:rsidR="00A66AF3">
        <w:rPr>
          <w:color w:val="000000"/>
          <w:sz w:val="24"/>
          <w:szCs w:val="24"/>
        </w:rPr>
        <w:t xml:space="preserve"> (no change)</w:t>
      </w:r>
    </w:p>
    <w:p w:rsidR="00833F23" w:rsidP="000B645B" w14:paraId="17998ADB" w14:textId="5C24FE9C">
      <w:pPr>
        <w:shd w:val="clear" w:color="auto" w:fill="FFFFFF"/>
        <w:autoSpaceDE/>
        <w:autoSpaceDN/>
        <w:adjustRightInd/>
        <w:ind w:left="360"/>
        <w:rPr>
          <w:color w:val="000000"/>
          <w:sz w:val="24"/>
          <w:szCs w:val="24"/>
        </w:rPr>
      </w:pPr>
      <w:r w:rsidRPr="008729CF">
        <w:rPr>
          <w:color w:val="000000"/>
          <w:sz w:val="24"/>
          <w:szCs w:val="24"/>
        </w:rPr>
        <w:t xml:space="preserve">Enclosure </w:t>
      </w:r>
      <w:r w:rsidR="00406A1A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: </w:t>
      </w:r>
      <w:r w:rsidR="00406A1A">
        <w:rPr>
          <w:color w:val="000000"/>
          <w:sz w:val="24"/>
          <w:szCs w:val="24"/>
        </w:rPr>
        <w:t>Screens to share during focus group</w:t>
      </w:r>
      <w:r w:rsidR="00A66AF3">
        <w:rPr>
          <w:color w:val="000000"/>
          <w:sz w:val="24"/>
          <w:szCs w:val="24"/>
        </w:rPr>
        <w:t xml:space="preserve"> (no change)</w:t>
      </w:r>
    </w:p>
    <w:p w:rsidR="000B645B" w:rsidP="000B645B" w14:paraId="50BC26D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FB6223" w:rsidP="00FB6223" w14:paraId="130CC73A" w14:textId="396CA24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:rsidR="00D2154F" w:rsidP="00FB6223" w14:paraId="6C43B5C3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D2154F" w:rsidP="00D2154F" w14:paraId="7CA0F4CB" w14:textId="5C67A0A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Elizabeth Nichols</w:t>
      </w:r>
    </w:p>
    <w:p w:rsidR="00D2154F" w:rsidP="00D2154F" w14:paraId="45DC12CC" w14:textId="575B983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Center for </w:t>
      </w:r>
      <w:r w:rsidR="009A6094">
        <w:rPr>
          <w:color w:val="000000"/>
          <w:sz w:val="24"/>
          <w:szCs w:val="24"/>
        </w:rPr>
        <w:t>Behavioral Science Methods</w:t>
      </w:r>
    </w:p>
    <w:p w:rsidR="00D2154F" w:rsidP="00D2154F" w14:paraId="26C9EA1D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U.S. Census Bureau </w:t>
      </w:r>
    </w:p>
    <w:p w:rsidR="00D2154F" w:rsidP="00D2154F" w14:paraId="2B271162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Washington, D.C. 20233</w:t>
      </w:r>
    </w:p>
    <w:p w:rsidR="00D2154F" w:rsidP="00D2154F" w14:paraId="14D2B4F2" w14:textId="0E8AC4C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(301) 763-</w:t>
      </w:r>
      <w:r w:rsidR="003147E9">
        <w:rPr>
          <w:color w:val="000000"/>
          <w:sz w:val="24"/>
          <w:szCs w:val="24"/>
        </w:rPr>
        <w:t>1724</w:t>
      </w:r>
    </w:p>
    <w:p w:rsidR="00D2154F" w:rsidP="00D2154F" w14:paraId="7274614E" w14:textId="7CAC53F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elizabeth.may.nichols</w:t>
      </w:r>
      <w:r w:rsidR="005B60C2">
        <w:rPr>
          <w:color w:val="000000"/>
          <w:sz w:val="24"/>
          <w:szCs w:val="24"/>
        </w:rPr>
        <w:t>@census.gov</w:t>
      </w:r>
    </w:p>
    <w:p w:rsidR="00D2154F" w14:paraId="75C5F2C8" w14:textId="77777777"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552E9D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4C90" w14:paraId="217A4552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6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21D1" w14:paraId="6AC231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75D6CB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49DB36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24BF73F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2C9336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172069"/>
    <w:multiLevelType w:val="hybridMultilevel"/>
    <w:tmpl w:val="20C0C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4466E"/>
    <w:multiLevelType w:val="hybridMultilevel"/>
    <w:tmpl w:val="EEE2EA4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9334D5"/>
    <w:multiLevelType w:val="hybridMultilevel"/>
    <w:tmpl w:val="083C5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912AC"/>
    <w:multiLevelType w:val="hybridMultilevel"/>
    <w:tmpl w:val="E6341B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187CA4"/>
    <w:multiLevelType w:val="hybridMultilevel"/>
    <w:tmpl w:val="4BBE1A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826130">
    <w:abstractNumId w:val="2"/>
  </w:num>
  <w:num w:numId="2" w16cid:durableId="925259932">
    <w:abstractNumId w:val="2"/>
  </w:num>
  <w:num w:numId="3" w16cid:durableId="2029984839">
    <w:abstractNumId w:val="2"/>
  </w:num>
  <w:num w:numId="4" w16cid:durableId="1327127955">
    <w:abstractNumId w:val="2"/>
  </w:num>
  <w:num w:numId="5" w16cid:durableId="563413460">
    <w:abstractNumId w:val="2"/>
  </w:num>
  <w:num w:numId="6" w16cid:durableId="186330386">
    <w:abstractNumId w:val="2"/>
  </w:num>
  <w:num w:numId="7" w16cid:durableId="842553879">
    <w:abstractNumId w:val="2"/>
  </w:num>
  <w:num w:numId="8" w16cid:durableId="1749886303">
    <w:abstractNumId w:val="2"/>
  </w:num>
  <w:num w:numId="9" w16cid:durableId="508564074">
    <w:abstractNumId w:val="2"/>
  </w:num>
  <w:num w:numId="10" w16cid:durableId="2074354787">
    <w:abstractNumId w:val="0"/>
  </w:num>
  <w:num w:numId="11" w16cid:durableId="2130469672">
    <w:abstractNumId w:val="4"/>
  </w:num>
  <w:num w:numId="12" w16cid:durableId="1133894">
    <w:abstractNumId w:val="0"/>
  </w:num>
  <w:num w:numId="13" w16cid:durableId="2073581292">
    <w:abstractNumId w:val="3"/>
  </w:num>
  <w:num w:numId="14" w16cid:durableId="372075183">
    <w:abstractNumId w:val="1"/>
  </w:num>
  <w:num w:numId="15" w16cid:durableId="491872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56"/>
    <w:rsid w:val="00015E7B"/>
    <w:rsid w:val="0002338D"/>
    <w:rsid w:val="0003644D"/>
    <w:rsid w:val="00062243"/>
    <w:rsid w:val="00063EA4"/>
    <w:rsid w:val="00065B0B"/>
    <w:rsid w:val="000662AA"/>
    <w:rsid w:val="00067308"/>
    <w:rsid w:val="000915A5"/>
    <w:rsid w:val="000958CC"/>
    <w:rsid w:val="0009675A"/>
    <w:rsid w:val="000B2654"/>
    <w:rsid w:val="000B645B"/>
    <w:rsid w:val="000C2E69"/>
    <w:rsid w:val="000C43A0"/>
    <w:rsid w:val="000D3F1B"/>
    <w:rsid w:val="000F28A9"/>
    <w:rsid w:val="001029AE"/>
    <w:rsid w:val="00161EC2"/>
    <w:rsid w:val="0016648B"/>
    <w:rsid w:val="00177779"/>
    <w:rsid w:val="001A57E7"/>
    <w:rsid w:val="001B1537"/>
    <w:rsid w:val="001C7024"/>
    <w:rsid w:val="001E01C8"/>
    <w:rsid w:val="001F4B8A"/>
    <w:rsid w:val="00215556"/>
    <w:rsid w:val="002357E8"/>
    <w:rsid w:val="0027512E"/>
    <w:rsid w:val="00275D51"/>
    <w:rsid w:val="00281160"/>
    <w:rsid w:val="002971AB"/>
    <w:rsid w:val="002A5E94"/>
    <w:rsid w:val="002B60FA"/>
    <w:rsid w:val="002C0240"/>
    <w:rsid w:val="002C5585"/>
    <w:rsid w:val="002C6249"/>
    <w:rsid w:val="002D2371"/>
    <w:rsid w:val="002D6353"/>
    <w:rsid w:val="002E7E2B"/>
    <w:rsid w:val="002F5882"/>
    <w:rsid w:val="003147E9"/>
    <w:rsid w:val="00315D8F"/>
    <w:rsid w:val="00326C3D"/>
    <w:rsid w:val="003611F1"/>
    <w:rsid w:val="00372AAE"/>
    <w:rsid w:val="0039025E"/>
    <w:rsid w:val="00402F86"/>
    <w:rsid w:val="00406A1A"/>
    <w:rsid w:val="00433D3A"/>
    <w:rsid w:val="0045316E"/>
    <w:rsid w:val="00466B7B"/>
    <w:rsid w:val="004D3DFA"/>
    <w:rsid w:val="004D74CE"/>
    <w:rsid w:val="004F20AE"/>
    <w:rsid w:val="00532EC7"/>
    <w:rsid w:val="0054167F"/>
    <w:rsid w:val="00547949"/>
    <w:rsid w:val="00561FA8"/>
    <w:rsid w:val="005678A0"/>
    <w:rsid w:val="00567A43"/>
    <w:rsid w:val="00572590"/>
    <w:rsid w:val="00586123"/>
    <w:rsid w:val="00593D86"/>
    <w:rsid w:val="005B1129"/>
    <w:rsid w:val="005B60C2"/>
    <w:rsid w:val="005D38BD"/>
    <w:rsid w:val="005D64ED"/>
    <w:rsid w:val="005E07EC"/>
    <w:rsid w:val="005E429A"/>
    <w:rsid w:val="005F41CA"/>
    <w:rsid w:val="005F42D1"/>
    <w:rsid w:val="005F71D6"/>
    <w:rsid w:val="00601B45"/>
    <w:rsid w:val="00612A8E"/>
    <w:rsid w:val="00625734"/>
    <w:rsid w:val="006321D1"/>
    <w:rsid w:val="0066461F"/>
    <w:rsid w:val="006810C8"/>
    <w:rsid w:val="00686DD1"/>
    <w:rsid w:val="006C22C8"/>
    <w:rsid w:val="006D2847"/>
    <w:rsid w:val="006E7E11"/>
    <w:rsid w:val="00712150"/>
    <w:rsid w:val="007203A8"/>
    <w:rsid w:val="00732807"/>
    <w:rsid w:val="0077172F"/>
    <w:rsid w:val="007760E3"/>
    <w:rsid w:val="007869EA"/>
    <w:rsid w:val="007A768E"/>
    <w:rsid w:val="007B1A95"/>
    <w:rsid w:val="007B7959"/>
    <w:rsid w:val="007C374E"/>
    <w:rsid w:val="007D074C"/>
    <w:rsid w:val="007D1AA0"/>
    <w:rsid w:val="007D468D"/>
    <w:rsid w:val="00801471"/>
    <w:rsid w:val="00802335"/>
    <w:rsid w:val="008067ED"/>
    <w:rsid w:val="00815A21"/>
    <w:rsid w:val="00825309"/>
    <w:rsid w:val="00833F23"/>
    <w:rsid w:val="00844C7D"/>
    <w:rsid w:val="00845B39"/>
    <w:rsid w:val="008729CF"/>
    <w:rsid w:val="008766CA"/>
    <w:rsid w:val="00884A79"/>
    <w:rsid w:val="008A4D78"/>
    <w:rsid w:val="008B6BFF"/>
    <w:rsid w:val="008D0E72"/>
    <w:rsid w:val="008E3EB2"/>
    <w:rsid w:val="008F7F56"/>
    <w:rsid w:val="0090177C"/>
    <w:rsid w:val="00901829"/>
    <w:rsid w:val="00904877"/>
    <w:rsid w:val="00937751"/>
    <w:rsid w:val="009422A1"/>
    <w:rsid w:val="009742E9"/>
    <w:rsid w:val="0097650C"/>
    <w:rsid w:val="00985818"/>
    <w:rsid w:val="009A6094"/>
    <w:rsid w:val="009B6F58"/>
    <w:rsid w:val="009C22A3"/>
    <w:rsid w:val="009C476D"/>
    <w:rsid w:val="009F64C3"/>
    <w:rsid w:val="00A07775"/>
    <w:rsid w:val="00A123D4"/>
    <w:rsid w:val="00A14952"/>
    <w:rsid w:val="00A4546B"/>
    <w:rsid w:val="00A45FFE"/>
    <w:rsid w:val="00A4772B"/>
    <w:rsid w:val="00A52414"/>
    <w:rsid w:val="00A569EE"/>
    <w:rsid w:val="00A647C1"/>
    <w:rsid w:val="00A66AF3"/>
    <w:rsid w:val="00A85A2C"/>
    <w:rsid w:val="00AD79AD"/>
    <w:rsid w:val="00B01249"/>
    <w:rsid w:val="00B22036"/>
    <w:rsid w:val="00B31759"/>
    <w:rsid w:val="00B5695B"/>
    <w:rsid w:val="00B71ECD"/>
    <w:rsid w:val="00B9055E"/>
    <w:rsid w:val="00BA485E"/>
    <w:rsid w:val="00BB3692"/>
    <w:rsid w:val="00BE4268"/>
    <w:rsid w:val="00BE4A65"/>
    <w:rsid w:val="00BF5D09"/>
    <w:rsid w:val="00C16CE0"/>
    <w:rsid w:val="00C375A3"/>
    <w:rsid w:val="00C5302E"/>
    <w:rsid w:val="00C53D90"/>
    <w:rsid w:val="00C66DF2"/>
    <w:rsid w:val="00CA2E0E"/>
    <w:rsid w:val="00CB1A55"/>
    <w:rsid w:val="00CD01A9"/>
    <w:rsid w:val="00CF5252"/>
    <w:rsid w:val="00D001A9"/>
    <w:rsid w:val="00D2154F"/>
    <w:rsid w:val="00D241FA"/>
    <w:rsid w:val="00D251AE"/>
    <w:rsid w:val="00D501CC"/>
    <w:rsid w:val="00D5061E"/>
    <w:rsid w:val="00D775B9"/>
    <w:rsid w:val="00D87D75"/>
    <w:rsid w:val="00DA7423"/>
    <w:rsid w:val="00DC4966"/>
    <w:rsid w:val="00DD38FE"/>
    <w:rsid w:val="00DD5ABA"/>
    <w:rsid w:val="00DF72CD"/>
    <w:rsid w:val="00E0606C"/>
    <w:rsid w:val="00E165F0"/>
    <w:rsid w:val="00E26445"/>
    <w:rsid w:val="00E31223"/>
    <w:rsid w:val="00E32B8B"/>
    <w:rsid w:val="00E34C90"/>
    <w:rsid w:val="00E36DD4"/>
    <w:rsid w:val="00E43C9B"/>
    <w:rsid w:val="00E550DF"/>
    <w:rsid w:val="00E62A61"/>
    <w:rsid w:val="00E65A39"/>
    <w:rsid w:val="00E96552"/>
    <w:rsid w:val="00EA36F9"/>
    <w:rsid w:val="00EB74A3"/>
    <w:rsid w:val="00EC1E8E"/>
    <w:rsid w:val="00EC6745"/>
    <w:rsid w:val="00F16E86"/>
    <w:rsid w:val="00F17A4E"/>
    <w:rsid w:val="00F66212"/>
    <w:rsid w:val="00F673D0"/>
    <w:rsid w:val="00F9530E"/>
    <w:rsid w:val="00FA459E"/>
    <w:rsid w:val="00FB6223"/>
    <w:rsid w:val="00FB77D4"/>
    <w:rsid w:val="00FC0BD4"/>
    <w:rsid w:val="00FC0F3C"/>
    <w:rsid w:val="00FD35AF"/>
  </w:rsids>
  <w:docVars>
    <w:docVar w:name="_AMO_ReportControlsVisible" w:val="Empty"/>
    <w:docVar w:name="_AMO_UniqueIdentifier" w:val="3b98f61a-0d72-4508-a322-ce07f59cc22c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1850B"/>
  <w15:docId w15:val="{9316E8F4-A476-4CC9-B72E-B26A6CAD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D241F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xcontentpasted1">
    <w:name w:val="x_contentpasted1"/>
    <w:basedOn w:val="DefaultParagraphFont"/>
    <w:rsid w:val="00547949"/>
  </w:style>
  <w:style w:type="character" w:customStyle="1" w:styleId="xcontentpasted2">
    <w:name w:val="x_contentpasted2"/>
    <w:basedOn w:val="DefaultParagraphFont"/>
    <w:rsid w:val="0054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E11B8-82F5-4E63-9DB2-73A8C391FB76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23B207-D8AA-44E9-A0A4-A7B0CEA6AF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56ABAE-B7AC-4157-BCB3-EB9E85B57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4FD8FC-9E61-482A-8D0D-1D35AD49AE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Elizabeth May Nichols (CENSUS/CBSM FED)</cp:lastModifiedBy>
  <cp:revision>6</cp:revision>
  <dcterms:created xsi:type="dcterms:W3CDTF">2023-08-16T19:00:00Z</dcterms:created>
  <dcterms:modified xsi:type="dcterms:W3CDTF">2023-08-31T17:51:00Z</dcterms:modified>
</cp:coreProperties>
</file>