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7A73" w:rsidRPr="000C7A73" w:rsidP="000C7A73" w14:paraId="5AB7A852" w14:textId="14EC4269">
      <w:pPr>
        <w:jc w:val="center"/>
        <w:rPr>
          <w:rFonts w:asciiTheme="minorHAnsi" w:hAnsiTheme="minorHAnsi" w:cstheme="minorHAnsi"/>
          <w:b/>
          <w:lang w:val="en-CA"/>
        </w:rPr>
      </w:pPr>
      <w:r w:rsidRPr="000C7A73">
        <w:rPr>
          <w:rFonts w:asciiTheme="minorHAnsi" w:hAnsiTheme="minorHAnsi" w:cstheme="minorHAnsi"/>
          <w:b/>
          <w:lang w:val="en-CA"/>
        </w:rPr>
        <w:t xml:space="preserve">Generic Information Collection Request:  </w:t>
      </w:r>
      <w:r w:rsidRPr="000C7A73">
        <w:rPr>
          <w:rFonts w:asciiTheme="minorHAnsi" w:hAnsiTheme="minorHAnsi" w:cstheme="minorHAnsi"/>
          <w:b/>
          <w:lang w:val="en-CA"/>
        </w:rPr>
        <w:br/>
        <w:t xml:space="preserve">Cognitive </w:t>
      </w:r>
      <w:r>
        <w:rPr>
          <w:rFonts w:asciiTheme="minorHAnsi" w:hAnsiTheme="minorHAnsi" w:cstheme="minorHAnsi"/>
          <w:b/>
          <w:lang w:val="en-CA"/>
        </w:rPr>
        <w:t>T</w:t>
      </w:r>
      <w:r w:rsidRPr="000C7A73">
        <w:rPr>
          <w:rFonts w:asciiTheme="minorHAnsi" w:hAnsiTheme="minorHAnsi" w:cstheme="minorHAnsi"/>
          <w:b/>
          <w:lang w:val="en-CA"/>
        </w:rPr>
        <w:t xml:space="preserve">esting </w:t>
      </w:r>
      <w:r>
        <w:rPr>
          <w:rFonts w:asciiTheme="minorHAnsi" w:hAnsiTheme="minorHAnsi" w:cstheme="minorHAnsi"/>
          <w:b/>
          <w:lang w:val="en-CA"/>
        </w:rPr>
        <w:t>of</w:t>
      </w:r>
      <w:r w:rsidRPr="000C7A73">
        <w:rPr>
          <w:rFonts w:asciiTheme="minorHAnsi" w:hAnsiTheme="minorHAnsi" w:cstheme="minorHAnsi"/>
          <w:b/>
          <w:lang w:val="en-CA"/>
        </w:rPr>
        <w:t xml:space="preserve"> </w:t>
      </w:r>
      <w:r>
        <w:rPr>
          <w:rFonts w:asciiTheme="minorHAnsi" w:hAnsiTheme="minorHAnsi" w:cstheme="minorHAnsi"/>
          <w:b/>
          <w:lang w:val="en-CA"/>
        </w:rPr>
        <w:t xml:space="preserve">Sexual Orientation and Gender Identity (SOGI) Questions on the </w:t>
      </w:r>
      <w:r w:rsidR="009B1761">
        <w:rPr>
          <w:rFonts w:asciiTheme="minorHAnsi" w:hAnsiTheme="minorHAnsi" w:cstheme="minorHAnsi"/>
          <w:b/>
          <w:lang w:val="en-CA"/>
        </w:rPr>
        <w:softHyphen/>
      </w:r>
      <w:r w:rsidR="009B1761">
        <w:rPr>
          <w:rFonts w:asciiTheme="minorHAnsi" w:hAnsiTheme="minorHAnsi" w:cstheme="minorHAnsi"/>
          <w:b/>
          <w:lang w:val="en-CA"/>
        </w:rPr>
        <w:softHyphen/>
      </w:r>
      <w:r>
        <w:rPr>
          <w:rFonts w:asciiTheme="minorHAnsi" w:hAnsiTheme="minorHAnsi" w:cstheme="minorHAnsi"/>
          <w:b/>
          <w:lang w:val="en-CA"/>
        </w:rPr>
        <w:t>American Community Survey (ACS)</w:t>
      </w:r>
    </w:p>
    <w:p w:rsidR="000C7A73" w:rsidRPr="000C7A73" w:rsidP="000C7A73" w14:paraId="52C128B4" w14:textId="77777777">
      <w:pPr>
        <w:jc w:val="center"/>
        <w:rPr>
          <w:rFonts w:asciiTheme="minorHAnsi" w:hAnsiTheme="minorHAnsi" w:cstheme="minorHAnsi"/>
          <w:b/>
          <w:lang w:val="en-CA"/>
        </w:rPr>
      </w:pPr>
    </w:p>
    <w:p w:rsidR="000C7A73" w:rsidRPr="000C7A73" w:rsidP="000C7A73" w14:paraId="57437634" w14:textId="5FAB1D30">
      <w:pPr>
        <w:rPr>
          <w:rFonts w:asciiTheme="minorHAnsi" w:hAnsiTheme="minorHAnsi" w:cstheme="minorHAnsi"/>
        </w:rPr>
      </w:pPr>
      <w:r w:rsidRPr="000C7A73">
        <w:rPr>
          <w:rFonts w:asciiTheme="minorHAnsi" w:hAnsiTheme="minorHAnsi" w:cstheme="minorHAnsi"/>
          <w:b/>
          <w:lang w:val="en-CA"/>
        </w:rPr>
        <w:t>Request:</w:t>
      </w:r>
      <w:r w:rsidRPr="000C7A73">
        <w:rPr>
          <w:rFonts w:asciiTheme="minorHAnsi" w:hAnsiTheme="minorHAnsi" w:cstheme="minorHAnsi"/>
          <w:lang w:val="en-CA"/>
        </w:rPr>
        <w:t xml:space="preserve">  </w:t>
      </w:r>
      <w:r w:rsidRPr="000C7A73">
        <w:rPr>
          <w:rFonts w:asciiTheme="minorHAnsi" w:hAnsiTheme="minorHAnsi" w:cstheme="minorHAnsi"/>
          <w:lang w:val="en-CA"/>
        </w:rPr>
        <w:fldChar w:fldCharType="begin"/>
      </w:r>
      <w:r w:rsidRPr="000C7A73">
        <w:rPr>
          <w:rFonts w:asciiTheme="minorHAnsi" w:hAnsiTheme="minorHAnsi" w:cstheme="minorHAnsi"/>
          <w:lang w:val="en-CA"/>
        </w:rPr>
        <w:instrText xml:space="preserve"> SEQ CHAPTER \h \r 1</w:instrText>
      </w:r>
      <w:r w:rsidRPr="000C7A73">
        <w:rPr>
          <w:rFonts w:asciiTheme="minorHAnsi" w:hAnsiTheme="minorHAnsi" w:cstheme="minorHAnsi"/>
          <w:lang w:val="en-CA"/>
        </w:rPr>
        <w:fldChar w:fldCharType="separate"/>
      </w:r>
      <w:r w:rsidRPr="000C7A73">
        <w:rPr>
          <w:rFonts w:asciiTheme="minorHAnsi" w:hAnsiTheme="minorHAnsi" w:cstheme="minorHAnsi"/>
          <w:lang w:val="en-CA"/>
        </w:rPr>
        <w:fldChar w:fldCharType="end"/>
      </w:r>
      <w:r w:rsidRPr="00D24B35" w:rsidR="00D24B35">
        <w:rPr>
          <w:rFonts w:asciiTheme="minorHAnsi" w:hAnsiTheme="minorHAnsi" w:cstheme="minorHAnsi"/>
        </w:rPr>
        <w:t xml:space="preserve">The Census Bureau, through a contract with RTI, plans to conduct additional research under the generic clearance for questionnaire pretesting research (OMB number 0607-0725). </w:t>
      </w:r>
      <w:r w:rsidRPr="000C7A73">
        <w:rPr>
          <w:rFonts w:asciiTheme="minorHAnsi" w:hAnsiTheme="minorHAnsi" w:cstheme="minorHAnsi"/>
        </w:rPr>
        <w:t>This research will cognitively pretest sexual orientation and gender identity (SOGI) Questions on the American Community Survey (ACS)</w:t>
      </w:r>
      <w:r>
        <w:rPr>
          <w:rFonts w:asciiTheme="minorHAnsi" w:hAnsiTheme="minorHAnsi" w:cstheme="minorHAnsi"/>
        </w:rPr>
        <w:t xml:space="preserve">. </w:t>
      </w:r>
    </w:p>
    <w:p w:rsidR="000C7A73" w:rsidRPr="000C7A73" w:rsidP="000C7A73" w14:paraId="521A898C" w14:textId="77777777">
      <w:pPr>
        <w:rPr>
          <w:rFonts w:asciiTheme="minorHAnsi" w:hAnsiTheme="minorHAnsi" w:cstheme="minorHAnsi"/>
        </w:rPr>
      </w:pPr>
    </w:p>
    <w:p w:rsidR="006D1633" w:rsidP="006D1633" w14:paraId="0D189EB3" w14:textId="11D9D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r w:rsidRPr="000C7A73">
        <w:rPr>
          <w:rFonts w:asciiTheme="minorHAnsi" w:hAnsiTheme="minorHAnsi" w:cstheme="minorHAnsi"/>
          <w:b/>
        </w:rPr>
        <w:t>Purpose</w:t>
      </w:r>
      <w:r w:rsidRPr="000C7A73">
        <w:rPr>
          <w:rFonts w:asciiTheme="minorHAnsi" w:hAnsiTheme="minorHAnsi" w:cstheme="minorHAnsi"/>
        </w:rPr>
        <w:t xml:space="preserve">:  </w:t>
      </w:r>
      <w:r w:rsidRPr="006D1633">
        <w:rPr>
          <w:rFonts w:eastAsia="Calibri" w:asciiTheme="minorHAnsi" w:hAnsiTheme="minorHAnsi" w:cstheme="minorHAnsi"/>
        </w:rPr>
        <w:t xml:space="preserve">As part of its fiscal year 2024 budget, the Census Bureau received funding to test adding </w:t>
      </w:r>
      <w:r>
        <w:rPr>
          <w:rFonts w:eastAsia="Calibri" w:asciiTheme="minorHAnsi" w:hAnsiTheme="minorHAnsi" w:cstheme="minorHAnsi"/>
        </w:rPr>
        <w:t>SOGI</w:t>
      </w:r>
      <w:r w:rsidRPr="006D1633">
        <w:rPr>
          <w:rFonts w:eastAsia="Calibri" w:asciiTheme="minorHAnsi" w:hAnsiTheme="minorHAnsi" w:cstheme="minorHAnsi"/>
        </w:rPr>
        <w:t xml:space="preserve"> questions to the ACS. </w:t>
      </w:r>
      <w:r w:rsidR="002077D1">
        <w:rPr>
          <w:rFonts w:eastAsia="Calibri" w:asciiTheme="minorHAnsi" w:hAnsiTheme="minorHAnsi" w:cstheme="minorHAnsi"/>
        </w:rPr>
        <w:t>The Census Bureau also received a request from the Department of Justice to add SOGI questions to the survey.</w:t>
      </w:r>
      <w:r w:rsidR="007E7564">
        <w:rPr>
          <w:rFonts w:eastAsia="Calibri" w:asciiTheme="minorHAnsi" w:hAnsiTheme="minorHAnsi" w:cstheme="minorHAnsi"/>
        </w:rPr>
        <w:t xml:space="preserve"> </w:t>
      </w:r>
      <w:r w:rsidRPr="006D1633">
        <w:rPr>
          <w:rFonts w:eastAsia="Calibri" w:asciiTheme="minorHAnsi" w:hAnsiTheme="minorHAnsi" w:cstheme="minorHAnsi"/>
        </w:rPr>
        <w:t xml:space="preserve">Testing of SOGI questions will follow the ACS content change process, which includes pretesting and field testing. This </w:t>
      </w:r>
      <w:r>
        <w:rPr>
          <w:rFonts w:eastAsia="Calibri" w:asciiTheme="minorHAnsi" w:hAnsiTheme="minorHAnsi" w:cstheme="minorHAnsi"/>
        </w:rPr>
        <w:t>request is for cognitive</w:t>
      </w:r>
      <w:r w:rsidRPr="006D1633">
        <w:rPr>
          <w:rFonts w:eastAsia="Calibri" w:asciiTheme="minorHAnsi" w:hAnsiTheme="minorHAnsi" w:cstheme="minorHAnsi"/>
        </w:rPr>
        <w:t xml:space="preserve"> pretesting </w:t>
      </w:r>
      <w:r>
        <w:rPr>
          <w:rFonts w:eastAsia="Calibri" w:asciiTheme="minorHAnsi" w:hAnsiTheme="minorHAnsi" w:cstheme="minorHAnsi"/>
        </w:rPr>
        <w:t xml:space="preserve">of </w:t>
      </w:r>
      <w:r w:rsidRPr="006D1633">
        <w:rPr>
          <w:rFonts w:eastAsia="Calibri" w:asciiTheme="minorHAnsi" w:hAnsiTheme="minorHAnsi" w:cstheme="minorHAnsi"/>
        </w:rPr>
        <w:t>SOGI questions for the ACS, with an emphasis on three understudied areas:</w:t>
      </w:r>
    </w:p>
    <w:p w:rsidR="007E7564" w:rsidRPr="006D1633" w:rsidP="006D1633" w14:paraId="6CC2D1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p>
    <w:p w:rsidR="006D1633" w:rsidRPr="006D1633" w:rsidP="006D1633" w14:paraId="048CEBFC" w14:textId="77777777">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r w:rsidRPr="006D1633">
        <w:rPr>
          <w:rFonts w:eastAsia="Calibri" w:asciiTheme="minorHAnsi" w:hAnsiTheme="minorHAnsi" w:cstheme="minorHAnsi"/>
          <w:i/>
          <w:iCs/>
        </w:rPr>
        <w:t>Wording of questions for stateside Spanish-language and Spanish Puerto Rico questionnaires.</w:t>
      </w:r>
      <w:r w:rsidRPr="006D1633">
        <w:rPr>
          <w:rFonts w:eastAsia="Calibri" w:asciiTheme="minorHAnsi" w:hAnsiTheme="minorHAnsi" w:cstheme="minorHAnsi"/>
        </w:rPr>
        <w:t xml:space="preserve"> While SOGI questions have been pretested in Spanish for other surveys, there is still room for improvement in Spanish translation. One major issue is that monolingual Spanish-speaking respondents are often unfamiliar with the translations for response categories and as a result may report that they are “normal.” This problem is compounded because terms like “straight” in English are difficult to translate in a neutral and accessible manner in Spanish. We are unaware of any previous efforts by other federal agencies to pretest SOGI questions in Puerto Rico.</w:t>
      </w:r>
    </w:p>
    <w:p w:rsidR="006D1633" w:rsidRPr="006D1633" w:rsidP="006D1633" w14:paraId="2D45C371" w14:textId="1E33C9ED">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asciiTheme="minorHAnsi" w:hAnsiTheme="minorHAnsi" w:cstheme="minorHAnsi"/>
        </w:rPr>
      </w:pPr>
      <w:r w:rsidRPr="006D1633">
        <w:rPr>
          <w:rFonts w:eastAsia="Calibri" w:asciiTheme="minorHAnsi" w:hAnsiTheme="minorHAnsi" w:cstheme="minorHAnsi"/>
          <w:i/>
          <w:iCs/>
        </w:rPr>
        <w:t>Multi-mode measurement.</w:t>
      </w:r>
      <w:r w:rsidRPr="006D1633">
        <w:rPr>
          <w:rFonts w:eastAsia="Calibri" w:asciiTheme="minorHAnsi" w:hAnsiTheme="minorHAnsi" w:cstheme="minorHAnsi"/>
        </w:rPr>
        <w:t xml:space="preserve"> Respondents are invited to complete the ACS online (stateside only) or via a paper questionnaire. If they do not respond, they may be contacted by a field interviewer in person or over the phone. Most federal pretesting of SOGI questions to date has focused on a single mode (typically in person data collection). It is important to ensure SOGI questions lead to comparable data across all modes</w:t>
      </w:r>
      <w:r w:rsidR="0054655C">
        <w:rPr>
          <w:rFonts w:eastAsia="Calibri" w:asciiTheme="minorHAnsi" w:hAnsiTheme="minorHAnsi" w:cstheme="minorHAnsi"/>
        </w:rPr>
        <w:t xml:space="preserve"> of the ACS.</w:t>
      </w:r>
    </w:p>
    <w:p w:rsidR="006D1633" w:rsidRPr="00041824" w:rsidP="000C7A73" w14:paraId="566573CF" w14:textId="4FD8F7F0">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6D1633">
        <w:rPr>
          <w:rFonts w:eastAsia="Calibri" w:asciiTheme="minorHAnsi" w:hAnsiTheme="minorHAnsi" w:cstheme="minorHAnsi"/>
          <w:i/>
          <w:iCs/>
        </w:rPr>
        <w:t>Proxy response.</w:t>
      </w:r>
      <w:r w:rsidRPr="006D1633">
        <w:rPr>
          <w:rFonts w:eastAsia="Calibri" w:asciiTheme="minorHAnsi" w:hAnsiTheme="minorHAnsi" w:cstheme="minorHAnsi"/>
        </w:rPr>
        <w:t xml:space="preserve"> </w:t>
      </w:r>
      <w:r>
        <w:rPr>
          <w:rFonts w:eastAsia="Calibri" w:asciiTheme="minorHAnsi" w:hAnsiTheme="minorHAnsi" w:cstheme="minorHAnsi"/>
        </w:rPr>
        <w:t xml:space="preserve">Other than testing for the American Housing Survey (AHS), </w:t>
      </w:r>
      <w:r w:rsidRPr="006D1633">
        <w:rPr>
          <w:rFonts w:eastAsia="Calibri" w:asciiTheme="minorHAnsi" w:hAnsiTheme="minorHAnsi" w:cstheme="minorHAnsi"/>
        </w:rPr>
        <w:t xml:space="preserve">no other federal survey </w:t>
      </w:r>
      <w:r>
        <w:rPr>
          <w:rFonts w:eastAsia="Calibri" w:asciiTheme="minorHAnsi" w:hAnsiTheme="minorHAnsi" w:cstheme="minorHAnsi"/>
        </w:rPr>
        <w:t xml:space="preserve">to date </w:t>
      </w:r>
      <w:r w:rsidRPr="006D1633">
        <w:rPr>
          <w:rFonts w:eastAsia="Calibri" w:asciiTheme="minorHAnsi" w:hAnsiTheme="minorHAnsi" w:cstheme="minorHAnsi"/>
        </w:rPr>
        <w:t>has asked respondents to report SOGI information for other people in their household (“proxy report”). Cognitive testing of proxy response has also been limited and conducted only in English.</w:t>
      </w:r>
    </w:p>
    <w:p w:rsidR="00041824" w:rsidP="00041824" w14:paraId="51AC8C7A" w14:textId="0D91E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6EE30E18" w14:textId="15F0B280">
      <w:pPr>
        <w:widowControl/>
        <w:autoSpaceDE/>
        <w:autoSpaceDN/>
        <w:adjustRightInd/>
        <w:rPr>
          <w:rFonts w:asciiTheme="minorHAnsi" w:hAnsiTheme="minorHAnsi" w:cstheme="minorHAnsi"/>
        </w:rPr>
      </w:pPr>
      <w:r w:rsidRPr="000C7A73">
        <w:rPr>
          <w:rFonts w:asciiTheme="minorHAnsi" w:hAnsiTheme="minorHAnsi" w:cstheme="minorHAnsi"/>
          <w:b/>
        </w:rPr>
        <w:t>Population of Interest:</w:t>
      </w:r>
      <w:r w:rsidRPr="000C7A73">
        <w:rPr>
          <w:rFonts w:asciiTheme="minorHAnsi" w:hAnsiTheme="minorHAnsi" w:cstheme="minorHAnsi"/>
        </w:rPr>
        <w:t xml:space="preserve">  </w:t>
      </w:r>
      <w:r w:rsidRPr="00D24B35" w:rsidR="00D24B35">
        <w:rPr>
          <w:rFonts w:asciiTheme="minorHAnsi" w:hAnsiTheme="minorHAnsi" w:cstheme="minorHAnsi"/>
        </w:rPr>
        <w:t xml:space="preserve">The ACS is sent to a nationally representative sample of households in the United States. </w:t>
      </w:r>
      <w:r w:rsidRPr="000C7A73">
        <w:rPr>
          <w:rFonts w:asciiTheme="minorHAnsi" w:hAnsiTheme="minorHAnsi" w:cstheme="minorHAnsi"/>
        </w:rPr>
        <w:t>We plan to recruit from th</w:t>
      </w:r>
      <w:r w:rsidR="00D24B35">
        <w:rPr>
          <w:rFonts w:asciiTheme="minorHAnsi" w:hAnsiTheme="minorHAnsi" w:cstheme="minorHAnsi"/>
        </w:rPr>
        <w:t>is</w:t>
      </w:r>
      <w:r w:rsidRPr="000C7A73">
        <w:rPr>
          <w:rFonts w:asciiTheme="minorHAnsi" w:hAnsiTheme="minorHAnsi" w:cstheme="minorHAnsi"/>
        </w:rPr>
        <w:t xml:space="preserve"> general population</w:t>
      </w:r>
      <w:r w:rsidR="006B0D08">
        <w:rPr>
          <w:rFonts w:asciiTheme="minorHAnsi" w:hAnsiTheme="minorHAnsi" w:cstheme="minorHAnsi"/>
        </w:rPr>
        <w:t xml:space="preserve"> as described further below.</w:t>
      </w:r>
    </w:p>
    <w:p w:rsidR="000C7A73" w:rsidRPr="000C7A73" w:rsidP="000C7A73" w14:paraId="17A091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05F118B3" w14:textId="3634C9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Timeline</w:t>
      </w:r>
      <w:r w:rsidRPr="000C7A73">
        <w:rPr>
          <w:rFonts w:asciiTheme="minorHAnsi" w:hAnsiTheme="minorHAnsi" w:cstheme="minorHAnsi"/>
        </w:rPr>
        <w:t>:  Testing will be conducted</w:t>
      </w:r>
      <w:r w:rsidR="007E7564">
        <w:rPr>
          <w:rFonts w:asciiTheme="minorHAnsi" w:hAnsiTheme="minorHAnsi" w:cstheme="minorHAnsi"/>
        </w:rPr>
        <w:t xml:space="preserve"> from December 2023 through June 2024.</w:t>
      </w:r>
    </w:p>
    <w:p w:rsidR="000C7A73" w:rsidRPr="000C7A73" w:rsidP="000C7A73" w14:paraId="0D4D3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65B75FCD" w14:textId="57B15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Language</w:t>
      </w:r>
      <w:r w:rsidRPr="000C7A73">
        <w:rPr>
          <w:rFonts w:asciiTheme="minorHAnsi" w:hAnsiTheme="minorHAnsi" w:cstheme="minorHAnsi"/>
        </w:rPr>
        <w:t>:  Testing will be conducted in English and Spanish.</w:t>
      </w:r>
      <w:r w:rsidR="0054655C">
        <w:rPr>
          <w:rFonts w:asciiTheme="minorHAnsi" w:hAnsiTheme="minorHAnsi" w:cstheme="minorHAnsi"/>
        </w:rPr>
        <w:t xml:space="preserve"> Spanish will be tested both stateside and in Puerto Rico.</w:t>
      </w:r>
    </w:p>
    <w:p w:rsidR="000C7A73" w:rsidRPr="000C7A73" w:rsidP="000C7A73" w14:paraId="46E33B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D35ECD" w:rsidP="000C7A73" w14:paraId="4778AA7A" w14:textId="1F873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Sample</w:t>
      </w:r>
      <w:r w:rsidRPr="000C7A73">
        <w:rPr>
          <w:rFonts w:asciiTheme="minorHAnsi" w:hAnsiTheme="minorHAnsi" w:cstheme="minorHAnsi"/>
        </w:rPr>
        <w:t xml:space="preserve">:  We plan to conduct </w:t>
      </w:r>
      <w:r w:rsidR="008D569A">
        <w:rPr>
          <w:rFonts w:asciiTheme="minorHAnsi" w:hAnsiTheme="minorHAnsi" w:cstheme="minorHAnsi"/>
        </w:rPr>
        <w:t>218</w:t>
      </w:r>
      <w:r w:rsidRPr="000C7A73">
        <w:rPr>
          <w:rFonts w:asciiTheme="minorHAnsi" w:hAnsiTheme="minorHAnsi" w:cstheme="minorHAnsi"/>
        </w:rPr>
        <w:t xml:space="preserve"> cognitive interviews. </w:t>
      </w:r>
      <w:r>
        <w:rPr>
          <w:rFonts w:asciiTheme="minorHAnsi" w:hAnsiTheme="minorHAnsi" w:cstheme="minorHAnsi"/>
        </w:rPr>
        <w:t>Of the</w:t>
      </w:r>
      <w:r w:rsidR="006B0D08">
        <w:rPr>
          <w:rFonts w:asciiTheme="minorHAnsi" w:hAnsiTheme="minorHAnsi" w:cstheme="minorHAnsi"/>
        </w:rPr>
        <w:t xml:space="preserve"> 218</w:t>
      </w:r>
      <w:r>
        <w:rPr>
          <w:rFonts w:asciiTheme="minorHAnsi" w:hAnsiTheme="minorHAnsi" w:cstheme="minorHAnsi"/>
        </w:rPr>
        <w:t xml:space="preserve"> interviews, 64 will be in </w:t>
      </w:r>
      <w:r>
        <w:rPr>
          <w:rFonts w:asciiTheme="minorHAnsi" w:hAnsiTheme="minorHAnsi" w:cstheme="minorHAnsi"/>
        </w:rPr>
        <w:t>English and 154 will be in Spanish. Eighty of the 154 will be with stateside monolingual Spanish-speaking respondents. The remaining 74 will be with Spanish-speaking respondents in Puerto Rico.</w:t>
      </w:r>
      <w:r w:rsidR="00D94CF9">
        <w:rPr>
          <w:rFonts w:asciiTheme="minorHAnsi" w:hAnsiTheme="minorHAnsi" w:cstheme="minorHAnsi"/>
        </w:rPr>
        <w:t xml:space="preserve"> About half of the </w:t>
      </w:r>
      <w:r w:rsidR="002077D1">
        <w:rPr>
          <w:rFonts w:asciiTheme="minorHAnsi" w:hAnsiTheme="minorHAnsi" w:cstheme="minorHAnsi"/>
        </w:rPr>
        <w:t xml:space="preserve">total </w:t>
      </w:r>
      <w:r w:rsidR="00D94CF9">
        <w:rPr>
          <w:rFonts w:asciiTheme="minorHAnsi" w:hAnsiTheme="minorHAnsi" w:cstheme="minorHAnsi"/>
        </w:rPr>
        <w:t>respondents will be cisgender and straight. The other half of respondents will be a sexual and/or gender minority (i.e., LGBT).</w:t>
      </w:r>
    </w:p>
    <w:p w:rsidR="000C7A73" w:rsidRPr="000C7A73" w:rsidP="000C7A73" w14:paraId="242337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D24B35" w:rsidP="00D24B35" w14:paraId="69CB2867" w14:textId="77777777">
      <w:pPr>
        <w:spacing w:after="280"/>
        <w:rPr>
          <w:rFonts w:asciiTheme="minorHAnsi" w:hAnsiTheme="minorHAnsi" w:cstheme="minorHAnsi"/>
        </w:rPr>
      </w:pPr>
      <w:r w:rsidRPr="000C7A73">
        <w:rPr>
          <w:rFonts w:asciiTheme="minorHAnsi" w:hAnsiTheme="minorHAnsi" w:cstheme="minorHAnsi"/>
          <w:b/>
        </w:rPr>
        <w:t>Recruitment</w:t>
      </w:r>
      <w:r w:rsidRPr="000C7A73">
        <w:rPr>
          <w:rFonts w:asciiTheme="minorHAnsi" w:hAnsiTheme="minorHAnsi" w:cstheme="minorHAnsi"/>
        </w:rPr>
        <w:t xml:space="preserve">: </w:t>
      </w:r>
      <w:r w:rsidRPr="00D24B35">
        <w:rPr>
          <w:rFonts w:asciiTheme="minorHAnsi" w:hAnsiTheme="minorHAnsi" w:cstheme="minorHAnsi"/>
        </w:rPr>
        <w:t xml:space="preserve">Respondents will be recruited through a variety of methods. RTI will use methods such as posting fliers at local community organizations, putting advertisements in community newspapers, and collaborating with staff at community-based organizations to identify potential respondents. RTI will also post advertisements on Craigslist.com and social media sites such as Facebook and Reddit. Finally, broadcast messages will be distributed to Census Bureau and RTI staff to leverage personal connections. </w:t>
      </w:r>
    </w:p>
    <w:p w:rsidR="006B0D08" w:rsidRPr="006B0D08" w:rsidP="006B0D08" w14:paraId="6F1C2797" w14:textId="48E52C2A">
      <w:pPr>
        <w:spacing w:after="280"/>
        <w:rPr>
          <w:rFonts w:asciiTheme="minorHAnsi" w:hAnsiTheme="minorHAnsi" w:cstheme="minorHAnsi"/>
        </w:rPr>
      </w:pPr>
      <w:r>
        <w:rPr>
          <w:rFonts w:asciiTheme="minorHAnsi" w:hAnsiTheme="minorHAnsi" w:cstheme="minorHAnsi"/>
        </w:rPr>
        <w:t xml:space="preserve">Recruitment will primarily focus on identifying respondents who are LGBT and those who are </w:t>
      </w:r>
      <w:r w:rsidR="00D94CF9">
        <w:rPr>
          <w:rFonts w:asciiTheme="minorHAnsi" w:hAnsiTheme="minorHAnsi" w:cstheme="minorHAnsi"/>
        </w:rPr>
        <w:t>not</w:t>
      </w:r>
      <w:r>
        <w:rPr>
          <w:rFonts w:asciiTheme="minorHAnsi" w:hAnsiTheme="minorHAnsi" w:cstheme="minorHAnsi"/>
        </w:rPr>
        <w:t xml:space="preserve">. </w:t>
      </w:r>
      <w:r w:rsidR="00D94CF9">
        <w:rPr>
          <w:rFonts w:asciiTheme="minorHAnsi" w:hAnsiTheme="minorHAnsi" w:cstheme="minorHAnsi"/>
        </w:rPr>
        <w:t>For the LGBT respondents, w</w:t>
      </w:r>
      <w:r>
        <w:rPr>
          <w:rFonts w:asciiTheme="minorHAnsi" w:hAnsiTheme="minorHAnsi" w:cstheme="minorHAnsi"/>
        </w:rPr>
        <w:t xml:space="preserve">e will recruit </w:t>
      </w:r>
      <w:r w:rsidR="00D94CF9">
        <w:rPr>
          <w:rFonts w:asciiTheme="minorHAnsi" w:hAnsiTheme="minorHAnsi" w:cstheme="minorHAnsi"/>
        </w:rPr>
        <w:t>people</w:t>
      </w:r>
      <w:r>
        <w:rPr>
          <w:rFonts w:asciiTheme="minorHAnsi" w:hAnsiTheme="minorHAnsi" w:cstheme="minorHAnsi"/>
        </w:rPr>
        <w:t xml:space="preserve"> with diverse</w:t>
      </w:r>
      <w:r w:rsidR="00FE3513">
        <w:rPr>
          <w:rFonts w:asciiTheme="minorHAnsi" w:hAnsiTheme="minorHAnsi" w:cstheme="minorHAnsi"/>
        </w:rPr>
        <w:t xml:space="preserve"> types of</w:t>
      </w:r>
      <w:r>
        <w:rPr>
          <w:rFonts w:asciiTheme="minorHAnsi" w:hAnsiTheme="minorHAnsi" w:cstheme="minorHAnsi"/>
        </w:rPr>
        <w:t xml:space="preserve"> identities. </w:t>
      </w:r>
      <w:r w:rsidR="00FE3513">
        <w:rPr>
          <w:rFonts w:asciiTheme="minorHAnsi" w:hAnsiTheme="minorHAnsi" w:cstheme="minorHAnsi"/>
        </w:rPr>
        <w:t>Most</w:t>
      </w:r>
      <w:r w:rsidR="000D3894">
        <w:rPr>
          <w:rFonts w:asciiTheme="minorHAnsi" w:hAnsiTheme="minorHAnsi" w:cstheme="minorHAnsi"/>
        </w:rPr>
        <w:t xml:space="preserve"> (80%)</w:t>
      </w:r>
      <w:r w:rsidR="00FE3513">
        <w:rPr>
          <w:rFonts w:asciiTheme="minorHAnsi" w:hAnsiTheme="minorHAnsi" w:cstheme="minorHAnsi"/>
        </w:rPr>
        <w:t xml:space="preserve"> of</w:t>
      </w:r>
      <w:r>
        <w:rPr>
          <w:rFonts w:asciiTheme="minorHAnsi" w:hAnsiTheme="minorHAnsi" w:cstheme="minorHAnsi"/>
        </w:rPr>
        <w:t xml:space="preserve"> </w:t>
      </w:r>
      <w:r w:rsidR="00FE3513">
        <w:rPr>
          <w:rFonts w:asciiTheme="minorHAnsi" w:hAnsiTheme="minorHAnsi" w:cstheme="minorHAnsi"/>
        </w:rPr>
        <w:t>the</w:t>
      </w:r>
      <w:r>
        <w:rPr>
          <w:rFonts w:asciiTheme="minorHAnsi" w:hAnsiTheme="minorHAnsi" w:cstheme="minorHAnsi"/>
        </w:rPr>
        <w:t xml:space="preserve"> </w:t>
      </w:r>
      <w:r w:rsidR="007C2AE9">
        <w:rPr>
          <w:rFonts w:asciiTheme="minorHAnsi" w:hAnsiTheme="minorHAnsi" w:cstheme="minorHAnsi"/>
        </w:rPr>
        <w:t xml:space="preserve">total </w:t>
      </w:r>
      <w:r>
        <w:rPr>
          <w:rFonts w:asciiTheme="minorHAnsi" w:hAnsiTheme="minorHAnsi" w:cstheme="minorHAnsi"/>
        </w:rPr>
        <w:t xml:space="preserve">respondents will </w:t>
      </w:r>
      <w:r w:rsidRPr="006B0D08">
        <w:rPr>
          <w:rFonts w:asciiTheme="minorHAnsi" w:hAnsiTheme="minorHAnsi" w:cstheme="minorHAnsi"/>
        </w:rPr>
        <w:t xml:space="preserve">live in a household with at least one other person since proxy response is a key research area. </w:t>
      </w:r>
      <w:r>
        <w:rPr>
          <w:rFonts w:asciiTheme="minorHAnsi" w:hAnsiTheme="minorHAnsi" w:cstheme="minorHAnsi"/>
        </w:rPr>
        <w:t xml:space="preserve">We will </w:t>
      </w:r>
      <w:r w:rsidR="00D94CF9">
        <w:rPr>
          <w:rFonts w:asciiTheme="minorHAnsi" w:hAnsiTheme="minorHAnsi" w:cstheme="minorHAnsi"/>
        </w:rPr>
        <w:t xml:space="preserve">also </w:t>
      </w:r>
      <w:r>
        <w:rPr>
          <w:rFonts w:asciiTheme="minorHAnsi" w:hAnsiTheme="minorHAnsi" w:cstheme="minorHAnsi"/>
        </w:rPr>
        <w:t>aim for</w:t>
      </w:r>
      <w:r w:rsidRPr="006B0D08">
        <w:rPr>
          <w:rFonts w:asciiTheme="minorHAnsi" w:hAnsiTheme="minorHAnsi" w:cstheme="minorHAnsi"/>
        </w:rPr>
        <w:t xml:space="preserve"> demographic divers</w:t>
      </w:r>
      <w:r>
        <w:rPr>
          <w:rFonts w:asciiTheme="minorHAnsi" w:hAnsiTheme="minorHAnsi" w:cstheme="minorHAnsi"/>
        </w:rPr>
        <w:t>ity</w:t>
      </w:r>
      <w:r w:rsidRPr="006B0D08">
        <w:rPr>
          <w:rFonts w:asciiTheme="minorHAnsi" w:hAnsiTheme="minorHAnsi" w:cstheme="minorHAnsi"/>
        </w:rPr>
        <w:t xml:space="preserve"> on the following characteristics:</w:t>
      </w:r>
    </w:p>
    <w:p w:rsidR="006B0D08" w:rsidRPr="006B0D08" w:rsidP="006B0D08" w14:paraId="2627C790"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6B0D08">
        <w:rPr>
          <w:rFonts w:asciiTheme="minorHAnsi" w:hAnsiTheme="minorHAnsi" w:cstheme="minorHAnsi"/>
        </w:rPr>
        <w:t>Age and education (all three interview types)</w:t>
      </w:r>
    </w:p>
    <w:p w:rsidR="006B0D08" w:rsidRPr="006B0D08" w:rsidP="006B0D08" w14:paraId="5F1FB4F4"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6B0D08">
        <w:rPr>
          <w:rFonts w:asciiTheme="minorHAnsi" w:hAnsiTheme="minorHAnsi" w:cstheme="minorHAnsi"/>
        </w:rPr>
        <w:t>Race/ethnicity (English interviews only)</w:t>
      </w:r>
    </w:p>
    <w:p w:rsidR="006B0D08" w:rsidRPr="006B0D08" w:rsidP="006B0D08" w14:paraId="5E6DE615"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6B0D08">
        <w:rPr>
          <w:rFonts w:asciiTheme="minorHAnsi" w:hAnsiTheme="minorHAnsi" w:cstheme="minorHAnsi"/>
        </w:rPr>
        <w:t>Hispanic origin (Spanish stateside interviews only)</w:t>
      </w:r>
    </w:p>
    <w:p w:rsidR="006B0D08" w:rsidRPr="006B0D08" w:rsidP="006B0D08" w14:paraId="39208D9E" w14:textId="77777777">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6B0D08">
        <w:rPr>
          <w:rFonts w:asciiTheme="minorHAnsi" w:hAnsiTheme="minorHAnsi" w:cstheme="minorHAnsi"/>
        </w:rPr>
        <w:t>Geographic diversity in region of the country (all three interview types)</w:t>
      </w:r>
    </w:p>
    <w:p w:rsidR="006B0D08" w:rsidRPr="006B0D08" w:rsidP="006B0D08" w14:paraId="30E5C602" w14:textId="3E6E1D61">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6B0D08">
        <w:rPr>
          <w:rFonts w:asciiTheme="minorHAnsi" w:hAnsiTheme="minorHAnsi" w:cstheme="minorHAnsi"/>
        </w:rPr>
        <w:t>Household composition (includ</w:t>
      </w:r>
      <w:r>
        <w:rPr>
          <w:rFonts w:asciiTheme="minorHAnsi" w:hAnsiTheme="minorHAnsi" w:cstheme="minorHAnsi"/>
        </w:rPr>
        <w:t>ing</w:t>
      </w:r>
      <w:r w:rsidRPr="006B0D08">
        <w:rPr>
          <w:rFonts w:asciiTheme="minorHAnsi" w:hAnsiTheme="minorHAnsi" w:cstheme="minorHAnsi"/>
        </w:rPr>
        <w:t xml:space="preserve"> diversity in types of both related and unrelated households</w:t>
      </w:r>
      <w:r>
        <w:rPr>
          <w:rFonts w:asciiTheme="minorHAnsi" w:hAnsiTheme="minorHAnsi" w:cstheme="minorHAnsi"/>
        </w:rPr>
        <w:t>;</w:t>
      </w:r>
      <w:r w:rsidRPr="006B0D08">
        <w:rPr>
          <w:rFonts w:asciiTheme="minorHAnsi" w:hAnsiTheme="minorHAnsi" w:cstheme="minorHAnsi"/>
        </w:rPr>
        <w:t xml:space="preserve"> all three interview types)</w:t>
      </w:r>
    </w:p>
    <w:p w:rsidR="000C7A73" w:rsidP="000C7A73" w14:paraId="76073B0A" w14:textId="5B2D67EE">
      <w:pPr>
        <w:spacing w:after="280"/>
        <w:rPr>
          <w:rFonts w:asciiTheme="minorHAnsi" w:hAnsiTheme="minorHAnsi" w:cstheme="minorHAnsi"/>
        </w:rPr>
      </w:pPr>
      <w:r>
        <w:rPr>
          <w:rFonts w:asciiTheme="minorHAnsi" w:hAnsiTheme="minorHAnsi" w:cstheme="minorHAnsi"/>
        </w:rPr>
        <w:br/>
      </w:r>
      <w:r w:rsidRPr="000C7A73">
        <w:rPr>
          <w:rFonts w:asciiTheme="minorHAnsi" w:hAnsiTheme="minorHAnsi" w:cstheme="minorHAnsi"/>
        </w:rPr>
        <w:t>The screen</w:t>
      </w:r>
      <w:r w:rsidR="00D24B35">
        <w:rPr>
          <w:rFonts w:asciiTheme="minorHAnsi" w:hAnsiTheme="minorHAnsi" w:cstheme="minorHAnsi"/>
        </w:rPr>
        <w:t>ing questions</w:t>
      </w:r>
      <w:r w:rsidRPr="000C7A73">
        <w:rPr>
          <w:rFonts w:asciiTheme="minorHAnsi" w:hAnsiTheme="minorHAnsi" w:cstheme="minorHAnsi"/>
        </w:rPr>
        <w:t xml:space="preserve"> and </w:t>
      </w:r>
      <w:r>
        <w:rPr>
          <w:rFonts w:asciiTheme="minorHAnsi" w:hAnsiTheme="minorHAnsi" w:cstheme="minorHAnsi"/>
        </w:rPr>
        <w:t>advertising materials are attached</w:t>
      </w:r>
      <w:r w:rsidRPr="000C7A73">
        <w:rPr>
          <w:rFonts w:asciiTheme="minorHAnsi" w:hAnsiTheme="minorHAnsi" w:cstheme="minorHAnsi"/>
        </w:rPr>
        <w:t xml:space="preserve"> (see Attachment</w:t>
      </w:r>
      <w:r>
        <w:rPr>
          <w:rFonts w:asciiTheme="minorHAnsi" w:hAnsiTheme="minorHAnsi" w:cstheme="minorHAnsi"/>
        </w:rPr>
        <w:t xml:space="preserve">s </w:t>
      </w:r>
      <w:r w:rsidR="006B436D">
        <w:rPr>
          <w:rFonts w:asciiTheme="minorHAnsi" w:hAnsiTheme="minorHAnsi" w:cstheme="minorHAnsi"/>
        </w:rPr>
        <w:t>1</w:t>
      </w:r>
      <w:r>
        <w:rPr>
          <w:rFonts w:asciiTheme="minorHAnsi" w:hAnsiTheme="minorHAnsi" w:cstheme="minorHAnsi"/>
        </w:rPr>
        <w:t xml:space="preserve"> and</w:t>
      </w:r>
      <w:r w:rsidRPr="000C7A73">
        <w:rPr>
          <w:rFonts w:asciiTheme="minorHAnsi" w:hAnsiTheme="minorHAnsi" w:cstheme="minorHAnsi"/>
        </w:rPr>
        <w:t xml:space="preserve"> </w:t>
      </w:r>
      <w:r w:rsidR="006B436D">
        <w:rPr>
          <w:rFonts w:asciiTheme="minorHAnsi" w:hAnsiTheme="minorHAnsi" w:cstheme="minorHAnsi"/>
        </w:rPr>
        <w:t>2</w:t>
      </w:r>
      <w:r w:rsidRPr="000C7A73">
        <w:rPr>
          <w:rFonts w:asciiTheme="minorHAnsi" w:hAnsiTheme="minorHAnsi" w:cstheme="minorHAnsi"/>
        </w:rPr>
        <w:t>).</w:t>
      </w:r>
    </w:p>
    <w:p w:rsidR="0074475C" w:rsidP="00FE3513" w14:paraId="5B1849E2" w14:textId="3F271C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rPr>
      </w:pPr>
      <w:r w:rsidRPr="000C7A73">
        <w:rPr>
          <w:rFonts w:asciiTheme="minorHAnsi" w:hAnsiTheme="minorHAnsi" w:cstheme="minorHAnsi"/>
          <w:b/>
        </w:rPr>
        <w:t>Method</w:t>
      </w:r>
      <w:r w:rsidRPr="000C7A73">
        <w:rPr>
          <w:rFonts w:asciiTheme="minorHAnsi" w:hAnsiTheme="minorHAnsi" w:cstheme="minorHAnsi"/>
        </w:rPr>
        <w:t xml:space="preserve">:  </w:t>
      </w:r>
      <w:r>
        <w:rPr>
          <w:rFonts w:asciiTheme="minorHAnsi" w:hAnsiTheme="minorHAnsi"/>
        </w:rPr>
        <w:t>S</w:t>
      </w:r>
      <w:r w:rsidRPr="00BA4D7B">
        <w:rPr>
          <w:rFonts w:asciiTheme="minorHAnsi" w:hAnsiTheme="minorHAnsi"/>
        </w:rPr>
        <w:t xml:space="preserve">taff from </w:t>
      </w:r>
      <w:r>
        <w:rPr>
          <w:rFonts w:asciiTheme="minorHAnsi" w:hAnsiTheme="minorHAnsi"/>
        </w:rPr>
        <w:t xml:space="preserve">RTI will conduct cognitive interviews. </w:t>
      </w:r>
      <w:r w:rsidRPr="00BA4D7B">
        <w:rPr>
          <w:rFonts w:asciiTheme="minorHAnsi" w:hAnsiTheme="minorHAnsi"/>
        </w:rPr>
        <w:t xml:space="preserve">Interviews will be conducted </w:t>
      </w:r>
      <w:r>
        <w:rPr>
          <w:rFonts w:asciiTheme="minorHAnsi" w:hAnsiTheme="minorHAnsi"/>
        </w:rPr>
        <w:t>remotely using Microsoft Teams.</w:t>
      </w:r>
      <w:r w:rsidRPr="00303AA5">
        <w:rPr>
          <w:rFonts w:asciiTheme="minorHAnsi" w:hAnsiTheme="minorHAnsi"/>
        </w:rPr>
        <w:t xml:space="preserve"> </w:t>
      </w:r>
      <w:r>
        <w:rPr>
          <w:rFonts w:asciiTheme="minorHAnsi" w:hAnsiTheme="minorHAnsi"/>
        </w:rPr>
        <w:t>In addition to testing in both English and Spanish, cognitive interviews will vary</w:t>
      </w:r>
      <w:r w:rsidR="000D3894">
        <w:rPr>
          <w:rFonts w:asciiTheme="minorHAnsi" w:hAnsiTheme="minorHAnsi"/>
        </w:rPr>
        <w:t xml:space="preserve"> in</w:t>
      </w:r>
      <w:r>
        <w:rPr>
          <w:rFonts w:asciiTheme="minorHAnsi" w:hAnsiTheme="minorHAnsi"/>
        </w:rPr>
        <w:t xml:space="preserve"> </w:t>
      </w:r>
      <w:r>
        <w:rPr>
          <w:rFonts w:asciiTheme="minorHAnsi" w:hAnsiTheme="minorHAnsi"/>
        </w:rPr>
        <w:t>two ways</w:t>
      </w:r>
      <w:r>
        <w:rPr>
          <w:rFonts w:asciiTheme="minorHAnsi" w:hAnsiTheme="minorHAnsi"/>
        </w:rPr>
        <w:t xml:space="preserve">. </w:t>
      </w:r>
      <w:r>
        <w:rPr>
          <w:rFonts w:asciiTheme="minorHAnsi" w:hAnsiTheme="minorHAnsi"/>
        </w:rPr>
        <w:t xml:space="preserve">First, respondents will be assigned to one of four modes. </w:t>
      </w:r>
      <w:r w:rsidRPr="00EC254D">
        <w:rPr>
          <w:rFonts w:asciiTheme="minorHAnsi" w:hAnsiTheme="minorHAnsi"/>
        </w:rPr>
        <w:t xml:space="preserve">We will test </w:t>
      </w:r>
      <w:r>
        <w:rPr>
          <w:rFonts w:asciiTheme="minorHAnsi" w:hAnsiTheme="minorHAnsi"/>
        </w:rPr>
        <w:t xml:space="preserve">the </w:t>
      </w:r>
      <w:r w:rsidRPr="00EC254D">
        <w:rPr>
          <w:rFonts w:asciiTheme="minorHAnsi" w:hAnsiTheme="minorHAnsi"/>
        </w:rPr>
        <w:t>paper questionnaire</w:t>
      </w:r>
      <w:r>
        <w:rPr>
          <w:rFonts w:asciiTheme="minorHAnsi" w:hAnsiTheme="minorHAnsi"/>
        </w:rPr>
        <w:t>, internet instrument</w:t>
      </w:r>
      <w:r>
        <w:rPr>
          <w:rStyle w:val="FootnoteReference"/>
          <w:rFonts w:asciiTheme="minorHAnsi" w:hAnsiTheme="minorHAnsi" w:cstheme="minorHAnsi"/>
        </w:rPr>
        <w:footnoteReference w:id="2"/>
      </w:r>
      <w:r>
        <w:rPr>
          <w:rFonts w:asciiTheme="minorHAnsi" w:hAnsiTheme="minorHAnsi"/>
        </w:rPr>
        <w:t>, and</w:t>
      </w:r>
      <w:r w:rsidRPr="00EC254D">
        <w:rPr>
          <w:rFonts w:asciiTheme="minorHAnsi" w:hAnsiTheme="minorHAnsi"/>
        </w:rPr>
        <w:t xml:space="preserve"> </w:t>
      </w:r>
      <w:r w:rsidR="007C2AE9">
        <w:rPr>
          <w:rFonts w:asciiTheme="minorHAnsi" w:hAnsiTheme="minorHAnsi"/>
        </w:rPr>
        <w:t xml:space="preserve">two </w:t>
      </w:r>
      <w:r w:rsidRPr="00EC254D">
        <w:rPr>
          <w:rFonts w:asciiTheme="minorHAnsi" w:hAnsiTheme="minorHAnsi"/>
        </w:rPr>
        <w:t>computer-assisted interview (CAI) versions of the questions</w:t>
      </w:r>
      <w:r>
        <w:rPr>
          <w:rFonts w:asciiTheme="minorHAnsi" w:hAnsiTheme="minorHAnsi"/>
        </w:rPr>
        <w:t xml:space="preserve">. The purpose of including two CAI modes </w:t>
      </w:r>
      <w:r w:rsidRPr="00EC254D">
        <w:rPr>
          <w:rFonts w:asciiTheme="minorHAnsi" w:hAnsiTheme="minorHAnsi"/>
        </w:rPr>
        <w:t xml:space="preserve">is to test both in-person </w:t>
      </w:r>
      <w:r>
        <w:rPr>
          <w:rFonts w:asciiTheme="minorHAnsi" w:hAnsiTheme="minorHAnsi"/>
        </w:rPr>
        <w:t xml:space="preserve">interviewing </w:t>
      </w:r>
      <w:r w:rsidR="005F7358">
        <w:rPr>
          <w:rFonts w:asciiTheme="minorHAnsi" w:hAnsiTheme="minorHAnsi"/>
        </w:rPr>
        <w:t xml:space="preserve">(with flashcards) </w:t>
      </w:r>
      <w:r w:rsidRPr="00EC254D">
        <w:rPr>
          <w:rFonts w:asciiTheme="minorHAnsi" w:hAnsiTheme="minorHAnsi"/>
        </w:rPr>
        <w:t>and telephone interviewing</w:t>
      </w:r>
      <w:r w:rsidR="005F7358">
        <w:rPr>
          <w:rFonts w:asciiTheme="minorHAnsi" w:hAnsiTheme="minorHAnsi"/>
        </w:rPr>
        <w:t xml:space="preserve"> (without flashcards)</w:t>
      </w:r>
      <w:r w:rsidRPr="00EC254D">
        <w:rPr>
          <w:rFonts w:asciiTheme="minorHAnsi" w:hAnsiTheme="minorHAnsi"/>
        </w:rPr>
        <w:t xml:space="preserve">. </w:t>
      </w:r>
      <w:r w:rsidR="00FE3513">
        <w:rPr>
          <w:rFonts w:asciiTheme="minorHAnsi" w:hAnsiTheme="minorHAnsi"/>
        </w:rPr>
        <w:t xml:space="preserve">Second, respondents will be assigned to receive either Treatment 1 or Treatment 2 </w:t>
      </w:r>
      <w:r w:rsidR="005F7358">
        <w:rPr>
          <w:rFonts w:asciiTheme="minorHAnsi" w:hAnsiTheme="minorHAnsi"/>
        </w:rPr>
        <w:t xml:space="preserve">of the </w:t>
      </w:r>
      <w:r w:rsidR="00FE3513">
        <w:rPr>
          <w:rFonts w:asciiTheme="minorHAnsi" w:hAnsiTheme="minorHAnsi"/>
        </w:rPr>
        <w:t xml:space="preserve">SOGI questions. The treatments differ in the </w:t>
      </w:r>
      <w:r w:rsidR="000D3894">
        <w:rPr>
          <w:rFonts w:asciiTheme="minorHAnsi" w:hAnsiTheme="minorHAnsi"/>
        </w:rPr>
        <w:t>second step of the</w:t>
      </w:r>
      <w:r w:rsidR="00FE3513">
        <w:rPr>
          <w:rFonts w:asciiTheme="minorHAnsi" w:hAnsiTheme="minorHAnsi"/>
        </w:rPr>
        <w:t xml:space="preserve"> gender identity questions</w:t>
      </w:r>
      <w:r w:rsidR="007C2AE9">
        <w:rPr>
          <w:rFonts w:asciiTheme="minorHAnsi" w:hAnsiTheme="minorHAnsi"/>
        </w:rPr>
        <w:t>, with Treatment 1 asking respondents to select one answer and Treatment 2 asking respondents to mark all that apply</w:t>
      </w:r>
      <w:r w:rsidR="00FE3513">
        <w:rPr>
          <w:rFonts w:asciiTheme="minorHAnsi" w:hAnsiTheme="minorHAnsi"/>
        </w:rPr>
        <w:t xml:space="preserve"> (see Attachment </w:t>
      </w:r>
      <w:r w:rsidR="006B436D">
        <w:rPr>
          <w:rFonts w:asciiTheme="minorHAnsi" w:hAnsiTheme="minorHAnsi"/>
        </w:rPr>
        <w:t>3</w:t>
      </w:r>
      <w:r w:rsidR="00FE3513">
        <w:rPr>
          <w:rFonts w:asciiTheme="minorHAnsi" w:hAnsiTheme="minorHAnsi"/>
        </w:rPr>
        <w:t>).</w:t>
      </w:r>
      <w:r w:rsidR="00DF2E40">
        <w:rPr>
          <w:rFonts w:asciiTheme="minorHAnsi" w:hAnsiTheme="minorHAnsi"/>
        </w:rPr>
        <w:t xml:space="preserve"> Attachment 4 provides more context on the question wording.</w:t>
      </w:r>
    </w:p>
    <w:p w:rsidR="00D24B35" w:rsidP="00D24B35" w14:paraId="6B462BB9" w14:textId="77777777">
      <w:pPr>
        <w:rPr>
          <w:rFonts w:asciiTheme="minorHAnsi" w:hAnsiTheme="minorHAnsi"/>
        </w:rPr>
      </w:pPr>
    </w:p>
    <w:p w:rsidR="00FE3513" w:rsidP="00DF2E40" w14:paraId="18E2AC70" w14:textId="017AFB65">
      <w:pPr>
        <w:rPr>
          <w:rFonts w:asciiTheme="minorHAnsi" w:hAnsiTheme="minorHAnsi" w:cstheme="minorHAnsi"/>
        </w:rPr>
      </w:pPr>
      <w:r>
        <w:rPr>
          <w:rFonts w:asciiTheme="minorHAnsi" w:hAnsiTheme="minorHAnsi" w:cstheme="minorHAnsi"/>
          <w:b/>
          <w:bCs/>
        </w:rPr>
        <w:t xml:space="preserve">Protocol: </w:t>
      </w:r>
      <w:r w:rsidRPr="000C7A73" w:rsidR="00D24B35">
        <w:rPr>
          <w:rFonts w:asciiTheme="minorHAnsi" w:hAnsiTheme="minorHAnsi" w:cstheme="minorHAnsi"/>
        </w:rPr>
        <w:t xml:space="preserve">During the interviews, respondents will </w:t>
      </w:r>
      <w:r w:rsidR="00D24B35">
        <w:rPr>
          <w:rFonts w:asciiTheme="minorHAnsi" w:hAnsiTheme="minorHAnsi" w:cstheme="minorHAnsi"/>
        </w:rPr>
        <w:t>first be asked to complete a shortened version of the ACS</w:t>
      </w:r>
      <w:r w:rsidR="003D67BA">
        <w:rPr>
          <w:rFonts w:asciiTheme="minorHAnsi" w:hAnsiTheme="minorHAnsi" w:cstheme="minorHAnsi"/>
        </w:rPr>
        <w:t xml:space="preserve"> </w:t>
      </w:r>
      <w:r w:rsidR="003D67BA">
        <w:rPr>
          <w:rFonts w:asciiTheme="minorHAnsi" w:hAnsiTheme="minorHAnsi"/>
        </w:rPr>
        <w:t xml:space="preserve">as they would if they received it at home or an interviewer had contacted </w:t>
      </w:r>
      <w:r w:rsidR="003D67BA">
        <w:rPr>
          <w:rFonts w:asciiTheme="minorHAnsi" w:hAnsiTheme="minorHAnsi"/>
        </w:rPr>
        <w:t>them at home</w:t>
      </w:r>
      <w:r w:rsidR="00DF2E40">
        <w:rPr>
          <w:rFonts w:asciiTheme="minorHAnsi" w:hAnsiTheme="minorHAnsi"/>
        </w:rPr>
        <w:t xml:space="preserve"> (see Attachment 5 for a rough mock-up of the paper questionnaire)</w:t>
      </w:r>
      <w:r>
        <w:rPr>
          <w:rFonts w:asciiTheme="minorHAnsi" w:hAnsiTheme="minorHAnsi" w:cstheme="minorHAnsi"/>
        </w:rPr>
        <w:t xml:space="preserve">. </w:t>
      </w:r>
      <w:r w:rsidR="003D67BA">
        <w:rPr>
          <w:rFonts w:asciiTheme="minorHAnsi" w:hAnsiTheme="minorHAnsi"/>
        </w:rPr>
        <w:t xml:space="preserve">Researchers will observe respondents’ interactions with the survey. </w:t>
      </w:r>
      <w:r>
        <w:rPr>
          <w:rFonts w:asciiTheme="minorHAnsi" w:hAnsiTheme="minorHAnsi" w:cstheme="minorHAnsi"/>
        </w:rPr>
        <w:t>Afterwards, they will be debriefed in several different ways</w:t>
      </w:r>
      <w:r w:rsidR="003D67BA">
        <w:rPr>
          <w:rFonts w:asciiTheme="minorHAnsi" w:hAnsiTheme="minorHAnsi" w:cstheme="minorHAnsi"/>
        </w:rPr>
        <w:t xml:space="preserve"> (see Attachment </w:t>
      </w:r>
      <w:r w:rsidR="00DF2E40">
        <w:rPr>
          <w:rFonts w:asciiTheme="minorHAnsi" w:hAnsiTheme="minorHAnsi" w:cstheme="minorHAnsi"/>
        </w:rPr>
        <w:t>6</w:t>
      </w:r>
      <w:r w:rsidR="003D67BA">
        <w:rPr>
          <w:rFonts w:asciiTheme="minorHAnsi" w:hAnsiTheme="minorHAnsi" w:cstheme="minorHAnsi"/>
        </w:rPr>
        <w:t>)</w:t>
      </w:r>
      <w:r>
        <w:rPr>
          <w:rFonts w:asciiTheme="minorHAnsi" w:hAnsiTheme="minorHAnsi" w:cstheme="minorHAnsi"/>
        </w:rPr>
        <w:t xml:space="preserve">. They will be asked generic probing questions and </w:t>
      </w:r>
      <w:r w:rsidR="00D24B35">
        <w:rPr>
          <w:rFonts w:asciiTheme="minorHAnsi" w:hAnsiTheme="minorHAnsi" w:cstheme="minorHAnsi"/>
        </w:rPr>
        <w:t xml:space="preserve">complete a card sort activity </w:t>
      </w:r>
      <w:r>
        <w:rPr>
          <w:rFonts w:asciiTheme="minorHAnsi" w:hAnsiTheme="minorHAnsi" w:cstheme="minorHAnsi"/>
        </w:rPr>
        <w:t>to</w:t>
      </w:r>
      <w:r w:rsidR="00D24B35">
        <w:rPr>
          <w:rFonts w:asciiTheme="minorHAnsi" w:hAnsiTheme="minorHAnsi" w:cstheme="minorHAnsi"/>
        </w:rPr>
        <w:t xml:space="preserve"> learn more about the perceived difficulty of the questions compared to other ACS items. They will then be probed about their answers to the SOGI questions</w:t>
      </w:r>
      <w:r w:rsidR="003D67BA">
        <w:rPr>
          <w:rFonts w:asciiTheme="minorHAnsi" w:hAnsiTheme="minorHAnsi" w:cstheme="minorHAnsi"/>
        </w:rPr>
        <w:t xml:space="preserve">. Probes include </w:t>
      </w:r>
      <w:r w:rsidR="003D67BA">
        <w:rPr>
          <w:rFonts w:asciiTheme="minorHAnsi" w:hAnsiTheme="minorHAnsi"/>
        </w:rPr>
        <w:t>asking how they came up with their answers and what certain terms and phrases mean to them</w:t>
      </w:r>
      <w:r w:rsidR="00201C46">
        <w:rPr>
          <w:rFonts w:asciiTheme="minorHAnsi" w:hAnsiTheme="minorHAnsi"/>
        </w:rPr>
        <w:t xml:space="preserve">. The protocol has a particular emphasis on probing about </w:t>
      </w:r>
      <w:r w:rsidR="007C2AE9">
        <w:rPr>
          <w:rFonts w:asciiTheme="minorHAnsi" w:hAnsiTheme="minorHAnsi"/>
        </w:rPr>
        <w:t>self versus</w:t>
      </w:r>
      <w:r w:rsidR="007C2AE9">
        <w:rPr>
          <w:rFonts w:asciiTheme="minorHAnsi" w:hAnsiTheme="minorHAnsi"/>
        </w:rPr>
        <w:t xml:space="preserve"> </w:t>
      </w:r>
      <w:r w:rsidR="00201C46">
        <w:rPr>
          <w:rFonts w:asciiTheme="minorHAnsi" w:hAnsiTheme="minorHAnsi"/>
        </w:rPr>
        <w:t>proxy responses.</w:t>
      </w:r>
    </w:p>
    <w:p w:rsidR="00FE3513" w:rsidP="00D24B35" w14:paraId="100308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D24B35" w:rsidRPr="000C7A73" w:rsidP="00D24B35" w14:paraId="6D8B4B56" w14:textId="0686A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Pr>
          <w:rFonts w:asciiTheme="minorHAnsi" w:hAnsiTheme="minorHAnsi" w:cstheme="minorHAnsi"/>
        </w:rPr>
        <w:t>We will also specifically probe on two other questions</w:t>
      </w:r>
      <w:r w:rsidR="006F33CB">
        <w:rPr>
          <w:rFonts w:asciiTheme="minorHAnsi" w:hAnsiTheme="minorHAnsi" w:cstheme="minorHAnsi"/>
        </w:rPr>
        <w:t>.</w:t>
      </w:r>
      <w:r>
        <w:rPr>
          <w:rFonts w:asciiTheme="minorHAnsi" w:hAnsiTheme="minorHAnsi" w:cstheme="minorHAnsi"/>
        </w:rPr>
        <w:t xml:space="preserve"> </w:t>
      </w:r>
      <w:r w:rsidR="005F7358">
        <w:rPr>
          <w:rFonts w:asciiTheme="minorHAnsi" w:hAnsiTheme="minorHAnsi" w:cstheme="minorHAnsi"/>
        </w:rPr>
        <w:t>W</w:t>
      </w:r>
      <w:r>
        <w:rPr>
          <w:rFonts w:asciiTheme="minorHAnsi" w:hAnsiTheme="minorHAnsi" w:cstheme="minorHAnsi"/>
        </w:rPr>
        <w:t>e will ask some probes on th</w:t>
      </w:r>
      <w:r w:rsidR="005F7358">
        <w:rPr>
          <w:rFonts w:asciiTheme="minorHAnsi" w:hAnsiTheme="minorHAnsi" w:cstheme="minorHAnsi"/>
        </w:rPr>
        <w:t xml:space="preserve">e relationship </w:t>
      </w:r>
      <w:r>
        <w:rPr>
          <w:rFonts w:asciiTheme="minorHAnsi" w:hAnsiTheme="minorHAnsi" w:cstheme="minorHAnsi"/>
        </w:rPr>
        <w:t>question</w:t>
      </w:r>
      <w:r w:rsidRPr="005F7358" w:rsidR="005F7358">
        <w:rPr>
          <w:rFonts w:asciiTheme="minorHAnsi" w:hAnsiTheme="minorHAnsi" w:cstheme="minorHAnsi"/>
        </w:rPr>
        <w:t xml:space="preserve"> </w:t>
      </w:r>
      <w:r w:rsidR="005F7358">
        <w:rPr>
          <w:rFonts w:asciiTheme="minorHAnsi" w:hAnsiTheme="minorHAnsi" w:cstheme="minorHAnsi"/>
        </w:rPr>
        <w:t>since it was edited</w:t>
      </w:r>
      <w:r w:rsidR="007C2AE9">
        <w:rPr>
          <w:rFonts w:asciiTheme="minorHAnsi" w:hAnsiTheme="minorHAnsi" w:cstheme="minorHAnsi"/>
        </w:rPr>
        <w:t xml:space="preserve"> from the production ACS question</w:t>
      </w:r>
      <w:r w:rsidR="005F7358">
        <w:rPr>
          <w:rFonts w:asciiTheme="minorHAnsi" w:hAnsiTheme="minorHAnsi" w:cstheme="minorHAnsi"/>
        </w:rPr>
        <w:t xml:space="preserve"> to use gender-neutral terminology</w:t>
      </w:r>
      <w:r>
        <w:rPr>
          <w:rFonts w:asciiTheme="minorHAnsi" w:hAnsiTheme="minorHAnsi" w:cstheme="minorHAnsi"/>
        </w:rPr>
        <w:t xml:space="preserve">. </w:t>
      </w:r>
      <w:r>
        <w:rPr>
          <w:rFonts w:asciiTheme="minorHAnsi" w:hAnsiTheme="minorHAnsi" w:cstheme="minorHAnsi"/>
        </w:rPr>
        <w:t>At the end of the interview,</w:t>
      </w:r>
      <w:r>
        <w:rPr>
          <w:rFonts w:asciiTheme="minorHAnsi" w:hAnsiTheme="minorHAnsi" w:cstheme="minorHAnsi"/>
        </w:rPr>
        <w:t xml:space="preserve"> we will ask respondents to answer a question about intersex status and probe them </w:t>
      </w:r>
      <w:r w:rsidR="005F7358">
        <w:rPr>
          <w:rFonts w:asciiTheme="minorHAnsi" w:hAnsiTheme="minorHAnsi" w:cstheme="minorHAnsi"/>
        </w:rPr>
        <w:t>about</w:t>
      </w:r>
      <w:r>
        <w:rPr>
          <w:rFonts w:asciiTheme="minorHAnsi" w:hAnsiTheme="minorHAnsi" w:cstheme="minorHAnsi"/>
        </w:rPr>
        <w:t xml:space="preserve"> their responses to this question. While the Census Bureau does not intend to add an intersex question to the ACS at this time, these results can help inform future efforts for the ACS and other federal surveys</w:t>
      </w:r>
      <w:r w:rsidR="000D3894">
        <w:rPr>
          <w:rFonts w:asciiTheme="minorHAnsi" w:hAnsiTheme="minorHAnsi" w:cstheme="minorHAnsi"/>
        </w:rPr>
        <w:t xml:space="preserve"> given the dearth of research in this area</w:t>
      </w:r>
      <w:r>
        <w:rPr>
          <w:rFonts w:asciiTheme="minorHAnsi" w:hAnsiTheme="minorHAnsi" w:cstheme="minorHAnsi"/>
        </w:rPr>
        <w:t>.</w:t>
      </w:r>
      <w:r w:rsidRPr="00FE3513">
        <w:rPr>
          <w:rFonts w:asciiTheme="minorHAnsi" w:hAnsiTheme="minorHAnsi"/>
        </w:rPr>
        <w:t xml:space="preserve"> </w:t>
      </w:r>
      <w:r>
        <w:rPr>
          <w:rFonts w:asciiTheme="minorHAnsi" w:hAnsiTheme="minorHAnsi"/>
        </w:rPr>
        <w:t>The interviews will conclude by asking respondents general debriefing probes about their experience.</w:t>
      </w:r>
    </w:p>
    <w:p w:rsidR="0074475C" w:rsidP="000C7A73" w14:paraId="2B0C932D" w14:textId="1C76E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74475C" w:rsidRPr="006A7823" w:rsidP="0074475C" w14:paraId="7739C6C8" w14:textId="50C0A98F">
      <w:pPr>
        <w:pStyle w:val="NormalWeb"/>
        <w:shd w:val="clear" w:color="auto" w:fill="FFFFFF" w:themeFill="background1"/>
        <w:rPr>
          <w:rFonts w:asciiTheme="minorHAnsi" w:hAnsiTheme="minorHAnsi"/>
          <w:b/>
          <w:color w:val="000000" w:themeColor="text1"/>
        </w:rPr>
      </w:pPr>
      <w:r w:rsidRPr="24D7F6F7">
        <w:rPr>
          <w:rFonts w:asciiTheme="minorHAnsi" w:hAnsiTheme="minorHAnsi"/>
          <w:b/>
          <w:color w:val="000000" w:themeColor="text1"/>
        </w:rPr>
        <w:t xml:space="preserve">Consent: </w:t>
      </w:r>
      <w:r w:rsidRPr="24D7F6F7">
        <w:rPr>
          <w:rFonts w:asciiTheme="minorHAnsi" w:hAnsiTheme="minorHAnsi"/>
          <w:color w:val="000000" w:themeColor="text1"/>
        </w:rPr>
        <w:t xml:space="preserve">We will inform </w:t>
      </w:r>
      <w:r>
        <w:rPr>
          <w:rFonts w:asciiTheme="minorHAnsi" w:hAnsiTheme="minorHAnsi"/>
          <w:color w:val="000000" w:themeColor="text1"/>
        </w:rPr>
        <w:t>respondent</w:t>
      </w:r>
      <w:r w:rsidRPr="24D7F6F7">
        <w:rPr>
          <w:rFonts w:asciiTheme="minorHAnsi" w:hAnsiTheme="minorHAnsi"/>
          <w:color w:val="000000" w:themeColor="text1"/>
        </w:rPr>
        <w:t xml:space="preserve">s that their response is voluntary and that the information they provide is confidential and will be accessed only by employees involved in the research project. The consent form will also indicate that the respondent agrees that the interview can be audio and/or videotaped to facilitate analysis of the results (see </w:t>
      </w:r>
      <w:r w:rsidR="006B436D">
        <w:rPr>
          <w:rFonts w:asciiTheme="minorHAnsi" w:hAnsiTheme="minorHAnsi"/>
          <w:color w:val="000000" w:themeColor="text1"/>
        </w:rPr>
        <w:t xml:space="preserve">Attachment </w:t>
      </w:r>
      <w:r w:rsidR="00AC018E">
        <w:rPr>
          <w:rFonts w:asciiTheme="minorHAnsi" w:hAnsiTheme="minorHAnsi"/>
          <w:color w:val="000000" w:themeColor="text1"/>
        </w:rPr>
        <w:t>7</w:t>
      </w:r>
      <w:r w:rsidRPr="24D7F6F7">
        <w:rPr>
          <w:rFonts w:asciiTheme="minorHAnsi" w:hAnsiTheme="minorHAnsi"/>
          <w:color w:val="000000" w:themeColor="text1"/>
        </w:rPr>
        <w:t xml:space="preserve">). </w:t>
      </w:r>
      <w:r w:rsidR="006F33CB">
        <w:rPr>
          <w:rFonts w:asciiTheme="minorHAnsi" w:hAnsiTheme="minorHAnsi"/>
          <w:color w:val="000000" w:themeColor="text1"/>
        </w:rPr>
        <w:t xml:space="preserve">Verbal consent will be captured on recordings. </w:t>
      </w:r>
      <w:r>
        <w:rPr>
          <w:rFonts w:asciiTheme="minorHAnsi" w:hAnsiTheme="minorHAnsi"/>
          <w:color w:val="000000" w:themeColor="text1"/>
        </w:rPr>
        <w:t>Respondent</w:t>
      </w:r>
      <w:r w:rsidRPr="24D7F6F7">
        <w:rPr>
          <w:rFonts w:asciiTheme="minorHAnsi" w:hAnsiTheme="minorHAnsi"/>
          <w:color w:val="000000" w:themeColor="text1"/>
        </w:rPr>
        <w:t xml:space="preserve">s who do not consent to be video and/or audio-taped will still be allowed to participate.  </w:t>
      </w:r>
    </w:p>
    <w:p w:rsidR="0074475C" w:rsidRPr="00BA4D7B" w:rsidP="0074475C" w14:paraId="7E8BE3EF" w14:textId="77777777">
      <w:pPr>
        <w:rPr>
          <w:rFonts w:asciiTheme="minorHAnsi" w:hAnsiTheme="minorHAnsi"/>
        </w:rPr>
      </w:pPr>
    </w:p>
    <w:p w:rsidR="0074475C" w:rsidRPr="00BA4D7B" w:rsidP="0074475C" w14:paraId="57B43CA3" w14:textId="77777777">
      <w:pPr>
        <w:rPr>
          <w:rFonts w:asciiTheme="minorHAnsi" w:hAnsiTheme="minorHAnsi"/>
        </w:rPr>
      </w:pPr>
      <w:r w:rsidRPr="00BA4D7B">
        <w:rPr>
          <w:rFonts w:asciiTheme="minorHAnsi" w:hAnsiTheme="minorHAnsi"/>
          <w:b/>
        </w:rPr>
        <w:t>Incentive</w:t>
      </w:r>
      <w:r w:rsidRPr="00BA4D7B">
        <w:rPr>
          <w:rFonts w:asciiTheme="minorHAnsi" w:hAnsiTheme="minorHAnsi"/>
        </w:rPr>
        <w:t xml:space="preserve">: </w:t>
      </w:r>
      <w:r>
        <w:rPr>
          <w:rFonts w:asciiTheme="minorHAnsi" w:hAnsiTheme="minorHAnsi"/>
        </w:rPr>
        <w:t>Respondent</w:t>
      </w:r>
      <w:r w:rsidRPr="00BA4D7B">
        <w:rPr>
          <w:rFonts w:asciiTheme="minorHAnsi" w:hAnsiTheme="minorHAnsi"/>
        </w:rPr>
        <w:t>s will receive $40.</w:t>
      </w:r>
    </w:p>
    <w:p w:rsidR="0074475C" w:rsidRPr="00BA4D7B" w:rsidP="0074475C" w14:paraId="388719F3" w14:textId="77777777">
      <w:pPr>
        <w:rPr>
          <w:rFonts w:asciiTheme="minorHAnsi" w:hAnsiTheme="minorHAnsi"/>
        </w:rPr>
      </w:pPr>
    </w:p>
    <w:p w:rsidR="002E0FAE" w:rsidRPr="002E0FAE" w:rsidP="002E0FAE" w14:paraId="08300CE5" w14:textId="21DB7A21">
      <w:pPr>
        <w:rPr>
          <w:rFonts w:asciiTheme="minorHAnsi" w:hAnsiTheme="minorHAnsi"/>
        </w:rPr>
      </w:pPr>
      <w:r w:rsidRPr="00BA4D7B">
        <w:rPr>
          <w:rFonts w:asciiTheme="minorHAnsi" w:hAnsiTheme="minorHAnsi"/>
          <w:b/>
        </w:rPr>
        <w:t>Length of Interview:</w:t>
      </w:r>
      <w:r w:rsidRPr="00BA4D7B">
        <w:rPr>
          <w:rFonts w:asciiTheme="minorHAnsi" w:hAnsiTheme="minorHAnsi"/>
        </w:rPr>
        <w:t xml:space="preserve"> </w:t>
      </w:r>
      <w:r w:rsidRPr="002E0FAE">
        <w:rPr>
          <w:rFonts w:asciiTheme="minorHAnsi" w:hAnsiTheme="minorHAnsi"/>
        </w:rPr>
        <w:t xml:space="preserve"> We estimate that each of the 218 interviews will take approximately one hour. This results in a burden of 218 hours. </w:t>
      </w:r>
    </w:p>
    <w:p w:rsidR="002E0FAE" w:rsidRPr="002E0FAE" w:rsidP="002E0FAE" w14:paraId="366B501C" w14:textId="77777777">
      <w:pPr>
        <w:rPr>
          <w:rFonts w:asciiTheme="minorHAnsi" w:hAnsiTheme="minorHAnsi"/>
        </w:rPr>
      </w:pPr>
    </w:p>
    <w:p w:rsidR="002E0FAE" w:rsidRPr="002E0FAE" w:rsidP="002E0FAE" w14:paraId="4DED0E60" w14:textId="3C79467F">
      <w:pPr>
        <w:rPr>
          <w:rFonts w:asciiTheme="minorHAnsi" w:hAnsiTheme="minorHAnsi"/>
        </w:rPr>
      </w:pPr>
      <w:r w:rsidRPr="002E0FAE">
        <w:rPr>
          <w:rFonts w:asciiTheme="minorHAnsi" w:hAnsiTheme="minorHAnsi"/>
        </w:rPr>
        <w:t xml:space="preserve">The screening questions specific to this research will take approximately 5 minutes per person. We estimate that we will screen 2 people for each successful recruit for each of the 218 interviews. Therefore, for the first round of interviewing, we estimate a total of 436 people screened for a total of </w:t>
      </w:r>
      <w:r>
        <w:rPr>
          <w:rFonts w:asciiTheme="minorHAnsi" w:hAnsiTheme="minorHAnsi"/>
        </w:rPr>
        <w:t>37</w:t>
      </w:r>
      <w:r w:rsidRPr="002E0FAE">
        <w:rPr>
          <w:rFonts w:asciiTheme="minorHAnsi" w:hAnsiTheme="minorHAnsi"/>
        </w:rPr>
        <w:t xml:space="preserve"> hours (436 people at 5 minutes each). </w:t>
      </w:r>
    </w:p>
    <w:p w:rsidR="0074475C" w:rsidP="002E0FAE" w14:paraId="39D2E513" w14:textId="1A4D484D">
      <w:pPr>
        <w:rPr>
          <w:rFonts w:asciiTheme="minorHAnsi" w:hAnsiTheme="minorHAnsi"/>
        </w:rPr>
      </w:pPr>
    </w:p>
    <w:p w:rsidR="0074475C" w:rsidRPr="00873349" w:rsidP="0074475C" w14:paraId="6AAAEC5B" w14:textId="4F12A5EB">
      <w:pPr>
        <w:rPr>
          <w:rFonts w:asciiTheme="minorHAnsi" w:hAnsiTheme="minorHAnsi"/>
        </w:rPr>
      </w:pPr>
      <w:r w:rsidRPr="00BA4D7B">
        <w:rPr>
          <w:rFonts w:asciiTheme="minorHAnsi" w:hAnsiTheme="minorHAnsi"/>
        </w:rPr>
        <w:t xml:space="preserve">Thus, </w:t>
      </w:r>
      <w:r w:rsidRPr="00BA4D7B">
        <w:rPr>
          <w:rFonts w:asciiTheme="minorHAnsi" w:hAnsiTheme="minorHAnsi"/>
          <w:b/>
        </w:rPr>
        <w:t>the total estimated burden for the first round of this research is</w:t>
      </w:r>
      <w:r>
        <w:rPr>
          <w:rFonts w:asciiTheme="minorHAnsi" w:hAnsiTheme="minorHAnsi"/>
          <w:b/>
        </w:rPr>
        <w:t xml:space="preserve"> </w:t>
      </w:r>
      <w:r w:rsidR="002E0FAE">
        <w:rPr>
          <w:rFonts w:asciiTheme="minorHAnsi" w:hAnsiTheme="minorHAnsi"/>
          <w:b/>
        </w:rPr>
        <w:t xml:space="preserve">255 </w:t>
      </w:r>
      <w:r w:rsidRPr="00BA4D7B">
        <w:rPr>
          <w:rFonts w:asciiTheme="minorHAnsi" w:hAnsiTheme="minorHAnsi"/>
          <w:b/>
        </w:rPr>
        <w:t xml:space="preserve">hours. </w:t>
      </w:r>
    </w:p>
    <w:p w:rsidR="0074475C" w:rsidRPr="00BA4D7B" w:rsidP="0074475C" w14:paraId="3A3A52D3" w14:textId="77777777">
      <w:pPr>
        <w:rPr>
          <w:rFonts w:asciiTheme="minorHAnsi" w:hAnsiTheme="minorHAnsi"/>
          <w:b/>
        </w:rPr>
      </w:pPr>
    </w:p>
    <w:p w:rsidR="0074475C" w:rsidRPr="00BA4D7B" w:rsidP="0074475C" w14:paraId="6A88347A" w14:textId="77777777">
      <w:pPr>
        <w:rPr>
          <w:rFonts w:asciiTheme="minorHAnsi" w:hAnsiTheme="minorHAnsi"/>
          <w:b/>
          <w:sz w:val="16"/>
          <w:szCs w:val="16"/>
        </w:rPr>
      </w:pPr>
      <w:r w:rsidRPr="24D7F6F7">
        <w:rPr>
          <w:rFonts w:asciiTheme="minorHAnsi" w:hAnsiTheme="minorHAnsi"/>
          <w:sz w:val="16"/>
          <w:szCs w:val="16"/>
        </w:rPr>
        <w:t xml:space="preserve">Table </w:t>
      </w:r>
      <w:r w:rsidRPr="24D7F6F7">
        <w:fldChar w:fldCharType="begin"/>
      </w:r>
      <w:r w:rsidRPr="00BA4D7B">
        <w:rPr>
          <w:rFonts w:asciiTheme="minorHAnsi" w:hAnsiTheme="minorHAnsi"/>
          <w:sz w:val="16"/>
        </w:rPr>
        <w:instrText xml:space="preserve"> SEQ Table \* ARABIC </w:instrText>
      </w:r>
      <w:r w:rsidRPr="24D7F6F7">
        <w:rPr>
          <w:rFonts w:asciiTheme="minorHAnsi" w:hAnsiTheme="minorHAnsi"/>
          <w:sz w:val="16"/>
        </w:rPr>
        <w:fldChar w:fldCharType="separate"/>
      </w:r>
      <w:r w:rsidRPr="24D7F6F7">
        <w:rPr>
          <w:rFonts w:asciiTheme="minorHAnsi" w:hAnsiTheme="minorHAnsi"/>
          <w:sz w:val="16"/>
          <w:szCs w:val="16"/>
        </w:rPr>
        <w:t>1</w:t>
      </w:r>
      <w:r w:rsidRPr="24D7F6F7">
        <w:fldChar w:fldCharType="end"/>
      </w:r>
      <w:r w:rsidRPr="24D7F6F7">
        <w:rPr>
          <w:rFonts w:asciiTheme="minorHAnsi" w:hAnsiTheme="minorHAnsi"/>
          <w:sz w:val="16"/>
          <w:szCs w:val="16"/>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920"/>
        <w:gridCol w:w="1800"/>
        <w:gridCol w:w="1620"/>
        <w:gridCol w:w="990"/>
      </w:tblGrid>
      <w:tr w14:paraId="5B472C26" w14:textId="77777777" w:rsidTr="003C1F61">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BA4D7B" w:rsidP="003C1F61" w14:paraId="065225A2"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 xml:space="preserve">Category of Respondent </w:t>
            </w:r>
          </w:p>
        </w:tc>
        <w:tc>
          <w:tcPr>
            <w:tcW w:w="1800" w:type="dxa"/>
            <w:tcMar>
              <w:top w:w="60" w:type="dxa"/>
              <w:left w:w="60" w:type="dxa"/>
              <w:bottom w:w="60" w:type="dxa"/>
              <w:right w:w="60" w:type="dxa"/>
            </w:tcMar>
            <w:hideMark/>
          </w:tcPr>
          <w:p w:rsidR="0074475C" w:rsidRPr="00BA4D7B" w:rsidP="003C1F61" w14:paraId="187A6E41"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No. of Respondents</w:t>
            </w:r>
          </w:p>
        </w:tc>
        <w:tc>
          <w:tcPr>
            <w:tcW w:w="1620" w:type="dxa"/>
            <w:tcMar>
              <w:top w:w="60" w:type="dxa"/>
              <w:left w:w="60" w:type="dxa"/>
              <w:bottom w:w="60" w:type="dxa"/>
              <w:right w:w="60" w:type="dxa"/>
            </w:tcMar>
            <w:hideMark/>
          </w:tcPr>
          <w:p w:rsidR="0074475C" w:rsidRPr="00BA4D7B" w:rsidP="003C1F61" w14:paraId="2BE46225"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Participation Time</w:t>
            </w:r>
          </w:p>
        </w:tc>
        <w:tc>
          <w:tcPr>
            <w:tcW w:w="990" w:type="dxa"/>
            <w:tcMar>
              <w:top w:w="60" w:type="dxa"/>
              <w:left w:w="60" w:type="dxa"/>
              <w:bottom w:w="60" w:type="dxa"/>
              <w:right w:w="60" w:type="dxa"/>
            </w:tcMar>
            <w:hideMark/>
          </w:tcPr>
          <w:p w:rsidR="0074475C" w:rsidRPr="00BA4D7B" w:rsidP="003C1F61" w14:paraId="7395F78F"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Burden</w:t>
            </w:r>
          </w:p>
        </w:tc>
      </w:tr>
      <w:tr w14:paraId="5692FDBC" w14:textId="77777777" w:rsidTr="003C1F61">
        <w:tblPrEx>
          <w:tblW w:w="9330" w:type="dxa"/>
          <w:tblLayout w:type="fixed"/>
          <w:tblCellMar>
            <w:top w:w="15" w:type="dxa"/>
            <w:left w:w="15" w:type="dxa"/>
            <w:bottom w:w="15" w:type="dxa"/>
            <w:right w:w="15" w:type="dxa"/>
          </w:tblCellMar>
          <w:tblLook w:val="04A0"/>
        </w:tblPrEx>
        <w:trPr>
          <w:trHeight w:val="222"/>
        </w:trPr>
        <w:tc>
          <w:tcPr>
            <w:tcW w:w="4920" w:type="dxa"/>
            <w:tcMar>
              <w:top w:w="60" w:type="dxa"/>
              <w:left w:w="60" w:type="dxa"/>
              <w:bottom w:w="60" w:type="dxa"/>
              <w:right w:w="60" w:type="dxa"/>
            </w:tcMar>
            <w:hideMark/>
          </w:tcPr>
          <w:p w:rsidR="002E0FAE" w:rsidRPr="00BA4D7B" w:rsidP="002E0FAE" w14:paraId="547589BE" w14:textId="77777777">
            <w:pPr>
              <w:rPr>
                <w:rFonts w:asciiTheme="minorHAnsi" w:hAnsiTheme="minorHAnsi"/>
                <w:color w:val="000000" w:themeColor="text1"/>
                <w:sz w:val="14"/>
                <w:szCs w:val="14"/>
              </w:rPr>
            </w:pPr>
            <w:r w:rsidRPr="24D7F6F7">
              <w:rPr>
                <w:rFonts w:asciiTheme="minorHAnsi" w:hAnsiTheme="minorHAnsi"/>
                <w:color w:val="000000" w:themeColor="text1"/>
                <w:sz w:val="14"/>
                <w:szCs w:val="14"/>
              </w:rPr>
              <w:t>  Screening</w:t>
            </w:r>
          </w:p>
        </w:tc>
        <w:tc>
          <w:tcPr>
            <w:tcW w:w="1800" w:type="dxa"/>
            <w:tcMar>
              <w:top w:w="60" w:type="dxa"/>
              <w:left w:w="60" w:type="dxa"/>
              <w:bottom w:w="60" w:type="dxa"/>
              <w:right w:w="60" w:type="dxa"/>
            </w:tcMar>
            <w:hideMark/>
          </w:tcPr>
          <w:p w:rsidR="002E0FAE" w:rsidRPr="006B436D" w:rsidP="002E0FAE" w14:paraId="3C3212FE" w14:textId="156BEE9F">
            <w:pPr>
              <w:rPr>
                <w:rFonts w:asciiTheme="minorHAnsi" w:hAnsiTheme="minorHAnsi"/>
                <w:color w:val="000000" w:themeColor="text1"/>
                <w:sz w:val="14"/>
                <w:szCs w:val="14"/>
                <w:highlight w:val="yellow"/>
              </w:rPr>
            </w:pPr>
            <w:r>
              <w:rPr>
                <w:rFonts w:asciiTheme="minorHAnsi" w:hAnsiTheme="minorHAnsi"/>
                <w:color w:val="000000" w:themeColor="text1"/>
                <w:sz w:val="14"/>
                <w:szCs w:val="14"/>
              </w:rPr>
              <w:t>436</w:t>
            </w:r>
          </w:p>
        </w:tc>
        <w:tc>
          <w:tcPr>
            <w:tcW w:w="1620" w:type="dxa"/>
            <w:tcMar>
              <w:top w:w="60" w:type="dxa"/>
              <w:left w:w="60" w:type="dxa"/>
              <w:bottom w:w="60" w:type="dxa"/>
              <w:right w:w="60" w:type="dxa"/>
            </w:tcMar>
            <w:hideMark/>
          </w:tcPr>
          <w:p w:rsidR="002E0FAE" w:rsidRPr="006B436D" w:rsidP="002E0FAE" w14:paraId="680F735C" w14:textId="0AC37407">
            <w:pPr>
              <w:rPr>
                <w:rFonts w:asciiTheme="minorHAnsi" w:hAnsiTheme="minorHAnsi"/>
                <w:color w:val="000000" w:themeColor="text1"/>
                <w:sz w:val="14"/>
                <w:szCs w:val="14"/>
                <w:highlight w:val="yellow"/>
              </w:rPr>
            </w:pPr>
            <w:r w:rsidRPr="00DF585A">
              <w:rPr>
                <w:rFonts w:asciiTheme="minorHAnsi" w:hAnsiTheme="minorHAnsi"/>
                <w:color w:val="000000" w:themeColor="text1"/>
                <w:sz w:val="14"/>
                <w:szCs w:val="14"/>
              </w:rPr>
              <w:t>5 minutes</w:t>
            </w:r>
          </w:p>
        </w:tc>
        <w:tc>
          <w:tcPr>
            <w:tcW w:w="990" w:type="dxa"/>
            <w:tcMar>
              <w:top w:w="60" w:type="dxa"/>
              <w:left w:w="60" w:type="dxa"/>
              <w:bottom w:w="60" w:type="dxa"/>
              <w:right w:w="60" w:type="dxa"/>
            </w:tcMar>
            <w:hideMark/>
          </w:tcPr>
          <w:p w:rsidR="002E0FAE" w:rsidRPr="006B436D" w:rsidP="002E0FAE" w14:paraId="33C98F80" w14:textId="4BEE3A00">
            <w:pPr>
              <w:rPr>
                <w:rFonts w:asciiTheme="minorHAnsi" w:hAnsiTheme="minorHAnsi"/>
                <w:color w:val="000000" w:themeColor="text1"/>
                <w:sz w:val="14"/>
                <w:szCs w:val="14"/>
                <w:highlight w:val="yellow"/>
              </w:rPr>
            </w:pPr>
            <w:r w:rsidRPr="00DF585A">
              <w:rPr>
                <w:rFonts w:asciiTheme="minorHAnsi" w:hAnsiTheme="minorHAnsi"/>
                <w:color w:val="000000" w:themeColor="text1"/>
                <w:sz w:val="14"/>
                <w:szCs w:val="14"/>
              </w:rPr>
              <w:t>3</w:t>
            </w:r>
            <w:r>
              <w:rPr>
                <w:rFonts w:asciiTheme="minorHAnsi" w:hAnsiTheme="minorHAnsi"/>
                <w:color w:val="000000" w:themeColor="text1"/>
                <w:sz w:val="14"/>
                <w:szCs w:val="14"/>
              </w:rPr>
              <w:t>7</w:t>
            </w:r>
            <w:r w:rsidRPr="00DF585A">
              <w:rPr>
                <w:rFonts w:asciiTheme="minorHAnsi" w:hAnsiTheme="minorHAnsi"/>
                <w:color w:val="000000" w:themeColor="text1"/>
                <w:sz w:val="14"/>
                <w:szCs w:val="14"/>
              </w:rPr>
              <w:t xml:space="preserve"> hours</w:t>
            </w:r>
          </w:p>
        </w:tc>
      </w:tr>
      <w:tr w14:paraId="6CECE58D" w14:textId="77777777" w:rsidTr="003C1F61">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BA4D7B" w:rsidP="003C1F61" w14:paraId="601D0623" w14:textId="77777777">
            <w:pPr>
              <w:rPr>
                <w:rFonts w:asciiTheme="minorHAnsi" w:hAnsiTheme="minorHAnsi"/>
                <w:color w:val="000000" w:themeColor="text1"/>
                <w:sz w:val="14"/>
                <w:szCs w:val="14"/>
              </w:rPr>
            </w:pPr>
            <w:r w:rsidRPr="24D7F6F7">
              <w:rPr>
                <w:rFonts w:asciiTheme="minorHAnsi" w:hAnsiTheme="minorHAnsi"/>
                <w:color w:val="000000" w:themeColor="text1"/>
                <w:sz w:val="14"/>
                <w:szCs w:val="14"/>
              </w:rPr>
              <w:t>  Cognitive Interviews</w:t>
            </w:r>
          </w:p>
        </w:tc>
        <w:tc>
          <w:tcPr>
            <w:tcW w:w="1800" w:type="dxa"/>
            <w:tcMar>
              <w:top w:w="60" w:type="dxa"/>
              <w:left w:w="60" w:type="dxa"/>
              <w:bottom w:w="60" w:type="dxa"/>
              <w:right w:w="60" w:type="dxa"/>
            </w:tcMar>
            <w:hideMark/>
          </w:tcPr>
          <w:p w:rsidR="0074475C" w:rsidRPr="00BA4D7B" w:rsidP="003C1F61" w14:paraId="54815BAF" w14:textId="331F746D">
            <w:pPr>
              <w:rPr>
                <w:rFonts w:asciiTheme="minorHAnsi" w:hAnsiTheme="minorHAnsi"/>
                <w:color w:val="000000" w:themeColor="text1"/>
                <w:sz w:val="14"/>
                <w:szCs w:val="14"/>
              </w:rPr>
            </w:pPr>
            <w:r>
              <w:rPr>
                <w:rFonts w:asciiTheme="minorHAnsi" w:hAnsiTheme="minorHAnsi"/>
                <w:color w:val="000000" w:themeColor="text1"/>
                <w:sz w:val="14"/>
                <w:szCs w:val="14"/>
              </w:rPr>
              <w:t>218</w:t>
            </w:r>
          </w:p>
        </w:tc>
        <w:tc>
          <w:tcPr>
            <w:tcW w:w="1620" w:type="dxa"/>
            <w:tcMar>
              <w:top w:w="60" w:type="dxa"/>
              <w:left w:w="60" w:type="dxa"/>
              <w:bottom w:w="60" w:type="dxa"/>
              <w:right w:w="60" w:type="dxa"/>
            </w:tcMar>
            <w:hideMark/>
          </w:tcPr>
          <w:p w:rsidR="0074475C" w:rsidRPr="00BA4D7B" w:rsidP="003C1F61" w14:paraId="01A722CB" w14:textId="77777777">
            <w:pPr>
              <w:rPr>
                <w:rFonts w:asciiTheme="minorHAnsi" w:hAnsiTheme="minorHAnsi"/>
                <w:color w:val="000000" w:themeColor="text1"/>
                <w:sz w:val="14"/>
                <w:szCs w:val="14"/>
              </w:rPr>
            </w:pPr>
            <w:r w:rsidRPr="00213CB6">
              <w:rPr>
                <w:rFonts w:asciiTheme="minorHAnsi" w:hAnsiTheme="minorHAnsi"/>
                <w:color w:val="000000" w:themeColor="text1"/>
                <w:sz w:val="14"/>
                <w:szCs w:val="14"/>
              </w:rPr>
              <w:t>60 minutes</w:t>
            </w:r>
          </w:p>
        </w:tc>
        <w:tc>
          <w:tcPr>
            <w:tcW w:w="990" w:type="dxa"/>
            <w:tcMar>
              <w:top w:w="60" w:type="dxa"/>
              <w:left w:w="60" w:type="dxa"/>
              <w:bottom w:w="60" w:type="dxa"/>
              <w:right w:w="60" w:type="dxa"/>
            </w:tcMar>
            <w:hideMark/>
          </w:tcPr>
          <w:p w:rsidR="0074475C" w:rsidRPr="00BA4D7B" w:rsidP="003C1F61" w14:paraId="03EE6D89" w14:textId="3EE7EB26">
            <w:pPr>
              <w:rPr>
                <w:rFonts w:asciiTheme="minorHAnsi" w:hAnsiTheme="minorHAnsi"/>
                <w:color w:val="000000" w:themeColor="text1"/>
                <w:sz w:val="14"/>
                <w:szCs w:val="14"/>
              </w:rPr>
            </w:pPr>
            <w:r>
              <w:rPr>
                <w:rFonts w:asciiTheme="minorHAnsi" w:hAnsiTheme="minorHAnsi"/>
                <w:color w:val="000000" w:themeColor="text1"/>
                <w:sz w:val="14"/>
                <w:szCs w:val="14"/>
              </w:rPr>
              <w:t>218 hours</w:t>
            </w:r>
          </w:p>
        </w:tc>
      </w:tr>
      <w:tr w14:paraId="0BEE55BE" w14:textId="77777777" w:rsidTr="003C1F61">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74475C" w:rsidRPr="00BA4D7B" w:rsidP="003C1F61" w14:paraId="572F542E" w14:textId="77777777">
            <w:pPr>
              <w:rPr>
                <w:rFonts w:asciiTheme="minorHAnsi" w:hAnsiTheme="minorHAnsi"/>
                <w:color w:val="000000" w:themeColor="text1"/>
                <w:sz w:val="14"/>
                <w:szCs w:val="14"/>
              </w:rPr>
            </w:pPr>
            <w:r w:rsidRPr="24D7F6F7">
              <w:rPr>
                <w:rFonts w:asciiTheme="minorHAnsi" w:hAnsiTheme="minorHAnsi"/>
                <w:b/>
                <w:color w:val="000000" w:themeColor="text1"/>
                <w:sz w:val="14"/>
                <w:szCs w:val="14"/>
              </w:rPr>
              <w:t>Totals</w:t>
            </w:r>
          </w:p>
        </w:tc>
        <w:tc>
          <w:tcPr>
            <w:tcW w:w="1800" w:type="dxa"/>
            <w:tcMar>
              <w:top w:w="60" w:type="dxa"/>
              <w:left w:w="60" w:type="dxa"/>
              <w:bottom w:w="60" w:type="dxa"/>
              <w:right w:w="60" w:type="dxa"/>
            </w:tcMar>
            <w:hideMark/>
          </w:tcPr>
          <w:p w:rsidR="0074475C" w:rsidRPr="00BA4D7B" w:rsidP="003C1F61" w14:paraId="4DBD5056" w14:textId="77777777">
            <w:pPr>
              <w:rPr>
                <w:rFonts w:asciiTheme="minorHAnsi" w:hAnsiTheme="minorHAnsi"/>
                <w:color w:val="000000"/>
                <w:sz w:val="14"/>
                <w:szCs w:val="12"/>
              </w:rPr>
            </w:pPr>
          </w:p>
        </w:tc>
        <w:tc>
          <w:tcPr>
            <w:tcW w:w="1620" w:type="dxa"/>
            <w:tcMar>
              <w:top w:w="60" w:type="dxa"/>
              <w:left w:w="60" w:type="dxa"/>
              <w:bottom w:w="60" w:type="dxa"/>
              <w:right w:w="60" w:type="dxa"/>
            </w:tcMar>
            <w:hideMark/>
          </w:tcPr>
          <w:p w:rsidR="0074475C" w:rsidRPr="00BA4D7B" w:rsidP="003C1F61" w14:paraId="72BFD519" w14:textId="77777777">
            <w:pPr>
              <w:rPr>
                <w:rFonts w:asciiTheme="minorHAnsi" w:hAnsiTheme="minorHAnsi"/>
                <w:color w:val="000000"/>
                <w:sz w:val="14"/>
                <w:szCs w:val="12"/>
              </w:rPr>
            </w:pPr>
          </w:p>
        </w:tc>
        <w:tc>
          <w:tcPr>
            <w:tcW w:w="990" w:type="dxa"/>
            <w:tcMar>
              <w:top w:w="60" w:type="dxa"/>
              <w:left w:w="60" w:type="dxa"/>
              <w:bottom w:w="60" w:type="dxa"/>
              <w:right w:w="60" w:type="dxa"/>
            </w:tcMar>
            <w:hideMark/>
          </w:tcPr>
          <w:p w:rsidR="0074475C" w:rsidRPr="00BA4D7B" w:rsidP="003C1F61" w14:paraId="445F0277" w14:textId="19E878FD">
            <w:pPr>
              <w:rPr>
                <w:rFonts w:asciiTheme="minorHAnsi" w:hAnsiTheme="minorHAnsi"/>
                <w:color w:val="000000" w:themeColor="text1"/>
                <w:sz w:val="14"/>
                <w:szCs w:val="14"/>
              </w:rPr>
            </w:pPr>
            <w:r>
              <w:rPr>
                <w:rFonts w:asciiTheme="minorHAnsi" w:hAnsiTheme="minorHAnsi"/>
                <w:color w:val="000000" w:themeColor="text1"/>
                <w:sz w:val="14"/>
                <w:szCs w:val="14"/>
              </w:rPr>
              <w:t>255</w:t>
            </w:r>
            <w:r w:rsidRPr="002E0FAE">
              <w:rPr>
                <w:rFonts w:asciiTheme="minorHAnsi" w:hAnsiTheme="minorHAnsi"/>
                <w:color w:val="000000" w:themeColor="text1"/>
                <w:sz w:val="14"/>
                <w:szCs w:val="14"/>
              </w:rPr>
              <w:t xml:space="preserve"> hours</w:t>
            </w:r>
          </w:p>
        </w:tc>
      </w:tr>
    </w:tbl>
    <w:p w:rsidR="0074475C" w:rsidRPr="00BA4D7B" w:rsidP="0074475C" w14:paraId="515C0A94" w14:textId="77777777">
      <w:pPr>
        <w:rPr>
          <w:rFonts w:asciiTheme="minorHAnsi" w:hAnsiTheme="minorHAnsi"/>
        </w:rPr>
      </w:pPr>
    </w:p>
    <w:p w:rsidR="0074475C" w:rsidP="0074475C" w14:paraId="530E9E37" w14:textId="77777777">
      <w:pPr>
        <w:rPr>
          <w:rFonts w:asciiTheme="minorHAnsi" w:hAnsiTheme="minorHAnsi"/>
        </w:rPr>
      </w:pPr>
      <w:r w:rsidRPr="00FE324D">
        <w:rPr>
          <w:rFonts w:asciiTheme="minorHAnsi" w:hAnsiTheme="minorHAnsi"/>
        </w:rPr>
        <w:t xml:space="preserve">Below is a list of materials to be used in the current study: </w:t>
      </w:r>
    </w:p>
    <w:p w:rsidR="0074475C" w:rsidRPr="00A24DBE" w:rsidP="006B436D" w14:paraId="77654730" w14:textId="4330AD1E">
      <w:pPr>
        <w:rPr>
          <w:rFonts w:asciiTheme="minorHAnsi" w:hAnsiTheme="minorHAnsi"/>
        </w:rPr>
      </w:pPr>
      <w:r>
        <w:rPr>
          <w:rFonts w:asciiTheme="minorHAnsi" w:hAnsiTheme="minorHAnsi"/>
        </w:rPr>
        <w:tab/>
      </w:r>
      <w:r w:rsidR="006B436D">
        <w:rPr>
          <w:rFonts w:asciiTheme="minorHAnsi" w:hAnsiTheme="minorHAnsi"/>
        </w:rPr>
        <w:t>Attachment 1</w:t>
      </w:r>
      <w:r w:rsidRPr="00A24DBE">
        <w:rPr>
          <w:rFonts w:asciiTheme="minorHAnsi" w:hAnsiTheme="minorHAnsi"/>
        </w:rPr>
        <w:t>. Screening questionnaire</w:t>
      </w:r>
    </w:p>
    <w:p w:rsidR="0074475C" w:rsidP="0074475C" w14:paraId="036904E3" w14:textId="74A077A5">
      <w:pPr>
        <w:ind w:firstLine="720"/>
        <w:rPr>
          <w:rFonts w:asciiTheme="minorHAnsi" w:hAnsiTheme="minorHAnsi"/>
        </w:rPr>
      </w:pPr>
      <w:r>
        <w:rPr>
          <w:rFonts w:asciiTheme="minorHAnsi" w:hAnsiTheme="minorHAnsi"/>
        </w:rPr>
        <w:t>Attachment 2</w:t>
      </w:r>
      <w:r w:rsidRPr="00A24DBE">
        <w:rPr>
          <w:rFonts w:asciiTheme="minorHAnsi" w:hAnsiTheme="minorHAnsi"/>
        </w:rPr>
        <w:t>. Recruitment methodology and ads</w:t>
      </w:r>
    </w:p>
    <w:p w:rsidR="006B436D" w:rsidP="0074475C" w14:paraId="4B1ADDFE" w14:textId="276B99D6">
      <w:pPr>
        <w:ind w:firstLine="720"/>
        <w:rPr>
          <w:rFonts w:asciiTheme="minorHAnsi" w:hAnsiTheme="minorHAnsi"/>
        </w:rPr>
      </w:pPr>
      <w:r>
        <w:rPr>
          <w:rFonts w:asciiTheme="minorHAnsi" w:hAnsiTheme="minorHAnsi"/>
        </w:rPr>
        <w:t>Attachment 3. Treatment</w:t>
      </w:r>
      <w:r w:rsidR="00F15888">
        <w:rPr>
          <w:rFonts w:asciiTheme="minorHAnsi" w:hAnsiTheme="minorHAnsi"/>
        </w:rPr>
        <w:t>s</w:t>
      </w:r>
      <w:r>
        <w:rPr>
          <w:rFonts w:asciiTheme="minorHAnsi" w:hAnsiTheme="minorHAnsi"/>
        </w:rPr>
        <w:t xml:space="preserve"> 1</w:t>
      </w:r>
      <w:r w:rsidR="00F15888">
        <w:rPr>
          <w:rFonts w:asciiTheme="minorHAnsi" w:hAnsiTheme="minorHAnsi"/>
        </w:rPr>
        <w:t xml:space="preserve"> and 2</w:t>
      </w:r>
      <w:r>
        <w:rPr>
          <w:rFonts w:asciiTheme="minorHAnsi" w:hAnsiTheme="minorHAnsi"/>
        </w:rPr>
        <w:t xml:space="preserve"> SOGI questions</w:t>
      </w:r>
      <w:r w:rsidR="00F15888">
        <w:rPr>
          <w:rFonts w:asciiTheme="minorHAnsi" w:hAnsiTheme="minorHAnsi"/>
        </w:rPr>
        <w:t xml:space="preserve"> by mode</w:t>
      </w:r>
    </w:p>
    <w:p w:rsidR="00725AA2" w:rsidP="0074475C" w14:paraId="54444CF4" w14:textId="6A38780E">
      <w:pPr>
        <w:ind w:firstLine="720"/>
        <w:rPr>
          <w:rFonts w:asciiTheme="minorHAnsi" w:hAnsiTheme="minorHAnsi"/>
        </w:rPr>
      </w:pPr>
      <w:r>
        <w:rPr>
          <w:rFonts w:asciiTheme="minorHAnsi" w:hAnsiTheme="minorHAnsi"/>
        </w:rPr>
        <w:t xml:space="preserve">Attachment </w:t>
      </w:r>
      <w:r w:rsidR="00F15888">
        <w:rPr>
          <w:rFonts w:asciiTheme="minorHAnsi" w:hAnsiTheme="minorHAnsi"/>
        </w:rPr>
        <w:t>4</w:t>
      </w:r>
      <w:r>
        <w:rPr>
          <w:rFonts w:asciiTheme="minorHAnsi" w:hAnsiTheme="minorHAnsi"/>
        </w:rPr>
        <w:t xml:space="preserve">. </w:t>
      </w:r>
      <w:r w:rsidR="00B2677E">
        <w:rPr>
          <w:rFonts w:asciiTheme="minorHAnsi" w:hAnsiTheme="minorHAnsi"/>
        </w:rPr>
        <w:t>Background on SOGI wording</w:t>
      </w:r>
    </w:p>
    <w:p w:rsidR="00DF2E40" w:rsidP="0074475C" w14:paraId="6E434BBC" w14:textId="22823E3A">
      <w:pPr>
        <w:ind w:firstLine="720"/>
        <w:rPr>
          <w:rFonts w:asciiTheme="minorHAnsi" w:hAnsiTheme="minorHAnsi"/>
        </w:rPr>
      </w:pPr>
      <w:r>
        <w:rPr>
          <w:rFonts w:asciiTheme="minorHAnsi" w:hAnsiTheme="minorHAnsi"/>
        </w:rPr>
        <w:t>Attachment 5. Mock questionnaire</w:t>
      </w:r>
    </w:p>
    <w:p w:rsidR="004B2335" w:rsidP="0074475C" w14:paraId="523CB70D" w14:textId="22A5CB61">
      <w:pPr>
        <w:ind w:firstLine="720"/>
        <w:rPr>
          <w:rFonts w:asciiTheme="minorHAnsi" w:hAnsiTheme="minorHAnsi"/>
        </w:rPr>
      </w:pPr>
      <w:r>
        <w:rPr>
          <w:rFonts w:asciiTheme="minorHAnsi" w:hAnsiTheme="minorHAnsi"/>
        </w:rPr>
        <w:t xml:space="preserve">Attachment </w:t>
      </w:r>
      <w:r w:rsidR="00DF2E40">
        <w:rPr>
          <w:rFonts w:asciiTheme="minorHAnsi" w:hAnsiTheme="minorHAnsi"/>
        </w:rPr>
        <w:t>6</w:t>
      </w:r>
      <w:r>
        <w:rPr>
          <w:rFonts w:asciiTheme="minorHAnsi" w:hAnsiTheme="minorHAnsi"/>
        </w:rPr>
        <w:t>. Protocol</w:t>
      </w:r>
    </w:p>
    <w:p w:rsidR="0074475C" w:rsidP="0074475C" w14:paraId="0940B2B9" w14:textId="11817051">
      <w:pPr>
        <w:ind w:firstLine="720"/>
        <w:rPr>
          <w:rFonts w:asciiTheme="minorHAnsi" w:hAnsiTheme="minorHAnsi"/>
        </w:rPr>
      </w:pPr>
      <w:r>
        <w:rPr>
          <w:rFonts w:asciiTheme="minorHAnsi" w:hAnsiTheme="minorHAnsi"/>
        </w:rPr>
        <w:t xml:space="preserve">Attachment </w:t>
      </w:r>
      <w:r w:rsidR="00AC018E">
        <w:rPr>
          <w:rFonts w:asciiTheme="minorHAnsi" w:hAnsiTheme="minorHAnsi"/>
        </w:rPr>
        <w:t>7</w:t>
      </w:r>
      <w:r w:rsidRPr="00FD4B11">
        <w:rPr>
          <w:rFonts w:asciiTheme="minorHAnsi" w:hAnsiTheme="minorHAnsi"/>
        </w:rPr>
        <w:t>. Consent form</w:t>
      </w:r>
    </w:p>
    <w:p w:rsidR="0074475C" w:rsidRPr="000C7A73" w:rsidP="000C7A73" w14:paraId="182394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12D570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r w:rsidRPr="000C7A73">
        <w:rPr>
          <w:rFonts w:asciiTheme="minorHAnsi" w:hAnsiTheme="minorHAnsi" w:cstheme="minorHAnsi"/>
          <w:b/>
        </w:rPr>
        <w:t>Contact:</w:t>
      </w:r>
      <w:r w:rsidRPr="000C7A73">
        <w:rPr>
          <w:rFonts w:asciiTheme="minorHAnsi" w:hAnsiTheme="minorHAnsi" w:cstheme="minorHAnsi"/>
        </w:rPr>
        <w:t xml:space="preserve"> The contact person for questions regarding data collection and statistical aspects of the design of this research is listed below:</w:t>
      </w:r>
    </w:p>
    <w:p w:rsidR="000C7A73" w:rsidRPr="000C7A73" w:rsidP="000C7A73" w14:paraId="21577C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34425136" w14:textId="39E2A0CC">
      <w:pPr>
        <w:ind w:left="720"/>
        <w:rPr>
          <w:rFonts w:asciiTheme="minorHAnsi" w:hAnsiTheme="minorHAnsi" w:cstheme="minorHAnsi"/>
        </w:rPr>
      </w:pPr>
      <w:r w:rsidRPr="000C7A73">
        <w:rPr>
          <w:rFonts w:asciiTheme="minorHAnsi" w:hAnsiTheme="minorHAnsi" w:cstheme="minorHAnsi"/>
        </w:rPr>
        <w:t>Je</w:t>
      </w:r>
      <w:r w:rsidR="00D94CF9">
        <w:rPr>
          <w:rFonts w:asciiTheme="minorHAnsi" w:hAnsiTheme="minorHAnsi" w:cstheme="minorHAnsi"/>
        </w:rPr>
        <w:t xml:space="preserve">ssica </w:t>
      </w:r>
      <w:r w:rsidR="00D94CF9">
        <w:rPr>
          <w:rFonts w:asciiTheme="minorHAnsi" w:hAnsiTheme="minorHAnsi" w:cstheme="minorHAnsi"/>
        </w:rPr>
        <w:t>Holzberg</w:t>
      </w:r>
    </w:p>
    <w:p w:rsidR="000C7A73" w:rsidRPr="000C7A73" w:rsidP="000C7A73" w14:paraId="6F32602D" w14:textId="77777777">
      <w:pPr>
        <w:ind w:left="720"/>
        <w:rPr>
          <w:rFonts w:asciiTheme="minorHAnsi" w:hAnsiTheme="minorHAnsi" w:cstheme="minorHAnsi"/>
        </w:rPr>
      </w:pPr>
      <w:r w:rsidRPr="000C7A73">
        <w:rPr>
          <w:rFonts w:asciiTheme="minorHAnsi" w:hAnsiTheme="minorHAnsi" w:cstheme="minorHAnsi"/>
        </w:rPr>
        <w:t>Center for Behavioral Science Methods</w:t>
      </w:r>
    </w:p>
    <w:p w:rsidR="000C7A73" w:rsidRPr="000C7A73" w:rsidP="000C7A73" w14:paraId="7AA09D33" w14:textId="77777777">
      <w:pPr>
        <w:ind w:left="720"/>
        <w:rPr>
          <w:rFonts w:asciiTheme="minorHAnsi" w:hAnsiTheme="minorHAnsi" w:cstheme="minorHAnsi"/>
        </w:rPr>
      </w:pPr>
      <w:r w:rsidRPr="000C7A73">
        <w:rPr>
          <w:rFonts w:asciiTheme="minorHAnsi" w:hAnsiTheme="minorHAnsi" w:cstheme="minorHAnsi"/>
        </w:rPr>
        <w:t xml:space="preserve">U.S. Census Bureau </w:t>
      </w:r>
    </w:p>
    <w:p w:rsidR="000C7A73" w:rsidRPr="000C7A73" w:rsidP="000C7A73" w14:paraId="7EBB9B4B" w14:textId="77777777">
      <w:pPr>
        <w:ind w:left="720"/>
        <w:rPr>
          <w:rFonts w:asciiTheme="minorHAnsi" w:hAnsiTheme="minorHAnsi" w:cstheme="minorHAnsi"/>
        </w:rPr>
      </w:pPr>
      <w:r w:rsidRPr="000C7A73">
        <w:rPr>
          <w:rFonts w:asciiTheme="minorHAnsi" w:hAnsiTheme="minorHAnsi" w:cstheme="minorHAnsi"/>
        </w:rPr>
        <w:t>Washington, D.C. 20233</w:t>
      </w:r>
    </w:p>
    <w:p w:rsidR="000C7A73" w:rsidRPr="000C7A73" w:rsidP="000C7A73" w14:paraId="7E41907E" w14:textId="40A375BD">
      <w:pPr>
        <w:ind w:left="720"/>
        <w:rPr>
          <w:rFonts w:asciiTheme="minorHAnsi" w:hAnsiTheme="minorHAnsi" w:cstheme="minorHAnsi"/>
        </w:rPr>
      </w:pPr>
      <w:r w:rsidRPr="000C7A73">
        <w:rPr>
          <w:rFonts w:asciiTheme="minorHAnsi" w:hAnsiTheme="minorHAnsi" w:cstheme="minorHAnsi"/>
        </w:rPr>
        <w:t>301-763-</w:t>
      </w:r>
      <w:r w:rsidR="00D94CF9">
        <w:rPr>
          <w:rFonts w:asciiTheme="minorHAnsi" w:hAnsiTheme="minorHAnsi" w:cstheme="minorHAnsi"/>
        </w:rPr>
        <w:t>2298</w:t>
      </w:r>
    </w:p>
    <w:p w:rsidR="000C7A73" w:rsidRPr="000C7A73" w:rsidP="000C7A73" w14:paraId="3451228B" w14:textId="1ABCD765">
      <w:pPr>
        <w:ind w:left="720"/>
        <w:rPr>
          <w:rFonts w:asciiTheme="minorHAnsi" w:hAnsiTheme="minorHAnsi" w:cstheme="minorHAnsi"/>
        </w:rPr>
      </w:pPr>
      <w:hyperlink r:id="rId6" w:history="1">
        <w:r w:rsidRPr="005C064E" w:rsidR="00D94CF9">
          <w:rPr>
            <w:rStyle w:val="Hyperlink"/>
            <w:rFonts w:asciiTheme="minorHAnsi" w:hAnsiTheme="minorHAnsi" w:cstheme="minorHAnsi"/>
          </w:rPr>
          <w:t>Jessica.Holzberg@census.gov</w:t>
        </w:r>
      </w:hyperlink>
      <w:r w:rsidR="00D94CF9">
        <w:rPr>
          <w:rFonts w:asciiTheme="minorHAnsi" w:hAnsiTheme="minorHAnsi" w:cstheme="minorHAnsi"/>
        </w:rPr>
        <w:t xml:space="preserve"> </w:t>
      </w:r>
    </w:p>
    <w:p w:rsidR="000C7A73" w:rsidRPr="000C7A73" w:rsidP="000C7A73" w14:paraId="27A6F0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rPr>
      </w:pPr>
    </w:p>
    <w:p w:rsidR="000C7A73" w:rsidRPr="000C7A73" w:rsidP="000C7A73" w14:paraId="4A5A068F"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7ABA659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5BD8B3F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237DD23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2CF76C7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2B09DAB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341785A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056E365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0C7A73" w:rsidRPr="000C7A73" w:rsidP="000C7A73" w14:paraId="7027CB65" w14:textId="77777777">
      <w:pPr>
        <w:rPr>
          <w:rFonts w:asciiTheme="minorHAnsi" w:hAnsiTheme="minorHAnsi" w:cstheme="minorHAnsi"/>
        </w:rPr>
      </w:pPr>
    </w:p>
    <w:p w:rsidR="009C22F6" w:rsidRPr="000C7A73" w14:paraId="40C871F4" w14:textId="77777777">
      <w:pPr>
        <w:rPr>
          <w:rFonts w:asciiTheme="minorHAnsi" w:hAnsiTheme="minorHAnsi" w:cstheme="minorHAnsi"/>
        </w:rPr>
      </w:pP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33522252"/>
      <w:docPartObj>
        <w:docPartGallery w:val="Page Numbers (Bottom of Page)"/>
        <w:docPartUnique/>
      </w:docPartObj>
    </w:sdtPr>
    <w:sdtEndPr>
      <w:rPr>
        <w:rFonts w:asciiTheme="minorHAnsi" w:hAnsiTheme="minorHAnsi" w:cstheme="minorHAnsi"/>
        <w:noProof/>
        <w:sz w:val="22"/>
        <w:szCs w:val="22"/>
      </w:rPr>
    </w:sdtEndPr>
    <w:sdtContent>
      <w:p w:rsidR="00F26F6B" w:rsidRPr="00F26F6B" w14:paraId="44944060" w14:textId="61D014D0">
        <w:pPr>
          <w:pStyle w:val="Footer"/>
          <w:jc w:val="right"/>
          <w:rPr>
            <w:rFonts w:asciiTheme="minorHAnsi" w:hAnsiTheme="minorHAnsi" w:cstheme="minorHAnsi"/>
            <w:sz w:val="22"/>
            <w:szCs w:val="22"/>
          </w:rPr>
        </w:pPr>
        <w:r w:rsidRPr="00F26F6B">
          <w:rPr>
            <w:rFonts w:asciiTheme="minorHAnsi" w:hAnsiTheme="minorHAnsi" w:cstheme="minorHAnsi"/>
            <w:sz w:val="22"/>
            <w:szCs w:val="22"/>
          </w:rPr>
          <w:fldChar w:fldCharType="begin"/>
        </w:r>
        <w:r w:rsidRPr="00F26F6B">
          <w:rPr>
            <w:rFonts w:asciiTheme="minorHAnsi" w:hAnsiTheme="minorHAnsi" w:cstheme="minorHAnsi"/>
            <w:sz w:val="22"/>
            <w:szCs w:val="22"/>
          </w:rPr>
          <w:instrText xml:space="preserve"> PAGE   \* MERGEFORMAT </w:instrText>
        </w:r>
        <w:r w:rsidRPr="00F26F6B">
          <w:rPr>
            <w:rFonts w:asciiTheme="minorHAnsi" w:hAnsiTheme="minorHAnsi" w:cstheme="minorHAnsi"/>
            <w:sz w:val="22"/>
            <w:szCs w:val="22"/>
          </w:rPr>
          <w:fldChar w:fldCharType="separate"/>
        </w:r>
        <w:r w:rsidRPr="00F26F6B">
          <w:rPr>
            <w:rFonts w:asciiTheme="minorHAnsi" w:hAnsiTheme="minorHAnsi" w:cstheme="minorHAnsi"/>
            <w:noProof/>
            <w:sz w:val="22"/>
            <w:szCs w:val="22"/>
          </w:rPr>
          <w:t>2</w:t>
        </w:r>
        <w:r w:rsidRPr="00F26F6B">
          <w:rPr>
            <w:rFonts w:asciiTheme="minorHAnsi" w:hAnsiTheme="minorHAnsi" w:cstheme="minorHAnsi"/>
            <w:noProof/>
            <w:sz w:val="22"/>
            <w:szCs w:val="22"/>
          </w:rPr>
          <w:fldChar w:fldCharType="end"/>
        </w:r>
      </w:p>
    </w:sdtContent>
  </w:sdt>
  <w:p w:rsidR="00F26F6B" w14:paraId="79FF09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7A73" w:rsidP="000C7A73" w14:paraId="01BC5A79" w14:textId="77777777">
      <w:r>
        <w:separator/>
      </w:r>
    </w:p>
  </w:footnote>
  <w:footnote w:type="continuationSeparator" w:id="1">
    <w:p w:rsidR="000C7A73" w:rsidP="000C7A73" w14:paraId="1F1B9A02" w14:textId="77777777">
      <w:r>
        <w:continuationSeparator/>
      </w:r>
    </w:p>
  </w:footnote>
  <w:footnote w:id="2">
    <w:p w:rsidR="0074475C" w:rsidRPr="0054655C" w:rsidP="0074475C" w14:paraId="45086CDF" w14:textId="1180F56A">
      <w:pPr>
        <w:pStyle w:val="FootnoteText"/>
        <w:rPr>
          <w:rFonts w:asciiTheme="minorHAnsi" w:hAnsiTheme="minorHAnsi" w:cstheme="minorHAnsi"/>
        </w:rPr>
      </w:pPr>
      <w:r w:rsidRPr="0054655C">
        <w:rPr>
          <w:rStyle w:val="FootnoteReference"/>
          <w:rFonts w:asciiTheme="minorHAnsi" w:hAnsiTheme="minorHAnsi" w:cstheme="minorHAnsi"/>
        </w:rPr>
        <w:footnoteRef/>
      </w:r>
      <w:r w:rsidRPr="0054655C">
        <w:rPr>
          <w:rFonts w:asciiTheme="minorHAnsi" w:hAnsiTheme="minorHAnsi" w:cstheme="minorHAnsi"/>
        </w:rPr>
        <w:t xml:space="preserve"> Internet will not be tested </w:t>
      </w:r>
      <w:r w:rsidR="000D3894">
        <w:rPr>
          <w:rFonts w:asciiTheme="minorHAnsi" w:hAnsiTheme="minorHAnsi" w:cstheme="minorHAnsi"/>
        </w:rPr>
        <w:t>for</w:t>
      </w:r>
      <w:r w:rsidRPr="0054655C">
        <w:rPr>
          <w:rFonts w:asciiTheme="minorHAnsi" w:hAnsiTheme="minorHAnsi" w:cstheme="minorHAnsi"/>
        </w:rPr>
        <w:t xml:space="preserve"> Puerto Rico since it is not currently offered as a response mode in Puerto Rico for production.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E166B0"/>
    <w:multiLevelType w:val="hybridMultilevel"/>
    <w:tmpl w:val="83A60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CF5619"/>
    <w:multiLevelType w:val="hybridMultilevel"/>
    <w:tmpl w:val="696CE0B0"/>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374F1E0C"/>
    <w:multiLevelType w:val="hybridMultilevel"/>
    <w:tmpl w:val="F0161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CE7A9D"/>
    <w:multiLevelType w:val="hybridMultilevel"/>
    <w:tmpl w:val="720236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2983BC8"/>
    <w:multiLevelType w:val="hybridMultilevel"/>
    <w:tmpl w:val="60B0B21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64364462"/>
    <w:multiLevelType w:val="hybridMultilevel"/>
    <w:tmpl w:val="3672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CAA7C9D"/>
    <w:multiLevelType w:val="hybridMultilevel"/>
    <w:tmpl w:val="BD527E8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6CBB7E5A"/>
    <w:multiLevelType w:val="hybridMultilevel"/>
    <w:tmpl w:val="F51AA0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5369D8"/>
    <w:multiLevelType w:val="hybridMultilevel"/>
    <w:tmpl w:val="A7C4A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6532293">
    <w:abstractNumId w:val="2"/>
  </w:num>
  <w:num w:numId="2" w16cid:durableId="692996106">
    <w:abstractNumId w:val="5"/>
  </w:num>
  <w:num w:numId="3" w16cid:durableId="1239482488">
    <w:abstractNumId w:val="7"/>
  </w:num>
  <w:num w:numId="4" w16cid:durableId="993148113">
    <w:abstractNumId w:val="3"/>
  </w:num>
  <w:num w:numId="5" w16cid:durableId="806708559">
    <w:abstractNumId w:val="0"/>
  </w:num>
  <w:num w:numId="6" w16cid:durableId="844629171">
    <w:abstractNumId w:val="8"/>
  </w:num>
  <w:num w:numId="7" w16cid:durableId="1910995221">
    <w:abstractNumId w:val="6"/>
  </w:num>
  <w:num w:numId="8" w16cid:durableId="1516765691">
    <w:abstractNumId w:val="4"/>
  </w:num>
  <w:num w:numId="9" w16cid:durableId="616133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A73"/>
    <w:rsid w:val="00041824"/>
    <w:rsid w:val="0004592F"/>
    <w:rsid w:val="00097E21"/>
    <w:rsid w:val="000A535F"/>
    <w:rsid w:val="000C7A73"/>
    <w:rsid w:val="000D14AB"/>
    <w:rsid w:val="000D3894"/>
    <w:rsid w:val="00201C46"/>
    <w:rsid w:val="002077D1"/>
    <w:rsid w:val="00213CB6"/>
    <w:rsid w:val="002E0FAE"/>
    <w:rsid w:val="00303AA5"/>
    <w:rsid w:val="00394F2E"/>
    <w:rsid w:val="003C1F61"/>
    <w:rsid w:val="003D67BA"/>
    <w:rsid w:val="004B2335"/>
    <w:rsid w:val="00512A1D"/>
    <w:rsid w:val="005363F1"/>
    <w:rsid w:val="0054655C"/>
    <w:rsid w:val="00576D0B"/>
    <w:rsid w:val="005C064E"/>
    <w:rsid w:val="005F7358"/>
    <w:rsid w:val="00656B91"/>
    <w:rsid w:val="006A7823"/>
    <w:rsid w:val="006B0D08"/>
    <w:rsid w:val="006B436D"/>
    <w:rsid w:val="006D1633"/>
    <w:rsid w:val="006F33CB"/>
    <w:rsid w:val="00725AA2"/>
    <w:rsid w:val="0074475C"/>
    <w:rsid w:val="007C2AE9"/>
    <w:rsid w:val="007E3EFA"/>
    <w:rsid w:val="007E7564"/>
    <w:rsid w:val="00873349"/>
    <w:rsid w:val="008D569A"/>
    <w:rsid w:val="00903DE8"/>
    <w:rsid w:val="009B1761"/>
    <w:rsid w:val="009C22F6"/>
    <w:rsid w:val="00A24DBE"/>
    <w:rsid w:val="00AC018E"/>
    <w:rsid w:val="00AF7B1B"/>
    <w:rsid w:val="00B2664A"/>
    <w:rsid w:val="00B2677E"/>
    <w:rsid w:val="00BA4D7B"/>
    <w:rsid w:val="00C8386D"/>
    <w:rsid w:val="00D24B35"/>
    <w:rsid w:val="00D35ECD"/>
    <w:rsid w:val="00D94CF9"/>
    <w:rsid w:val="00DF2E40"/>
    <w:rsid w:val="00DF585A"/>
    <w:rsid w:val="00EC254D"/>
    <w:rsid w:val="00F15888"/>
    <w:rsid w:val="00F26F6B"/>
    <w:rsid w:val="00FD4B11"/>
    <w:rsid w:val="00FE324D"/>
    <w:rsid w:val="00FE3513"/>
    <w:rsid w:val="24D7F6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3DF6A4"/>
  <w15:chartTrackingRefBased/>
  <w15:docId w15:val="{97CCA512-A76B-4337-81CD-D76346C3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A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63F1"/>
    <w:pPr>
      <w:keepNext/>
      <w:keepLines/>
      <w:spacing w:before="24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03DE8"/>
    <w:pPr>
      <w:contextualSpacing/>
    </w:pPr>
    <w:rPr>
      <w:rFonts w:asciiTheme="majorHAnsi" w:eastAsiaTheme="majorEastAsia" w:hAnsiTheme="majorHAnsi" w:cstheme="majorBidi"/>
      <w:b/>
      <w:spacing w:val="-10"/>
      <w:kern w:val="28"/>
      <w:szCs w:val="56"/>
    </w:rPr>
  </w:style>
  <w:style w:type="character" w:customStyle="1" w:styleId="TitleChar">
    <w:name w:val="Title Char"/>
    <w:basedOn w:val="DefaultParagraphFont"/>
    <w:link w:val="Title"/>
    <w:uiPriority w:val="10"/>
    <w:rsid w:val="00903DE8"/>
    <w:rPr>
      <w:rFonts w:asciiTheme="majorHAnsi" w:eastAsiaTheme="majorEastAsia" w:hAnsiTheme="majorHAnsi" w:cstheme="majorBidi"/>
      <w:b/>
      <w:spacing w:val="-10"/>
      <w:kern w:val="28"/>
      <w:sz w:val="24"/>
      <w:szCs w:val="56"/>
    </w:rPr>
  </w:style>
  <w:style w:type="character" w:customStyle="1" w:styleId="Heading1Char">
    <w:name w:val="Heading 1 Char"/>
    <w:basedOn w:val="DefaultParagraphFont"/>
    <w:link w:val="Heading1"/>
    <w:uiPriority w:val="9"/>
    <w:rsid w:val="005363F1"/>
    <w:rPr>
      <w:rFonts w:eastAsiaTheme="majorEastAsia" w:cstheme="majorBidi"/>
      <w:sz w:val="32"/>
      <w:szCs w:val="32"/>
    </w:rPr>
  </w:style>
  <w:style w:type="character" w:styleId="Hyperlink">
    <w:name w:val="Hyperlink"/>
    <w:basedOn w:val="DefaultParagraphFont"/>
    <w:uiPriority w:val="99"/>
    <w:unhideWhenUsed/>
    <w:rsid w:val="000C7A73"/>
    <w:rPr>
      <w:color w:val="0563C1" w:themeColor="hyperlink"/>
      <w:u w:val="single"/>
    </w:rPr>
  </w:style>
  <w:style w:type="paragraph" w:styleId="ListParagraph">
    <w:name w:val="List Paragraph"/>
    <w:aliases w:val="????,????1,Bullet Level 2,Bullet List,Bullet OSM,Bullet Style,Closed Bullet,FooterText,List Paragraph Folder,List Paragraph1,Normal-Bullet,Paragraphe de liste1,Proposal Bullet List,TOC style,Use Case List Paragraph,lp1,numbered,列出段落,列出段落1"/>
    <w:basedOn w:val="Normal"/>
    <w:link w:val="ListParagraphChar"/>
    <w:uiPriority w:val="34"/>
    <w:qFormat/>
    <w:rsid w:val="000C7A73"/>
    <w:pPr>
      <w:ind w:left="720"/>
      <w:contextualSpacing/>
    </w:pPr>
  </w:style>
  <w:style w:type="paragraph" w:styleId="NoSpacing">
    <w:name w:val="No Spacing"/>
    <w:uiPriority w:val="1"/>
    <w:qFormat/>
    <w:rsid w:val="000C7A73"/>
    <w:pPr>
      <w:spacing w:after="0" w:line="240" w:lineRule="auto"/>
    </w:pPr>
  </w:style>
  <w:style w:type="table" w:styleId="TableGrid">
    <w:name w:val="Table Grid"/>
    <w:basedOn w:val="TableNormal"/>
    <w:uiPriority w:val="59"/>
    <w:rsid w:val="000C7A73"/>
    <w:pPr>
      <w:spacing w:after="0" w:line="240" w:lineRule="auto"/>
    </w:pPr>
    <w:rPr>
      <w:rFonts w:asciiTheme="majorHAnsi" w:hAnsiTheme="maj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2 Char,Bullet List Char,Bullet OSM Char,Bullet Style Char,Closed Bullet Char,FooterText Char,List Paragraph Folder Char,Normal-Bullet Char,Proposal Bullet List Char,TOC style Char,Use Case List Paragraph Char,lp1 Char"/>
    <w:link w:val="ListParagraph"/>
    <w:uiPriority w:val="34"/>
    <w:qFormat/>
    <w:locked/>
    <w:rsid w:val="000C7A73"/>
    <w:rPr>
      <w:rFonts w:ascii="Times New Roman" w:eastAsia="Times New Roman" w:hAnsi="Times New Roman" w:cs="Times New Roman"/>
      <w:sz w:val="24"/>
      <w:szCs w:val="24"/>
    </w:rPr>
  </w:style>
  <w:style w:type="character" w:styleId="Strong">
    <w:name w:val="Strong"/>
    <w:basedOn w:val="DefaultParagraphFont"/>
    <w:qFormat/>
    <w:rsid w:val="000C7A73"/>
    <w:rPr>
      <w:b/>
      <w:bCs/>
    </w:rPr>
  </w:style>
  <w:style w:type="paragraph" w:styleId="FootnoteText">
    <w:name w:val="footnote text"/>
    <w:basedOn w:val="Normal"/>
    <w:link w:val="FootnoteTextChar"/>
    <w:uiPriority w:val="99"/>
    <w:semiHidden/>
    <w:unhideWhenUsed/>
    <w:rsid w:val="000C7A73"/>
    <w:rPr>
      <w:sz w:val="20"/>
      <w:szCs w:val="20"/>
    </w:rPr>
  </w:style>
  <w:style w:type="character" w:customStyle="1" w:styleId="FootnoteTextChar">
    <w:name w:val="Footnote Text Char"/>
    <w:basedOn w:val="DefaultParagraphFont"/>
    <w:link w:val="FootnoteText"/>
    <w:uiPriority w:val="99"/>
    <w:semiHidden/>
    <w:rsid w:val="000C7A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C7A73"/>
    <w:rPr>
      <w:vertAlign w:val="superscript"/>
    </w:rPr>
  </w:style>
  <w:style w:type="character" w:styleId="CommentReference">
    <w:name w:val="annotation reference"/>
    <w:basedOn w:val="DefaultParagraphFont"/>
    <w:uiPriority w:val="99"/>
    <w:semiHidden/>
    <w:unhideWhenUsed/>
    <w:rsid w:val="000C7A73"/>
    <w:rPr>
      <w:sz w:val="16"/>
      <w:szCs w:val="16"/>
    </w:rPr>
  </w:style>
  <w:style w:type="paragraph" w:styleId="CommentText">
    <w:name w:val="annotation text"/>
    <w:basedOn w:val="Normal"/>
    <w:link w:val="CommentTextChar"/>
    <w:uiPriority w:val="99"/>
    <w:unhideWhenUsed/>
    <w:rsid w:val="000C7A73"/>
    <w:rPr>
      <w:sz w:val="20"/>
      <w:szCs w:val="20"/>
    </w:rPr>
  </w:style>
  <w:style w:type="character" w:customStyle="1" w:styleId="CommentTextChar">
    <w:name w:val="Comment Text Char"/>
    <w:basedOn w:val="DefaultParagraphFont"/>
    <w:link w:val="CommentText"/>
    <w:uiPriority w:val="99"/>
    <w:rsid w:val="000C7A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7A73"/>
    <w:rPr>
      <w:b/>
      <w:bCs/>
    </w:rPr>
  </w:style>
  <w:style w:type="character" w:customStyle="1" w:styleId="CommentSubjectChar">
    <w:name w:val="Comment Subject Char"/>
    <w:basedOn w:val="CommentTextChar"/>
    <w:link w:val="CommentSubject"/>
    <w:uiPriority w:val="99"/>
    <w:semiHidden/>
    <w:rsid w:val="000C7A7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D94CF9"/>
    <w:rPr>
      <w:color w:val="605E5C"/>
      <w:shd w:val="clear" w:color="auto" w:fill="E1DFDD"/>
    </w:rPr>
  </w:style>
  <w:style w:type="paragraph" w:styleId="NormalWeb">
    <w:name w:val="Normal (Web)"/>
    <w:basedOn w:val="Normal"/>
    <w:uiPriority w:val="99"/>
    <w:unhideWhenUsed/>
    <w:rsid w:val="0074475C"/>
    <w:pPr>
      <w:widowControl/>
      <w:autoSpaceDE/>
      <w:autoSpaceDN/>
      <w:adjustRightInd/>
    </w:pPr>
    <w:rPr>
      <w:rFonts w:eastAsiaTheme="minorHAnsi"/>
    </w:rPr>
  </w:style>
  <w:style w:type="paragraph" w:styleId="Header">
    <w:name w:val="header"/>
    <w:basedOn w:val="Normal"/>
    <w:link w:val="HeaderChar"/>
    <w:uiPriority w:val="99"/>
    <w:unhideWhenUsed/>
    <w:rsid w:val="00F26F6B"/>
    <w:pPr>
      <w:tabs>
        <w:tab w:val="center" w:pos="4680"/>
        <w:tab w:val="right" w:pos="9360"/>
      </w:tabs>
    </w:pPr>
  </w:style>
  <w:style w:type="character" w:customStyle="1" w:styleId="HeaderChar">
    <w:name w:val="Header Char"/>
    <w:basedOn w:val="DefaultParagraphFont"/>
    <w:link w:val="Header"/>
    <w:uiPriority w:val="99"/>
    <w:rsid w:val="00F26F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F6B"/>
    <w:pPr>
      <w:tabs>
        <w:tab w:val="center" w:pos="4680"/>
        <w:tab w:val="right" w:pos="9360"/>
      </w:tabs>
    </w:pPr>
  </w:style>
  <w:style w:type="character" w:customStyle="1" w:styleId="FooterChar">
    <w:name w:val="Footer Char"/>
    <w:basedOn w:val="DefaultParagraphFont"/>
    <w:link w:val="Footer"/>
    <w:uiPriority w:val="99"/>
    <w:rsid w:val="00F26F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Jessica.Holzberg@census.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1C9B-2536-45D0-B6A4-C8A76171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Holzberg (CENSUS/CBSM FED)</dc:creator>
  <cp:lastModifiedBy>Jasmine Luck (CENSUS/CBSM FED)</cp:lastModifiedBy>
  <cp:revision>2</cp:revision>
  <dcterms:created xsi:type="dcterms:W3CDTF">2023-12-12T21:41:00Z</dcterms:created>
  <dcterms:modified xsi:type="dcterms:W3CDTF">2023-12-12T21:41:00Z</dcterms:modified>
</cp:coreProperties>
</file>