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6DD1" w:rsidRPr="009C476D" w:rsidP="004F20AE" w14:paraId="14D5DC0B" w14:textId="77777777">
      <w:pPr>
        <w:rPr>
          <w:b/>
          <w:color w:val="000000"/>
          <w:sz w:val="24"/>
          <w:szCs w:val="24"/>
        </w:rPr>
      </w:pPr>
      <w:r w:rsidRPr="009C476D">
        <w:rPr>
          <w:b/>
          <w:color w:val="000000"/>
          <w:sz w:val="24"/>
          <w:szCs w:val="24"/>
        </w:rPr>
        <w:t>Generic Information Collection Request</w:t>
      </w:r>
    </w:p>
    <w:p w:rsidR="00686DD1" w:rsidP="004F20AE" w14:paraId="6B673C8E" w14:textId="77777777">
      <w:pPr>
        <w:rPr>
          <w:color w:val="000000"/>
          <w:sz w:val="24"/>
          <w:szCs w:val="24"/>
        </w:rPr>
      </w:pPr>
    </w:p>
    <w:p w:rsidR="004F20AE" w:rsidRPr="000A1027" w:rsidP="004F20AE" w14:paraId="728AF404" w14:textId="10D87ECC">
      <w:pPr>
        <w:rPr>
          <w:rFonts w:ascii="Times" w:hAnsi="Times"/>
          <w:sz w:val="24"/>
        </w:rPr>
      </w:pPr>
      <w:r w:rsidRPr="00825309">
        <w:rPr>
          <w:b/>
          <w:color w:val="000000"/>
          <w:sz w:val="24"/>
          <w:szCs w:val="24"/>
        </w:rPr>
        <w:t>Request</w:t>
      </w:r>
      <w:r>
        <w:rPr>
          <w:color w:val="000000"/>
          <w:sz w:val="24"/>
          <w:szCs w:val="24"/>
        </w:rPr>
        <w:t xml:space="preserve">: </w:t>
      </w:r>
      <w:r w:rsidRPr="00A55039" w:rsidR="008F7F56">
        <w:rPr>
          <w:color w:val="000000"/>
          <w:sz w:val="24"/>
          <w:szCs w:val="24"/>
        </w:rPr>
        <w:t xml:space="preserve">The Census </w:t>
      </w:r>
      <w:r w:rsidRPr="00F22A67" w:rsidR="008F7F56">
        <w:rPr>
          <w:color w:val="000000"/>
          <w:sz w:val="24"/>
          <w:szCs w:val="24"/>
        </w:rPr>
        <w:t xml:space="preserve">Bureau plans to conduct </w:t>
      </w:r>
      <w:r w:rsidR="008F7F56">
        <w:rPr>
          <w:color w:val="000000"/>
          <w:sz w:val="24"/>
          <w:szCs w:val="24"/>
        </w:rPr>
        <w:t>additional research under the generic clearance for questionnaire pretesting research (</w:t>
      </w:r>
      <w:r w:rsidRPr="000C2E69" w:rsidR="008F7F56">
        <w:rPr>
          <w:color w:val="000000"/>
          <w:sz w:val="24"/>
          <w:szCs w:val="24"/>
        </w:rPr>
        <w:t xml:space="preserve">OMB number </w:t>
      </w:r>
      <w:r w:rsidR="005E4594">
        <w:rPr>
          <w:color w:val="000000"/>
          <w:sz w:val="24"/>
          <w:szCs w:val="24"/>
        </w:rPr>
        <w:t>0607-0725</w:t>
      </w:r>
      <w:r w:rsidR="008F7F56">
        <w:rPr>
          <w:color w:val="000000"/>
          <w:sz w:val="24"/>
          <w:szCs w:val="24"/>
        </w:rPr>
        <w:t xml:space="preserve">).  We </w:t>
      </w:r>
      <w:r w:rsidR="00686DD1">
        <w:rPr>
          <w:color w:val="000000"/>
          <w:sz w:val="24"/>
          <w:szCs w:val="24"/>
        </w:rPr>
        <w:t>propose to</w:t>
      </w:r>
      <w:r w:rsidR="008F7F56">
        <w:rPr>
          <w:color w:val="000000"/>
          <w:sz w:val="24"/>
          <w:szCs w:val="24"/>
        </w:rPr>
        <w:t xml:space="preserve"> conduct a</w:t>
      </w:r>
      <w:r w:rsidR="002D2371">
        <w:rPr>
          <w:color w:val="000000"/>
          <w:sz w:val="24"/>
          <w:szCs w:val="24"/>
        </w:rPr>
        <w:t>n iterative</w:t>
      </w:r>
      <w:r w:rsidR="008F7F56">
        <w:rPr>
          <w:color w:val="000000"/>
          <w:sz w:val="24"/>
          <w:szCs w:val="24"/>
        </w:rPr>
        <w:t xml:space="preserve"> </w:t>
      </w:r>
      <w:r w:rsidR="00CD01A9">
        <w:rPr>
          <w:color w:val="000000"/>
          <w:sz w:val="24"/>
          <w:szCs w:val="24"/>
        </w:rPr>
        <w:t>cognitive</w:t>
      </w:r>
      <w:r w:rsidR="008F7F56">
        <w:rPr>
          <w:color w:val="000000"/>
          <w:sz w:val="24"/>
          <w:szCs w:val="24"/>
        </w:rPr>
        <w:t xml:space="preserve"> </w:t>
      </w:r>
      <w:r w:rsidR="008D0E72">
        <w:rPr>
          <w:color w:val="000000"/>
          <w:sz w:val="24"/>
          <w:szCs w:val="24"/>
        </w:rPr>
        <w:t>evaluation of</w:t>
      </w:r>
      <w:r w:rsidR="008F7F56">
        <w:rPr>
          <w:color w:val="000000"/>
          <w:sz w:val="24"/>
          <w:szCs w:val="24"/>
        </w:rPr>
        <w:t xml:space="preserve"> </w:t>
      </w:r>
      <w:r w:rsidR="00625734">
        <w:rPr>
          <w:color w:val="000000"/>
          <w:sz w:val="24"/>
          <w:szCs w:val="24"/>
        </w:rPr>
        <w:t xml:space="preserve">the </w:t>
      </w:r>
      <w:r w:rsidR="0039077A">
        <w:rPr>
          <w:color w:val="000000"/>
          <w:sz w:val="24"/>
          <w:szCs w:val="24"/>
        </w:rPr>
        <w:t>n</w:t>
      </w:r>
      <w:r w:rsidR="00D24433">
        <w:rPr>
          <w:color w:val="000000"/>
          <w:sz w:val="24"/>
          <w:szCs w:val="24"/>
        </w:rPr>
        <w:t>ext</w:t>
      </w:r>
      <w:r w:rsidR="00D24433">
        <w:rPr>
          <w:color w:val="000000"/>
          <w:sz w:val="24"/>
          <w:szCs w:val="24"/>
        </w:rPr>
        <w:t xml:space="preserve"> </w:t>
      </w:r>
      <w:r w:rsidR="00447724">
        <w:rPr>
          <w:color w:val="000000"/>
          <w:sz w:val="24"/>
          <w:szCs w:val="24"/>
        </w:rPr>
        <w:t>National Health Interview Survey-Teen (NHIS-Teen)</w:t>
      </w:r>
      <w:r w:rsidR="008D0E72">
        <w:rPr>
          <w:color w:val="000000"/>
          <w:sz w:val="24"/>
          <w:szCs w:val="24"/>
        </w:rPr>
        <w:t xml:space="preserve"> online questionnaire</w:t>
      </w:r>
      <w:r w:rsidR="008A5258">
        <w:rPr>
          <w:color w:val="000000"/>
          <w:sz w:val="24"/>
          <w:szCs w:val="24"/>
        </w:rPr>
        <w:t>.</w:t>
      </w:r>
      <w:r w:rsidR="0039077A">
        <w:rPr>
          <w:color w:val="000000"/>
          <w:sz w:val="24"/>
          <w:szCs w:val="24"/>
        </w:rPr>
        <w:t xml:space="preserve"> </w:t>
      </w:r>
      <w:r w:rsidR="008A5258">
        <w:rPr>
          <w:color w:val="000000"/>
          <w:sz w:val="24"/>
          <w:szCs w:val="24"/>
        </w:rPr>
        <w:t>T</w:t>
      </w:r>
      <w:r w:rsidR="0039077A">
        <w:rPr>
          <w:color w:val="000000"/>
          <w:sz w:val="24"/>
          <w:szCs w:val="24"/>
        </w:rPr>
        <w:t>he anticipated fielding is 2025, but the timeline is dependent on funding</w:t>
      </w:r>
      <w:r w:rsidRPr="0090177C" w:rsidR="0090177C">
        <w:rPr>
          <w:color w:val="000000"/>
          <w:sz w:val="24"/>
          <w:szCs w:val="24"/>
        </w:rPr>
        <w:t xml:space="preserve"> </w:t>
      </w:r>
      <w:r>
        <w:rPr>
          <w:rFonts w:ascii="Times" w:hAnsi="Times"/>
          <w:sz w:val="24"/>
        </w:rPr>
        <w:t>As</w:t>
      </w:r>
      <w:r>
        <w:rPr>
          <w:rFonts w:ascii="Times" w:hAnsi="Times"/>
          <w:sz w:val="24"/>
        </w:rPr>
        <w:t xml:space="preserve"> a part of this current </w:t>
      </w:r>
      <w:r w:rsidR="00784E7B">
        <w:rPr>
          <w:rFonts w:ascii="Times" w:hAnsi="Times"/>
          <w:sz w:val="24"/>
        </w:rPr>
        <w:t>submission,</w:t>
      </w:r>
      <w:r>
        <w:rPr>
          <w:rFonts w:ascii="Times" w:hAnsi="Times"/>
          <w:sz w:val="24"/>
        </w:rPr>
        <w:t xml:space="preserve"> we are seeking approval for cognitive interviews conducted by Census Bureau staff. </w:t>
      </w:r>
    </w:p>
    <w:p w:rsidR="004F20AE" w:rsidP="004F20AE" w14:paraId="57C034F6" w14:textId="77777777">
      <w:pPr>
        <w:shd w:val="clear" w:color="auto" w:fill="FFFFFF"/>
        <w:autoSpaceDE/>
        <w:autoSpaceDN/>
        <w:adjustRightInd/>
        <w:rPr>
          <w:color w:val="000000"/>
          <w:sz w:val="24"/>
          <w:szCs w:val="24"/>
        </w:rPr>
      </w:pPr>
    </w:p>
    <w:p w:rsidR="00F2405E" w:rsidP="00F2405E" w14:paraId="0D4F4239" w14:textId="23F529CC">
      <w:pPr>
        <w:shd w:val="clear" w:color="auto" w:fill="FFFFFF"/>
        <w:autoSpaceDE/>
        <w:autoSpaceDN/>
        <w:adjustRightInd/>
        <w:rPr>
          <w:sz w:val="24"/>
          <w:szCs w:val="24"/>
        </w:rPr>
      </w:pPr>
      <w:r w:rsidRPr="00825309">
        <w:rPr>
          <w:b/>
          <w:sz w:val="24"/>
          <w:szCs w:val="24"/>
        </w:rPr>
        <w:t>Purpose</w:t>
      </w:r>
      <w:r>
        <w:rPr>
          <w:sz w:val="24"/>
          <w:szCs w:val="24"/>
        </w:rPr>
        <w:t xml:space="preserve">: </w:t>
      </w:r>
      <w:r w:rsidR="00B05406">
        <w:rPr>
          <w:sz w:val="24"/>
          <w:szCs w:val="24"/>
        </w:rPr>
        <w:t xml:space="preserve">The cognitive testing goal is to test the National Health Interview Survey for Teens. </w:t>
      </w:r>
      <w:r w:rsidRPr="00F2405E">
        <w:rPr>
          <w:sz w:val="24"/>
          <w:szCs w:val="24"/>
        </w:rPr>
        <w:t>For the next version of the NHIS-</w:t>
      </w:r>
      <w:r w:rsidR="00447724">
        <w:rPr>
          <w:sz w:val="24"/>
          <w:szCs w:val="24"/>
        </w:rPr>
        <w:t>T</w:t>
      </w:r>
      <w:r w:rsidRPr="00F2405E" w:rsidR="00447724">
        <w:rPr>
          <w:sz w:val="24"/>
          <w:szCs w:val="24"/>
        </w:rPr>
        <w:t xml:space="preserve">een </w:t>
      </w:r>
      <w:r w:rsidRPr="00F2405E">
        <w:rPr>
          <w:sz w:val="24"/>
          <w:szCs w:val="24"/>
        </w:rPr>
        <w:t>survey,</w:t>
      </w:r>
      <w:r w:rsidR="00447724">
        <w:rPr>
          <w:sz w:val="24"/>
          <w:szCs w:val="24"/>
        </w:rPr>
        <w:t xml:space="preserve"> the</w:t>
      </w:r>
      <w:r w:rsidRPr="00F2405E">
        <w:rPr>
          <w:sz w:val="24"/>
          <w:szCs w:val="24"/>
        </w:rPr>
        <w:t xml:space="preserve"> N</w:t>
      </w:r>
      <w:r w:rsidR="00447724">
        <w:rPr>
          <w:sz w:val="24"/>
          <w:szCs w:val="24"/>
        </w:rPr>
        <w:t xml:space="preserve">ational </w:t>
      </w:r>
      <w:r w:rsidRPr="00F2405E">
        <w:rPr>
          <w:sz w:val="24"/>
          <w:szCs w:val="24"/>
        </w:rPr>
        <w:t>C</w:t>
      </w:r>
      <w:r w:rsidR="00447724">
        <w:rPr>
          <w:sz w:val="24"/>
          <w:szCs w:val="24"/>
        </w:rPr>
        <w:t xml:space="preserve">enter for Health </w:t>
      </w:r>
      <w:r w:rsidRPr="00F2405E">
        <w:rPr>
          <w:sz w:val="24"/>
          <w:szCs w:val="24"/>
        </w:rPr>
        <w:t>S</w:t>
      </w:r>
      <w:r w:rsidR="00447724">
        <w:rPr>
          <w:sz w:val="24"/>
          <w:szCs w:val="24"/>
        </w:rPr>
        <w:t xml:space="preserve">tatistics </w:t>
      </w:r>
      <w:r w:rsidR="00A215A7">
        <w:rPr>
          <w:sz w:val="24"/>
          <w:szCs w:val="24"/>
        </w:rPr>
        <w:t xml:space="preserve">(NCHS) </w:t>
      </w:r>
      <w:r w:rsidR="00447724">
        <w:rPr>
          <w:sz w:val="24"/>
          <w:szCs w:val="24"/>
        </w:rPr>
        <w:t>is adding a</w:t>
      </w:r>
      <w:r w:rsidRPr="00F2405E">
        <w:rPr>
          <w:sz w:val="24"/>
          <w:szCs w:val="24"/>
        </w:rPr>
        <w:t xml:space="preserve"> series of approximately 25-30</w:t>
      </w:r>
      <w:r w:rsidR="00447724">
        <w:rPr>
          <w:sz w:val="24"/>
          <w:szCs w:val="24"/>
        </w:rPr>
        <w:t xml:space="preserve"> new </w:t>
      </w:r>
      <w:r w:rsidRPr="00F2405E">
        <w:rPr>
          <w:sz w:val="24"/>
          <w:szCs w:val="24"/>
        </w:rPr>
        <w:t>questions to the NHIS-Teen</w:t>
      </w:r>
      <w:r w:rsidR="00447724">
        <w:rPr>
          <w:sz w:val="24"/>
          <w:szCs w:val="24"/>
        </w:rPr>
        <w:t xml:space="preserve"> questionnaire. NCHS has asked the Center for Behavioral Science Methods (CBSM) to </w:t>
      </w:r>
      <w:r w:rsidRPr="00447724" w:rsidR="00447724">
        <w:rPr>
          <w:sz w:val="24"/>
          <w:szCs w:val="24"/>
        </w:rPr>
        <w:t>conduct recruitment and cognitive interviews designed to evaluate new and revised questionnaire items</w:t>
      </w:r>
      <w:r w:rsidR="00447724">
        <w:rPr>
          <w:sz w:val="24"/>
          <w:szCs w:val="24"/>
        </w:rPr>
        <w:t>. The purpose of the cognitive pretesting is</w:t>
      </w:r>
      <w:r w:rsidRPr="00F2405E">
        <w:rPr>
          <w:sz w:val="24"/>
          <w:szCs w:val="24"/>
        </w:rPr>
        <w:t xml:space="preserve"> to determine if teenagers </w:t>
      </w:r>
      <w:r w:rsidRPr="00F2405E">
        <w:rPr>
          <w:sz w:val="24"/>
          <w:szCs w:val="24"/>
        </w:rPr>
        <w:t>are able to</w:t>
      </w:r>
      <w:r w:rsidRPr="00F2405E">
        <w:rPr>
          <w:sz w:val="24"/>
          <w:szCs w:val="24"/>
        </w:rPr>
        <w:t xml:space="preserve"> comprehend the questions and answer reliably and accurately. </w:t>
      </w:r>
    </w:p>
    <w:p w:rsidR="008C7839" w:rsidRPr="00F2405E" w:rsidP="00F2405E" w14:paraId="76148B55" w14:textId="77777777">
      <w:pPr>
        <w:shd w:val="clear" w:color="auto" w:fill="FFFFFF"/>
        <w:autoSpaceDE/>
        <w:autoSpaceDN/>
        <w:adjustRightInd/>
        <w:rPr>
          <w:sz w:val="24"/>
          <w:szCs w:val="24"/>
        </w:rPr>
      </w:pPr>
    </w:p>
    <w:p w:rsidR="00F2405E" w:rsidRPr="00F2405E" w:rsidP="00F2405E" w14:paraId="34AC3A95" w14:textId="4B51B27D">
      <w:pPr>
        <w:shd w:val="clear" w:color="auto" w:fill="FFFFFF"/>
        <w:autoSpaceDE/>
        <w:autoSpaceDN/>
        <w:adjustRightInd/>
        <w:rPr>
          <w:sz w:val="24"/>
          <w:szCs w:val="24"/>
        </w:rPr>
      </w:pPr>
      <w:r w:rsidRPr="00F2405E">
        <w:rPr>
          <w:sz w:val="24"/>
          <w:szCs w:val="24"/>
        </w:rPr>
        <w:t xml:space="preserve">Topic areas </w:t>
      </w:r>
      <w:r w:rsidR="00447724">
        <w:rPr>
          <w:sz w:val="24"/>
          <w:szCs w:val="24"/>
        </w:rPr>
        <w:t>for pretesting include</w:t>
      </w:r>
      <w:r w:rsidRPr="00F2405E">
        <w:rPr>
          <w:sz w:val="24"/>
          <w:szCs w:val="24"/>
        </w:rPr>
        <w:t>:</w:t>
      </w:r>
    </w:p>
    <w:p w:rsidR="00F2405E" w:rsidRPr="001E5D44" w:rsidP="001E5D44" w14:paraId="4E50309B" w14:textId="4D01835A">
      <w:pPr>
        <w:pStyle w:val="ListParagraph"/>
        <w:numPr>
          <w:ilvl w:val="0"/>
          <w:numId w:val="16"/>
        </w:numPr>
        <w:shd w:val="clear" w:color="auto" w:fill="FFFFFF"/>
        <w:autoSpaceDE/>
        <w:autoSpaceDN/>
        <w:adjustRightInd/>
        <w:rPr>
          <w:rFonts w:ascii="Times New Roman" w:hAnsi="Times New Roman"/>
          <w:sz w:val="24"/>
          <w:szCs w:val="24"/>
        </w:rPr>
      </w:pPr>
      <w:r w:rsidRPr="001E5D44">
        <w:rPr>
          <w:rFonts w:ascii="Times New Roman" w:hAnsi="Times New Roman"/>
          <w:sz w:val="24"/>
          <w:szCs w:val="24"/>
        </w:rPr>
        <w:t>Self-esteem and well-being</w:t>
      </w:r>
    </w:p>
    <w:p w:rsidR="00F2405E" w:rsidRPr="001E5D44" w:rsidP="001E5D44" w14:paraId="75659946" w14:textId="7DF3A106">
      <w:pPr>
        <w:pStyle w:val="ListParagraph"/>
        <w:numPr>
          <w:ilvl w:val="0"/>
          <w:numId w:val="16"/>
        </w:numPr>
        <w:shd w:val="clear" w:color="auto" w:fill="FFFFFF"/>
        <w:autoSpaceDE/>
        <w:autoSpaceDN/>
        <w:adjustRightInd/>
        <w:rPr>
          <w:rFonts w:ascii="Times New Roman" w:hAnsi="Times New Roman"/>
          <w:sz w:val="24"/>
          <w:szCs w:val="24"/>
        </w:rPr>
      </w:pPr>
      <w:r w:rsidRPr="001E5D44">
        <w:rPr>
          <w:rFonts w:ascii="Times New Roman" w:hAnsi="Times New Roman"/>
          <w:sz w:val="24"/>
          <w:szCs w:val="24"/>
        </w:rPr>
        <w:t xml:space="preserve">Social isolation and loneliness </w:t>
      </w:r>
    </w:p>
    <w:p w:rsidR="00F2405E" w:rsidRPr="001E5D44" w:rsidP="001E5D44" w14:paraId="55B61301" w14:textId="4A33E8BE">
      <w:pPr>
        <w:pStyle w:val="ListParagraph"/>
        <w:numPr>
          <w:ilvl w:val="0"/>
          <w:numId w:val="16"/>
        </w:numPr>
        <w:shd w:val="clear" w:color="auto" w:fill="FFFFFF"/>
        <w:autoSpaceDE/>
        <w:autoSpaceDN/>
        <w:adjustRightInd/>
        <w:rPr>
          <w:rFonts w:ascii="Times New Roman" w:hAnsi="Times New Roman"/>
          <w:sz w:val="24"/>
          <w:szCs w:val="24"/>
        </w:rPr>
      </w:pPr>
      <w:r w:rsidRPr="001E5D44">
        <w:rPr>
          <w:rFonts w:ascii="Times New Roman" w:hAnsi="Times New Roman"/>
          <w:sz w:val="24"/>
          <w:szCs w:val="24"/>
        </w:rPr>
        <w:t xml:space="preserve">Mental health treatment </w:t>
      </w:r>
    </w:p>
    <w:p w:rsidR="00F2405E" w:rsidRPr="001E5D44" w:rsidP="001E5D44" w14:paraId="450401E0" w14:textId="6280733F">
      <w:pPr>
        <w:pStyle w:val="ListParagraph"/>
        <w:numPr>
          <w:ilvl w:val="0"/>
          <w:numId w:val="16"/>
        </w:numPr>
        <w:shd w:val="clear" w:color="auto" w:fill="FFFFFF"/>
        <w:autoSpaceDE/>
        <w:autoSpaceDN/>
        <w:adjustRightInd/>
        <w:rPr>
          <w:rFonts w:ascii="Times New Roman" w:hAnsi="Times New Roman"/>
          <w:sz w:val="24"/>
          <w:szCs w:val="24"/>
        </w:rPr>
      </w:pPr>
      <w:r w:rsidRPr="001E5D44">
        <w:rPr>
          <w:rFonts w:ascii="Times New Roman" w:hAnsi="Times New Roman"/>
          <w:sz w:val="24"/>
          <w:szCs w:val="24"/>
        </w:rPr>
        <w:t xml:space="preserve">Resiliency </w:t>
      </w:r>
    </w:p>
    <w:p w:rsidR="00F2405E" w:rsidRPr="001E5D44" w:rsidP="001E5D44" w14:paraId="45C8D986" w14:textId="14C2E42E">
      <w:pPr>
        <w:pStyle w:val="ListParagraph"/>
        <w:numPr>
          <w:ilvl w:val="0"/>
          <w:numId w:val="16"/>
        </w:numPr>
        <w:shd w:val="clear" w:color="auto" w:fill="FFFFFF"/>
        <w:autoSpaceDE/>
        <w:autoSpaceDN/>
        <w:adjustRightInd/>
        <w:rPr>
          <w:rFonts w:ascii="Times New Roman" w:hAnsi="Times New Roman"/>
          <w:sz w:val="24"/>
          <w:szCs w:val="24"/>
        </w:rPr>
      </w:pPr>
      <w:r w:rsidRPr="001E5D44">
        <w:rPr>
          <w:rFonts w:ascii="Times New Roman" w:hAnsi="Times New Roman"/>
          <w:sz w:val="24"/>
          <w:szCs w:val="24"/>
        </w:rPr>
        <w:t>Stressful life events</w:t>
      </w:r>
    </w:p>
    <w:p w:rsidR="004F20AE" w:rsidRPr="001E5D44" w:rsidP="001E5D44" w14:paraId="03BCB6C9" w14:textId="68980B20">
      <w:pPr>
        <w:pStyle w:val="ListParagraph"/>
        <w:numPr>
          <w:ilvl w:val="0"/>
          <w:numId w:val="16"/>
        </w:numPr>
        <w:shd w:val="clear" w:color="auto" w:fill="FFFFFF"/>
        <w:autoSpaceDE/>
        <w:autoSpaceDN/>
        <w:adjustRightInd/>
        <w:rPr>
          <w:rFonts w:ascii="Times New Roman" w:hAnsi="Times New Roman"/>
          <w:sz w:val="24"/>
          <w:szCs w:val="24"/>
        </w:rPr>
      </w:pPr>
      <w:r w:rsidRPr="001E5D44">
        <w:rPr>
          <w:rFonts w:ascii="Times New Roman" w:hAnsi="Times New Roman"/>
          <w:sz w:val="24"/>
          <w:szCs w:val="24"/>
        </w:rPr>
        <w:t>Social connectivity</w:t>
      </w:r>
      <w:r w:rsidRPr="001E5D44" w:rsidR="00825309">
        <w:rPr>
          <w:rFonts w:ascii="Times New Roman" w:hAnsi="Times New Roman"/>
          <w:sz w:val="24"/>
          <w:szCs w:val="24"/>
        </w:rPr>
        <w:t xml:space="preserve"> </w:t>
      </w:r>
    </w:p>
    <w:p w:rsidR="004F20AE" w:rsidP="008D0E72" w14:paraId="79BCE255" w14:textId="77777777">
      <w:pPr>
        <w:rPr>
          <w:rFonts w:ascii="Times" w:hAnsi="Times"/>
          <w:sz w:val="24"/>
        </w:rPr>
      </w:pPr>
    </w:p>
    <w:p w:rsidR="00A52414" w:rsidP="00A52414" w14:paraId="5E43C240" w14:textId="656FF783">
      <w:pPr>
        <w:shd w:val="clear" w:color="auto" w:fill="FFFFFF"/>
        <w:autoSpaceDE/>
        <w:autoSpaceDN/>
        <w:adjustRightInd/>
        <w:rPr>
          <w:sz w:val="24"/>
          <w:szCs w:val="24"/>
        </w:rPr>
      </w:pPr>
      <w:r w:rsidRPr="00825309">
        <w:rPr>
          <w:b/>
          <w:sz w:val="24"/>
          <w:szCs w:val="24"/>
        </w:rPr>
        <w:t>Population of Interest</w:t>
      </w:r>
      <w:r>
        <w:rPr>
          <w:sz w:val="24"/>
          <w:szCs w:val="24"/>
        </w:rPr>
        <w:t xml:space="preserve">: </w:t>
      </w:r>
      <w:r w:rsidRPr="008C7839" w:rsidR="008C7839">
        <w:rPr>
          <w:sz w:val="24"/>
          <w:szCs w:val="24"/>
        </w:rPr>
        <w:t xml:space="preserve">To test the </w:t>
      </w:r>
      <w:r w:rsidR="008C7839">
        <w:rPr>
          <w:sz w:val="24"/>
          <w:szCs w:val="24"/>
        </w:rPr>
        <w:t>revised NHIS-Teen</w:t>
      </w:r>
      <w:r w:rsidRPr="008C7839" w:rsidR="008C7839">
        <w:rPr>
          <w:sz w:val="24"/>
          <w:szCs w:val="24"/>
        </w:rPr>
        <w:t xml:space="preserve"> instrument, we will recruit a total of 3</w:t>
      </w:r>
      <w:r w:rsidR="008C7839">
        <w:rPr>
          <w:sz w:val="24"/>
          <w:szCs w:val="24"/>
        </w:rPr>
        <w:t>5</w:t>
      </w:r>
      <w:r w:rsidRPr="008C7839" w:rsidR="008C7839">
        <w:rPr>
          <w:sz w:val="24"/>
          <w:szCs w:val="24"/>
        </w:rPr>
        <w:t xml:space="preserve"> students ages 12-1</w:t>
      </w:r>
      <w:r w:rsidR="008C7839">
        <w:rPr>
          <w:sz w:val="24"/>
          <w:szCs w:val="24"/>
        </w:rPr>
        <w:t>7</w:t>
      </w:r>
      <w:r w:rsidRPr="008C7839" w:rsidR="008C7839">
        <w:rPr>
          <w:sz w:val="24"/>
          <w:szCs w:val="24"/>
        </w:rPr>
        <w:t>. We will strive to recruit a sample with diverse demographic characteristics, geographic diversity, and school levels (middle school and high school</w:t>
      </w:r>
      <w:r w:rsidR="008C7839">
        <w:rPr>
          <w:sz w:val="24"/>
          <w:szCs w:val="24"/>
        </w:rPr>
        <w:t>)</w:t>
      </w:r>
      <w:r w:rsidR="00F2405E">
        <w:rPr>
          <w:sz w:val="24"/>
          <w:szCs w:val="24"/>
        </w:rPr>
        <w:t>.</w:t>
      </w:r>
      <w:r>
        <w:rPr>
          <w:sz w:val="24"/>
          <w:szCs w:val="24"/>
        </w:rPr>
        <w:t xml:space="preserve">  </w:t>
      </w:r>
    </w:p>
    <w:p w:rsidR="00A52414" w:rsidP="008D0E72" w14:paraId="687FF653" w14:textId="77777777">
      <w:pPr>
        <w:rPr>
          <w:rFonts w:ascii="Times" w:hAnsi="Times"/>
          <w:sz w:val="24"/>
        </w:rPr>
      </w:pPr>
    </w:p>
    <w:p w:rsidR="00A52414" w:rsidP="006321D1" w14:paraId="1019CFA2" w14:textId="7743C962">
      <w:pPr>
        <w:shd w:val="clear" w:color="auto" w:fill="FFFFFF"/>
        <w:autoSpaceDE/>
        <w:autoSpaceDN/>
        <w:adjustRightInd/>
        <w:rPr>
          <w:color w:val="000000"/>
          <w:sz w:val="24"/>
          <w:szCs w:val="24"/>
        </w:rPr>
      </w:pPr>
      <w:r w:rsidRPr="00825309">
        <w:rPr>
          <w:b/>
          <w:color w:val="000000"/>
          <w:sz w:val="24"/>
          <w:szCs w:val="24"/>
        </w:rPr>
        <w:t>Timeline</w:t>
      </w:r>
      <w:r>
        <w:rPr>
          <w:color w:val="000000"/>
          <w:sz w:val="24"/>
          <w:szCs w:val="24"/>
        </w:rPr>
        <w:t xml:space="preserve">: </w:t>
      </w:r>
      <w:r w:rsidR="004F20AE">
        <w:rPr>
          <w:color w:val="000000"/>
          <w:sz w:val="24"/>
          <w:szCs w:val="24"/>
        </w:rPr>
        <w:t>T</w:t>
      </w:r>
      <w:r w:rsidRPr="00502877" w:rsidR="008D0E72">
        <w:rPr>
          <w:color w:val="000000"/>
          <w:sz w:val="24"/>
          <w:szCs w:val="24"/>
        </w:rPr>
        <w:t xml:space="preserve">esting will be conducted </w:t>
      </w:r>
      <w:r w:rsidR="00C53D90">
        <w:rPr>
          <w:color w:val="000000"/>
          <w:sz w:val="24"/>
          <w:szCs w:val="24"/>
        </w:rPr>
        <w:t xml:space="preserve">iteratively from </w:t>
      </w:r>
      <w:r w:rsidR="00B05406">
        <w:rPr>
          <w:color w:val="000000"/>
          <w:sz w:val="24"/>
          <w:szCs w:val="24"/>
        </w:rPr>
        <w:t>January 2024</w:t>
      </w:r>
      <w:r w:rsidR="00C53D90">
        <w:rPr>
          <w:color w:val="000000"/>
          <w:sz w:val="24"/>
          <w:szCs w:val="24"/>
        </w:rPr>
        <w:t xml:space="preserve"> through </w:t>
      </w:r>
      <w:r w:rsidR="00B05406">
        <w:rPr>
          <w:color w:val="000000"/>
          <w:sz w:val="24"/>
          <w:szCs w:val="24"/>
        </w:rPr>
        <w:t>April 2024</w:t>
      </w:r>
      <w:r w:rsidR="00C53D90">
        <w:rPr>
          <w:color w:val="000000"/>
          <w:sz w:val="24"/>
          <w:szCs w:val="24"/>
        </w:rPr>
        <w:t xml:space="preserve">.  Recruiting will start </w:t>
      </w:r>
      <w:r w:rsidR="00402F86">
        <w:rPr>
          <w:color w:val="000000"/>
          <w:sz w:val="24"/>
          <w:szCs w:val="24"/>
        </w:rPr>
        <w:t xml:space="preserve">early </w:t>
      </w:r>
      <w:r w:rsidR="00B05406">
        <w:rPr>
          <w:color w:val="000000"/>
          <w:sz w:val="24"/>
          <w:szCs w:val="24"/>
        </w:rPr>
        <w:t>January 2024</w:t>
      </w:r>
      <w:r w:rsidR="00C53D90">
        <w:rPr>
          <w:color w:val="000000"/>
          <w:sz w:val="24"/>
          <w:szCs w:val="24"/>
        </w:rPr>
        <w:t xml:space="preserve">.  </w:t>
      </w:r>
    </w:p>
    <w:p w:rsidR="00A52414" w:rsidP="006321D1" w14:paraId="493F2888" w14:textId="77777777">
      <w:pPr>
        <w:shd w:val="clear" w:color="auto" w:fill="FFFFFF"/>
        <w:autoSpaceDE/>
        <w:autoSpaceDN/>
        <w:adjustRightInd/>
        <w:rPr>
          <w:color w:val="000000"/>
          <w:sz w:val="24"/>
          <w:szCs w:val="24"/>
        </w:rPr>
      </w:pPr>
    </w:p>
    <w:p w:rsidR="006321D1" w:rsidP="006321D1" w14:paraId="1702C978" w14:textId="7E91A4EA">
      <w:pPr>
        <w:shd w:val="clear" w:color="auto" w:fill="FFFFFF"/>
        <w:autoSpaceDE/>
        <w:autoSpaceDN/>
        <w:adjustRightInd/>
        <w:rPr>
          <w:sz w:val="24"/>
          <w:szCs w:val="24"/>
        </w:rPr>
      </w:pPr>
      <w:r w:rsidRPr="00825309">
        <w:rPr>
          <w:b/>
          <w:color w:val="000000"/>
          <w:sz w:val="24"/>
          <w:szCs w:val="24"/>
        </w:rPr>
        <w:t>Language</w:t>
      </w:r>
      <w:r>
        <w:rPr>
          <w:color w:val="000000"/>
          <w:sz w:val="24"/>
          <w:szCs w:val="24"/>
        </w:rPr>
        <w:t xml:space="preserve">: </w:t>
      </w:r>
      <w:r w:rsidR="00FD35AF">
        <w:rPr>
          <w:color w:val="000000"/>
          <w:sz w:val="24"/>
          <w:szCs w:val="24"/>
        </w:rPr>
        <w:t xml:space="preserve">Testing will be conducted </w:t>
      </w:r>
      <w:r w:rsidR="00C53D90">
        <w:rPr>
          <w:color w:val="000000"/>
          <w:sz w:val="24"/>
          <w:szCs w:val="24"/>
        </w:rPr>
        <w:t>in English</w:t>
      </w:r>
      <w:r>
        <w:rPr>
          <w:color w:val="000000"/>
          <w:sz w:val="24"/>
          <w:szCs w:val="24"/>
        </w:rPr>
        <w:t xml:space="preserve"> only</w:t>
      </w:r>
      <w:r w:rsidR="00C53D90">
        <w:rPr>
          <w:color w:val="000000"/>
          <w:sz w:val="24"/>
          <w:szCs w:val="24"/>
        </w:rPr>
        <w:t>.</w:t>
      </w:r>
      <w:r>
        <w:rPr>
          <w:color w:val="000000"/>
          <w:sz w:val="24"/>
          <w:szCs w:val="24"/>
        </w:rPr>
        <w:t xml:space="preserve">  </w:t>
      </w:r>
    </w:p>
    <w:p w:rsidR="00DC4966" w:rsidRPr="00DC4966" w:rsidP="008D0E72" w14:paraId="60F7AED3" w14:textId="77777777">
      <w:pPr>
        <w:shd w:val="clear" w:color="auto" w:fill="FFFFFF"/>
        <w:autoSpaceDE/>
        <w:autoSpaceDN/>
        <w:adjustRightInd/>
        <w:rPr>
          <w:color w:val="000000"/>
          <w:sz w:val="24"/>
          <w:szCs w:val="24"/>
        </w:rPr>
      </w:pPr>
    </w:p>
    <w:p w:rsidR="008C7839" w:rsidRPr="008C7839" w:rsidP="008C7839" w14:paraId="7C51D8D2" w14:textId="684766E5">
      <w:pPr>
        <w:shd w:val="clear" w:color="auto" w:fill="FFFFFF"/>
        <w:autoSpaceDE/>
        <w:autoSpaceDN/>
        <w:adjustRightInd/>
        <w:rPr>
          <w:color w:val="000000"/>
          <w:sz w:val="24"/>
          <w:szCs w:val="24"/>
        </w:rPr>
      </w:pPr>
      <w:r w:rsidRPr="00825309">
        <w:rPr>
          <w:b/>
          <w:color w:val="000000"/>
          <w:sz w:val="24"/>
          <w:szCs w:val="24"/>
        </w:rPr>
        <w:t>Method</w:t>
      </w:r>
      <w:r>
        <w:rPr>
          <w:color w:val="000000"/>
          <w:sz w:val="24"/>
          <w:szCs w:val="24"/>
        </w:rPr>
        <w:t xml:space="preserve">: </w:t>
      </w:r>
      <w:r w:rsidRPr="008C7839">
        <w:rPr>
          <w:color w:val="000000"/>
          <w:sz w:val="24"/>
          <w:szCs w:val="24"/>
        </w:rPr>
        <w:t>We will conduct remote user sessions using video conferencing software (</w:t>
      </w:r>
      <w:r>
        <w:rPr>
          <w:color w:val="000000"/>
          <w:sz w:val="24"/>
          <w:szCs w:val="24"/>
        </w:rPr>
        <w:t>Microsoft Teams</w:t>
      </w:r>
      <w:r w:rsidRPr="008C7839">
        <w:rPr>
          <w:color w:val="000000"/>
          <w:sz w:val="24"/>
          <w:szCs w:val="24"/>
        </w:rPr>
        <w:t>) with up to 3</w:t>
      </w:r>
      <w:r>
        <w:rPr>
          <w:color w:val="000000"/>
          <w:sz w:val="24"/>
          <w:szCs w:val="24"/>
        </w:rPr>
        <w:t>5</w:t>
      </w:r>
      <w:r w:rsidRPr="008C7839">
        <w:rPr>
          <w:color w:val="000000"/>
          <w:sz w:val="24"/>
          <w:szCs w:val="24"/>
        </w:rPr>
        <w:t xml:space="preserve"> English-speaking participants. Instructions on how to install </w:t>
      </w:r>
      <w:r>
        <w:rPr>
          <w:color w:val="000000"/>
          <w:sz w:val="24"/>
          <w:szCs w:val="24"/>
        </w:rPr>
        <w:t>Microsoft Teams</w:t>
      </w:r>
      <w:r w:rsidRPr="008C7839">
        <w:rPr>
          <w:color w:val="000000"/>
          <w:sz w:val="24"/>
          <w:szCs w:val="24"/>
        </w:rPr>
        <w:t xml:space="preserve"> will be sent as an attachment to the confirmation email once an interview has been scheduled (see Attachment I). Interviewers will use the scripted protocol seen in </w:t>
      </w:r>
      <w:r w:rsidR="009C7474">
        <w:rPr>
          <w:color w:val="000000"/>
          <w:sz w:val="24"/>
          <w:szCs w:val="24"/>
        </w:rPr>
        <w:t>Attachment</w:t>
      </w:r>
      <w:r w:rsidRPr="008C7839">
        <w:rPr>
          <w:color w:val="000000"/>
          <w:sz w:val="24"/>
          <w:szCs w:val="24"/>
        </w:rPr>
        <w:t xml:space="preserve"> II.  </w:t>
      </w:r>
      <w:r>
        <w:rPr>
          <w:color w:val="000000"/>
          <w:sz w:val="24"/>
          <w:szCs w:val="24"/>
        </w:rPr>
        <w:t>Since all p</w:t>
      </w:r>
      <w:r w:rsidRPr="008C7839">
        <w:rPr>
          <w:color w:val="000000"/>
          <w:sz w:val="24"/>
          <w:szCs w:val="24"/>
        </w:rPr>
        <w:t>articipants are under the age of 18 a parent or guardian will be sent a consent form (see Attachment I). Participants will also give oral consent at the start of the interview.</w:t>
      </w:r>
    </w:p>
    <w:p w:rsidR="008C7839" w:rsidRPr="008C7839" w:rsidP="008C7839" w14:paraId="6AF7F0A4" w14:textId="5A47A7B6">
      <w:pPr>
        <w:shd w:val="clear" w:color="auto" w:fill="FFFFFF"/>
        <w:autoSpaceDE/>
        <w:autoSpaceDN/>
        <w:adjustRightInd/>
        <w:rPr>
          <w:color w:val="000000"/>
          <w:sz w:val="24"/>
          <w:szCs w:val="24"/>
        </w:rPr>
      </w:pPr>
      <w:r w:rsidRPr="008C7839">
        <w:rPr>
          <w:color w:val="000000"/>
          <w:sz w:val="24"/>
          <w:szCs w:val="24"/>
        </w:rPr>
        <w:t xml:space="preserve">Each interview will be 60 minutes in length and will allow time to complete the </w:t>
      </w:r>
      <w:r>
        <w:rPr>
          <w:color w:val="000000"/>
          <w:sz w:val="24"/>
          <w:szCs w:val="24"/>
        </w:rPr>
        <w:t>NHIS-Teen</w:t>
      </w:r>
      <w:r w:rsidRPr="008C7839">
        <w:rPr>
          <w:color w:val="000000"/>
          <w:sz w:val="24"/>
          <w:szCs w:val="24"/>
        </w:rPr>
        <w:t xml:space="preserve"> survey and administer a set of in-depth retrospective probes about a subset of questions. From prior experience, we anticipate needing to contact approximately </w:t>
      </w:r>
      <w:r w:rsidR="00ED7C71">
        <w:rPr>
          <w:color w:val="000000"/>
          <w:sz w:val="24"/>
          <w:szCs w:val="24"/>
        </w:rPr>
        <w:t>95</w:t>
      </w:r>
      <w:r w:rsidRPr="008C7839">
        <w:rPr>
          <w:color w:val="000000"/>
          <w:sz w:val="24"/>
          <w:szCs w:val="24"/>
        </w:rPr>
        <w:t xml:space="preserve"> individuals to yield the 3</w:t>
      </w:r>
      <w:r w:rsidR="00ED7C71">
        <w:rPr>
          <w:color w:val="000000"/>
          <w:sz w:val="24"/>
          <w:szCs w:val="24"/>
        </w:rPr>
        <w:t>5</w:t>
      </w:r>
      <w:r w:rsidRPr="008C7839">
        <w:rPr>
          <w:color w:val="000000"/>
          <w:sz w:val="24"/>
          <w:szCs w:val="24"/>
        </w:rPr>
        <w:t xml:space="preserve"> desired interviews to account for ineligible </w:t>
      </w:r>
      <w:r w:rsidR="00816233">
        <w:rPr>
          <w:color w:val="000000"/>
          <w:sz w:val="24"/>
          <w:szCs w:val="24"/>
        </w:rPr>
        <w:t>participants</w:t>
      </w:r>
      <w:r w:rsidRPr="008C7839">
        <w:rPr>
          <w:color w:val="000000"/>
          <w:sz w:val="24"/>
          <w:szCs w:val="24"/>
        </w:rPr>
        <w:t xml:space="preserve"> and cancellations.</w:t>
      </w:r>
    </w:p>
    <w:p w:rsidR="00DC4966" w:rsidP="00DC4966" w14:paraId="18FAB144" w14:textId="01A3BD3D">
      <w:pPr>
        <w:shd w:val="clear" w:color="auto" w:fill="FFFFFF"/>
        <w:autoSpaceDE/>
        <w:autoSpaceDN/>
        <w:adjustRightInd/>
        <w:rPr>
          <w:color w:val="000000"/>
          <w:sz w:val="24"/>
          <w:szCs w:val="24"/>
        </w:rPr>
      </w:pPr>
    </w:p>
    <w:p w:rsidR="00904877" w:rsidP="008D0E72" w14:paraId="646F44A9" w14:textId="77777777">
      <w:pPr>
        <w:shd w:val="clear" w:color="auto" w:fill="FFFFFF"/>
        <w:autoSpaceDE/>
        <w:autoSpaceDN/>
        <w:adjustRightInd/>
        <w:rPr>
          <w:color w:val="000000"/>
          <w:sz w:val="24"/>
          <w:szCs w:val="24"/>
        </w:rPr>
      </w:pPr>
    </w:p>
    <w:p w:rsidR="002D2371" w:rsidRPr="00F2405E" w:rsidP="000D3F1B" w14:paraId="13D986A3" w14:textId="099F35ED">
      <w:pPr>
        <w:shd w:val="clear" w:color="auto" w:fill="FFFFFF"/>
        <w:autoSpaceDE/>
        <w:autoSpaceDN/>
        <w:adjustRightInd/>
        <w:rPr>
          <w:color w:val="000000"/>
        </w:rPr>
      </w:pPr>
      <w:r w:rsidRPr="000D3F1B">
        <w:rPr>
          <w:b/>
          <w:color w:val="000000"/>
          <w:sz w:val="24"/>
          <w:szCs w:val="24"/>
        </w:rPr>
        <w:t>Sample</w:t>
      </w:r>
      <w:r>
        <w:rPr>
          <w:color w:val="000000"/>
          <w:sz w:val="24"/>
          <w:szCs w:val="24"/>
        </w:rPr>
        <w:t xml:space="preserve">: </w:t>
      </w:r>
      <w:r w:rsidRPr="00A52414" w:rsidR="00F2405E">
        <w:rPr>
          <w:color w:val="000000"/>
          <w:sz w:val="24"/>
          <w:szCs w:val="24"/>
        </w:rPr>
        <w:t xml:space="preserve">Participants will </w:t>
      </w:r>
      <w:r w:rsidR="00F2405E">
        <w:rPr>
          <w:color w:val="000000"/>
          <w:sz w:val="24"/>
          <w:szCs w:val="24"/>
        </w:rPr>
        <w:t>be teenagers from ages 12-17</w:t>
      </w:r>
      <w:r w:rsidRPr="00A52414" w:rsidR="00F2405E">
        <w:rPr>
          <w:color w:val="000000"/>
          <w:sz w:val="24"/>
          <w:szCs w:val="24"/>
        </w:rPr>
        <w:t>.</w:t>
      </w:r>
      <w:r w:rsidR="00F2405E">
        <w:rPr>
          <w:color w:val="000000"/>
          <w:sz w:val="24"/>
          <w:szCs w:val="24"/>
        </w:rPr>
        <w:t xml:space="preserve"> </w:t>
      </w:r>
      <w:r>
        <w:rPr>
          <w:color w:val="000000"/>
          <w:sz w:val="24"/>
          <w:szCs w:val="24"/>
        </w:rPr>
        <w:t xml:space="preserve">We plan on testing approximately </w:t>
      </w:r>
      <w:r w:rsidR="00B05406">
        <w:rPr>
          <w:color w:val="000000"/>
          <w:sz w:val="24"/>
          <w:szCs w:val="24"/>
        </w:rPr>
        <w:t>35 teenage participants</w:t>
      </w:r>
      <w:r>
        <w:rPr>
          <w:color w:val="000000"/>
          <w:sz w:val="24"/>
          <w:szCs w:val="24"/>
        </w:rPr>
        <w:t xml:space="preserve">. </w:t>
      </w:r>
      <w:r w:rsidRPr="00FB07B5" w:rsidR="00FB07B5">
        <w:rPr>
          <w:color w:val="000000"/>
          <w:sz w:val="24"/>
          <w:szCs w:val="24"/>
        </w:rPr>
        <w:t xml:space="preserve">In addition to covering a spectrum of demographic characteristics, we aim to recruit a </w:t>
      </w:r>
      <w:r w:rsidR="00FB07B5">
        <w:rPr>
          <w:color w:val="000000"/>
          <w:sz w:val="24"/>
          <w:szCs w:val="24"/>
        </w:rPr>
        <w:t>small subset</w:t>
      </w:r>
      <w:r w:rsidRPr="00FB07B5" w:rsidR="00FB07B5">
        <w:rPr>
          <w:color w:val="000000"/>
          <w:sz w:val="24"/>
          <w:szCs w:val="24"/>
        </w:rPr>
        <w:t xml:space="preserve"> of students w</w:t>
      </w:r>
      <w:r w:rsidR="00FB07B5">
        <w:rPr>
          <w:color w:val="000000"/>
          <w:sz w:val="24"/>
          <w:szCs w:val="24"/>
        </w:rPr>
        <w:t>ith learning disabilities and students who engage in recreational physical activity or organized sports</w:t>
      </w:r>
      <w:r w:rsidRPr="00FB07B5" w:rsidR="00FB07B5">
        <w:rPr>
          <w:color w:val="000000"/>
          <w:sz w:val="24"/>
          <w:szCs w:val="24"/>
        </w:rPr>
        <w:t xml:space="preserve">. </w:t>
      </w:r>
      <w:r w:rsidR="00B05406">
        <w:rPr>
          <w:color w:val="000000"/>
          <w:sz w:val="24"/>
          <w:szCs w:val="24"/>
        </w:rPr>
        <w:t>There will be three rounds of testing with 10 participants in the first round, 15 participants in the second round</w:t>
      </w:r>
      <w:r w:rsidR="00581FDD">
        <w:rPr>
          <w:color w:val="000000"/>
          <w:sz w:val="24"/>
          <w:szCs w:val="24"/>
        </w:rPr>
        <w:t>,</w:t>
      </w:r>
      <w:r w:rsidR="00B05406">
        <w:rPr>
          <w:color w:val="000000"/>
          <w:sz w:val="24"/>
          <w:szCs w:val="24"/>
        </w:rPr>
        <w:t xml:space="preserve"> and 10 participants in the final confirmation round. </w:t>
      </w:r>
      <w:r w:rsidR="00863E5A">
        <w:rPr>
          <w:color w:val="000000"/>
          <w:sz w:val="24"/>
          <w:szCs w:val="24"/>
        </w:rPr>
        <w:t>Recruiting will begin one week prior to starting interviews and will last the duration of the round. Interview rounds will last two to three weeks</w:t>
      </w:r>
      <w:r w:rsidR="00B05406">
        <w:rPr>
          <w:color w:val="000000"/>
          <w:sz w:val="24"/>
          <w:szCs w:val="24"/>
        </w:rPr>
        <w:t xml:space="preserve">. </w:t>
      </w:r>
    </w:p>
    <w:p w:rsidR="00A52414" w:rsidP="00DC4966" w14:paraId="5F46AB90" w14:textId="77777777">
      <w:pPr>
        <w:pStyle w:val="NormalWeb"/>
        <w:shd w:val="clear" w:color="auto" w:fill="FFFFFF"/>
        <w:spacing w:before="0" w:beforeAutospacing="0" w:after="0" w:afterAutospacing="0"/>
        <w:rPr>
          <w:color w:val="000000"/>
        </w:rPr>
      </w:pPr>
    </w:p>
    <w:p w:rsidR="00DC4966" w:rsidRPr="008C7839" w:rsidP="008C7839" w14:paraId="35309638" w14:textId="0AFE57CE">
      <w:pPr>
        <w:pStyle w:val="NormalWeb"/>
        <w:shd w:val="clear" w:color="auto" w:fill="FFFFFF"/>
        <w:spacing w:after="0"/>
      </w:pPr>
      <w:r w:rsidRPr="00844C7D">
        <w:rPr>
          <w:b/>
          <w:color w:val="000000"/>
        </w:rPr>
        <w:t>Recruitment</w:t>
      </w:r>
      <w:r>
        <w:rPr>
          <w:color w:val="000000"/>
        </w:rPr>
        <w:t xml:space="preserve">: </w:t>
      </w:r>
      <w:r w:rsidRPr="008C7839" w:rsidR="008C7839">
        <w:t xml:space="preserve">Cognitive interview participants will be recruited using CBSM partnerships with student organizations all over the U.S.; through Craigslist; through listservs; social media; and through personal networks. See Attachment I for the language to be used in recruitment advertisements and for the eligibility screener. </w:t>
      </w:r>
      <w:r w:rsidR="008C7839">
        <w:rPr>
          <w:color w:val="000000"/>
        </w:rPr>
        <w:t>Participants will be recruited through their parents who will respond to the screener.</w:t>
      </w:r>
      <w:r w:rsidR="00ED7C71">
        <w:rPr>
          <w:color w:val="000000"/>
        </w:rPr>
        <w:t xml:space="preserve"> The screener will be available as a self-response internet instrument using Qualtrics, and a recruiter administered instrument should parents prefer to call in.</w:t>
      </w:r>
      <w:r w:rsidR="008C7839">
        <w:rPr>
          <w:color w:val="000000"/>
        </w:rPr>
        <w:t xml:space="preserve">   </w:t>
      </w:r>
      <w:r w:rsidR="008C7839">
        <w:t>Participants and their parents</w:t>
      </w:r>
      <w:r w:rsidRPr="008C7839" w:rsidR="008C7839">
        <w:t xml:space="preserve"> will receive materials by email to remind them of their interview time and any other directions or information they need.</w:t>
      </w:r>
    </w:p>
    <w:p w:rsidR="00DC4966" w:rsidP="00DC4966" w14:paraId="23FFB332" w14:textId="77777777">
      <w:pPr>
        <w:pStyle w:val="NormalWeb"/>
        <w:shd w:val="clear" w:color="auto" w:fill="FFFFFF"/>
        <w:spacing w:before="0" w:beforeAutospacing="0" w:after="0" w:afterAutospacing="0"/>
        <w:rPr>
          <w:color w:val="000000"/>
        </w:rPr>
      </w:pPr>
    </w:p>
    <w:p w:rsidR="008D0E72" w:rsidP="008D0E72" w14:paraId="238A3844" w14:textId="4532AF60">
      <w:pPr>
        <w:shd w:val="clear" w:color="auto" w:fill="FFFFFF"/>
        <w:autoSpaceDE/>
        <w:autoSpaceDN/>
        <w:adjustRightInd/>
        <w:rPr>
          <w:color w:val="000000"/>
          <w:sz w:val="24"/>
          <w:szCs w:val="24"/>
        </w:rPr>
      </w:pPr>
      <w:r w:rsidRPr="00844C7D">
        <w:rPr>
          <w:b/>
          <w:color w:val="000000"/>
          <w:sz w:val="24"/>
          <w:szCs w:val="24"/>
        </w:rPr>
        <w:t>Protocol</w:t>
      </w:r>
      <w:r>
        <w:rPr>
          <w:color w:val="000000"/>
          <w:sz w:val="24"/>
          <w:szCs w:val="24"/>
        </w:rPr>
        <w:t xml:space="preserve">: </w:t>
      </w:r>
    </w:p>
    <w:p w:rsidR="008A6667" w:rsidP="008A6667" w14:paraId="4BAD0AA3" w14:textId="42DB620D">
      <w:pPr>
        <w:shd w:val="clear" w:color="auto" w:fill="FFFFFF"/>
        <w:autoSpaceDE/>
        <w:autoSpaceDN/>
        <w:adjustRightInd/>
        <w:rPr>
          <w:color w:val="000000"/>
          <w:sz w:val="24"/>
          <w:szCs w:val="24"/>
        </w:rPr>
      </w:pPr>
      <w:r w:rsidRPr="008A6667">
        <w:rPr>
          <w:color w:val="000000"/>
          <w:sz w:val="24"/>
          <w:szCs w:val="24"/>
        </w:rPr>
        <w:t xml:space="preserve">Researchers from the Center for Behavioral Science Methods (CBSM) at the U.S. Census Bureau will carry out the cognitive interviews remotely. Between </w:t>
      </w:r>
      <w:r>
        <w:rPr>
          <w:color w:val="000000"/>
          <w:sz w:val="24"/>
          <w:szCs w:val="24"/>
        </w:rPr>
        <w:t>three and four</w:t>
      </w:r>
      <w:r w:rsidRPr="008A6667">
        <w:rPr>
          <w:color w:val="000000"/>
          <w:sz w:val="24"/>
          <w:szCs w:val="24"/>
        </w:rPr>
        <w:t xml:space="preserve"> staff members will be trained to conduct the interviews to allow flexibility in interview scheduling. All interviewers will be required to demonstrate a strong understanding of the interview protocol before beginning interviews. With </w:t>
      </w:r>
      <w:r w:rsidR="00816233">
        <w:rPr>
          <w:color w:val="000000"/>
          <w:sz w:val="24"/>
          <w:szCs w:val="24"/>
        </w:rPr>
        <w:t>participant</w:t>
      </w:r>
      <w:r w:rsidRPr="008A6667">
        <w:rPr>
          <w:color w:val="000000"/>
          <w:sz w:val="24"/>
          <w:szCs w:val="24"/>
        </w:rPr>
        <w:t xml:space="preserve"> permission, </w:t>
      </w:r>
      <w:r>
        <w:rPr>
          <w:color w:val="000000"/>
          <w:sz w:val="24"/>
          <w:szCs w:val="24"/>
        </w:rPr>
        <w:t>interviewers will record the screen containing the virtual session. This will allow interviews to review participants’ responses to the self-administered survey as well as verbal responses to probes</w:t>
      </w:r>
      <w:r w:rsidRPr="008A6667">
        <w:rPr>
          <w:color w:val="000000"/>
          <w:sz w:val="24"/>
          <w:szCs w:val="24"/>
        </w:rPr>
        <w:t xml:space="preserve"> </w:t>
      </w:r>
      <w:r>
        <w:rPr>
          <w:color w:val="000000"/>
          <w:sz w:val="24"/>
          <w:szCs w:val="24"/>
        </w:rPr>
        <w:t xml:space="preserve">when writing summaries and c conducting </w:t>
      </w:r>
      <w:r w:rsidRPr="008A6667">
        <w:rPr>
          <w:color w:val="000000"/>
          <w:sz w:val="24"/>
          <w:szCs w:val="24"/>
        </w:rPr>
        <w:t>analysis. The CBSM project leader will conduct interviewer training, supervise staff, and monitor data quality throughout the data collection period.</w:t>
      </w:r>
    </w:p>
    <w:p w:rsidR="008A6667" w:rsidRPr="008A6667" w:rsidP="008A6667" w14:paraId="1388A330" w14:textId="77777777">
      <w:pPr>
        <w:shd w:val="clear" w:color="auto" w:fill="FFFFFF"/>
        <w:autoSpaceDE/>
        <w:autoSpaceDN/>
        <w:adjustRightInd/>
        <w:rPr>
          <w:color w:val="000000"/>
          <w:sz w:val="24"/>
          <w:szCs w:val="24"/>
        </w:rPr>
      </w:pPr>
    </w:p>
    <w:p w:rsidR="008A6667" w:rsidP="008A6667" w14:paraId="487DF172" w14:textId="01B586AE">
      <w:pPr>
        <w:shd w:val="clear" w:color="auto" w:fill="FFFFFF"/>
        <w:autoSpaceDE/>
        <w:autoSpaceDN/>
        <w:adjustRightInd/>
        <w:rPr>
          <w:color w:val="000000"/>
          <w:sz w:val="24"/>
          <w:szCs w:val="24"/>
        </w:rPr>
      </w:pPr>
      <w:r w:rsidRPr="008A6667">
        <w:rPr>
          <w:color w:val="000000"/>
          <w:sz w:val="24"/>
          <w:szCs w:val="24"/>
        </w:rPr>
        <w:t xml:space="preserve">During each interview, regardless of round, </w:t>
      </w:r>
      <w:r>
        <w:rPr>
          <w:color w:val="000000"/>
          <w:sz w:val="24"/>
          <w:szCs w:val="24"/>
        </w:rPr>
        <w:t>participants will be instructed to self-respond to</w:t>
      </w:r>
      <w:r w:rsidRPr="008A6667">
        <w:rPr>
          <w:color w:val="000000"/>
          <w:sz w:val="24"/>
          <w:szCs w:val="24"/>
        </w:rPr>
        <w:t xml:space="preserve"> the </w:t>
      </w:r>
      <w:r>
        <w:rPr>
          <w:color w:val="000000"/>
          <w:sz w:val="24"/>
          <w:szCs w:val="24"/>
        </w:rPr>
        <w:t xml:space="preserve">online </w:t>
      </w:r>
      <w:r w:rsidRPr="008A6667">
        <w:rPr>
          <w:color w:val="000000"/>
          <w:sz w:val="24"/>
          <w:szCs w:val="24"/>
        </w:rPr>
        <w:t>survey in its entirety</w:t>
      </w:r>
      <w:r w:rsidR="009C7474">
        <w:rPr>
          <w:color w:val="000000"/>
          <w:sz w:val="24"/>
          <w:szCs w:val="24"/>
        </w:rPr>
        <w:t xml:space="preserve"> (see Attachment III for full NHIS-Teen questionnaire)</w:t>
      </w:r>
      <w:r w:rsidRPr="008A6667">
        <w:rPr>
          <w:color w:val="000000"/>
          <w:sz w:val="24"/>
          <w:szCs w:val="24"/>
        </w:rPr>
        <w:t>.</w:t>
      </w:r>
      <w:r w:rsidR="00EF139D">
        <w:rPr>
          <w:color w:val="000000"/>
          <w:sz w:val="24"/>
          <w:szCs w:val="24"/>
        </w:rPr>
        <w:t xml:space="preserve"> Participants will be instructed to think aloud as they respond to the survey, offering insight into their thought process and allowing interviewers to observe whether any questions are potentially problematic.</w:t>
      </w:r>
      <w:r>
        <w:rPr>
          <w:color w:val="000000"/>
          <w:sz w:val="24"/>
          <w:szCs w:val="24"/>
        </w:rPr>
        <w:t xml:space="preserve"> The NHIS-Teen instrument will be programmed in Qualtrics.</w:t>
      </w:r>
      <w:r w:rsidRPr="008A6667">
        <w:rPr>
          <w:color w:val="000000"/>
          <w:sz w:val="24"/>
          <w:szCs w:val="24"/>
        </w:rPr>
        <w:t xml:space="preserve"> The interviewer will observe the </w:t>
      </w:r>
      <w:r>
        <w:rPr>
          <w:color w:val="000000"/>
          <w:sz w:val="24"/>
          <w:szCs w:val="24"/>
        </w:rPr>
        <w:t>participant</w:t>
      </w:r>
      <w:r w:rsidRPr="008A6667">
        <w:rPr>
          <w:color w:val="000000"/>
          <w:sz w:val="24"/>
          <w:szCs w:val="24"/>
        </w:rPr>
        <w:t xml:space="preserve"> as they answer the survey items, noting any questions or problems the </w:t>
      </w:r>
      <w:r w:rsidR="00816233">
        <w:rPr>
          <w:color w:val="000000"/>
          <w:sz w:val="24"/>
          <w:szCs w:val="24"/>
        </w:rPr>
        <w:t>participant</w:t>
      </w:r>
      <w:r w:rsidRPr="008A6667" w:rsidR="00816233">
        <w:rPr>
          <w:color w:val="000000"/>
          <w:sz w:val="24"/>
          <w:szCs w:val="24"/>
        </w:rPr>
        <w:t xml:space="preserve"> </w:t>
      </w:r>
      <w:r w:rsidRPr="008A6667">
        <w:rPr>
          <w:color w:val="000000"/>
          <w:sz w:val="24"/>
          <w:szCs w:val="24"/>
        </w:rPr>
        <w:t xml:space="preserve">has with regards to </w:t>
      </w:r>
      <w:r w:rsidRPr="008A6667">
        <w:rPr>
          <w:color w:val="000000"/>
          <w:sz w:val="24"/>
          <w:szCs w:val="24"/>
        </w:rPr>
        <w:t>particular items</w:t>
      </w:r>
      <w:r w:rsidRPr="008A6667">
        <w:rPr>
          <w:color w:val="000000"/>
          <w:sz w:val="24"/>
          <w:szCs w:val="24"/>
        </w:rPr>
        <w:t>. After completing the</w:t>
      </w:r>
      <w:r>
        <w:rPr>
          <w:color w:val="000000"/>
          <w:sz w:val="24"/>
          <w:szCs w:val="24"/>
        </w:rPr>
        <w:t xml:space="preserve"> survey, participants</w:t>
      </w:r>
      <w:r w:rsidRPr="008A6667">
        <w:rPr>
          <w:color w:val="000000"/>
          <w:sz w:val="24"/>
          <w:szCs w:val="24"/>
        </w:rPr>
        <w:t xml:space="preserve"> will be asked a set of probing questions about some of the survey items, and about any questions or problems the </w:t>
      </w:r>
      <w:r>
        <w:rPr>
          <w:color w:val="000000"/>
          <w:sz w:val="24"/>
          <w:szCs w:val="24"/>
        </w:rPr>
        <w:t>participant</w:t>
      </w:r>
      <w:r w:rsidRPr="008A6667">
        <w:rPr>
          <w:color w:val="000000"/>
          <w:sz w:val="24"/>
          <w:szCs w:val="24"/>
        </w:rPr>
        <w:t xml:space="preserve"> had when answering the main survey questions. After all probing questions, interviewers will ask a set of debriefing questions. The survey questions will be iteratively tested within each of the three rounds, with the protocol and question wording being adapted based on the results from the previous round. See </w:t>
      </w:r>
      <w:r w:rsidR="009C7474">
        <w:rPr>
          <w:color w:val="000000"/>
          <w:sz w:val="24"/>
          <w:szCs w:val="24"/>
        </w:rPr>
        <w:t>Attachment</w:t>
      </w:r>
      <w:r w:rsidRPr="008A6667">
        <w:rPr>
          <w:color w:val="000000"/>
          <w:sz w:val="24"/>
          <w:szCs w:val="24"/>
        </w:rPr>
        <w:t xml:space="preserve"> II of this submission for the full cognitive interview protocol.</w:t>
      </w:r>
    </w:p>
    <w:p w:rsidR="008A6667" w:rsidRPr="008A6667" w:rsidP="008A6667" w14:paraId="686E43DE" w14:textId="77777777">
      <w:pPr>
        <w:shd w:val="clear" w:color="auto" w:fill="FFFFFF"/>
        <w:autoSpaceDE/>
        <w:autoSpaceDN/>
        <w:adjustRightInd/>
        <w:rPr>
          <w:color w:val="000000"/>
          <w:sz w:val="24"/>
          <w:szCs w:val="24"/>
        </w:rPr>
      </w:pPr>
    </w:p>
    <w:p w:rsidR="00484B60" w:rsidP="008A6667" w14:paraId="5EFC2AA7" w14:textId="77777777">
      <w:pPr>
        <w:shd w:val="clear" w:color="auto" w:fill="FFFFFF"/>
        <w:autoSpaceDE/>
        <w:autoSpaceDN/>
        <w:adjustRightInd/>
        <w:rPr>
          <w:color w:val="000000"/>
          <w:sz w:val="24"/>
          <w:szCs w:val="24"/>
        </w:rPr>
      </w:pPr>
      <w:r w:rsidRPr="008A6667">
        <w:rPr>
          <w:color w:val="000000"/>
          <w:sz w:val="24"/>
          <w:szCs w:val="24"/>
        </w:rPr>
        <w:t xml:space="preserve">Cognitive interviewing techniques allow researchers to evaluate potential response error and to assure that the survey provides valid data. In general, the goal of cognitive testing is to assess the </w:t>
      </w:r>
      <w:r>
        <w:rPr>
          <w:color w:val="000000"/>
          <w:sz w:val="24"/>
          <w:szCs w:val="24"/>
        </w:rPr>
        <w:t xml:space="preserve">participants’ </w:t>
      </w:r>
      <w:r w:rsidRPr="008A6667">
        <w:rPr>
          <w:color w:val="000000"/>
          <w:sz w:val="24"/>
          <w:szCs w:val="24"/>
        </w:rPr>
        <w:t xml:space="preserve">comprehension of the questionnaire items, including question intent and the meaning of specific words and phrases in the item. Data from cognitive interviews can identify potentially problematic questions that are not understood as intended. This testing can also examine the </w:t>
      </w:r>
      <w:r>
        <w:rPr>
          <w:color w:val="000000"/>
          <w:sz w:val="24"/>
          <w:szCs w:val="24"/>
        </w:rPr>
        <w:t xml:space="preserve">participants’ </w:t>
      </w:r>
      <w:r w:rsidRPr="008A6667">
        <w:rPr>
          <w:color w:val="000000"/>
          <w:sz w:val="24"/>
          <w:szCs w:val="24"/>
        </w:rPr>
        <w:t xml:space="preserve">retrieval of relevant information from memory, decision processes involved with answering a question, and questions that are difficult to answer due to cognitive burden. </w:t>
      </w:r>
    </w:p>
    <w:p w:rsidR="008A6667" w:rsidRPr="008A6667" w:rsidP="008A6667" w14:paraId="22A48147" w14:textId="7597E369">
      <w:pPr>
        <w:shd w:val="clear" w:color="auto" w:fill="FFFFFF"/>
        <w:autoSpaceDE/>
        <w:autoSpaceDN/>
        <w:adjustRightInd/>
        <w:rPr>
          <w:color w:val="000000"/>
          <w:sz w:val="24"/>
          <w:szCs w:val="24"/>
        </w:rPr>
      </w:pPr>
      <w:r w:rsidRPr="008A6667">
        <w:rPr>
          <w:color w:val="000000"/>
          <w:sz w:val="24"/>
          <w:szCs w:val="24"/>
        </w:rPr>
        <w:t>The cognitive interviews will assess issues such as:</w:t>
      </w:r>
    </w:p>
    <w:p w:rsidR="008A6667" w:rsidRPr="008A6667" w:rsidP="008A6667" w14:paraId="1C00329F" w14:textId="77777777">
      <w:pPr>
        <w:shd w:val="clear" w:color="auto" w:fill="FFFFFF"/>
        <w:autoSpaceDE/>
        <w:autoSpaceDN/>
        <w:adjustRightInd/>
        <w:ind w:left="720"/>
        <w:rPr>
          <w:color w:val="000000"/>
          <w:sz w:val="24"/>
          <w:szCs w:val="24"/>
        </w:rPr>
      </w:pPr>
      <w:r w:rsidRPr="008A6667">
        <w:rPr>
          <w:color w:val="000000"/>
          <w:sz w:val="24"/>
          <w:szCs w:val="24"/>
        </w:rPr>
        <w:t>The subject’s understanding of terms in the survey</w:t>
      </w:r>
    </w:p>
    <w:p w:rsidR="008A6667" w:rsidRPr="008A6667" w:rsidP="008A6667" w14:paraId="4EA2CF95" w14:textId="77777777">
      <w:pPr>
        <w:shd w:val="clear" w:color="auto" w:fill="FFFFFF"/>
        <w:autoSpaceDE/>
        <w:autoSpaceDN/>
        <w:adjustRightInd/>
        <w:ind w:left="720"/>
        <w:rPr>
          <w:color w:val="000000"/>
          <w:sz w:val="24"/>
          <w:szCs w:val="24"/>
        </w:rPr>
      </w:pPr>
      <w:r w:rsidRPr="008A6667">
        <w:rPr>
          <w:color w:val="000000"/>
          <w:sz w:val="24"/>
          <w:szCs w:val="24"/>
        </w:rPr>
        <w:t xml:space="preserve">How confident the subject is in their </w:t>
      </w:r>
      <w:r w:rsidRPr="008A6667">
        <w:rPr>
          <w:color w:val="000000"/>
          <w:sz w:val="24"/>
          <w:szCs w:val="24"/>
        </w:rPr>
        <w:t>response</w:t>
      </w:r>
    </w:p>
    <w:p w:rsidR="008A6667" w:rsidRPr="008A6667" w:rsidP="008A6667" w14:paraId="57026E74" w14:textId="77777777">
      <w:pPr>
        <w:shd w:val="clear" w:color="auto" w:fill="FFFFFF"/>
        <w:autoSpaceDE/>
        <w:autoSpaceDN/>
        <w:adjustRightInd/>
        <w:ind w:left="720"/>
        <w:rPr>
          <w:color w:val="000000"/>
          <w:sz w:val="24"/>
          <w:szCs w:val="24"/>
        </w:rPr>
      </w:pPr>
      <w:r w:rsidRPr="008A6667">
        <w:rPr>
          <w:color w:val="000000"/>
          <w:sz w:val="24"/>
          <w:szCs w:val="24"/>
        </w:rPr>
        <w:t>How they remembered the information they provided in factual questions</w:t>
      </w:r>
    </w:p>
    <w:p w:rsidR="008A6667" w:rsidRPr="008A6667" w:rsidP="008A6667" w14:paraId="1354447D" w14:textId="77777777">
      <w:pPr>
        <w:shd w:val="clear" w:color="auto" w:fill="FFFFFF"/>
        <w:autoSpaceDE/>
        <w:autoSpaceDN/>
        <w:adjustRightInd/>
        <w:ind w:left="720"/>
        <w:rPr>
          <w:color w:val="000000"/>
          <w:sz w:val="24"/>
          <w:szCs w:val="24"/>
        </w:rPr>
      </w:pPr>
      <w:r w:rsidRPr="008A6667">
        <w:rPr>
          <w:color w:val="000000"/>
          <w:sz w:val="24"/>
          <w:szCs w:val="24"/>
        </w:rPr>
        <w:t>Whether they found a response choice that fit their answer</w:t>
      </w:r>
    </w:p>
    <w:p w:rsidR="008A6667" w:rsidRPr="008A6667" w:rsidP="008A6667" w14:paraId="22D43BEA" w14:textId="77777777">
      <w:pPr>
        <w:shd w:val="clear" w:color="auto" w:fill="FFFFFF"/>
        <w:autoSpaceDE/>
        <w:autoSpaceDN/>
        <w:adjustRightInd/>
        <w:ind w:left="720"/>
        <w:rPr>
          <w:color w:val="000000"/>
          <w:sz w:val="24"/>
          <w:szCs w:val="24"/>
        </w:rPr>
      </w:pPr>
      <w:r w:rsidRPr="008A6667">
        <w:rPr>
          <w:color w:val="000000"/>
          <w:sz w:val="24"/>
          <w:szCs w:val="24"/>
        </w:rPr>
        <w:t xml:space="preserve">How easy or difficult it is to answer a </w:t>
      </w:r>
      <w:r w:rsidRPr="008A6667">
        <w:rPr>
          <w:color w:val="000000"/>
          <w:sz w:val="24"/>
          <w:szCs w:val="24"/>
        </w:rPr>
        <w:t>question</w:t>
      </w:r>
    </w:p>
    <w:p w:rsidR="008A6667" w:rsidRPr="008A6667" w:rsidP="008A6667" w14:paraId="430B44F1" w14:textId="77777777">
      <w:pPr>
        <w:shd w:val="clear" w:color="auto" w:fill="FFFFFF"/>
        <w:autoSpaceDE/>
        <w:autoSpaceDN/>
        <w:adjustRightInd/>
        <w:ind w:left="720"/>
        <w:rPr>
          <w:color w:val="000000"/>
          <w:sz w:val="24"/>
          <w:szCs w:val="24"/>
        </w:rPr>
      </w:pPr>
      <w:r w:rsidRPr="008A6667">
        <w:rPr>
          <w:color w:val="000000"/>
          <w:sz w:val="24"/>
          <w:szCs w:val="24"/>
        </w:rPr>
        <w:t>Issues with sensitive questions</w:t>
      </w:r>
    </w:p>
    <w:p w:rsidR="008D0E72" w:rsidP="00F14257" w14:paraId="089D5DE6" w14:textId="38834A60">
      <w:pPr>
        <w:shd w:val="clear" w:color="auto" w:fill="FFFFFF"/>
        <w:autoSpaceDE/>
        <w:autoSpaceDN/>
        <w:adjustRightInd/>
        <w:ind w:left="720"/>
        <w:rPr>
          <w:color w:val="000000"/>
          <w:sz w:val="24"/>
          <w:szCs w:val="24"/>
        </w:rPr>
      </w:pPr>
      <w:r w:rsidRPr="008A6667">
        <w:rPr>
          <w:color w:val="000000"/>
          <w:sz w:val="24"/>
          <w:szCs w:val="24"/>
        </w:rPr>
        <w:t xml:space="preserve">Consistency of answers within the questionnaire </w:t>
      </w:r>
      <w:r w:rsidRPr="008A6667">
        <w:rPr>
          <w:color w:val="000000"/>
          <w:sz w:val="24"/>
          <w:szCs w:val="24"/>
        </w:rPr>
        <w:t xml:space="preserve">and in comparison </w:t>
      </w:r>
      <w:r w:rsidRPr="008A6667">
        <w:rPr>
          <w:color w:val="000000"/>
          <w:sz w:val="24"/>
          <w:szCs w:val="24"/>
        </w:rPr>
        <w:t>to the expected range of answers</w:t>
      </w:r>
    </w:p>
    <w:p w:rsidR="008F7F56" w:rsidP="00F14257" w14:paraId="6DA4EAA8" w14:textId="22792CF8">
      <w:pPr>
        <w:pStyle w:val="NormalWeb"/>
        <w:shd w:val="clear" w:color="auto" w:fill="FFFFFF"/>
      </w:pPr>
      <w:r w:rsidRPr="00844C7D">
        <w:rPr>
          <w:b/>
          <w:color w:val="000000"/>
        </w:rPr>
        <w:t>Use of Incentive</w:t>
      </w:r>
      <w:r>
        <w:rPr>
          <w:color w:val="000000"/>
        </w:rPr>
        <w:t xml:space="preserve">: </w:t>
      </w:r>
      <w:r w:rsidRPr="00EF139D" w:rsidR="00EF139D">
        <w:rPr>
          <w:rFonts w:cstheme="minorHAnsi"/>
        </w:rPr>
        <w:t>To ensure that we can recruit participants from all desired populations, and to thank them for completing the interview, each student will be offered a</w:t>
      </w:r>
      <w:r w:rsidR="00EF139D">
        <w:rPr>
          <w:rFonts w:cstheme="minorHAnsi"/>
        </w:rPr>
        <w:t xml:space="preserve"> $50</w:t>
      </w:r>
      <w:r w:rsidRPr="00EF139D" w:rsidR="00EF139D">
        <w:rPr>
          <w:rFonts w:cstheme="minorHAnsi"/>
        </w:rPr>
        <w:t xml:space="preserve"> incentive. </w:t>
      </w:r>
      <w:r w:rsidR="00EF139D">
        <w:rPr>
          <w:rFonts w:cstheme="minorHAnsi"/>
        </w:rPr>
        <w:t>A</w:t>
      </w:r>
      <w:r w:rsidRPr="00EF139D" w:rsidR="00EF139D">
        <w:rPr>
          <w:rFonts w:cstheme="minorHAnsi"/>
        </w:rPr>
        <w:t xml:space="preserve"> standard envelope containing $</w:t>
      </w:r>
      <w:r w:rsidR="00EF139D">
        <w:rPr>
          <w:rFonts w:cstheme="minorHAnsi"/>
        </w:rPr>
        <w:t>50</w:t>
      </w:r>
      <w:r w:rsidRPr="00EF139D" w:rsidR="00EF139D">
        <w:rPr>
          <w:rFonts w:cstheme="minorHAnsi"/>
        </w:rPr>
        <w:t xml:space="preserve"> cash will be mailed via USPS in a single priority mail flat rate envelope.</w:t>
      </w:r>
      <w:r w:rsidR="00FB07B5">
        <w:rPr>
          <w:rFonts w:cstheme="minorHAnsi"/>
        </w:rPr>
        <w:t xml:space="preserve"> </w:t>
      </w:r>
      <w:r w:rsidR="00FB07B5">
        <w:t>Since some survey questions discuss sensitive topics, the envelopes will also include a small handout with resources for teens (see Attachment I, Section 9).</w:t>
      </w:r>
      <w:r w:rsidRPr="00EF139D" w:rsidR="00EF139D">
        <w:rPr>
          <w:rFonts w:cstheme="minorHAnsi"/>
        </w:rPr>
        <w:t xml:space="preserve"> The priority mail flat rate envelopes have tracking and delivery confirmation. </w:t>
      </w:r>
      <w:r w:rsidR="00D43CF0">
        <w:rPr>
          <w:rFonts w:cstheme="minorHAnsi"/>
        </w:rPr>
        <w:t>Tracking numbers will be sent to participants once the shipping labels are generated.</w:t>
      </w:r>
    </w:p>
    <w:p w:rsidR="00FD377B" w:rsidRPr="00FD377B" w:rsidP="00FD377B" w14:paraId="5164837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b/>
          <w:bCs/>
          <w:color w:val="000000"/>
          <w:sz w:val="24"/>
          <w:szCs w:val="24"/>
        </w:rPr>
      </w:pPr>
      <w:r w:rsidRPr="00FD377B">
        <w:rPr>
          <w:b/>
          <w:bCs/>
          <w:color w:val="000000"/>
          <w:sz w:val="24"/>
          <w:szCs w:val="24"/>
        </w:rPr>
        <w:t>Estimate of Hourly Burden</w:t>
      </w:r>
    </w:p>
    <w:p w:rsidR="00FD377B" w:rsidRPr="00816233" w:rsidP="00FD377B" w14:paraId="60F3F462" w14:textId="0BB9C716">
      <w:pPr>
        <w:widowControl w:val="0"/>
        <w:rPr>
          <w:rFonts w:cstheme="minorHAnsi"/>
          <w:sz w:val="24"/>
          <w:szCs w:val="24"/>
        </w:rPr>
      </w:pPr>
      <w:r w:rsidRPr="00816233">
        <w:rPr>
          <w:rFonts w:cstheme="minorHAnsi"/>
          <w:sz w:val="24"/>
          <w:szCs w:val="24"/>
        </w:rPr>
        <w:t xml:space="preserve">Exhibit 1 summarizes the number of interviews to be conducted for all three rounds, as well as the recruitment burden. Each interview will be 60 minutes in length and will allow time to complete the NHIS-Teen survey and administer a set of in-depth retrospective probes about a subset of questions. From prior experience, we anticipate needing to contact approximately 95 individuals to yield the 35 desired interviews to account for ineligible </w:t>
      </w:r>
      <w:r w:rsidRPr="00816233" w:rsidR="00816233">
        <w:rPr>
          <w:color w:val="000000"/>
          <w:sz w:val="24"/>
          <w:szCs w:val="24"/>
        </w:rPr>
        <w:t xml:space="preserve">participant </w:t>
      </w:r>
      <w:r w:rsidRPr="00816233">
        <w:rPr>
          <w:rFonts w:cstheme="minorHAnsi"/>
          <w:sz w:val="24"/>
          <w:szCs w:val="24"/>
        </w:rPr>
        <w:t>and cancellations.</w:t>
      </w:r>
    </w:p>
    <w:p w:rsidR="00F14257" w:rsidP="00FD377B" w14:paraId="1CABABB4" w14:textId="77777777">
      <w:pPr>
        <w:spacing w:after="60"/>
        <w:rPr>
          <w:rFonts w:cstheme="minorHAnsi"/>
          <w:b/>
          <w:color w:val="000000"/>
          <w:sz w:val="24"/>
          <w:szCs w:val="24"/>
        </w:rPr>
      </w:pPr>
    </w:p>
    <w:p w:rsidR="00FD377B" w:rsidRPr="00816233" w:rsidP="00FD377B" w14:paraId="09F33E87" w14:textId="3E8558C7">
      <w:pPr>
        <w:spacing w:after="60"/>
        <w:rPr>
          <w:rFonts w:cstheme="minorHAnsi"/>
          <w:sz w:val="24"/>
          <w:szCs w:val="24"/>
        </w:rPr>
      </w:pPr>
      <w:r w:rsidRPr="00816233">
        <w:rPr>
          <w:rFonts w:cstheme="minorHAnsi"/>
          <w:b/>
          <w:color w:val="000000"/>
          <w:sz w:val="24"/>
          <w:szCs w:val="24"/>
        </w:rPr>
        <w:t>Exhibit 1</w:t>
      </w:r>
      <w:r w:rsidRPr="00816233">
        <w:rPr>
          <w:rFonts w:cstheme="minorHAnsi"/>
          <w:color w:val="000000"/>
          <w:sz w:val="24"/>
          <w:szCs w:val="24"/>
        </w:rPr>
        <w:t xml:space="preserve">. Estimated </w:t>
      </w:r>
      <w:r w:rsidR="00816233">
        <w:rPr>
          <w:rFonts w:cstheme="minorHAnsi"/>
          <w:color w:val="000000"/>
          <w:sz w:val="24"/>
          <w:szCs w:val="24"/>
        </w:rPr>
        <w:t>Participants</w:t>
      </w:r>
      <w:r w:rsidRPr="00816233">
        <w:rPr>
          <w:rFonts w:cstheme="minorHAnsi"/>
          <w:color w:val="000000"/>
          <w:sz w:val="24"/>
          <w:szCs w:val="24"/>
        </w:rPr>
        <w:t xml:space="preserve"> Burden of Cognitive Interviews</w:t>
      </w:r>
    </w:p>
    <w:tbl>
      <w:tblPr>
        <w:tblStyle w:val="TableGrid"/>
        <w:tblW w:w="8171" w:type="dxa"/>
        <w:tblLook w:val="04A0"/>
      </w:tblPr>
      <w:tblGrid>
        <w:gridCol w:w="2425"/>
        <w:gridCol w:w="1660"/>
        <w:gridCol w:w="2043"/>
        <w:gridCol w:w="2043"/>
      </w:tblGrid>
      <w:tr w14:paraId="0167A7B0" w14:textId="77777777" w:rsidTr="00FD377B">
        <w:tblPrEx>
          <w:tblW w:w="8171" w:type="dxa"/>
          <w:tblLook w:val="04A0"/>
        </w:tblPrEx>
        <w:tc>
          <w:tcPr>
            <w:tcW w:w="2425" w:type="dxa"/>
            <w:shd w:val="clear" w:color="auto" w:fill="F2F2F2" w:themeFill="background1" w:themeFillShade="F2"/>
            <w:vAlign w:val="center"/>
          </w:tcPr>
          <w:p w:rsidR="00FD377B" w:rsidRPr="00C62568" w:rsidP="00AB16EA" w14:paraId="53B27C3C" w14:textId="77777777">
            <w:pPr>
              <w:jc w:val="center"/>
              <w:rPr>
                <w:rFonts w:cstheme="minorHAnsi"/>
                <w:b/>
              </w:rPr>
            </w:pPr>
            <w:r w:rsidRPr="00C62568">
              <w:rPr>
                <w:rFonts w:cstheme="minorHAnsi"/>
                <w:b/>
              </w:rPr>
              <w:t>Response Type</w:t>
            </w:r>
          </w:p>
        </w:tc>
        <w:tc>
          <w:tcPr>
            <w:tcW w:w="1660" w:type="dxa"/>
            <w:shd w:val="clear" w:color="auto" w:fill="F2F2F2" w:themeFill="background1" w:themeFillShade="F2"/>
            <w:vAlign w:val="center"/>
          </w:tcPr>
          <w:p w:rsidR="00FD377B" w:rsidRPr="00C62568" w:rsidP="00AB16EA" w14:paraId="0154F6AC" w14:textId="38A6532B">
            <w:pPr>
              <w:jc w:val="center"/>
              <w:rPr>
                <w:rFonts w:cstheme="minorHAnsi"/>
                <w:b/>
              </w:rPr>
            </w:pPr>
            <w:r w:rsidRPr="00C62568">
              <w:rPr>
                <w:rFonts w:cstheme="minorHAnsi"/>
                <w:b/>
              </w:rPr>
              <w:t xml:space="preserve">Number of </w:t>
            </w:r>
            <w:r w:rsidR="00816233">
              <w:rPr>
                <w:rFonts w:cstheme="minorHAnsi"/>
                <w:b/>
              </w:rPr>
              <w:t>Participants</w:t>
            </w:r>
          </w:p>
        </w:tc>
        <w:tc>
          <w:tcPr>
            <w:tcW w:w="2043" w:type="dxa"/>
            <w:shd w:val="clear" w:color="auto" w:fill="F2F2F2" w:themeFill="background1" w:themeFillShade="F2"/>
            <w:vAlign w:val="center"/>
          </w:tcPr>
          <w:p w:rsidR="00FD377B" w:rsidRPr="00C62568" w:rsidP="00AB16EA" w14:paraId="7D04AF15" w14:textId="1886E62A">
            <w:pPr>
              <w:jc w:val="center"/>
              <w:rPr>
                <w:rFonts w:cstheme="minorHAnsi"/>
                <w:b/>
              </w:rPr>
            </w:pPr>
            <w:r w:rsidRPr="00C62568">
              <w:rPr>
                <w:rFonts w:cstheme="minorHAnsi"/>
                <w:b/>
              </w:rPr>
              <w:t xml:space="preserve">Burden Hours per </w:t>
            </w:r>
            <w:r w:rsidR="00816233">
              <w:rPr>
                <w:rFonts w:cstheme="minorHAnsi"/>
                <w:b/>
              </w:rPr>
              <w:t>Participant</w:t>
            </w:r>
          </w:p>
        </w:tc>
        <w:tc>
          <w:tcPr>
            <w:tcW w:w="2043" w:type="dxa"/>
            <w:shd w:val="clear" w:color="auto" w:fill="F2F2F2" w:themeFill="background1" w:themeFillShade="F2"/>
            <w:vAlign w:val="center"/>
          </w:tcPr>
          <w:p w:rsidR="00FD377B" w:rsidRPr="00C62568" w:rsidP="00AB16EA" w14:paraId="37BDA4CA" w14:textId="7EE923EC">
            <w:pPr>
              <w:jc w:val="center"/>
              <w:rPr>
                <w:rFonts w:cstheme="minorHAnsi"/>
                <w:b/>
              </w:rPr>
            </w:pPr>
            <w:r w:rsidRPr="00C62568">
              <w:rPr>
                <w:rFonts w:cstheme="minorHAnsi"/>
                <w:b/>
              </w:rPr>
              <w:t>Total Burden hours</w:t>
            </w:r>
            <w:r>
              <w:rPr>
                <w:rFonts w:cstheme="minorHAnsi"/>
                <w:b/>
              </w:rPr>
              <w:t>*</w:t>
            </w:r>
          </w:p>
        </w:tc>
      </w:tr>
      <w:tr w14:paraId="2FEDFA8E" w14:textId="77777777" w:rsidTr="00FD377B">
        <w:tblPrEx>
          <w:tblW w:w="8171" w:type="dxa"/>
          <w:tblLook w:val="04A0"/>
        </w:tblPrEx>
        <w:tc>
          <w:tcPr>
            <w:tcW w:w="2425" w:type="dxa"/>
          </w:tcPr>
          <w:p w:rsidR="00FD377B" w:rsidRPr="00C62568" w:rsidP="00AB16EA" w14:paraId="0098B74D" w14:textId="77777777">
            <w:pPr>
              <w:rPr>
                <w:rFonts w:cstheme="minorHAnsi"/>
              </w:rPr>
            </w:pPr>
            <w:r w:rsidRPr="00C62568">
              <w:rPr>
                <w:rFonts w:cstheme="minorHAnsi"/>
              </w:rPr>
              <w:t>Recruitment Screener</w:t>
            </w:r>
          </w:p>
        </w:tc>
        <w:tc>
          <w:tcPr>
            <w:tcW w:w="1660" w:type="dxa"/>
          </w:tcPr>
          <w:p w:rsidR="00FD377B" w:rsidRPr="00C62568" w:rsidP="00AB16EA" w14:paraId="7DBCA677" w14:textId="54E7293F">
            <w:pPr>
              <w:jc w:val="center"/>
              <w:rPr>
                <w:rFonts w:cstheme="minorHAnsi"/>
              </w:rPr>
            </w:pPr>
            <w:r>
              <w:rPr>
                <w:rFonts w:cstheme="minorHAnsi"/>
              </w:rPr>
              <w:t>95</w:t>
            </w:r>
          </w:p>
        </w:tc>
        <w:tc>
          <w:tcPr>
            <w:tcW w:w="2043" w:type="dxa"/>
          </w:tcPr>
          <w:p w:rsidR="00FD377B" w:rsidRPr="00C62568" w:rsidP="00AB16EA" w14:paraId="5FB125AA" w14:textId="77777777">
            <w:pPr>
              <w:jc w:val="center"/>
              <w:rPr>
                <w:rFonts w:cstheme="minorHAnsi"/>
              </w:rPr>
            </w:pPr>
            <w:r w:rsidRPr="00C62568">
              <w:rPr>
                <w:rFonts w:cstheme="minorHAnsi"/>
              </w:rPr>
              <w:t>.17</w:t>
            </w:r>
          </w:p>
        </w:tc>
        <w:tc>
          <w:tcPr>
            <w:tcW w:w="2043" w:type="dxa"/>
          </w:tcPr>
          <w:p w:rsidR="00FD377B" w:rsidRPr="00C62568" w:rsidP="00AB16EA" w14:paraId="29FED2E9" w14:textId="09536483">
            <w:pPr>
              <w:jc w:val="center"/>
              <w:rPr>
                <w:rFonts w:cstheme="minorHAnsi"/>
              </w:rPr>
            </w:pPr>
            <w:r>
              <w:rPr>
                <w:rFonts w:cstheme="minorHAnsi"/>
              </w:rPr>
              <w:t>16</w:t>
            </w:r>
          </w:p>
        </w:tc>
      </w:tr>
      <w:tr w14:paraId="38B38945" w14:textId="77777777" w:rsidTr="00FD377B">
        <w:tblPrEx>
          <w:tblW w:w="8171" w:type="dxa"/>
          <w:tblLook w:val="04A0"/>
        </w:tblPrEx>
        <w:tc>
          <w:tcPr>
            <w:tcW w:w="2425" w:type="dxa"/>
          </w:tcPr>
          <w:p w:rsidR="00FD377B" w:rsidRPr="00C62568" w:rsidP="00AB16EA" w14:paraId="57B1DF1E" w14:textId="77777777">
            <w:pPr>
              <w:rPr>
                <w:rFonts w:cstheme="minorHAnsi"/>
              </w:rPr>
            </w:pPr>
            <w:r w:rsidRPr="00C62568">
              <w:rPr>
                <w:rFonts w:cstheme="minorHAnsi"/>
              </w:rPr>
              <w:t>Consent Procedure/ Installation of Software</w:t>
            </w:r>
          </w:p>
        </w:tc>
        <w:tc>
          <w:tcPr>
            <w:tcW w:w="1660" w:type="dxa"/>
          </w:tcPr>
          <w:p w:rsidR="00FD377B" w:rsidRPr="00C62568" w:rsidP="00AB16EA" w14:paraId="5DC97151" w14:textId="39E96BA1">
            <w:pPr>
              <w:jc w:val="center"/>
              <w:rPr>
                <w:rFonts w:cstheme="minorHAnsi"/>
              </w:rPr>
            </w:pPr>
            <w:r w:rsidRPr="00C62568">
              <w:rPr>
                <w:rFonts w:cstheme="minorHAnsi"/>
              </w:rPr>
              <w:t>3</w:t>
            </w:r>
            <w:r>
              <w:rPr>
                <w:rFonts w:cstheme="minorHAnsi"/>
              </w:rPr>
              <w:t>5</w:t>
            </w:r>
          </w:p>
        </w:tc>
        <w:tc>
          <w:tcPr>
            <w:tcW w:w="2043" w:type="dxa"/>
          </w:tcPr>
          <w:p w:rsidR="00FD377B" w:rsidRPr="00C62568" w:rsidP="00AB16EA" w14:paraId="53E23DC7" w14:textId="77777777">
            <w:pPr>
              <w:jc w:val="center"/>
              <w:rPr>
                <w:rFonts w:cstheme="minorHAnsi"/>
              </w:rPr>
            </w:pPr>
            <w:r w:rsidRPr="00C62568">
              <w:rPr>
                <w:rFonts w:cstheme="minorHAnsi"/>
              </w:rPr>
              <w:t>.17</w:t>
            </w:r>
          </w:p>
        </w:tc>
        <w:tc>
          <w:tcPr>
            <w:tcW w:w="2043" w:type="dxa"/>
          </w:tcPr>
          <w:p w:rsidR="00FD377B" w:rsidRPr="00C62568" w:rsidP="00AB16EA" w14:paraId="2968E8B1" w14:textId="0E464CBE">
            <w:pPr>
              <w:jc w:val="center"/>
              <w:rPr>
                <w:rFonts w:cstheme="minorHAnsi"/>
              </w:rPr>
            </w:pPr>
            <w:r>
              <w:rPr>
                <w:rFonts w:cstheme="minorHAnsi"/>
              </w:rPr>
              <w:t>6</w:t>
            </w:r>
          </w:p>
        </w:tc>
      </w:tr>
      <w:tr w14:paraId="234A7447" w14:textId="77777777" w:rsidTr="00FD377B">
        <w:tblPrEx>
          <w:tblW w:w="8171" w:type="dxa"/>
          <w:tblLook w:val="04A0"/>
        </w:tblPrEx>
        <w:tc>
          <w:tcPr>
            <w:tcW w:w="2425" w:type="dxa"/>
          </w:tcPr>
          <w:p w:rsidR="00FD377B" w:rsidRPr="00C62568" w:rsidP="00AB16EA" w14:paraId="5AA5F408" w14:textId="77777777">
            <w:pPr>
              <w:rPr>
                <w:rFonts w:cstheme="minorHAnsi"/>
              </w:rPr>
            </w:pPr>
            <w:r w:rsidRPr="00C62568">
              <w:rPr>
                <w:rFonts w:cstheme="minorHAnsi"/>
              </w:rPr>
              <w:t>Cognitive Interview</w:t>
            </w:r>
          </w:p>
        </w:tc>
        <w:tc>
          <w:tcPr>
            <w:tcW w:w="1660" w:type="dxa"/>
          </w:tcPr>
          <w:p w:rsidR="00FD377B" w:rsidRPr="00C62568" w:rsidP="00AB16EA" w14:paraId="2B8FBA30" w14:textId="790DAAD2">
            <w:pPr>
              <w:jc w:val="center"/>
              <w:rPr>
                <w:rFonts w:cstheme="minorHAnsi"/>
              </w:rPr>
            </w:pPr>
            <w:r w:rsidRPr="00C62568">
              <w:rPr>
                <w:rFonts w:cstheme="minorHAnsi"/>
              </w:rPr>
              <w:t>3</w:t>
            </w:r>
            <w:r>
              <w:rPr>
                <w:rFonts w:cstheme="minorHAnsi"/>
              </w:rPr>
              <w:t>5</w:t>
            </w:r>
          </w:p>
        </w:tc>
        <w:tc>
          <w:tcPr>
            <w:tcW w:w="2043" w:type="dxa"/>
          </w:tcPr>
          <w:p w:rsidR="00FD377B" w:rsidRPr="00C62568" w:rsidP="00AB16EA" w14:paraId="7F4C740F" w14:textId="77777777">
            <w:pPr>
              <w:jc w:val="center"/>
              <w:rPr>
                <w:rFonts w:cstheme="minorHAnsi"/>
              </w:rPr>
            </w:pPr>
            <w:r w:rsidRPr="00C62568">
              <w:rPr>
                <w:rFonts w:cstheme="minorHAnsi"/>
              </w:rPr>
              <w:t>1</w:t>
            </w:r>
          </w:p>
        </w:tc>
        <w:tc>
          <w:tcPr>
            <w:tcW w:w="2043" w:type="dxa"/>
          </w:tcPr>
          <w:p w:rsidR="00FD377B" w:rsidRPr="00C62568" w:rsidP="00AB16EA" w14:paraId="330D60E1" w14:textId="5D795DA0">
            <w:pPr>
              <w:jc w:val="center"/>
              <w:rPr>
                <w:rFonts w:cstheme="minorHAnsi"/>
              </w:rPr>
            </w:pPr>
            <w:r w:rsidRPr="00C62568">
              <w:rPr>
                <w:rFonts w:cstheme="minorHAnsi"/>
              </w:rPr>
              <w:t>3</w:t>
            </w:r>
            <w:r>
              <w:rPr>
                <w:rFonts w:cstheme="minorHAnsi"/>
              </w:rPr>
              <w:t>5</w:t>
            </w:r>
          </w:p>
        </w:tc>
      </w:tr>
      <w:tr w14:paraId="2D850BC9" w14:textId="77777777" w:rsidTr="00FD377B">
        <w:tblPrEx>
          <w:tblW w:w="8171" w:type="dxa"/>
          <w:tblLook w:val="04A0"/>
        </w:tblPrEx>
        <w:tc>
          <w:tcPr>
            <w:tcW w:w="2425" w:type="dxa"/>
          </w:tcPr>
          <w:p w:rsidR="00FD377B" w:rsidRPr="00C62568" w:rsidP="00AB16EA" w14:paraId="4AED5326" w14:textId="77777777">
            <w:pPr>
              <w:rPr>
                <w:rFonts w:cstheme="minorHAnsi"/>
                <w:b/>
              </w:rPr>
            </w:pPr>
            <w:r>
              <w:rPr>
                <w:rFonts w:cstheme="minorHAnsi"/>
                <w:b/>
              </w:rPr>
              <w:t>Total Burden Requested</w:t>
            </w:r>
          </w:p>
        </w:tc>
        <w:tc>
          <w:tcPr>
            <w:tcW w:w="1660" w:type="dxa"/>
          </w:tcPr>
          <w:p w:rsidR="00FD377B" w:rsidRPr="00C62568" w:rsidP="00AB16EA" w14:paraId="0D9BA622" w14:textId="3DAC72AF">
            <w:pPr>
              <w:jc w:val="center"/>
              <w:rPr>
                <w:rFonts w:cstheme="minorHAnsi"/>
              </w:rPr>
            </w:pPr>
            <w:r>
              <w:rPr>
                <w:rFonts w:cstheme="minorHAnsi"/>
              </w:rPr>
              <w:t>95</w:t>
            </w:r>
          </w:p>
        </w:tc>
        <w:tc>
          <w:tcPr>
            <w:tcW w:w="2043" w:type="dxa"/>
          </w:tcPr>
          <w:p w:rsidR="00FD377B" w:rsidRPr="00C62568" w:rsidP="00AB16EA" w14:paraId="0A238DB0" w14:textId="77777777">
            <w:pPr>
              <w:jc w:val="center"/>
              <w:rPr>
                <w:rFonts w:cstheme="minorHAnsi"/>
              </w:rPr>
            </w:pPr>
          </w:p>
        </w:tc>
        <w:tc>
          <w:tcPr>
            <w:tcW w:w="2043" w:type="dxa"/>
          </w:tcPr>
          <w:p w:rsidR="00FD377B" w:rsidRPr="00C62568" w:rsidP="00AB16EA" w14:paraId="10FF4EF7" w14:textId="66925F22">
            <w:pPr>
              <w:jc w:val="center"/>
              <w:rPr>
                <w:rFonts w:cstheme="minorHAnsi"/>
                <w:b/>
              </w:rPr>
            </w:pPr>
            <w:r>
              <w:rPr>
                <w:rFonts w:cstheme="minorHAnsi"/>
                <w:b/>
              </w:rPr>
              <w:t>57</w:t>
            </w:r>
          </w:p>
        </w:tc>
      </w:tr>
    </w:tbl>
    <w:p w:rsidR="00FD377B" w:rsidP="00FD377B" w14:paraId="6421DE62" w14:textId="55702947">
      <w:pPr>
        <w:rPr>
          <w:rFonts w:cstheme="minorHAnsi"/>
        </w:rPr>
      </w:pPr>
      <w:r w:rsidRPr="00C62568">
        <w:rPr>
          <w:rFonts w:cstheme="minorHAnsi"/>
        </w:rPr>
        <w:t>*Some numbers have been rounded.</w:t>
      </w:r>
    </w:p>
    <w:p w:rsidR="00593D86" w:rsidRPr="00593D86" w:rsidP="00593D86" w14:paraId="10727C0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FB6223" w:rsidP="00FB6223" w14:paraId="130CC73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The contact person for questions regarding data collection and statistical aspects of the design of this research is listed below:</w:t>
      </w:r>
    </w:p>
    <w:p w:rsidR="00D2154F" w:rsidP="00FB6223" w14:paraId="6C43B5C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D2154F" w:rsidP="00D2154F" w14:paraId="7CA0F4CB" w14:textId="6A4EC81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Betsarí Otero Class</w:t>
      </w:r>
    </w:p>
    <w:p w:rsidR="00D2154F" w:rsidP="00D2154F" w14:paraId="45DC12CC" w14:textId="4DC3D07C">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Center for </w:t>
      </w:r>
      <w:r w:rsidR="00B05406">
        <w:rPr>
          <w:color w:val="000000"/>
          <w:sz w:val="24"/>
          <w:szCs w:val="24"/>
        </w:rPr>
        <w:t>Behavioral Science Methods</w:t>
      </w:r>
      <w:r>
        <w:rPr>
          <w:color w:val="000000"/>
          <w:sz w:val="24"/>
          <w:szCs w:val="24"/>
        </w:rPr>
        <w:t xml:space="preserve"> </w:t>
      </w:r>
    </w:p>
    <w:p w:rsidR="00D2154F" w:rsidP="00D2154F" w14:paraId="26C9EA1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U.S. Census Bureau </w:t>
      </w:r>
    </w:p>
    <w:p w:rsidR="00D2154F" w:rsidP="00D2154F" w14:paraId="2B27116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Washington, D.C. 20233</w:t>
      </w:r>
    </w:p>
    <w:p w:rsidR="00D2154F" w:rsidP="00D2154F" w14:paraId="14D2B4F2" w14:textId="6332A17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(301) 763-</w:t>
      </w:r>
      <w:r w:rsidR="00F2405E">
        <w:rPr>
          <w:color w:val="000000"/>
          <w:sz w:val="24"/>
          <w:szCs w:val="24"/>
        </w:rPr>
        <w:t>2235</w:t>
      </w:r>
    </w:p>
    <w:p w:rsidR="00D2154F" w:rsidP="00F14257" w14:paraId="75C5F2C8" w14:textId="795223B3">
      <w:pPr>
        <w:tabs>
          <w:tab w:val="left" w:pos="0"/>
          <w:tab w:val="left" w:pos="1440"/>
          <w:tab w:val="left" w:pos="2160"/>
          <w:tab w:val="left" w:pos="2880"/>
          <w:tab w:val="left" w:pos="3600"/>
          <w:tab w:val="left" w:pos="4320"/>
          <w:tab w:val="left" w:pos="5040"/>
          <w:tab w:val="left" w:pos="5760"/>
          <w:tab w:val="left" w:pos="6480"/>
          <w:tab w:val="left" w:pos="7200"/>
          <w:tab w:val="left" w:pos="7920"/>
        </w:tabs>
      </w:pPr>
      <w:r>
        <w:rPr>
          <w:color w:val="000000"/>
          <w:sz w:val="24"/>
          <w:szCs w:val="24"/>
        </w:rPr>
        <w:t>Betsari.otero.class</w:t>
      </w:r>
      <w:r>
        <w:rPr>
          <w:color w:val="000000"/>
          <w:sz w:val="24"/>
          <w:szCs w:val="24"/>
        </w:rPr>
        <w:t>@census.gov</w:t>
      </w:r>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552E9D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01339369"/>
      <w:docPartObj>
        <w:docPartGallery w:val="Page Numbers (Bottom of Page)"/>
        <w:docPartUnique/>
      </w:docPartObj>
    </w:sdtPr>
    <w:sdtEndPr>
      <w:rPr>
        <w:noProof/>
      </w:rPr>
    </w:sdtEndPr>
    <w:sdtContent>
      <w:p w:rsidR="00E34C90" w14:paraId="217A4552" w14:textId="77777777">
        <w:pPr>
          <w:pStyle w:val="Footer"/>
          <w:jc w:val="right"/>
        </w:pPr>
        <w:r>
          <w:fldChar w:fldCharType="begin"/>
        </w:r>
        <w:r>
          <w:instrText xml:space="preserve"> PAGE   \* MERGEFORMAT </w:instrText>
        </w:r>
        <w:r>
          <w:fldChar w:fldCharType="separate"/>
        </w:r>
        <w:r w:rsidR="0054167F">
          <w:rPr>
            <w:noProof/>
          </w:rPr>
          <w:t>2</w:t>
        </w:r>
        <w:r>
          <w:rPr>
            <w:noProof/>
          </w:rPr>
          <w:fldChar w:fldCharType="end"/>
        </w:r>
      </w:p>
    </w:sdtContent>
  </w:sdt>
  <w:p w:rsidR="006321D1" w14:paraId="6AC2312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75D6CB4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49DB36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24BF73F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2C93360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72069"/>
    <w:multiLevelType w:val="hybridMultilevel"/>
    <w:tmpl w:val="20C0C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54466E"/>
    <w:multiLevelType w:val="hybridMultilevel"/>
    <w:tmpl w:val="EEE2EA4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AFB4A4A"/>
    <w:multiLevelType w:val="hybridMultilevel"/>
    <w:tmpl w:val="8640CF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9334D5"/>
    <w:multiLevelType w:val="hybridMultilevel"/>
    <w:tmpl w:val="083C525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1F912AC"/>
    <w:multiLevelType w:val="hybridMultilevel"/>
    <w:tmpl w:val="E6341B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5C644B0"/>
    <w:multiLevelType w:val="hybridMultilevel"/>
    <w:tmpl w:val="6434B802"/>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46582723">
    <w:abstractNumId w:val="2"/>
  </w:num>
  <w:num w:numId="2" w16cid:durableId="36245122">
    <w:abstractNumId w:val="2"/>
  </w:num>
  <w:num w:numId="3" w16cid:durableId="669337800">
    <w:abstractNumId w:val="2"/>
  </w:num>
  <w:num w:numId="4" w16cid:durableId="55981107">
    <w:abstractNumId w:val="2"/>
  </w:num>
  <w:num w:numId="5" w16cid:durableId="1889679849">
    <w:abstractNumId w:val="2"/>
  </w:num>
  <w:num w:numId="6" w16cid:durableId="1019506992">
    <w:abstractNumId w:val="2"/>
  </w:num>
  <w:num w:numId="7" w16cid:durableId="548151119">
    <w:abstractNumId w:val="2"/>
  </w:num>
  <w:num w:numId="8" w16cid:durableId="954292445">
    <w:abstractNumId w:val="2"/>
  </w:num>
  <w:num w:numId="9" w16cid:durableId="711340847">
    <w:abstractNumId w:val="2"/>
  </w:num>
  <w:num w:numId="10" w16cid:durableId="1553268889">
    <w:abstractNumId w:val="0"/>
  </w:num>
  <w:num w:numId="11" w16cid:durableId="1908034948">
    <w:abstractNumId w:val="5"/>
  </w:num>
  <w:num w:numId="12" w16cid:durableId="1470976757">
    <w:abstractNumId w:val="0"/>
  </w:num>
  <w:num w:numId="13" w16cid:durableId="199980094">
    <w:abstractNumId w:val="4"/>
  </w:num>
  <w:num w:numId="14" w16cid:durableId="1923754767">
    <w:abstractNumId w:val="1"/>
  </w:num>
  <w:num w:numId="15" w16cid:durableId="1561869739">
    <w:abstractNumId w:val="3"/>
  </w:num>
  <w:num w:numId="16" w16cid:durableId="15863004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F56"/>
    <w:rsid w:val="00015E7B"/>
    <w:rsid w:val="0003644D"/>
    <w:rsid w:val="00063EA4"/>
    <w:rsid w:val="00065B0B"/>
    <w:rsid w:val="000662AA"/>
    <w:rsid w:val="000958CC"/>
    <w:rsid w:val="000A1027"/>
    <w:rsid w:val="000B2654"/>
    <w:rsid w:val="000C2E69"/>
    <w:rsid w:val="000D3F1B"/>
    <w:rsid w:val="000D5569"/>
    <w:rsid w:val="000F28A9"/>
    <w:rsid w:val="001029AE"/>
    <w:rsid w:val="00156F7B"/>
    <w:rsid w:val="00177779"/>
    <w:rsid w:val="001B1537"/>
    <w:rsid w:val="001C7024"/>
    <w:rsid w:val="001E5D44"/>
    <w:rsid w:val="00215556"/>
    <w:rsid w:val="0027512E"/>
    <w:rsid w:val="00281160"/>
    <w:rsid w:val="002971AB"/>
    <w:rsid w:val="002A5E94"/>
    <w:rsid w:val="002D2371"/>
    <w:rsid w:val="002D6353"/>
    <w:rsid w:val="00315D8F"/>
    <w:rsid w:val="00322926"/>
    <w:rsid w:val="00326C3D"/>
    <w:rsid w:val="003611F1"/>
    <w:rsid w:val="00372AAE"/>
    <w:rsid w:val="0039077A"/>
    <w:rsid w:val="003C03D4"/>
    <w:rsid w:val="00402F86"/>
    <w:rsid w:val="00447724"/>
    <w:rsid w:val="0045316E"/>
    <w:rsid w:val="00466B7B"/>
    <w:rsid w:val="00484B60"/>
    <w:rsid w:val="004D74CE"/>
    <w:rsid w:val="004F20AE"/>
    <w:rsid w:val="004F6F26"/>
    <w:rsid w:val="005001E2"/>
    <w:rsid w:val="00502877"/>
    <w:rsid w:val="0054167F"/>
    <w:rsid w:val="00561FA8"/>
    <w:rsid w:val="005678A0"/>
    <w:rsid w:val="00567A43"/>
    <w:rsid w:val="00572590"/>
    <w:rsid w:val="00581FDD"/>
    <w:rsid w:val="00593D86"/>
    <w:rsid w:val="005B1129"/>
    <w:rsid w:val="005D38BD"/>
    <w:rsid w:val="005E07EC"/>
    <w:rsid w:val="005E4594"/>
    <w:rsid w:val="005F41CA"/>
    <w:rsid w:val="005F42D1"/>
    <w:rsid w:val="00625734"/>
    <w:rsid w:val="006321D1"/>
    <w:rsid w:val="00637EAB"/>
    <w:rsid w:val="0066461F"/>
    <w:rsid w:val="00686DD1"/>
    <w:rsid w:val="006C22C8"/>
    <w:rsid w:val="006E7E11"/>
    <w:rsid w:val="007057E7"/>
    <w:rsid w:val="00710A1D"/>
    <w:rsid w:val="007203A8"/>
    <w:rsid w:val="007760E3"/>
    <w:rsid w:val="00784E7B"/>
    <w:rsid w:val="007B7959"/>
    <w:rsid w:val="007C374E"/>
    <w:rsid w:val="007D074C"/>
    <w:rsid w:val="007D468D"/>
    <w:rsid w:val="00801471"/>
    <w:rsid w:val="00815A21"/>
    <w:rsid w:val="00816233"/>
    <w:rsid w:val="00825309"/>
    <w:rsid w:val="00844C7D"/>
    <w:rsid w:val="00863E5A"/>
    <w:rsid w:val="008766CA"/>
    <w:rsid w:val="00884A79"/>
    <w:rsid w:val="008A5258"/>
    <w:rsid w:val="008A6667"/>
    <w:rsid w:val="008B6BFF"/>
    <w:rsid w:val="008C7839"/>
    <w:rsid w:val="008D0E72"/>
    <w:rsid w:val="008F7F56"/>
    <w:rsid w:val="0090177C"/>
    <w:rsid w:val="00901829"/>
    <w:rsid w:val="00904877"/>
    <w:rsid w:val="00937751"/>
    <w:rsid w:val="009408B8"/>
    <w:rsid w:val="009742E9"/>
    <w:rsid w:val="0097650C"/>
    <w:rsid w:val="009C476D"/>
    <w:rsid w:val="009C7474"/>
    <w:rsid w:val="009F64C3"/>
    <w:rsid w:val="00A14952"/>
    <w:rsid w:val="00A215A7"/>
    <w:rsid w:val="00A52414"/>
    <w:rsid w:val="00A55039"/>
    <w:rsid w:val="00A569EE"/>
    <w:rsid w:val="00A85A2C"/>
    <w:rsid w:val="00AB16EA"/>
    <w:rsid w:val="00B05406"/>
    <w:rsid w:val="00B22036"/>
    <w:rsid w:val="00B5695B"/>
    <w:rsid w:val="00BA485E"/>
    <w:rsid w:val="00BE4268"/>
    <w:rsid w:val="00BE4A65"/>
    <w:rsid w:val="00C16CE0"/>
    <w:rsid w:val="00C375A3"/>
    <w:rsid w:val="00C53D90"/>
    <w:rsid w:val="00C62568"/>
    <w:rsid w:val="00C66DF2"/>
    <w:rsid w:val="00CA2E0E"/>
    <w:rsid w:val="00CD01A9"/>
    <w:rsid w:val="00D16BB0"/>
    <w:rsid w:val="00D2154F"/>
    <w:rsid w:val="00D24433"/>
    <w:rsid w:val="00D43CF0"/>
    <w:rsid w:val="00D5061E"/>
    <w:rsid w:val="00D75725"/>
    <w:rsid w:val="00D775B9"/>
    <w:rsid w:val="00D87D75"/>
    <w:rsid w:val="00DA7423"/>
    <w:rsid w:val="00DC4966"/>
    <w:rsid w:val="00E0606C"/>
    <w:rsid w:val="00E165F0"/>
    <w:rsid w:val="00E34C90"/>
    <w:rsid w:val="00E36DD4"/>
    <w:rsid w:val="00E43C9B"/>
    <w:rsid w:val="00E550DF"/>
    <w:rsid w:val="00EB74A3"/>
    <w:rsid w:val="00EC1E8E"/>
    <w:rsid w:val="00EC6745"/>
    <w:rsid w:val="00ED7C71"/>
    <w:rsid w:val="00EF139D"/>
    <w:rsid w:val="00F14257"/>
    <w:rsid w:val="00F22A67"/>
    <w:rsid w:val="00F2405E"/>
    <w:rsid w:val="00F66212"/>
    <w:rsid w:val="00F673D0"/>
    <w:rsid w:val="00FA459E"/>
    <w:rsid w:val="00FB07B5"/>
    <w:rsid w:val="00FB6223"/>
    <w:rsid w:val="00FC0BD4"/>
    <w:rsid w:val="00FD35AF"/>
    <w:rsid w:val="00FD377B"/>
  </w:rsids>
  <w:docVars>
    <w:docVar w:name="_AMO_ReportControlsVisible" w:val="Empty"/>
    <w:docVar w:name="_AMO_UniqueIdentifier" w:val="3b98f61a-0d72-4508-a322-ce07f59cc22c"/>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11850B"/>
  <w15:docId w15:val="{81061734-7C22-4FB0-86E1-75BFA608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Times New Roma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unhideWhenUsed/>
    <w:rsid w:val="007D074C"/>
  </w:style>
  <w:style w:type="character" w:customStyle="1" w:styleId="CommentTextChar">
    <w:name w:val="Comment Text Char"/>
    <w:basedOn w:val="DefaultParagraphFont"/>
    <w:link w:val="CommentText"/>
    <w:uiPriority w:val="99"/>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paragraph" w:styleId="Revision">
    <w:name w:val="Revision"/>
    <w:hidden/>
    <w:uiPriority w:val="99"/>
    <w:semiHidden/>
    <w:rsid w:val="00447724"/>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3B207-D8AA-44E9-A0A4-A7B0CEA6A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Betsari Otero Class (CENSUS/CBSM FED)</cp:lastModifiedBy>
  <cp:revision>3</cp:revision>
  <dcterms:created xsi:type="dcterms:W3CDTF">2023-12-11T19:11:00Z</dcterms:created>
  <dcterms:modified xsi:type="dcterms:W3CDTF">2023-12-11T20:34:00Z</dcterms:modified>
</cp:coreProperties>
</file>