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6DFE" w:rsidP="008E02BE" w14:paraId="073D6324" w14:textId="77777777">
      <w:pPr>
        <w:ind w:right="260"/>
        <w:jc w:val="center"/>
        <w:rPr>
          <w:b/>
          <w:sz w:val="24"/>
        </w:rPr>
      </w:pPr>
      <w:bookmarkStart w:id="0" w:name="SUPPORTING_STATEMENT"/>
      <w:bookmarkEnd w:id="0"/>
      <w:r>
        <w:rPr>
          <w:b/>
          <w:sz w:val="24"/>
        </w:rPr>
        <w:t>SUPPORTING</w:t>
      </w:r>
      <w:r>
        <w:rPr>
          <w:b/>
          <w:spacing w:val="-7"/>
          <w:sz w:val="24"/>
        </w:rPr>
        <w:t xml:space="preserve"> </w:t>
      </w:r>
      <w:r>
        <w:rPr>
          <w:b/>
          <w:spacing w:val="-2"/>
          <w:sz w:val="24"/>
        </w:rPr>
        <w:t>STATEMENT</w:t>
      </w:r>
    </w:p>
    <w:p w:rsidR="00956DFE" w:rsidP="008E02BE" w14:paraId="59111074" w14:textId="77777777">
      <w:pPr>
        <w:ind w:right="260"/>
        <w:jc w:val="center"/>
        <w:rPr>
          <w:b/>
          <w:sz w:val="24"/>
        </w:rPr>
      </w:pPr>
      <w:r>
        <w:rPr>
          <w:b/>
          <w:sz w:val="24"/>
        </w:rPr>
        <w:t>U.S.</w:t>
      </w:r>
      <w:r>
        <w:rPr>
          <w:b/>
          <w:spacing w:val="-2"/>
          <w:sz w:val="24"/>
        </w:rPr>
        <w:t xml:space="preserve"> </w:t>
      </w:r>
      <w:r>
        <w:rPr>
          <w:b/>
          <w:sz w:val="24"/>
        </w:rPr>
        <w:t>Department</w:t>
      </w:r>
      <w:r>
        <w:rPr>
          <w:b/>
          <w:spacing w:val="-3"/>
          <w:sz w:val="24"/>
        </w:rPr>
        <w:t xml:space="preserve"> </w:t>
      </w:r>
      <w:r>
        <w:rPr>
          <w:b/>
          <w:sz w:val="24"/>
        </w:rPr>
        <w:t>of</w:t>
      </w:r>
      <w:r>
        <w:rPr>
          <w:b/>
          <w:spacing w:val="-1"/>
          <w:sz w:val="24"/>
        </w:rPr>
        <w:t xml:space="preserve"> </w:t>
      </w:r>
      <w:r>
        <w:rPr>
          <w:b/>
          <w:spacing w:val="-2"/>
          <w:sz w:val="24"/>
        </w:rPr>
        <w:t>Commerce</w:t>
      </w:r>
    </w:p>
    <w:p w:rsidR="00EB2389" w:rsidP="008E02BE" w14:paraId="7EB10AB4" w14:textId="38C834F8">
      <w:pPr>
        <w:ind w:right="260"/>
        <w:jc w:val="center"/>
        <w:rPr>
          <w:b/>
          <w:sz w:val="24"/>
        </w:rPr>
      </w:pPr>
      <w:r>
        <w:rPr>
          <w:b/>
          <w:sz w:val="24"/>
        </w:rPr>
        <w:t>National</w:t>
      </w:r>
      <w:r>
        <w:rPr>
          <w:b/>
          <w:spacing w:val="-10"/>
          <w:sz w:val="24"/>
        </w:rPr>
        <w:t xml:space="preserve"> </w:t>
      </w:r>
      <w:r>
        <w:rPr>
          <w:b/>
          <w:sz w:val="24"/>
        </w:rPr>
        <w:t>Oceanic</w:t>
      </w:r>
      <w:r>
        <w:rPr>
          <w:b/>
          <w:spacing w:val="-11"/>
          <w:sz w:val="24"/>
        </w:rPr>
        <w:t xml:space="preserve"> </w:t>
      </w:r>
      <w:r>
        <w:rPr>
          <w:b/>
          <w:sz w:val="24"/>
        </w:rPr>
        <w:t>&amp;</w:t>
      </w:r>
      <w:r>
        <w:rPr>
          <w:b/>
          <w:spacing w:val="-11"/>
          <w:sz w:val="24"/>
        </w:rPr>
        <w:t xml:space="preserve"> </w:t>
      </w:r>
      <w:r>
        <w:rPr>
          <w:b/>
          <w:sz w:val="24"/>
        </w:rPr>
        <w:t>Atmospheric</w:t>
      </w:r>
      <w:r>
        <w:rPr>
          <w:b/>
          <w:spacing w:val="-9"/>
          <w:sz w:val="24"/>
        </w:rPr>
        <w:t xml:space="preserve"> </w:t>
      </w:r>
      <w:r>
        <w:rPr>
          <w:b/>
          <w:sz w:val="24"/>
        </w:rPr>
        <w:t>Administration</w:t>
      </w:r>
    </w:p>
    <w:p w:rsidR="0051318D" w:rsidP="008E02BE" w14:paraId="346ECAB5" w14:textId="6BBFD078">
      <w:pPr>
        <w:ind w:right="260"/>
        <w:jc w:val="center"/>
        <w:rPr>
          <w:b/>
          <w:color w:val="000000"/>
          <w:sz w:val="24"/>
          <w:szCs w:val="24"/>
          <w:shd w:val="clear" w:color="auto" w:fill="FFFFFF"/>
        </w:rPr>
      </w:pPr>
      <w:r>
        <w:rPr>
          <w:b/>
          <w:color w:val="000000"/>
          <w:sz w:val="24"/>
          <w:szCs w:val="24"/>
          <w:shd w:val="clear" w:color="auto" w:fill="FFFFFF"/>
        </w:rPr>
        <w:t xml:space="preserve">West Coast Groundfish </w:t>
      </w:r>
      <w:r w:rsidRPr="0051318D">
        <w:rPr>
          <w:b/>
          <w:color w:val="000000"/>
          <w:sz w:val="24"/>
          <w:szCs w:val="24"/>
          <w:shd w:val="clear" w:color="auto" w:fill="FFFFFF"/>
        </w:rPr>
        <w:t>Logbook</w:t>
      </w:r>
      <w:r w:rsidR="00BD4A39">
        <w:rPr>
          <w:b/>
          <w:color w:val="000000"/>
          <w:sz w:val="24"/>
          <w:szCs w:val="24"/>
          <w:shd w:val="clear" w:color="auto" w:fill="FFFFFF"/>
        </w:rPr>
        <w:t>s</w:t>
      </w:r>
    </w:p>
    <w:p w:rsidR="00956DFE" w:rsidP="008E02BE" w14:paraId="09473BE3" w14:textId="50890AC3">
      <w:pPr>
        <w:ind w:right="260"/>
        <w:jc w:val="center"/>
        <w:rPr>
          <w:b/>
          <w:sz w:val="24"/>
        </w:rPr>
      </w:pPr>
      <w:r>
        <w:rPr>
          <w:b/>
          <w:sz w:val="24"/>
        </w:rPr>
        <w:t>OMB</w:t>
      </w:r>
      <w:r>
        <w:rPr>
          <w:b/>
          <w:spacing w:val="-4"/>
          <w:sz w:val="24"/>
        </w:rPr>
        <w:t xml:space="preserve"> </w:t>
      </w:r>
      <w:r>
        <w:rPr>
          <w:b/>
          <w:sz w:val="24"/>
        </w:rPr>
        <w:t>Control</w:t>
      </w:r>
      <w:r>
        <w:rPr>
          <w:b/>
          <w:spacing w:val="-2"/>
          <w:sz w:val="24"/>
        </w:rPr>
        <w:t xml:space="preserve"> </w:t>
      </w:r>
      <w:r>
        <w:rPr>
          <w:b/>
          <w:sz w:val="24"/>
        </w:rPr>
        <w:t>No.</w:t>
      </w:r>
      <w:r>
        <w:rPr>
          <w:b/>
          <w:spacing w:val="-2"/>
          <w:sz w:val="24"/>
        </w:rPr>
        <w:t xml:space="preserve"> </w:t>
      </w:r>
      <w:r>
        <w:rPr>
          <w:b/>
          <w:sz w:val="24"/>
        </w:rPr>
        <w:t>0648-</w:t>
      </w:r>
      <w:r w:rsidR="00EB2389">
        <w:rPr>
          <w:b/>
          <w:spacing w:val="-4"/>
          <w:sz w:val="24"/>
        </w:rPr>
        <w:t>0782</w:t>
      </w:r>
    </w:p>
    <w:p w:rsidR="00956DFE" w14:paraId="0CD11BEE" w14:textId="77777777">
      <w:pPr>
        <w:pStyle w:val="BodyText"/>
        <w:rPr>
          <w:b/>
          <w:sz w:val="20"/>
        </w:rPr>
      </w:pPr>
    </w:p>
    <w:p w:rsidR="00956DFE" w:rsidP="009D3402" w14:paraId="4D29303C" w14:textId="77777777">
      <w:pPr>
        <w:pStyle w:val="BodyText"/>
        <w:spacing w:before="120"/>
        <w:rPr>
          <w:b/>
          <w:sz w:val="23"/>
        </w:rPr>
      </w:pPr>
    </w:p>
    <w:p w:rsidR="00956DFE" w:rsidRPr="00EB2389" w:rsidP="009D3402" w14:paraId="402C3F2B" w14:textId="77777777">
      <w:pPr>
        <w:spacing w:before="120"/>
        <w:ind w:left="140"/>
        <w:rPr>
          <w:b/>
          <w:sz w:val="24"/>
        </w:rPr>
      </w:pPr>
      <w:bookmarkStart w:id="1" w:name="Abstract"/>
      <w:bookmarkEnd w:id="1"/>
      <w:r>
        <w:rPr>
          <w:b/>
          <w:spacing w:val="-2"/>
          <w:sz w:val="24"/>
        </w:rPr>
        <w:t>Abstract</w:t>
      </w:r>
    </w:p>
    <w:p w:rsidR="00AC030E" w:rsidP="009D3402" w14:paraId="7C80387F" w14:textId="3592121E">
      <w:pPr>
        <w:pStyle w:val="BodyText"/>
        <w:spacing w:before="120"/>
        <w:ind w:left="139" w:right="360"/>
      </w:pPr>
      <w:r>
        <w:t xml:space="preserve">This request is for a revision and </w:t>
      </w:r>
      <w:r>
        <w:t>extension of a currently approved collection. The revision to this collection is to merge the federally mandated logbook requirement for non-trawl groundfish fisheries that occur in the exclusive economic zone off the coasts of Washington, Oregon, and California (0648-0804) into this control number. Once cleared by OMB, control number 0648-0804 will be discontinued.</w:t>
      </w:r>
    </w:p>
    <w:p w:rsidR="00EB2389" w:rsidRPr="007F3ACA" w:rsidP="009D3402" w14:paraId="762E4F13" w14:textId="19CB6E00">
      <w:pPr>
        <w:pStyle w:val="BodyText"/>
        <w:spacing w:before="120"/>
        <w:ind w:left="144" w:right="360"/>
      </w:pPr>
      <w:r>
        <w:t>The success of fisheries management programs depends significantly</w:t>
      </w:r>
      <w:r>
        <w:rPr>
          <w:spacing w:val="-2"/>
        </w:rPr>
        <w:t xml:space="preserve"> </w:t>
      </w:r>
      <w:r>
        <w:t>on the availability</w:t>
      </w:r>
      <w:r>
        <w:rPr>
          <w:spacing w:val="-2"/>
        </w:rPr>
        <w:t xml:space="preserve"> </w:t>
      </w:r>
      <w:r>
        <w:t>of fishery data. Currently, the states of Washington</w:t>
      </w:r>
      <w:r w:rsidR="00151EBB">
        <w:t xml:space="preserve"> and</w:t>
      </w:r>
      <w:r>
        <w:t xml:space="preserve"> Oregon administer a trawl logbook on behalf of the Pacific Fishery Management Council (</w:t>
      </w:r>
      <w:r w:rsidR="009D3402">
        <w:t xml:space="preserve">PFMC or </w:t>
      </w:r>
      <w:r>
        <w:t>Council) and NOAA’s National Marine Fisheries Service (NMFS).</w:t>
      </w:r>
      <w:r w:rsidR="00151EBB">
        <w:rPr>
          <w:spacing w:val="78"/>
        </w:rPr>
        <w:t xml:space="preserve"> </w:t>
      </w:r>
      <w:r w:rsidR="00151EBB">
        <w:t>The state of California repealed their</w:t>
      </w:r>
      <w:r w:rsidR="00151EBB">
        <w:rPr>
          <w:spacing w:val="-4"/>
        </w:rPr>
        <w:t xml:space="preserve"> </w:t>
      </w:r>
      <w:r w:rsidR="00151EBB">
        <w:t>requirement,</w:t>
      </w:r>
      <w:r w:rsidR="00151EBB">
        <w:rPr>
          <w:spacing w:val="-3"/>
        </w:rPr>
        <w:t xml:space="preserve"> </w:t>
      </w:r>
      <w:r w:rsidR="00151EBB">
        <w:t>effective</w:t>
      </w:r>
      <w:r w:rsidR="00151EBB">
        <w:rPr>
          <w:spacing w:val="-4"/>
        </w:rPr>
        <w:t xml:space="preserve"> </w:t>
      </w:r>
      <w:r w:rsidR="00151EBB">
        <w:t>April</w:t>
      </w:r>
      <w:r w:rsidR="00151EBB">
        <w:rPr>
          <w:spacing w:val="-3"/>
        </w:rPr>
        <w:t xml:space="preserve"> </w:t>
      </w:r>
      <w:r w:rsidR="00151EBB">
        <w:t>1,</w:t>
      </w:r>
      <w:r w:rsidR="00151EBB">
        <w:rPr>
          <w:spacing w:val="-3"/>
        </w:rPr>
        <w:t xml:space="preserve"> </w:t>
      </w:r>
      <w:r w:rsidR="00151EBB">
        <w:t>2019,</w:t>
      </w:r>
      <w:r w:rsidR="00151EBB">
        <w:rPr>
          <w:spacing w:val="-3"/>
        </w:rPr>
        <w:t xml:space="preserve"> </w:t>
      </w:r>
      <w:r w:rsidR="00151EBB">
        <w:t>therefore,</w:t>
      </w:r>
      <w:r w:rsidR="00151EBB">
        <w:rPr>
          <w:spacing w:val="-3"/>
        </w:rPr>
        <w:t xml:space="preserve"> </w:t>
      </w:r>
      <w:r w:rsidR="00151EBB">
        <w:t>NMFS</w:t>
      </w:r>
      <w:r w:rsidR="00151EBB">
        <w:rPr>
          <w:spacing w:val="-3"/>
        </w:rPr>
        <w:t xml:space="preserve"> </w:t>
      </w:r>
      <w:r w:rsidR="00151EBB">
        <w:t>created</w:t>
      </w:r>
      <w:r w:rsidR="00151EBB">
        <w:rPr>
          <w:spacing w:val="-1"/>
        </w:rPr>
        <w:t xml:space="preserve"> </w:t>
      </w:r>
      <w:r w:rsidR="00151EBB">
        <w:t>a</w:t>
      </w:r>
      <w:r w:rsidR="00151EBB">
        <w:rPr>
          <w:spacing w:val="-4"/>
        </w:rPr>
        <w:t xml:space="preserve"> </w:t>
      </w:r>
      <w:r w:rsidR="00151EBB">
        <w:t>federal</w:t>
      </w:r>
      <w:r w:rsidR="00151EBB">
        <w:rPr>
          <w:spacing w:val="-3"/>
        </w:rPr>
        <w:t xml:space="preserve"> </w:t>
      </w:r>
      <w:r w:rsidR="00151EBB">
        <w:t>requirement</w:t>
      </w:r>
      <w:r w:rsidR="00151EBB">
        <w:rPr>
          <w:spacing w:val="-3"/>
        </w:rPr>
        <w:t xml:space="preserve"> </w:t>
      </w:r>
      <w:r w:rsidR="00151EBB">
        <w:t>in</w:t>
      </w:r>
      <w:r w:rsidR="00151EBB">
        <w:rPr>
          <w:spacing w:val="-3"/>
        </w:rPr>
        <w:t xml:space="preserve"> </w:t>
      </w:r>
      <w:r w:rsidR="00151EBB">
        <w:t>order</w:t>
      </w:r>
      <w:r w:rsidR="00151EBB">
        <w:rPr>
          <w:spacing w:val="-4"/>
        </w:rPr>
        <w:t xml:space="preserve"> </w:t>
      </w:r>
      <w:r w:rsidR="00151EBB">
        <w:t>to</w:t>
      </w:r>
      <w:r w:rsidR="00151EBB">
        <w:rPr>
          <w:spacing w:val="-1"/>
        </w:rPr>
        <w:t xml:space="preserve"> </w:t>
      </w:r>
      <w:r w:rsidR="00151EBB">
        <w:t xml:space="preserve">maintain logbook coverage from trawl vessels in California. </w:t>
      </w:r>
      <w:r>
        <w:t>The log used is a standard format developed by the Council to collect information necessary to effectively manage the fishery on a coast-wide basis.</w:t>
      </w:r>
      <w:r>
        <w:rPr>
          <w:spacing w:val="77"/>
        </w:rPr>
        <w:t xml:space="preserve"> </w:t>
      </w:r>
      <w:r>
        <w:t>The trawl logbook collects haul-level effort data including tow time, tow location, depth of catch, net ty</w:t>
      </w:r>
      <w:r>
        <w:t>pe, target strategy, and estimated pounds of fish retained per tow.</w:t>
      </w:r>
      <w:r>
        <w:rPr>
          <w:spacing w:val="40"/>
        </w:rPr>
        <w:t xml:space="preserve"> </w:t>
      </w:r>
      <w:r>
        <w:t>Each trawl log represents a single fishing trip.</w:t>
      </w:r>
      <w:r>
        <w:rPr>
          <w:spacing w:val="40"/>
        </w:rPr>
        <w:t xml:space="preserve"> </w:t>
      </w:r>
      <w:r w:rsidRPr="007F3ACA" w:rsidR="007F3ACA">
        <w:t xml:space="preserve">Trawl logbook data is used in stock assessments, to evaluate spatial bycatch issues, and is used for fishery monitoring and enforcement. </w:t>
      </w:r>
    </w:p>
    <w:p w:rsidR="007F3ACA" w:rsidP="009D3402" w14:paraId="1CD70A5A" w14:textId="2DA0AD78">
      <w:pPr>
        <w:pStyle w:val="BodyText"/>
        <w:spacing w:before="120"/>
        <w:ind w:left="144" w:right="360"/>
      </w:pPr>
      <w:r>
        <w:t xml:space="preserve">A federal non-trawl logbook was developed and implemented in 2023. </w:t>
      </w:r>
      <w:r w:rsidRPr="002D6814">
        <w:t xml:space="preserve">Data collected in </w:t>
      </w:r>
      <w:r>
        <w:t>the</w:t>
      </w:r>
      <w:r w:rsidRPr="002D6814">
        <w:t xml:space="preserve"> non-trawl logbook contribute</w:t>
      </w:r>
      <w:r>
        <w:t>s</w:t>
      </w:r>
      <w:r w:rsidRPr="002D6814">
        <w:t xml:space="preserve"> to stock assessments, inform</w:t>
      </w:r>
      <w:r>
        <w:t>s</w:t>
      </w:r>
      <w:r w:rsidRPr="002D6814">
        <w:t xml:space="preserve"> managers about location-specific catch and discards on non-observed trips and vessels, support</w:t>
      </w:r>
      <w:r>
        <w:t>s</w:t>
      </w:r>
      <w:r w:rsidRPr="002D6814">
        <w:t xml:space="preserve"> economic analysis, and provide</w:t>
      </w:r>
      <w:r>
        <w:t>s</w:t>
      </w:r>
      <w:r w:rsidRPr="002D6814">
        <w:t xml:space="preserve"> effort information to quantify groundfish fishery effort to allow more precise estimation of bycatch of with Endangered Species Act (ESA) listed species, such as seabirds and humpback whales</w:t>
      </w:r>
      <w:r>
        <w:t xml:space="preserve">. </w:t>
      </w:r>
    </w:p>
    <w:p w:rsidR="00D2054D" w:rsidP="009D3402" w14:paraId="1F4E7654" w14:textId="669BF3BC">
      <w:pPr>
        <w:pStyle w:val="BodyText"/>
        <w:spacing w:before="120"/>
        <w:ind w:left="144" w:right="360"/>
      </w:pPr>
      <w:r>
        <w:t>NMFS contracts with the Pacific States Marine Fisheries Commission (PSMFC) to distribute and collect the logbook</w:t>
      </w:r>
      <w:r w:rsidR="00BD4A39">
        <w:t>s</w:t>
      </w:r>
      <w:r>
        <w:t>.</w:t>
      </w:r>
      <w:r>
        <w:rPr>
          <w:spacing w:val="40"/>
        </w:rPr>
        <w:t xml:space="preserve"> </w:t>
      </w:r>
      <w:r>
        <w:t>These data are used regularly by NMFS, the Pacific</w:t>
      </w:r>
      <w:r>
        <w:rPr>
          <w:spacing w:val="-4"/>
        </w:rPr>
        <w:t xml:space="preserve"> </w:t>
      </w:r>
      <w:r>
        <w:t>Fishery</w:t>
      </w:r>
      <w:r>
        <w:rPr>
          <w:spacing w:val="-8"/>
        </w:rPr>
        <w:t xml:space="preserve"> </w:t>
      </w:r>
      <w:r>
        <w:t>Management</w:t>
      </w:r>
      <w:r>
        <w:rPr>
          <w:spacing w:val="-3"/>
        </w:rPr>
        <w:t xml:space="preserve"> </w:t>
      </w:r>
      <w:r>
        <w:t>Council,</w:t>
      </w:r>
      <w:r>
        <w:rPr>
          <w:spacing w:val="-3"/>
        </w:rPr>
        <w:t xml:space="preserve"> </w:t>
      </w:r>
      <w:r>
        <w:t>the</w:t>
      </w:r>
      <w:r>
        <w:rPr>
          <w:spacing w:val="-4"/>
        </w:rPr>
        <w:t xml:space="preserve"> </w:t>
      </w:r>
      <w:r>
        <w:t>West</w:t>
      </w:r>
      <w:r>
        <w:rPr>
          <w:spacing w:val="-5"/>
        </w:rPr>
        <w:t xml:space="preserve"> </w:t>
      </w:r>
      <w:r>
        <w:t>Coast</w:t>
      </w:r>
      <w:r>
        <w:rPr>
          <w:spacing w:val="-3"/>
        </w:rPr>
        <w:t xml:space="preserve"> </w:t>
      </w:r>
      <w:r>
        <w:t>Groundfish</w:t>
      </w:r>
      <w:r>
        <w:rPr>
          <w:spacing w:val="-3"/>
        </w:rPr>
        <w:t xml:space="preserve"> </w:t>
      </w:r>
      <w:r>
        <w:t>Observer</w:t>
      </w:r>
      <w:r>
        <w:rPr>
          <w:spacing w:val="-4"/>
        </w:rPr>
        <w:t xml:space="preserve"> </w:t>
      </w:r>
      <w:r>
        <w:t>Program,</w:t>
      </w:r>
      <w:r>
        <w:rPr>
          <w:spacing w:val="-3"/>
        </w:rPr>
        <w:t xml:space="preserve"> </w:t>
      </w:r>
      <w:r>
        <w:t>NMFS</w:t>
      </w:r>
      <w:r>
        <w:rPr>
          <w:spacing w:val="-3"/>
        </w:rPr>
        <w:t xml:space="preserve"> </w:t>
      </w:r>
      <w:r>
        <w:t>Office</w:t>
      </w:r>
      <w:r>
        <w:rPr>
          <w:spacing w:val="-4"/>
        </w:rPr>
        <w:t xml:space="preserve"> </w:t>
      </w:r>
      <w:r>
        <w:t>of Law Enforcement</w:t>
      </w:r>
      <w:r w:rsidR="003C5758">
        <w:t xml:space="preserve"> (OLE)</w:t>
      </w:r>
      <w:r>
        <w:t xml:space="preserve">, and the </w:t>
      </w:r>
      <w:r w:rsidR="00BD4A39">
        <w:t xml:space="preserve">United States </w:t>
      </w:r>
      <w:r>
        <w:t xml:space="preserve">Coast Guard </w:t>
      </w:r>
      <w:r w:rsidR="003C5758">
        <w:t xml:space="preserve">(USCG) </w:t>
      </w:r>
      <w:r>
        <w:t>for fisheries management and enforcement.</w:t>
      </w:r>
    </w:p>
    <w:p w:rsidR="00956DFE" w:rsidP="009D3402" w14:paraId="1244E657" w14:textId="77777777">
      <w:pPr>
        <w:pStyle w:val="BodyText"/>
        <w:spacing w:before="120"/>
        <w:rPr>
          <w:sz w:val="26"/>
        </w:rPr>
      </w:pPr>
    </w:p>
    <w:p w:rsidR="00956DFE" w:rsidP="009D3402" w14:paraId="784554AB" w14:textId="77777777">
      <w:pPr>
        <w:pStyle w:val="Heading1"/>
        <w:spacing w:before="120"/>
      </w:pPr>
      <w:bookmarkStart w:id="2" w:name="Justification"/>
      <w:bookmarkEnd w:id="2"/>
      <w:r>
        <w:rPr>
          <w:spacing w:val="-2"/>
        </w:rPr>
        <w:t>Justification</w:t>
      </w:r>
    </w:p>
    <w:p w:rsidR="00956DFE" w:rsidP="009D3402" w14:paraId="16CE25C0" w14:textId="77777777">
      <w:pPr>
        <w:pStyle w:val="ListParagraph"/>
        <w:numPr>
          <w:ilvl w:val="0"/>
          <w:numId w:val="1"/>
        </w:numPr>
        <w:tabs>
          <w:tab w:val="left" w:pos="500"/>
        </w:tabs>
        <w:spacing w:before="120"/>
        <w:ind w:left="139" w:right="317" w:firstLine="0"/>
        <w:rPr>
          <w:b/>
          <w:sz w:val="24"/>
        </w:rPr>
      </w:pPr>
      <w:r>
        <w:rPr>
          <w:b/>
          <w:sz w:val="24"/>
        </w:rPr>
        <w:t>Explain</w:t>
      </w:r>
      <w:r>
        <w:rPr>
          <w:b/>
          <w:spacing w:val="-4"/>
          <w:sz w:val="24"/>
        </w:rPr>
        <w:t xml:space="preserve"> </w:t>
      </w:r>
      <w:r>
        <w:rPr>
          <w:b/>
          <w:sz w:val="24"/>
        </w:rPr>
        <w:t>the</w:t>
      </w:r>
      <w:r>
        <w:rPr>
          <w:b/>
          <w:spacing w:val="-5"/>
          <w:sz w:val="24"/>
        </w:rPr>
        <w:t xml:space="preserve"> </w:t>
      </w:r>
      <w:r>
        <w:rPr>
          <w:b/>
          <w:sz w:val="24"/>
        </w:rPr>
        <w:t>circumstances</w:t>
      </w:r>
      <w:r>
        <w:rPr>
          <w:b/>
          <w:spacing w:val="-4"/>
          <w:sz w:val="24"/>
        </w:rPr>
        <w:t xml:space="preserve"> </w:t>
      </w:r>
      <w:r>
        <w:rPr>
          <w:b/>
          <w:sz w:val="24"/>
        </w:rPr>
        <w:t>that</w:t>
      </w:r>
      <w:r>
        <w:rPr>
          <w:b/>
          <w:spacing w:val="-3"/>
          <w:sz w:val="24"/>
        </w:rPr>
        <w:t xml:space="preserve"> </w:t>
      </w:r>
      <w:r>
        <w:rPr>
          <w:b/>
          <w:sz w:val="24"/>
        </w:rPr>
        <w:t>make</w:t>
      </w:r>
      <w:r>
        <w:rPr>
          <w:b/>
          <w:spacing w:val="-3"/>
          <w:sz w:val="24"/>
        </w:rPr>
        <w:t xml:space="preserve"> </w:t>
      </w:r>
      <w:r>
        <w:rPr>
          <w:b/>
          <w:sz w:val="24"/>
        </w:rPr>
        <w:t>the</w:t>
      </w:r>
      <w:r>
        <w:rPr>
          <w:b/>
          <w:spacing w:val="-5"/>
          <w:sz w:val="24"/>
        </w:rPr>
        <w:t xml:space="preserve"> </w:t>
      </w:r>
      <w:r>
        <w:rPr>
          <w:b/>
          <w:sz w:val="24"/>
        </w:rPr>
        <w:t>collection</w:t>
      </w:r>
      <w:r>
        <w:rPr>
          <w:b/>
          <w:spacing w:val="-4"/>
          <w:sz w:val="24"/>
        </w:rPr>
        <w:t xml:space="preserve"> </w:t>
      </w:r>
      <w:r>
        <w:rPr>
          <w:b/>
          <w:sz w:val="24"/>
        </w:rPr>
        <w:t>of</w:t>
      </w:r>
      <w:r>
        <w:rPr>
          <w:b/>
          <w:spacing w:val="-3"/>
          <w:sz w:val="24"/>
        </w:rPr>
        <w:t xml:space="preserve"> </w:t>
      </w:r>
      <w:r>
        <w:rPr>
          <w:b/>
          <w:sz w:val="24"/>
        </w:rPr>
        <w:t>information</w:t>
      </w:r>
      <w:r>
        <w:rPr>
          <w:b/>
          <w:spacing w:val="-4"/>
          <w:sz w:val="24"/>
        </w:rPr>
        <w:t xml:space="preserve"> </w:t>
      </w:r>
      <w:r>
        <w:rPr>
          <w:b/>
          <w:sz w:val="24"/>
        </w:rPr>
        <w:t>necessary.</w:t>
      </w:r>
      <w:r>
        <w:rPr>
          <w:b/>
          <w:spacing w:val="-4"/>
          <w:sz w:val="24"/>
        </w:rPr>
        <w:t xml:space="preserve"> </w:t>
      </w:r>
      <w:r>
        <w:rPr>
          <w:b/>
          <w:sz w:val="24"/>
        </w:rPr>
        <w:t>Identify</w:t>
      </w:r>
      <w:r>
        <w:rPr>
          <w:b/>
          <w:spacing w:val="-4"/>
          <w:sz w:val="24"/>
        </w:rPr>
        <w:t xml:space="preserve"> </w:t>
      </w:r>
      <w:r>
        <w:rPr>
          <w:b/>
          <w:sz w:val="24"/>
        </w:rPr>
        <w:t>any</w:t>
      </w:r>
      <w:r>
        <w:rPr>
          <w:b/>
          <w:spacing w:val="-4"/>
          <w:sz w:val="24"/>
        </w:rPr>
        <w:t xml:space="preserve"> </w:t>
      </w:r>
      <w:r>
        <w:rPr>
          <w:b/>
          <w:sz w:val="24"/>
        </w:rPr>
        <w:t>legal or administrative requirements that necessitate the collection. Attach a copy of the appropriate section of each statute and regulation mandating or authorizing the collection of information.</w:t>
      </w:r>
    </w:p>
    <w:p w:rsidR="00DD3DC4" w:rsidP="009D3402" w14:paraId="42DA0B08" w14:textId="77777777">
      <w:pPr>
        <w:pStyle w:val="BodyText"/>
        <w:spacing w:before="120"/>
        <w:ind w:left="144" w:right="360"/>
      </w:pPr>
    </w:p>
    <w:p w:rsidR="0002535C" w:rsidRPr="007F3ACA" w:rsidP="009D3402" w14:paraId="5890B522" w14:textId="656BF3B8">
      <w:pPr>
        <w:pStyle w:val="BodyText"/>
        <w:spacing w:before="120"/>
        <w:ind w:left="144" w:right="360"/>
      </w:pPr>
      <w:r>
        <w:t>Currently, the states of Washington and Oregon administer a trawl logbook on behalf of the</w:t>
      </w:r>
      <w:r w:rsidR="00DD3DC4">
        <w:t xml:space="preserve"> Council</w:t>
      </w:r>
      <w:r>
        <w:t xml:space="preserve"> and NMFS.</w:t>
      </w:r>
      <w:r>
        <w:rPr>
          <w:spacing w:val="78"/>
        </w:rPr>
        <w:t xml:space="preserve"> </w:t>
      </w:r>
      <w:r>
        <w:t>The state of California repealed their</w:t>
      </w:r>
      <w:r>
        <w:rPr>
          <w:spacing w:val="-4"/>
        </w:rPr>
        <w:t xml:space="preserve"> </w:t>
      </w:r>
      <w:r>
        <w:t>requirement,</w:t>
      </w:r>
      <w:r>
        <w:rPr>
          <w:spacing w:val="-3"/>
        </w:rPr>
        <w:t xml:space="preserve"> </w:t>
      </w:r>
      <w:r>
        <w:t>effective</w:t>
      </w:r>
      <w:r>
        <w:rPr>
          <w:spacing w:val="-4"/>
        </w:rPr>
        <w:t xml:space="preserve"> </w:t>
      </w:r>
      <w:r>
        <w:t>April</w:t>
      </w:r>
      <w:r>
        <w:rPr>
          <w:spacing w:val="-3"/>
        </w:rPr>
        <w:t xml:space="preserve"> </w:t>
      </w:r>
      <w:r>
        <w:t>1,</w:t>
      </w:r>
      <w:r>
        <w:rPr>
          <w:spacing w:val="-3"/>
        </w:rPr>
        <w:t xml:space="preserve"> </w:t>
      </w:r>
      <w:r>
        <w:t>2019,</w:t>
      </w:r>
      <w:r>
        <w:rPr>
          <w:spacing w:val="-3"/>
        </w:rPr>
        <w:t xml:space="preserve"> </w:t>
      </w:r>
      <w:r>
        <w:t>therefore,</w:t>
      </w:r>
      <w:r>
        <w:rPr>
          <w:spacing w:val="-3"/>
        </w:rPr>
        <w:t xml:space="preserve"> </w:t>
      </w:r>
      <w:r>
        <w:t>NMFS</w:t>
      </w:r>
      <w:r>
        <w:rPr>
          <w:spacing w:val="-3"/>
        </w:rPr>
        <w:t xml:space="preserve"> </w:t>
      </w:r>
      <w:r>
        <w:t>created</w:t>
      </w:r>
      <w:r>
        <w:rPr>
          <w:spacing w:val="-1"/>
        </w:rPr>
        <w:t xml:space="preserve"> </w:t>
      </w:r>
      <w:r>
        <w:t>a</w:t>
      </w:r>
      <w:r>
        <w:rPr>
          <w:spacing w:val="-4"/>
        </w:rPr>
        <w:t xml:space="preserve"> </w:t>
      </w:r>
      <w:r>
        <w:t>federal</w:t>
      </w:r>
      <w:r>
        <w:rPr>
          <w:spacing w:val="-3"/>
        </w:rPr>
        <w:t xml:space="preserve"> </w:t>
      </w:r>
      <w:r>
        <w:t>requirement</w:t>
      </w:r>
      <w:r>
        <w:rPr>
          <w:spacing w:val="-3"/>
        </w:rPr>
        <w:t xml:space="preserve"> </w:t>
      </w:r>
      <w:r>
        <w:t>in</w:t>
      </w:r>
      <w:r>
        <w:rPr>
          <w:spacing w:val="-3"/>
        </w:rPr>
        <w:t xml:space="preserve"> </w:t>
      </w:r>
      <w:r>
        <w:t>order</w:t>
      </w:r>
      <w:r>
        <w:rPr>
          <w:spacing w:val="-4"/>
        </w:rPr>
        <w:t xml:space="preserve"> </w:t>
      </w:r>
      <w:r>
        <w:t>to</w:t>
      </w:r>
      <w:r>
        <w:rPr>
          <w:spacing w:val="-1"/>
        </w:rPr>
        <w:t xml:space="preserve"> </w:t>
      </w:r>
      <w:r>
        <w:t xml:space="preserve">maintain logbook coverage from trawl vessels in California. The log used is a </w:t>
      </w:r>
      <w:r>
        <w:t>standard format developed by the Council to collect information necessary to effectively manage the fishery on a coast-wide basis.</w:t>
      </w:r>
      <w:r>
        <w:rPr>
          <w:spacing w:val="77"/>
        </w:rPr>
        <w:t xml:space="preserve"> </w:t>
      </w:r>
      <w:r>
        <w:t>The trawl logbook collects haul-level effort data including tow time, tow location, depth of catch, net type, target strategy, and estimated pounds of fish retained per tow.</w:t>
      </w:r>
      <w:r>
        <w:rPr>
          <w:spacing w:val="40"/>
        </w:rPr>
        <w:t xml:space="preserve"> </w:t>
      </w:r>
      <w:r>
        <w:t>Each trawl log represents a single fishing trip.</w:t>
      </w:r>
      <w:r>
        <w:rPr>
          <w:spacing w:val="40"/>
        </w:rPr>
        <w:t xml:space="preserve"> </w:t>
      </w:r>
      <w:r w:rsidRPr="007F3ACA">
        <w:t xml:space="preserve">Trawl logbook data is used in </w:t>
      </w:r>
      <w:r w:rsidRPr="007F3ACA">
        <w:t xml:space="preserve">stock assessments, to evaluate spatial bycatch issues, and is used for fishery monitoring and enforcement. </w:t>
      </w:r>
      <w:r w:rsidR="00DD3DC4">
        <w:t xml:space="preserve">The trawl logbook is required by regulation at 50 CFR 660.13(a)(1). </w:t>
      </w:r>
    </w:p>
    <w:p w:rsidR="0002535C" w:rsidP="009D3402" w14:paraId="091F7E4C" w14:textId="604B9353">
      <w:pPr>
        <w:pStyle w:val="BodyText"/>
        <w:spacing w:before="120"/>
        <w:ind w:left="144" w:right="360"/>
      </w:pPr>
      <w:r>
        <w:t xml:space="preserve">A federal non-trawl logbook was developed and implemented in 2023. </w:t>
      </w:r>
      <w:r w:rsidR="00DD3DC4">
        <w:t xml:space="preserve">The non-trawl logbook is required by regulation at 50 CFR 660.13(a)(2)-(3). </w:t>
      </w:r>
      <w:r w:rsidRPr="002D6814">
        <w:t xml:space="preserve">Data collected in </w:t>
      </w:r>
      <w:r>
        <w:t>the</w:t>
      </w:r>
      <w:r w:rsidRPr="002D6814">
        <w:t xml:space="preserve"> non-trawl logbook contribute</w:t>
      </w:r>
      <w:r>
        <w:t>s</w:t>
      </w:r>
      <w:r w:rsidRPr="002D6814">
        <w:t xml:space="preserve"> to stock assessments, inform</w:t>
      </w:r>
      <w:r>
        <w:t>s</w:t>
      </w:r>
      <w:r w:rsidRPr="002D6814">
        <w:t xml:space="preserve"> managers about location-specific catch and discards on non-observed trips and vessels, support</w:t>
      </w:r>
      <w:r>
        <w:t>s</w:t>
      </w:r>
      <w:r w:rsidRPr="002D6814">
        <w:t xml:space="preserve"> economic analysis, and provide</w:t>
      </w:r>
      <w:r>
        <w:t>s</w:t>
      </w:r>
      <w:r w:rsidRPr="002D6814">
        <w:t xml:space="preserve"> effort information to quantify groundfish fishery effort to allow more precise estimation of bycatch of with Endangered Species Act (ESA) listed species, such as seabirds and humpback whales</w:t>
      </w:r>
      <w:r>
        <w:t xml:space="preserve">. </w:t>
      </w:r>
      <w:r w:rsidR="001C1D76">
        <w:t>Implementation</w:t>
      </w:r>
      <w:r w:rsidRPr="00D2054D" w:rsidR="001C1D76">
        <w:t xml:space="preserve"> of a fixed gear logbook is a term and condition implementing Reasonable and Prudent Measure 4 of the 2017 Biological Opinion for Seabirds (FWS O1EOFWOO-2017-F-03 16).</w:t>
      </w:r>
    </w:p>
    <w:p w:rsidR="00D2054D" w:rsidRPr="009D3402" w:rsidP="009D3402" w14:paraId="0BD51A14" w14:textId="77777777">
      <w:pPr>
        <w:pStyle w:val="BodyText"/>
        <w:spacing w:before="120"/>
      </w:pPr>
    </w:p>
    <w:p w:rsidR="00956DFE" w:rsidRPr="00EB2389" w:rsidP="009D3402" w14:paraId="20866D82" w14:textId="77777777">
      <w:pPr>
        <w:pStyle w:val="Heading1"/>
        <w:numPr>
          <w:ilvl w:val="0"/>
          <w:numId w:val="1"/>
        </w:numPr>
        <w:tabs>
          <w:tab w:val="left" w:pos="500"/>
        </w:tabs>
        <w:spacing w:before="120"/>
        <w:ind w:right="483" w:firstLine="0"/>
      </w:pPr>
      <w:bookmarkStart w:id="3" w:name="2._Indicate_how,_by_whom,_and_for_what_p"/>
      <w:bookmarkEnd w:id="3"/>
      <w:r>
        <w:t>Indicate</w:t>
      </w:r>
      <w:r>
        <w:rPr>
          <w:spacing w:val="-3"/>
        </w:rPr>
        <w:t xml:space="preserve"> </w:t>
      </w:r>
      <w:r>
        <w:t>how,</w:t>
      </w:r>
      <w:r>
        <w:rPr>
          <w:spacing w:val="-5"/>
        </w:rPr>
        <w:t xml:space="preserve"> </w:t>
      </w:r>
      <w:r>
        <w:t>by</w:t>
      </w:r>
      <w:r>
        <w:rPr>
          <w:spacing w:val="-3"/>
        </w:rPr>
        <w:t xml:space="preserve"> </w:t>
      </w:r>
      <w:r>
        <w:t>whom, and</w:t>
      </w:r>
      <w:r>
        <w:rPr>
          <w:spacing w:val="-2"/>
        </w:rPr>
        <w:t xml:space="preserve"> </w:t>
      </w:r>
      <w:r>
        <w:t>for</w:t>
      </w:r>
      <w:r>
        <w:rPr>
          <w:spacing w:val="-6"/>
        </w:rPr>
        <w:t xml:space="preserve"> </w:t>
      </w:r>
      <w:r>
        <w:t>what</w:t>
      </w:r>
      <w:r>
        <w:rPr>
          <w:spacing w:val="-3"/>
        </w:rPr>
        <w:t xml:space="preserve"> </w:t>
      </w:r>
      <w:r>
        <w:t>purpose</w:t>
      </w:r>
      <w:r>
        <w:rPr>
          <w:spacing w:val="-3"/>
        </w:rPr>
        <w:t xml:space="preserve"> </w:t>
      </w:r>
      <w:r>
        <w:t>the</w:t>
      </w:r>
      <w:r>
        <w:rPr>
          <w:spacing w:val="-3"/>
        </w:rPr>
        <w:t xml:space="preserve"> </w:t>
      </w:r>
      <w:r>
        <w:t>information</w:t>
      </w:r>
      <w:r>
        <w:rPr>
          <w:spacing w:val="-2"/>
        </w:rPr>
        <w:t xml:space="preserve"> </w:t>
      </w:r>
      <w:r>
        <w:t>is</w:t>
      </w:r>
      <w:r>
        <w:rPr>
          <w:spacing w:val="-2"/>
        </w:rPr>
        <w:t xml:space="preserve"> </w:t>
      </w:r>
      <w:r>
        <w:t>to</w:t>
      </w:r>
      <w:r>
        <w:rPr>
          <w:spacing w:val="-2"/>
        </w:rPr>
        <w:t xml:space="preserve"> </w:t>
      </w:r>
      <w:r>
        <w:t>be</w:t>
      </w:r>
      <w:r>
        <w:rPr>
          <w:spacing w:val="-3"/>
        </w:rPr>
        <w:t xml:space="preserve"> </w:t>
      </w:r>
      <w:r>
        <w:t>used.</w:t>
      </w:r>
      <w:r>
        <w:rPr>
          <w:spacing w:val="-3"/>
        </w:rPr>
        <w:t xml:space="preserve"> </w:t>
      </w:r>
      <w:r>
        <w:t>Except</w:t>
      </w:r>
      <w:r>
        <w:rPr>
          <w:spacing w:val="-3"/>
        </w:rPr>
        <w:t xml:space="preserve"> </w:t>
      </w:r>
      <w:r>
        <w:t>for</w:t>
      </w:r>
      <w:r>
        <w:rPr>
          <w:spacing w:val="-3"/>
        </w:rPr>
        <w:t xml:space="preserve"> </w:t>
      </w:r>
      <w:r>
        <w:t>a</w:t>
      </w:r>
      <w:r>
        <w:rPr>
          <w:spacing w:val="-2"/>
        </w:rPr>
        <w:t xml:space="preserve"> </w:t>
      </w:r>
      <w:r>
        <w:t>new collection, indicate the actual use the agency has made of the information received from the current collection.</w:t>
      </w:r>
    </w:p>
    <w:p w:rsidR="00D2054D" w:rsidP="009D3402" w14:paraId="7BDA86C9" w14:textId="34BFD4B4">
      <w:pPr>
        <w:pStyle w:val="BodyText"/>
        <w:spacing w:before="120"/>
        <w:ind w:left="139" w:right="360"/>
      </w:pPr>
      <w:r>
        <w:t>The data collected from the logbook</w:t>
      </w:r>
      <w:r w:rsidR="003C5758">
        <w:t>s</w:t>
      </w:r>
      <w:r>
        <w:t xml:space="preserve"> are used regularly by NMFS, the </w:t>
      </w:r>
      <w:r w:rsidR="009D3402">
        <w:t>PFMC</w:t>
      </w:r>
      <w:r>
        <w:t xml:space="preserve">, the West Coast Groundfish Observer Program, NMFS </w:t>
      </w:r>
      <w:r w:rsidR="003C5758">
        <w:t>OLE</w:t>
      </w:r>
      <w:r>
        <w:t xml:space="preserve">, and the </w:t>
      </w:r>
      <w:r w:rsidR="003C5758">
        <w:t>USCG</w:t>
      </w:r>
      <w:r>
        <w:rPr>
          <w:spacing w:val="-3"/>
        </w:rPr>
        <w:t xml:space="preserve"> </w:t>
      </w:r>
      <w:r>
        <w:t>for</w:t>
      </w:r>
      <w:r>
        <w:rPr>
          <w:spacing w:val="-3"/>
        </w:rPr>
        <w:t xml:space="preserve"> </w:t>
      </w:r>
      <w:r>
        <w:t>fisheries</w:t>
      </w:r>
      <w:r>
        <w:rPr>
          <w:spacing w:val="-2"/>
        </w:rPr>
        <w:t xml:space="preserve"> </w:t>
      </w:r>
      <w:r>
        <w:t>management</w:t>
      </w:r>
      <w:r>
        <w:rPr>
          <w:spacing w:val="-3"/>
        </w:rPr>
        <w:t xml:space="preserve"> </w:t>
      </w:r>
      <w:r>
        <w:t>and</w:t>
      </w:r>
      <w:r>
        <w:rPr>
          <w:spacing w:val="-2"/>
        </w:rPr>
        <w:t xml:space="preserve"> </w:t>
      </w:r>
      <w:r>
        <w:t>enforcement.</w:t>
      </w:r>
      <w:r>
        <w:rPr>
          <w:spacing w:val="-3"/>
        </w:rPr>
        <w:t xml:space="preserve"> </w:t>
      </w:r>
      <w:r>
        <w:t>The</w:t>
      </w:r>
      <w:r>
        <w:rPr>
          <w:spacing w:val="-4"/>
        </w:rPr>
        <w:t xml:space="preserve"> </w:t>
      </w:r>
      <w:r>
        <w:t>data</w:t>
      </w:r>
      <w:r>
        <w:rPr>
          <w:spacing w:val="-4"/>
        </w:rPr>
        <w:t xml:space="preserve"> </w:t>
      </w:r>
      <w:r>
        <w:t>provides</w:t>
      </w:r>
      <w:r>
        <w:rPr>
          <w:spacing w:val="-2"/>
        </w:rPr>
        <w:t xml:space="preserve"> </w:t>
      </w:r>
      <w:r>
        <w:t>vital</w:t>
      </w:r>
      <w:r>
        <w:rPr>
          <w:spacing w:val="-3"/>
        </w:rPr>
        <w:t xml:space="preserve"> </w:t>
      </w:r>
      <w:r>
        <w:t>effort</w:t>
      </w:r>
      <w:r>
        <w:rPr>
          <w:spacing w:val="-3"/>
        </w:rPr>
        <w:t xml:space="preserve"> </w:t>
      </w:r>
      <w:r>
        <w:t>and</w:t>
      </w:r>
      <w:r>
        <w:rPr>
          <w:spacing w:val="-3"/>
        </w:rPr>
        <w:t xml:space="preserve"> </w:t>
      </w:r>
      <w:r>
        <w:t>location</w:t>
      </w:r>
      <w:r>
        <w:rPr>
          <w:spacing w:val="-3"/>
        </w:rPr>
        <w:t xml:space="preserve"> </w:t>
      </w:r>
      <w:r>
        <w:t>data on</w:t>
      </w:r>
      <w:r>
        <w:rPr>
          <w:spacing w:val="-3"/>
        </w:rPr>
        <w:t xml:space="preserve"> </w:t>
      </w:r>
      <w:r w:rsidR="00E02389">
        <w:t>fishing</w:t>
      </w:r>
      <w:r>
        <w:rPr>
          <w:spacing w:val="-3"/>
        </w:rPr>
        <w:t xml:space="preserve"> </w:t>
      </w:r>
      <w:r>
        <w:t>and</w:t>
      </w:r>
      <w:r>
        <w:rPr>
          <w:spacing w:val="-3"/>
        </w:rPr>
        <w:t xml:space="preserve"> </w:t>
      </w:r>
      <w:r>
        <w:t>in</w:t>
      </w:r>
      <w:r>
        <w:rPr>
          <w:spacing w:val="-3"/>
        </w:rPr>
        <w:t xml:space="preserve"> </w:t>
      </w:r>
      <w:r>
        <w:t>combination</w:t>
      </w:r>
      <w:r>
        <w:rPr>
          <w:spacing w:val="-3"/>
        </w:rPr>
        <w:t xml:space="preserve"> </w:t>
      </w:r>
      <w:r>
        <w:t>with</w:t>
      </w:r>
      <w:r>
        <w:rPr>
          <w:spacing w:val="-3"/>
        </w:rPr>
        <w:t xml:space="preserve"> </w:t>
      </w:r>
      <w:r>
        <w:t>landings</w:t>
      </w:r>
      <w:r>
        <w:rPr>
          <w:spacing w:val="-3"/>
        </w:rPr>
        <w:t xml:space="preserve"> </w:t>
      </w:r>
      <w:r>
        <w:t>data</w:t>
      </w:r>
      <w:r>
        <w:rPr>
          <w:spacing w:val="-2"/>
        </w:rPr>
        <w:t xml:space="preserve"> </w:t>
      </w:r>
      <w:r>
        <w:t>provide</w:t>
      </w:r>
      <w:r>
        <w:rPr>
          <w:spacing w:val="-4"/>
        </w:rPr>
        <w:t xml:space="preserve"> </w:t>
      </w:r>
      <w:r>
        <w:t>the</w:t>
      </w:r>
      <w:r>
        <w:rPr>
          <w:spacing w:val="-4"/>
        </w:rPr>
        <w:t xml:space="preserve"> </w:t>
      </w:r>
      <w:r>
        <w:t>main</w:t>
      </w:r>
      <w:r>
        <w:rPr>
          <w:spacing w:val="-3"/>
        </w:rPr>
        <w:t xml:space="preserve"> </w:t>
      </w:r>
      <w:r>
        <w:t>data</w:t>
      </w:r>
      <w:r>
        <w:rPr>
          <w:spacing w:val="-4"/>
        </w:rPr>
        <w:t xml:space="preserve"> </w:t>
      </w:r>
      <w:r>
        <w:t>source</w:t>
      </w:r>
      <w:r>
        <w:rPr>
          <w:spacing w:val="-4"/>
        </w:rPr>
        <w:t xml:space="preserve"> </w:t>
      </w:r>
      <w:r>
        <w:t>for</w:t>
      </w:r>
      <w:r>
        <w:rPr>
          <w:spacing w:val="-4"/>
        </w:rPr>
        <w:t xml:space="preserve"> </w:t>
      </w:r>
      <w:r>
        <w:t>fisheries</w:t>
      </w:r>
      <w:r>
        <w:rPr>
          <w:spacing w:val="-3"/>
        </w:rPr>
        <w:t xml:space="preserve"> </w:t>
      </w:r>
      <w:r>
        <w:t>monitoring, management, and enforcement.</w:t>
      </w:r>
    </w:p>
    <w:p w:rsidR="003C5758" w:rsidRPr="003C5758" w:rsidP="009D3402" w14:paraId="0F70B717" w14:textId="77777777">
      <w:pPr>
        <w:pBdr>
          <w:top w:val="nil"/>
          <w:left w:val="nil"/>
          <w:bottom w:val="nil"/>
          <w:right w:val="nil"/>
          <w:between w:val="nil"/>
        </w:pBdr>
        <w:spacing w:before="120"/>
        <w:ind w:left="180"/>
        <w:rPr>
          <w:sz w:val="24"/>
          <w:szCs w:val="24"/>
        </w:rPr>
      </w:pPr>
      <w:r w:rsidRPr="003C5758">
        <w:rPr>
          <w:sz w:val="24"/>
          <w:szCs w:val="24"/>
        </w:rPr>
        <w:t>Logbook information will be required to be recorded on every fishing trip. Electronic logbook data will be required to be submitted within a 24-hour period after a trip is concluded. Any limited usage of paper logbooks would be collected on a monthly basis. Fishers can submit logbooks more frequently (</w:t>
      </w:r>
      <w:r w:rsidRPr="003C5758">
        <w:rPr>
          <w:i/>
          <w:sz w:val="24"/>
          <w:szCs w:val="24"/>
        </w:rPr>
        <w:t>e.g.</w:t>
      </w:r>
      <w:r w:rsidRPr="003C5758">
        <w:rPr>
          <w:sz w:val="24"/>
          <w:szCs w:val="24"/>
        </w:rPr>
        <w:t xml:space="preserve">, after each fishing trip) if preferred. </w:t>
      </w:r>
    </w:p>
    <w:p w:rsidR="003C5758" w:rsidRPr="003C5758" w:rsidP="009D3402" w14:paraId="377BA206" w14:textId="2CB964A7">
      <w:pPr>
        <w:spacing w:before="120"/>
        <w:ind w:left="180"/>
        <w:rPr>
          <w:sz w:val="24"/>
          <w:szCs w:val="24"/>
          <w:highlight w:val="yellow"/>
        </w:rPr>
      </w:pPr>
      <w:r>
        <w:rPr>
          <w:sz w:val="24"/>
          <w:szCs w:val="24"/>
        </w:rPr>
        <w:t xml:space="preserve">The </w:t>
      </w:r>
      <w:r w:rsidRPr="003C5758">
        <w:rPr>
          <w:sz w:val="24"/>
          <w:szCs w:val="24"/>
        </w:rPr>
        <w:t>NMFS W</w:t>
      </w:r>
      <w:r>
        <w:rPr>
          <w:sz w:val="24"/>
          <w:szCs w:val="24"/>
        </w:rPr>
        <w:t xml:space="preserve">est </w:t>
      </w:r>
      <w:r w:rsidRPr="003C5758">
        <w:rPr>
          <w:sz w:val="24"/>
          <w:szCs w:val="24"/>
        </w:rPr>
        <w:t>C</w:t>
      </w:r>
      <w:r>
        <w:rPr>
          <w:sz w:val="24"/>
          <w:szCs w:val="24"/>
        </w:rPr>
        <w:t xml:space="preserve">oast </w:t>
      </w:r>
      <w:r w:rsidRPr="003C5758">
        <w:rPr>
          <w:sz w:val="24"/>
          <w:szCs w:val="24"/>
        </w:rPr>
        <w:t>R</w:t>
      </w:r>
      <w:r>
        <w:rPr>
          <w:sz w:val="24"/>
          <w:szCs w:val="24"/>
        </w:rPr>
        <w:t>egion (WCR)</w:t>
      </w:r>
      <w:r w:rsidRPr="003C5758">
        <w:rPr>
          <w:sz w:val="24"/>
          <w:szCs w:val="24"/>
        </w:rPr>
        <w:t xml:space="preserve"> contract</w:t>
      </w:r>
      <w:r>
        <w:rPr>
          <w:sz w:val="24"/>
          <w:szCs w:val="24"/>
        </w:rPr>
        <w:t>s</w:t>
      </w:r>
      <w:r w:rsidRPr="003C5758">
        <w:rPr>
          <w:sz w:val="24"/>
          <w:szCs w:val="24"/>
        </w:rPr>
        <w:t xml:space="preserve"> with the Pacific States Marine Fisheries Commission (PSMFC) to design and distribute the electronic logbook. The information collected from the logbooks will be shared with its respective state agencies (California Department of Fish and Wildlife, Oregon Department of Fish and Wildlife, or Washington Department of Fish and Wildlife) and the PFMC upon request. </w:t>
      </w:r>
    </w:p>
    <w:p w:rsidR="00956DFE" w:rsidP="009D3402" w14:paraId="58019271" w14:textId="77777777">
      <w:pPr>
        <w:pStyle w:val="BodyText"/>
        <w:spacing w:before="120"/>
        <w:rPr>
          <w:sz w:val="28"/>
        </w:rPr>
      </w:pPr>
    </w:p>
    <w:p w:rsidR="00956DFE" w:rsidP="009D3402" w14:paraId="4F5BD224" w14:textId="77777777">
      <w:pPr>
        <w:pStyle w:val="Heading1"/>
        <w:numPr>
          <w:ilvl w:val="0"/>
          <w:numId w:val="1"/>
        </w:numPr>
        <w:tabs>
          <w:tab w:val="left" w:pos="500"/>
        </w:tabs>
        <w:spacing w:before="120"/>
        <w:ind w:left="139" w:right="524" w:firstLine="0"/>
      </w:pPr>
      <w:r>
        <w:t>Describe whether, and to what extent, the collection of information involves the use of automated,</w:t>
      </w:r>
      <w:r>
        <w:rPr>
          <w:spacing w:val="-4"/>
        </w:rPr>
        <w:t xml:space="preserve"> </w:t>
      </w:r>
      <w:r>
        <w:t>electronic,</w:t>
      </w:r>
      <w:r>
        <w:rPr>
          <w:spacing w:val="-2"/>
        </w:rPr>
        <w:t xml:space="preserve"> </w:t>
      </w:r>
      <w:r>
        <w:t>mechanical,</w:t>
      </w:r>
      <w:r>
        <w:rPr>
          <w:spacing w:val="-4"/>
        </w:rPr>
        <w:t xml:space="preserve"> </w:t>
      </w:r>
      <w:r>
        <w:t>or</w:t>
      </w:r>
      <w:r>
        <w:rPr>
          <w:spacing w:val="-5"/>
        </w:rPr>
        <w:t xml:space="preserve"> </w:t>
      </w:r>
      <w:r>
        <w:t>other</w:t>
      </w:r>
      <w:r>
        <w:rPr>
          <w:spacing w:val="-3"/>
        </w:rPr>
        <w:t xml:space="preserve"> </w:t>
      </w:r>
      <w:r>
        <w:t>technological</w:t>
      </w:r>
      <w:r>
        <w:rPr>
          <w:spacing w:val="-4"/>
        </w:rPr>
        <w:t xml:space="preserve"> </w:t>
      </w:r>
      <w:r>
        <w:t>collection</w:t>
      </w:r>
      <w:r>
        <w:rPr>
          <w:spacing w:val="-4"/>
        </w:rPr>
        <w:t xml:space="preserve"> </w:t>
      </w:r>
      <w:r>
        <w:t>techniques</w:t>
      </w:r>
      <w:r>
        <w:rPr>
          <w:spacing w:val="-4"/>
        </w:rPr>
        <w:t xml:space="preserve"> </w:t>
      </w:r>
      <w:r>
        <w:t>or</w:t>
      </w:r>
      <w:r>
        <w:rPr>
          <w:spacing w:val="-5"/>
        </w:rPr>
        <w:t xml:space="preserve"> </w:t>
      </w:r>
      <w:r>
        <w:t>other</w:t>
      </w:r>
      <w:r>
        <w:rPr>
          <w:spacing w:val="-5"/>
        </w:rPr>
        <w:t xml:space="preserve"> </w:t>
      </w:r>
      <w:r>
        <w:t>forms</w:t>
      </w:r>
      <w:r>
        <w:rPr>
          <w:spacing w:val="-4"/>
        </w:rPr>
        <w:t xml:space="preserve"> </w:t>
      </w:r>
      <w:r>
        <w:t>of information technology, e.g. permitting electronic submission of responses, and the basis for the decision for adopting this means of collection. Also, describe any consideration of using information technology to reduce burden.</w:t>
      </w:r>
    </w:p>
    <w:p w:rsidR="003C5758" w:rsidP="009D3402" w14:paraId="3F484217" w14:textId="77777777">
      <w:pPr>
        <w:pStyle w:val="BodyText"/>
        <w:spacing w:before="120"/>
        <w:ind w:left="139"/>
      </w:pPr>
      <w:r>
        <w:t>PSMFC, on behalf of NMFS, administers an electronic logbook for the non-trawl sectors (</w:t>
      </w:r>
      <w:r>
        <w:t>FishVue</w:t>
      </w:r>
      <w:r>
        <w:t xml:space="preserve"> Float). No paper logbook submission is allowed. The application is available free to fishery participants, and may be accessed on a smartphone, tablet, or computer. </w:t>
      </w:r>
    </w:p>
    <w:p w:rsidR="00956DFE" w:rsidP="009D3402" w14:paraId="109987CC" w14:textId="7AB650D7">
      <w:pPr>
        <w:pStyle w:val="BodyText"/>
        <w:spacing w:before="120"/>
        <w:ind w:left="139"/>
        <w:rPr>
          <w:spacing w:val="-2"/>
        </w:rPr>
      </w:pPr>
      <w:r>
        <w:t xml:space="preserve">The trawl logbook currently </w:t>
      </w:r>
      <w:r w:rsidR="00081D94">
        <w:t>relies</w:t>
      </w:r>
      <w:r w:rsidR="00081D94">
        <w:rPr>
          <w:spacing w:val="-1"/>
        </w:rPr>
        <w:t xml:space="preserve"> </w:t>
      </w:r>
      <w:r w:rsidR="00081D94">
        <w:t>on</w:t>
      </w:r>
      <w:r w:rsidR="00081D94">
        <w:rPr>
          <w:spacing w:val="-1"/>
        </w:rPr>
        <w:t xml:space="preserve"> </w:t>
      </w:r>
      <w:r w:rsidR="00081D94">
        <w:t>the</w:t>
      </w:r>
      <w:r w:rsidR="00081D94">
        <w:rPr>
          <w:spacing w:val="-2"/>
        </w:rPr>
        <w:t xml:space="preserve"> </w:t>
      </w:r>
      <w:r w:rsidR="00081D94">
        <w:t>completion</w:t>
      </w:r>
      <w:r w:rsidR="00081D94">
        <w:rPr>
          <w:spacing w:val="-1"/>
        </w:rPr>
        <w:t xml:space="preserve"> </w:t>
      </w:r>
      <w:r w:rsidR="00081D94">
        <w:t>of</w:t>
      </w:r>
      <w:r w:rsidR="00081D94">
        <w:rPr>
          <w:spacing w:val="-2"/>
        </w:rPr>
        <w:t xml:space="preserve"> </w:t>
      </w:r>
      <w:r w:rsidR="00081D94">
        <w:t xml:space="preserve">paper </w:t>
      </w:r>
      <w:r w:rsidR="00081D94">
        <w:rPr>
          <w:spacing w:val="-2"/>
        </w:rPr>
        <w:t>forms</w:t>
      </w:r>
      <w:r>
        <w:rPr>
          <w:spacing w:val="-2"/>
        </w:rPr>
        <w:t xml:space="preserve">, however, PSMFC is currently expanding the </w:t>
      </w:r>
      <w:r>
        <w:rPr>
          <w:spacing w:val="-2"/>
        </w:rPr>
        <w:t>FishVue</w:t>
      </w:r>
      <w:r>
        <w:rPr>
          <w:spacing w:val="-2"/>
        </w:rPr>
        <w:t xml:space="preserve"> Float logbook application to include the trawl logbook</w:t>
      </w:r>
      <w:r w:rsidR="00081D94">
        <w:rPr>
          <w:spacing w:val="-2"/>
        </w:rPr>
        <w:t>.</w:t>
      </w:r>
      <w:r>
        <w:rPr>
          <w:spacing w:val="-2"/>
        </w:rPr>
        <w:t xml:space="preserve"> Starting in 2026, NMFS expects to allow both electronic and paper logbook submission for the trawl sector, and eventually shift to all electronic in the future. </w:t>
      </w:r>
    </w:p>
    <w:p w:rsidR="00956DFE" w:rsidP="009D3402" w14:paraId="6CFB52FB" w14:textId="77777777">
      <w:pPr>
        <w:pStyle w:val="BodyText"/>
        <w:spacing w:before="120"/>
        <w:rPr>
          <w:sz w:val="22"/>
        </w:rPr>
      </w:pPr>
    </w:p>
    <w:p w:rsidR="00956DFE" w:rsidP="009D3402" w14:paraId="00AB5808" w14:textId="7F63D216">
      <w:pPr>
        <w:pStyle w:val="Heading1"/>
        <w:numPr>
          <w:ilvl w:val="0"/>
          <w:numId w:val="1"/>
        </w:numPr>
        <w:tabs>
          <w:tab w:val="left" w:pos="500"/>
        </w:tabs>
        <w:spacing w:before="120"/>
        <w:ind w:left="139" w:right="379" w:firstLine="0"/>
      </w:pPr>
      <w:r>
        <w:t>Describe</w:t>
      </w:r>
      <w:r>
        <w:rPr>
          <w:spacing w:val="-5"/>
        </w:rPr>
        <w:t xml:space="preserve"> </w:t>
      </w:r>
      <w:r>
        <w:t>efforts</w:t>
      </w:r>
      <w:r>
        <w:rPr>
          <w:spacing w:val="-4"/>
        </w:rPr>
        <w:t xml:space="preserve"> </w:t>
      </w:r>
      <w:r>
        <w:t>to</w:t>
      </w:r>
      <w:r>
        <w:rPr>
          <w:spacing w:val="-4"/>
        </w:rPr>
        <w:t xml:space="preserve"> </w:t>
      </w:r>
      <w:r>
        <w:t>identify</w:t>
      </w:r>
      <w:r>
        <w:rPr>
          <w:spacing w:val="-4"/>
        </w:rPr>
        <w:t xml:space="preserve"> </w:t>
      </w:r>
      <w:r>
        <w:t>duplication.</w:t>
      </w:r>
      <w:r>
        <w:rPr>
          <w:spacing w:val="-4"/>
        </w:rPr>
        <w:t xml:space="preserve"> </w:t>
      </w:r>
      <w:r>
        <w:t>Show</w:t>
      </w:r>
      <w:r>
        <w:rPr>
          <w:spacing w:val="-3"/>
        </w:rPr>
        <w:t xml:space="preserve"> </w:t>
      </w:r>
      <w:r>
        <w:t>specifically</w:t>
      </w:r>
      <w:r>
        <w:rPr>
          <w:spacing w:val="-7"/>
        </w:rPr>
        <w:t xml:space="preserve"> </w:t>
      </w:r>
      <w:r>
        <w:t>why</w:t>
      </w:r>
      <w:r>
        <w:rPr>
          <w:spacing w:val="-4"/>
        </w:rPr>
        <w:t xml:space="preserve"> </w:t>
      </w:r>
      <w:r>
        <w:t>any</w:t>
      </w:r>
      <w:r>
        <w:rPr>
          <w:spacing w:val="-4"/>
        </w:rPr>
        <w:t xml:space="preserve"> </w:t>
      </w:r>
      <w:r>
        <w:t>similar</w:t>
      </w:r>
      <w:r>
        <w:rPr>
          <w:spacing w:val="-5"/>
        </w:rPr>
        <w:t xml:space="preserve"> </w:t>
      </w:r>
      <w:r>
        <w:t>information</w:t>
      </w:r>
      <w:r>
        <w:rPr>
          <w:spacing w:val="-4"/>
        </w:rPr>
        <w:t xml:space="preserve"> </w:t>
      </w:r>
      <w:r>
        <w:t xml:space="preserve">already available cannot be used or modified for use for the purposes described in </w:t>
      </w:r>
      <w:r w:rsidR="009943AF">
        <w:t>Question</w:t>
      </w:r>
      <w:r w:rsidR="009943AF">
        <w:rPr>
          <w:spacing w:val="-40"/>
        </w:rPr>
        <w:t xml:space="preserve"> 2</w:t>
      </w:r>
      <w:r w:rsidR="009943AF">
        <w:t xml:space="preserve">. </w:t>
      </w:r>
    </w:p>
    <w:p w:rsidR="00D2054D" w:rsidP="009D3402" w14:paraId="20933E04" w14:textId="4FEF8ACF">
      <w:pPr>
        <w:pStyle w:val="BodyText"/>
        <w:spacing w:before="120"/>
        <w:ind w:left="144"/>
      </w:pPr>
      <w:r>
        <w:t>As noted above, this requirement replaced what was a state-level requirement for California. Because Oregon</w:t>
      </w:r>
      <w:r>
        <w:rPr>
          <w:spacing w:val="-3"/>
        </w:rPr>
        <w:t xml:space="preserve"> </w:t>
      </w:r>
      <w:r>
        <w:t>and</w:t>
      </w:r>
      <w:r>
        <w:rPr>
          <w:spacing w:val="-3"/>
        </w:rPr>
        <w:t xml:space="preserve"> </w:t>
      </w:r>
      <w:r>
        <w:t>Washington</w:t>
      </w:r>
      <w:r>
        <w:rPr>
          <w:spacing w:val="-1"/>
        </w:rPr>
        <w:t xml:space="preserve"> </w:t>
      </w:r>
      <w:r>
        <w:t>are</w:t>
      </w:r>
      <w:r>
        <w:rPr>
          <w:spacing w:val="-4"/>
        </w:rPr>
        <w:t xml:space="preserve"> </w:t>
      </w:r>
      <w:r>
        <w:t>maintaining</w:t>
      </w:r>
      <w:r>
        <w:rPr>
          <w:spacing w:val="-6"/>
        </w:rPr>
        <w:t xml:space="preserve"> </w:t>
      </w:r>
      <w:r>
        <w:t>their</w:t>
      </w:r>
      <w:r>
        <w:rPr>
          <w:spacing w:val="-4"/>
        </w:rPr>
        <w:t xml:space="preserve"> </w:t>
      </w:r>
      <w:r>
        <w:t>logbook</w:t>
      </w:r>
      <w:r>
        <w:rPr>
          <w:spacing w:val="-3"/>
        </w:rPr>
        <w:t xml:space="preserve"> </w:t>
      </w:r>
      <w:r>
        <w:t>programs,</w:t>
      </w:r>
      <w:r>
        <w:rPr>
          <w:spacing w:val="-3"/>
        </w:rPr>
        <w:t xml:space="preserve"> </w:t>
      </w:r>
      <w:r>
        <w:t>this</w:t>
      </w:r>
      <w:r>
        <w:rPr>
          <w:spacing w:val="-3"/>
        </w:rPr>
        <w:t xml:space="preserve"> </w:t>
      </w:r>
      <w:r>
        <w:t>information</w:t>
      </w:r>
      <w:r>
        <w:rPr>
          <w:spacing w:val="-3"/>
        </w:rPr>
        <w:t xml:space="preserve"> </w:t>
      </w:r>
      <w:r>
        <w:t>collection</w:t>
      </w:r>
      <w:r>
        <w:rPr>
          <w:spacing w:val="-3"/>
        </w:rPr>
        <w:t xml:space="preserve"> </w:t>
      </w:r>
      <w:r>
        <w:t>only applies to California trawl fishermen.</w:t>
      </w:r>
      <w:r w:rsidR="009943AF">
        <w:t xml:space="preserve"> For the non-trawl sectors, this logbook collection coastwide in the EEZ had no other duplicate information collection. </w:t>
      </w:r>
      <w:r w:rsidRPr="00D2054D">
        <w:t xml:space="preserve">Oregon state law </w:t>
      </w:r>
      <w:r w:rsidR="009943AF">
        <w:t xml:space="preserve">previously </w:t>
      </w:r>
      <w:r w:rsidRPr="00D2054D">
        <w:t>require</w:t>
      </w:r>
      <w:r w:rsidR="009943AF">
        <w:t>d</w:t>
      </w:r>
      <w:r w:rsidRPr="00D2054D">
        <w:t xml:space="preserve"> vessels to submit a fixed gear or nearshore logbook, depending on the gear used and fishing location. NMFS coordinat</w:t>
      </w:r>
      <w:r w:rsidR="009943AF">
        <w:t>ed</w:t>
      </w:r>
      <w:r w:rsidRPr="00D2054D">
        <w:t xml:space="preserve"> with the Oregon Department of Fish and Wildlife on an option to allow the submission of a single logbook to satisfy both the state and federal logbook requirement. </w:t>
      </w:r>
      <w:r w:rsidR="009943AF">
        <w:t>No other existing information collections have full sector coverage for spatial catch</w:t>
      </w:r>
      <w:r w:rsidR="00D02E38">
        <w:t>,</w:t>
      </w:r>
      <w:r w:rsidR="009943AF">
        <w:t xml:space="preserve"> discard</w:t>
      </w:r>
      <w:r w:rsidR="00D02E38">
        <w:t>, and effort</w:t>
      </w:r>
      <w:r w:rsidR="009943AF">
        <w:t xml:space="preserve"> </w:t>
      </w:r>
      <w:r w:rsidR="009D3402">
        <w:t>data;</w:t>
      </w:r>
      <w:r w:rsidR="009943AF">
        <w:t xml:space="preserve"> therefore, no duplication is occurring. </w:t>
      </w:r>
    </w:p>
    <w:p w:rsidR="00C80DC9" w:rsidP="009D3402" w14:paraId="25F13ED6" w14:textId="33045CAD">
      <w:pPr>
        <w:pStyle w:val="BodyText"/>
        <w:spacing w:before="120"/>
        <w:ind w:left="140"/>
      </w:pPr>
    </w:p>
    <w:p w:rsidR="00956DFE" w:rsidP="009D3402" w14:paraId="4240817F" w14:textId="77777777">
      <w:pPr>
        <w:pStyle w:val="Heading1"/>
        <w:numPr>
          <w:ilvl w:val="0"/>
          <w:numId w:val="1"/>
        </w:numPr>
        <w:tabs>
          <w:tab w:val="left" w:pos="500"/>
        </w:tabs>
        <w:spacing w:before="120"/>
        <w:ind w:right="607" w:firstLine="0"/>
      </w:pPr>
      <w:r>
        <w:t>If</w:t>
      </w:r>
      <w:r>
        <w:rPr>
          <w:spacing w:val="-2"/>
        </w:rPr>
        <w:t xml:space="preserve"> </w:t>
      </w:r>
      <w:r>
        <w:t>the</w:t>
      </w:r>
      <w:r>
        <w:rPr>
          <w:spacing w:val="-4"/>
        </w:rPr>
        <w:t xml:space="preserve"> </w:t>
      </w:r>
      <w:r>
        <w:t>collection</w:t>
      </w:r>
      <w:r>
        <w:rPr>
          <w:spacing w:val="-3"/>
        </w:rPr>
        <w:t xml:space="preserve"> </w:t>
      </w:r>
      <w:r>
        <w:t>of</w:t>
      </w:r>
      <w:r>
        <w:rPr>
          <w:spacing w:val="-2"/>
        </w:rPr>
        <w:t xml:space="preserve"> </w:t>
      </w:r>
      <w:r>
        <w:t>information</w:t>
      </w:r>
      <w:r>
        <w:rPr>
          <w:spacing w:val="-3"/>
        </w:rPr>
        <w:t xml:space="preserve"> </w:t>
      </w:r>
      <w:r>
        <w:t>impacts</w:t>
      </w:r>
      <w:r>
        <w:rPr>
          <w:spacing w:val="-3"/>
        </w:rPr>
        <w:t xml:space="preserve"> </w:t>
      </w:r>
      <w:r>
        <w:t>small</w:t>
      </w:r>
      <w:r>
        <w:rPr>
          <w:spacing w:val="-3"/>
        </w:rPr>
        <w:t xml:space="preserve"> </w:t>
      </w:r>
      <w:r>
        <w:t>businesses</w:t>
      </w:r>
      <w:r>
        <w:rPr>
          <w:spacing w:val="-3"/>
        </w:rPr>
        <w:t xml:space="preserve"> </w:t>
      </w:r>
      <w:r>
        <w:t>or</w:t>
      </w:r>
      <w:r>
        <w:rPr>
          <w:spacing w:val="-4"/>
        </w:rPr>
        <w:t xml:space="preserve"> </w:t>
      </w:r>
      <w:r>
        <w:t>other</w:t>
      </w:r>
      <w:r>
        <w:rPr>
          <w:spacing w:val="-4"/>
        </w:rPr>
        <w:t xml:space="preserve"> </w:t>
      </w:r>
      <w:r>
        <w:t>small</w:t>
      </w:r>
      <w:r>
        <w:rPr>
          <w:spacing w:val="-3"/>
        </w:rPr>
        <w:t xml:space="preserve"> </w:t>
      </w:r>
      <w:r>
        <w:t>entities,</w:t>
      </w:r>
      <w:r>
        <w:rPr>
          <w:spacing w:val="-3"/>
        </w:rPr>
        <w:t xml:space="preserve"> </w:t>
      </w:r>
      <w:r>
        <w:t>describe</w:t>
      </w:r>
      <w:r>
        <w:rPr>
          <w:spacing w:val="-4"/>
        </w:rPr>
        <w:t xml:space="preserve"> </w:t>
      </w:r>
      <w:r>
        <w:t>any methods used to minimize burden.</w:t>
      </w:r>
    </w:p>
    <w:p w:rsidR="00956DFE" w:rsidP="009D3402" w14:paraId="14CA2617" w14:textId="6E263FD5">
      <w:pPr>
        <w:pStyle w:val="BodyText"/>
        <w:spacing w:before="120"/>
        <w:ind w:left="140" w:right="244"/>
      </w:pPr>
      <w:r>
        <w:t>Although nearly all vessels in the respective fisheries are categorized as small businesses, the collection of information does not result a meaningful change in the way in which they have been collecting and submitting this information for many years. Trawl fishermen have been required since the 1980s to collect</w:t>
      </w:r>
      <w:r>
        <w:rPr>
          <w:spacing w:val="-3"/>
        </w:rPr>
        <w:t xml:space="preserve"> </w:t>
      </w:r>
      <w:r>
        <w:t>and</w:t>
      </w:r>
      <w:r>
        <w:rPr>
          <w:spacing w:val="-3"/>
        </w:rPr>
        <w:t xml:space="preserve"> </w:t>
      </w:r>
      <w:r>
        <w:t>submit</w:t>
      </w:r>
      <w:r>
        <w:rPr>
          <w:spacing w:val="-3"/>
        </w:rPr>
        <w:t xml:space="preserve"> </w:t>
      </w:r>
      <w:r>
        <w:t>this</w:t>
      </w:r>
      <w:r>
        <w:rPr>
          <w:spacing w:val="-3"/>
        </w:rPr>
        <w:t xml:space="preserve"> </w:t>
      </w:r>
      <w:r>
        <w:t>data</w:t>
      </w:r>
      <w:r>
        <w:rPr>
          <w:spacing w:val="-4"/>
        </w:rPr>
        <w:t xml:space="preserve"> </w:t>
      </w:r>
      <w:r>
        <w:t>to</w:t>
      </w:r>
      <w:r>
        <w:rPr>
          <w:spacing w:val="-3"/>
        </w:rPr>
        <w:t xml:space="preserve"> </w:t>
      </w:r>
      <w:r>
        <w:t>their</w:t>
      </w:r>
      <w:r>
        <w:rPr>
          <w:spacing w:val="-4"/>
        </w:rPr>
        <w:t xml:space="preserve"> </w:t>
      </w:r>
      <w:r>
        <w:t>respective</w:t>
      </w:r>
      <w:r>
        <w:rPr>
          <w:spacing w:val="-4"/>
        </w:rPr>
        <w:t xml:space="preserve"> </w:t>
      </w:r>
      <w:r>
        <w:t>state.</w:t>
      </w:r>
      <w:r>
        <w:rPr>
          <w:spacing w:val="-3"/>
        </w:rPr>
        <w:t xml:space="preserve"> </w:t>
      </w:r>
      <w:r>
        <w:t>This</w:t>
      </w:r>
      <w:r>
        <w:rPr>
          <w:spacing w:val="-3"/>
        </w:rPr>
        <w:t xml:space="preserve"> </w:t>
      </w:r>
      <w:r>
        <w:t>information</w:t>
      </w:r>
      <w:r>
        <w:rPr>
          <w:spacing w:val="-3"/>
        </w:rPr>
        <w:t xml:space="preserve"> </w:t>
      </w:r>
      <w:r>
        <w:t>collection</w:t>
      </w:r>
      <w:r>
        <w:rPr>
          <w:spacing w:val="-3"/>
        </w:rPr>
        <w:t xml:space="preserve"> </w:t>
      </w:r>
      <w:r>
        <w:t>replaces</w:t>
      </w:r>
      <w:r>
        <w:rPr>
          <w:spacing w:val="-3"/>
        </w:rPr>
        <w:t xml:space="preserve"> </w:t>
      </w:r>
      <w:r>
        <w:t>the</w:t>
      </w:r>
      <w:r>
        <w:rPr>
          <w:spacing w:val="-4"/>
        </w:rPr>
        <w:t xml:space="preserve"> </w:t>
      </w:r>
      <w:r>
        <w:t>requirement in California, but by utilizing the same form and mimicking the same procedure, any new burden on fishermen should be minimized.</w:t>
      </w:r>
    </w:p>
    <w:p w:rsidR="00EB2389" w:rsidP="009D3402" w14:paraId="2A23F40F" w14:textId="16084DF2">
      <w:pPr>
        <w:spacing w:before="120"/>
        <w:ind w:left="90"/>
        <w:rPr>
          <w:sz w:val="24"/>
          <w:szCs w:val="24"/>
        </w:rPr>
      </w:pPr>
      <w:r w:rsidRPr="00D2054D">
        <w:rPr>
          <w:sz w:val="24"/>
          <w:szCs w:val="24"/>
        </w:rPr>
        <w:t xml:space="preserve">Although nearly all vessels in the groundfish non-trawl fisheries are categorized as small businesses, this </w:t>
      </w:r>
      <w:r w:rsidR="009D3402">
        <w:rPr>
          <w:sz w:val="24"/>
          <w:szCs w:val="24"/>
        </w:rPr>
        <w:t>information collection request (ICR)</w:t>
      </w:r>
      <w:r w:rsidRPr="00D2054D">
        <w:rPr>
          <w:sz w:val="24"/>
          <w:szCs w:val="24"/>
        </w:rPr>
        <w:t xml:space="preserve"> is unlikely to result in a meaningful change in their operations, as efforts are taken to minimize burden. NMFS </w:t>
      </w:r>
      <w:r w:rsidR="008427BD">
        <w:rPr>
          <w:sz w:val="24"/>
          <w:szCs w:val="24"/>
        </w:rPr>
        <w:t>do</w:t>
      </w:r>
      <w:r w:rsidRPr="00D2054D">
        <w:rPr>
          <w:sz w:val="24"/>
          <w:szCs w:val="24"/>
        </w:rPr>
        <w:t xml:space="preserve"> not require real-time data submission, and only require logbook submission within 24 hours of landing. </w:t>
      </w:r>
    </w:p>
    <w:p w:rsidR="008427BD" w:rsidP="009D3402" w14:paraId="2DC264DC" w14:textId="77777777">
      <w:pPr>
        <w:spacing w:before="120"/>
        <w:ind w:left="90"/>
      </w:pPr>
    </w:p>
    <w:p w:rsidR="00956DFE" w:rsidP="009D3402" w14:paraId="4056A3AA" w14:textId="77777777">
      <w:pPr>
        <w:pStyle w:val="Heading1"/>
        <w:numPr>
          <w:ilvl w:val="0"/>
          <w:numId w:val="1"/>
        </w:numPr>
        <w:tabs>
          <w:tab w:val="left" w:pos="500"/>
        </w:tabs>
        <w:spacing w:before="120"/>
        <w:ind w:right="630" w:firstLine="0"/>
      </w:pPr>
      <w:r>
        <w:t>Describe the consequence to Federal program or policy activities if the collection is not conducted</w:t>
      </w:r>
      <w:r>
        <w:rPr>
          <w:spacing w:val="-2"/>
        </w:rPr>
        <w:t xml:space="preserve"> </w:t>
      </w:r>
      <w:r>
        <w:t>or</w:t>
      </w:r>
      <w:r>
        <w:rPr>
          <w:spacing w:val="-4"/>
        </w:rPr>
        <w:t xml:space="preserve"> </w:t>
      </w:r>
      <w:r>
        <w:t>is</w:t>
      </w:r>
      <w:r>
        <w:rPr>
          <w:spacing w:val="-3"/>
        </w:rPr>
        <w:t xml:space="preserve"> </w:t>
      </w:r>
      <w:r>
        <w:t>conducted</w:t>
      </w:r>
      <w:r>
        <w:rPr>
          <w:spacing w:val="-2"/>
        </w:rPr>
        <w:t xml:space="preserve"> </w:t>
      </w:r>
      <w:r>
        <w:t>less</w:t>
      </w:r>
      <w:r>
        <w:rPr>
          <w:spacing w:val="-3"/>
        </w:rPr>
        <w:t xml:space="preserve"> </w:t>
      </w:r>
      <w:r>
        <w:t>frequently,</w:t>
      </w:r>
      <w:r>
        <w:rPr>
          <w:spacing w:val="-3"/>
        </w:rPr>
        <w:t xml:space="preserve"> </w:t>
      </w:r>
      <w:r>
        <w:t>as</w:t>
      </w:r>
      <w:r>
        <w:rPr>
          <w:spacing w:val="-3"/>
        </w:rPr>
        <w:t xml:space="preserve"> </w:t>
      </w:r>
      <w:r>
        <w:t>well</w:t>
      </w:r>
      <w:r>
        <w:rPr>
          <w:spacing w:val="-3"/>
        </w:rPr>
        <w:t xml:space="preserve"> </w:t>
      </w:r>
      <w:r>
        <w:t>as</w:t>
      </w:r>
      <w:r>
        <w:rPr>
          <w:spacing w:val="-3"/>
        </w:rPr>
        <w:t xml:space="preserve"> </w:t>
      </w:r>
      <w:r>
        <w:t>any</w:t>
      </w:r>
      <w:r>
        <w:rPr>
          <w:spacing w:val="-3"/>
        </w:rPr>
        <w:t xml:space="preserve"> </w:t>
      </w:r>
      <w:r>
        <w:t>technical</w:t>
      </w:r>
      <w:r>
        <w:rPr>
          <w:spacing w:val="-3"/>
        </w:rPr>
        <w:t xml:space="preserve"> </w:t>
      </w:r>
      <w:r>
        <w:t>or</w:t>
      </w:r>
      <w:r>
        <w:rPr>
          <w:spacing w:val="-4"/>
        </w:rPr>
        <w:t xml:space="preserve"> </w:t>
      </w:r>
      <w:r>
        <w:t>legal</w:t>
      </w:r>
      <w:r>
        <w:rPr>
          <w:spacing w:val="-3"/>
        </w:rPr>
        <w:t xml:space="preserve"> </w:t>
      </w:r>
      <w:r>
        <w:t>obstacles</w:t>
      </w:r>
      <w:r>
        <w:rPr>
          <w:spacing w:val="-3"/>
        </w:rPr>
        <w:t xml:space="preserve"> </w:t>
      </w:r>
      <w:r>
        <w:t>to</w:t>
      </w:r>
      <w:r>
        <w:rPr>
          <w:spacing w:val="-3"/>
        </w:rPr>
        <w:t xml:space="preserve"> </w:t>
      </w:r>
      <w:r>
        <w:t xml:space="preserve">reducing </w:t>
      </w:r>
      <w:r>
        <w:rPr>
          <w:spacing w:val="-2"/>
        </w:rPr>
        <w:t>burden.</w:t>
      </w:r>
    </w:p>
    <w:p w:rsidR="00EB2389" w:rsidP="009D3402" w14:paraId="3DD3575E" w14:textId="15A417AD">
      <w:pPr>
        <w:pStyle w:val="BodyText"/>
        <w:spacing w:before="120"/>
        <w:ind w:left="139" w:right="244"/>
      </w:pPr>
      <w:r>
        <w:t>If</w:t>
      </w:r>
      <w:r>
        <w:rPr>
          <w:spacing w:val="-2"/>
        </w:rPr>
        <w:t xml:space="preserve"> </w:t>
      </w:r>
      <w:r>
        <w:t>this</w:t>
      </w:r>
      <w:r>
        <w:rPr>
          <w:spacing w:val="-3"/>
        </w:rPr>
        <w:t xml:space="preserve"> </w:t>
      </w:r>
      <w:r>
        <w:t>collection</w:t>
      </w:r>
      <w:r>
        <w:rPr>
          <w:spacing w:val="-3"/>
        </w:rPr>
        <w:t xml:space="preserve"> </w:t>
      </w:r>
      <w:r>
        <w:t>was</w:t>
      </w:r>
      <w:r>
        <w:rPr>
          <w:spacing w:val="-3"/>
        </w:rPr>
        <w:t xml:space="preserve"> </w:t>
      </w:r>
      <w:r>
        <w:t>not</w:t>
      </w:r>
      <w:r>
        <w:rPr>
          <w:spacing w:val="-1"/>
        </w:rPr>
        <w:t xml:space="preserve"> </w:t>
      </w:r>
      <w:r>
        <w:t>conducted</w:t>
      </w:r>
      <w:r>
        <w:rPr>
          <w:spacing w:val="-3"/>
        </w:rPr>
        <w:t xml:space="preserve"> </w:t>
      </w:r>
      <w:r>
        <w:t>or</w:t>
      </w:r>
      <w:r>
        <w:rPr>
          <w:spacing w:val="-2"/>
        </w:rPr>
        <w:t xml:space="preserve"> </w:t>
      </w:r>
      <w:r>
        <w:t>was</w:t>
      </w:r>
      <w:r>
        <w:rPr>
          <w:spacing w:val="-3"/>
        </w:rPr>
        <w:t xml:space="preserve"> </w:t>
      </w:r>
      <w:r>
        <w:t>conducted</w:t>
      </w:r>
      <w:r>
        <w:rPr>
          <w:spacing w:val="-3"/>
        </w:rPr>
        <w:t xml:space="preserve"> </w:t>
      </w:r>
      <w:r>
        <w:t>less</w:t>
      </w:r>
      <w:r>
        <w:rPr>
          <w:spacing w:val="-3"/>
        </w:rPr>
        <w:t xml:space="preserve"> </w:t>
      </w:r>
      <w:r>
        <w:t>frequently,</w:t>
      </w:r>
      <w:r>
        <w:rPr>
          <w:spacing w:val="-3"/>
        </w:rPr>
        <w:t xml:space="preserve"> </w:t>
      </w:r>
      <w:r>
        <w:t>NMFS,</w:t>
      </w:r>
      <w:r>
        <w:rPr>
          <w:spacing w:val="-3"/>
        </w:rPr>
        <w:t xml:space="preserve"> </w:t>
      </w:r>
      <w:r>
        <w:t>the</w:t>
      </w:r>
      <w:r>
        <w:rPr>
          <w:spacing w:val="-4"/>
        </w:rPr>
        <w:t xml:space="preserve"> </w:t>
      </w:r>
      <w:r>
        <w:t>Council,</w:t>
      </w:r>
      <w:r>
        <w:rPr>
          <w:spacing w:val="-3"/>
        </w:rPr>
        <w:t xml:space="preserve"> </w:t>
      </w:r>
      <w:r>
        <w:t>and</w:t>
      </w:r>
      <w:r>
        <w:rPr>
          <w:spacing w:val="-3"/>
        </w:rPr>
        <w:t xml:space="preserve"> </w:t>
      </w:r>
      <w:r>
        <w:t>the</w:t>
      </w:r>
      <w:r>
        <w:rPr>
          <w:spacing w:val="-4"/>
        </w:rPr>
        <w:t xml:space="preserve"> </w:t>
      </w:r>
      <w:r>
        <w:t xml:space="preserve">Coast Guard would lose vital coverage in California from a coast-wide trawl fleet. Without the data from this information collection, there would be no haul-level effort data from trawl vessels </w:t>
      </w:r>
      <w:r w:rsidR="00CD6A70">
        <w:t>off</w:t>
      </w:r>
      <w:r>
        <w:t xml:space="preserve"> California, which would severely compromise monitoring, management, and enforcement of this fishery.</w:t>
      </w:r>
    </w:p>
    <w:p w:rsidR="00D2054D" w:rsidRPr="00D2054D" w:rsidP="009D3402" w14:paraId="6C0E2506" w14:textId="3D3DB8A2">
      <w:pPr>
        <w:pBdr>
          <w:top w:val="nil"/>
          <w:left w:val="nil"/>
          <w:bottom w:val="nil"/>
          <w:right w:val="nil"/>
          <w:between w:val="nil"/>
        </w:pBdr>
        <w:spacing w:before="120"/>
        <w:ind w:left="180"/>
        <w:rPr>
          <w:sz w:val="24"/>
          <w:szCs w:val="24"/>
        </w:rPr>
      </w:pPr>
      <w:r w:rsidRPr="00D2054D">
        <w:rPr>
          <w:sz w:val="24"/>
          <w:szCs w:val="24"/>
        </w:rPr>
        <w:t xml:space="preserve">Currently, there is partial observer coverage in Federal non-trawl fishers off the West Coast. If this ICR was not conducted, NMFS and the PFMC would lack vital information on fishing effort, location, and bycatch in these fisheries. In addition, there has been a significant push from the </w:t>
      </w:r>
      <w:r w:rsidR="001C1D76">
        <w:rPr>
          <w:sz w:val="24"/>
          <w:szCs w:val="24"/>
        </w:rPr>
        <w:t>Council</w:t>
      </w:r>
      <w:r w:rsidRPr="00D2054D">
        <w:rPr>
          <w:sz w:val="24"/>
          <w:szCs w:val="24"/>
        </w:rPr>
        <w:t xml:space="preserve"> to open up and/or permit fishing with certain gear types inside the non-trawl </w:t>
      </w:r>
      <w:r w:rsidR="001C1D76">
        <w:rPr>
          <w:sz w:val="24"/>
          <w:szCs w:val="24"/>
        </w:rPr>
        <w:t>rockfish conservation area</w:t>
      </w:r>
      <w:r w:rsidRPr="00D2054D">
        <w:rPr>
          <w:sz w:val="24"/>
          <w:szCs w:val="24"/>
        </w:rPr>
        <w:t xml:space="preserve"> to allow access to healthy, rebuilding rockfish species. If this ICR was not conducted, NMFS would be unable to track any bycatch or effort data in these newly opened fishing areas. Finally, this collection</w:t>
      </w:r>
      <w:r w:rsidRPr="00D2054D">
        <w:rPr>
          <w:sz w:val="24"/>
          <w:szCs w:val="24"/>
        </w:rPr>
        <w:t xml:space="preserve"> help</w:t>
      </w:r>
      <w:r w:rsidR="009D3402">
        <w:rPr>
          <w:sz w:val="24"/>
          <w:szCs w:val="24"/>
        </w:rPr>
        <w:t>s</w:t>
      </w:r>
      <w:r w:rsidRPr="00D2054D">
        <w:rPr>
          <w:sz w:val="24"/>
          <w:szCs w:val="24"/>
        </w:rPr>
        <w:t xml:space="preserve"> gather essential information to improve the risk assessment for these fisheries with regard</w:t>
      </w:r>
      <w:r w:rsidRPr="00D2054D">
        <w:rPr>
          <w:sz w:val="24"/>
          <w:szCs w:val="24"/>
        </w:rPr>
        <w:t xml:space="preserve"> to ESA-listed seabirds. Without logbook information, NMFS, the PFMC, and the U.S. Fish and Wildlife Service would lack set-level and trip-level data about fishing effort, which could maintain a very high level of uncertainty in estimates of ESA-listed seabird take. </w:t>
      </w:r>
    </w:p>
    <w:p w:rsidR="00D2054D" w:rsidP="009D3402" w14:paraId="2D212827" w14:textId="77777777">
      <w:pPr>
        <w:pStyle w:val="BodyText"/>
        <w:spacing w:before="120"/>
        <w:ind w:left="139" w:right="244"/>
      </w:pPr>
    </w:p>
    <w:p w:rsidR="00956DFE" w:rsidP="009D3402" w14:paraId="6FCB98B2" w14:textId="77777777">
      <w:pPr>
        <w:pStyle w:val="Heading1"/>
        <w:numPr>
          <w:ilvl w:val="0"/>
          <w:numId w:val="1"/>
        </w:numPr>
        <w:tabs>
          <w:tab w:val="left" w:pos="500"/>
        </w:tabs>
        <w:spacing w:before="120"/>
        <w:ind w:left="139" w:right="433" w:firstLine="0"/>
      </w:pPr>
      <w:r>
        <w:t>Explain</w:t>
      </w:r>
      <w:r>
        <w:rPr>
          <w:spacing w:val="-4"/>
        </w:rPr>
        <w:t xml:space="preserve"> </w:t>
      </w:r>
      <w:r>
        <w:t>any</w:t>
      </w:r>
      <w:r>
        <w:rPr>
          <w:spacing w:val="-4"/>
        </w:rPr>
        <w:t xml:space="preserve"> </w:t>
      </w:r>
      <w:r>
        <w:t>special</w:t>
      </w:r>
      <w:r>
        <w:rPr>
          <w:spacing w:val="-4"/>
        </w:rPr>
        <w:t xml:space="preserve"> </w:t>
      </w:r>
      <w:r>
        <w:t>circumstances</w:t>
      </w:r>
      <w:r>
        <w:rPr>
          <w:spacing w:val="-4"/>
        </w:rPr>
        <w:t xml:space="preserve"> </w:t>
      </w:r>
      <w:r>
        <w:t>that</w:t>
      </w:r>
      <w:r>
        <w:rPr>
          <w:spacing w:val="-5"/>
        </w:rPr>
        <w:t xml:space="preserve"> </w:t>
      </w:r>
      <w:r>
        <w:t>would</w:t>
      </w:r>
      <w:r>
        <w:rPr>
          <w:spacing w:val="-4"/>
        </w:rPr>
        <w:t xml:space="preserve"> </w:t>
      </w:r>
      <w:r>
        <w:t>cause</w:t>
      </w:r>
      <w:r>
        <w:rPr>
          <w:spacing w:val="-5"/>
        </w:rPr>
        <w:t xml:space="preserve"> </w:t>
      </w:r>
      <w:r>
        <w:t>an</w:t>
      </w:r>
      <w:r>
        <w:rPr>
          <w:spacing w:val="-4"/>
        </w:rPr>
        <w:t xml:space="preserve"> </w:t>
      </w:r>
      <w:r>
        <w:t>information</w:t>
      </w:r>
      <w:r>
        <w:rPr>
          <w:spacing w:val="-4"/>
        </w:rPr>
        <w:t xml:space="preserve"> </w:t>
      </w:r>
      <w:r>
        <w:t>collection</w:t>
      </w:r>
      <w:r>
        <w:rPr>
          <w:spacing w:val="-4"/>
        </w:rPr>
        <w:t xml:space="preserve"> </w:t>
      </w:r>
      <w:r>
        <w:t>to</w:t>
      </w:r>
      <w:r>
        <w:rPr>
          <w:spacing w:val="-4"/>
        </w:rPr>
        <w:t xml:space="preserve"> </w:t>
      </w:r>
      <w:r>
        <w:t>be</w:t>
      </w:r>
      <w:r>
        <w:rPr>
          <w:spacing w:val="-5"/>
        </w:rPr>
        <w:t xml:space="preserve"> </w:t>
      </w:r>
      <w:r>
        <w:t>conducted in a manner inconsistent with OBM guidelines.</w:t>
      </w:r>
    </w:p>
    <w:p w:rsidR="009D3402" w:rsidP="009D3402" w14:paraId="70FF7873" w14:textId="77777777">
      <w:pPr>
        <w:pStyle w:val="ListParagraph"/>
        <w:spacing w:before="120"/>
        <w:ind w:left="140"/>
        <w:rPr>
          <w:sz w:val="24"/>
          <w:szCs w:val="24"/>
        </w:rPr>
      </w:pPr>
      <w:r w:rsidRPr="00AC030E">
        <w:rPr>
          <w:sz w:val="24"/>
          <w:szCs w:val="24"/>
        </w:rPr>
        <w:t xml:space="preserve">By requiring reporting on a trip-by-trip basis (electronic submission) and/or monthly reporting (paper submission), this collection would require more frequent submission than the OMB guideline of quarterly reporting. Per trip and monthly reporting is necessary in order to obtain data in a timely enough manner through which in-season management adjustments </w:t>
      </w:r>
      <w:r>
        <w:rPr>
          <w:sz w:val="24"/>
          <w:szCs w:val="24"/>
        </w:rPr>
        <w:t>can</w:t>
      </w:r>
      <w:r w:rsidRPr="00AC030E">
        <w:rPr>
          <w:sz w:val="24"/>
          <w:szCs w:val="24"/>
        </w:rPr>
        <w:t xml:space="preserve"> be made. Landings data for this fishery are collected immediately, and the logbook data that would be collected under this collection are used to corroborate landings data as needed. Therefore, in order to maintain some of the primary utility of this logbook, NMFS must require </w:t>
      </w:r>
      <w:r w:rsidR="00FB7D2E">
        <w:rPr>
          <w:sz w:val="24"/>
          <w:szCs w:val="24"/>
        </w:rPr>
        <w:t>more frequent</w:t>
      </w:r>
      <w:r w:rsidRPr="00AC030E">
        <w:rPr>
          <w:sz w:val="24"/>
          <w:szCs w:val="24"/>
        </w:rPr>
        <w:t xml:space="preserve"> submissions. </w:t>
      </w:r>
    </w:p>
    <w:p w:rsidR="00AC030E" w:rsidP="009D3402" w14:paraId="70ADE5EA" w14:textId="15762894">
      <w:pPr>
        <w:pStyle w:val="ListParagraph"/>
        <w:spacing w:before="120"/>
        <w:ind w:left="140"/>
        <w:rPr>
          <w:sz w:val="24"/>
          <w:szCs w:val="24"/>
        </w:rPr>
      </w:pPr>
      <w:r w:rsidRPr="00AC030E">
        <w:rPr>
          <w:sz w:val="24"/>
          <w:szCs w:val="24"/>
        </w:rPr>
        <w:t>This collection is consistent with all other OMB guidelines.</w:t>
      </w:r>
    </w:p>
    <w:p w:rsidR="009D3402" w:rsidRPr="00AC030E" w:rsidP="009D3402" w14:paraId="4C28EC6F" w14:textId="77777777">
      <w:pPr>
        <w:pStyle w:val="ListParagraph"/>
        <w:spacing w:before="120"/>
        <w:ind w:left="140"/>
        <w:rPr>
          <w:sz w:val="24"/>
          <w:szCs w:val="24"/>
        </w:rPr>
      </w:pPr>
    </w:p>
    <w:p w:rsidR="00956DFE" w:rsidP="009D3402" w14:paraId="0BCFD08A" w14:textId="77777777">
      <w:pPr>
        <w:pStyle w:val="Heading1"/>
        <w:numPr>
          <w:ilvl w:val="0"/>
          <w:numId w:val="1"/>
        </w:numPr>
        <w:tabs>
          <w:tab w:val="left" w:pos="500"/>
        </w:tabs>
        <w:spacing w:before="120"/>
        <w:ind w:left="139" w:right="472" w:firstLine="0"/>
      </w:pPr>
      <w:r>
        <w:t>If applicable, provide a copy and identify the date and page number of publications in the Federal</w:t>
      </w:r>
      <w:r>
        <w:rPr>
          <w:spacing w:val="-3"/>
        </w:rPr>
        <w:t xml:space="preserve"> </w:t>
      </w:r>
      <w:r>
        <w:t>Register</w:t>
      </w:r>
      <w:r>
        <w:rPr>
          <w:spacing w:val="-4"/>
        </w:rPr>
        <w:t xml:space="preserve"> </w:t>
      </w:r>
      <w:r>
        <w:t>of</w:t>
      </w:r>
      <w:r>
        <w:rPr>
          <w:spacing w:val="-2"/>
        </w:rPr>
        <w:t xml:space="preserve"> </w:t>
      </w:r>
      <w:r>
        <w:t>the</w:t>
      </w:r>
      <w:r>
        <w:rPr>
          <w:spacing w:val="-2"/>
        </w:rPr>
        <w:t xml:space="preserve"> </w:t>
      </w:r>
      <w:r>
        <w:t>agency's</w:t>
      </w:r>
      <w:r>
        <w:rPr>
          <w:spacing w:val="-3"/>
        </w:rPr>
        <w:t xml:space="preserve"> </w:t>
      </w:r>
      <w:r>
        <w:t>notice,</w:t>
      </w:r>
      <w:r>
        <w:rPr>
          <w:spacing w:val="-3"/>
        </w:rPr>
        <w:t xml:space="preserve"> </w:t>
      </w:r>
      <w:r>
        <w:t>required</w:t>
      </w:r>
      <w:r>
        <w:rPr>
          <w:spacing w:val="-3"/>
        </w:rPr>
        <w:t xml:space="preserve"> </w:t>
      </w:r>
      <w:r>
        <w:t>by</w:t>
      </w:r>
      <w:r>
        <w:rPr>
          <w:spacing w:val="-3"/>
        </w:rPr>
        <w:t xml:space="preserve"> </w:t>
      </w:r>
      <w:r>
        <w:t>5</w:t>
      </w:r>
      <w:r>
        <w:rPr>
          <w:spacing w:val="-3"/>
        </w:rPr>
        <w:t xml:space="preserve"> </w:t>
      </w:r>
      <w:r>
        <w:t>CFR</w:t>
      </w:r>
      <w:r>
        <w:rPr>
          <w:spacing w:val="-4"/>
        </w:rPr>
        <w:t xml:space="preserve"> </w:t>
      </w:r>
      <w:r>
        <w:t>1320.8</w:t>
      </w:r>
      <w:r>
        <w:rPr>
          <w:spacing w:val="-3"/>
        </w:rPr>
        <w:t xml:space="preserve"> </w:t>
      </w:r>
      <w:r>
        <w:t>(d),</w:t>
      </w:r>
      <w:r>
        <w:rPr>
          <w:spacing w:val="-1"/>
        </w:rPr>
        <w:t xml:space="preserve"> </w:t>
      </w:r>
      <w:r>
        <w:t>soliciting</w:t>
      </w:r>
      <w:r>
        <w:rPr>
          <w:spacing w:val="-3"/>
        </w:rPr>
        <w:t xml:space="preserve"> </w:t>
      </w:r>
      <w:r>
        <w:t>comments</w:t>
      </w:r>
      <w:r>
        <w:rPr>
          <w:spacing w:val="-3"/>
        </w:rPr>
        <w:t xml:space="preserve"> </w:t>
      </w:r>
      <w:r>
        <w:t>on</w:t>
      </w:r>
      <w:r>
        <w:rPr>
          <w:spacing w:val="-3"/>
        </w:rPr>
        <w:t xml:space="preserve"> </w:t>
      </w:r>
      <w:r>
        <w:t>the information collection prior to submission to OMB. Summarize public comments received in response to that notice and describe actions taken by the agency in response to these comments. Specifically address comments received on cost and hour burden.</w:t>
      </w:r>
    </w:p>
    <w:p w:rsidR="009D3402" w:rsidP="009D3402" w14:paraId="6AC25E1C" w14:textId="77777777">
      <w:pPr>
        <w:pStyle w:val="BodyText"/>
        <w:spacing w:before="120"/>
        <w:ind w:left="139"/>
        <w:rPr>
          <w:spacing w:val="-2"/>
        </w:rPr>
      </w:pPr>
      <w:r>
        <w:t>A</w:t>
      </w:r>
      <w:r>
        <w:rPr>
          <w:spacing w:val="-4"/>
        </w:rPr>
        <w:t xml:space="preserve"> </w:t>
      </w:r>
      <w:r>
        <w:t>Federal</w:t>
      </w:r>
      <w:r>
        <w:rPr>
          <w:spacing w:val="-1"/>
        </w:rPr>
        <w:t xml:space="preserve"> </w:t>
      </w:r>
      <w:r>
        <w:t>Register Notice</w:t>
      </w:r>
      <w:r>
        <w:rPr>
          <w:spacing w:val="-1"/>
        </w:rPr>
        <w:t xml:space="preserve"> </w:t>
      </w:r>
      <w:r>
        <w:t>published</w:t>
      </w:r>
      <w:r>
        <w:rPr>
          <w:spacing w:val="-1"/>
        </w:rPr>
        <w:t xml:space="preserve"> </w:t>
      </w:r>
      <w:r>
        <w:t>on</w:t>
      </w:r>
      <w:r>
        <w:rPr>
          <w:spacing w:val="-1"/>
        </w:rPr>
        <w:t xml:space="preserve"> </w:t>
      </w:r>
      <w:r w:rsidR="004B2C1B">
        <w:t xml:space="preserve">March 31, 2025 (90 FR 14252) </w:t>
      </w:r>
      <w:r>
        <w:t>solicited</w:t>
      </w:r>
      <w:r>
        <w:rPr>
          <w:spacing w:val="-1"/>
        </w:rPr>
        <w:t xml:space="preserve"> </w:t>
      </w:r>
      <w:r>
        <w:t>public</w:t>
      </w:r>
      <w:r>
        <w:rPr>
          <w:spacing w:val="-1"/>
        </w:rPr>
        <w:t xml:space="preserve"> </w:t>
      </w:r>
      <w:r w:rsidR="00111946">
        <w:rPr>
          <w:spacing w:val="-2"/>
        </w:rPr>
        <w:t>comment. No comments were received.</w:t>
      </w:r>
      <w:r w:rsidR="005453F1">
        <w:rPr>
          <w:spacing w:val="-2"/>
        </w:rPr>
        <w:t xml:space="preserve"> </w:t>
      </w:r>
    </w:p>
    <w:p w:rsidR="00956DFE" w:rsidP="009D3402" w14:paraId="3E7FFB33" w14:textId="590332D8">
      <w:pPr>
        <w:pStyle w:val="BodyText"/>
        <w:spacing w:before="120"/>
        <w:ind w:left="139"/>
        <w:rPr>
          <w:spacing w:val="-2"/>
        </w:rPr>
      </w:pPr>
      <w:r w:rsidRPr="005453F1">
        <w:rPr>
          <w:spacing w:val="-2"/>
        </w:rPr>
        <w:t>In addition to the Federal Register notice, NMFS contacted stakeholders outside the agency to obtain their views on the availability of data, frequency of collection, the clarity of instructions and recordkeeping, disclosure, or reporting format, and on the data elements to be recorded, disclosed, or reported. No comments were received.</w:t>
      </w:r>
    </w:p>
    <w:p w:rsidR="009D3402" w:rsidP="009D3402" w14:paraId="6F91E605" w14:textId="77777777">
      <w:pPr>
        <w:pStyle w:val="BodyText"/>
        <w:spacing w:before="120"/>
        <w:ind w:left="139"/>
        <w:rPr>
          <w:spacing w:val="-2"/>
        </w:rPr>
      </w:pPr>
    </w:p>
    <w:p w:rsidR="00956DFE" w:rsidP="009D3402" w14:paraId="1D2AED9B" w14:textId="77777777">
      <w:pPr>
        <w:pStyle w:val="Heading1"/>
        <w:numPr>
          <w:ilvl w:val="0"/>
          <w:numId w:val="1"/>
        </w:numPr>
        <w:tabs>
          <w:tab w:val="left" w:pos="500"/>
        </w:tabs>
        <w:spacing w:before="120"/>
        <w:ind w:left="139" w:right="486" w:firstLine="0"/>
      </w:pPr>
      <w:r>
        <w:t>Explain</w:t>
      </w:r>
      <w:r>
        <w:rPr>
          <w:spacing w:val="-3"/>
        </w:rPr>
        <w:t xml:space="preserve"> </w:t>
      </w:r>
      <w:r>
        <w:t>any</w:t>
      </w:r>
      <w:r>
        <w:rPr>
          <w:spacing w:val="-3"/>
        </w:rPr>
        <w:t xml:space="preserve"> </w:t>
      </w:r>
      <w:r>
        <w:t>decision</w:t>
      </w:r>
      <w:r>
        <w:rPr>
          <w:spacing w:val="-3"/>
        </w:rPr>
        <w:t xml:space="preserve"> </w:t>
      </w:r>
      <w:r>
        <w:t>to</w:t>
      </w:r>
      <w:r>
        <w:rPr>
          <w:spacing w:val="-6"/>
        </w:rPr>
        <w:t xml:space="preserve"> </w:t>
      </w:r>
      <w:r>
        <w:t>provide</w:t>
      </w:r>
      <w:r>
        <w:rPr>
          <w:spacing w:val="-4"/>
        </w:rPr>
        <w:t xml:space="preserve"> </w:t>
      </w:r>
      <w:r>
        <w:t>any</w:t>
      </w:r>
      <w:r>
        <w:rPr>
          <w:spacing w:val="-3"/>
        </w:rPr>
        <w:t xml:space="preserve"> </w:t>
      </w:r>
      <w:r>
        <w:t>payment</w:t>
      </w:r>
      <w:r>
        <w:rPr>
          <w:spacing w:val="-4"/>
        </w:rPr>
        <w:t xml:space="preserve"> </w:t>
      </w:r>
      <w:r>
        <w:t>or</w:t>
      </w:r>
      <w:r>
        <w:rPr>
          <w:spacing w:val="-4"/>
        </w:rPr>
        <w:t xml:space="preserve"> </w:t>
      </w:r>
      <w:r>
        <w:t>gift</w:t>
      </w:r>
      <w:r>
        <w:rPr>
          <w:spacing w:val="-4"/>
        </w:rPr>
        <w:t xml:space="preserve"> </w:t>
      </w:r>
      <w:r>
        <w:t>to</w:t>
      </w:r>
      <w:r>
        <w:rPr>
          <w:spacing w:val="-3"/>
        </w:rPr>
        <w:t xml:space="preserve"> </w:t>
      </w:r>
      <w:r>
        <w:t>respondents,</w:t>
      </w:r>
      <w:r>
        <w:rPr>
          <w:spacing w:val="-3"/>
        </w:rPr>
        <w:t xml:space="preserve"> </w:t>
      </w:r>
      <w:r>
        <w:t>other</w:t>
      </w:r>
      <w:r>
        <w:rPr>
          <w:spacing w:val="-4"/>
        </w:rPr>
        <w:t xml:space="preserve"> </w:t>
      </w:r>
      <w:r>
        <w:t>than</w:t>
      </w:r>
      <w:r>
        <w:rPr>
          <w:spacing w:val="-3"/>
        </w:rPr>
        <w:t xml:space="preserve"> </w:t>
      </w:r>
      <w:r>
        <w:t>remuneration of contractors or grantees.</w:t>
      </w:r>
    </w:p>
    <w:p w:rsidR="00956DFE" w:rsidP="009D3402" w14:paraId="12EA024B" w14:textId="77777777">
      <w:pPr>
        <w:pStyle w:val="BodyText"/>
        <w:spacing w:before="120"/>
        <w:ind w:left="139"/>
      </w:pPr>
      <w:r>
        <w:t>No</w:t>
      </w:r>
      <w:r>
        <w:rPr>
          <w:spacing w:val="-2"/>
        </w:rPr>
        <w:t xml:space="preserve"> </w:t>
      </w:r>
      <w:r>
        <w:t>payments</w:t>
      </w:r>
      <w:r>
        <w:rPr>
          <w:spacing w:val="-2"/>
        </w:rPr>
        <w:t xml:space="preserve"> </w:t>
      </w:r>
      <w:r>
        <w:t>or gifts</w:t>
      </w:r>
      <w:r>
        <w:rPr>
          <w:spacing w:val="-2"/>
        </w:rPr>
        <w:t xml:space="preserve"> </w:t>
      </w:r>
      <w:r>
        <w:t>are provided</w:t>
      </w:r>
      <w:r>
        <w:rPr>
          <w:spacing w:val="-2"/>
        </w:rPr>
        <w:t xml:space="preserve"> </w:t>
      </w:r>
      <w:r>
        <w:t>to</w:t>
      </w:r>
      <w:r>
        <w:rPr>
          <w:spacing w:val="-1"/>
        </w:rPr>
        <w:t xml:space="preserve"> </w:t>
      </w:r>
      <w:r>
        <w:rPr>
          <w:spacing w:val="-2"/>
        </w:rPr>
        <w:t>respondents.</w:t>
      </w:r>
    </w:p>
    <w:p w:rsidR="00956DFE" w:rsidRPr="009D3402" w:rsidP="009D3402" w14:paraId="3666A674" w14:textId="77777777">
      <w:pPr>
        <w:pStyle w:val="BodyText"/>
        <w:spacing w:before="120"/>
      </w:pPr>
    </w:p>
    <w:p w:rsidR="00956DFE" w:rsidP="009D3402" w14:paraId="1B0C7441" w14:textId="77777777">
      <w:pPr>
        <w:pStyle w:val="Heading1"/>
        <w:numPr>
          <w:ilvl w:val="0"/>
          <w:numId w:val="1"/>
        </w:numPr>
        <w:tabs>
          <w:tab w:val="left" w:pos="500"/>
        </w:tabs>
        <w:spacing w:before="120"/>
        <w:ind w:left="139" w:right="650" w:firstLine="0"/>
      </w:pPr>
      <w:r>
        <w:t>Describe any assurance of confidentiality provided to respondents and the basis for the assurance</w:t>
      </w:r>
      <w:r>
        <w:rPr>
          <w:spacing w:val="-4"/>
        </w:rPr>
        <w:t xml:space="preserve"> </w:t>
      </w:r>
      <w:r>
        <w:t>in</w:t>
      </w:r>
      <w:r>
        <w:rPr>
          <w:spacing w:val="-3"/>
        </w:rPr>
        <w:t xml:space="preserve"> </w:t>
      </w:r>
      <w:r>
        <w:t>statute,</w:t>
      </w:r>
      <w:r>
        <w:rPr>
          <w:spacing w:val="-3"/>
        </w:rPr>
        <w:t xml:space="preserve"> </w:t>
      </w:r>
      <w:r>
        <w:t>regulation,</w:t>
      </w:r>
      <w:r>
        <w:rPr>
          <w:spacing w:val="-3"/>
        </w:rPr>
        <w:t xml:space="preserve"> </w:t>
      </w:r>
      <w:r>
        <w:t>or</w:t>
      </w:r>
      <w:r>
        <w:rPr>
          <w:spacing w:val="-4"/>
        </w:rPr>
        <w:t xml:space="preserve"> </w:t>
      </w:r>
      <w:r>
        <w:t>agency</w:t>
      </w:r>
      <w:r>
        <w:rPr>
          <w:spacing w:val="-3"/>
        </w:rPr>
        <w:t xml:space="preserve"> </w:t>
      </w:r>
      <w:r>
        <w:t>policy.</w:t>
      </w:r>
      <w:r>
        <w:rPr>
          <w:spacing w:val="-3"/>
        </w:rPr>
        <w:t xml:space="preserve"> </w:t>
      </w:r>
      <w:r>
        <w:t>If</w:t>
      </w:r>
      <w:r>
        <w:rPr>
          <w:spacing w:val="-2"/>
        </w:rPr>
        <w:t xml:space="preserve"> </w:t>
      </w:r>
      <w:r>
        <w:t>the</w:t>
      </w:r>
      <w:r>
        <w:rPr>
          <w:spacing w:val="-4"/>
        </w:rPr>
        <w:t xml:space="preserve"> </w:t>
      </w:r>
      <w:r>
        <w:t>collection</w:t>
      </w:r>
      <w:r>
        <w:rPr>
          <w:spacing w:val="-3"/>
        </w:rPr>
        <w:t xml:space="preserve"> </w:t>
      </w:r>
      <w:r>
        <w:t>requires</w:t>
      </w:r>
      <w:r>
        <w:rPr>
          <w:spacing w:val="-3"/>
        </w:rPr>
        <w:t xml:space="preserve"> </w:t>
      </w:r>
      <w:r>
        <w:t>a</w:t>
      </w:r>
      <w:r>
        <w:rPr>
          <w:spacing w:val="-4"/>
        </w:rPr>
        <w:t xml:space="preserve"> </w:t>
      </w:r>
      <w:r>
        <w:t>systems</w:t>
      </w:r>
      <w:r>
        <w:rPr>
          <w:spacing w:val="-3"/>
        </w:rPr>
        <w:t xml:space="preserve"> </w:t>
      </w:r>
      <w:r>
        <w:t>of</w:t>
      </w:r>
      <w:r>
        <w:rPr>
          <w:spacing w:val="-2"/>
        </w:rPr>
        <w:t xml:space="preserve"> </w:t>
      </w:r>
      <w:r>
        <w:t>records notice (SORN) or privacy impact assessment (PIA), those should be cited and described here.</w:t>
      </w:r>
    </w:p>
    <w:p w:rsidR="000F4C3D" w:rsidP="009D3402" w14:paraId="47D4995C" w14:textId="4D963A58">
      <w:pPr>
        <w:spacing w:before="120"/>
        <w:ind w:left="180"/>
        <w:rPr>
          <w:sz w:val="24"/>
          <w:szCs w:val="24"/>
        </w:rPr>
      </w:pPr>
      <w:r w:rsidRPr="004B2C1B">
        <w:rPr>
          <w:sz w:val="24"/>
          <w:szCs w:val="24"/>
        </w:rPr>
        <w:t>All logbook data is subject to confidentiality under the Magnuson Stevens Act section 402(b) as amended in 2006 (16 U.S.C. 1801, et seq.).</w:t>
      </w:r>
      <w:r>
        <w:rPr>
          <w:sz w:val="24"/>
          <w:szCs w:val="24"/>
        </w:rPr>
        <w:t xml:space="preserve">  </w:t>
      </w:r>
    </w:p>
    <w:p w:rsidR="00C92688" w:rsidRPr="00C92688" w:rsidP="00C92688" w14:paraId="6EF053BC" w14:textId="3AC448E6">
      <w:pPr>
        <w:spacing w:before="120"/>
        <w:ind w:left="180"/>
        <w:rPr>
          <w:sz w:val="24"/>
          <w:szCs w:val="24"/>
        </w:rPr>
      </w:pPr>
      <w:r w:rsidRPr="00C92688">
        <w:rPr>
          <w:sz w:val="24"/>
          <w:szCs w:val="24"/>
        </w:rPr>
        <w:t xml:space="preserve">Consistent with OMB’s guidance implementing the Privacy Act of 1974, “an agency record-keeping system on firms it regulates may contain “records” (i.e., personal information) about officers of the firm incident to evaluating the firm’s performance.  Even though these are clearly “records” under the “control of” an agency, they would not be considered part of a system as defined by the Act unless the agency accessed them by reference to a personal identifier (name, etc.).  That is, if these hypothetical “records” are never retrieved except by reference to company identifier or some other nonpersonal indexing scheme (e.g., type of firm) they are not a part of a system of records.”  </w:t>
      </w:r>
      <w:r>
        <w:rPr>
          <w:sz w:val="24"/>
          <w:szCs w:val="24"/>
        </w:rPr>
        <w:t>NOAA</w:t>
      </w:r>
      <w:r w:rsidRPr="00C92688">
        <w:rPr>
          <w:sz w:val="24"/>
          <w:szCs w:val="24"/>
        </w:rPr>
        <w:t xml:space="preserve"> believe</w:t>
      </w:r>
      <w:r>
        <w:rPr>
          <w:sz w:val="24"/>
          <w:szCs w:val="24"/>
        </w:rPr>
        <w:t>s</w:t>
      </w:r>
      <w:r w:rsidRPr="00C92688">
        <w:rPr>
          <w:sz w:val="24"/>
          <w:szCs w:val="24"/>
        </w:rPr>
        <w:t xml:space="preserve"> that this guidance speaks directly to this scenario and suggests that while the information system certainly will collect and maintain personally identifiable information (PII), they are not maintained in a system of records.</w:t>
      </w:r>
    </w:p>
    <w:p w:rsidR="00956DFE" w:rsidRPr="009D3402" w:rsidP="009D3402" w14:paraId="6AA62AB3" w14:textId="77777777">
      <w:pPr>
        <w:pStyle w:val="BodyText"/>
        <w:spacing w:before="120"/>
      </w:pPr>
    </w:p>
    <w:p w:rsidR="00956DFE" w:rsidP="009D3402" w14:paraId="03C0F89C" w14:textId="77777777">
      <w:pPr>
        <w:pStyle w:val="Heading1"/>
        <w:numPr>
          <w:ilvl w:val="0"/>
          <w:numId w:val="1"/>
        </w:numPr>
        <w:tabs>
          <w:tab w:val="left" w:pos="500"/>
        </w:tabs>
        <w:spacing w:before="120"/>
        <w:ind w:left="139" w:right="373" w:firstLine="0"/>
      </w:pPr>
      <w:r>
        <w:t>Provide</w:t>
      </w:r>
      <w:r>
        <w:rPr>
          <w:spacing w:val="-4"/>
        </w:rPr>
        <w:t xml:space="preserve"> </w:t>
      </w:r>
      <w:r>
        <w:t>additional</w:t>
      </w:r>
      <w:r>
        <w:rPr>
          <w:spacing w:val="-3"/>
        </w:rPr>
        <w:t xml:space="preserve"> </w:t>
      </w:r>
      <w:r>
        <w:t>justification</w:t>
      </w:r>
      <w:r>
        <w:rPr>
          <w:spacing w:val="-5"/>
        </w:rPr>
        <w:t xml:space="preserve"> </w:t>
      </w:r>
      <w:r>
        <w:t>for</w:t>
      </w:r>
      <w:r>
        <w:rPr>
          <w:spacing w:val="-4"/>
        </w:rPr>
        <w:t xml:space="preserve"> </w:t>
      </w:r>
      <w:r>
        <w:t>any</w:t>
      </w:r>
      <w:r>
        <w:rPr>
          <w:spacing w:val="-3"/>
        </w:rPr>
        <w:t xml:space="preserve"> </w:t>
      </w:r>
      <w:r>
        <w:t>questions</w:t>
      </w:r>
      <w:r>
        <w:rPr>
          <w:spacing w:val="-3"/>
        </w:rPr>
        <w:t xml:space="preserve"> </w:t>
      </w:r>
      <w:r>
        <w:t>of</w:t>
      </w:r>
      <w:r>
        <w:rPr>
          <w:spacing w:val="-2"/>
        </w:rPr>
        <w:t xml:space="preserve"> </w:t>
      </w:r>
      <w:r>
        <w:t>a</w:t>
      </w:r>
      <w:r>
        <w:rPr>
          <w:spacing w:val="-3"/>
        </w:rPr>
        <w:t xml:space="preserve"> </w:t>
      </w:r>
      <w:r>
        <w:t>sensitive</w:t>
      </w:r>
      <w:r>
        <w:rPr>
          <w:spacing w:val="-4"/>
        </w:rPr>
        <w:t xml:space="preserve"> </w:t>
      </w:r>
      <w:r>
        <w:t>nature,</w:t>
      </w:r>
      <w:r>
        <w:rPr>
          <w:spacing w:val="-3"/>
        </w:rPr>
        <w:t xml:space="preserve"> </w:t>
      </w:r>
      <w:r>
        <w:t>such</w:t>
      </w:r>
      <w:r>
        <w:rPr>
          <w:spacing w:val="-3"/>
        </w:rPr>
        <w:t xml:space="preserve"> </w:t>
      </w:r>
      <w:r>
        <w:t>as</w:t>
      </w:r>
      <w:r>
        <w:rPr>
          <w:spacing w:val="-3"/>
        </w:rPr>
        <w:t xml:space="preserve"> </w:t>
      </w:r>
      <w:r>
        <w:t>sexual</w:t>
      </w:r>
      <w:r>
        <w:rPr>
          <w:spacing w:val="-3"/>
        </w:rPr>
        <w:t xml:space="preserve"> </w:t>
      </w:r>
      <w:r>
        <w:t>behavior or attitudes, religious beliefs, and other matters that are commonly considered private. This justification should include the reasons why the agency considers the questions necessary, the specific</w:t>
      </w:r>
      <w:r>
        <w:rPr>
          <w:spacing w:val="-1"/>
        </w:rPr>
        <w:t xml:space="preserve"> </w:t>
      </w:r>
      <w:r>
        <w:t>uses to be</w:t>
      </w:r>
      <w:r>
        <w:rPr>
          <w:spacing w:val="-1"/>
        </w:rPr>
        <w:t xml:space="preserve"> </w:t>
      </w:r>
      <w:r>
        <w:t>made of the</w:t>
      </w:r>
      <w:r>
        <w:rPr>
          <w:spacing w:val="-1"/>
        </w:rPr>
        <w:t xml:space="preserve"> </w:t>
      </w:r>
      <w:r>
        <w:t>information, the explanation to be</w:t>
      </w:r>
      <w:r>
        <w:rPr>
          <w:spacing w:val="-1"/>
        </w:rPr>
        <w:t xml:space="preserve"> </w:t>
      </w:r>
      <w:r>
        <w:t>given</w:t>
      </w:r>
      <w:r>
        <w:rPr>
          <w:spacing w:val="-2"/>
        </w:rPr>
        <w:t xml:space="preserve"> </w:t>
      </w:r>
      <w:r>
        <w:t>to persons from</w:t>
      </w:r>
      <w:r>
        <w:rPr>
          <w:spacing w:val="-4"/>
        </w:rPr>
        <w:t xml:space="preserve"> </w:t>
      </w:r>
      <w:r>
        <w:t>whom</w:t>
      </w:r>
      <w:r>
        <w:rPr>
          <w:spacing w:val="-1"/>
        </w:rPr>
        <w:t xml:space="preserve"> </w:t>
      </w:r>
      <w:r>
        <w:t>the information is requested, and any steps to be taken to obtain their consent.</w:t>
      </w:r>
    </w:p>
    <w:p w:rsidR="00001CB4" w:rsidP="009D3402" w14:paraId="1D0E3B83" w14:textId="77777777">
      <w:pPr>
        <w:pStyle w:val="BodyText"/>
        <w:spacing w:before="120"/>
        <w:ind w:left="139"/>
        <w:rPr>
          <w:spacing w:val="-2"/>
        </w:rPr>
        <w:sectPr w:rsidSect="009D3402">
          <w:pgSz w:w="12240" w:h="15840"/>
          <w:pgMar w:top="990" w:right="1440" w:bottom="1440" w:left="1440" w:header="0" w:footer="1008" w:gutter="0"/>
          <w:cols w:space="720"/>
        </w:sectPr>
      </w:pPr>
      <w:r>
        <w:t>There</w:t>
      </w:r>
      <w:r>
        <w:rPr>
          <w:spacing w:val="-2"/>
        </w:rPr>
        <w:t xml:space="preserve"> </w:t>
      </w:r>
      <w:r>
        <w:t>is no</w:t>
      </w:r>
      <w:r>
        <w:rPr>
          <w:spacing w:val="-1"/>
        </w:rPr>
        <w:t xml:space="preserve"> </w:t>
      </w:r>
      <w:r>
        <w:t>information of</w:t>
      </w:r>
      <w:r>
        <w:rPr>
          <w:spacing w:val="-2"/>
        </w:rPr>
        <w:t xml:space="preserve"> </w:t>
      </w:r>
      <w:r>
        <w:t>a</w:t>
      </w:r>
      <w:r>
        <w:rPr>
          <w:spacing w:val="-1"/>
        </w:rPr>
        <w:t xml:space="preserve"> </w:t>
      </w:r>
      <w:r>
        <w:t>sensitive</w:t>
      </w:r>
      <w:r>
        <w:rPr>
          <w:spacing w:val="-2"/>
        </w:rPr>
        <w:t xml:space="preserve"> </w:t>
      </w:r>
      <w:r>
        <w:t>nature</w:t>
      </w:r>
      <w:r>
        <w:rPr>
          <w:spacing w:val="-1"/>
        </w:rPr>
        <w:t xml:space="preserve"> </w:t>
      </w:r>
      <w:r>
        <w:t>in</w:t>
      </w:r>
      <w:r>
        <w:rPr>
          <w:spacing w:val="-1"/>
        </w:rPr>
        <w:t xml:space="preserve"> </w:t>
      </w:r>
      <w:r>
        <w:t xml:space="preserve">this </w:t>
      </w:r>
      <w:r>
        <w:rPr>
          <w:spacing w:val="-2"/>
        </w:rPr>
        <w:t>collection.</w:t>
      </w:r>
    </w:p>
    <w:p w:rsidR="00956DFE" w:rsidP="009D3402" w14:paraId="460DC4F7" w14:textId="77777777">
      <w:pPr>
        <w:pStyle w:val="Heading1"/>
        <w:numPr>
          <w:ilvl w:val="0"/>
          <w:numId w:val="1"/>
        </w:numPr>
        <w:tabs>
          <w:tab w:val="left" w:pos="500"/>
        </w:tabs>
        <w:spacing w:before="120"/>
        <w:ind w:left="500"/>
      </w:pPr>
      <w:r>
        <w:t>Provide</w:t>
      </w:r>
      <w:r>
        <w:rPr>
          <w:spacing w:val="-4"/>
        </w:rPr>
        <w:t xml:space="preserve"> </w:t>
      </w:r>
      <w:r>
        <w:t>estimates</w:t>
      </w:r>
      <w:r>
        <w:rPr>
          <w:spacing w:val="-2"/>
        </w:rPr>
        <w:t xml:space="preserve"> </w:t>
      </w:r>
      <w:r>
        <w:t>of</w:t>
      </w:r>
      <w:r>
        <w:rPr>
          <w:spacing w:val="-1"/>
        </w:rPr>
        <w:t xml:space="preserve"> </w:t>
      </w:r>
      <w:r>
        <w:t>the</w:t>
      </w:r>
      <w:r>
        <w:rPr>
          <w:spacing w:val="-2"/>
        </w:rPr>
        <w:t xml:space="preserve"> </w:t>
      </w:r>
      <w:r>
        <w:t>hour</w:t>
      </w:r>
      <w:r>
        <w:rPr>
          <w:spacing w:val="-3"/>
        </w:rPr>
        <w:t xml:space="preserve"> </w:t>
      </w:r>
      <w:r>
        <w:t>burden</w:t>
      </w:r>
      <w:r>
        <w:rPr>
          <w:spacing w:val="-1"/>
        </w:rPr>
        <w:t xml:space="preserve"> </w:t>
      </w:r>
      <w:r>
        <w:t>of</w:t>
      </w:r>
      <w:r>
        <w:rPr>
          <w:spacing w:val="-2"/>
        </w:rPr>
        <w:t xml:space="preserve"> </w:t>
      </w:r>
      <w:r>
        <w:t>the</w:t>
      </w:r>
      <w:r>
        <w:rPr>
          <w:spacing w:val="-2"/>
        </w:rPr>
        <w:t xml:space="preserve"> </w:t>
      </w:r>
      <w:r>
        <w:t>collection</w:t>
      </w:r>
      <w:r>
        <w:rPr>
          <w:spacing w:val="-2"/>
        </w:rPr>
        <w:t xml:space="preserve"> </w:t>
      </w:r>
      <w:r>
        <w:t>of</w:t>
      </w:r>
      <w:r>
        <w:rPr>
          <w:spacing w:val="-1"/>
        </w:rPr>
        <w:t xml:space="preserve"> </w:t>
      </w:r>
      <w:r>
        <w:rPr>
          <w:spacing w:val="-2"/>
        </w:rPr>
        <w:t>information.</w:t>
      </w:r>
    </w:p>
    <w:p w:rsidR="00D67589" w:rsidRPr="00D67589" w:rsidP="009D3402" w14:paraId="1A48B6EF" w14:textId="7EBA4765">
      <w:pPr>
        <w:pStyle w:val="BodyText"/>
        <w:spacing w:before="120"/>
        <w:ind w:left="140" w:right="356"/>
        <w:rPr>
          <w:i/>
        </w:rPr>
      </w:pPr>
      <w:r>
        <w:rPr>
          <w:i/>
        </w:rPr>
        <w:t>Trawl logbook</w:t>
      </w:r>
    </w:p>
    <w:p w:rsidR="00956DFE" w:rsidP="009D3402" w14:paraId="496001E9" w14:textId="3C6894E5">
      <w:pPr>
        <w:pStyle w:val="BodyText"/>
        <w:spacing w:before="120"/>
        <w:ind w:left="140" w:right="356"/>
      </w:pPr>
      <w:r>
        <w:t xml:space="preserve">The estimated potential total number of vessels affected is </w:t>
      </w:r>
      <w:r w:rsidRPr="00A12257" w:rsidR="00A12257">
        <w:t>33</w:t>
      </w:r>
      <w:r w:rsidR="00A100F9">
        <w:t xml:space="preserve">. </w:t>
      </w:r>
      <w:r>
        <w:t xml:space="preserve"> </w:t>
      </w:r>
      <w:r w:rsidR="00A100F9">
        <w:t>T</w:t>
      </w:r>
      <w:r>
        <w:t xml:space="preserve">his is the number of trawl vessels that have fished </w:t>
      </w:r>
      <w:r w:rsidR="00A100F9">
        <w:t>off</w:t>
      </w:r>
      <w:r>
        <w:t xml:space="preserve"> California in recent years. The</w:t>
      </w:r>
      <w:r>
        <w:rPr>
          <w:spacing w:val="-3"/>
        </w:rPr>
        <w:t xml:space="preserve"> </w:t>
      </w:r>
      <w:r>
        <w:t>median</w:t>
      </w:r>
      <w:r>
        <w:rPr>
          <w:spacing w:val="-2"/>
        </w:rPr>
        <w:t xml:space="preserve"> </w:t>
      </w:r>
      <w:r w:rsidR="00D64557">
        <w:t>number</w:t>
      </w:r>
      <w:r>
        <w:rPr>
          <w:spacing w:val="-2"/>
        </w:rPr>
        <w:t xml:space="preserve"> </w:t>
      </w:r>
      <w:r>
        <w:t>of</w:t>
      </w:r>
      <w:r>
        <w:rPr>
          <w:spacing w:val="-2"/>
        </w:rPr>
        <w:t xml:space="preserve"> </w:t>
      </w:r>
      <w:r>
        <w:t>trips</w:t>
      </w:r>
      <w:r>
        <w:rPr>
          <w:spacing w:val="-2"/>
        </w:rPr>
        <w:t xml:space="preserve"> </w:t>
      </w:r>
      <w:r>
        <w:t>per year</w:t>
      </w:r>
      <w:r>
        <w:rPr>
          <w:spacing w:val="-3"/>
        </w:rPr>
        <w:t xml:space="preserve"> </w:t>
      </w:r>
      <w:r>
        <w:t>for</w:t>
      </w:r>
      <w:r>
        <w:rPr>
          <w:spacing w:val="-3"/>
        </w:rPr>
        <w:t xml:space="preserve"> </w:t>
      </w:r>
      <w:r>
        <w:t>this</w:t>
      </w:r>
      <w:r>
        <w:rPr>
          <w:spacing w:val="-2"/>
        </w:rPr>
        <w:t xml:space="preserve"> </w:t>
      </w:r>
      <w:r>
        <w:t>pool</w:t>
      </w:r>
      <w:r>
        <w:rPr>
          <w:spacing w:val="-2"/>
        </w:rPr>
        <w:t xml:space="preserve"> </w:t>
      </w:r>
      <w:r>
        <w:t xml:space="preserve">of vessels was 7.5 (rounded to 8). A vessel must complete one logbook per </w:t>
      </w:r>
      <w:r w:rsidR="00A100F9">
        <w:t>trip;</w:t>
      </w:r>
      <w:r>
        <w:t xml:space="preserve"> </w:t>
      </w:r>
      <w:r w:rsidR="00A100F9">
        <w:t>therefore,</w:t>
      </w:r>
      <w:r>
        <w:t xml:space="preserve"> the estimate</w:t>
      </w:r>
      <w:r w:rsidR="00D64557">
        <w:t>d</w:t>
      </w:r>
      <w:r>
        <w:t xml:space="preserve"> </w:t>
      </w:r>
      <w:r w:rsidR="00D64557">
        <w:t>number</w:t>
      </w:r>
      <w:r>
        <w:t xml:space="preserve"> of logbooks per year per vessel is </w:t>
      </w:r>
      <w:r w:rsidR="00A100F9">
        <w:t>eight</w:t>
      </w:r>
      <w:r>
        <w:t xml:space="preserve">. </w:t>
      </w:r>
      <w:r w:rsidR="00A100F9">
        <w:t>In addition,</w:t>
      </w:r>
      <w:r>
        <w:t xml:space="preserve"> the estimated </w:t>
      </w:r>
      <w:r w:rsidR="00C12324">
        <w:t>number</w:t>
      </w:r>
      <w:r>
        <w:t xml:space="preserve"> of annual responses is </w:t>
      </w:r>
      <w:r w:rsidRPr="00A12257" w:rsidR="00A12257">
        <w:t>264</w:t>
      </w:r>
      <w:r>
        <w:t>.</w:t>
      </w:r>
    </w:p>
    <w:p w:rsidR="00956DFE" w:rsidP="009D3402" w14:paraId="4D9E5001" w14:textId="0C90C4F5">
      <w:pPr>
        <w:pStyle w:val="BodyText"/>
        <w:spacing w:before="120"/>
        <w:ind w:left="140" w:right="333"/>
      </w:pPr>
      <w:r>
        <w:t xml:space="preserve">Each logbook requires data on each haul a vessel makes. On average, a trawl vessel will make </w:t>
      </w:r>
      <w:r w:rsidR="00A100F9">
        <w:t>eight</w:t>
      </w:r>
      <w:r>
        <w:t xml:space="preserve"> hauls per trip. Several of the questions on the logbook are for basic information such as what the location of the vessel and net is for the </w:t>
      </w:r>
      <w:r w:rsidR="00A100F9">
        <w:t>haul;</w:t>
      </w:r>
      <w:r>
        <w:t xml:space="preserve"> this information is assumed </w:t>
      </w:r>
      <w:r w:rsidR="00A100F9">
        <w:t>to be readily</w:t>
      </w:r>
      <w:r>
        <w:t xml:space="preserve"> available from the vessel’s equipment. The rest of the information for each haul is on how much of each species is retained. It is estimated that collecting and then recording data for each haul takes about 60 minutes because it</w:t>
      </w:r>
      <w:r>
        <w:rPr>
          <w:spacing w:val="40"/>
        </w:rPr>
        <w:t xml:space="preserve"> </w:t>
      </w:r>
      <w:r>
        <w:t>requires the sorting</w:t>
      </w:r>
      <w:r>
        <w:rPr>
          <w:spacing w:val="-2"/>
        </w:rPr>
        <w:t xml:space="preserve"> </w:t>
      </w:r>
      <w:r>
        <w:t>of all the catch from the net. Therefore, on average, it would take</w:t>
      </w:r>
      <w:r>
        <w:t xml:space="preserve"> a vessel 8 hours to complete</w:t>
      </w:r>
      <w:r>
        <w:rPr>
          <w:spacing w:val="-4"/>
        </w:rPr>
        <w:t xml:space="preserve"> </w:t>
      </w:r>
      <w:r>
        <w:t>each</w:t>
      </w:r>
      <w:r>
        <w:rPr>
          <w:spacing w:val="-3"/>
        </w:rPr>
        <w:t xml:space="preserve"> </w:t>
      </w:r>
      <w:r>
        <w:t>logbook,</w:t>
      </w:r>
      <w:r>
        <w:rPr>
          <w:spacing w:val="-3"/>
        </w:rPr>
        <w:t xml:space="preserve"> </w:t>
      </w:r>
      <w:r>
        <w:t>for</w:t>
      </w:r>
      <w:r>
        <w:rPr>
          <w:spacing w:val="-4"/>
        </w:rPr>
        <w:t xml:space="preserve"> </w:t>
      </w:r>
      <w:r>
        <w:t>an</w:t>
      </w:r>
      <w:r>
        <w:rPr>
          <w:spacing w:val="-3"/>
        </w:rPr>
        <w:t xml:space="preserve"> </w:t>
      </w:r>
      <w:r>
        <w:t>annual</w:t>
      </w:r>
      <w:r>
        <w:rPr>
          <w:spacing w:val="-1"/>
        </w:rPr>
        <w:t xml:space="preserve"> </w:t>
      </w:r>
      <w:r>
        <w:t>estimate</w:t>
      </w:r>
      <w:r>
        <w:rPr>
          <w:spacing w:val="-4"/>
        </w:rPr>
        <w:t xml:space="preserve"> </w:t>
      </w:r>
      <w:r>
        <w:t>of</w:t>
      </w:r>
      <w:r>
        <w:rPr>
          <w:spacing w:val="-2"/>
        </w:rPr>
        <w:t xml:space="preserve"> </w:t>
      </w:r>
      <w:r>
        <w:t>64</w:t>
      </w:r>
      <w:r>
        <w:rPr>
          <w:spacing w:val="-3"/>
        </w:rPr>
        <w:t xml:space="preserve"> </w:t>
      </w:r>
      <w:r>
        <w:t>hours.</w:t>
      </w:r>
    </w:p>
    <w:p w:rsidR="00D67589" w:rsidRPr="00D67589" w:rsidP="009D3402" w14:paraId="1E713AC6" w14:textId="4716C4CF">
      <w:pPr>
        <w:pBdr>
          <w:top w:val="nil"/>
          <w:left w:val="nil"/>
          <w:bottom w:val="nil"/>
          <w:right w:val="nil"/>
          <w:between w:val="nil"/>
        </w:pBdr>
        <w:tabs>
          <w:tab w:val="left" w:pos="360"/>
        </w:tabs>
        <w:spacing w:before="120"/>
        <w:ind w:left="90"/>
        <w:rPr>
          <w:i/>
          <w:color w:val="000000"/>
          <w:sz w:val="24"/>
          <w:szCs w:val="24"/>
        </w:rPr>
      </w:pPr>
      <w:r>
        <w:rPr>
          <w:i/>
          <w:color w:val="000000"/>
          <w:sz w:val="24"/>
          <w:szCs w:val="24"/>
        </w:rPr>
        <w:t>Non-trawl logbook</w:t>
      </w:r>
    </w:p>
    <w:p w:rsidR="000F4C3D" w:rsidRPr="00FC0A4C" w:rsidP="009D3402" w14:paraId="35D62D20" w14:textId="133EC5E7">
      <w:pPr>
        <w:pBdr>
          <w:top w:val="nil"/>
          <w:left w:val="nil"/>
          <w:bottom w:val="nil"/>
          <w:right w:val="nil"/>
          <w:between w:val="nil"/>
        </w:pBdr>
        <w:tabs>
          <w:tab w:val="left" w:pos="360"/>
        </w:tabs>
        <w:spacing w:before="120"/>
        <w:ind w:left="90"/>
        <w:rPr>
          <w:color w:val="000000"/>
          <w:sz w:val="24"/>
          <w:szCs w:val="24"/>
        </w:rPr>
      </w:pPr>
      <w:r w:rsidRPr="000F4C3D">
        <w:rPr>
          <w:color w:val="000000"/>
          <w:sz w:val="24"/>
          <w:szCs w:val="24"/>
        </w:rPr>
        <w:t xml:space="preserve">In order to estimate burden hours, we tabulated the </w:t>
      </w:r>
      <w:r w:rsidR="00DF22D8">
        <w:rPr>
          <w:color w:val="000000"/>
          <w:sz w:val="24"/>
          <w:szCs w:val="24"/>
        </w:rPr>
        <w:t>number of unique vessels that have submitted a non-trawl logbook since implementation in 2023, which is 305 vessels.</w:t>
      </w:r>
      <w:r w:rsidRPr="000F4C3D">
        <w:rPr>
          <w:color w:val="000000"/>
          <w:sz w:val="24"/>
          <w:szCs w:val="24"/>
        </w:rPr>
        <w:t xml:space="preserve"> </w:t>
      </w:r>
      <w:r w:rsidR="00DF22D8">
        <w:rPr>
          <w:color w:val="000000"/>
          <w:sz w:val="24"/>
          <w:szCs w:val="24"/>
        </w:rPr>
        <w:t xml:space="preserve">On average, vessels take 15.5 trips a year (rounded to 16 trips), a logbook submission is required for each trip. </w:t>
      </w:r>
      <w:r w:rsidRPr="000F4C3D">
        <w:rPr>
          <w:color w:val="000000"/>
          <w:sz w:val="24"/>
          <w:szCs w:val="24"/>
        </w:rPr>
        <w:t xml:space="preserve">We estimate that the electronic logbook will take approximately 30 minutes or 0.5 hours per submission to complete. </w:t>
      </w:r>
      <w:r w:rsidR="00DF22D8">
        <w:rPr>
          <w:color w:val="000000"/>
          <w:sz w:val="24"/>
          <w:szCs w:val="24"/>
        </w:rPr>
        <w:t xml:space="preserve">Non-trawl vessels typically have quicker at-sea sorting, less catch overall, and lower species diversity, so non-trawl logbook completion is quicker than trawl logbook. </w:t>
      </w:r>
    </w:p>
    <w:p w:rsidR="00956DFE" w:rsidP="009D3402" w14:paraId="748DECEE" w14:textId="77777777">
      <w:pPr>
        <w:spacing w:before="120"/>
      </w:pPr>
    </w:p>
    <w:tbl>
      <w:tblPr>
        <w:tblpPr w:leftFromText="180" w:rightFromText="180" w:vertAnchor="text" w:horzAnchor="margin" w:tblpY="37"/>
        <w:tblW w:w="12410" w:type="dxa"/>
        <w:tblLook w:val="04A0"/>
      </w:tblPr>
      <w:tblGrid>
        <w:gridCol w:w="1700"/>
        <w:gridCol w:w="1623"/>
        <w:gridCol w:w="1188"/>
        <w:gridCol w:w="1401"/>
        <w:gridCol w:w="1368"/>
        <w:gridCol w:w="1080"/>
        <w:gridCol w:w="1260"/>
        <w:gridCol w:w="1440"/>
        <w:gridCol w:w="1350"/>
      </w:tblGrid>
      <w:tr w14:paraId="7ECBCBB6" w14:textId="77777777" w:rsidTr="00FD5E0A">
        <w:tblPrEx>
          <w:tblW w:w="12410" w:type="dxa"/>
          <w:tblLook w:val="04A0"/>
        </w:tblPrEx>
        <w:trPr>
          <w:trHeight w:val="1060"/>
        </w:trPr>
        <w:tc>
          <w:tcPr>
            <w:tcW w:w="170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0F114B" w:rsidRPr="00001CB4" w:rsidP="009D3402" w14:paraId="03C74B2B"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Information Collection</w:t>
            </w:r>
          </w:p>
        </w:tc>
        <w:tc>
          <w:tcPr>
            <w:tcW w:w="1623" w:type="dxa"/>
            <w:tcBorders>
              <w:top w:val="single" w:sz="8" w:space="0" w:color="auto"/>
              <w:left w:val="nil"/>
              <w:bottom w:val="single" w:sz="8" w:space="0" w:color="auto"/>
              <w:right w:val="single" w:sz="8" w:space="0" w:color="000000"/>
            </w:tcBorders>
            <w:shd w:val="clear" w:color="000000" w:fill="BDD7EE"/>
            <w:vAlign w:val="center"/>
            <w:hideMark/>
          </w:tcPr>
          <w:p w:rsidR="000F114B" w:rsidRPr="00001CB4" w:rsidP="009D3402" w14:paraId="0F9B68E5"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Type of Respondent (e.g., Occupational Title)</w:t>
            </w:r>
          </w:p>
        </w:tc>
        <w:tc>
          <w:tcPr>
            <w:tcW w:w="1188" w:type="dxa"/>
            <w:tcBorders>
              <w:top w:val="single" w:sz="8" w:space="0" w:color="auto"/>
              <w:left w:val="nil"/>
              <w:bottom w:val="single" w:sz="8" w:space="0" w:color="auto"/>
              <w:right w:val="single" w:sz="8" w:space="0" w:color="000000"/>
            </w:tcBorders>
            <w:shd w:val="clear" w:color="000000" w:fill="BDD7EE"/>
            <w:vAlign w:val="center"/>
            <w:hideMark/>
          </w:tcPr>
          <w:p w:rsidR="00001CB4" w:rsidP="009D3402" w14:paraId="5813DC7A"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 of Respondents</w:t>
            </w:r>
          </w:p>
          <w:p w:rsidR="000F114B" w:rsidRPr="00001CB4" w:rsidP="009D3402" w14:paraId="0CFE1282"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(a)</w:t>
            </w:r>
          </w:p>
        </w:tc>
        <w:tc>
          <w:tcPr>
            <w:tcW w:w="1401" w:type="dxa"/>
            <w:tcBorders>
              <w:top w:val="single" w:sz="8" w:space="0" w:color="auto"/>
              <w:left w:val="nil"/>
              <w:bottom w:val="single" w:sz="8" w:space="0" w:color="auto"/>
              <w:right w:val="single" w:sz="8" w:space="0" w:color="auto"/>
            </w:tcBorders>
            <w:shd w:val="clear" w:color="000000" w:fill="BDD7EE"/>
            <w:vAlign w:val="center"/>
            <w:hideMark/>
          </w:tcPr>
          <w:p w:rsidR="000F114B" w:rsidRPr="00001CB4" w:rsidP="009D3402" w14:paraId="0A18C512"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 xml:space="preserve">Annual # of Responses / </w:t>
            </w:r>
            <w:r w:rsidRPr="00001CB4">
              <w:rPr>
                <w:rFonts w:ascii="Calibri" w:hAnsi="Calibri" w:cs="Calibri"/>
                <w:b/>
                <w:bCs/>
                <w:color w:val="000000"/>
                <w:sz w:val="18"/>
                <w:szCs w:val="18"/>
              </w:rPr>
              <w:t>Respondent</w:t>
            </w:r>
            <w:r w:rsidRPr="00001CB4">
              <w:rPr>
                <w:rFonts w:ascii="Calibri" w:hAnsi="Calibri" w:cs="Calibri"/>
                <w:b/>
                <w:bCs/>
                <w:color w:val="000000"/>
                <w:sz w:val="18"/>
                <w:szCs w:val="18"/>
              </w:rPr>
              <w:br/>
              <w:t>(b)</w:t>
            </w:r>
          </w:p>
        </w:tc>
        <w:tc>
          <w:tcPr>
            <w:tcW w:w="1368" w:type="dxa"/>
            <w:tcBorders>
              <w:top w:val="single" w:sz="8" w:space="0" w:color="auto"/>
              <w:left w:val="nil"/>
              <w:bottom w:val="single" w:sz="8" w:space="0" w:color="auto"/>
              <w:right w:val="single" w:sz="8" w:space="0" w:color="auto"/>
            </w:tcBorders>
            <w:shd w:val="clear" w:color="000000" w:fill="BDD7EE"/>
            <w:vAlign w:val="center"/>
            <w:hideMark/>
          </w:tcPr>
          <w:p w:rsidR="000F114B" w:rsidRPr="00001CB4" w:rsidP="009D3402" w14:paraId="734CEDB9"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 xml:space="preserve"> Total # of Annual Responses</w:t>
            </w:r>
            <w:r w:rsidRPr="00001CB4">
              <w:rPr>
                <w:rFonts w:ascii="Calibri" w:hAnsi="Calibri" w:cs="Calibri"/>
                <w:b/>
                <w:bCs/>
                <w:color w:val="000000"/>
                <w:sz w:val="18"/>
                <w:szCs w:val="18"/>
              </w:rPr>
              <w:br/>
              <w:t>(c) = (a) x (b)</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0F114B" w:rsidRPr="00001CB4" w:rsidP="009D3402" w14:paraId="6948B629"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 xml:space="preserve">Burden </w:t>
            </w:r>
            <w:r w:rsidRPr="00001CB4">
              <w:rPr>
                <w:rFonts w:ascii="Calibri" w:hAnsi="Calibri" w:cs="Calibri"/>
                <w:b/>
                <w:bCs/>
                <w:color w:val="000000"/>
                <w:sz w:val="18"/>
                <w:szCs w:val="18"/>
              </w:rPr>
              <w:t>Hrs</w:t>
            </w:r>
            <w:r w:rsidRPr="00001CB4">
              <w:rPr>
                <w:rFonts w:ascii="Calibri" w:hAnsi="Calibri" w:cs="Calibri"/>
                <w:b/>
                <w:bCs/>
                <w:color w:val="000000"/>
                <w:sz w:val="18"/>
                <w:szCs w:val="18"/>
              </w:rPr>
              <w:t xml:space="preserve"> / Response</w:t>
            </w:r>
            <w:r w:rsidRPr="00001CB4">
              <w:rPr>
                <w:rFonts w:ascii="Calibri" w:hAnsi="Calibri" w:cs="Calibri"/>
                <w:b/>
                <w:bCs/>
                <w:color w:val="000000"/>
                <w:sz w:val="18"/>
                <w:szCs w:val="18"/>
              </w:rPr>
              <w:br/>
              <w:t>(d)</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0F114B" w:rsidRPr="00001CB4" w:rsidP="009D3402" w14:paraId="258128B9"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 xml:space="preserve">Total Annual Burden </w:t>
            </w:r>
            <w:r w:rsidRPr="00001CB4">
              <w:rPr>
                <w:rFonts w:ascii="Calibri" w:hAnsi="Calibri" w:cs="Calibri"/>
                <w:b/>
                <w:bCs/>
                <w:color w:val="000000"/>
                <w:sz w:val="18"/>
                <w:szCs w:val="18"/>
              </w:rPr>
              <w:t>Hrs</w:t>
            </w:r>
            <w:r w:rsidRPr="00001CB4">
              <w:rPr>
                <w:rFonts w:ascii="Calibri" w:hAnsi="Calibri" w:cs="Calibri"/>
                <w:b/>
                <w:bCs/>
                <w:color w:val="000000"/>
                <w:sz w:val="18"/>
                <w:szCs w:val="18"/>
              </w:rPr>
              <w:br/>
              <w:t>(e)  = (c) x (d)</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0F114B" w:rsidRPr="00001CB4" w:rsidP="009D3402" w14:paraId="67041546"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Hourly Wage Rate  (for Type of Respondent)</w:t>
            </w:r>
            <w:r w:rsidRPr="00001CB4">
              <w:rPr>
                <w:rFonts w:ascii="Calibri" w:hAnsi="Calibri" w:cs="Calibri"/>
                <w:b/>
                <w:bCs/>
                <w:color w:val="000000"/>
                <w:sz w:val="18"/>
                <w:szCs w:val="18"/>
              </w:rPr>
              <w:br/>
              <w:t>(f)</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0F114B" w:rsidRPr="00001CB4" w:rsidP="009D3402" w14:paraId="22B116FE" w14:textId="77777777">
            <w:pPr>
              <w:widowControl/>
              <w:autoSpaceDE/>
              <w:autoSpaceDN/>
              <w:spacing w:before="120"/>
              <w:jc w:val="center"/>
              <w:rPr>
                <w:rFonts w:ascii="Calibri" w:hAnsi="Calibri" w:cs="Calibri"/>
                <w:b/>
                <w:bCs/>
                <w:color w:val="000000"/>
                <w:sz w:val="18"/>
                <w:szCs w:val="18"/>
              </w:rPr>
            </w:pPr>
            <w:r w:rsidRPr="00001CB4">
              <w:rPr>
                <w:rFonts w:ascii="Calibri" w:hAnsi="Calibri" w:cs="Calibri"/>
                <w:b/>
                <w:bCs/>
                <w:color w:val="000000"/>
                <w:sz w:val="18"/>
                <w:szCs w:val="18"/>
              </w:rPr>
              <w:t>Total Annual Wage Burden Costs</w:t>
            </w:r>
            <w:r w:rsidRPr="00001CB4">
              <w:rPr>
                <w:rFonts w:ascii="Calibri" w:hAnsi="Calibri" w:cs="Calibri"/>
                <w:b/>
                <w:bCs/>
                <w:color w:val="000000"/>
                <w:sz w:val="18"/>
                <w:szCs w:val="18"/>
              </w:rPr>
              <w:br/>
              <w:t>(g) = (e) x (f)</w:t>
            </w:r>
          </w:p>
        </w:tc>
      </w:tr>
      <w:tr w14:paraId="5238D320" w14:textId="77777777" w:rsidTr="000B5434">
        <w:tblPrEx>
          <w:tblW w:w="12410" w:type="dxa"/>
          <w:tblLook w:val="04A0"/>
        </w:tblPrEx>
        <w:trPr>
          <w:trHeight w:val="374"/>
        </w:trPr>
        <w:tc>
          <w:tcPr>
            <w:tcW w:w="1700" w:type="dxa"/>
            <w:tcBorders>
              <w:top w:val="nil"/>
              <w:left w:val="single" w:sz="8" w:space="0" w:color="auto"/>
              <w:bottom w:val="single" w:sz="4" w:space="0" w:color="auto"/>
              <w:right w:val="single" w:sz="4" w:space="0" w:color="auto"/>
            </w:tcBorders>
            <w:shd w:val="clear" w:color="auto" w:fill="auto"/>
            <w:vAlign w:val="bottom"/>
            <w:hideMark/>
          </w:tcPr>
          <w:p w:rsidR="000F114B" w:rsidRPr="00CE3A06" w:rsidP="009D3402" w14:paraId="6B530338" w14:textId="23671C2B">
            <w:pPr>
              <w:widowControl/>
              <w:autoSpaceDE/>
              <w:autoSpaceDN/>
              <w:spacing w:before="120"/>
              <w:rPr>
                <w:rFonts w:asciiTheme="minorHAnsi" w:hAnsiTheme="minorHAnsi" w:cstheme="minorHAnsi"/>
                <w:color w:val="000000"/>
                <w:sz w:val="18"/>
                <w:szCs w:val="18"/>
              </w:rPr>
            </w:pPr>
            <w:r w:rsidRPr="00CE3A06">
              <w:rPr>
                <w:rFonts w:asciiTheme="minorHAnsi" w:hAnsiTheme="minorHAnsi" w:cstheme="minorHAnsi"/>
                <w:color w:val="000000"/>
                <w:sz w:val="18"/>
                <w:szCs w:val="18"/>
              </w:rPr>
              <w:t>Trawl Logbook</w:t>
            </w:r>
          </w:p>
        </w:tc>
        <w:tc>
          <w:tcPr>
            <w:tcW w:w="1623" w:type="dxa"/>
            <w:tcBorders>
              <w:top w:val="nil"/>
              <w:left w:val="nil"/>
              <w:bottom w:val="single" w:sz="4" w:space="0" w:color="auto"/>
              <w:right w:val="single" w:sz="4" w:space="0" w:color="auto"/>
            </w:tcBorders>
            <w:shd w:val="clear" w:color="auto" w:fill="auto"/>
            <w:vAlign w:val="bottom"/>
            <w:hideMark/>
          </w:tcPr>
          <w:p w:rsidR="000F114B" w:rsidRPr="00CE3A06" w:rsidP="009D3402" w14:paraId="6AAF7028" w14:textId="2B1DC32C">
            <w:pPr>
              <w:widowControl/>
              <w:autoSpaceDE/>
              <w:autoSpaceDN/>
              <w:spacing w:before="120"/>
              <w:jc w:val="center"/>
              <w:rPr>
                <w:rFonts w:asciiTheme="minorHAnsi" w:hAnsiTheme="minorHAnsi" w:cstheme="minorHAnsi"/>
                <w:color w:val="000000"/>
                <w:sz w:val="18"/>
                <w:szCs w:val="18"/>
              </w:rPr>
            </w:pPr>
            <w:r w:rsidRPr="00CE3A06">
              <w:rPr>
                <w:rFonts w:eastAsia="Calibri" w:asciiTheme="minorHAnsi" w:hAnsiTheme="minorHAnsi" w:cstheme="minorHAnsi"/>
                <w:color w:val="000000"/>
                <w:sz w:val="18"/>
                <w:szCs w:val="18"/>
              </w:rPr>
              <w:t xml:space="preserve">Fishing </w:t>
            </w:r>
            <w:r w:rsidRPr="00CE3A06">
              <w:rPr>
                <w:rFonts w:eastAsia="Calibri" w:asciiTheme="minorHAnsi" w:hAnsiTheme="minorHAnsi" w:cstheme="minorHAnsi"/>
                <w:color w:val="000000"/>
                <w:sz w:val="18"/>
                <w:szCs w:val="18"/>
              </w:rPr>
              <w:t>Occupation 45-0000</w:t>
            </w:r>
          </w:p>
        </w:tc>
        <w:tc>
          <w:tcPr>
            <w:tcW w:w="1188" w:type="dxa"/>
            <w:tcBorders>
              <w:top w:val="nil"/>
              <w:left w:val="nil"/>
              <w:bottom w:val="single" w:sz="4" w:space="0" w:color="auto"/>
              <w:right w:val="single" w:sz="4" w:space="0" w:color="auto"/>
            </w:tcBorders>
            <w:shd w:val="clear" w:color="auto" w:fill="auto"/>
            <w:vAlign w:val="bottom"/>
            <w:hideMark/>
          </w:tcPr>
          <w:p w:rsidR="000F114B" w:rsidRPr="00CE3A06" w:rsidP="009D3402" w14:paraId="676E8F43" w14:textId="37561342">
            <w:pPr>
              <w:widowControl/>
              <w:autoSpaceDE/>
              <w:autoSpaceDN/>
              <w:spacing w:before="120"/>
              <w:jc w:val="center"/>
              <w:rPr>
                <w:rFonts w:asciiTheme="minorHAnsi" w:hAnsiTheme="minorHAnsi" w:cstheme="minorHAnsi"/>
                <w:color w:val="000000"/>
                <w:sz w:val="18"/>
                <w:szCs w:val="18"/>
              </w:rPr>
            </w:pPr>
            <w:r>
              <w:rPr>
                <w:rFonts w:asciiTheme="minorHAnsi" w:hAnsiTheme="minorHAnsi" w:cstheme="minorHAnsi"/>
                <w:color w:val="000000"/>
                <w:sz w:val="18"/>
                <w:szCs w:val="18"/>
              </w:rPr>
              <w:t>33</w:t>
            </w:r>
          </w:p>
        </w:tc>
        <w:tc>
          <w:tcPr>
            <w:tcW w:w="1401" w:type="dxa"/>
            <w:tcBorders>
              <w:top w:val="nil"/>
              <w:left w:val="nil"/>
              <w:bottom w:val="single" w:sz="4" w:space="0" w:color="auto"/>
              <w:right w:val="single" w:sz="4" w:space="0" w:color="auto"/>
            </w:tcBorders>
            <w:shd w:val="clear" w:color="auto" w:fill="auto"/>
            <w:vAlign w:val="bottom"/>
            <w:hideMark/>
          </w:tcPr>
          <w:p w:rsidR="000F114B" w:rsidRPr="00CE3A06" w:rsidP="009D3402" w14:paraId="177AEA4A" w14:textId="79AF1AC0">
            <w:pPr>
              <w:widowControl/>
              <w:autoSpaceDE/>
              <w:autoSpaceDN/>
              <w:spacing w:before="120"/>
              <w:jc w:val="center"/>
              <w:rPr>
                <w:rFonts w:asciiTheme="minorHAnsi" w:hAnsiTheme="minorHAnsi" w:cstheme="minorHAnsi"/>
                <w:color w:val="000000"/>
                <w:sz w:val="18"/>
                <w:szCs w:val="18"/>
              </w:rPr>
            </w:pPr>
            <w:r w:rsidRPr="00CE3A06">
              <w:rPr>
                <w:rFonts w:asciiTheme="minorHAnsi" w:hAnsiTheme="minorHAnsi" w:cstheme="minorHAnsi"/>
                <w:color w:val="000000"/>
                <w:sz w:val="18"/>
                <w:szCs w:val="18"/>
              </w:rPr>
              <w:t>8</w:t>
            </w:r>
          </w:p>
        </w:tc>
        <w:tc>
          <w:tcPr>
            <w:tcW w:w="1368" w:type="dxa"/>
            <w:tcBorders>
              <w:top w:val="nil"/>
              <w:left w:val="nil"/>
              <w:bottom w:val="single" w:sz="4" w:space="0" w:color="auto"/>
              <w:right w:val="single" w:sz="4" w:space="0" w:color="auto"/>
            </w:tcBorders>
            <w:shd w:val="clear" w:color="auto" w:fill="auto"/>
            <w:vAlign w:val="bottom"/>
            <w:hideMark/>
          </w:tcPr>
          <w:p w:rsidR="000F114B" w:rsidRPr="00CE3A06" w:rsidP="009D3402" w14:paraId="617AD067" w14:textId="20260D45">
            <w:pPr>
              <w:widowControl/>
              <w:autoSpaceDE/>
              <w:autoSpaceDN/>
              <w:spacing w:before="120"/>
              <w:jc w:val="center"/>
              <w:rPr>
                <w:rFonts w:asciiTheme="minorHAnsi" w:hAnsiTheme="minorHAnsi" w:cstheme="minorHAnsi"/>
                <w:color w:val="000000"/>
                <w:sz w:val="18"/>
                <w:szCs w:val="18"/>
              </w:rPr>
            </w:pPr>
            <w:r>
              <w:rPr>
                <w:rFonts w:asciiTheme="minorHAnsi" w:hAnsiTheme="minorHAnsi" w:cstheme="minorHAnsi"/>
                <w:color w:val="000000"/>
                <w:sz w:val="18"/>
                <w:szCs w:val="18"/>
              </w:rPr>
              <w:t>264</w:t>
            </w:r>
          </w:p>
        </w:tc>
        <w:tc>
          <w:tcPr>
            <w:tcW w:w="1080" w:type="dxa"/>
            <w:tcBorders>
              <w:top w:val="nil"/>
              <w:left w:val="nil"/>
              <w:bottom w:val="single" w:sz="4" w:space="0" w:color="auto"/>
              <w:right w:val="single" w:sz="4" w:space="0" w:color="auto"/>
            </w:tcBorders>
            <w:shd w:val="clear" w:color="auto" w:fill="auto"/>
            <w:vAlign w:val="bottom"/>
            <w:hideMark/>
          </w:tcPr>
          <w:p w:rsidR="000F114B" w:rsidRPr="00CE3A06" w:rsidP="009D3402" w14:paraId="3F99F01C" w14:textId="630A3729">
            <w:pPr>
              <w:widowControl/>
              <w:autoSpaceDE/>
              <w:autoSpaceDN/>
              <w:spacing w:before="120"/>
              <w:jc w:val="center"/>
              <w:rPr>
                <w:rFonts w:asciiTheme="minorHAnsi" w:hAnsiTheme="minorHAnsi" w:cstheme="minorHAnsi"/>
                <w:color w:val="000000"/>
                <w:sz w:val="18"/>
                <w:szCs w:val="18"/>
              </w:rPr>
            </w:pPr>
            <w:r w:rsidRPr="00CE3A06">
              <w:rPr>
                <w:rFonts w:asciiTheme="minorHAnsi" w:hAnsiTheme="minorHAnsi" w:cstheme="minorHAnsi"/>
                <w:color w:val="000000"/>
                <w:sz w:val="18"/>
                <w:szCs w:val="18"/>
              </w:rPr>
              <w:t>8</w:t>
            </w:r>
          </w:p>
        </w:tc>
        <w:tc>
          <w:tcPr>
            <w:tcW w:w="1260" w:type="dxa"/>
            <w:tcBorders>
              <w:top w:val="nil"/>
              <w:left w:val="nil"/>
              <w:bottom w:val="single" w:sz="4" w:space="0" w:color="auto"/>
              <w:right w:val="single" w:sz="4" w:space="0" w:color="auto"/>
            </w:tcBorders>
            <w:shd w:val="clear" w:color="auto" w:fill="auto"/>
            <w:vAlign w:val="bottom"/>
            <w:hideMark/>
          </w:tcPr>
          <w:p w:rsidR="000F114B" w:rsidRPr="00CE3A06" w:rsidP="009D3402" w14:paraId="0F9D4335" w14:textId="49BD4000">
            <w:pPr>
              <w:widowControl/>
              <w:autoSpaceDE/>
              <w:autoSpaceDN/>
              <w:spacing w:before="120"/>
              <w:jc w:val="center"/>
              <w:rPr>
                <w:rFonts w:asciiTheme="minorHAnsi" w:hAnsiTheme="minorHAnsi" w:cstheme="minorHAnsi"/>
                <w:color w:val="000000"/>
                <w:sz w:val="18"/>
                <w:szCs w:val="18"/>
              </w:rPr>
            </w:pPr>
            <w:r>
              <w:rPr>
                <w:rFonts w:asciiTheme="minorHAnsi" w:hAnsiTheme="minorHAnsi" w:cstheme="minorHAnsi"/>
                <w:color w:val="000000"/>
                <w:sz w:val="18"/>
                <w:szCs w:val="18"/>
              </w:rPr>
              <w:t>2,112</w:t>
            </w:r>
          </w:p>
        </w:tc>
        <w:tc>
          <w:tcPr>
            <w:tcW w:w="1440" w:type="dxa"/>
            <w:tcBorders>
              <w:top w:val="nil"/>
              <w:left w:val="nil"/>
              <w:bottom w:val="single" w:sz="4" w:space="0" w:color="auto"/>
              <w:right w:val="single" w:sz="4" w:space="0" w:color="auto"/>
            </w:tcBorders>
            <w:shd w:val="clear" w:color="auto" w:fill="auto"/>
            <w:noWrap/>
            <w:vAlign w:val="bottom"/>
            <w:hideMark/>
          </w:tcPr>
          <w:p w:rsidR="000F114B" w:rsidRPr="00CE3A06" w:rsidP="009D3402" w14:paraId="1F280459" w14:textId="2B53DA04">
            <w:pPr>
              <w:widowControl/>
              <w:autoSpaceDE/>
              <w:autoSpaceDN/>
              <w:spacing w:before="120"/>
              <w:jc w:val="center"/>
              <w:rPr>
                <w:rFonts w:asciiTheme="minorHAnsi" w:hAnsiTheme="minorHAnsi" w:cstheme="minorHAnsi"/>
                <w:color w:val="000000"/>
                <w:sz w:val="18"/>
                <w:szCs w:val="18"/>
              </w:rPr>
            </w:pPr>
            <w:r w:rsidRPr="00CE3A06">
              <w:rPr>
                <w:rFonts w:eastAsia="Calibri" w:asciiTheme="minorHAnsi" w:hAnsiTheme="minorHAnsi" w:cstheme="minorHAnsi"/>
                <w:color w:val="000000"/>
                <w:sz w:val="18"/>
                <w:szCs w:val="18"/>
              </w:rPr>
              <w:t>$</w:t>
            </w:r>
            <w:r w:rsidR="00344836">
              <w:rPr>
                <w:rFonts w:eastAsia="Calibri" w:asciiTheme="minorHAnsi" w:hAnsiTheme="minorHAnsi" w:cstheme="minorHAnsi"/>
                <w:color w:val="000000"/>
                <w:sz w:val="18"/>
                <w:szCs w:val="18"/>
              </w:rPr>
              <w:t>19.</w:t>
            </w:r>
            <w:r w:rsidR="00C14444">
              <w:rPr>
                <w:rFonts w:eastAsia="Calibri" w:asciiTheme="minorHAnsi" w:hAnsiTheme="minorHAnsi" w:cstheme="minorHAnsi"/>
                <w:color w:val="000000"/>
                <w:sz w:val="18"/>
                <w:szCs w:val="18"/>
              </w:rPr>
              <w:t>46</w:t>
            </w:r>
          </w:p>
        </w:tc>
        <w:tc>
          <w:tcPr>
            <w:tcW w:w="1350" w:type="dxa"/>
            <w:tcBorders>
              <w:top w:val="nil"/>
              <w:left w:val="nil"/>
              <w:bottom w:val="single" w:sz="4" w:space="0" w:color="auto"/>
              <w:right w:val="single" w:sz="8" w:space="0" w:color="auto"/>
            </w:tcBorders>
            <w:shd w:val="clear" w:color="auto" w:fill="auto"/>
            <w:noWrap/>
            <w:vAlign w:val="bottom"/>
            <w:hideMark/>
          </w:tcPr>
          <w:p w:rsidR="000F114B" w:rsidRPr="00CE3A06" w:rsidP="009D3402" w14:paraId="5D3B97BB" w14:textId="34C9784E">
            <w:pPr>
              <w:widowControl/>
              <w:autoSpaceDE/>
              <w:autoSpaceDN/>
              <w:spacing w:before="120"/>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A12257">
              <w:rPr>
                <w:rFonts w:asciiTheme="minorHAnsi" w:hAnsiTheme="minorHAnsi" w:cstheme="minorHAnsi"/>
                <w:color w:val="000000"/>
                <w:sz w:val="18"/>
                <w:szCs w:val="18"/>
              </w:rPr>
              <w:t>41,</w:t>
            </w:r>
            <w:r w:rsidR="00C14444">
              <w:rPr>
                <w:rFonts w:asciiTheme="minorHAnsi" w:hAnsiTheme="minorHAnsi" w:cstheme="minorHAnsi"/>
                <w:color w:val="000000"/>
                <w:sz w:val="18"/>
                <w:szCs w:val="18"/>
              </w:rPr>
              <w:t>100</w:t>
            </w:r>
          </w:p>
        </w:tc>
      </w:tr>
      <w:tr w14:paraId="1E06A2AA" w14:textId="77777777" w:rsidTr="000B5434">
        <w:tblPrEx>
          <w:tblW w:w="12410" w:type="dxa"/>
          <w:tblLook w:val="04A0"/>
        </w:tblPrEx>
        <w:trPr>
          <w:trHeight w:val="374"/>
        </w:trPr>
        <w:tc>
          <w:tcPr>
            <w:tcW w:w="1700" w:type="dxa"/>
            <w:tcBorders>
              <w:top w:val="nil"/>
              <w:left w:val="single" w:sz="8" w:space="0" w:color="auto"/>
              <w:bottom w:val="single" w:sz="4" w:space="0" w:color="auto"/>
              <w:right w:val="single" w:sz="4" w:space="0" w:color="auto"/>
            </w:tcBorders>
            <w:shd w:val="clear" w:color="auto" w:fill="auto"/>
            <w:vAlign w:val="bottom"/>
          </w:tcPr>
          <w:p w:rsidR="00344836" w:rsidRPr="00CE3A06" w:rsidP="009D3402" w14:paraId="69084592" w14:textId="1ED9C4FF">
            <w:pPr>
              <w:widowControl/>
              <w:autoSpaceDE/>
              <w:autoSpaceDN/>
              <w:spacing w:before="120"/>
              <w:rPr>
                <w:rFonts w:asciiTheme="minorHAnsi" w:hAnsiTheme="minorHAnsi" w:cstheme="minorHAnsi"/>
                <w:color w:val="000000"/>
                <w:sz w:val="18"/>
                <w:szCs w:val="18"/>
              </w:rPr>
            </w:pPr>
            <w:r w:rsidRPr="00CE3A06">
              <w:rPr>
                <w:rFonts w:eastAsia="Calibri" w:asciiTheme="minorHAnsi" w:hAnsiTheme="minorHAnsi" w:cstheme="minorHAnsi"/>
                <w:color w:val="000000"/>
                <w:sz w:val="18"/>
                <w:szCs w:val="18"/>
              </w:rPr>
              <w:t>Non-Trawl Logbook</w:t>
            </w:r>
          </w:p>
        </w:tc>
        <w:tc>
          <w:tcPr>
            <w:tcW w:w="1623" w:type="dxa"/>
            <w:tcBorders>
              <w:top w:val="nil"/>
              <w:left w:val="nil"/>
              <w:bottom w:val="single" w:sz="4" w:space="0" w:color="auto"/>
              <w:right w:val="single" w:sz="4" w:space="0" w:color="auto"/>
            </w:tcBorders>
            <w:shd w:val="clear" w:color="auto" w:fill="auto"/>
            <w:vAlign w:val="center"/>
          </w:tcPr>
          <w:p w:rsidR="00344836" w:rsidRPr="00CE3A06" w:rsidP="009D3402" w14:paraId="7D61CECC" w14:textId="77777777">
            <w:pPr>
              <w:widowControl/>
              <w:autoSpaceDE/>
              <w:autoSpaceDN/>
              <w:spacing w:before="120"/>
              <w:jc w:val="center"/>
              <w:rPr>
                <w:rFonts w:asciiTheme="minorHAnsi" w:hAnsiTheme="minorHAnsi" w:cstheme="minorHAnsi"/>
                <w:color w:val="000000"/>
                <w:sz w:val="18"/>
                <w:szCs w:val="18"/>
              </w:rPr>
            </w:pPr>
            <w:r w:rsidRPr="00CE3A06">
              <w:rPr>
                <w:rFonts w:eastAsia="Calibri" w:asciiTheme="minorHAnsi" w:hAnsiTheme="minorHAnsi" w:cstheme="minorHAnsi"/>
                <w:color w:val="000000"/>
                <w:sz w:val="18"/>
                <w:szCs w:val="18"/>
              </w:rPr>
              <w:t>Fishing Occupation 45-0000</w:t>
            </w:r>
          </w:p>
        </w:tc>
        <w:tc>
          <w:tcPr>
            <w:tcW w:w="1188" w:type="dxa"/>
            <w:tcBorders>
              <w:top w:val="nil"/>
              <w:left w:val="nil"/>
              <w:bottom w:val="single" w:sz="4" w:space="0" w:color="auto"/>
              <w:right w:val="single" w:sz="4" w:space="0" w:color="auto"/>
            </w:tcBorders>
            <w:shd w:val="clear" w:color="auto" w:fill="auto"/>
            <w:vAlign w:val="bottom"/>
          </w:tcPr>
          <w:p w:rsidR="00344836" w:rsidRPr="00CE3A06" w:rsidP="009D3402" w14:paraId="2C47635E" w14:textId="193D8828">
            <w:pPr>
              <w:widowControl/>
              <w:autoSpaceDE/>
              <w:autoSpaceDN/>
              <w:spacing w:before="120"/>
              <w:jc w:val="center"/>
              <w:rPr>
                <w:rFonts w:asciiTheme="minorHAnsi" w:hAnsiTheme="minorHAnsi" w:cstheme="minorHAnsi"/>
                <w:color w:val="000000"/>
                <w:sz w:val="18"/>
                <w:szCs w:val="18"/>
              </w:rPr>
            </w:pPr>
            <w:r>
              <w:rPr>
                <w:rFonts w:eastAsia="Calibri" w:asciiTheme="minorHAnsi" w:hAnsiTheme="minorHAnsi" w:cstheme="minorHAnsi"/>
                <w:color w:val="000000"/>
                <w:sz w:val="18"/>
                <w:szCs w:val="18"/>
              </w:rPr>
              <w:t>305</w:t>
            </w:r>
          </w:p>
        </w:tc>
        <w:tc>
          <w:tcPr>
            <w:tcW w:w="1401" w:type="dxa"/>
            <w:tcBorders>
              <w:top w:val="nil"/>
              <w:left w:val="nil"/>
              <w:bottom w:val="single" w:sz="4" w:space="0" w:color="auto"/>
              <w:right w:val="single" w:sz="4" w:space="0" w:color="auto"/>
            </w:tcBorders>
            <w:shd w:val="clear" w:color="auto" w:fill="auto"/>
            <w:vAlign w:val="bottom"/>
          </w:tcPr>
          <w:p w:rsidR="00344836" w:rsidRPr="00CE3A06" w:rsidP="009D3402" w14:paraId="49BBDF58" w14:textId="15709309">
            <w:pPr>
              <w:widowControl/>
              <w:autoSpaceDE/>
              <w:autoSpaceDN/>
              <w:spacing w:before="120"/>
              <w:jc w:val="center"/>
              <w:rPr>
                <w:rFonts w:asciiTheme="minorHAnsi" w:hAnsiTheme="minorHAnsi" w:cstheme="minorHAnsi"/>
                <w:color w:val="000000"/>
                <w:sz w:val="18"/>
                <w:szCs w:val="18"/>
              </w:rPr>
            </w:pPr>
            <w:r w:rsidRPr="00CE3A06">
              <w:rPr>
                <w:rFonts w:eastAsia="Calibri" w:asciiTheme="minorHAnsi" w:hAnsiTheme="minorHAnsi" w:cstheme="minorHAnsi"/>
                <w:color w:val="000000"/>
                <w:sz w:val="18"/>
                <w:szCs w:val="18"/>
              </w:rPr>
              <w:t>1</w:t>
            </w:r>
            <w:r w:rsidR="00DF22D8">
              <w:rPr>
                <w:rFonts w:eastAsia="Calibri" w:asciiTheme="minorHAnsi" w:hAnsiTheme="minorHAnsi" w:cstheme="minorHAnsi"/>
                <w:color w:val="000000"/>
                <w:sz w:val="18"/>
                <w:szCs w:val="18"/>
              </w:rPr>
              <w:t>6</w:t>
            </w:r>
          </w:p>
        </w:tc>
        <w:tc>
          <w:tcPr>
            <w:tcW w:w="1368" w:type="dxa"/>
            <w:tcBorders>
              <w:top w:val="nil"/>
              <w:left w:val="nil"/>
              <w:bottom w:val="single" w:sz="4" w:space="0" w:color="auto"/>
              <w:right w:val="single" w:sz="4" w:space="0" w:color="auto"/>
            </w:tcBorders>
            <w:shd w:val="clear" w:color="auto" w:fill="auto"/>
            <w:vAlign w:val="bottom"/>
          </w:tcPr>
          <w:p w:rsidR="00344836" w:rsidRPr="00CE3A06" w:rsidP="009D3402" w14:paraId="477416C6" w14:textId="134537F5">
            <w:pPr>
              <w:widowControl/>
              <w:autoSpaceDE/>
              <w:autoSpaceDN/>
              <w:spacing w:before="120"/>
              <w:jc w:val="center"/>
              <w:rPr>
                <w:rFonts w:asciiTheme="minorHAnsi" w:hAnsiTheme="minorHAnsi" w:cstheme="minorHAnsi"/>
                <w:color w:val="000000"/>
                <w:sz w:val="18"/>
                <w:szCs w:val="18"/>
              </w:rPr>
            </w:pPr>
            <w:r>
              <w:rPr>
                <w:rFonts w:eastAsia="Calibri" w:asciiTheme="minorHAnsi" w:hAnsiTheme="minorHAnsi" w:cstheme="minorHAnsi"/>
                <w:color w:val="000000"/>
                <w:sz w:val="18"/>
                <w:szCs w:val="18"/>
              </w:rPr>
              <w:t>4,880</w:t>
            </w:r>
          </w:p>
        </w:tc>
        <w:tc>
          <w:tcPr>
            <w:tcW w:w="1080" w:type="dxa"/>
            <w:tcBorders>
              <w:top w:val="nil"/>
              <w:left w:val="nil"/>
              <w:bottom w:val="single" w:sz="4" w:space="0" w:color="auto"/>
              <w:right w:val="single" w:sz="4" w:space="0" w:color="auto"/>
            </w:tcBorders>
            <w:shd w:val="clear" w:color="auto" w:fill="auto"/>
            <w:vAlign w:val="bottom"/>
          </w:tcPr>
          <w:p w:rsidR="00344836" w:rsidRPr="00CE3A06" w:rsidP="009D3402" w14:paraId="4B9A81AC" w14:textId="77777777">
            <w:pPr>
              <w:widowControl/>
              <w:autoSpaceDE/>
              <w:autoSpaceDN/>
              <w:spacing w:before="120"/>
              <w:jc w:val="center"/>
              <w:rPr>
                <w:rFonts w:asciiTheme="minorHAnsi" w:hAnsiTheme="minorHAnsi" w:cstheme="minorHAnsi"/>
                <w:color w:val="000000"/>
                <w:sz w:val="18"/>
                <w:szCs w:val="18"/>
              </w:rPr>
            </w:pPr>
            <w:r w:rsidRPr="00CE3A06">
              <w:rPr>
                <w:rFonts w:eastAsia="Calibri" w:asciiTheme="minorHAnsi" w:hAnsiTheme="minorHAnsi" w:cstheme="minorHAnsi"/>
                <w:color w:val="000000"/>
                <w:sz w:val="18"/>
                <w:szCs w:val="18"/>
              </w:rPr>
              <w:t>0.5</w:t>
            </w:r>
          </w:p>
        </w:tc>
        <w:tc>
          <w:tcPr>
            <w:tcW w:w="1260" w:type="dxa"/>
            <w:tcBorders>
              <w:top w:val="nil"/>
              <w:left w:val="nil"/>
              <w:bottom w:val="single" w:sz="4" w:space="0" w:color="auto"/>
              <w:right w:val="single" w:sz="4" w:space="0" w:color="auto"/>
            </w:tcBorders>
            <w:shd w:val="clear" w:color="auto" w:fill="auto"/>
            <w:vAlign w:val="bottom"/>
          </w:tcPr>
          <w:p w:rsidR="00344836" w:rsidRPr="00CE3A06" w:rsidP="009D3402" w14:paraId="016D71DD" w14:textId="23926B14">
            <w:pPr>
              <w:widowControl/>
              <w:autoSpaceDE/>
              <w:autoSpaceDN/>
              <w:spacing w:before="120"/>
              <w:jc w:val="center"/>
              <w:rPr>
                <w:rFonts w:asciiTheme="minorHAnsi" w:hAnsiTheme="minorHAnsi" w:cstheme="minorHAnsi"/>
                <w:color w:val="000000"/>
                <w:sz w:val="18"/>
                <w:szCs w:val="18"/>
              </w:rPr>
            </w:pPr>
            <w:r>
              <w:rPr>
                <w:rFonts w:eastAsia="Calibri" w:asciiTheme="minorHAnsi" w:hAnsiTheme="minorHAnsi" w:cstheme="minorHAnsi"/>
                <w:color w:val="000000"/>
                <w:sz w:val="18"/>
                <w:szCs w:val="18"/>
              </w:rPr>
              <w:t>2,440</w:t>
            </w:r>
          </w:p>
        </w:tc>
        <w:tc>
          <w:tcPr>
            <w:tcW w:w="1440" w:type="dxa"/>
            <w:tcBorders>
              <w:top w:val="nil"/>
              <w:left w:val="nil"/>
              <w:bottom w:val="single" w:sz="4" w:space="0" w:color="auto"/>
              <w:right w:val="single" w:sz="4" w:space="0" w:color="auto"/>
            </w:tcBorders>
            <w:shd w:val="clear" w:color="auto" w:fill="auto"/>
            <w:noWrap/>
            <w:vAlign w:val="bottom"/>
          </w:tcPr>
          <w:p w:rsidR="00344836" w:rsidRPr="00CE3A06" w:rsidP="009D3402" w14:paraId="5EB5DE9C" w14:textId="0B216A6B">
            <w:pPr>
              <w:widowControl/>
              <w:autoSpaceDE/>
              <w:autoSpaceDN/>
              <w:spacing w:before="120"/>
              <w:jc w:val="center"/>
              <w:rPr>
                <w:rFonts w:asciiTheme="minorHAnsi" w:hAnsiTheme="minorHAnsi" w:cstheme="minorHAnsi"/>
                <w:color w:val="000000"/>
                <w:sz w:val="18"/>
                <w:szCs w:val="18"/>
              </w:rPr>
            </w:pPr>
            <w:r w:rsidRPr="00EE44A3">
              <w:rPr>
                <w:rFonts w:eastAsia="Calibri" w:asciiTheme="minorHAnsi" w:hAnsiTheme="minorHAnsi" w:cstheme="minorHAnsi"/>
                <w:color w:val="000000"/>
                <w:sz w:val="18"/>
                <w:szCs w:val="18"/>
              </w:rPr>
              <w:t>$19.</w:t>
            </w:r>
            <w:r w:rsidR="00C14444">
              <w:rPr>
                <w:rFonts w:eastAsia="Calibri" w:asciiTheme="minorHAnsi" w:hAnsiTheme="minorHAnsi" w:cstheme="minorHAnsi"/>
                <w:color w:val="000000"/>
                <w:sz w:val="18"/>
                <w:szCs w:val="18"/>
              </w:rPr>
              <w:t>46</w:t>
            </w:r>
          </w:p>
        </w:tc>
        <w:tc>
          <w:tcPr>
            <w:tcW w:w="1350" w:type="dxa"/>
            <w:tcBorders>
              <w:top w:val="nil"/>
              <w:left w:val="nil"/>
              <w:bottom w:val="single" w:sz="4" w:space="0" w:color="auto"/>
              <w:right w:val="single" w:sz="8" w:space="0" w:color="auto"/>
            </w:tcBorders>
            <w:shd w:val="clear" w:color="auto" w:fill="auto"/>
            <w:noWrap/>
            <w:vAlign w:val="bottom"/>
          </w:tcPr>
          <w:p w:rsidR="00344836" w:rsidRPr="00CE3A06" w:rsidP="009D3402" w14:paraId="0229F0C7" w14:textId="0DC47D65">
            <w:pPr>
              <w:widowControl/>
              <w:autoSpaceDE/>
              <w:autoSpaceDN/>
              <w:spacing w:before="120"/>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DF22D8">
              <w:rPr>
                <w:rFonts w:asciiTheme="minorHAnsi" w:hAnsiTheme="minorHAnsi" w:cstheme="minorHAnsi"/>
                <w:color w:val="000000"/>
                <w:sz w:val="18"/>
                <w:szCs w:val="18"/>
              </w:rPr>
              <w:t>47,</w:t>
            </w:r>
            <w:r w:rsidR="00C14444">
              <w:rPr>
                <w:rFonts w:asciiTheme="minorHAnsi" w:hAnsiTheme="minorHAnsi" w:cstheme="minorHAnsi"/>
                <w:color w:val="000000"/>
                <w:sz w:val="18"/>
                <w:szCs w:val="18"/>
              </w:rPr>
              <w:t>482</w:t>
            </w:r>
          </w:p>
        </w:tc>
      </w:tr>
      <w:tr w14:paraId="649A52C5" w14:textId="77777777" w:rsidTr="00FD5E0A">
        <w:tblPrEx>
          <w:tblW w:w="12410" w:type="dxa"/>
          <w:tblLook w:val="04A0"/>
        </w:tblPrEx>
        <w:trPr>
          <w:trHeight w:val="392"/>
        </w:trPr>
        <w:tc>
          <w:tcPr>
            <w:tcW w:w="1700" w:type="dxa"/>
            <w:tcBorders>
              <w:top w:val="nil"/>
              <w:left w:val="single" w:sz="8" w:space="0" w:color="auto"/>
              <w:bottom w:val="single" w:sz="8" w:space="0" w:color="auto"/>
              <w:right w:val="single" w:sz="8" w:space="0" w:color="auto"/>
            </w:tcBorders>
            <w:shd w:val="clear" w:color="000000" w:fill="DDEBF7"/>
            <w:noWrap/>
            <w:vAlign w:val="bottom"/>
            <w:hideMark/>
          </w:tcPr>
          <w:p w:rsidR="000F114B" w:rsidRPr="00CE3A06" w:rsidP="009D3402" w14:paraId="09ACE593" w14:textId="77777777">
            <w:pPr>
              <w:widowControl/>
              <w:autoSpaceDE/>
              <w:autoSpaceDN/>
              <w:spacing w:before="120"/>
              <w:rPr>
                <w:rFonts w:asciiTheme="minorHAnsi" w:hAnsiTheme="minorHAnsi" w:cstheme="minorHAnsi"/>
                <w:b/>
                <w:bCs/>
                <w:color w:val="000000"/>
                <w:sz w:val="18"/>
                <w:szCs w:val="18"/>
              </w:rPr>
            </w:pPr>
            <w:r w:rsidRPr="00CE3A06">
              <w:rPr>
                <w:rFonts w:asciiTheme="minorHAnsi" w:hAnsiTheme="minorHAnsi" w:cstheme="minorHAnsi"/>
                <w:b/>
                <w:bCs/>
                <w:color w:val="000000"/>
                <w:sz w:val="18"/>
                <w:szCs w:val="18"/>
              </w:rPr>
              <w:t>Totals</w:t>
            </w:r>
          </w:p>
        </w:tc>
        <w:tc>
          <w:tcPr>
            <w:tcW w:w="1623" w:type="dxa"/>
            <w:tcBorders>
              <w:top w:val="nil"/>
              <w:left w:val="nil"/>
              <w:bottom w:val="single" w:sz="8" w:space="0" w:color="auto"/>
              <w:right w:val="single" w:sz="8" w:space="0" w:color="auto"/>
            </w:tcBorders>
            <w:shd w:val="clear" w:color="000000" w:fill="000000"/>
            <w:noWrap/>
            <w:vAlign w:val="bottom"/>
            <w:hideMark/>
          </w:tcPr>
          <w:p w:rsidR="000F114B" w:rsidRPr="00CE3A06" w:rsidP="009D3402" w14:paraId="48EFEA9B" w14:textId="77777777">
            <w:pPr>
              <w:widowControl/>
              <w:autoSpaceDE/>
              <w:autoSpaceDN/>
              <w:spacing w:before="120"/>
              <w:rPr>
                <w:rFonts w:asciiTheme="minorHAnsi" w:hAnsiTheme="minorHAnsi" w:cstheme="minorHAnsi"/>
                <w:b/>
                <w:bCs/>
                <w:color w:val="000000"/>
                <w:sz w:val="18"/>
                <w:szCs w:val="18"/>
              </w:rPr>
            </w:pPr>
            <w:r w:rsidRPr="00CE3A06">
              <w:rPr>
                <w:rFonts w:asciiTheme="minorHAnsi" w:hAnsiTheme="minorHAnsi" w:cstheme="minorHAnsi"/>
                <w:b/>
                <w:bCs/>
                <w:color w:val="000000"/>
                <w:sz w:val="18"/>
                <w:szCs w:val="18"/>
              </w:rPr>
              <w:t> </w:t>
            </w:r>
          </w:p>
        </w:tc>
        <w:tc>
          <w:tcPr>
            <w:tcW w:w="1188" w:type="dxa"/>
            <w:tcBorders>
              <w:top w:val="nil"/>
              <w:left w:val="nil"/>
              <w:bottom w:val="single" w:sz="8" w:space="0" w:color="auto"/>
              <w:right w:val="single" w:sz="8" w:space="0" w:color="auto"/>
            </w:tcBorders>
            <w:shd w:val="clear" w:color="000000" w:fill="000000"/>
            <w:noWrap/>
            <w:vAlign w:val="bottom"/>
            <w:hideMark/>
          </w:tcPr>
          <w:p w:rsidR="000F114B" w:rsidRPr="00CE3A06" w:rsidP="009D3402" w14:paraId="37080A9C" w14:textId="77777777">
            <w:pPr>
              <w:widowControl/>
              <w:autoSpaceDE/>
              <w:autoSpaceDN/>
              <w:spacing w:before="120"/>
              <w:rPr>
                <w:rFonts w:asciiTheme="minorHAnsi" w:hAnsiTheme="minorHAnsi" w:cstheme="minorHAnsi"/>
                <w:b/>
                <w:bCs/>
                <w:color w:val="000000"/>
                <w:sz w:val="18"/>
                <w:szCs w:val="18"/>
              </w:rPr>
            </w:pPr>
            <w:r w:rsidRPr="00CE3A06">
              <w:rPr>
                <w:rFonts w:asciiTheme="minorHAnsi" w:hAnsiTheme="minorHAnsi" w:cstheme="minorHAnsi"/>
                <w:b/>
                <w:bCs/>
                <w:color w:val="000000"/>
                <w:sz w:val="18"/>
                <w:szCs w:val="18"/>
              </w:rPr>
              <w:t> </w:t>
            </w:r>
          </w:p>
        </w:tc>
        <w:tc>
          <w:tcPr>
            <w:tcW w:w="1401" w:type="dxa"/>
            <w:tcBorders>
              <w:top w:val="nil"/>
              <w:left w:val="nil"/>
              <w:bottom w:val="single" w:sz="8" w:space="0" w:color="auto"/>
              <w:right w:val="single" w:sz="8" w:space="0" w:color="auto"/>
            </w:tcBorders>
            <w:shd w:val="clear" w:color="000000" w:fill="000000"/>
            <w:noWrap/>
            <w:vAlign w:val="bottom"/>
            <w:hideMark/>
          </w:tcPr>
          <w:p w:rsidR="000F114B" w:rsidRPr="00CE3A06" w:rsidP="009D3402" w14:paraId="4A8BD564" w14:textId="77777777">
            <w:pPr>
              <w:widowControl/>
              <w:autoSpaceDE/>
              <w:autoSpaceDN/>
              <w:spacing w:before="120"/>
              <w:rPr>
                <w:rFonts w:asciiTheme="minorHAnsi" w:hAnsiTheme="minorHAnsi" w:cstheme="minorHAnsi"/>
                <w:b/>
                <w:bCs/>
                <w:color w:val="000000"/>
                <w:sz w:val="18"/>
                <w:szCs w:val="18"/>
              </w:rPr>
            </w:pPr>
            <w:r w:rsidRPr="00CE3A06">
              <w:rPr>
                <w:rFonts w:asciiTheme="minorHAnsi" w:hAnsiTheme="minorHAnsi" w:cstheme="minorHAnsi"/>
                <w:b/>
                <w:bCs/>
                <w:color w:val="000000"/>
                <w:sz w:val="18"/>
                <w:szCs w:val="18"/>
              </w:rPr>
              <w:t> </w:t>
            </w:r>
          </w:p>
        </w:tc>
        <w:tc>
          <w:tcPr>
            <w:tcW w:w="1368" w:type="dxa"/>
            <w:tcBorders>
              <w:top w:val="nil"/>
              <w:left w:val="nil"/>
              <w:bottom w:val="single" w:sz="8" w:space="0" w:color="auto"/>
              <w:right w:val="single" w:sz="8" w:space="0" w:color="auto"/>
            </w:tcBorders>
            <w:shd w:val="clear" w:color="000000" w:fill="DDEBF7"/>
            <w:noWrap/>
            <w:vAlign w:val="bottom"/>
            <w:hideMark/>
          </w:tcPr>
          <w:p w:rsidR="000F114B" w:rsidRPr="00CE3A06" w:rsidP="009D3402" w14:paraId="71864B8C" w14:textId="3BF56B49">
            <w:pPr>
              <w:widowControl/>
              <w:autoSpaceDE/>
              <w:autoSpaceDN/>
              <w:spacing w:before="12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5,144</w:t>
            </w:r>
          </w:p>
        </w:tc>
        <w:tc>
          <w:tcPr>
            <w:tcW w:w="1080" w:type="dxa"/>
            <w:tcBorders>
              <w:top w:val="nil"/>
              <w:left w:val="nil"/>
              <w:bottom w:val="single" w:sz="8" w:space="0" w:color="auto"/>
              <w:right w:val="single" w:sz="8" w:space="0" w:color="auto"/>
            </w:tcBorders>
            <w:shd w:val="clear" w:color="000000" w:fill="000000"/>
            <w:noWrap/>
            <w:vAlign w:val="bottom"/>
            <w:hideMark/>
          </w:tcPr>
          <w:p w:rsidR="000F114B" w:rsidRPr="00CE3A06" w:rsidP="009D3402" w14:paraId="480D1B1E" w14:textId="77777777">
            <w:pPr>
              <w:widowControl/>
              <w:autoSpaceDE/>
              <w:autoSpaceDN/>
              <w:spacing w:before="120"/>
              <w:rPr>
                <w:rFonts w:asciiTheme="minorHAnsi" w:hAnsiTheme="minorHAnsi" w:cstheme="minorHAnsi"/>
                <w:b/>
                <w:bCs/>
                <w:color w:val="000000"/>
                <w:sz w:val="18"/>
                <w:szCs w:val="18"/>
              </w:rPr>
            </w:pPr>
            <w:r w:rsidRPr="00CE3A06">
              <w:rPr>
                <w:rFonts w:asciiTheme="minorHAnsi" w:hAnsiTheme="minorHAnsi" w:cstheme="minorHAnsi"/>
                <w:b/>
                <w:bCs/>
                <w:color w:val="000000"/>
                <w:sz w:val="18"/>
                <w:szCs w:val="18"/>
              </w:rPr>
              <w:t> </w:t>
            </w:r>
          </w:p>
        </w:tc>
        <w:tc>
          <w:tcPr>
            <w:tcW w:w="1260" w:type="dxa"/>
            <w:tcBorders>
              <w:top w:val="nil"/>
              <w:left w:val="nil"/>
              <w:bottom w:val="single" w:sz="8" w:space="0" w:color="auto"/>
              <w:right w:val="single" w:sz="8" w:space="0" w:color="auto"/>
            </w:tcBorders>
            <w:shd w:val="clear" w:color="000000" w:fill="DDEBF7"/>
            <w:noWrap/>
            <w:vAlign w:val="bottom"/>
            <w:hideMark/>
          </w:tcPr>
          <w:p w:rsidR="000F114B" w:rsidRPr="00CE3A06" w:rsidP="009D3402" w14:paraId="39D61F0C" w14:textId="438801F5">
            <w:pPr>
              <w:widowControl/>
              <w:autoSpaceDE/>
              <w:autoSpaceDN/>
              <w:spacing w:before="12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4,552</w:t>
            </w:r>
          </w:p>
        </w:tc>
        <w:tc>
          <w:tcPr>
            <w:tcW w:w="1440" w:type="dxa"/>
            <w:tcBorders>
              <w:top w:val="nil"/>
              <w:left w:val="nil"/>
              <w:bottom w:val="single" w:sz="8" w:space="0" w:color="auto"/>
              <w:right w:val="single" w:sz="8" w:space="0" w:color="auto"/>
            </w:tcBorders>
            <w:shd w:val="clear" w:color="000000" w:fill="000000"/>
            <w:noWrap/>
            <w:vAlign w:val="bottom"/>
            <w:hideMark/>
          </w:tcPr>
          <w:p w:rsidR="000F114B" w:rsidRPr="00CE3A06" w:rsidP="009D3402" w14:paraId="6671DE55" w14:textId="77777777">
            <w:pPr>
              <w:widowControl/>
              <w:autoSpaceDE/>
              <w:autoSpaceDN/>
              <w:spacing w:before="120"/>
              <w:rPr>
                <w:rFonts w:asciiTheme="minorHAnsi" w:hAnsiTheme="minorHAnsi" w:cstheme="minorHAnsi"/>
                <w:b/>
                <w:bCs/>
                <w:color w:val="000000"/>
                <w:sz w:val="18"/>
                <w:szCs w:val="18"/>
              </w:rPr>
            </w:pPr>
            <w:r w:rsidRPr="00CE3A06">
              <w:rPr>
                <w:rFonts w:asciiTheme="minorHAnsi" w:hAnsiTheme="minorHAnsi" w:cstheme="minorHAnsi"/>
                <w:b/>
                <w:bCs/>
                <w:color w:val="000000"/>
                <w:sz w:val="18"/>
                <w:szCs w:val="18"/>
              </w:rPr>
              <w:t> </w:t>
            </w:r>
          </w:p>
        </w:tc>
        <w:tc>
          <w:tcPr>
            <w:tcW w:w="1350" w:type="dxa"/>
            <w:tcBorders>
              <w:top w:val="nil"/>
              <w:left w:val="nil"/>
              <w:bottom w:val="single" w:sz="8" w:space="0" w:color="auto"/>
              <w:right w:val="single" w:sz="8" w:space="0" w:color="auto"/>
            </w:tcBorders>
            <w:shd w:val="clear" w:color="000000" w:fill="DDEBF7"/>
            <w:noWrap/>
            <w:vAlign w:val="bottom"/>
          </w:tcPr>
          <w:p w:rsidR="000F114B" w:rsidRPr="00CE3A06" w:rsidP="009D3402" w14:paraId="396B4DF4" w14:textId="40B86B53">
            <w:pPr>
              <w:widowControl/>
              <w:autoSpaceDE/>
              <w:autoSpaceDN/>
              <w:spacing w:before="12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r w:rsidR="00C14444">
              <w:rPr>
                <w:rFonts w:asciiTheme="minorHAnsi" w:hAnsiTheme="minorHAnsi" w:cstheme="minorHAnsi"/>
                <w:b/>
                <w:bCs/>
                <w:color w:val="000000"/>
                <w:sz w:val="18"/>
                <w:szCs w:val="18"/>
              </w:rPr>
              <w:t>85,582</w:t>
            </w:r>
          </w:p>
        </w:tc>
      </w:tr>
    </w:tbl>
    <w:p w:rsidR="00001CB4" w:rsidP="009D3402" w14:paraId="0F81F4B7" w14:textId="7446DE54">
      <w:pPr>
        <w:spacing w:before="120"/>
      </w:pPr>
      <w:r>
        <w:t xml:space="preserve">The Hourly wage rate used is for 45-0000, Farming, </w:t>
      </w:r>
      <w:r>
        <w:t>Fishing, and Forestry Occupations</w:t>
      </w:r>
      <w:r w:rsidR="00C14444">
        <w:t>, for the state of California</w:t>
      </w:r>
      <w:r w:rsidR="00344836">
        <w:t xml:space="preserve"> </w:t>
      </w:r>
      <w:r>
        <w:t xml:space="preserve">from BLS.  </w:t>
      </w:r>
      <w:hyperlink r:id="rId4" w:history="1">
        <w:r w:rsidRPr="00C14444" w:rsidR="00C14444">
          <w:rPr>
            <w:rStyle w:val="Hyperlink"/>
          </w:rPr>
          <w:t>https://data.bls.gov/oes/#/area/0600000</w:t>
        </w:r>
      </w:hyperlink>
    </w:p>
    <w:p w:rsidR="00001CB4" w:rsidP="009D3402" w14:paraId="0795D81E" w14:textId="77777777">
      <w:pPr>
        <w:spacing w:before="120"/>
      </w:pPr>
    </w:p>
    <w:p w:rsidR="00001CB4" w:rsidP="009D3402" w14:paraId="1A909CE4" w14:textId="77777777">
      <w:pPr>
        <w:spacing w:before="120"/>
        <w:sectPr w:rsidSect="00C12324">
          <w:pgSz w:w="15840" w:h="12240" w:orient="landscape"/>
          <w:pgMar w:top="810" w:right="1440" w:bottom="1440" w:left="1440" w:header="0" w:footer="1008" w:gutter="0"/>
          <w:cols w:space="720"/>
          <w:docGrid w:linePitch="299"/>
        </w:sectPr>
      </w:pPr>
    </w:p>
    <w:p w:rsidR="00956DFE" w:rsidP="009D3402" w14:paraId="7350BDED" w14:textId="77777777">
      <w:pPr>
        <w:pStyle w:val="Heading1"/>
        <w:numPr>
          <w:ilvl w:val="0"/>
          <w:numId w:val="1"/>
        </w:numPr>
        <w:tabs>
          <w:tab w:val="left" w:pos="500"/>
        </w:tabs>
        <w:spacing w:before="120"/>
        <w:ind w:right="525" w:firstLine="0"/>
      </w:pPr>
      <w:r>
        <w:t>Provide an estimate for the total annual cost burden to respondents or record keepers resulting</w:t>
      </w:r>
      <w:r>
        <w:rPr>
          <w:spacing w:val="-3"/>
        </w:rPr>
        <w:t xml:space="preserve"> </w:t>
      </w:r>
      <w:r>
        <w:t>from</w:t>
      </w:r>
      <w:r>
        <w:rPr>
          <w:spacing w:val="-6"/>
        </w:rPr>
        <w:t xml:space="preserve"> </w:t>
      </w:r>
      <w:r>
        <w:t>the</w:t>
      </w:r>
      <w:r>
        <w:rPr>
          <w:spacing w:val="-2"/>
        </w:rPr>
        <w:t xml:space="preserve"> </w:t>
      </w:r>
      <w:r>
        <w:t>collection</w:t>
      </w:r>
      <w:r>
        <w:rPr>
          <w:spacing w:val="-3"/>
        </w:rPr>
        <w:t xml:space="preserve"> </w:t>
      </w:r>
      <w:r>
        <w:t>of</w:t>
      </w:r>
      <w:r>
        <w:rPr>
          <w:spacing w:val="-2"/>
        </w:rPr>
        <w:t xml:space="preserve"> </w:t>
      </w:r>
      <w:r>
        <w:t>information.</w:t>
      </w:r>
      <w:r>
        <w:rPr>
          <w:spacing w:val="-3"/>
        </w:rPr>
        <w:t xml:space="preserve"> </w:t>
      </w:r>
      <w:r>
        <w:t>(Do</w:t>
      </w:r>
      <w:r>
        <w:rPr>
          <w:spacing w:val="-3"/>
        </w:rPr>
        <w:t xml:space="preserve"> </w:t>
      </w:r>
      <w:r>
        <w:t>not</w:t>
      </w:r>
      <w:r>
        <w:rPr>
          <w:spacing w:val="-3"/>
        </w:rPr>
        <w:t xml:space="preserve"> </w:t>
      </w:r>
      <w:r>
        <w:t>include</w:t>
      </w:r>
      <w:r>
        <w:rPr>
          <w:spacing w:val="-3"/>
        </w:rPr>
        <w:t xml:space="preserve"> </w:t>
      </w:r>
      <w:r>
        <w:t>the</w:t>
      </w:r>
      <w:r>
        <w:rPr>
          <w:spacing w:val="-3"/>
        </w:rPr>
        <w:t xml:space="preserve"> </w:t>
      </w:r>
      <w:r>
        <w:t>cost</w:t>
      </w:r>
      <w:r>
        <w:rPr>
          <w:spacing w:val="-3"/>
        </w:rPr>
        <w:t xml:space="preserve"> </w:t>
      </w:r>
      <w:r>
        <w:t>of</w:t>
      </w:r>
      <w:r>
        <w:rPr>
          <w:spacing w:val="-3"/>
        </w:rPr>
        <w:t xml:space="preserve"> </w:t>
      </w:r>
      <w:r>
        <w:t>any</w:t>
      </w:r>
      <w:r>
        <w:rPr>
          <w:spacing w:val="-3"/>
        </w:rPr>
        <w:t xml:space="preserve"> </w:t>
      </w:r>
      <w:r>
        <w:t>hour</w:t>
      </w:r>
      <w:r>
        <w:rPr>
          <w:spacing w:val="-3"/>
        </w:rPr>
        <w:t xml:space="preserve"> </w:t>
      </w:r>
      <w:r>
        <w:t>burden</w:t>
      </w:r>
      <w:r>
        <w:rPr>
          <w:spacing w:val="-3"/>
        </w:rPr>
        <w:t xml:space="preserve"> </w:t>
      </w:r>
      <w:r>
        <w:t>already reflected on the burden worksheet).</w:t>
      </w:r>
    </w:p>
    <w:p w:rsidR="00F17BC1" w:rsidP="009D3402" w14:paraId="3702405B" w14:textId="711A92CB">
      <w:pPr>
        <w:pStyle w:val="BodyText"/>
        <w:spacing w:before="120"/>
        <w:ind w:left="139" w:right="295"/>
      </w:pPr>
      <w:r>
        <w:t xml:space="preserve">As noted above, trawl respondents have the option of electronic or paper for completion of this information collection. Non-trawl respondents must submit this information electronically. </w:t>
      </w:r>
    </w:p>
    <w:p w:rsidR="00F17BC1" w:rsidP="009D3402" w14:paraId="44F90F41" w14:textId="77777777">
      <w:pPr>
        <w:pStyle w:val="BodyText"/>
        <w:spacing w:before="120"/>
        <w:ind w:left="139" w:right="295"/>
      </w:pPr>
      <w:r>
        <w:t>For the trawl logbook paper submission, t</w:t>
      </w:r>
      <w:r w:rsidR="00081D94">
        <w:t>he total annual cost burden is offset by NMFS and the PSMFC providing both the forms and pre- addressed envelopes in which to return the forms. Therefore, the only cost burden to respondents would be to photocopy</w:t>
      </w:r>
      <w:r w:rsidR="00081D94">
        <w:rPr>
          <w:spacing w:val="-1"/>
        </w:rPr>
        <w:t xml:space="preserve"> </w:t>
      </w:r>
      <w:r w:rsidR="00081D94">
        <w:t xml:space="preserve">the forms in order to retain records of the logbooks. These photocopies are estimated to have an annual cost burden of </w:t>
      </w:r>
      <w:r w:rsidR="008E5E65">
        <w:t>$3</w:t>
      </w:r>
      <w:r w:rsidR="00081D94">
        <w:t xml:space="preserve"> per respondent.</w:t>
      </w:r>
    </w:p>
    <w:p w:rsidR="00F17BC1" w:rsidP="009D3402" w14:paraId="6590A04F" w14:textId="43889869">
      <w:pPr>
        <w:pStyle w:val="BodyText"/>
        <w:spacing w:before="120"/>
        <w:ind w:left="139" w:right="295"/>
      </w:pPr>
      <w:r>
        <w:t>For the electronic logbook submission, t</w:t>
      </w:r>
      <w:r w:rsidRPr="00ED6AEB" w:rsidR="00ED6AEB">
        <w:t xml:space="preserve">here are no capital costs or ongoing operation and maintenance costs </w:t>
      </w:r>
      <w:r>
        <w:t>for respondents or record keepers</w:t>
      </w:r>
      <w:r w:rsidRPr="00ED6AEB" w:rsidR="00ED6AEB">
        <w:t xml:space="preserve">. The electronic logbook application </w:t>
      </w:r>
      <w:r>
        <w:t>is</w:t>
      </w:r>
      <w:r w:rsidRPr="00ED6AEB" w:rsidR="00ED6AEB">
        <w:t xml:space="preserve"> available to download free of charge on a smart phone, a tablet, or computer (all fishers have at least one of these devices). Additionally, there </w:t>
      </w:r>
      <w:r>
        <w:t>is</w:t>
      </w:r>
      <w:r w:rsidRPr="00ED6AEB" w:rsidR="00ED6AEB">
        <w:t xml:space="preserve"> no charge for logbook submissions</w:t>
      </w:r>
      <w:r>
        <w:t>.</w:t>
      </w:r>
    </w:p>
    <w:p w:rsidR="00ED6AEB" w:rsidP="009D3402" w14:paraId="30448A45" w14:textId="77777777">
      <w:pPr>
        <w:pStyle w:val="BodyText"/>
        <w:spacing w:before="120"/>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94"/>
        <w:gridCol w:w="2037"/>
        <w:gridCol w:w="1454"/>
        <w:gridCol w:w="1620"/>
        <w:gridCol w:w="1440"/>
        <w:gridCol w:w="1529"/>
      </w:tblGrid>
      <w:tr w14:paraId="449C8B48" w14:textId="77777777" w:rsidTr="00A100F9">
        <w:tblPrEx>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13"/>
        </w:trPr>
        <w:tc>
          <w:tcPr>
            <w:tcW w:w="2194" w:type="dxa"/>
            <w:shd w:val="clear" w:color="auto" w:fill="BCD6ED"/>
            <w:vAlign w:val="center"/>
          </w:tcPr>
          <w:p w:rsidR="00956DFE" w:rsidRPr="00A100F9" w:rsidP="009D3402" w14:paraId="77C124CB" w14:textId="77777777">
            <w:pPr>
              <w:pStyle w:val="TableParagraph"/>
              <w:spacing w:before="120"/>
              <w:ind w:left="30" w:right="135"/>
              <w:jc w:val="center"/>
              <w:rPr>
                <w:rFonts w:asciiTheme="minorHAnsi" w:hAnsiTheme="minorHAnsi" w:cstheme="minorHAnsi"/>
                <w:b/>
                <w:sz w:val="18"/>
                <w:szCs w:val="18"/>
              </w:rPr>
            </w:pPr>
            <w:r w:rsidRPr="00A100F9">
              <w:rPr>
                <w:rFonts w:asciiTheme="minorHAnsi" w:hAnsiTheme="minorHAnsi" w:cstheme="minorHAnsi"/>
                <w:b/>
                <w:sz w:val="18"/>
                <w:szCs w:val="18"/>
              </w:rPr>
              <w:t>Information</w:t>
            </w:r>
            <w:r w:rsidRPr="00A100F9">
              <w:rPr>
                <w:rFonts w:asciiTheme="minorHAnsi" w:hAnsiTheme="minorHAnsi" w:cstheme="minorHAnsi"/>
                <w:b/>
                <w:spacing w:val="-9"/>
                <w:sz w:val="18"/>
                <w:szCs w:val="18"/>
              </w:rPr>
              <w:t xml:space="preserve"> </w:t>
            </w:r>
            <w:r w:rsidRPr="00A100F9">
              <w:rPr>
                <w:rFonts w:asciiTheme="minorHAnsi" w:hAnsiTheme="minorHAnsi" w:cstheme="minorHAnsi"/>
                <w:b/>
                <w:spacing w:val="-2"/>
                <w:sz w:val="18"/>
                <w:szCs w:val="18"/>
              </w:rPr>
              <w:t>Collection</w:t>
            </w:r>
          </w:p>
        </w:tc>
        <w:tc>
          <w:tcPr>
            <w:tcW w:w="2037" w:type="dxa"/>
            <w:shd w:val="clear" w:color="auto" w:fill="BCD6ED"/>
            <w:vAlign w:val="center"/>
          </w:tcPr>
          <w:p w:rsidR="00956DFE" w:rsidRPr="00A100F9" w:rsidP="009D3402" w14:paraId="47AD6FB0" w14:textId="77777777">
            <w:pPr>
              <w:pStyle w:val="TableParagraph"/>
              <w:spacing w:before="120"/>
              <w:ind w:left="107" w:right="84" w:hanging="4"/>
              <w:jc w:val="center"/>
              <w:rPr>
                <w:rFonts w:asciiTheme="minorHAnsi" w:hAnsiTheme="minorHAnsi" w:cstheme="minorHAnsi"/>
                <w:b/>
                <w:sz w:val="18"/>
                <w:szCs w:val="18"/>
              </w:rPr>
            </w:pPr>
            <w:r w:rsidRPr="00A100F9">
              <w:rPr>
                <w:rFonts w:asciiTheme="minorHAnsi" w:hAnsiTheme="minorHAnsi" w:cstheme="minorHAnsi"/>
                <w:b/>
                <w:sz w:val="18"/>
                <w:szCs w:val="18"/>
              </w:rPr>
              <w:t>#</w:t>
            </w:r>
            <w:r w:rsidRPr="00A100F9">
              <w:rPr>
                <w:rFonts w:asciiTheme="minorHAnsi" w:hAnsiTheme="minorHAnsi" w:cstheme="minorHAnsi"/>
                <w:b/>
                <w:spacing w:val="-9"/>
                <w:sz w:val="18"/>
                <w:szCs w:val="18"/>
              </w:rPr>
              <w:t xml:space="preserve"> </w:t>
            </w:r>
            <w:r w:rsidRPr="00A100F9">
              <w:rPr>
                <w:rFonts w:asciiTheme="minorHAnsi" w:hAnsiTheme="minorHAnsi" w:cstheme="minorHAnsi"/>
                <w:b/>
                <w:sz w:val="18"/>
                <w:szCs w:val="18"/>
              </w:rPr>
              <w:t>of</w:t>
            </w:r>
            <w:r w:rsidRPr="00A100F9">
              <w:rPr>
                <w:rFonts w:asciiTheme="minorHAnsi" w:hAnsiTheme="minorHAnsi" w:cstheme="minorHAnsi"/>
                <w:b/>
                <w:spacing w:val="40"/>
                <w:sz w:val="18"/>
                <w:szCs w:val="18"/>
              </w:rPr>
              <w:t xml:space="preserve"> </w:t>
            </w:r>
            <w:r w:rsidRPr="00A100F9">
              <w:rPr>
                <w:rFonts w:asciiTheme="minorHAnsi" w:hAnsiTheme="minorHAnsi" w:cstheme="minorHAnsi"/>
                <w:b/>
                <w:spacing w:val="-2"/>
                <w:sz w:val="18"/>
                <w:szCs w:val="18"/>
              </w:rPr>
              <w:t>Respondents/year</w:t>
            </w:r>
            <w:r w:rsidRPr="00A100F9">
              <w:rPr>
                <w:rFonts w:asciiTheme="minorHAnsi" w:hAnsiTheme="minorHAnsi" w:cstheme="minorHAnsi"/>
                <w:b/>
                <w:spacing w:val="40"/>
                <w:sz w:val="18"/>
                <w:szCs w:val="18"/>
              </w:rPr>
              <w:t xml:space="preserve"> </w:t>
            </w:r>
            <w:r w:rsidRPr="00A100F9">
              <w:rPr>
                <w:rFonts w:asciiTheme="minorHAnsi" w:hAnsiTheme="minorHAnsi" w:cstheme="minorHAnsi"/>
                <w:b/>
                <w:spacing w:val="-4"/>
                <w:sz w:val="18"/>
                <w:szCs w:val="18"/>
              </w:rPr>
              <w:t>(a)</w:t>
            </w:r>
          </w:p>
        </w:tc>
        <w:tc>
          <w:tcPr>
            <w:tcW w:w="1454" w:type="dxa"/>
            <w:shd w:val="clear" w:color="auto" w:fill="BCD6ED"/>
            <w:vAlign w:val="center"/>
          </w:tcPr>
          <w:p w:rsidR="00A100F9" w:rsidP="009D3402" w14:paraId="63A29B29" w14:textId="77777777">
            <w:pPr>
              <w:pStyle w:val="TableParagraph"/>
              <w:spacing w:before="120"/>
              <w:ind w:left="121" w:right="150" w:hanging="2"/>
              <w:jc w:val="center"/>
              <w:rPr>
                <w:rFonts w:asciiTheme="minorHAnsi" w:hAnsiTheme="minorHAnsi" w:cstheme="minorHAnsi"/>
                <w:b/>
                <w:spacing w:val="40"/>
                <w:sz w:val="18"/>
                <w:szCs w:val="18"/>
              </w:rPr>
            </w:pPr>
            <w:r w:rsidRPr="00A100F9">
              <w:rPr>
                <w:rFonts w:asciiTheme="minorHAnsi" w:hAnsiTheme="minorHAnsi" w:cstheme="minorHAnsi"/>
                <w:b/>
                <w:sz w:val="18"/>
                <w:szCs w:val="18"/>
              </w:rPr>
              <w:t>Annual # of</w:t>
            </w:r>
            <w:r w:rsidRPr="00A100F9">
              <w:rPr>
                <w:rFonts w:asciiTheme="minorHAnsi" w:hAnsiTheme="minorHAnsi" w:cstheme="minorHAnsi"/>
                <w:b/>
                <w:spacing w:val="40"/>
                <w:sz w:val="18"/>
                <w:szCs w:val="18"/>
              </w:rPr>
              <w:t xml:space="preserve"> </w:t>
            </w:r>
            <w:r w:rsidRPr="00A100F9">
              <w:rPr>
                <w:rFonts w:asciiTheme="minorHAnsi" w:hAnsiTheme="minorHAnsi" w:cstheme="minorHAnsi"/>
                <w:b/>
                <w:sz w:val="18"/>
                <w:szCs w:val="18"/>
              </w:rPr>
              <w:t>Responses</w:t>
            </w:r>
            <w:r w:rsidRPr="00A100F9">
              <w:rPr>
                <w:rFonts w:asciiTheme="minorHAnsi" w:hAnsiTheme="minorHAnsi" w:cstheme="minorHAnsi"/>
                <w:b/>
                <w:spacing w:val="-10"/>
                <w:sz w:val="18"/>
                <w:szCs w:val="18"/>
              </w:rPr>
              <w:t xml:space="preserve"> </w:t>
            </w:r>
            <w:r w:rsidRPr="00A100F9">
              <w:rPr>
                <w:rFonts w:asciiTheme="minorHAnsi" w:hAnsiTheme="minorHAnsi" w:cstheme="minorHAnsi"/>
                <w:b/>
                <w:sz w:val="18"/>
                <w:szCs w:val="18"/>
              </w:rPr>
              <w:t>/</w:t>
            </w:r>
            <w:r w:rsidRPr="00A100F9">
              <w:rPr>
                <w:rFonts w:asciiTheme="minorHAnsi" w:hAnsiTheme="minorHAnsi" w:cstheme="minorHAnsi"/>
                <w:b/>
                <w:spacing w:val="40"/>
                <w:sz w:val="18"/>
                <w:szCs w:val="18"/>
              </w:rPr>
              <w:t xml:space="preserve"> </w:t>
            </w:r>
            <w:r w:rsidRPr="00A100F9">
              <w:rPr>
                <w:rFonts w:asciiTheme="minorHAnsi" w:hAnsiTheme="minorHAnsi" w:cstheme="minorHAnsi"/>
                <w:b/>
                <w:spacing w:val="-2"/>
                <w:sz w:val="18"/>
                <w:szCs w:val="18"/>
              </w:rPr>
              <w:t>Respondent</w:t>
            </w:r>
            <w:r w:rsidRPr="00A100F9">
              <w:rPr>
                <w:rFonts w:asciiTheme="minorHAnsi" w:hAnsiTheme="minorHAnsi" w:cstheme="minorHAnsi"/>
                <w:b/>
                <w:spacing w:val="40"/>
                <w:sz w:val="18"/>
                <w:szCs w:val="18"/>
              </w:rPr>
              <w:t xml:space="preserve"> </w:t>
            </w:r>
          </w:p>
          <w:p w:rsidR="00956DFE" w:rsidRPr="00A100F9" w:rsidP="009D3402" w14:paraId="70276722" w14:textId="77777777">
            <w:pPr>
              <w:pStyle w:val="TableParagraph"/>
              <w:spacing w:before="120"/>
              <w:ind w:left="121" w:right="150" w:hanging="2"/>
              <w:jc w:val="center"/>
              <w:rPr>
                <w:rFonts w:asciiTheme="minorHAnsi" w:hAnsiTheme="minorHAnsi" w:cstheme="minorHAnsi"/>
                <w:b/>
                <w:sz w:val="18"/>
                <w:szCs w:val="18"/>
              </w:rPr>
            </w:pPr>
            <w:r w:rsidRPr="00A100F9">
              <w:rPr>
                <w:rFonts w:asciiTheme="minorHAnsi" w:hAnsiTheme="minorHAnsi" w:cstheme="minorHAnsi"/>
                <w:b/>
                <w:spacing w:val="-4"/>
                <w:sz w:val="18"/>
                <w:szCs w:val="18"/>
              </w:rPr>
              <w:t>(b)</w:t>
            </w:r>
          </w:p>
        </w:tc>
        <w:tc>
          <w:tcPr>
            <w:tcW w:w="1620" w:type="dxa"/>
            <w:shd w:val="clear" w:color="auto" w:fill="BCD6ED"/>
            <w:vAlign w:val="center"/>
          </w:tcPr>
          <w:p w:rsidR="00956DFE" w:rsidRPr="00A100F9" w:rsidP="009D3402" w14:paraId="32AC6B21" w14:textId="77777777">
            <w:pPr>
              <w:pStyle w:val="TableParagraph"/>
              <w:spacing w:before="120"/>
              <w:ind w:left="196" w:right="150" w:hanging="30"/>
              <w:jc w:val="center"/>
              <w:rPr>
                <w:rFonts w:asciiTheme="minorHAnsi" w:hAnsiTheme="minorHAnsi" w:cstheme="minorHAnsi"/>
                <w:b/>
                <w:sz w:val="18"/>
                <w:szCs w:val="18"/>
              </w:rPr>
            </w:pPr>
            <w:r w:rsidRPr="00A100F9">
              <w:rPr>
                <w:rFonts w:asciiTheme="minorHAnsi" w:hAnsiTheme="minorHAnsi" w:cstheme="minorHAnsi"/>
                <w:b/>
                <w:sz w:val="18"/>
                <w:szCs w:val="18"/>
              </w:rPr>
              <w:t>Total</w:t>
            </w:r>
            <w:r w:rsidRPr="00A100F9">
              <w:rPr>
                <w:rFonts w:asciiTheme="minorHAnsi" w:hAnsiTheme="minorHAnsi" w:cstheme="minorHAnsi"/>
                <w:b/>
                <w:spacing w:val="-10"/>
                <w:sz w:val="18"/>
                <w:szCs w:val="18"/>
              </w:rPr>
              <w:t xml:space="preserve"> </w:t>
            </w:r>
            <w:r w:rsidRPr="00A100F9">
              <w:rPr>
                <w:rFonts w:asciiTheme="minorHAnsi" w:hAnsiTheme="minorHAnsi" w:cstheme="minorHAnsi"/>
                <w:b/>
                <w:sz w:val="18"/>
                <w:szCs w:val="18"/>
              </w:rPr>
              <w:t>#</w:t>
            </w:r>
            <w:r w:rsidRPr="00A100F9">
              <w:rPr>
                <w:rFonts w:asciiTheme="minorHAnsi" w:hAnsiTheme="minorHAnsi" w:cstheme="minorHAnsi"/>
                <w:b/>
                <w:spacing w:val="-9"/>
                <w:sz w:val="18"/>
                <w:szCs w:val="18"/>
              </w:rPr>
              <w:t xml:space="preserve"> </w:t>
            </w:r>
            <w:r w:rsidRPr="00A100F9">
              <w:rPr>
                <w:rFonts w:asciiTheme="minorHAnsi" w:hAnsiTheme="minorHAnsi" w:cstheme="minorHAnsi"/>
                <w:b/>
                <w:sz w:val="18"/>
                <w:szCs w:val="18"/>
              </w:rPr>
              <w:t>of</w:t>
            </w:r>
            <w:r w:rsidRPr="00A100F9">
              <w:rPr>
                <w:rFonts w:asciiTheme="minorHAnsi" w:hAnsiTheme="minorHAnsi" w:cstheme="minorHAnsi"/>
                <w:b/>
                <w:spacing w:val="-9"/>
                <w:sz w:val="18"/>
                <w:szCs w:val="18"/>
              </w:rPr>
              <w:t xml:space="preserve"> </w:t>
            </w:r>
            <w:r w:rsidRPr="00A100F9">
              <w:rPr>
                <w:rFonts w:asciiTheme="minorHAnsi" w:hAnsiTheme="minorHAnsi" w:cstheme="minorHAnsi"/>
                <w:b/>
                <w:sz w:val="18"/>
                <w:szCs w:val="18"/>
              </w:rPr>
              <w:t>Annual</w:t>
            </w:r>
            <w:r w:rsidRPr="00A100F9">
              <w:rPr>
                <w:rFonts w:asciiTheme="minorHAnsi" w:hAnsiTheme="minorHAnsi" w:cstheme="minorHAnsi"/>
                <w:b/>
                <w:spacing w:val="40"/>
                <w:sz w:val="18"/>
                <w:szCs w:val="18"/>
              </w:rPr>
              <w:t xml:space="preserve"> </w:t>
            </w:r>
            <w:r w:rsidRPr="00A100F9">
              <w:rPr>
                <w:rFonts w:asciiTheme="minorHAnsi" w:hAnsiTheme="minorHAnsi" w:cstheme="minorHAnsi"/>
                <w:b/>
                <w:spacing w:val="-2"/>
                <w:sz w:val="18"/>
                <w:szCs w:val="18"/>
              </w:rPr>
              <w:t>Responses</w:t>
            </w:r>
          </w:p>
          <w:p w:rsidR="00956DFE" w:rsidRPr="00A100F9" w:rsidP="009D3402" w14:paraId="1B969A7F" w14:textId="77777777">
            <w:pPr>
              <w:pStyle w:val="TableParagraph"/>
              <w:spacing w:before="120"/>
              <w:ind w:left="106" w:right="150"/>
              <w:jc w:val="center"/>
              <w:rPr>
                <w:rFonts w:asciiTheme="minorHAnsi" w:hAnsiTheme="minorHAnsi" w:cstheme="minorHAnsi"/>
                <w:b/>
                <w:sz w:val="18"/>
                <w:szCs w:val="18"/>
              </w:rPr>
            </w:pPr>
            <w:r w:rsidRPr="00A100F9">
              <w:rPr>
                <w:rFonts w:asciiTheme="minorHAnsi" w:hAnsiTheme="minorHAnsi" w:cstheme="minorHAnsi"/>
                <w:b/>
                <w:sz w:val="18"/>
                <w:szCs w:val="18"/>
              </w:rPr>
              <w:t>(c)</w:t>
            </w:r>
            <w:r w:rsidRPr="00A100F9">
              <w:rPr>
                <w:rFonts w:asciiTheme="minorHAnsi" w:hAnsiTheme="minorHAnsi" w:cstheme="minorHAnsi"/>
                <w:b/>
                <w:spacing w:val="-1"/>
                <w:sz w:val="18"/>
                <w:szCs w:val="18"/>
              </w:rPr>
              <w:t xml:space="preserve"> </w:t>
            </w:r>
            <w:r w:rsidRPr="00A100F9">
              <w:rPr>
                <w:rFonts w:asciiTheme="minorHAnsi" w:hAnsiTheme="minorHAnsi" w:cstheme="minorHAnsi"/>
                <w:b/>
                <w:sz w:val="18"/>
                <w:szCs w:val="18"/>
              </w:rPr>
              <w:t>=</w:t>
            </w:r>
            <w:r w:rsidRPr="00A100F9">
              <w:rPr>
                <w:rFonts w:asciiTheme="minorHAnsi" w:hAnsiTheme="minorHAnsi" w:cstheme="minorHAnsi"/>
                <w:b/>
                <w:spacing w:val="-2"/>
                <w:sz w:val="18"/>
                <w:szCs w:val="18"/>
              </w:rPr>
              <w:t xml:space="preserve"> </w:t>
            </w:r>
            <w:r w:rsidRPr="00A100F9">
              <w:rPr>
                <w:rFonts w:asciiTheme="minorHAnsi" w:hAnsiTheme="minorHAnsi" w:cstheme="minorHAnsi"/>
                <w:b/>
                <w:sz w:val="18"/>
                <w:szCs w:val="18"/>
              </w:rPr>
              <w:t>(a)</w:t>
            </w:r>
            <w:r w:rsidRPr="00A100F9">
              <w:rPr>
                <w:rFonts w:asciiTheme="minorHAnsi" w:hAnsiTheme="minorHAnsi" w:cstheme="minorHAnsi"/>
                <w:b/>
                <w:spacing w:val="-1"/>
                <w:sz w:val="18"/>
                <w:szCs w:val="18"/>
              </w:rPr>
              <w:t xml:space="preserve"> </w:t>
            </w:r>
            <w:r w:rsidRPr="00A100F9">
              <w:rPr>
                <w:rFonts w:asciiTheme="minorHAnsi" w:hAnsiTheme="minorHAnsi" w:cstheme="minorHAnsi"/>
                <w:b/>
                <w:sz w:val="18"/>
                <w:szCs w:val="18"/>
              </w:rPr>
              <w:t xml:space="preserve">x </w:t>
            </w:r>
            <w:r w:rsidRPr="00A100F9">
              <w:rPr>
                <w:rFonts w:asciiTheme="minorHAnsi" w:hAnsiTheme="minorHAnsi" w:cstheme="minorHAnsi"/>
                <w:b/>
                <w:spacing w:val="-5"/>
                <w:sz w:val="18"/>
                <w:szCs w:val="18"/>
              </w:rPr>
              <w:t>(b)</w:t>
            </w:r>
          </w:p>
        </w:tc>
        <w:tc>
          <w:tcPr>
            <w:tcW w:w="1440" w:type="dxa"/>
            <w:shd w:val="clear" w:color="auto" w:fill="BCD6ED"/>
            <w:vAlign w:val="center"/>
          </w:tcPr>
          <w:p w:rsidR="00956DFE" w:rsidRPr="00A100F9" w:rsidP="009D3402" w14:paraId="7BB1B4E1" w14:textId="77777777">
            <w:pPr>
              <w:pStyle w:val="TableParagraph"/>
              <w:spacing w:before="120"/>
              <w:ind w:left="106" w:right="242"/>
              <w:jc w:val="center"/>
              <w:rPr>
                <w:rFonts w:asciiTheme="minorHAnsi" w:hAnsiTheme="minorHAnsi" w:cstheme="minorHAnsi"/>
                <w:b/>
                <w:sz w:val="18"/>
                <w:szCs w:val="18"/>
              </w:rPr>
            </w:pPr>
            <w:r w:rsidRPr="00A100F9">
              <w:rPr>
                <w:rFonts w:asciiTheme="minorHAnsi" w:hAnsiTheme="minorHAnsi" w:cstheme="minorHAnsi"/>
                <w:b/>
                <w:sz w:val="18"/>
                <w:szCs w:val="18"/>
              </w:rPr>
              <w:t>Cost</w:t>
            </w:r>
            <w:r w:rsidRPr="00A100F9">
              <w:rPr>
                <w:rFonts w:asciiTheme="minorHAnsi" w:hAnsiTheme="minorHAnsi" w:cstheme="minorHAnsi"/>
                <w:b/>
                <w:spacing w:val="-10"/>
                <w:sz w:val="18"/>
                <w:szCs w:val="18"/>
              </w:rPr>
              <w:t xml:space="preserve"> </w:t>
            </w:r>
            <w:r w:rsidRPr="00A100F9">
              <w:rPr>
                <w:rFonts w:asciiTheme="minorHAnsi" w:hAnsiTheme="minorHAnsi" w:cstheme="minorHAnsi"/>
                <w:b/>
                <w:sz w:val="18"/>
                <w:szCs w:val="18"/>
              </w:rPr>
              <w:t>Burden</w:t>
            </w:r>
            <w:r w:rsidRPr="00A100F9">
              <w:rPr>
                <w:rFonts w:asciiTheme="minorHAnsi" w:hAnsiTheme="minorHAnsi" w:cstheme="minorHAnsi"/>
                <w:b/>
                <w:spacing w:val="-9"/>
                <w:sz w:val="18"/>
                <w:szCs w:val="18"/>
              </w:rPr>
              <w:t xml:space="preserve"> </w:t>
            </w:r>
            <w:r w:rsidRPr="00A100F9">
              <w:rPr>
                <w:rFonts w:asciiTheme="minorHAnsi" w:hAnsiTheme="minorHAnsi" w:cstheme="minorHAnsi"/>
                <w:b/>
                <w:sz w:val="18"/>
                <w:szCs w:val="18"/>
              </w:rPr>
              <w:t>/</w:t>
            </w:r>
            <w:r w:rsidRPr="00A100F9">
              <w:rPr>
                <w:rFonts w:asciiTheme="minorHAnsi" w:hAnsiTheme="minorHAnsi" w:cstheme="minorHAnsi"/>
                <w:b/>
                <w:spacing w:val="40"/>
                <w:sz w:val="18"/>
                <w:szCs w:val="18"/>
              </w:rPr>
              <w:t xml:space="preserve"> </w:t>
            </w:r>
            <w:r w:rsidRPr="00A100F9">
              <w:rPr>
                <w:rFonts w:asciiTheme="minorHAnsi" w:hAnsiTheme="minorHAnsi" w:cstheme="minorHAnsi"/>
                <w:b/>
                <w:spacing w:val="-2"/>
                <w:sz w:val="18"/>
                <w:szCs w:val="18"/>
              </w:rPr>
              <w:t>Respondent</w:t>
            </w:r>
            <w:r w:rsidRPr="00A100F9">
              <w:rPr>
                <w:rFonts w:asciiTheme="minorHAnsi" w:hAnsiTheme="minorHAnsi" w:cstheme="minorHAnsi"/>
                <w:b/>
                <w:spacing w:val="40"/>
                <w:sz w:val="18"/>
                <w:szCs w:val="18"/>
              </w:rPr>
              <w:t xml:space="preserve"> </w:t>
            </w:r>
            <w:r w:rsidRPr="00A100F9">
              <w:rPr>
                <w:rFonts w:asciiTheme="minorHAnsi" w:hAnsiTheme="minorHAnsi" w:cstheme="minorHAnsi"/>
                <w:b/>
                <w:spacing w:val="-4"/>
                <w:sz w:val="18"/>
                <w:szCs w:val="18"/>
              </w:rPr>
              <w:t>(h)</w:t>
            </w:r>
          </w:p>
        </w:tc>
        <w:tc>
          <w:tcPr>
            <w:tcW w:w="1529" w:type="dxa"/>
            <w:shd w:val="clear" w:color="auto" w:fill="BCD6ED"/>
            <w:vAlign w:val="center"/>
          </w:tcPr>
          <w:p w:rsidR="00956DFE" w:rsidRPr="00A100F9" w:rsidP="009D3402" w14:paraId="6B750529" w14:textId="77777777">
            <w:pPr>
              <w:pStyle w:val="TableParagraph"/>
              <w:spacing w:before="120"/>
              <w:ind w:left="106" w:right="151" w:hanging="24"/>
              <w:jc w:val="center"/>
              <w:rPr>
                <w:rFonts w:asciiTheme="minorHAnsi" w:hAnsiTheme="minorHAnsi" w:cstheme="minorHAnsi"/>
                <w:b/>
                <w:sz w:val="18"/>
                <w:szCs w:val="18"/>
              </w:rPr>
            </w:pPr>
            <w:r w:rsidRPr="00A100F9">
              <w:rPr>
                <w:rFonts w:asciiTheme="minorHAnsi" w:hAnsiTheme="minorHAnsi" w:cstheme="minorHAnsi"/>
                <w:b/>
                <w:sz w:val="18"/>
                <w:szCs w:val="18"/>
              </w:rPr>
              <w:t>Total</w:t>
            </w:r>
            <w:r w:rsidRPr="00A100F9">
              <w:rPr>
                <w:rFonts w:asciiTheme="minorHAnsi" w:hAnsiTheme="minorHAnsi" w:cstheme="minorHAnsi"/>
                <w:b/>
                <w:spacing w:val="-10"/>
                <w:sz w:val="18"/>
                <w:szCs w:val="18"/>
              </w:rPr>
              <w:t xml:space="preserve"> </w:t>
            </w:r>
            <w:r w:rsidRPr="00A100F9">
              <w:rPr>
                <w:rFonts w:asciiTheme="minorHAnsi" w:hAnsiTheme="minorHAnsi" w:cstheme="minorHAnsi"/>
                <w:b/>
                <w:sz w:val="18"/>
                <w:szCs w:val="18"/>
              </w:rPr>
              <w:t>Annual</w:t>
            </w:r>
            <w:r w:rsidRPr="00A100F9">
              <w:rPr>
                <w:rFonts w:asciiTheme="minorHAnsi" w:hAnsiTheme="minorHAnsi" w:cstheme="minorHAnsi"/>
                <w:b/>
                <w:spacing w:val="-9"/>
                <w:sz w:val="18"/>
                <w:szCs w:val="18"/>
              </w:rPr>
              <w:t xml:space="preserve"> </w:t>
            </w:r>
            <w:r w:rsidRPr="00A100F9">
              <w:rPr>
                <w:rFonts w:asciiTheme="minorHAnsi" w:hAnsiTheme="minorHAnsi" w:cstheme="minorHAnsi"/>
                <w:b/>
                <w:sz w:val="18"/>
                <w:szCs w:val="18"/>
              </w:rPr>
              <w:t>Cost</w:t>
            </w:r>
            <w:r w:rsidRPr="00A100F9">
              <w:rPr>
                <w:rFonts w:asciiTheme="minorHAnsi" w:hAnsiTheme="minorHAnsi" w:cstheme="minorHAnsi"/>
                <w:b/>
                <w:spacing w:val="40"/>
                <w:sz w:val="18"/>
                <w:szCs w:val="18"/>
              </w:rPr>
              <w:t xml:space="preserve"> </w:t>
            </w:r>
            <w:r w:rsidRPr="00A100F9">
              <w:rPr>
                <w:rFonts w:asciiTheme="minorHAnsi" w:hAnsiTheme="minorHAnsi" w:cstheme="minorHAnsi"/>
                <w:b/>
                <w:spacing w:val="-2"/>
                <w:sz w:val="18"/>
                <w:szCs w:val="18"/>
              </w:rPr>
              <w:t>Burden</w:t>
            </w:r>
          </w:p>
          <w:p w:rsidR="00956DFE" w:rsidRPr="00A100F9" w:rsidP="009D3402" w14:paraId="0353E59E" w14:textId="77777777">
            <w:pPr>
              <w:pStyle w:val="TableParagraph"/>
              <w:spacing w:before="120"/>
              <w:ind w:left="106" w:right="151" w:hanging="24"/>
              <w:jc w:val="center"/>
              <w:rPr>
                <w:rFonts w:asciiTheme="minorHAnsi" w:hAnsiTheme="minorHAnsi" w:cstheme="minorHAnsi"/>
                <w:b/>
                <w:sz w:val="18"/>
                <w:szCs w:val="18"/>
              </w:rPr>
            </w:pPr>
            <w:r w:rsidRPr="00A100F9">
              <w:rPr>
                <w:rFonts w:asciiTheme="minorHAnsi" w:hAnsiTheme="minorHAnsi" w:cstheme="minorHAnsi"/>
                <w:b/>
                <w:sz w:val="18"/>
                <w:szCs w:val="18"/>
              </w:rPr>
              <w:t>(</w:t>
            </w:r>
            <w:r w:rsidRPr="00A100F9">
              <w:rPr>
                <w:rFonts w:asciiTheme="minorHAnsi" w:hAnsiTheme="minorHAnsi" w:cstheme="minorHAnsi"/>
                <w:b/>
                <w:sz w:val="18"/>
                <w:szCs w:val="18"/>
              </w:rPr>
              <w:t>i</w:t>
            </w:r>
            <w:r w:rsidRPr="00A100F9">
              <w:rPr>
                <w:rFonts w:asciiTheme="minorHAnsi" w:hAnsiTheme="minorHAnsi" w:cstheme="minorHAnsi"/>
                <w:b/>
                <w:sz w:val="18"/>
                <w:szCs w:val="18"/>
              </w:rPr>
              <w:t>)</w:t>
            </w:r>
            <w:r w:rsidRPr="00A100F9">
              <w:rPr>
                <w:rFonts w:asciiTheme="minorHAnsi" w:hAnsiTheme="minorHAnsi" w:cstheme="minorHAnsi"/>
                <w:b/>
                <w:spacing w:val="-1"/>
                <w:sz w:val="18"/>
                <w:szCs w:val="18"/>
              </w:rPr>
              <w:t xml:space="preserve"> </w:t>
            </w:r>
            <w:r w:rsidRPr="00A100F9">
              <w:rPr>
                <w:rFonts w:asciiTheme="minorHAnsi" w:hAnsiTheme="minorHAnsi" w:cstheme="minorHAnsi"/>
                <w:b/>
                <w:sz w:val="18"/>
                <w:szCs w:val="18"/>
              </w:rPr>
              <w:t>=</w:t>
            </w:r>
            <w:r w:rsidRPr="00A100F9">
              <w:rPr>
                <w:rFonts w:asciiTheme="minorHAnsi" w:hAnsiTheme="minorHAnsi" w:cstheme="minorHAnsi"/>
                <w:b/>
                <w:spacing w:val="-3"/>
                <w:sz w:val="18"/>
                <w:szCs w:val="18"/>
              </w:rPr>
              <w:t xml:space="preserve"> </w:t>
            </w:r>
            <w:r w:rsidRPr="00A100F9">
              <w:rPr>
                <w:rFonts w:asciiTheme="minorHAnsi" w:hAnsiTheme="minorHAnsi" w:cstheme="minorHAnsi"/>
                <w:b/>
                <w:sz w:val="18"/>
                <w:szCs w:val="18"/>
              </w:rPr>
              <w:t>(c)</w:t>
            </w:r>
            <w:r w:rsidRPr="00A100F9">
              <w:rPr>
                <w:rFonts w:asciiTheme="minorHAnsi" w:hAnsiTheme="minorHAnsi" w:cstheme="minorHAnsi"/>
                <w:b/>
                <w:spacing w:val="-1"/>
                <w:sz w:val="18"/>
                <w:szCs w:val="18"/>
              </w:rPr>
              <w:t xml:space="preserve"> </w:t>
            </w:r>
            <w:r w:rsidRPr="00A100F9">
              <w:rPr>
                <w:rFonts w:asciiTheme="minorHAnsi" w:hAnsiTheme="minorHAnsi" w:cstheme="minorHAnsi"/>
                <w:b/>
                <w:sz w:val="18"/>
                <w:szCs w:val="18"/>
              </w:rPr>
              <w:t xml:space="preserve">x </w:t>
            </w:r>
            <w:r w:rsidRPr="00A100F9">
              <w:rPr>
                <w:rFonts w:asciiTheme="minorHAnsi" w:hAnsiTheme="minorHAnsi" w:cstheme="minorHAnsi"/>
                <w:b/>
                <w:spacing w:val="-5"/>
                <w:sz w:val="18"/>
                <w:szCs w:val="18"/>
              </w:rPr>
              <w:t>(h)</w:t>
            </w:r>
          </w:p>
        </w:tc>
      </w:tr>
      <w:tr w14:paraId="210B0FD4" w14:textId="77777777" w:rsidTr="00ED6AEB">
        <w:tblPrEx>
          <w:tblW w:w="0" w:type="auto"/>
          <w:tblInd w:w="136" w:type="dxa"/>
          <w:tblLayout w:type="fixed"/>
          <w:tblCellMar>
            <w:left w:w="0" w:type="dxa"/>
            <w:right w:w="0" w:type="dxa"/>
          </w:tblCellMar>
          <w:tblLook w:val="01E0"/>
        </w:tblPrEx>
        <w:trPr>
          <w:trHeight w:val="301"/>
        </w:trPr>
        <w:tc>
          <w:tcPr>
            <w:tcW w:w="2194" w:type="dxa"/>
            <w:tcBorders>
              <w:left w:val="single" w:sz="4" w:space="0" w:color="000000"/>
              <w:bottom w:val="single" w:sz="4" w:space="0" w:color="000000"/>
              <w:right w:val="single" w:sz="4" w:space="0" w:color="000000"/>
            </w:tcBorders>
            <w:vAlign w:val="center"/>
          </w:tcPr>
          <w:p w:rsidR="00956DFE" w:rsidRPr="00641B93" w:rsidP="009D3402" w14:paraId="44981B6E" w14:textId="77777777">
            <w:pPr>
              <w:pStyle w:val="TableParagraph"/>
              <w:spacing w:before="120"/>
              <w:ind w:left="148"/>
              <w:rPr>
                <w:rFonts w:asciiTheme="minorHAnsi" w:hAnsiTheme="minorHAnsi" w:cstheme="minorHAnsi"/>
                <w:sz w:val="18"/>
                <w:szCs w:val="18"/>
              </w:rPr>
            </w:pPr>
            <w:r w:rsidRPr="00641B93">
              <w:rPr>
                <w:rFonts w:asciiTheme="minorHAnsi" w:hAnsiTheme="minorHAnsi" w:cstheme="minorHAnsi"/>
                <w:sz w:val="18"/>
                <w:szCs w:val="18"/>
              </w:rPr>
              <w:t>Trawl Logbook</w:t>
            </w:r>
          </w:p>
        </w:tc>
        <w:tc>
          <w:tcPr>
            <w:tcW w:w="2037" w:type="dxa"/>
            <w:tcBorders>
              <w:left w:val="single" w:sz="4" w:space="0" w:color="000000"/>
              <w:bottom w:val="single" w:sz="4" w:space="0" w:color="000000"/>
              <w:right w:val="single" w:sz="4" w:space="0" w:color="000000"/>
            </w:tcBorders>
            <w:vAlign w:val="center"/>
          </w:tcPr>
          <w:p w:rsidR="00956DFE" w:rsidRPr="00641B93" w:rsidP="009D3402" w14:paraId="1A612660" w14:textId="54D5C06B">
            <w:pPr>
              <w:pStyle w:val="TableParagraph"/>
              <w:spacing w:before="120"/>
              <w:ind w:right="91"/>
              <w:jc w:val="center"/>
              <w:rPr>
                <w:rFonts w:asciiTheme="minorHAnsi" w:hAnsiTheme="minorHAnsi" w:cstheme="minorHAnsi"/>
                <w:sz w:val="18"/>
                <w:szCs w:val="18"/>
              </w:rPr>
            </w:pPr>
            <w:r w:rsidRPr="00A12257">
              <w:rPr>
                <w:rFonts w:asciiTheme="minorHAnsi" w:hAnsiTheme="minorHAnsi" w:cstheme="minorHAnsi"/>
                <w:spacing w:val="-5"/>
                <w:sz w:val="18"/>
                <w:szCs w:val="18"/>
              </w:rPr>
              <w:t>33</w:t>
            </w:r>
          </w:p>
        </w:tc>
        <w:tc>
          <w:tcPr>
            <w:tcW w:w="1454" w:type="dxa"/>
            <w:tcBorders>
              <w:left w:val="single" w:sz="4" w:space="0" w:color="000000"/>
              <w:bottom w:val="single" w:sz="4" w:space="0" w:color="000000"/>
              <w:right w:val="single" w:sz="4" w:space="0" w:color="000000"/>
            </w:tcBorders>
            <w:vAlign w:val="center"/>
          </w:tcPr>
          <w:p w:rsidR="00956DFE" w:rsidRPr="00641B93" w:rsidP="009D3402" w14:paraId="1C09FB6E" w14:textId="77777777">
            <w:pPr>
              <w:pStyle w:val="TableParagraph"/>
              <w:spacing w:before="120"/>
              <w:ind w:right="93"/>
              <w:jc w:val="center"/>
              <w:rPr>
                <w:rFonts w:asciiTheme="minorHAnsi" w:hAnsiTheme="minorHAnsi" w:cstheme="minorHAnsi"/>
                <w:sz w:val="18"/>
                <w:szCs w:val="18"/>
              </w:rPr>
            </w:pPr>
            <w:r w:rsidRPr="00641B93">
              <w:rPr>
                <w:rFonts w:asciiTheme="minorHAnsi" w:hAnsiTheme="minorHAnsi" w:cstheme="minorHAnsi"/>
                <w:sz w:val="18"/>
                <w:szCs w:val="18"/>
              </w:rPr>
              <w:t>8</w:t>
            </w:r>
          </w:p>
        </w:tc>
        <w:tc>
          <w:tcPr>
            <w:tcW w:w="1620" w:type="dxa"/>
            <w:tcBorders>
              <w:left w:val="single" w:sz="4" w:space="0" w:color="000000"/>
              <w:bottom w:val="single" w:sz="4" w:space="0" w:color="000000"/>
              <w:right w:val="single" w:sz="4" w:space="0" w:color="000000"/>
            </w:tcBorders>
            <w:vAlign w:val="center"/>
          </w:tcPr>
          <w:p w:rsidR="00956DFE" w:rsidRPr="00641B93" w:rsidP="009D3402" w14:paraId="45FF7A89" w14:textId="7A71A6F5">
            <w:pPr>
              <w:pStyle w:val="TableParagraph"/>
              <w:spacing w:before="120"/>
              <w:ind w:right="90"/>
              <w:jc w:val="center"/>
              <w:rPr>
                <w:rFonts w:asciiTheme="minorHAnsi" w:hAnsiTheme="minorHAnsi" w:cstheme="minorHAnsi"/>
                <w:sz w:val="18"/>
                <w:szCs w:val="18"/>
              </w:rPr>
            </w:pPr>
            <w:r>
              <w:rPr>
                <w:rFonts w:asciiTheme="minorHAnsi" w:hAnsiTheme="minorHAnsi" w:cstheme="minorHAnsi"/>
                <w:spacing w:val="-5"/>
                <w:sz w:val="18"/>
                <w:szCs w:val="18"/>
              </w:rPr>
              <w:t>264</w:t>
            </w:r>
          </w:p>
        </w:tc>
        <w:tc>
          <w:tcPr>
            <w:tcW w:w="1440" w:type="dxa"/>
            <w:tcBorders>
              <w:left w:val="single" w:sz="4" w:space="0" w:color="000000"/>
              <w:bottom w:val="single" w:sz="4" w:space="0" w:color="000000"/>
              <w:right w:val="single" w:sz="4" w:space="0" w:color="000000"/>
            </w:tcBorders>
            <w:vAlign w:val="center"/>
          </w:tcPr>
          <w:p w:rsidR="00956DFE" w:rsidRPr="00641B93" w:rsidP="009D3402" w14:paraId="750CAFDC" w14:textId="0D6426F5">
            <w:pPr>
              <w:pStyle w:val="TableParagraph"/>
              <w:spacing w:before="120"/>
              <w:ind w:right="90"/>
              <w:jc w:val="center"/>
              <w:rPr>
                <w:rFonts w:asciiTheme="minorHAnsi" w:hAnsiTheme="minorHAnsi" w:cstheme="minorHAnsi"/>
                <w:sz w:val="18"/>
                <w:szCs w:val="18"/>
              </w:rPr>
            </w:pPr>
            <w:r>
              <w:rPr>
                <w:rFonts w:asciiTheme="minorHAnsi" w:hAnsiTheme="minorHAnsi" w:cstheme="minorHAnsi"/>
                <w:spacing w:val="-2"/>
                <w:sz w:val="18"/>
                <w:szCs w:val="18"/>
              </w:rPr>
              <w:t>$3</w:t>
            </w:r>
          </w:p>
        </w:tc>
        <w:tc>
          <w:tcPr>
            <w:tcW w:w="1529" w:type="dxa"/>
            <w:tcBorders>
              <w:left w:val="single" w:sz="4" w:space="0" w:color="000000"/>
              <w:bottom w:val="single" w:sz="4" w:space="0" w:color="000000"/>
            </w:tcBorders>
            <w:vAlign w:val="center"/>
          </w:tcPr>
          <w:p w:rsidR="00956DFE" w:rsidRPr="00641B93" w:rsidP="009D3402" w14:paraId="02C37FD0" w14:textId="3479CFD5">
            <w:pPr>
              <w:pStyle w:val="TableParagraph"/>
              <w:spacing w:before="120"/>
              <w:ind w:left="196" w:right="151"/>
              <w:jc w:val="center"/>
              <w:rPr>
                <w:rFonts w:asciiTheme="minorHAnsi" w:hAnsiTheme="minorHAnsi" w:cstheme="minorHAnsi"/>
                <w:sz w:val="18"/>
                <w:szCs w:val="18"/>
              </w:rPr>
            </w:pPr>
            <w:r w:rsidRPr="00641B93">
              <w:rPr>
                <w:rFonts w:asciiTheme="minorHAnsi" w:hAnsiTheme="minorHAnsi" w:cstheme="minorHAnsi"/>
                <w:spacing w:val="-2"/>
                <w:sz w:val="18"/>
                <w:szCs w:val="18"/>
              </w:rPr>
              <w:t>$</w:t>
            </w:r>
            <w:r w:rsidR="003133D0">
              <w:rPr>
                <w:rFonts w:asciiTheme="minorHAnsi" w:hAnsiTheme="minorHAnsi" w:cstheme="minorHAnsi"/>
                <w:spacing w:val="-2"/>
                <w:sz w:val="18"/>
                <w:szCs w:val="18"/>
              </w:rPr>
              <w:t>792</w:t>
            </w:r>
          </w:p>
        </w:tc>
      </w:tr>
      <w:tr w14:paraId="29662806" w14:textId="77777777" w:rsidTr="00ED6AEB">
        <w:tblPrEx>
          <w:tblW w:w="0" w:type="auto"/>
          <w:tblInd w:w="136" w:type="dxa"/>
          <w:tblLayout w:type="fixed"/>
          <w:tblCellMar>
            <w:left w:w="0" w:type="dxa"/>
            <w:right w:w="0" w:type="dxa"/>
          </w:tblCellMar>
          <w:tblLook w:val="01E0"/>
        </w:tblPrEx>
        <w:trPr>
          <w:trHeight w:val="301"/>
        </w:trPr>
        <w:tc>
          <w:tcPr>
            <w:tcW w:w="2194" w:type="dxa"/>
            <w:tcBorders>
              <w:left w:val="single" w:sz="4" w:space="0" w:color="000000"/>
              <w:bottom w:val="single" w:sz="4" w:space="0" w:color="000000"/>
              <w:right w:val="single" w:sz="4" w:space="0" w:color="000000"/>
            </w:tcBorders>
            <w:vAlign w:val="center"/>
          </w:tcPr>
          <w:p w:rsidR="00ED6AEB" w:rsidRPr="00641B93" w:rsidP="009D3402" w14:paraId="38239199" w14:textId="0C1E163D">
            <w:pPr>
              <w:pStyle w:val="TableParagraph"/>
              <w:spacing w:before="120"/>
              <w:ind w:left="148"/>
              <w:rPr>
                <w:rFonts w:asciiTheme="minorHAnsi" w:hAnsiTheme="minorHAnsi" w:cstheme="minorHAnsi"/>
                <w:sz w:val="18"/>
                <w:szCs w:val="18"/>
              </w:rPr>
            </w:pPr>
            <w:r w:rsidRPr="00641B93">
              <w:rPr>
                <w:color w:val="000000"/>
                <w:sz w:val="18"/>
                <w:szCs w:val="18"/>
              </w:rPr>
              <w:t xml:space="preserve">Non-Trawl Logbook </w:t>
            </w:r>
          </w:p>
        </w:tc>
        <w:tc>
          <w:tcPr>
            <w:tcW w:w="2037" w:type="dxa"/>
            <w:tcBorders>
              <w:left w:val="single" w:sz="4" w:space="0" w:color="000000"/>
              <w:bottom w:val="single" w:sz="4" w:space="0" w:color="000000"/>
              <w:right w:val="single" w:sz="4" w:space="0" w:color="000000"/>
            </w:tcBorders>
            <w:vAlign w:val="center"/>
          </w:tcPr>
          <w:p w:rsidR="00ED6AEB" w:rsidRPr="00641B93" w:rsidP="009D3402" w14:paraId="47955C5E" w14:textId="1AAE9489">
            <w:pPr>
              <w:pStyle w:val="TableParagraph"/>
              <w:spacing w:before="120"/>
              <w:ind w:right="91"/>
              <w:jc w:val="center"/>
              <w:rPr>
                <w:rFonts w:asciiTheme="minorHAnsi" w:hAnsiTheme="minorHAnsi" w:cstheme="minorHAnsi"/>
                <w:spacing w:val="-5"/>
                <w:sz w:val="18"/>
                <w:szCs w:val="18"/>
              </w:rPr>
            </w:pPr>
            <w:r w:rsidRPr="008C5A26">
              <w:rPr>
                <w:color w:val="000000"/>
                <w:sz w:val="18"/>
                <w:szCs w:val="18"/>
              </w:rPr>
              <w:t>305</w:t>
            </w:r>
          </w:p>
        </w:tc>
        <w:tc>
          <w:tcPr>
            <w:tcW w:w="1454" w:type="dxa"/>
            <w:tcBorders>
              <w:left w:val="single" w:sz="4" w:space="0" w:color="000000"/>
              <w:bottom w:val="single" w:sz="4" w:space="0" w:color="000000"/>
              <w:right w:val="single" w:sz="4" w:space="0" w:color="000000"/>
            </w:tcBorders>
            <w:vAlign w:val="center"/>
          </w:tcPr>
          <w:p w:rsidR="00ED6AEB" w:rsidRPr="00641B93" w:rsidP="009D3402" w14:paraId="48056E6B" w14:textId="06A179DD">
            <w:pPr>
              <w:pStyle w:val="TableParagraph"/>
              <w:spacing w:before="120"/>
              <w:ind w:right="93"/>
              <w:jc w:val="center"/>
              <w:rPr>
                <w:rFonts w:asciiTheme="minorHAnsi" w:hAnsiTheme="minorHAnsi" w:cstheme="minorHAnsi"/>
                <w:sz w:val="18"/>
                <w:szCs w:val="18"/>
              </w:rPr>
            </w:pPr>
            <w:r>
              <w:rPr>
                <w:color w:val="000000"/>
                <w:sz w:val="18"/>
                <w:szCs w:val="18"/>
              </w:rPr>
              <w:t>16</w:t>
            </w:r>
          </w:p>
        </w:tc>
        <w:tc>
          <w:tcPr>
            <w:tcW w:w="1620" w:type="dxa"/>
            <w:tcBorders>
              <w:left w:val="single" w:sz="4" w:space="0" w:color="000000"/>
              <w:bottom w:val="single" w:sz="4" w:space="0" w:color="000000"/>
              <w:right w:val="single" w:sz="4" w:space="0" w:color="000000"/>
            </w:tcBorders>
            <w:vAlign w:val="center"/>
          </w:tcPr>
          <w:p w:rsidR="00ED6AEB" w:rsidRPr="00641B93" w:rsidP="009D3402" w14:paraId="1369EAC5" w14:textId="71E035BF">
            <w:pPr>
              <w:pStyle w:val="TableParagraph"/>
              <w:spacing w:before="120"/>
              <w:ind w:right="90"/>
              <w:jc w:val="center"/>
              <w:rPr>
                <w:rFonts w:asciiTheme="minorHAnsi" w:hAnsiTheme="minorHAnsi" w:cstheme="minorHAnsi"/>
                <w:spacing w:val="-5"/>
                <w:sz w:val="18"/>
                <w:szCs w:val="18"/>
              </w:rPr>
            </w:pPr>
            <w:r>
              <w:rPr>
                <w:rFonts w:asciiTheme="minorHAnsi" w:hAnsiTheme="minorHAnsi" w:cstheme="minorHAnsi"/>
                <w:color w:val="000000"/>
                <w:sz w:val="18"/>
                <w:szCs w:val="18"/>
              </w:rPr>
              <w:t>4,880</w:t>
            </w:r>
          </w:p>
        </w:tc>
        <w:tc>
          <w:tcPr>
            <w:tcW w:w="1440" w:type="dxa"/>
            <w:tcBorders>
              <w:left w:val="single" w:sz="4" w:space="0" w:color="000000"/>
              <w:bottom w:val="single" w:sz="4" w:space="0" w:color="000000"/>
              <w:right w:val="single" w:sz="4" w:space="0" w:color="000000"/>
            </w:tcBorders>
            <w:vAlign w:val="center"/>
          </w:tcPr>
          <w:p w:rsidR="00ED6AEB" w:rsidRPr="00641B93" w:rsidP="009D3402" w14:paraId="6160509F" w14:textId="5C4B8EC0">
            <w:pPr>
              <w:pStyle w:val="TableParagraph"/>
              <w:spacing w:before="120"/>
              <w:ind w:right="90"/>
              <w:jc w:val="center"/>
              <w:rPr>
                <w:rFonts w:asciiTheme="minorHAnsi" w:hAnsiTheme="minorHAnsi" w:cstheme="minorHAnsi"/>
                <w:spacing w:val="-2"/>
                <w:sz w:val="18"/>
                <w:szCs w:val="18"/>
              </w:rPr>
            </w:pPr>
            <w:r w:rsidRPr="00641B93">
              <w:rPr>
                <w:rFonts w:asciiTheme="minorHAnsi" w:hAnsiTheme="minorHAnsi" w:cstheme="minorHAnsi"/>
                <w:spacing w:val="-2"/>
                <w:sz w:val="18"/>
                <w:szCs w:val="18"/>
              </w:rPr>
              <w:t>0</w:t>
            </w:r>
          </w:p>
        </w:tc>
        <w:tc>
          <w:tcPr>
            <w:tcW w:w="1529" w:type="dxa"/>
            <w:tcBorders>
              <w:left w:val="single" w:sz="4" w:space="0" w:color="000000"/>
              <w:bottom w:val="single" w:sz="4" w:space="0" w:color="000000"/>
            </w:tcBorders>
            <w:vAlign w:val="center"/>
          </w:tcPr>
          <w:p w:rsidR="00ED6AEB" w:rsidRPr="00641B93" w:rsidP="009D3402" w14:paraId="4701C16C" w14:textId="3F560CEB">
            <w:pPr>
              <w:pStyle w:val="TableParagraph"/>
              <w:spacing w:before="120"/>
              <w:ind w:left="196" w:right="151"/>
              <w:jc w:val="center"/>
              <w:rPr>
                <w:rFonts w:asciiTheme="minorHAnsi" w:hAnsiTheme="minorHAnsi" w:cstheme="minorHAnsi"/>
                <w:spacing w:val="-2"/>
                <w:sz w:val="18"/>
                <w:szCs w:val="18"/>
              </w:rPr>
            </w:pPr>
            <w:r>
              <w:rPr>
                <w:rFonts w:asciiTheme="minorHAnsi" w:hAnsiTheme="minorHAnsi" w:cstheme="minorHAnsi"/>
                <w:spacing w:val="-2"/>
                <w:sz w:val="18"/>
                <w:szCs w:val="18"/>
              </w:rPr>
              <w:t>0</w:t>
            </w:r>
          </w:p>
        </w:tc>
      </w:tr>
      <w:tr w14:paraId="5A5EF45A" w14:textId="77777777" w:rsidTr="00A100F9">
        <w:tblPrEx>
          <w:tblW w:w="0" w:type="auto"/>
          <w:tblInd w:w="136" w:type="dxa"/>
          <w:tblLayout w:type="fixed"/>
          <w:tblCellMar>
            <w:left w:w="0" w:type="dxa"/>
            <w:right w:w="0" w:type="dxa"/>
          </w:tblCellMar>
          <w:tblLook w:val="01E0"/>
        </w:tblPrEx>
        <w:trPr>
          <w:trHeight w:val="316"/>
        </w:trPr>
        <w:tc>
          <w:tcPr>
            <w:tcW w:w="2194" w:type="dxa"/>
            <w:tcBorders>
              <w:right w:val="single" w:sz="4" w:space="0" w:color="000000"/>
            </w:tcBorders>
            <w:shd w:val="clear" w:color="auto" w:fill="DDEBF7"/>
            <w:vAlign w:val="center"/>
          </w:tcPr>
          <w:p w:rsidR="00956DFE" w:rsidRPr="00A100F9" w:rsidP="009D3402" w14:paraId="406AF383" w14:textId="77777777">
            <w:pPr>
              <w:pStyle w:val="TableParagraph"/>
              <w:spacing w:before="120"/>
              <w:ind w:right="85"/>
              <w:jc w:val="center"/>
              <w:rPr>
                <w:rFonts w:asciiTheme="minorHAnsi" w:hAnsiTheme="minorHAnsi" w:cstheme="minorHAnsi"/>
                <w:b/>
                <w:sz w:val="18"/>
                <w:szCs w:val="18"/>
              </w:rPr>
            </w:pPr>
            <w:r w:rsidRPr="00A100F9">
              <w:rPr>
                <w:rFonts w:asciiTheme="minorHAnsi" w:hAnsiTheme="minorHAnsi" w:cstheme="minorHAnsi"/>
                <w:b/>
                <w:spacing w:val="-2"/>
                <w:sz w:val="18"/>
                <w:szCs w:val="18"/>
              </w:rPr>
              <w:t>TOTALS</w:t>
            </w:r>
          </w:p>
        </w:tc>
        <w:tc>
          <w:tcPr>
            <w:tcW w:w="2037" w:type="dxa"/>
            <w:tcBorders>
              <w:left w:val="single" w:sz="4" w:space="0" w:color="000000"/>
              <w:right w:val="single" w:sz="4" w:space="0" w:color="000000"/>
            </w:tcBorders>
            <w:shd w:val="clear" w:color="auto" w:fill="DDEBF7"/>
            <w:vAlign w:val="center"/>
          </w:tcPr>
          <w:p w:rsidR="00956DFE" w:rsidRPr="00A100F9" w:rsidP="009D3402" w14:paraId="620CBB9C" w14:textId="10F9198E">
            <w:pPr>
              <w:pStyle w:val="TableParagraph"/>
              <w:spacing w:before="120"/>
              <w:jc w:val="center"/>
              <w:rPr>
                <w:rFonts w:asciiTheme="minorHAnsi" w:hAnsiTheme="minorHAnsi" w:cstheme="minorHAnsi"/>
                <w:b/>
                <w:sz w:val="18"/>
                <w:szCs w:val="18"/>
              </w:rPr>
            </w:pPr>
            <w:r>
              <w:rPr>
                <w:rFonts w:asciiTheme="minorHAnsi" w:hAnsiTheme="minorHAnsi" w:cstheme="minorHAnsi"/>
                <w:b/>
                <w:sz w:val="18"/>
                <w:szCs w:val="18"/>
              </w:rPr>
              <w:t>338</w:t>
            </w:r>
          </w:p>
        </w:tc>
        <w:tc>
          <w:tcPr>
            <w:tcW w:w="1454" w:type="dxa"/>
            <w:tcBorders>
              <w:left w:val="single" w:sz="4" w:space="0" w:color="000000"/>
              <w:right w:val="single" w:sz="4" w:space="0" w:color="000000"/>
            </w:tcBorders>
            <w:shd w:val="clear" w:color="auto" w:fill="000000" w:themeFill="text1"/>
            <w:vAlign w:val="center"/>
          </w:tcPr>
          <w:p w:rsidR="00956DFE" w:rsidRPr="00A100F9" w:rsidP="009D3402" w14:paraId="1D863367" w14:textId="77777777">
            <w:pPr>
              <w:pStyle w:val="TableParagraph"/>
              <w:spacing w:before="120"/>
              <w:jc w:val="center"/>
              <w:rPr>
                <w:rFonts w:asciiTheme="minorHAnsi" w:hAnsiTheme="minorHAnsi" w:cstheme="minorHAnsi"/>
                <w:b/>
                <w:sz w:val="18"/>
                <w:szCs w:val="18"/>
              </w:rPr>
            </w:pPr>
          </w:p>
        </w:tc>
        <w:tc>
          <w:tcPr>
            <w:tcW w:w="1620" w:type="dxa"/>
            <w:tcBorders>
              <w:left w:val="single" w:sz="4" w:space="0" w:color="000000"/>
              <w:right w:val="single" w:sz="4" w:space="0" w:color="000000"/>
            </w:tcBorders>
            <w:shd w:val="clear" w:color="auto" w:fill="DDEBF7"/>
            <w:vAlign w:val="center"/>
          </w:tcPr>
          <w:p w:rsidR="00956DFE" w:rsidRPr="00A100F9" w:rsidP="009D3402" w14:paraId="406EC731" w14:textId="01D25B11">
            <w:pPr>
              <w:pStyle w:val="TableParagraph"/>
              <w:spacing w:before="120"/>
              <w:jc w:val="center"/>
              <w:rPr>
                <w:rFonts w:asciiTheme="minorHAnsi" w:hAnsiTheme="minorHAnsi" w:cstheme="minorHAnsi"/>
                <w:b/>
                <w:sz w:val="18"/>
                <w:szCs w:val="18"/>
              </w:rPr>
            </w:pPr>
            <w:r>
              <w:rPr>
                <w:rFonts w:asciiTheme="minorHAnsi" w:hAnsiTheme="minorHAnsi" w:cstheme="minorHAnsi"/>
                <w:b/>
                <w:sz w:val="18"/>
                <w:szCs w:val="18"/>
              </w:rPr>
              <w:t>5,144</w:t>
            </w:r>
          </w:p>
        </w:tc>
        <w:tc>
          <w:tcPr>
            <w:tcW w:w="1440" w:type="dxa"/>
            <w:tcBorders>
              <w:left w:val="single" w:sz="4" w:space="0" w:color="000000"/>
              <w:right w:val="single" w:sz="4" w:space="0" w:color="000000"/>
            </w:tcBorders>
            <w:shd w:val="clear" w:color="auto" w:fill="000000" w:themeFill="text1"/>
            <w:vAlign w:val="center"/>
          </w:tcPr>
          <w:p w:rsidR="00956DFE" w:rsidRPr="00A100F9" w:rsidP="009D3402" w14:paraId="74DC754B" w14:textId="77777777">
            <w:pPr>
              <w:pStyle w:val="TableParagraph"/>
              <w:spacing w:before="120"/>
              <w:jc w:val="center"/>
              <w:rPr>
                <w:rFonts w:asciiTheme="minorHAnsi" w:hAnsiTheme="minorHAnsi" w:cstheme="minorHAnsi"/>
                <w:b/>
                <w:sz w:val="18"/>
                <w:szCs w:val="18"/>
              </w:rPr>
            </w:pPr>
          </w:p>
        </w:tc>
        <w:tc>
          <w:tcPr>
            <w:tcW w:w="1529" w:type="dxa"/>
            <w:tcBorders>
              <w:left w:val="single" w:sz="4" w:space="0" w:color="000000"/>
            </w:tcBorders>
            <w:shd w:val="clear" w:color="auto" w:fill="DDEBF7"/>
            <w:vAlign w:val="center"/>
          </w:tcPr>
          <w:p w:rsidR="00956DFE" w:rsidRPr="00A100F9" w:rsidP="009D3402" w14:paraId="488CBDEC" w14:textId="3D982C37">
            <w:pPr>
              <w:pStyle w:val="TableParagraph"/>
              <w:spacing w:before="120"/>
              <w:jc w:val="center"/>
              <w:rPr>
                <w:rFonts w:asciiTheme="minorHAnsi" w:hAnsiTheme="minorHAnsi" w:cstheme="minorHAnsi"/>
                <w:b/>
                <w:sz w:val="18"/>
                <w:szCs w:val="18"/>
              </w:rPr>
            </w:pPr>
            <w:r w:rsidRPr="00A100F9">
              <w:rPr>
                <w:rFonts w:asciiTheme="minorHAnsi" w:hAnsiTheme="minorHAnsi" w:cstheme="minorHAnsi"/>
                <w:b/>
                <w:sz w:val="18"/>
                <w:szCs w:val="18"/>
              </w:rPr>
              <w:t>$</w:t>
            </w:r>
            <w:r w:rsidR="003133D0">
              <w:rPr>
                <w:rFonts w:asciiTheme="minorHAnsi" w:hAnsiTheme="minorHAnsi" w:cstheme="minorHAnsi"/>
                <w:b/>
                <w:sz w:val="18"/>
                <w:szCs w:val="18"/>
              </w:rPr>
              <w:t>792</w:t>
            </w:r>
          </w:p>
        </w:tc>
      </w:tr>
    </w:tbl>
    <w:p w:rsidR="00956DFE" w:rsidP="009D3402" w14:paraId="07D116F0" w14:textId="77777777">
      <w:pPr>
        <w:pStyle w:val="BodyText"/>
        <w:spacing w:before="120"/>
        <w:rPr>
          <w:sz w:val="26"/>
        </w:rPr>
      </w:pPr>
    </w:p>
    <w:p w:rsidR="00956DFE" w:rsidP="009D3402" w14:paraId="1D562C01" w14:textId="77777777">
      <w:pPr>
        <w:pStyle w:val="Heading1"/>
        <w:numPr>
          <w:ilvl w:val="0"/>
          <w:numId w:val="1"/>
        </w:numPr>
        <w:tabs>
          <w:tab w:val="left" w:pos="500"/>
        </w:tabs>
        <w:spacing w:before="120"/>
        <w:ind w:right="407" w:firstLine="0"/>
      </w:pPr>
      <w:r>
        <w:t>Provide</w:t>
      </w:r>
      <w:r>
        <w:rPr>
          <w:spacing w:val="-2"/>
        </w:rPr>
        <w:t xml:space="preserve"> </w:t>
      </w:r>
      <w:r>
        <w:t>estimates</w:t>
      </w:r>
      <w:r>
        <w:rPr>
          <w:spacing w:val="-3"/>
        </w:rPr>
        <w:t xml:space="preserve"> </w:t>
      </w:r>
      <w:r>
        <w:t>of</w:t>
      </w:r>
      <w:r>
        <w:rPr>
          <w:spacing w:val="-2"/>
        </w:rPr>
        <w:t xml:space="preserve"> </w:t>
      </w:r>
      <w:r>
        <w:t>annualized</w:t>
      </w:r>
      <w:r>
        <w:rPr>
          <w:spacing w:val="-3"/>
        </w:rPr>
        <w:t xml:space="preserve"> </w:t>
      </w:r>
      <w:r>
        <w:t>cost</w:t>
      </w:r>
      <w:r>
        <w:rPr>
          <w:spacing w:val="-4"/>
        </w:rPr>
        <w:t xml:space="preserve"> </w:t>
      </w:r>
      <w:r>
        <w:t>to</w:t>
      </w:r>
      <w:r>
        <w:rPr>
          <w:spacing w:val="-3"/>
        </w:rPr>
        <w:t xml:space="preserve"> </w:t>
      </w:r>
      <w:r>
        <w:t>the</w:t>
      </w:r>
      <w:r>
        <w:rPr>
          <w:spacing w:val="-2"/>
        </w:rPr>
        <w:t xml:space="preserve"> </w:t>
      </w:r>
      <w:r>
        <w:t>Federal</w:t>
      </w:r>
      <w:r>
        <w:rPr>
          <w:spacing w:val="-3"/>
        </w:rPr>
        <w:t xml:space="preserve"> </w:t>
      </w:r>
      <w:r>
        <w:t>government.</w:t>
      </w:r>
      <w:r>
        <w:rPr>
          <w:spacing w:val="-3"/>
        </w:rPr>
        <w:t xml:space="preserve"> </w:t>
      </w:r>
      <w:r>
        <w:t>Also,</w:t>
      </w:r>
      <w:r>
        <w:rPr>
          <w:spacing w:val="-1"/>
        </w:rPr>
        <w:t xml:space="preserve"> </w:t>
      </w:r>
      <w:r>
        <w:t>provide</w:t>
      </w:r>
      <w:r>
        <w:rPr>
          <w:spacing w:val="-4"/>
        </w:rPr>
        <w:t xml:space="preserve"> </w:t>
      </w:r>
      <w:r>
        <w:t>a</w:t>
      </w:r>
      <w:r>
        <w:rPr>
          <w:spacing w:val="-3"/>
        </w:rPr>
        <w:t xml:space="preserve"> </w:t>
      </w:r>
      <w:r>
        <w:t>description</w:t>
      </w:r>
      <w:r>
        <w:rPr>
          <w:spacing w:val="-3"/>
        </w:rPr>
        <w:t xml:space="preserve"> </w:t>
      </w:r>
      <w:r>
        <w:t xml:space="preserve">of the method used to estimate cost, </w:t>
      </w:r>
      <w:r>
        <w:t>which should include quantification of hours, operational expenses (such as equipment, overhead, printing, and support staff), and any other expense that would not have been incurred without this collection of information.</w:t>
      </w:r>
    </w:p>
    <w:p w:rsidR="00B550ED" w:rsidP="009D3402" w14:paraId="2F224C0D" w14:textId="77777777">
      <w:pPr>
        <w:pBdr>
          <w:top w:val="nil"/>
          <w:left w:val="nil"/>
          <w:bottom w:val="nil"/>
          <w:right w:val="nil"/>
          <w:between w:val="nil"/>
        </w:pBdr>
        <w:tabs>
          <w:tab w:val="left" w:pos="360"/>
        </w:tabs>
        <w:spacing w:before="120"/>
        <w:ind w:left="180"/>
        <w:rPr>
          <w:color w:val="000000"/>
          <w:sz w:val="24"/>
          <w:szCs w:val="24"/>
        </w:rPr>
      </w:pPr>
      <w:r w:rsidRPr="00582BA9">
        <w:rPr>
          <w:color w:val="000000"/>
          <w:sz w:val="24"/>
          <w:szCs w:val="24"/>
        </w:rPr>
        <w:t xml:space="preserve">NMFS estimated the </w:t>
      </w:r>
      <w:r w:rsidRPr="00582BA9">
        <w:rPr>
          <w:color w:val="000000"/>
          <w:sz w:val="24"/>
          <w:szCs w:val="24"/>
        </w:rPr>
        <w:t>ongoing burden hours spent to maintain the electronic logbook by both NMFS employees and PSMFC employees. PSMFC handles the majority of ongoing maintenance, therefore we anticipate no more than 36 hours per year for Band III</w:t>
      </w:r>
      <w:r>
        <w:rPr>
          <w:color w:val="000000"/>
          <w:sz w:val="24"/>
          <w:szCs w:val="24"/>
        </w:rPr>
        <w:t xml:space="preserve">, Step 2 NMFS employees. </w:t>
      </w:r>
      <w:r w:rsidRPr="00582BA9">
        <w:rPr>
          <w:color w:val="000000"/>
          <w:sz w:val="24"/>
          <w:szCs w:val="24"/>
        </w:rPr>
        <w:t>Based on the most recent Standard Pay Tables (</w:t>
      </w:r>
      <w:hyperlink r:id="rId5" w:history="1">
        <w:r w:rsidRPr="00AA470A">
          <w:rPr>
            <w:rStyle w:val="Hyperlink"/>
            <w:sz w:val="24"/>
            <w:szCs w:val="24"/>
          </w:rPr>
          <w:t>https://www.commerce.gov/sites/default/files/2024-01/CAPS_rpStandard_2024.pdf</w:t>
        </w:r>
      </w:hyperlink>
      <w:r>
        <w:rPr>
          <w:color w:val="000000"/>
          <w:sz w:val="24"/>
          <w:szCs w:val="24"/>
        </w:rPr>
        <w:t>).</w:t>
      </w:r>
    </w:p>
    <w:p w:rsidR="00B550ED" w:rsidRPr="00582BA9" w:rsidP="009D3402" w14:paraId="2A0ACB87" w14:textId="77777777">
      <w:pPr>
        <w:pBdr>
          <w:top w:val="nil"/>
          <w:left w:val="nil"/>
          <w:bottom w:val="nil"/>
          <w:right w:val="nil"/>
          <w:between w:val="nil"/>
        </w:pBdr>
        <w:tabs>
          <w:tab w:val="left" w:pos="360"/>
        </w:tabs>
        <w:spacing w:before="120"/>
        <w:ind w:left="180"/>
        <w:rPr>
          <w:color w:val="000000"/>
          <w:sz w:val="24"/>
          <w:szCs w:val="24"/>
        </w:rPr>
      </w:pPr>
      <w:r w:rsidRPr="00582BA9">
        <w:rPr>
          <w:color w:val="000000"/>
          <w:sz w:val="24"/>
          <w:szCs w:val="24"/>
        </w:rPr>
        <w:t>The PSMFC estimates approximately 20 hours per week (</w:t>
      </w:r>
      <w:r w:rsidRPr="00582BA9">
        <w:rPr>
          <w:i/>
          <w:color w:val="000000"/>
          <w:sz w:val="24"/>
          <w:szCs w:val="24"/>
        </w:rPr>
        <w:t>i.e.</w:t>
      </w:r>
      <w:r>
        <w:rPr>
          <w:color w:val="000000"/>
          <w:sz w:val="24"/>
          <w:szCs w:val="24"/>
        </w:rPr>
        <w:t>, 80 hours per month), equivalent to Band III, Step 2 NMFS employee</w:t>
      </w:r>
      <w:r w:rsidRPr="00582BA9">
        <w:rPr>
          <w:color w:val="000000"/>
          <w:sz w:val="24"/>
          <w:szCs w:val="24"/>
        </w:rPr>
        <w:t xml:space="preserve">, will be spent on ongoing maintenance of the logbook, which includes verifying logbook information against fish tickets, fixing logbook entry errors, answering industry questions, coordinating information requests for NMFS and the PFMC, etc. </w:t>
      </w:r>
    </w:p>
    <w:p w:rsidR="00B550ED" w:rsidRPr="00582BA9" w:rsidP="009D3402" w14:paraId="4E35BA44" w14:textId="77777777">
      <w:pPr>
        <w:pBdr>
          <w:top w:val="nil"/>
          <w:left w:val="nil"/>
          <w:bottom w:val="nil"/>
          <w:right w:val="nil"/>
          <w:between w:val="nil"/>
        </w:pBdr>
        <w:tabs>
          <w:tab w:val="left" w:pos="360"/>
        </w:tabs>
        <w:spacing w:before="120"/>
        <w:ind w:left="180"/>
        <w:rPr>
          <w:color w:val="000000"/>
          <w:sz w:val="24"/>
          <w:szCs w:val="24"/>
        </w:rPr>
      </w:pPr>
      <w:r w:rsidRPr="00582BA9">
        <w:rPr>
          <w:sz w:val="24"/>
          <w:szCs w:val="24"/>
        </w:rPr>
        <w:t>The</w:t>
      </w:r>
      <w:r w:rsidRPr="00582BA9">
        <w:rPr>
          <w:spacing w:val="-1"/>
          <w:sz w:val="24"/>
          <w:szCs w:val="24"/>
        </w:rPr>
        <w:t xml:space="preserve"> paper </w:t>
      </w:r>
      <w:r w:rsidRPr="00582BA9">
        <w:rPr>
          <w:sz w:val="24"/>
          <w:szCs w:val="24"/>
        </w:rPr>
        <w:t>logbooks are entered into the</w:t>
      </w:r>
      <w:r w:rsidRPr="00582BA9">
        <w:rPr>
          <w:spacing w:val="-1"/>
          <w:sz w:val="24"/>
          <w:szCs w:val="24"/>
        </w:rPr>
        <w:t xml:space="preserve"> </w:t>
      </w:r>
      <w:r w:rsidRPr="00582BA9">
        <w:rPr>
          <w:sz w:val="24"/>
          <w:szCs w:val="24"/>
        </w:rPr>
        <w:t>database</w:t>
      </w:r>
      <w:r w:rsidRPr="00582BA9">
        <w:rPr>
          <w:spacing w:val="-1"/>
          <w:sz w:val="24"/>
          <w:szCs w:val="24"/>
        </w:rPr>
        <w:t xml:space="preserve"> </w:t>
      </w:r>
      <w:r w:rsidRPr="00582BA9">
        <w:rPr>
          <w:sz w:val="24"/>
          <w:szCs w:val="24"/>
        </w:rPr>
        <w:t>by</w:t>
      </w:r>
      <w:r w:rsidRPr="00582BA9">
        <w:rPr>
          <w:spacing w:val="-5"/>
          <w:sz w:val="24"/>
          <w:szCs w:val="24"/>
        </w:rPr>
        <w:t xml:space="preserve"> </w:t>
      </w:r>
      <w:r w:rsidRPr="00582BA9">
        <w:rPr>
          <w:sz w:val="24"/>
          <w:szCs w:val="24"/>
        </w:rPr>
        <w:t>PSMFC staff. Each logbook takes on average</w:t>
      </w:r>
      <w:r w:rsidRPr="00582BA9">
        <w:rPr>
          <w:spacing w:val="-1"/>
          <w:sz w:val="24"/>
          <w:szCs w:val="24"/>
        </w:rPr>
        <w:t xml:space="preserve"> </w:t>
      </w:r>
      <w:r w:rsidRPr="00582BA9">
        <w:rPr>
          <w:sz w:val="24"/>
          <w:szCs w:val="24"/>
        </w:rPr>
        <w:t>15 minutes to</w:t>
      </w:r>
      <w:r w:rsidRPr="00582BA9">
        <w:rPr>
          <w:spacing w:val="-3"/>
          <w:sz w:val="24"/>
          <w:szCs w:val="24"/>
        </w:rPr>
        <w:t xml:space="preserve"> </w:t>
      </w:r>
      <w:r w:rsidRPr="00582BA9">
        <w:rPr>
          <w:sz w:val="24"/>
          <w:szCs w:val="24"/>
        </w:rPr>
        <w:t>enter.</w:t>
      </w:r>
      <w:r w:rsidRPr="00582BA9">
        <w:rPr>
          <w:spacing w:val="-3"/>
          <w:sz w:val="24"/>
          <w:szCs w:val="24"/>
        </w:rPr>
        <w:t xml:space="preserve"> </w:t>
      </w:r>
      <w:r>
        <w:rPr>
          <w:spacing w:val="-3"/>
          <w:sz w:val="24"/>
          <w:szCs w:val="24"/>
        </w:rPr>
        <w:t xml:space="preserve">Staff tasked with this work are equivalent to a NMFS Band II, Step 2. </w:t>
      </w:r>
      <w:r w:rsidRPr="00582BA9">
        <w:rPr>
          <w:sz w:val="24"/>
          <w:szCs w:val="24"/>
        </w:rPr>
        <w:t>Therefore,</w:t>
      </w:r>
      <w:r w:rsidRPr="00582BA9">
        <w:rPr>
          <w:spacing w:val="-3"/>
          <w:sz w:val="24"/>
          <w:szCs w:val="24"/>
        </w:rPr>
        <w:t xml:space="preserve"> </w:t>
      </w:r>
      <w:r w:rsidRPr="00582BA9">
        <w:rPr>
          <w:sz w:val="24"/>
          <w:szCs w:val="24"/>
        </w:rPr>
        <w:t>an</w:t>
      </w:r>
      <w:r w:rsidRPr="00582BA9">
        <w:rPr>
          <w:spacing w:val="-1"/>
          <w:sz w:val="24"/>
          <w:szCs w:val="24"/>
        </w:rPr>
        <w:t xml:space="preserve"> </w:t>
      </w:r>
      <w:r w:rsidRPr="00582BA9">
        <w:rPr>
          <w:sz w:val="24"/>
          <w:szCs w:val="24"/>
        </w:rPr>
        <w:t>annual</w:t>
      </w:r>
      <w:r w:rsidRPr="00582BA9">
        <w:rPr>
          <w:spacing w:val="-3"/>
          <w:sz w:val="24"/>
          <w:szCs w:val="24"/>
        </w:rPr>
        <w:t xml:space="preserve"> </w:t>
      </w:r>
      <w:r w:rsidRPr="00582BA9">
        <w:rPr>
          <w:sz w:val="24"/>
          <w:szCs w:val="24"/>
        </w:rPr>
        <w:t>count</w:t>
      </w:r>
      <w:r w:rsidRPr="00582BA9">
        <w:rPr>
          <w:spacing w:val="-3"/>
          <w:sz w:val="24"/>
          <w:szCs w:val="24"/>
        </w:rPr>
        <w:t xml:space="preserve"> </w:t>
      </w:r>
      <w:r w:rsidRPr="00582BA9">
        <w:rPr>
          <w:sz w:val="24"/>
          <w:szCs w:val="24"/>
        </w:rPr>
        <w:t>of</w:t>
      </w:r>
      <w:r w:rsidRPr="00582BA9">
        <w:rPr>
          <w:spacing w:val="-4"/>
          <w:sz w:val="24"/>
          <w:szCs w:val="24"/>
        </w:rPr>
        <w:t xml:space="preserve"> </w:t>
      </w:r>
      <w:r w:rsidRPr="00510D6B">
        <w:rPr>
          <w:sz w:val="24"/>
          <w:szCs w:val="24"/>
        </w:rPr>
        <w:t>264</w:t>
      </w:r>
      <w:r w:rsidRPr="00582BA9">
        <w:rPr>
          <w:spacing w:val="-3"/>
          <w:sz w:val="24"/>
          <w:szCs w:val="24"/>
        </w:rPr>
        <w:t xml:space="preserve"> </w:t>
      </w:r>
      <w:r w:rsidRPr="00582BA9">
        <w:rPr>
          <w:sz w:val="24"/>
          <w:szCs w:val="24"/>
        </w:rPr>
        <w:t>logbooks</w:t>
      </w:r>
      <w:r w:rsidRPr="00582BA9">
        <w:rPr>
          <w:spacing w:val="-3"/>
          <w:sz w:val="24"/>
          <w:szCs w:val="24"/>
        </w:rPr>
        <w:t xml:space="preserve"> </w:t>
      </w:r>
      <w:r w:rsidRPr="00582BA9">
        <w:rPr>
          <w:sz w:val="24"/>
          <w:szCs w:val="24"/>
        </w:rPr>
        <w:t>would</w:t>
      </w:r>
      <w:r w:rsidRPr="00582BA9">
        <w:rPr>
          <w:spacing w:val="-3"/>
          <w:sz w:val="24"/>
          <w:szCs w:val="24"/>
        </w:rPr>
        <w:t xml:space="preserve"> </w:t>
      </w:r>
      <w:r w:rsidRPr="00582BA9">
        <w:rPr>
          <w:sz w:val="24"/>
          <w:szCs w:val="24"/>
        </w:rPr>
        <w:t>take</w:t>
      </w:r>
      <w:r w:rsidRPr="00582BA9">
        <w:rPr>
          <w:spacing w:val="-4"/>
          <w:sz w:val="24"/>
          <w:szCs w:val="24"/>
        </w:rPr>
        <w:t xml:space="preserve"> </w:t>
      </w:r>
      <w:r w:rsidRPr="00582BA9">
        <w:rPr>
          <w:sz w:val="24"/>
          <w:szCs w:val="24"/>
        </w:rPr>
        <w:t>staff,</w:t>
      </w:r>
      <w:r w:rsidRPr="00582BA9">
        <w:rPr>
          <w:spacing w:val="-3"/>
          <w:sz w:val="24"/>
          <w:szCs w:val="24"/>
        </w:rPr>
        <w:t xml:space="preserve"> </w:t>
      </w:r>
      <w:r w:rsidRPr="00582BA9">
        <w:rPr>
          <w:sz w:val="24"/>
          <w:szCs w:val="24"/>
        </w:rPr>
        <w:t>on</w:t>
      </w:r>
      <w:r w:rsidRPr="00582BA9">
        <w:rPr>
          <w:spacing w:val="-1"/>
          <w:sz w:val="24"/>
          <w:szCs w:val="24"/>
        </w:rPr>
        <w:t xml:space="preserve"> </w:t>
      </w:r>
      <w:r w:rsidRPr="00582BA9">
        <w:rPr>
          <w:sz w:val="24"/>
          <w:szCs w:val="24"/>
        </w:rPr>
        <w:t>average,</w:t>
      </w:r>
      <w:r w:rsidRPr="00582BA9">
        <w:rPr>
          <w:spacing w:val="-3"/>
          <w:sz w:val="24"/>
          <w:szCs w:val="24"/>
        </w:rPr>
        <w:t xml:space="preserve"> </w:t>
      </w:r>
      <w:r>
        <w:rPr>
          <w:spacing w:val="-3"/>
          <w:sz w:val="24"/>
          <w:szCs w:val="24"/>
        </w:rPr>
        <w:t>66</w:t>
      </w:r>
      <w:r w:rsidRPr="00582BA9">
        <w:rPr>
          <w:spacing w:val="-3"/>
          <w:sz w:val="24"/>
          <w:szCs w:val="24"/>
        </w:rPr>
        <w:t xml:space="preserve"> </w:t>
      </w:r>
      <w:r w:rsidRPr="00582BA9">
        <w:rPr>
          <w:sz w:val="24"/>
          <w:szCs w:val="24"/>
        </w:rPr>
        <w:t>hours</w:t>
      </w:r>
      <w:r w:rsidRPr="00582BA9">
        <w:rPr>
          <w:spacing w:val="-3"/>
          <w:sz w:val="24"/>
          <w:szCs w:val="24"/>
        </w:rPr>
        <w:t xml:space="preserve"> </w:t>
      </w:r>
      <w:r w:rsidRPr="00582BA9">
        <w:rPr>
          <w:sz w:val="24"/>
          <w:szCs w:val="24"/>
        </w:rPr>
        <w:t>to</w:t>
      </w:r>
      <w:r w:rsidRPr="00582BA9">
        <w:rPr>
          <w:spacing w:val="-3"/>
          <w:sz w:val="24"/>
          <w:szCs w:val="24"/>
        </w:rPr>
        <w:t xml:space="preserve"> </w:t>
      </w:r>
      <w:r w:rsidRPr="00582BA9">
        <w:rPr>
          <w:sz w:val="24"/>
          <w:szCs w:val="24"/>
        </w:rPr>
        <w:t>enter</w:t>
      </w:r>
      <w:r w:rsidRPr="00582BA9">
        <w:rPr>
          <w:spacing w:val="-2"/>
          <w:sz w:val="24"/>
          <w:szCs w:val="24"/>
        </w:rPr>
        <w:t xml:space="preserve"> </w:t>
      </w:r>
      <w:r w:rsidRPr="00582BA9">
        <w:rPr>
          <w:sz w:val="24"/>
          <w:szCs w:val="24"/>
        </w:rPr>
        <w:t xml:space="preserve">into the database. </w:t>
      </w:r>
    </w:p>
    <w:p w:rsidR="00CA3293" w:rsidRPr="00582BA9" w:rsidP="00FD2B71" w14:paraId="36B99D96" w14:textId="30550490">
      <w:pPr>
        <w:pStyle w:val="BodyText"/>
        <w:spacing w:before="120"/>
        <w:ind w:left="140" w:right="672"/>
      </w:pPr>
      <w:r w:rsidRPr="00582BA9">
        <w:t>Additionally,</w:t>
      </w:r>
      <w:r w:rsidRPr="00582BA9">
        <w:rPr>
          <w:spacing w:val="-3"/>
        </w:rPr>
        <w:t xml:space="preserve"> </w:t>
      </w:r>
      <w:r w:rsidRPr="00582BA9">
        <w:t>because</w:t>
      </w:r>
      <w:r w:rsidRPr="00582BA9">
        <w:rPr>
          <w:spacing w:val="-4"/>
        </w:rPr>
        <w:t xml:space="preserve"> </w:t>
      </w:r>
      <w:r w:rsidRPr="00582BA9">
        <w:t>NMFS</w:t>
      </w:r>
      <w:r w:rsidRPr="00582BA9">
        <w:rPr>
          <w:spacing w:val="-3"/>
        </w:rPr>
        <w:t xml:space="preserve"> </w:t>
      </w:r>
      <w:r w:rsidRPr="00582BA9">
        <w:t>and</w:t>
      </w:r>
      <w:r w:rsidRPr="00582BA9">
        <w:rPr>
          <w:spacing w:val="-3"/>
        </w:rPr>
        <w:t xml:space="preserve"> </w:t>
      </w:r>
      <w:r w:rsidRPr="00582BA9">
        <w:t>the</w:t>
      </w:r>
      <w:r w:rsidRPr="00582BA9">
        <w:rPr>
          <w:spacing w:val="-4"/>
        </w:rPr>
        <w:t xml:space="preserve"> </w:t>
      </w:r>
      <w:r w:rsidRPr="00582BA9">
        <w:t>PSMFC</w:t>
      </w:r>
      <w:r w:rsidRPr="00582BA9">
        <w:rPr>
          <w:spacing w:val="-3"/>
        </w:rPr>
        <w:t xml:space="preserve"> </w:t>
      </w:r>
      <w:r w:rsidRPr="00582BA9">
        <w:t>would</w:t>
      </w:r>
      <w:r w:rsidRPr="00582BA9">
        <w:rPr>
          <w:spacing w:val="-3"/>
        </w:rPr>
        <w:t xml:space="preserve"> </w:t>
      </w:r>
      <w:r w:rsidRPr="00582BA9">
        <w:t>provide</w:t>
      </w:r>
      <w:r w:rsidRPr="00582BA9">
        <w:rPr>
          <w:spacing w:val="-4"/>
        </w:rPr>
        <w:t xml:space="preserve"> </w:t>
      </w:r>
      <w:r w:rsidRPr="00582BA9">
        <w:t>pre-stamped</w:t>
      </w:r>
      <w:r w:rsidRPr="00582BA9">
        <w:rPr>
          <w:spacing w:val="-1"/>
        </w:rPr>
        <w:t xml:space="preserve"> </w:t>
      </w:r>
      <w:r w:rsidRPr="00582BA9">
        <w:t>envelopes</w:t>
      </w:r>
      <w:r w:rsidRPr="00582BA9">
        <w:rPr>
          <w:spacing w:val="-3"/>
        </w:rPr>
        <w:t xml:space="preserve"> </w:t>
      </w:r>
      <w:r w:rsidRPr="00582BA9">
        <w:t>to</w:t>
      </w:r>
      <w:r w:rsidRPr="00582BA9">
        <w:rPr>
          <w:spacing w:val="-3"/>
        </w:rPr>
        <w:t xml:space="preserve"> </w:t>
      </w:r>
      <w:r w:rsidRPr="00582BA9">
        <w:t>the</w:t>
      </w:r>
      <w:r w:rsidRPr="00582BA9">
        <w:rPr>
          <w:spacing w:val="-4"/>
        </w:rPr>
        <w:t xml:space="preserve"> </w:t>
      </w:r>
      <w:r w:rsidRPr="00582BA9">
        <w:t>vessels</w:t>
      </w:r>
      <w:r w:rsidRPr="00582BA9">
        <w:rPr>
          <w:spacing w:val="-3"/>
        </w:rPr>
        <w:t xml:space="preserve"> </w:t>
      </w:r>
      <w:r w:rsidRPr="00582BA9">
        <w:t>to submit the logbooks, there would be an additional cost to the government.</w:t>
      </w:r>
      <w:r w:rsidR="00B03976">
        <w:t xml:space="preserve"> Business reply pre-stamped envelopes for one months’ worth of logbooks for trawl vessels typically costs $3.03. For 33 respondents, for 12 months, that postage cost would be $1,200.  </w:t>
      </w:r>
    </w:p>
    <w:p w:rsidR="002502A9" w:rsidRPr="002502A9" w:rsidP="009D3402" w14:paraId="7C70971F" w14:textId="33CB30E5">
      <w:pPr>
        <w:widowControl/>
        <w:autoSpaceDE/>
        <w:autoSpaceDN/>
        <w:spacing w:before="120"/>
        <w:jc w:val="center"/>
        <w:rPr>
          <w:sz w:val="24"/>
          <w:szCs w:val="24"/>
        </w:rPr>
      </w:pPr>
    </w:p>
    <w:tbl>
      <w:tblPr>
        <w:tblW w:w="0" w:type="auto"/>
        <w:jc w:val="center"/>
        <w:tblCellMar>
          <w:top w:w="15" w:type="dxa"/>
          <w:left w:w="15" w:type="dxa"/>
          <w:bottom w:w="15" w:type="dxa"/>
          <w:right w:w="15" w:type="dxa"/>
        </w:tblCellMar>
        <w:tblLook w:val="04A0"/>
      </w:tblPr>
      <w:tblGrid>
        <w:gridCol w:w="1614"/>
        <w:gridCol w:w="1001"/>
        <w:gridCol w:w="1552"/>
        <w:gridCol w:w="934"/>
        <w:gridCol w:w="1603"/>
        <w:gridCol w:w="1948"/>
      </w:tblGrid>
      <w:tr w14:paraId="763EB7C0" w14:textId="77777777" w:rsidTr="00B550ED">
        <w:tblPrEx>
          <w:tblW w:w="0" w:type="auto"/>
          <w:jc w:val="center"/>
          <w:tblCellMar>
            <w:top w:w="15" w:type="dxa"/>
            <w:left w:w="15" w:type="dxa"/>
            <w:bottom w:w="15" w:type="dxa"/>
            <w:right w:w="15" w:type="dxa"/>
          </w:tblCellMar>
          <w:tblLook w:val="04A0"/>
        </w:tblPrEx>
        <w:trPr>
          <w:trHeight w:val="450"/>
          <w:jc w:val="center"/>
        </w:trPr>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B550ED" w:rsidRPr="00E837D4" w:rsidP="009D3402" w14:paraId="2B1FDA06" w14:textId="77777777">
            <w:pPr>
              <w:widowControl/>
              <w:autoSpaceDE/>
              <w:autoSpaceDN/>
              <w:spacing w:before="120"/>
              <w:jc w:val="center"/>
              <w:rPr>
                <w:sz w:val="24"/>
                <w:szCs w:val="24"/>
              </w:rPr>
            </w:pPr>
            <w:r w:rsidRPr="00E837D4">
              <w:rPr>
                <w:rFonts w:ascii="Calibri" w:hAnsi="Calibri" w:cs="Calibri"/>
                <w:b/>
                <w:bCs/>
                <w:color w:val="000000"/>
                <w:sz w:val="16"/>
                <w:szCs w:val="16"/>
              </w:rPr>
              <w:t>Cost Descriptions</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B550ED" w:rsidRPr="00E837D4" w:rsidP="009D3402" w14:paraId="7FFBD1CC" w14:textId="77777777">
            <w:pPr>
              <w:widowControl/>
              <w:autoSpaceDE/>
              <w:autoSpaceDN/>
              <w:spacing w:before="120"/>
              <w:jc w:val="center"/>
              <w:rPr>
                <w:sz w:val="24"/>
                <w:szCs w:val="24"/>
              </w:rPr>
            </w:pPr>
            <w:r w:rsidRPr="00E837D4">
              <w:rPr>
                <w:rFonts w:ascii="Calibri" w:hAnsi="Calibri" w:cs="Calibri"/>
                <w:b/>
                <w:bCs/>
                <w:color w:val="000000"/>
                <w:sz w:val="16"/>
                <w:szCs w:val="16"/>
              </w:rPr>
              <w:t>Grade/Step</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B550ED" w:rsidRPr="00E837D4" w:rsidP="009D3402" w14:paraId="7AAC7318" w14:textId="77777777">
            <w:pPr>
              <w:widowControl/>
              <w:autoSpaceDE/>
              <w:autoSpaceDN/>
              <w:spacing w:before="120"/>
              <w:jc w:val="center"/>
              <w:rPr>
                <w:sz w:val="24"/>
                <w:szCs w:val="24"/>
              </w:rPr>
            </w:pPr>
            <w:r w:rsidRPr="00E837D4">
              <w:rPr>
                <w:rFonts w:ascii="Calibri" w:hAnsi="Calibri" w:cs="Calibri"/>
                <w:b/>
                <w:bCs/>
                <w:color w:val="000000"/>
                <w:sz w:val="16"/>
                <w:szCs w:val="16"/>
              </w:rPr>
              <w:t>Loaded Salary /Cost</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B550ED" w:rsidRPr="00E837D4" w:rsidP="009D3402" w14:paraId="44C866D1" w14:textId="77777777">
            <w:pPr>
              <w:widowControl/>
              <w:autoSpaceDE/>
              <w:autoSpaceDN/>
              <w:spacing w:before="120"/>
              <w:jc w:val="center"/>
              <w:rPr>
                <w:sz w:val="24"/>
                <w:szCs w:val="24"/>
              </w:rPr>
            </w:pPr>
            <w:r w:rsidRPr="00E837D4">
              <w:rPr>
                <w:rFonts w:ascii="Calibri" w:hAnsi="Calibri" w:cs="Calibri"/>
                <w:b/>
                <w:bCs/>
                <w:color w:val="000000"/>
                <w:sz w:val="16"/>
                <w:szCs w:val="16"/>
              </w:rPr>
              <w:t>% of Effort</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B550ED" w:rsidRPr="00E837D4" w:rsidP="009D3402" w14:paraId="571D2695" w14:textId="77777777">
            <w:pPr>
              <w:widowControl/>
              <w:autoSpaceDE/>
              <w:autoSpaceDN/>
              <w:spacing w:before="120"/>
              <w:jc w:val="center"/>
              <w:rPr>
                <w:sz w:val="24"/>
                <w:szCs w:val="24"/>
              </w:rPr>
            </w:pPr>
            <w:r w:rsidRPr="00E837D4">
              <w:rPr>
                <w:rFonts w:ascii="Calibri" w:hAnsi="Calibri" w:cs="Calibri"/>
                <w:b/>
                <w:bCs/>
                <w:color w:val="000000"/>
                <w:sz w:val="16"/>
                <w:szCs w:val="16"/>
              </w:rPr>
              <w:t>Fringe (if Applicable)</w:t>
            </w:r>
          </w:p>
        </w:tc>
        <w:tc>
          <w:tcPr>
            <w:tcW w:w="0" w:type="auto"/>
            <w:tcBorders>
              <w:top w:val="single" w:sz="8" w:space="0" w:color="000000"/>
              <w:left w:val="single" w:sz="8" w:space="0" w:color="000000"/>
              <w:bottom w:val="single" w:sz="4" w:space="0" w:color="000000"/>
              <w:right w:val="single" w:sz="8" w:space="0" w:color="000000"/>
            </w:tcBorders>
            <w:shd w:val="clear" w:color="auto" w:fill="BDD7EE"/>
            <w:tcMar>
              <w:top w:w="0" w:type="dxa"/>
              <w:left w:w="115" w:type="dxa"/>
              <w:bottom w:w="0" w:type="dxa"/>
              <w:right w:w="115" w:type="dxa"/>
            </w:tcMar>
            <w:vAlign w:val="center"/>
            <w:hideMark/>
          </w:tcPr>
          <w:p w:rsidR="00B550ED" w:rsidRPr="00E837D4" w:rsidP="009D3402" w14:paraId="145E06FC" w14:textId="77777777">
            <w:pPr>
              <w:widowControl/>
              <w:autoSpaceDE/>
              <w:autoSpaceDN/>
              <w:spacing w:before="120"/>
              <w:jc w:val="center"/>
              <w:rPr>
                <w:sz w:val="24"/>
                <w:szCs w:val="24"/>
              </w:rPr>
            </w:pPr>
            <w:r w:rsidRPr="00E837D4">
              <w:rPr>
                <w:rFonts w:ascii="Calibri" w:hAnsi="Calibri" w:cs="Calibri"/>
                <w:b/>
                <w:bCs/>
                <w:color w:val="000000"/>
                <w:sz w:val="16"/>
                <w:szCs w:val="16"/>
              </w:rPr>
              <w:t>Total Cost to Government</w:t>
            </w:r>
          </w:p>
        </w:tc>
      </w:tr>
      <w:tr w14:paraId="284F6FAD" w14:textId="77777777" w:rsidTr="00B550ED">
        <w:tblPrEx>
          <w:tblW w:w="0" w:type="auto"/>
          <w:jc w:val="center"/>
          <w:tblCellMar>
            <w:top w:w="15" w:type="dxa"/>
            <w:left w:w="15" w:type="dxa"/>
            <w:bottom w:w="15" w:type="dxa"/>
            <w:right w:w="15" w:type="dxa"/>
          </w:tblCellMar>
          <w:tblLook w:val="04A0"/>
        </w:tblPrEx>
        <w:trPr>
          <w:trHeight w:val="465"/>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B550ED" w:rsidRPr="00E837D4" w:rsidP="009D3402" w14:paraId="5F1C4885" w14:textId="77777777">
            <w:pPr>
              <w:widowControl/>
              <w:autoSpaceDE/>
              <w:autoSpaceDN/>
              <w:spacing w:before="120"/>
              <w:rPr>
                <w:sz w:val="24"/>
                <w:szCs w:val="24"/>
              </w:rPr>
            </w:pPr>
            <w:r>
              <w:rPr>
                <w:rFonts w:ascii="Calibri" w:hAnsi="Calibri" w:cs="Calibri"/>
                <w:b/>
                <w:bCs/>
                <w:color w:val="000000"/>
                <w:sz w:val="16"/>
                <w:szCs w:val="16"/>
              </w:rPr>
              <w:t>NMFS Employee</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5B16F540" w14:textId="77777777">
            <w:pPr>
              <w:widowControl/>
              <w:autoSpaceDE/>
              <w:autoSpaceDN/>
              <w:spacing w:before="120"/>
              <w:rPr>
                <w:sz w:val="24"/>
                <w:szCs w:val="24"/>
              </w:rPr>
            </w:pPr>
            <w:r>
              <w:rPr>
                <w:rFonts w:ascii="Calibri" w:hAnsi="Calibri" w:cs="Calibri"/>
                <w:color w:val="000000"/>
                <w:sz w:val="16"/>
                <w:szCs w:val="16"/>
              </w:rPr>
              <w:t>ZP-III/2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1ACB7769" w14:textId="77777777">
            <w:pPr>
              <w:widowControl/>
              <w:autoSpaceDE/>
              <w:autoSpaceDN/>
              <w:spacing w:before="120"/>
              <w:rPr>
                <w:sz w:val="24"/>
                <w:szCs w:val="24"/>
              </w:rPr>
            </w:pPr>
            <w:r w:rsidRPr="00E837D4">
              <w:rPr>
                <w:rFonts w:ascii="Calibri" w:hAnsi="Calibri" w:cs="Calibri"/>
                <w:color w:val="000000"/>
                <w:sz w:val="16"/>
                <w:szCs w:val="16"/>
              </w:rPr>
              <w:t> </w:t>
            </w:r>
            <w:r w:rsidRPr="00B81B43">
              <w:rPr>
                <w:rFonts w:ascii="Calibri" w:hAnsi="Calibri" w:cs="Calibri"/>
                <w:color w:val="000000"/>
                <w:sz w:val="16"/>
                <w:szCs w:val="16"/>
              </w:rPr>
              <w:t>156,072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0AB0C4D9" w14:textId="77777777">
            <w:pPr>
              <w:widowControl/>
              <w:autoSpaceDE/>
              <w:autoSpaceDN/>
              <w:spacing w:before="120"/>
              <w:rPr>
                <w:sz w:val="24"/>
                <w:szCs w:val="24"/>
              </w:rPr>
            </w:pPr>
            <w:r w:rsidRPr="00E837D4">
              <w:rPr>
                <w:rFonts w:ascii="Calibri" w:hAnsi="Calibri" w:cs="Calibri"/>
                <w:color w:val="000000"/>
                <w:sz w:val="16"/>
                <w:szCs w:val="16"/>
              </w:rPr>
              <w:t> </w:t>
            </w:r>
            <w:r>
              <w:rPr>
                <w:rFonts w:ascii="Calibri" w:hAnsi="Calibri" w:cs="Calibri"/>
                <w:color w:val="000000"/>
                <w:sz w:val="16"/>
                <w:szCs w:val="16"/>
              </w:rPr>
              <w:t>1.7%</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B550ED" w:rsidRPr="00E837D4" w:rsidP="009D3402" w14:paraId="3A7C7A2C" w14:textId="77777777">
            <w:pPr>
              <w:widowControl/>
              <w:autoSpaceDE/>
              <w:autoSpaceDN/>
              <w:spacing w:before="120"/>
              <w:rPr>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B550ED" w:rsidRPr="00E837D4" w:rsidP="009D3402" w14:paraId="5467AC72" w14:textId="77777777">
            <w:pPr>
              <w:widowControl/>
              <w:autoSpaceDE/>
              <w:autoSpaceDN/>
              <w:spacing w:before="120"/>
              <w:rPr>
                <w:sz w:val="24"/>
                <w:szCs w:val="24"/>
              </w:rPr>
            </w:pPr>
            <w:r w:rsidRPr="00E837D4">
              <w:rPr>
                <w:rFonts w:ascii="Calibri" w:hAnsi="Calibri" w:cs="Calibri"/>
                <w:color w:val="000000"/>
                <w:sz w:val="16"/>
                <w:szCs w:val="16"/>
              </w:rPr>
              <w:t> </w:t>
            </w:r>
            <w:r>
              <w:rPr>
                <w:rFonts w:ascii="Calibri" w:hAnsi="Calibri" w:cs="Calibri"/>
                <w:color w:val="000000"/>
                <w:sz w:val="16"/>
                <w:szCs w:val="16"/>
              </w:rPr>
              <w:t>2,653</w:t>
            </w:r>
          </w:p>
        </w:tc>
      </w:tr>
      <w:tr w14:paraId="00A9E335" w14:textId="77777777" w:rsidTr="00B550ED">
        <w:tblPrEx>
          <w:tblW w:w="0" w:type="auto"/>
          <w:jc w:val="center"/>
          <w:tblCellMar>
            <w:top w:w="15" w:type="dxa"/>
            <w:left w:w="15" w:type="dxa"/>
            <w:bottom w:w="15" w:type="dxa"/>
            <w:right w:w="15" w:type="dxa"/>
          </w:tblCellMar>
          <w:tblLook w:val="04A0"/>
        </w:tblPrEx>
        <w:trPr>
          <w:trHeight w:val="300"/>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B550ED" w:rsidRPr="00E837D4" w:rsidP="009D3402" w14:paraId="0A7C06A9" w14:textId="77777777">
            <w:pPr>
              <w:widowControl/>
              <w:autoSpaceDE/>
              <w:autoSpaceDN/>
              <w:spacing w:before="120"/>
              <w:rPr>
                <w:b/>
                <w:sz w:val="24"/>
                <w:szCs w:val="24"/>
              </w:rPr>
            </w:pPr>
            <w:r w:rsidRPr="00FE6EEC">
              <w:rPr>
                <w:rFonts w:ascii="Calibri" w:hAnsi="Calibri" w:cs="Calibri"/>
                <w:b/>
                <w:color w:val="000000"/>
                <w:sz w:val="16"/>
                <w:szCs w:val="16"/>
              </w:rPr>
              <w:t>PSMFC Employee</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53182775" w14:textId="77777777">
            <w:pPr>
              <w:widowControl/>
              <w:autoSpaceDE/>
              <w:autoSpaceDN/>
              <w:spacing w:before="120"/>
              <w:rPr>
                <w:sz w:val="24"/>
                <w:szCs w:val="24"/>
              </w:rPr>
            </w:pPr>
            <w:r>
              <w:rPr>
                <w:rFonts w:ascii="Calibri" w:hAnsi="Calibri" w:cs="Calibri"/>
                <w:color w:val="000000"/>
                <w:sz w:val="16"/>
                <w:szCs w:val="16"/>
              </w:rPr>
              <w:t>ZP-III/2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60AE97D5" w14:textId="77777777">
            <w:pPr>
              <w:widowControl/>
              <w:autoSpaceDE/>
              <w:autoSpaceDN/>
              <w:spacing w:before="120"/>
              <w:rPr>
                <w:sz w:val="24"/>
                <w:szCs w:val="24"/>
              </w:rPr>
            </w:pPr>
            <w:r w:rsidRPr="00E837D4">
              <w:rPr>
                <w:rFonts w:ascii="Calibri" w:hAnsi="Calibri" w:cs="Calibri"/>
                <w:color w:val="000000"/>
                <w:sz w:val="16"/>
                <w:szCs w:val="16"/>
              </w:rPr>
              <w:t> </w:t>
            </w:r>
            <w:r w:rsidRPr="00B81B43">
              <w:rPr>
                <w:rFonts w:ascii="Calibri" w:hAnsi="Calibri" w:cs="Calibri"/>
                <w:color w:val="000000"/>
                <w:sz w:val="16"/>
                <w:szCs w:val="16"/>
              </w:rPr>
              <w:t>156,072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2503A889" w14:textId="77777777">
            <w:pPr>
              <w:widowControl/>
              <w:autoSpaceDE/>
              <w:autoSpaceDN/>
              <w:spacing w:before="120"/>
              <w:rPr>
                <w:sz w:val="24"/>
                <w:szCs w:val="24"/>
              </w:rPr>
            </w:pPr>
            <w:r w:rsidRPr="00E837D4">
              <w:rPr>
                <w:rFonts w:ascii="Calibri" w:hAnsi="Calibri" w:cs="Calibri"/>
                <w:color w:val="000000"/>
                <w:sz w:val="16"/>
                <w:szCs w:val="16"/>
              </w:rPr>
              <w:t> </w:t>
            </w:r>
            <w:r>
              <w:rPr>
                <w:rFonts w:ascii="Calibri" w:hAnsi="Calibri" w:cs="Calibri"/>
                <w:color w:val="000000"/>
                <w:sz w:val="16"/>
                <w:szCs w:val="1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B550ED" w:rsidRPr="00E837D4" w:rsidP="009D3402" w14:paraId="186567AA"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B550ED" w:rsidRPr="00E837D4" w:rsidP="009D3402" w14:paraId="05469AB6" w14:textId="77777777">
            <w:pPr>
              <w:widowControl/>
              <w:autoSpaceDE/>
              <w:autoSpaceDN/>
              <w:spacing w:before="120"/>
              <w:rPr>
                <w:sz w:val="24"/>
                <w:szCs w:val="24"/>
              </w:rPr>
            </w:pPr>
            <w:r w:rsidRPr="00E837D4">
              <w:rPr>
                <w:rFonts w:ascii="Calibri" w:hAnsi="Calibri" w:cs="Calibri"/>
                <w:color w:val="000000"/>
                <w:sz w:val="16"/>
                <w:szCs w:val="16"/>
              </w:rPr>
              <w:t> </w:t>
            </w:r>
            <w:r>
              <w:rPr>
                <w:rFonts w:ascii="Calibri" w:hAnsi="Calibri" w:cs="Calibri"/>
                <w:color w:val="000000"/>
                <w:sz w:val="16"/>
                <w:szCs w:val="16"/>
              </w:rPr>
              <w:t>78,036</w:t>
            </w:r>
          </w:p>
        </w:tc>
      </w:tr>
      <w:tr w14:paraId="39109075" w14:textId="77777777" w:rsidTr="00B550ED">
        <w:tblPrEx>
          <w:tblW w:w="0" w:type="auto"/>
          <w:jc w:val="center"/>
          <w:tblCellMar>
            <w:top w:w="15" w:type="dxa"/>
            <w:left w:w="15" w:type="dxa"/>
            <w:bottom w:w="15" w:type="dxa"/>
            <w:right w:w="15" w:type="dxa"/>
          </w:tblCellMar>
          <w:tblLook w:val="04A0"/>
        </w:tblPrEx>
        <w:trPr>
          <w:trHeight w:val="300"/>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B550ED" w:rsidRPr="00E837D4" w:rsidP="009D3402" w14:paraId="107E0661" w14:textId="77777777">
            <w:pPr>
              <w:widowControl/>
              <w:autoSpaceDE/>
              <w:autoSpaceDN/>
              <w:spacing w:before="120"/>
              <w:rPr>
                <w:b/>
                <w:sz w:val="24"/>
                <w:szCs w:val="24"/>
              </w:rPr>
            </w:pPr>
            <w:r w:rsidRPr="00E837D4">
              <w:rPr>
                <w:rFonts w:ascii="Calibri" w:hAnsi="Calibri" w:cs="Calibri"/>
                <w:b/>
                <w:color w:val="000000"/>
                <w:sz w:val="16"/>
                <w:szCs w:val="16"/>
              </w:rPr>
              <w:t> </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4DC76B77"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76728A5C"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2332D094"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B550ED" w:rsidRPr="00E837D4" w:rsidP="009D3402" w14:paraId="6F7879A1"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B550ED" w:rsidRPr="00E837D4" w:rsidP="009D3402" w14:paraId="7BDF1AB5" w14:textId="77777777">
            <w:pPr>
              <w:widowControl/>
              <w:autoSpaceDE/>
              <w:autoSpaceDN/>
              <w:spacing w:before="120"/>
              <w:rPr>
                <w:sz w:val="24"/>
                <w:szCs w:val="24"/>
              </w:rPr>
            </w:pPr>
            <w:r w:rsidRPr="00E837D4">
              <w:rPr>
                <w:rFonts w:ascii="Calibri" w:hAnsi="Calibri" w:cs="Calibri"/>
                <w:color w:val="000000"/>
                <w:sz w:val="16"/>
                <w:szCs w:val="16"/>
              </w:rPr>
              <w:t> </w:t>
            </w:r>
          </w:p>
        </w:tc>
      </w:tr>
      <w:tr w14:paraId="7DFE4F65" w14:textId="77777777" w:rsidTr="00B550ED">
        <w:tblPrEx>
          <w:tblW w:w="0" w:type="auto"/>
          <w:jc w:val="center"/>
          <w:tblCellMar>
            <w:top w:w="15" w:type="dxa"/>
            <w:left w:w="15" w:type="dxa"/>
            <w:bottom w:w="15" w:type="dxa"/>
            <w:right w:w="15" w:type="dxa"/>
          </w:tblCellMar>
          <w:tblLook w:val="04A0"/>
        </w:tblPrEx>
        <w:trPr>
          <w:trHeight w:val="300"/>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B550ED" w:rsidRPr="00E837D4" w:rsidP="009D3402" w14:paraId="4B82B856" w14:textId="77777777">
            <w:pPr>
              <w:widowControl/>
              <w:autoSpaceDE/>
              <w:autoSpaceDN/>
              <w:spacing w:before="120"/>
              <w:rPr>
                <w:b/>
                <w:sz w:val="24"/>
                <w:szCs w:val="24"/>
              </w:rPr>
            </w:pPr>
            <w:r w:rsidRPr="00E837D4">
              <w:rPr>
                <w:rFonts w:ascii="Calibri" w:hAnsi="Calibri" w:cs="Calibri"/>
                <w:b/>
                <w:color w:val="000000"/>
                <w:sz w:val="16"/>
                <w:szCs w:val="16"/>
              </w:rPr>
              <w:t> </w:t>
            </w:r>
            <w:r w:rsidRPr="00FE6EEC">
              <w:rPr>
                <w:rFonts w:ascii="Calibri" w:hAnsi="Calibri" w:cs="Calibri"/>
                <w:b/>
                <w:color w:val="000000"/>
                <w:sz w:val="16"/>
                <w:szCs w:val="16"/>
              </w:rPr>
              <w:t>PSMFC Employee</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70E6A14B" w14:textId="77777777">
            <w:pPr>
              <w:widowControl/>
              <w:autoSpaceDE/>
              <w:autoSpaceDN/>
              <w:spacing w:before="120"/>
              <w:rPr>
                <w:sz w:val="24"/>
                <w:szCs w:val="24"/>
              </w:rPr>
            </w:pPr>
            <w:r>
              <w:rPr>
                <w:rFonts w:ascii="Calibri" w:hAnsi="Calibri" w:cs="Calibri"/>
                <w:color w:val="000000"/>
                <w:sz w:val="16"/>
                <w:szCs w:val="16"/>
              </w:rPr>
              <w:t>ZP-II/2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5AC6A338" w14:textId="77777777">
            <w:pPr>
              <w:widowControl/>
              <w:autoSpaceDE/>
              <w:autoSpaceDN/>
              <w:spacing w:before="120"/>
              <w:rPr>
                <w:sz w:val="24"/>
                <w:szCs w:val="24"/>
              </w:rPr>
            </w:pPr>
            <w:r w:rsidRPr="00E837D4">
              <w:rPr>
                <w:rFonts w:ascii="Calibri" w:hAnsi="Calibri" w:cs="Calibri"/>
                <w:color w:val="000000"/>
                <w:sz w:val="16"/>
                <w:szCs w:val="16"/>
              </w:rPr>
              <w:t> </w:t>
            </w:r>
            <w:r w:rsidRPr="00B81B43">
              <w:rPr>
                <w:rFonts w:ascii="Calibri" w:hAnsi="Calibri" w:cs="Calibri"/>
                <w:color w:val="000000"/>
                <w:sz w:val="16"/>
                <w:szCs w:val="16"/>
              </w:rPr>
              <w:t>116,493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550ED" w:rsidRPr="00E837D4" w:rsidP="009D3402" w14:paraId="1170879E" w14:textId="77777777">
            <w:pPr>
              <w:widowControl/>
              <w:autoSpaceDE/>
              <w:autoSpaceDN/>
              <w:spacing w:before="120"/>
              <w:rPr>
                <w:sz w:val="24"/>
                <w:szCs w:val="24"/>
              </w:rPr>
            </w:pPr>
            <w:r w:rsidRPr="00E837D4">
              <w:rPr>
                <w:rFonts w:ascii="Calibri" w:hAnsi="Calibri" w:cs="Calibri"/>
                <w:color w:val="000000"/>
                <w:sz w:val="16"/>
                <w:szCs w:val="16"/>
              </w:rPr>
              <w:t> </w:t>
            </w:r>
            <w:r>
              <w:rPr>
                <w:rFonts w:ascii="Calibri" w:hAnsi="Calibri" w:cs="Calibri"/>
                <w:color w:val="000000"/>
                <w:sz w:val="16"/>
                <w:szCs w:val="16"/>
              </w:rPr>
              <w:t>3%</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bottom"/>
            <w:hideMark/>
          </w:tcPr>
          <w:p w:rsidR="00B550ED" w:rsidRPr="00E837D4" w:rsidP="009D3402" w14:paraId="250F7DEF"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B550ED" w:rsidRPr="00E837D4" w:rsidP="009D3402" w14:paraId="5E5F02E1" w14:textId="77777777">
            <w:pPr>
              <w:widowControl/>
              <w:autoSpaceDE/>
              <w:autoSpaceDN/>
              <w:spacing w:before="120"/>
              <w:rPr>
                <w:sz w:val="24"/>
                <w:szCs w:val="24"/>
              </w:rPr>
            </w:pPr>
            <w:r w:rsidRPr="00E837D4">
              <w:rPr>
                <w:rFonts w:ascii="Calibri" w:hAnsi="Calibri" w:cs="Calibri"/>
                <w:color w:val="000000"/>
                <w:sz w:val="16"/>
                <w:szCs w:val="16"/>
              </w:rPr>
              <w:t> </w:t>
            </w:r>
            <w:r>
              <w:rPr>
                <w:rFonts w:ascii="Calibri" w:hAnsi="Calibri" w:cs="Calibri"/>
                <w:color w:val="000000"/>
                <w:sz w:val="16"/>
                <w:szCs w:val="16"/>
              </w:rPr>
              <w:t>3,495</w:t>
            </w:r>
          </w:p>
        </w:tc>
      </w:tr>
      <w:tr w14:paraId="63A4C288" w14:textId="77777777" w:rsidTr="00B550ED">
        <w:tblPrEx>
          <w:tblW w:w="0" w:type="auto"/>
          <w:jc w:val="center"/>
          <w:tblCellMar>
            <w:top w:w="15" w:type="dxa"/>
            <w:left w:w="15" w:type="dxa"/>
            <w:bottom w:w="15" w:type="dxa"/>
            <w:right w:w="15" w:type="dxa"/>
          </w:tblCellMar>
          <w:tblLook w:val="04A0"/>
        </w:tblPrEx>
        <w:trPr>
          <w:trHeight w:val="525"/>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B550ED" w:rsidRPr="00E837D4" w:rsidP="009D3402" w14:paraId="2038D7D8" w14:textId="77777777">
            <w:pPr>
              <w:widowControl/>
              <w:autoSpaceDE/>
              <w:autoSpaceDN/>
              <w:spacing w:before="120"/>
              <w:rPr>
                <w:sz w:val="24"/>
                <w:szCs w:val="24"/>
              </w:rPr>
            </w:pPr>
            <w:r w:rsidRPr="00E837D4">
              <w:rPr>
                <w:rFonts w:ascii="Calibri" w:hAnsi="Calibri" w:cs="Calibri"/>
                <w:b/>
                <w:bCs/>
                <w:color w:val="000000"/>
                <w:sz w:val="16"/>
                <w:szCs w:val="16"/>
              </w:rPr>
              <w:t>Other Costs: </w:t>
            </w:r>
            <w:r>
              <w:rPr>
                <w:rFonts w:ascii="Calibri" w:hAnsi="Calibri" w:cs="Calibri"/>
                <w:b/>
                <w:bCs/>
                <w:color w:val="000000"/>
                <w:sz w:val="16"/>
                <w:szCs w:val="16"/>
              </w:rPr>
              <w:t>Postage</w:t>
            </w:r>
          </w:p>
        </w:tc>
        <w:tc>
          <w:tcPr>
            <w:tcW w:w="0" w:type="auto"/>
            <w:tcBorders>
              <w:top w:val="single" w:sz="4" w:space="0" w:color="000000"/>
              <w:left w:val="single" w:sz="8" w:space="0" w:color="000000"/>
              <w:bottom w:val="single" w:sz="8" w:space="0" w:color="000000"/>
              <w:right w:val="single" w:sz="4" w:space="0" w:color="000000"/>
            </w:tcBorders>
            <w:shd w:val="clear" w:color="auto" w:fill="auto"/>
            <w:tcMar>
              <w:top w:w="0" w:type="dxa"/>
              <w:left w:w="115" w:type="dxa"/>
              <w:bottom w:w="0" w:type="dxa"/>
              <w:right w:w="115" w:type="dxa"/>
            </w:tcMar>
            <w:vAlign w:val="bottom"/>
            <w:hideMark/>
          </w:tcPr>
          <w:p w:rsidR="00B550ED" w:rsidRPr="00E837D4" w:rsidP="009D3402" w14:paraId="3FBD4093"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bottom"/>
            <w:hideMark/>
          </w:tcPr>
          <w:p w:rsidR="00B550ED" w:rsidRPr="00E837D4" w:rsidP="009D3402" w14:paraId="5A632FB4"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bottom"/>
            <w:hideMark/>
          </w:tcPr>
          <w:p w:rsidR="00B550ED" w:rsidRPr="00E837D4" w:rsidP="009D3402" w14:paraId="2A29E03D"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bottom"/>
            <w:hideMark/>
          </w:tcPr>
          <w:p w:rsidR="00B550ED" w:rsidRPr="00E837D4" w:rsidP="009D3402" w14:paraId="238C4174"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bottom"/>
            <w:hideMark/>
          </w:tcPr>
          <w:p w:rsidR="00B550ED" w:rsidRPr="00E837D4" w:rsidP="009D3402" w14:paraId="56B7C8F2" w14:textId="77777777">
            <w:pPr>
              <w:widowControl/>
              <w:autoSpaceDE/>
              <w:autoSpaceDN/>
              <w:spacing w:before="120"/>
              <w:rPr>
                <w:sz w:val="24"/>
                <w:szCs w:val="24"/>
              </w:rPr>
            </w:pPr>
            <w:r w:rsidRPr="00E837D4">
              <w:rPr>
                <w:rFonts w:ascii="Calibri" w:hAnsi="Calibri" w:cs="Calibri"/>
                <w:color w:val="000000"/>
                <w:sz w:val="16"/>
                <w:szCs w:val="16"/>
              </w:rPr>
              <w:t> </w:t>
            </w:r>
            <w:r>
              <w:rPr>
                <w:rFonts w:ascii="Calibri" w:hAnsi="Calibri" w:cs="Calibri"/>
                <w:color w:val="000000"/>
                <w:sz w:val="16"/>
                <w:szCs w:val="16"/>
              </w:rPr>
              <w:t>1,200</w:t>
            </w:r>
          </w:p>
        </w:tc>
      </w:tr>
      <w:tr w14:paraId="3A104FDF" w14:textId="77777777" w:rsidTr="00FD2B71">
        <w:tblPrEx>
          <w:tblW w:w="0" w:type="auto"/>
          <w:jc w:val="center"/>
          <w:tblCellMar>
            <w:top w:w="15" w:type="dxa"/>
            <w:left w:w="15" w:type="dxa"/>
            <w:bottom w:w="15" w:type="dxa"/>
            <w:right w:w="15" w:type="dxa"/>
          </w:tblCellMar>
          <w:tblLook w:val="04A0"/>
        </w:tblPrEx>
        <w:trPr>
          <w:trHeight w:val="315"/>
          <w:jc w:val="center"/>
        </w:trPr>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B550ED" w:rsidRPr="00E837D4" w:rsidP="009D3402" w14:paraId="42C7B459" w14:textId="77777777">
            <w:pPr>
              <w:widowControl/>
              <w:autoSpaceDE/>
              <w:autoSpaceDN/>
              <w:spacing w:before="120"/>
              <w:rPr>
                <w:sz w:val="24"/>
                <w:szCs w:val="24"/>
              </w:rPr>
            </w:pPr>
            <w:r w:rsidRPr="00E837D4">
              <w:rPr>
                <w:rFonts w:ascii="Calibri" w:hAnsi="Calibri" w:cs="Calibri"/>
                <w:b/>
                <w:bCs/>
                <w:color w:val="000000"/>
                <w:sz w:val="16"/>
                <w:szCs w:val="16"/>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808080"/>
            <w:tcMar>
              <w:top w:w="0" w:type="dxa"/>
              <w:left w:w="115" w:type="dxa"/>
              <w:bottom w:w="0" w:type="dxa"/>
              <w:right w:w="115" w:type="dxa"/>
            </w:tcMar>
            <w:vAlign w:val="bottom"/>
            <w:hideMark/>
          </w:tcPr>
          <w:p w:rsidR="00B550ED" w:rsidRPr="00E837D4" w:rsidP="009D3402" w14:paraId="025E851D"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808080"/>
            <w:tcMar>
              <w:top w:w="0" w:type="dxa"/>
              <w:left w:w="115" w:type="dxa"/>
              <w:bottom w:w="0" w:type="dxa"/>
              <w:right w:w="115" w:type="dxa"/>
            </w:tcMar>
            <w:vAlign w:val="bottom"/>
            <w:hideMark/>
          </w:tcPr>
          <w:p w:rsidR="00B550ED" w:rsidRPr="00E837D4" w:rsidP="009D3402" w14:paraId="7F2567A6"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757171"/>
            <w:tcMar>
              <w:top w:w="0" w:type="dxa"/>
              <w:left w:w="115" w:type="dxa"/>
              <w:bottom w:w="0" w:type="dxa"/>
              <w:right w:w="115" w:type="dxa"/>
            </w:tcMar>
            <w:vAlign w:val="bottom"/>
            <w:hideMark/>
          </w:tcPr>
          <w:p w:rsidR="00B550ED" w:rsidRPr="00E837D4" w:rsidP="009D3402" w14:paraId="59063B66"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0" w:type="dxa"/>
              <w:left w:w="115" w:type="dxa"/>
              <w:bottom w:w="0" w:type="dxa"/>
              <w:right w:w="115" w:type="dxa"/>
            </w:tcMar>
            <w:vAlign w:val="bottom"/>
            <w:hideMark/>
          </w:tcPr>
          <w:p w:rsidR="00B550ED" w:rsidRPr="00E837D4" w:rsidP="009D3402" w14:paraId="5F219EC8" w14:textId="77777777">
            <w:pPr>
              <w:widowControl/>
              <w:autoSpaceDE/>
              <w:autoSpaceDN/>
              <w:spacing w:before="120"/>
              <w:rPr>
                <w:sz w:val="24"/>
                <w:szCs w:val="24"/>
              </w:rPr>
            </w:pPr>
            <w:r w:rsidRPr="00E837D4">
              <w:rPr>
                <w:rFonts w:ascii="Calibri" w:hAnsi="Calibri"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B550ED" w:rsidRPr="00FD2B71" w:rsidP="009D3402" w14:paraId="27D5399F" w14:textId="77777777">
            <w:pPr>
              <w:widowControl/>
              <w:autoSpaceDE/>
              <w:autoSpaceDN/>
              <w:spacing w:before="120"/>
              <w:rPr>
                <w:b/>
                <w:bCs/>
                <w:sz w:val="20"/>
                <w:szCs w:val="20"/>
              </w:rPr>
            </w:pPr>
            <w:r w:rsidRPr="00FD2B71">
              <w:rPr>
                <w:rFonts w:ascii="Calibri" w:hAnsi="Calibri" w:cs="Calibri"/>
                <w:b/>
                <w:bCs/>
                <w:color w:val="000000"/>
                <w:sz w:val="20"/>
                <w:szCs w:val="20"/>
              </w:rPr>
              <w:t> </w:t>
            </w:r>
            <w:r w:rsidRPr="00FD2B71">
              <w:rPr>
                <w:rFonts w:ascii="Calibri" w:hAnsi="Calibri" w:cs="Calibri"/>
                <w:b/>
                <w:bCs/>
                <w:color w:val="000000"/>
                <w:sz w:val="20"/>
                <w:szCs w:val="20"/>
              </w:rPr>
              <w:t>85,384</w:t>
            </w:r>
          </w:p>
        </w:tc>
      </w:tr>
    </w:tbl>
    <w:p w:rsidR="00FD2B71" w:rsidP="009D3402" w14:paraId="07C4F050" w14:textId="77777777">
      <w:pPr>
        <w:pBdr>
          <w:top w:val="nil"/>
          <w:left w:val="nil"/>
          <w:bottom w:val="nil"/>
          <w:right w:val="nil"/>
          <w:between w:val="nil"/>
        </w:pBdr>
        <w:tabs>
          <w:tab w:val="left" w:pos="360"/>
        </w:tabs>
        <w:spacing w:before="120"/>
        <w:ind w:left="180"/>
        <w:jc w:val="center"/>
        <w:rPr>
          <w:color w:val="000000"/>
          <w:sz w:val="24"/>
          <w:szCs w:val="24"/>
        </w:rPr>
        <w:sectPr w:rsidSect="008E02BE">
          <w:pgSz w:w="12240" w:h="15840"/>
          <w:pgMar w:top="1440" w:right="1440" w:bottom="1440" w:left="1440" w:header="0" w:footer="1008" w:gutter="0"/>
          <w:cols w:space="720"/>
          <w:docGrid w:linePitch="299"/>
        </w:sectPr>
      </w:pPr>
    </w:p>
    <w:p w:rsidR="00956DFE" w:rsidP="009D3402" w14:paraId="6D9D9AF9" w14:textId="77777777">
      <w:pPr>
        <w:pStyle w:val="Heading1"/>
        <w:numPr>
          <w:ilvl w:val="0"/>
          <w:numId w:val="1"/>
        </w:numPr>
        <w:tabs>
          <w:tab w:val="left" w:pos="500"/>
        </w:tabs>
        <w:spacing w:before="120"/>
        <w:ind w:left="500"/>
      </w:pPr>
      <w:r>
        <w:t>Explain</w:t>
      </w:r>
      <w:r>
        <w:rPr>
          <w:spacing w:val="-4"/>
        </w:rPr>
        <w:t xml:space="preserve"> </w:t>
      </w:r>
      <w:r>
        <w:t>the</w:t>
      </w:r>
      <w:r>
        <w:rPr>
          <w:spacing w:val="-3"/>
        </w:rPr>
        <w:t xml:space="preserve"> </w:t>
      </w:r>
      <w:r>
        <w:t>reasons</w:t>
      </w:r>
      <w:r>
        <w:rPr>
          <w:spacing w:val="-1"/>
        </w:rPr>
        <w:t xml:space="preserve"> </w:t>
      </w:r>
      <w:r>
        <w:t>for</w:t>
      </w:r>
      <w:r>
        <w:rPr>
          <w:spacing w:val="-3"/>
        </w:rPr>
        <w:t xml:space="preserve"> </w:t>
      </w:r>
      <w:r>
        <w:t>any</w:t>
      </w:r>
      <w:r>
        <w:rPr>
          <w:spacing w:val="-2"/>
        </w:rPr>
        <w:t xml:space="preserve"> </w:t>
      </w:r>
      <w:r>
        <w:t>program</w:t>
      </w:r>
      <w:r>
        <w:rPr>
          <w:spacing w:val="-2"/>
        </w:rPr>
        <w:t xml:space="preserve"> </w:t>
      </w:r>
      <w:r>
        <w:t>changes</w:t>
      </w:r>
      <w:r>
        <w:rPr>
          <w:spacing w:val="-2"/>
        </w:rPr>
        <w:t xml:space="preserve"> </w:t>
      </w:r>
      <w:r>
        <w:t>or</w:t>
      </w:r>
      <w:r>
        <w:rPr>
          <w:spacing w:val="-2"/>
        </w:rPr>
        <w:t xml:space="preserve"> </w:t>
      </w:r>
      <w:r>
        <w:t>adjustments</w:t>
      </w:r>
      <w:r>
        <w:rPr>
          <w:spacing w:val="-2"/>
        </w:rPr>
        <w:t xml:space="preserve"> </w:t>
      </w:r>
      <w:r>
        <w:t>reported</w:t>
      </w:r>
      <w:r>
        <w:rPr>
          <w:spacing w:val="1"/>
        </w:rPr>
        <w:t xml:space="preserve"> </w:t>
      </w:r>
      <w:r>
        <w:t>in</w:t>
      </w:r>
      <w:r>
        <w:rPr>
          <w:spacing w:val="-1"/>
        </w:rPr>
        <w:t xml:space="preserve"> </w:t>
      </w:r>
      <w:r>
        <w:rPr>
          <w:spacing w:val="-2"/>
        </w:rPr>
        <w:t>ROCIS.</w:t>
      </w:r>
    </w:p>
    <w:p w:rsidR="00E31755" w:rsidP="009D3402" w14:paraId="7EF0748E" w14:textId="77777777">
      <w:pPr>
        <w:pStyle w:val="BodyText"/>
        <w:spacing w:before="120"/>
        <w:ind w:left="-220" w:firstLine="720"/>
        <w:jc w:val="both"/>
        <w:rPr>
          <w:spacing w:val="-2"/>
        </w:rPr>
      </w:pPr>
      <w:r>
        <w:t>OMB Control Number 0648-0804 is being merged into this control number.</w:t>
      </w:r>
    </w:p>
    <w:p w:rsidR="005601D9" w:rsidP="009D3402" w14:paraId="462D3A2C" w14:textId="77777777">
      <w:pPr>
        <w:pStyle w:val="BodyText"/>
        <w:spacing w:before="120"/>
        <w:jc w:val="both"/>
      </w:pPr>
    </w:p>
    <w:tbl>
      <w:tblPr>
        <w:tblW w:w="12479" w:type="dxa"/>
        <w:tblInd w:w="118" w:type="dxa"/>
        <w:tblLook w:val="04A0"/>
      </w:tblPr>
      <w:tblGrid>
        <w:gridCol w:w="1852"/>
        <w:gridCol w:w="1142"/>
        <w:gridCol w:w="935"/>
        <w:gridCol w:w="1170"/>
        <w:gridCol w:w="990"/>
        <w:gridCol w:w="900"/>
        <w:gridCol w:w="1170"/>
        <w:gridCol w:w="4320"/>
      </w:tblGrid>
      <w:tr w14:paraId="5B0FA494" w14:textId="77777777" w:rsidTr="006F7245">
        <w:tblPrEx>
          <w:tblW w:w="12479" w:type="dxa"/>
          <w:tblInd w:w="118" w:type="dxa"/>
          <w:tblLook w:val="04A0"/>
        </w:tblPrEx>
        <w:trPr>
          <w:trHeight w:val="343"/>
        </w:trPr>
        <w:tc>
          <w:tcPr>
            <w:tcW w:w="1852"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EB2389" w:rsidRPr="00EB2389" w:rsidP="009D3402" w14:paraId="501D8A0B"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Information Collection</w:t>
            </w:r>
          </w:p>
        </w:tc>
        <w:tc>
          <w:tcPr>
            <w:tcW w:w="2077" w:type="dxa"/>
            <w:gridSpan w:val="2"/>
            <w:tcBorders>
              <w:top w:val="single" w:sz="8" w:space="0" w:color="auto"/>
              <w:left w:val="nil"/>
              <w:bottom w:val="single" w:sz="8" w:space="0" w:color="auto"/>
              <w:right w:val="single" w:sz="8" w:space="0" w:color="000000"/>
            </w:tcBorders>
            <w:shd w:val="clear" w:color="000000" w:fill="5B9BD5"/>
            <w:vAlign w:val="center"/>
            <w:hideMark/>
          </w:tcPr>
          <w:p w:rsidR="00EB2389" w:rsidRPr="00EB2389" w:rsidP="009D3402" w14:paraId="18459C98"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Respondents</w:t>
            </w:r>
          </w:p>
        </w:tc>
        <w:tc>
          <w:tcPr>
            <w:tcW w:w="2160" w:type="dxa"/>
            <w:gridSpan w:val="2"/>
            <w:tcBorders>
              <w:top w:val="single" w:sz="8" w:space="0" w:color="auto"/>
              <w:left w:val="nil"/>
              <w:bottom w:val="single" w:sz="8" w:space="0" w:color="auto"/>
              <w:right w:val="single" w:sz="8" w:space="0" w:color="000000"/>
            </w:tcBorders>
            <w:shd w:val="clear" w:color="000000" w:fill="5B9BD5"/>
            <w:vAlign w:val="center"/>
            <w:hideMark/>
          </w:tcPr>
          <w:p w:rsidR="00EB2389" w:rsidRPr="00EB2389" w:rsidP="009D3402" w14:paraId="41952978"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Responses</w:t>
            </w:r>
          </w:p>
        </w:tc>
        <w:tc>
          <w:tcPr>
            <w:tcW w:w="2070" w:type="dxa"/>
            <w:gridSpan w:val="2"/>
            <w:tcBorders>
              <w:top w:val="single" w:sz="8" w:space="0" w:color="auto"/>
              <w:left w:val="nil"/>
              <w:bottom w:val="single" w:sz="8" w:space="0" w:color="auto"/>
              <w:right w:val="single" w:sz="8" w:space="0" w:color="000000"/>
            </w:tcBorders>
            <w:shd w:val="clear" w:color="000000" w:fill="5B9BD5"/>
            <w:vAlign w:val="center"/>
            <w:hideMark/>
          </w:tcPr>
          <w:p w:rsidR="00EB2389" w:rsidRPr="00EB2389" w:rsidP="009D3402" w14:paraId="1264A78E"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Burden Hours</w:t>
            </w:r>
          </w:p>
        </w:tc>
        <w:tc>
          <w:tcPr>
            <w:tcW w:w="432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EB2389" w:rsidRPr="00EB2389" w:rsidP="009D3402" w14:paraId="3A7CA696"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 xml:space="preserve">Reason for change or </w:t>
            </w:r>
            <w:r w:rsidRPr="00EB2389">
              <w:rPr>
                <w:rFonts w:ascii="Calibri" w:hAnsi="Calibri" w:cs="Calibri"/>
                <w:b/>
                <w:bCs/>
                <w:color w:val="000000"/>
                <w:sz w:val="16"/>
                <w:szCs w:val="16"/>
              </w:rPr>
              <w:t>adjustment</w:t>
            </w:r>
          </w:p>
        </w:tc>
      </w:tr>
      <w:tr w14:paraId="1D3A9E6D" w14:textId="77777777" w:rsidTr="006F7245">
        <w:tblPrEx>
          <w:tblW w:w="12479" w:type="dxa"/>
          <w:tblInd w:w="118" w:type="dxa"/>
          <w:tblLook w:val="04A0"/>
        </w:tblPrEx>
        <w:trPr>
          <w:trHeight w:val="714"/>
        </w:trPr>
        <w:tc>
          <w:tcPr>
            <w:tcW w:w="1852" w:type="dxa"/>
            <w:vMerge/>
            <w:tcBorders>
              <w:top w:val="single" w:sz="8" w:space="0" w:color="auto"/>
              <w:left w:val="single" w:sz="8" w:space="0" w:color="auto"/>
              <w:bottom w:val="single" w:sz="8" w:space="0" w:color="000000"/>
              <w:right w:val="single" w:sz="8" w:space="0" w:color="auto"/>
            </w:tcBorders>
            <w:vAlign w:val="center"/>
            <w:hideMark/>
          </w:tcPr>
          <w:p w:rsidR="00EB2389" w:rsidRPr="00EB2389" w:rsidP="009D3402" w14:paraId="0229A4AD" w14:textId="77777777">
            <w:pPr>
              <w:widowControl/>
              <w:autoSpaceDE/>
              <w:autoSpaceDN/>
              <w:spacing w:before="120"/>
              <w:rPr>
                <w:rFonts w:ascii="Calibri" w:hAnsi="Calibri" w:cs="Calibri"/>
                <w:b/>
                <w:bCs/>
                <w:color w:val="000000"/>
                <w:sz w:val="16"/>
                <w:szCs w:val="16"/>
              </w:rPr>
            </w:pPr>
          </w:p>
        </w:tc>
        <w:tc>
          <w:tcPr>
            <w:tcW w:w="1142" w:type="dxa"/>
            <w:tcBorders>
              <w:top w:val="nil"/>
              <w:left w:val="nil"/>
              <w:bottom w:val="single" w:sz="8" w:space="0" w:color="auto"/>
              <w:right w:val="dashed" w:sz="8" w:space="0" w:color="auto"/>
            </w:tcBorders>
            <w:shd w:val="clear" w:color="000000" w:fill="FBE4D5"/>
            <w:vAlign w:val="center"/>
            <w:hideMark/>
          </w:tcPr>
          <w:p w:rsidR="00EB2389" w:rsidRPr="00EB2389" w:rsidP="009D3402" w14:paraId="129F2B56" w14:textId="77777777">
            <w:pPr>
              <w:widowControl/>
              <w:autoSpaceDE/>
              <w:autoSpaceDN/>
              <w:spacing w:before="120"/>
              <w:jc w:val="center"/>
              <w:rPr>
                <w:rFonts w:ascii="Calibri" w:hAnsi="Calibri" w:cs="Calibri"/>
                <w:color w:val="000000"/>
                <w:sz w:val="16"/>
                <w:szCs w:val="16"/>
              </w:rPr>
            </w:pPr>
            <w:r w:rsidRPr="00EB2389">
              <w:rPr>
                <w:rFonts w:ascii="Calibri" w:hAnsi="Calibri" w:cs="Calibri"/>
                <w:color w:val="000000"/>
                <w:sz w:val="16"/>
                <w:szCs w:val="16"/>
              </w:rPr>
              <w:t>Current Renewal / Revision</w:t>
            </w:r>
          </w:p>
        </w:tc>
        <w:tc>
          <w:tcPr>
            <w:tcW w:w="935" w:type="dxa"/>
            <w:tcBorders>
              <w:top w:val="nil"/>
              <w:left w:val="nil"/>
              <w:bottom w:val="single" w:sz="8" w:space="0" w:color="auto"/>
              <w:right w:val="single" w:sz="8" w:space="0" w:color="auto"/>
            </w:tcBorders>
            <w:shd w:val="clear" w:color="000000" w:fill="FBE4D5"/>
            <w:vAlign w:val="center"/>
            <w:hideMark/>
          </w:tcPr>
          <w:p w:rsidR="00EB2389" w:rsidRPr="00EB2389" w:rsidP="009D3402" w14:paraId="7F4E3558" w14:textId="77777777">
            <w:pPr>
              <w:widowControl/>
              <w:autoSpaceDE/>
              <w:autoSpaceDN/>
              <w:spacing w:before="120"/>
              <w:jc w:val="center"/>
              <w:rPr>
                <w:rFonts w:ascii="Calibri" w:hAnsi="Calibri" w:cs="Calibri"/>
                <w:color w:val="000000"/>
                <w:sz w:val="16"/>
                <w:szCs w:val="16"/>
              </w:rPr>
            </w:pPr>
            <w:r w:rsidRPr="00EB2389">
              <w:rPr>
                <w:rFonts w:ascii="Calibri" w:hAnsi="Calibri" w:cs="Calibri"/>
                <w:color w:val="000000"/>
                <w:sz w:val="16"/>
                <w:szCs w:val="16"/>
              </w:rPr>
              <w:t>Previous Renewal / Revision</w:t>
            </w:r>
          </w:p>
        </w:tc>
        <w:tc>
          <w:tcPr>
            <w:tcW w:w="1170" w:type="dxa"/>
            <w:tcBorders>
              <w:top w:val="nil"/>
              <w:left w:val="nil"/>
              <w:bottom w:val="single" w:sz="8" w:space="0" w:color="auto"/>
              <w:right w:val="dashed" w:sz="8" w:space="0" w:color="auto"/>
            </w:tcBorders>
            <w:shd w:val="clear" w:color="000000" w:fill="FBE4D5"/>
            <w:vAlign w:val="center"/>
            <w:hideMark/>
          </w:tcPr>
          <w:p w:rsidR="00EB2389" w:rsidRPr="00EB2389" w:rsidP="009D3402" w14:paraId="76615D2A" w14:textId="77777777">
            <w:pPr>
              <w:widowControl/>
              <w:autoSpaceDE/>
              <w:autoSpaceDN/>
              <w:spacing w:before="120"/>
              <w:jc w:val="center"/>
              <w:rPr>
                <w:rFonts w:ascii="Calibri" w:hAnsi="Calibri" w:cs="Calibri"/>
                <w:color w:val="000000"/>
                <w:sz w:val="16"/>
                <w:szCs w:val="16"/>
              </w:rPr>
            </w:pPr>
            <w:r w:rsidRPr="00EB2389">
              <w:rPr>
                <w:rFonts w:ascii="Calibri" w:hAnsi="Calibri" w:cs="Calibri"/>
                <w:color w:val="000000"/>
                <w:sz w:val="16"/>
                <w:szCs w:val="16"/>
              </w:rPr>
              <w:t>Current Renewal / Revision</w:t>
            </w:r>
          </w:p>
        </w:tc>
        <w:tc>
          <w:tcPr>
            <w:tcW w:w="990" w:type="dxa"/>
            <w:tcBorders>
              <w:top w:val="nil"/>
              <w:left w:val="nil"/>
              <w:bottom w:val="single" w:sz="8" w:space="0" w:color="auto"/>
              <w:right w:val="single" w:sz="8" w:space="0" w:color="auto"/>
            </w:tcBorders>
            <w:shd w:val="clear" w:color="000000" w:fill="FBE4D5"/>
            <w:vAlign w:val="center"/>
            <w:hideMark/>
          </w:tcPr>
          <w:p w:rsidR="00EB2389" w:rsidRPr="00EB2389" w:rsidP="009D3402" w14:paraId="103FF931" w14:textId="77777777">
            <w:pPr>
              <w:widowControl/>
              <w:autoSpaceDE/>
              <w:autoSpaceDN/>
              <w:spacing w:before="120"/>
              <w:jc w:val="center"/>
              <w:rPr>
                <w:rFonts w:ascii="Calibri" w:hAnsi="Calibri" w:cs="Calibri"/>
                <w:color w:val="000000"/>
                <w:sz w:val="16"/>
                <w:szCs w:val="16"/>
              </w:rPr>
            </w:pPr>
            <w:r w:rsidRPr="00EB2389">
              <w:rPr>
                <w:rFonts w:ascii="Calibri" w:hAnsi="Calibri" w:cs="Calibri"/>
                <w:color w:val="000000"/>
                <w:sz w:val="16"/>
                <w:szCs w:val="16"/>
              </w:rPr>
              <w:t>Previous Renewal / Revision</w:t>
            </w:r>
          </w:p>
        </w:tc>
        <w:tc>
          <w:tcPr>
            <w:tcW w:w="900" w:type="dxa"/>
            <w:tcBorders>
              <w:top w:val="nil"/>
              <w:left w:val="nil"/>
              <w:bottom w:val="single" w:sz="8" w:space="0" w:color="auto"/>
              <w:right w:val="dashed" w:sz="8" w:space="0" w:color="auto"/>
            </w:tcBorders>
            <w:shd w:val="clear" w:color="000000" w:fill="FBE4D5"/>
            <w:vAlign w:val="center"/>
            <w:hideMark/>
          </w:tcPr>
          <w:p w:rsidR="00EB2389" w:rsidRPr="00EB2389" w:rsidP="009D3402" w14:paraId="014773B1" w14:textId="77777777">
            <w:pPr>
              <w:widowControl/>
              <w:autoSpaceDE/>
              <w:autoSpaceDN/>
              <w:spacing w:before="120"/>
              <w:jc w:val="center"/>
              <w:rPr>
                <w:rFonts w:ascii="Calibri" w:hAnsi="Calibri" w:cs="Calibri"/>
                <w:color w:val="000000"/>
                <w:sz w:val="16"/>
                <w:szCs w:val="16"/>
              </w:rPr>
            </w:pPr>
            <w:r w:rsidRPr="00EB2389">
              <w:rPr>
                <w:rFonts w:ascii="Calibri" w:hAnsi="Calibri" w:cs="Calibri"/>
                <w:color w:val="000000"/>
                <w:sz w:val="16"/>
                <w:szCs w:val="16"/>
              </w:rPr>
              <w:t>Current Renewal / Revision</w:t>
            </w:r>
          </w:p>
        </w:tc>
        <w:tc>
          <w:tcPr>
            <w:tcW w:w="1170" w:type="dxa"/>
            <w:tcBorders>
              <w:top w:val="nil"/>
              <w:left w:val="nil"/>
              <w:bottom w:val="single" w:sz="8" w:space="0" w:color="auto"/>
              <w:right w:val="single" w:sz="8" w:space="0" w:color="auto"/>
            </w:tcBorders>
            <w:shd w:val="clear" w:color="000000" w:fill="FBE4D5"/>
            <w:vAlign w:val="center"/>
            <w:hideMark/>
          </w:tcPr>
          <w:p w:rsidR="00EB2389" w:rsidRPr="00EB2389" w:rsidP="009D3402" w14:paraId="2D2E0B31" w14:textId="77777777">
            <w:pPr>
              <w:widowControl/>
              <w:autoSpaceDE/>
              <w:autoSpaceDN/>
              <w:spacing w:before="120"/>
              <w:jc w:val="center"/>
              <w:rPr>
                <w:rFonts w:ascii="Calibri" w:hAnsi="Calibri" w:cs="Calibri"/>
                <w:color w:val="000000"/>
                <w:sz w:val="16"/>
                <w:szCs w:val="16"/>
              </w:rPr>
            </w:pPr>
            <w:r w:rsidRPr="00EB2389">
              <w:rPr>
                <w:rFonts w:ascii="Calibri" w:hAnsi="Calibri" w:cs="Calibri"/>
                <w:color w:val="000000"/>
                <w:sz w:val="16"/>
                <w:szCs w:val="16"/>
              </w:rPr>
              <w:t>Previous Renewal / Revision</w:t>
            </w:r>
          </w:p>
        </w:tc>
        <w:tc>
          <w:tcPr>
            <w:tcW w:w="4320" w:type="dxa"/>
            <w:vMerge/>
            <w:tcBorders>
              <w:top w:val="single" w:sz="8" w:space="0" w:color="auto"/>
              <w:left w:val="single" w:sz="8" w:space="0" w:color="auto"/>
              <w:bottom w:val="single" w:sz="8" w:space="0" w:color="000000"/>
              <w:right w:val="single" w:sz="8" w:space="0" w:color="auto"/>
            </w:tcBorders>
            <w:vAlign w:val="center"/>
            <w:hideMark/>
          </w:tcPr>
          <w:p w:rsidR="00EB2389" w:rsidRPr="00EB2389" w:rsidP="009D3402" w14:paraId="5A7031FD" w14:textId="77777777">
            <w:pPr>
              <w:widowControl/>
              <w:autoSpaceDE/>
              <w:autoSpaceDN/>
              <w:spacing w:before="120"/>
              <w:rPr>
                <w:rFonts w:ascii="Calibri" w:hAnsi="Calibri" w:cs="Calibri"/>
                <w:b/>
                <w:bCs/>
                <w:color w:val="000000"/>
                <w:sz w:val="16"/>
                <w:szCs w:val="16"/>
              </w:rPr>
            </w:pPr>
          </w:p>
        </w:tc>
      </w:tr>
      <w:tr w14:paraId="0452A477" w14:textId="77777777" w:rsidTr="006F7245">
        <w:tblPrEx>
          <w:tblW w:w="12479" w:type="dxa"/>
          <w:tblInd w:w="118" w:type="dxa"/>
          <w:tblLook w:val="04A0"/>
        </w:tblPrEx>
        <w:trPr>
          <w:trHeight w:val="343"/>
        </w:trPr>
        <w:tc>
          <w:tcPr>
            <w:tcW w:w="1852" w:type="dxa"/>
            <w:tcBorders>
              <w:top w:val="nil"/>
              <w:left w:val="single" w:sz="8" w:space="0" w:color="auto"/>
              <w:bottom w:val="single" w:sz="8" w:space="0" w:color="auto"/>
              <w:right w:val="single" w:sz="8" w:space="0" w:color="auto"/>
            </w:tcBorders>
            <w:shd w:val="clear" w:color="auto" w:fill="auto"/>
            <w:vAlign w:val="center"/>
            <w:hideMark/>
          </w:tcPr>
          <w:p w:rsidR="00EB2389" w:rsidRPr="00EB2389" w:rsidP="009D3402" w14:paraId="6CDC7FC8" w14:textId="5D907561">
            <w:pPr>
              <w:widowControl/>
              <w:autoSpaceDE/>
              <w:autoSpaceDN/>
              <w:spacing w:before="120"/>
              <w:rPr>
                <w:rFonts w:ascii="Calibri" w:hAnsi="Calibri" w:cs="Calibri"/>
                <w:color w:val="000000"/>
                <w:sz w:val="16"/>
                <w:szCs w:val="16"/>
              </w:rPr>
            </w:pPr>
            <w:r>
              <w:rPr>
                <w:rFonts w:ascii="Calibri" w:hAnsi="Calibri" w:cs="Calibri"/>
                <w:color w:val="000000"/>
                <w:sz w:val="16"/>
                <w:szCs w:val="16"/>
              </w:rPr>
              <w:t>Trawl Logbook</w:t>
            </w:r>
          </w:p>
        </w:tc>
        <w:tc>
          <w:tcPr>
            <w:tcW w:w="1142" w:type="dxa"/>
            <w:tcBorders>
              <w:top w:val="nil"/>
              <w:left w:val="nil"/>
              <w:bottom w:val="dotted" w:sz="4" w:space="0" w:color="auto"/>
              <w:right w:val="dashed" w:sz="8" w:space="0" w:color="auto"/>
            </w:tcBorders>
            <w:shd w:val="clear" w:color="auto" w:fill="auto"/>
            <w:vAlign w:val="center"/>
            <w:hideMark/>
          </w:tcPr>
          <w:p w:rsidR="00EB2389" w:rsidRPr="00EB2389" w:rsidP="009D3402" w14:paraId="621F00BC" w14:textId="5F47CB45">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33</w:t>
            </w:r>
          </w:p>
        </w:tc>
        <w:tc>
          <w:tcPr>
            <w:tcW w:w="935" w:type="dxa"/>
            <w:tcBorders>
              <w:top w:val="nil"/>
              <w:left w:val="nil"/>
              <w:bottom w:val="dotted" w:sz="4" w:space="0" w:color="auto"/>
              <w:right w:val="single" w:sz="8" w:space="0" w:color="auto"/>
            </w:tcBorders>
            <w:shd w:val="clear" w:color="auto" w:fill="auto"/>
            <w:vAlign w:val="center"/>
            <w:hideMark/>
          </w:tcPr>
          <w:p w:rsidR="00EB2389" w:rsidRPr="00EB2389" w:rsidP="009D3402" w14:paraId="5A6C077C" w14:textId="55300DCD">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27</w:t>
            </w:r>
            <w:r w:rsidRPr="00EB2389">
              <w:rPr>
                <w:rFonts w:ascii="Calibri" w:hAnsi="Calibri" w:cs="Calibri"/>
                <w:color w:val="000000"/>
                <w:sz w:val="16"/>
                <w:szCs w:val="16"/>
              </w:rPr>
              <w:t> </w:t>
            </w:r>
          </w:p>
        </w:tc>
        <w:tc>
          <w:tcPr>
            <w:tcW w:w="1170" w:type="dxa"/>
            <w:tcBorders>
              <w:top w:val="nil"/>
              <w:left w:val="nil"/>
              <w:bottom w:val="dotted" w:sz="4" w:space="0" w:color="auto"/>
              <w:right w:val="dashed" w:sz="8" w:space="0" w:color="auto"/>
            </w:tcBorders>
            <w:shd w:val="clear" w:color="auto" w:fill="auto"/>
            <w:vAlign w:val="center"/>
            <w:hideMark/>
          </w:tcPr>
          <w:p w:rsidR="00EB2389" w:rsidRPr="00EB2389" w:rsidP="009D3402" w14:paraId="7D67FC0E" w14:textId="2527424B">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264</w:t>
            </w:r>
          </w:p>
        </w:tc>
        <w:tc>
          <w:tcPr>
            <w:tcW w:w="990" w:type="dxa"/>
            <w:tcBorders>
              <w:top w:val="nil"/>
              <w:left w:val="nil"/>
              <w:bottom w:val="dotted" w:sz="4" w:space="0" w:color="auto"/>
              <w:right w:val="single" w:sz="8" w:space="0" w:color="auto"/>
            </w:tcBorders>
            <w:shd w:val="clear" w:color="auto" w:fill="auto"/>
            <w:vAlign w:val="center"/>
            <w:hideMark/>
          </w:tcPr>
          <w:p w:rsidR="00EB2389" w:rsidRPr="00EB2389" w:rsidP="009D3402" w14:paraId="193DA764" w14:textId="1C081975">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216</w:t>
            </w:r>
          </w:p>
        </w:tc>
        <w:tc>
          <w:tcPr>
            <w:tcW w:w="900" w:type="dxa"/>
            <w:tcBorders>
              <w:top w:val="nil"/>
              <w:left w:val="nil"/>
              <w:bottom w:val="dotted" w:sz="4" w:space="0" w:color="auto"/>
              <w:right w:val="dashed" w:sz="8" w:space="0" w:color="auto"/>
            </w:tcBorders>
            <w:shd w:val="clear" w:color="auto" w:fill="auto"/>
            <w:vAlign w:val="center"/>
            <w:hideMark/>
          </w:tcPr>
          <w:p w:rsidR="00EB2389" w:rsidRPr="00EB2389" w:rsidP="009D3402" w14:paraId="6D4B5602" w14:textId="16822B92">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2,112</w:t>
            </w:r>
          </w:p>
        </w:tc>
        <w:tc>
          <w:tcPr>
            <w:tcW w:w="1170" w:type="dxa"/>
            <w:tcBorders>
              <w:top w:val="nil"/>
              <w:left w:val="nil"/>
              <w:bottom w:val="dotted" w:sz="4" w:space="0" w:color="auto"/>
              <w:right w:val="single" w:sz="8" w:space="0" w:color="auto"/>
            </w:tcBorders>
            <w:shd w:val="clear" w:color="auto" w:fill="auto"/>
            <w:vAlign w:val="center"/>
            <w:hideMark/>
          </w:tcPr>
          <w:p w:rsidR="00EB2389" w:rsidRPr="00EB2389" w:rsidP="009D3402" w14:paraId="7E2F6AC8" w14:textId="5FD1E5E2">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1,728</w:t>
            </w:r>
            <w:r w:rsidRPr="00EB2389">
              <w:rPr>
                <w:rFonts w:ascii="Calibri" w:hAnsi="Calibri" w:cs="Calibri"/>
                <w:color w:val="000000"/>
                <w:sz w:val="16"/>
                <w:szCs w:val="16"/>
              </w:rPr>
              <w:t> </w:t>
            </w:r>
          </w:p>
        </w:tc>
        <w:tc>
          <w:tcPr>
            <w:tcW w:w="4320" w:type="dxa"/>
            <w:tcBorders>
              <w:top w:val="nil"/>
              <w:left w:val="nil"/>
              <w:bottom w:val="dotted" w:sz="4" w:space="0" w:color="auto"/>
              <w:right w:val="single" w:sz="8" w:space="0" w:color="auto"/>
            </w:tcBorders>
            <w:shd w:val="clear" w:color="auto" w:fill="auto"/>
            <w:vAlign w:val="center"/>
          </w:tcPr>
          <w:p w:rsidR="00EB2389" w:rsidRPr="00EB2389" w:rsidP="009D3402" w14:paraId="7C2075C3" w14:textId="18ACB810">
            <w:pPr>
              <w:widowControl/>
              <w:autoSpaceDE/>
              <w:autoSpaceDN/>
              <w:spacing w:before="120"/>
              <w:rPr>
                <w:rFonts w:ascii="Calibri" w:hAnsi="Calibri" w:cs="Calibri"/>
                <w:color w:val="000000"/>
                <w:sz w:val="16"/>
                <w:szCs w:val="16"/>
              </w:rPr>
            </w:pPr>
            <w:r>
              <w:rPr>
                <w:rFonts w:ascii="Calibri" w:hAnsi="Calibri" w:cs="Calibri"/>
                <w:color w:val="000000"/>
                <w:sz w:val="16"/>
                <w:szCs w:val="16"/>
              </w:rPr>
              <w:t xml:space="preserve">Updated number of </w:t>
            </w:r>
            <w:r>
              <w:rPr>
                <w:rFonts w:ascii="Calibri" w:hAnsi="Calibri" w:cs="Calibri"/>
                <w:color w:val="000000"/>
                <w:sz w:val="16"/>
                <w:szCs w:val="16"/>
              </w:rPr>
              <w:t>participating vessels</w:t>
            </w:r>
          </w:p>
        </w:tc>
      </w:tr>
      <w:tr w14:paraId="3FAAF57B" w14:textId="77777777" w:rsidTr="006F7245">
        <w:tblPrEx>
          <w:tblW w:w="12479" w:type="dxa"/>
          <w:tblInd w:w="118" w:type="dxa"/>
          <w:tblLook w:val="04A0"/>
        </w:tblPrEx>
        <w:trPr>
          <w:trHeight w:val="343"/>
        </w:trPr>
        <w:tc>
          <w:tcPr>
            <w:tcW w:w="1852" w:type="dxa"/>
            <w:tcBorders>
              <w:top w:val="nil"/>
              <w:left w:val="single" w:sz="8" w:space="0" w:color="auto"/>
              <w:bottom w:val="single" w:sz="8" w:space="0" w:color="auto"/>
              <w:right w:val="single" w:sz="8" w:space="0" w:color="auto"/>
            </w:tcBorders>
            <w:shd w:val="clear" w:color="auto" w:fill="auto"/>
            <w:vAlign w:val="center"/>
          </w:tcPr>
          <w:p w:rsidR="005C350D" w:rsidRPr="00EB2389" w:rsidP="009D3402" w14:paraId="64655959" w14:textId="2E68C0F3">
            <w:pPr>
              <w:widowControl/>
              <w:autoSpaceDE/>
              <w:autoSpaceDN/>
              <w:spacing w:before="120"/>
              <w:rPr>
                <w:rFonts w:ascii="Calibri" w:hAnsi="Calibri" w:cs="Calibri"/>
                <w:color w:val="000000"/>
                <w:sz w:val="16"/>
                <w:szCs w:val="16"/>
              </w:rPr>
            </w:pPr>
            <w:r w:rsidRPr="008F2EF7">
              <w:rPr>
                <w:rFonts w:ascii="Calibri" w:eastAsia="Calibri" w:hAnsi="Calibri" w:cs="Calibri"/>
                <w:color w:val="000000"/>
                <w:sz w:val="16"/>
                <w:szCs w:val="16"/>
              </w:rPr>
              <w:t>Non-Trawl Logbook</w:t>
            </w:r>
            <w:r>
              <w:rPr>
                <w:rFonts w:ascii="Calibri" w:eastAsia="Calibri" w:hAnsi="Calibri" w:cs="Calibri"/>
                <w:color w:val="000000"/>
                <w:sz w:val="16"/>
                <w:szCs w:val="16"/>
              </w:rPr>
              <w:t xml:space="preserve"> </w:t>
            </w:r>
          </w:p>
        </w:tc>
        <w:tc>
          <w:tcPr>
            <w:tcW w:w="1142" w:type="dxa"/>
            <w:tcBorders>
              <w:top w:val="nil"/>
              <w:left w:val="nil"/>
              <w:bottom w:val="dotted" w:sz="4" w:space="0" w:color="auto"/>
              <w:right w:val="dashed" w:sz="8" w:space="0" w:color="auto"/>
            </w:tcBorders>
            <w:shd w:val="clear" w:color="auto" w:fill="auto"/>
            <w:vAlign w:val="center"/>
          </w:tcPr>
          <w:p w:rsidR="005C350D" w:rsidRPr="00EB2389" w:rsidP="009D3402" w14:paraId="1F219F66" w14:textId="3A5340B3">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305</w:t>
            </w:r>
          </w:p>
        </w:tc>
        <w:tc>
          <w:tcPr>
            <w:tcW w:w="935" w:type="dxa"/>
            <w:tcBorders>
              <w:top w:val="nil"/>
              <w:left w:val="nil"/>
              <w:bottom w:val="dotted" w:sz="4" w:space="0" w:color="auto"/>
              <w:right w:val="single" w:sz="8" w:space="0" w:color="auto"/>
            </w:tcBorders>
            <w:shd w:val="clear" w:color="auto" w:fill="auto"/>
            <w:vAlign w:val="center"/>
          </w:tcPr>
          <w:p w:rsidR="005C350D" w:rsidP="009D3402" w14:paraId="67ECCD64" w14:textId="5AE9787F">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0</w:t>
            </w:r>
          </w:p>
        </w:tc>
        <w:tc>
          <w:tcPr>
            <w:tcW w:w="1170" w:type="dxa"/>
            <w:tcBorders>
              <w:top w:val="nil"/>
              <w:left w:val="nil"/>
              <w:bottom w:val="dotted" w:sz="4" w:space="0" w:color="auto"/>
              <w:right w:val="dashed" w:sz="8" w:space="0" w:color="auto"/>
            </w:tcBorders>
            <w:shd w:val="clear" w:color="auto" w:fill="auto"/>
            <w:vAlign w:val="center"/>
          </w:tcPr>
          <w:p w:rsidR="005C350D" w:rsidRPr="00EB2389" w:rsidP="009D3402" w14:paraId="02905E28" w14:textId="530A9C78">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4,880</w:t>
            </w:r>
          </w:p>
        </w:tc>
        <w:tc>
          <w:tcPr>
            <w:tcW w:w="990" w:type="dxa"/>
            <w:tcBorders>
              <w:top w:val="nil"/>
              <w:left w:val="nil"/>
              <w:bottom w:val="dotted" w:sz="4" w:space="0" w:color="auto"/>
              <w:right w:val="single" w:sz="8" w:space="0" w:color="auto"/>
            </w:tcBorders>
            <w:shd w:val="clear" w:color="auto" w:fill="auto"/>
            <w:vAlign w:val="center"/>
          </w:tcPr>
          <w:p w:rsidR="005C350D" w:rsidP="009D3402" w14:paraId="7778DC6D" w14:textId="586C9871">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0</w:t>
            </w:r>
          </w:p>
        </w:tc>
        <w:tc>
          <w:tcPr>
            <w:tcW w:w="900" w:type="dxa"/>
            <w:tcBorders>
              <w:top w:val="nil"/>
              <w:left w:val="nil"/>
              <w:bottom w:val="dotted" w:sz="4" w:space="0" w:color="auto"/>
              <w:right w:val="dashed" w:sz="8" w:space="0" w:color="auto"/>
            </w:tcBorders>
            <w:shd w:val="clear" w:color="auto" w:fill="auto"/>
            <w:vAlign w:val="center"/>
          </w:tcPr>
          <w:p w:rsidR="005C350D" w:rsidRPr="00F653D5" w:rsidP="009D3402" w14:paraId="72AD2EC5" w14:textId="16E22A54">
            <w:pPr>
              <w:widowControl/>
              <w:autoSpaceDE/>
              <w:autoSpaceDN/>
              <w:spacing w:before="120"/>
              <w:jc w:val="center"/>
              <w:rPr>
                <w:rFonts w:ascii="Calibri" w:hAnsi="Calibri" w:cs="Calibri"/>
                <w:color w:val="000000"/>
                <w:sz w:val="16"/>
                <w:szCs w:val="16"/>
              </w:rPr>
            </w:pPr>
            <w:r w:rsidRPr="00F653D5">
              <w:rPr>
                <w:rFonts w:eastAsia="Calibri" w:asciiTheme="minorHAnsi" w:hAnsiTheme="minorHAnsi" w:cstheme="minorHAnsi"/>
                <w:color w:val="000000"/>
                <w:sz w:val="16"/>
                <w:szCs w:val="16"/>
              </w:rPr>
              <w:t>2,440</w:t>
            </w:r>
          </w:p>
        </w:tc>
        <w:tc>
          <w:tcPr>
            <w:tcW w:w="1170" w:type="dxa"/>
            <w:tcBorders>
              <w:top w:val="nil"/>
              <w:left w:val="nil"/>
              <w:bottom w:val="dotted" w:sz="4" w:space="0" w:color="auto"/>
              <w:right w:val="single" w:sz="8" w:space="0" w:color="auto"/>
            </w:tcBorders>
            <w:shd w:val="clear" w:color="auto" w:fill="auto"/>
            <w:vAlign w:val="center"/>
          </w:tcPr>
          <w:p w:rsidR="005C350D" w:rsidP="009D3402" w14:paraId="78E81EFE" w14:textId="4E6977F4">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0</w:t>
            </w:r>
          </w:p>
        </w:tc>
        <w:tc>
          <w:tcPr>
            <w:tcW w:w="4320" w:type="dxa"/>
            <w:tcBorders>
              <w:top w:val="nil"/>
              <w:left w:val="nil"/>
              <w:bottom w:val="dotted" w:sz="4" w:space="0" w:color="auto"/>
              <w:right w:val="single" w:sz="8" w:space="0" w:color="auto"/>
            </w:tcBorders>
            <w:shd w:val="clear" w:color="auto" w:fill="auto"/>
            <w:vAlign w:val="center"/>
          </w:tcPr>
          <w:p w:rsidR="005C350D" w:rsidP="009D3402" w14:paraId="7BF9F7F9" w14:textId="30CD5FA5">
            <w:pPr>
              <w:widowControl/>
              <w:autoSpaceDE/>
              <w:autoSpaceDN/>
              <w:spacing w:before="120"/>
              <w:rPr>
                <w:rFonts w:ascii="Calibri" w:hAnsi="Calibri" w:cs="Calibri"/>
                <w:color w:val="000000"/>
                <w:sz w:val="16"/>
                <w:szCs w:val="16"/>
              </w:rPr>
            </w:pPr>
            <w:r>
              <w:rPr>
                <w:rFonts w:ascii="Calibri" w:hAnsi="Calibri" w:cs="Calibri"/>
                <w:color w:val="000000"/>
                <w:sz w:val="16"/>
                <w:szCs w:val="16"/>
              </w:rPr>
              <w:t>Merging the collections from 0648-0804 into this control number.</w:t>
            </w:r>
            <w:r w:rsidR="006F7245">
              <w:rPr>
                <w:rFonts w:ascii="Calibri" w:hAnsi="Calibri" w:cs="Calibri"/>
                <w:color w:val="000000"/>
                <w:sz w:val="16"/>
                <w:szCs w:val="16"/>
              </w:rPr>
              <w:t xml:space="preserve">  The number of Respondents and Responses was updated to more accurately reflect the number of participants in the fishery.  Collection 0648-0804 used data from 2019-2020 since there was a decline in fishing during COVID.  This update reflects the most current data.</w:t>
            </w:r>
          </w:p>
        </w:tc>
      </w:tr>
      <w:tr w14:paraId="19F3113D" w14:textId="77777777" w:rsidTr="006F7245">
        <w:tblPrEx>
          <w:tblW w:w="12479" w:type="dxa"/>
          <w:tblInd w:w="118" w:type="dxa"/>
          <w:tblLook w:val="04A0"/>
        </w:tblPrEx>
        <w:trPr>
          <w:trHeight w:val="532"/>
        </w:trPr>
        <w:tc>
          <w:tcPr>
            <w:tcW w:w="1852" w:type="dxa"/>
            <w:tcBorders>
              <w:top w:val="nil"/>
              <w:left w:val="single" w:sz="8" w:space="0" w:color="auto"/>
              <w:bottom w:val="nil"/>
              <w:right w:val="single" w:sz="8" w:space="0" w:color="auto"/>
            </w:tcBorders>
            <w:shd w:val="clear" w:color="000000" w:fill="BDD6EE"/>
            <w:vAlign w:val="center"/>
            <w:hideMark/>
          </w:tcPr>
          <w:p w:rsidR="009524E3" w:rsidRPr="00EB2389" w:rsidP="009D3402" w14:paraId="717C2EFC"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Total for Collection</w:t>
            </w:r>
          </w:p>
        </w:tc>
        <w:tc>
          <w:tcPr>
            <w:tcW w:w="1142" w:type="dxa"/>
            <w:tcBorders>
              <w:top w:val="nil"/>
              <w:left w:val="nil"/>
              <w:bottom w:val="nil"/>
              <w:right w:val="dashed" w:sz="8" w:space="0" w:color="auto"/>
            </w:tcBorders>
            <w:shd w:val="clear" w:color="000000" w:fill="BDD6EE"/>
            <w:vAlign w:val="center"/>
            <w:hideMark/>
          </w:tcPr>
          <w:p w:rsidR="009524E3" w:rsidRPr="00EB2389" w:rsidP="009D3402" w14:paraId="44237DDF" w14:textId="5A30CD11">
            <w:pPr>
              <w:widowControl/>
              <w:autoSpaceDE/>
              <w:autoSpaceDN/>
              <w:spacing w:before="120"/>
              <w:jc w:val="center"/>
              <w:rPr>
                <w:rFonts w:ascii="Calibri" w:hAnsi="Calibri" w:cs="Calibri"/>
                <w:b/>
                <w:bCs/>
                <w:color w:val="000000"/>
                <w:sz w:val="16"/>
                <w:szCs w:val="16"/>
              </w:rPr>
            </w:pPr>
            <w:r>
              <w:rPr>
                <w:rFonts w:ascii="Calibri" w:hAnsi="Calibri" w:cs="Calibri"/>
                <w:b/>
                <w:bCs/>
                <w:color w:val="000000"/>
                <w:sz w:val="16"/>
                <w:szCs w:val="16"/>
              </w:rPr>
              <w:t>338</w:t>
            </w:r>
          </w:p>
        </w:tc>
        <w:tc>
          <w:tcPr>
            <w:tcW w:w="935" w:type="dxa"/>
            <w:tcBorders>
              <w:top w:val="nil"/>
              <w:left w:val="nil"/>
              <w:bottom w:val="nil"/>
              <w:right w:val="single" w:sz="8" w:space="0" w:color="auto"/>
            </w:tcBorders>
            <w:shd w:val="clear" w:color="000000" w:fill="BDD6EE"/>
            <w:vAlign w:val="center"/>
            <w:hideMark/>
          </w:tcPr>
          <w:p w:rsidR="009524E3" w:rsidRPr="00EB2389" w:rsidP="009D3402" w14:paraId="20A0A576" w14:textId="699E1D89">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 </w:t>
            </w:r>
            <w:r>
              <w:rPr>
                <w:rFonts w:ascii="Calibri" w:hAnsi="Calibri" w:cs="Calibri"/>
                <w:b/>
                <w:bCs/>
                <w:color w:val="000000"/>
                <w:sz w:val="16"/>
                <w:szCs w:val="16"/>
              </w:rPr>
              <w:t>27</w:t>
            </w:r>
          </w:p>
        </w:tc>
        <w:tc>
          <w:tcPr>
            <w:tcW w:w="1170" w:type="dxa"/>
            <w:tcBorders>
              <w:top w:val="nil"/>
              <w:left w:val="nil"/>
              <w:bottom w:val="nil"/>
              <w:right w:val="dashed" w:sz="8" w:space="0" w:color="auto"/>
            </w:tcBorders>
            <w:shd w:val="clear" w:color="000000" w:fill="BDD6EE"/>
            <w:vAlign w:val="center"/>
            <w:hideMark/>
          </w:tcPr>
          <w:p w:rsidR="009524E3" w:rsidRPr="00F653D5" w:rsidP="009D3402" w14:paraId="4DF8645A" w14:textId="7C3ED04A">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 </w:t>
            </w:r>
            <w:r w:rsidRPr="00F653D5" w:rsidR="00F653D5">
              <w:rPr>
                <w:rFonts w:asciiTheme="minorHAnsi" w:hAnsiTheme="minorHAnsi" w:cstheme="minorHAnsi"/>
                <w:b/>
                <w:bCs/>
                <w:color w:val="000000"/>
                <w:sz w:val="16"/>
                <w:szCs w:val="16"/>
              </w:rPr>
              <w:t>5,144</w:t>
            </w:r>
          </w:p>
        </w:tc>
        <w:tc>
          <w:tcPr>
            <w:tcW w:w="990" w:type="dxa"/>
            <w:tcBorders>
              <w:top w:val="nil"/>
              <w:left w:val="nil"/>
              <w:bottom w:val="nil"/>
              <w:right w:val="single" w:sz="8" w:space="0" w:color="auto"/>
            </w:tcBorders>
            <w:shd w:val="clear" w:color="000000" w:fill="BDD6EE"/>
            <w:vAlign w:val="center"/>
            <w:hideMark/>
          </w:tcPr>
          <w:p w:rsidR="009524E3" w:rsidRPr="00EB2389" w:rsidP="009D3402" w14:paraId="4D2EAB48" w14:textId="3B2840F5">
            <w:pPr>
              <w:widowControl/>
              <w:autoSpaceDE/>
              <w:autoSpaceDN/>
              <w:spacing w:before="120"/>
              <w:jc w:val="center"/>
              <w:rPr>
                <w:rFonts w:ascii="Calibri" w:hAnsi="Calibri" w:cs="Calibri"/>
                <w:b/>
                <w:bCs/>
                <w:color w:val="000000"/>
                <w:sz w:val="16"/>
                <w:szCs w:val="16"/>
              </w:rPr>
            </w:pPr>
            <w:r>
              <w:rPr>
                <w:rFonts w:ascii="Calibri" w:hAnsi="Calibri" w:cs="Calibri"/>
                <w:b/>
                <w:bCs/>
                <w:color w:val="000000"/>
                <w:sz w:val="16"/>
                <w:szCs w:val="16"/>
              </w:rPr>
              <w:t>216</w:t>
            </w:r>
            <w:r w:rsidRPr="00EB2389">
              <w:rPr>
                <w:rFonts w:ascii="Calibri" w:hAnsi="Calibri" w:cs="Calibri"/>
                <w:b/>
                <w:bCs/>
                <w:color w:val="000000"/>
                <w:sz w:val="16"/>
                <w:szCs w:val="16"/>
              </w:rPr>
              <w:t> </w:t>
            </w:r>
          </w:p>
        </w:tc>
        <w:tc>
          <w:tcPr>
            <w:tcW w:w="900" w:type="dxa"/>
            <w:tcBorders>
              <w:top w:val="nil"/>
              <w:left w:val="nil"/>
              <w:bottom w:val="nil"/>
              <w:right w:val="dashed" w:sz="8" w:space="0" w:color="auto"/>
            </w:tcBorders>
            <w:shd w:val="clear" w:color="000000" w:fill="BDD6EE"/>
            <w:vAlign w:val="center"/>
          </w:tcPr>
          <w:p w:rsidR="009524E3" w:rsidRPr="00EB2389" w:rsidP="009D3402" w14:paraId="126DDA27" w14:textId="3A63FB26">
            <w:pPr>
              <w:widowControl/>
              <w:autoSpaceDE/>
              <w:autoSpaceDN/>
              <w:spacing w:before="120"/>
              <w:jc w:val="center"/>
              <w:rPr>
                <w:rFonts w:ascii="Calibri" w:hAnsi="Calibri" w:cs="Calibri"/>
                <w:b/>
                <w:bCs/>
                <w:color w:val="000000"/>
                <w:sz w:val="16"/>
                <w:szCs w:val="16"/>
              </w:rPr>
            </w:pPr>
            <w:r w:rsidRPr="00F653D5">
              <w:rPr>
                <w:rFonts w:ascii="Calibri" w:hAnsi="Calibri" w:cs="Calibri"/>
                <w:b/>
                <w:bCs/>
                <w:color w:val="000000"/>
                <w:sz w:val="16"/>
                <w:szCs w:val="16"/>
              </w:rPr>
              <w:t>4,552</w:t>
            </w:r>
          </w:p>
        </w:tc>
        <w:tc>
          <w:tcPr>
            <w:tcW w:w="1170" w:type="dxa"/>
            <w:tcBorders>
              <w:top w:val="nil"/>
              <w:left w:val="nil"/>
              <w:bottom w:val="nil"/>
              <w:right w:val="single" w:sz="8" w:space="0" w:color="auto"/>
            </w:tcBorders>
            <w:shd w:val="clear" w:color="000000" w:fill="BDD6EE"/>
            <w:vAlign w:val="center"/>
            <w:hideMark/>
          </w:tcPr>
          <w:p w:rsidR="009524E3" w:rsidRPr="00EB2389" w:rsidP="009D3402" w14:paraId="1B56BA59" w14:textId="6BA869A2">
            <w:pPr>
              <w:widowControl/>
              <w:autoSpaceDE/>
              <w:autoSpaceDN/>
              <w:spacing w:before="120"/>
              <w:jc w:val="center"/>
              <w:rPr>
                <w:rFonts w:ascii="Calibri" w:hAnsi="Calibri" w:cs="Calibri"/>
                <w:b/>
                <w:bCs/>
                <w:color w:val="000000"/>
                <w:sz w:val="16"/>
                <w:szCs w:val="16"/>
              </w:rPr>
            </w:pPr>
            <w:r>
              <w:rPr>
                <w:rFonts w:ascii="Calibri" w:hAnsi="Calibri" w:cs="Calibri"/>
                <w:b/>
                <w:bCs/>
                <w:color w:val="000000"/>
                <w:sz w:val="16"/>
                <w:szCs w:val="16"/>
              </w:rPr>
              <w:t>1,728</w:t>
            </w:r>
            <w:r w:rsidRPr="00EB2389">
              <w:rPr>
                <w:rFonts w:ascii="Calibri" w:hAnsi="Calibri" w:cs="Calibri"/>
                <w:b/>
                <w:bCs/>
                <w:color w:val="000000"/>
                <w:sz w:val="16"/>
                <w:szCs w:val="16"/>
              </w:rPr>
              <w:t> </w:t>
            </w:r>
          </w:p>
        </w:tc>
        <w:tc>
          <w:tcPr>
            <w:tcW w:w="4320" w:type="dxa"/>
            <w:tcBorders>
              <w:top w:val="nil"/>
              <w:left w:val="nil"/>
              <w:bottom w:val="nil"/>
              <w:right w:val="single" w:sz="8" w:space="0" w:color="auto"/>
            </w:tcBorders>
            <w:shd w:val="clear" w:color="000000" w:fill="000000"/>
            <w:vAlign w:val="center"/>
            <w:hideMark/>
          </w:tcPr>
          <w:p w:rsidR="009524E3" w:rsidRPr="00EB2389" w:rsidP="009D3402" w14:paraId="6937BA4D"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 </w:t>
            </w:r>
          </w:p>
        </w:tc>
      </w:tr>
      <w:tr w14:paraId="0900C218" w14:textId="77777777" w:rsidTr="006F7245">
        <w:tblPrEx>
          <w:tblW w:w="12479" w:type="dxa"/>
          <w:tblInd w:w="118" w:type="dxa"/>
          <w:tblLook w:val="04A0"/>
        </w:tblPrEx>
        <w:trPr>
          <w:trHeight w:val="343"/>
        </w:trPr>
        <w:tc>
          <w:tcPr>
            <w:tcW w:w="1852" w:type="dxa"/>
            <w:tcBorders>
              <w:top w:val="single" w:sz="8" w:space="0" w:color="auto"/>
              <w:left w:val="single" w:sz="8" w:space="0" w:color="auto"/>
              <w:bottom w:val="single" w:sz="8" w:space="0" w:color="auto"/>
              <w:right w:val="nil"/>
            </w:tcBorders>
            <w:shd w:val="clear" w:color="000000" w:fill="FCE4D6"/>
            <w:noWrap/>
            <w:vAlign w:val="bottom"/>
            <w:hideMark/>
          </w:tcPr>
          <w:p w:rsidR="009524E3" w:rsidRPr="00EB2389" w:rsidP="009D3402" w14:paraId="1CE90EE7"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Difference</w:t>
            </w:r>
          </w:p>
        </w:tc>
        <w:tc>
          <w:tcPr>
            <w:tcW w:w="2077" w:type="dxa"/>
            <w:gridSpan w:val="2"/>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9524E3" w:rsidRPr="00EB2389" w:rsidP="009D3402" w14:paraId="33ED812C" w14:textId="506B8968">
            <w:pPr>
              <w:widowControl/>
              <w:autoSpaceDE/>
              <w:autoSpaceDN/>
              <w:spacing w:before="120"/>
              <w:jc w:val="center"/>
              <w:rPr>
                <w:rFonts w:ascii="Calibri" w:hAnsi="Calibri" w:cs="Calibri"/>
                <w:color w:val="000000"/>
              </w:rPr>
            </w:pPr>
            <w:r>
              <w:rPr>
                <w:rFonts w:ascii="Calibri" w:hAnsi="Calibri" w:cs="Calibri"/>
                <w:color w:val="000000"/>
              </w:rPr>
              <w:t>311</w:t>
            </w:r>
          </w:p>
        </w:tc>
        <w:tc>
          <w:tcPr>
            <w:tcW w:w="2160" w:type="dxa"/>
            <w:gridSpan w:val="2"/>
            <w:tcBorders>
              <w:top w:val="single" w:sz="8" w:space="0" w:color="auto"/>
              <w:left w:val="nil"/>
              <w:bottom w:val="single" w:sz="8" w:space="0" w:color="auto"/>
              <w:right w:val="single" w:sz="8" w:space="0" w:color="000000"/>
            </w:tcBorders>
            <w:shd w:val="clear" w:color="000000" w:fill="FCE4D6"/>
            <w:noWrap/>
            <w:vAlign w:val="bottom"/>
            <w:hideMark/>
          </w:tcPr>
          <w:p w:rsidR="009524E3" w:rsidRPr="00EB2389" w:rsidP="009D3402" w14:paraId="398132E0" w14:textId="3451DBE6">
            <w:pPr>
              <w:widowControl/>
              <w:autoSpaceDE/>
              <w:autoSpaceDN/>
              <w:spacing w:before="120"/>
              <w:jc w:val="center"/>
              <w:rPr>
                <w:rFonts w:ascii="Calibri" w:hAnsi="Calibri" w:cs="Calibri"/>
                <w:color w:val="000000"/>
              </w:rPr>
            </w:pPr>
            <w:r>
              <w:rPr>
                <w:rFonts w:ascii="Calibri" w:hAnsi="Calibri" w:cs="Calibri"/>
                <w:color w:val="000000"/>
              </w:rPr>
              <w:t>4,928</w:t>
            </w:r>
            <w:r w:rsidRPr="00EB2389">
              <w:rPr>
                <w:rFonts w:ascii="Calibri" w:hAnsi="Calibri" w:cs="Calibri"/>
                <w:color w:val="000000"/>
              </w:rPr>
              <w:t> </w:t>
            </w:r>
          </w:p>
        </w:tc>
        <w:tc>
          <w:tcPr>
            <w:tcW w:w="2070" w:type="dxa"/>
            <w:gridSpan w:val="2"/>
            <w:tcBorders>
              <w:top w:val="single" w:sz="8" w:space="0" w:color="auto"/>
              <w:left w:val="nil"/>
              <w:bottom w:val="single" w:sz="8" w:space="0" w:color="auto"/>
              <w:right w:val="single" w:sz="4" w:space="0" w:color="000000"/>
            </w:tcBorders>
            <w:shd w:val="clear" w:color="000000" w:fill="FCE4D6"/>
            <w:noWrap/>
            <w:vAlign w:val="bottom"/>
            <w:hideMark/>
          </w:tcPr>
          <w:p w:rsidR="009524E3" w:rsidRPr="00EB2389" w:rsidP="009D3402" w14:paraId="2C899690" w14:textId="145D26BC">
            <w:pPr>
              <w:widowControl/>
              <w:autoSpaceDE/>
              <w:autoSpaceDN/>
              <w:spacing w:before="120"/>
              <w:jc w:val="center"/>
              <w:rPr>
                <w:rFonts w:ascii="Calibri" w:hAnsi="Calibri" w:cs="Calibri"/>
                <w:color w:val="000000"/>
              </w:rPr>
            </w:pPr>
            <w:r>
              <w:rPr>
                <w:rFonts w:ascii="Calibri" w:hAnsi="Calibri" w:cs="Calibri"/>
                <w:color w:val="000000"/>
              </w:rPr>
              <w:t>2,824</w:t>
            </w:r>
          </w:p>
        </w:tc>
        <w:tc>
          <w:tcPr>
            <w:tcW w:w="4320" w:type="dxa"/>
            <w:tcBorders>
              <w:top w:val="single" w:sz="8" w:space="0" w:color="auto"/>
              <w:left w:val="nil"/>
              <w:bottom w:val="single" w:sz="8" w:space="0" w:color="auto"/>
              <w:right w:val="single" w:sz="8" w:space="0" w:color="auto"/>
            </w:tcBorders>
            <w:shd w:val="clear" w:color="000000" w:fill="000000"/>
            <w:noWrap/>
            <w:vAlign w:val="bottom"/>
            <w:hideMark/>
          </w:tcPr>
          <w:p w:rsidR="009524E3" w:rsidRPr="00EB2389" w:rsidP="009D3402" w14:paraId="3561EE53" w14:textId="77777777">
            <w:pPr>
              <w:widowControl/>
              <w:autoSpaceDE/>
              <w:autoSpaceDN/>
              <w:spacing w:before="120"/>
              <w:rPr>
                <w:rFonts w:ascii="Calibri" w:hAnsi="Calibri" w:cs="Calibri"/>
                <w:color w:val="000000"/>
              </w:rPr>
            </w:pPr>
            <w:r w:rsidRPr="00EB2389">
              <w:rPr>
                <w:rFonts w:ascii="Calibri" w:hAnsi="Calibri" w:cs="Calibri"/>
                <w:color w:val="000000"/>
              </w:rPr>
              <w:t> </w:t>
            </w:r>
          </w:p>
        </w:tc>
      </w:tr>
    </w:tbl>
    <w:p w:rsidR="00956DFE" w:rsidP="009D3402" w14:paraId="7D22C152" w14:textId="77777777">
      <w:pPr>
        <w:pStyle w:val="BodyText"/>
        <w:spacing w:before="120"/>
        <w:rPr>
          <w:sz w:val="32"/>
        </w:rPr>
      </w:pPr>
    </w:p>
    <w:tbl>
      <w:tblPr>
        <w:tblW w:w="10890" w:type="dxa"/>
        <w:tblInd w:w="-10" w:type="dxa"/>
        <w:tblLook w:val="04A0"/>
      </w:tblPr>
      <w:tblGrid>
        <w:gridCol w:w="4230"/>
        <w:gridCol w:w="1260"/>
        <w:gridCol w:w="1620"/>
        <w:gridCol w:w="3780"/>
      </w:tblGrid>
      <w:tr w14:paraId="496B7C94" w14:textId="77777777" w:rsidTr="006F7245">
        <w:tblPrEx>
          <w:tblW w:w="10890" w:type="dxa"/>
          <w:tblInd w:w="-10" w:type="dxa"/>
          <w:tblLook w:val="04A0"/>
        </w:tblPrEx>
        <w:trPr>
          <w:trHeight w:val="278"/>
        </w:trPr>
        <w:tc>
          <w:tcPr>
            <w:tcW w:w="423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CB0284" w:rsidRPr="00EB2389" w:rsidP="009D3402" w14:paraId="395F663E"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Information Collection</w:t>
            </w:r>
          </w:p>
        </w:tc>
        <w:tc>
          <w:tcPr>
            <w:tcW w:w="2880" w:type="dxa"/>
            <w:gridSpan w:val="2"/>
            <w:tcBorders>
              <w:top w:val="single" w:sz="8" w:space="0" w:color="auto"/>
              <w:left w:val="nil"/>
              <w:bottom w:val="single" w:sz="8" w:space="0" w:color="auto"/>
              <w:right w:val="single" w:sz="8" w:space="0" w:color="000000"/>
            </w:tcBorders>
            <w:shd w:val="clear" w:color="000000" w:fill="5B9BD5"/>
            <w:vAlign w:val="center"/>
            <w:hideMark/>
          </w:tcPr>
          <w:p w:rsidR="00CB0284" w:rsidRPr="00EB2389" w:rsidP="009D3402" w14:paraId="4F8AAD44"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Miscellaneous Costs</w:t>
            </w:r>
          </w:p>
        </w:tc>
        <w:tc>
          <w:tcPr>
            <w:tcW w:w="378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CB0284" w:rsidRPr="00EB2389" w:rsidP="009D3402" w14:paraId="1625F66D"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Reason for change or adjustment</w:t>
            </w:r>
          </w:p>
        </w:tc>
      </w:tr>
      <w:tr w14:paraId="3FA15BE5" w14:textId="77777777" w:rsidTr="006F7245">
        <w:tblPrEx>
          <w:tblW w:w="10890" w:type="dxa"/>
          <w:tblInd w:w="-10" w:type="dxa"/>
          <w:tblLook w:val="04A0"/>
        </w:tblPrEx>
        <w:trPr>
          <w:trHeight w:val="579"/>
        </w:trPr>
        <w:tc>
          <w:tcPr>
            <w:tcW w:w="4230" w:type="dxa"/>
            <w:vMerge/>
            <w:tcBorders>
              <w:top w:val="single" w:sz="8" w:space="0" w:color="auto"/>
              <w:left w:val="single" w:sz="8" w:space="0" w:color="auto"/>
              <w:bottom w:val="single" w:sz="8" w:space="0" w:color="000000"/>
              <w:right w:val="single" w:sz="8" w:space="0" w:color="auto"/>
            </w:tcBorders>
            <w:vAlign w:val="center"/>
            <w:hideMark/>
          </w:tcPr>
          <w:p w:rsidR="00CB0284" w:rsidRPr="00EB2389" w:rsidP="009D3402" w14:paraId="3B971075" w14:textId="77777777">
            <w:pPr>
              <w:widowControl/>
              <w:autoSpaceDE/>
              <w:autoSpaceDN/>
              <w:spacing w:before="120"/>
              <w:rPr>
                <w:rFonts w:ascii="Calibri" w:hAnsi="Calibri" w:cs="Calibri"/>
                <w:b/>
                <w:bCs/>
                <w:color w:val="000000"/>
                <w:sz w:val="16"/>
                <w:szCs w:val="16"/>
              </w:rPr>
            </w:pPr>
          </w:p>
        </w:tc>
        <w:tc>
          <w:tcPr>
            <w:tcW w:w="1260" w:type="dxa"/>
            <w:tcBorders>
              <w:top w:val="nil"/>
              <w:left w:val="nil"/>
              <w:bottom w:val="single" w:sz="8" w:space="0" w:color="auto"/>
              <w:right w:val="dashed" w:sz="8" w:space="0" w:color="auto"/>
            </w:tcBorders>
            <w:shd w:val="clear" w:color="000000" w:fill="FBE4D5"/>
            <w:vAlign w:val="center"/>
            <w:hideMark/>
          </w:tcPr>
          <w:p w:rsidR="00CB0284" w:rsidRPr="00EB2389" w:rsidP="009D3402" w14:paraId="69AD8D1C" w14:textId="77777777">
            <w:pPr>
              <w:widowControl/>
              <w:autoSpaceDE/>
              <w:autoSpaceDN/>
              <w:spacing w:before="120"/>
              <w:jc w:val="center"/>
              <w:rPr>
                <w:rFonts w:ascii="Calibri" w:hAnsi="Calibri" w:cs="Calibri"/>
                <w:color w:val="000000"/>
                <w:sz w:val="16"/>
                <w:szCs w:val="16"/>
              </w:rPr>
            </w:pPr>
            <w:r w:rsidRPr="00EB2389">
              <w:rPr>
                <w:rFonts w:ascii="Calibri" w:hAnsi="Calibri" w:cs="Calibri"/>
                <w:color w:val="000000"/>
                <w:sz w:val="16"/>
                <w:szCs w:val="16"/>
              </w:rPr>
              <w:t>Current</w:t>
            </w:r>
          </w:p>
        </w:tc>
        <w:tc>
          <w:tcPr>
            <w:tcW w:w="1620" w:type="dxa"/>
            <w:tcBorders>
              <w:top w:val="nil"/>
              <w:left w:val="nil"/>
              <w:bottom w:val="single" w:sz="8" w:space="0" w:color="auto"/>
              <w:right w:val="single" w:sz="8" w:space="0" w:color="auto"/>
            </w:tcBorders>
            <w:shd w:val="clear" w:color="000000" w:fill="FBE4D5"/>
            <w:vAlign w:val="center"/>
            <w:hideMark/>
          </w:tcPr>
          <w:p w:rsidR="00CB0284" w:rsidRPr="00EB2389" w:rsidP="009D3402" w14:paraId="420B57BE" w14:textId="77777777">
            <w:pPr>
              <w:widowControl/>
              <w:autoSpaceDE/>
              <w:autoSpaceDN/>
              <w:spacing w:before="120"/>
              <w:jc w:val="center"/>
              <w:rPr>
                <w:rFonts w:ascii="Calibri" w:hAnsi="Calibri" w:cs="Calibri"/>
                <w:color w:val="000000"/>
                <w:sz w:val="16"/>
                <w:szCs w:val="16"/>
              </w:rPr>
            </w:pPr>
            <w:r w:rsidRPr="00EB2389">
              <w:rPr>
                <w:rFonts w:ascii="Calibri" w:hAnsi="Calibri" w:cs="Calibri"/>
                <w:color w:val="000000"/>
                <w:sz w:val="16"/>
                <w:szCs w:val="16"/>
              </w:rPr>
              <w:t>Previous</w:t>
            </w:r>
          </w:p>
        </w:tc>
        <w:tc>
          <w:tcPr>
            <w:tcW w:w="3780" w:type="dxa"/>
            <w:vMerge/>
            <w:tcBorders>
              <w:top w:val="single" w:sz="8" w:space="0" w:color="auto"/>
              <w:left w:val="single" w:sz="8" w:space="0" w:color="auto"/>
              <w:bottom w:val="single" w:sz="8" w:space="0" w:color="000000"/>
              <w:right w:val="single" w:sz="8" w:space="0" w:color="auto"/>
            </w:tcBorders>
            <w:vAlign w:val="center"/>
            <w:hideMark/>
          </w:tcPr>
          <w:p w:rsidR="00CB0284" w:rsidRPr="00EB2389" w:rsidP="009D3402" w14:paraId="4831F56E" w14:textId="77777777">
            <w:pPr>
              <w:widowControl/>
              <w:autoSpaceDE/>
              <w:autoSpaceDN/>
              <w:spacing w:before="120"/>
              <w:rPr>
                <w:rFonts w:ascii="Calibri" w:hAnsi="Calibri" w:cs="Calibri"/>
                <w:b/>
                <w:bCs/>
                <w:color w:val="000000"/>
                <w:sz w:val="16"/>
                <w:szCs w:val="16"/>
              </w:rPr>
            </w:pPr>
          </w:p>
        </w:tc>
      </w:tr>
      <w:tr w14:paraId="079F7DFF" w14:textId="77777777" w:rsidTr="006F7245">
        <w:tblPrEx>
          <w:tblW w:w="10890" w:type="dxa"/>
          <w:tblInd w:w="-10" w:type="dxa"/>
          <w:tblLook w:val="04A0"/>
        </w:tblPrEx>
        <w:trPr>
          <w:trHeight w:val="278"/>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0284" w:rsidRPr="00EB2389" w:rsidP="009D3402" w14:paraId="2C4F3F5A" w14:textId="528270DA">
            <w:pPr>
              <w:widowControl/>
              <w:autoSpaceDE/>
              <w:autoSpaceDN/>
              <w:spacing w:before="120"/>
              <w:rPr>
                <w:rFonts w:ascii="Calibri" w:hAnsi="Calibri" w:cs="Calibri"/>
                <w:color w:val="000000"/>
                <w:sz w:val="16"/>
                <w:szCs w:val="16"/>
              </w:rPr>
            </w:pPr>
            <w:r>
              <w:rPr>
                <w:rFonts w:ascii="Calibri" w:hAnsi="Calibri" w:cs="Calibri"/>
                <w:color w:val="000000"/>
                <w:sz w:val="16"/>
                <w:szCs w:val="16"/>
              </w:rPr>
              <w:t>Trawl Logbook</w:t>
            </w:r>
          </w:p>
        </w:tc>
        <w:tc>
          <w:tcPr>
            <w:tcW w:w="1260" w:type="dxa"/>
            <w:tcBorders>
              <w:top w:val="nil"/>
              <w:left w:val="nil"/>
              <w:bottom w:val="dotted" w:sz="4" w:space="0" w:color="auto"/>
              <w:right w:val="dashed" w:sz="8" w:space="0" w:color="auto"/>
            </w:tcBorders>
            <w:shd w:val="clear" w:color="auto" w:fill="auto"/>
            <w:vAlign w:val="center"/>
            <w:hideMark/>
          </w:tcPr>
          <w:p w:rsidR="00CB0284" w:rsidRPr="00EB2389" w:rsidP="009D3402" w14:paraId="37D1DC27" w14:textId="4A618BB6">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792</w:t>
            </w:r>
          </w:p>
        </w:tc>
        <w:tc>
          <w:tcPr>
            <w:tcW w:w="1620" w:type="dxa"/>
            <w:tcBorders>
              <w:top w:val="nil"/>
              <w:left w:val="nil"/>
              <w:bottom w:val="dotted" w:sz="4" w:space="0" w:color="auto"/>
              <w:right w:val="single" w:sz="8" w:space="0" w:color="auto"/>
            </w:tcBorders>
            <w:shd w:val="clear" w:color="auto" w:fill="auto"/>
            <w:vAlign w:val="center"/>
            <w:hideMark/>
          </w:tcPr>
          <w:p w:rsidR="00CB0284" w:rsidRPr="00EB2389" w:rsidP="009D3402" w14:paraId="08F7A26E" w14:textId="6492A35B">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648</w:t>
            </w:r>
            <w:r w:rsidRPr="00EB2389">
              <w:rPr>
                <w:rFonts w:ascii="Calibri" w:hAnsi="Calibri" w:cs="Calibri"/>
                <w:color w:val="000000"/>
                <w:sz w:val="16"/>
                <w:szCs w:val="16"/>
              </w:rPr>
              <w:t> </w:t>
            </w:r>
          </w:p>
        </w:tc>
        <w:tc>
          <w:tcPr>
            <w:tcW w:w="3780" w:type="dxa"/>
            <w:tcBorders>
              <w:top w:val="nil"/>
              <w:left w:val="nil"/>
              <w:bottom w:val="dotted" w:sz="4" w:space="0" w:color="auto"/>
              <w:right w:val="single" w:sz="8" w:space="0" w:color="auto"/>
            </w:tcBorders>
            <w:shd w:val="clear" w:color="auto" w:fill="auto"/>
            <w:vAlign w:val="center"/>
          </w:tcPr>
          <w:p w:rsidR="00CB0284" w:rsidRPr="00EB2389" w:rsidP="009D3402" w14:paraId="1F1F1CC5" w14:textId="6D0C88DB">
            <w:pPr>
              <w:widowControl/>
              <w:autoSpaceDE/>
              <w:autoSpaceDN/>
              <w:spacing w:before="120"/>
              <w:rPr>
                <w:rFonts w:ascii="Calibri" w:hAnsi="Calibri" w:cs="Calibri"/>
                <w:color w:val="000000"/>
                <w:sz w:val="16"/>
                <w:szCs w:val="16"/>
              </w:rPr>
            </w:pPr>
            <w:r>
              <w:rPr>
                <w:rFonts w:ascii="Calibri" w:hAnsi="Calibri" w:cs="Calibri"/>
                <w:color w:val="000000"/>
                <w:sz w:val="16"/>
                <w:szCs w:val="16"/>
              </w:rPr>
              <w:t>Updated number of participating vessels</w:t>
            </w:r>
          </w:p>
        </w:tc>
      </w:tr>
      <w:tr w14:paraId="5330EE14" w14:textId="77777777" w:rsidTr="006F7245">
        <w:tblPrEx>
          <w:tblW w:w="10890" w:type="dxa"/>
          <w:tblInd w:w="-10" w:type="dxa"/>
          <w:tblLook w:val="04A0"/>
        </w:tblPrEx>
        <w:trPr>
          <w:trHeight w:val="278"/>
        </w:trPr>
        <w:tc>
          <w:tcPr>
            <w:tcW w:w="4230" w:type="dxa"/>
            <w:tcBorders>
              <w:top w:val="nil"/>
              <w:left w:val="single" w:sz="8" w:space="0" w:color="auto"/>
              <w:bottom w:val="single" w:sz="8" w:space="0" w:color="auto"/>
              <w:right w:val="single" w:sz="8" w:space="0" w:color="auto"/>
            </w:tcBorders>
            <w:shd w:val="clear" w:color="auto" w:fill="auto"/>
            <w:vAlign w:val="center"/>
          </w:tcPr>
          <w:p w:rsidR="00CB0284" w:rsidRPr="00EB2389" w:rsidP="009D3402" w14:paraId="7E02638C" w14:textId="4DB276C0">
            <w:pPr>
              <w:widowControl/>
              <w:autoSpaceDE/>
              <w:autoSpaceDN/>
              <w:spacing w:before="120"/>
              <w:rPr>
                <w:rFonts w:ascii="Calibri" w:hAnsi="Calibri" w:cs="Calibri"/>
                <w:color w:val="000000"/>
                <w:sz w:val="16"/>
                <w:szCs w:val="16"/>
              </w:rPr>
            </w:pPr>
            <w:r w:rsidRPr="008F2EF7">
              <w:rPr>
                <w:rFonts w:ascii="Calibri" w:eastAsia="Calibri" w:hAnsi="Calibri" w:cs="Calibri"/>
                <w:color w:val="000000"/>
                <w:sz w:val="16"/>
                <w:szCs w:val="16"/>
              </w:rPr>
              <w:t>Non-Trawl Logbook</w:t>
            </w:r>
            <w:r>
              <w:rPr>
                <w:rFonts w:ascii="Calibri" w:eastAsia="Calibri" w:hAnsi="Calibri" w:cs="Calibri"/>
                <w:color w:val="000000"/>
                <w:sz w:val="16"/>
                <w:szCs w:val="16"/>
              </w:rPr>
              <w:t xml:space="preserve"> </w:t>
            </w:r>
          </w:p>
        </w:tc>
        <w:tc>
          <w:tcPr>
            <w:tcW w:w="1260" w:type="dxa"/>
            <w:tcBorders>
              <w:top w:val="nil"/>
              <w:left w:val="nil"/>
              <w:bottom w:val="dotted" w:sz="4" w:space="0" w:color="auto"/>
              <w:right w:val="dashed" w:sz="8" w:space="0" w:color="auto"/>
            </w:tcBorders>
            <w:shd w:val="clear" w:color="auto" w:fill="auto"/>
            <w:vAlign w:val="center"/>
          </w:tcPr>
          <w:p w:rsidR="00CB0284" w:rsidP="009D3402" w14:paraId="21F67843" w14:textId="3ACD4427">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0</w:t>
            </w:r>
          </w:p>
        </w:tc>
        <w:tc>
          <w:tcPr>
            <w:tcW w:w="1620" w:type="dxa"/>
            <w:tcBorders>
              <w:top w:val="nil"/>
              <w:left w:val="nil"/>
              <w:bottom w:val="dotted" w:sz="4" w:space="0" w:color="auto"/>
              <w:right w:val="single" w:sz="8" w:space="0" w:color="auto"/>
            </w:tcBorders>
            <w:shd w:val="clear" w:color="auto" w:fill="auto"/>
            <w:vAlign w:val="center"/>
          </w:tcPr>
          <w:p w:rsidR="00CB0284" w:rsidP="009D3402" w14:paraId="077071D8" w14:textId="4BEDF827">
            <w:pPr>
              <w:widowControl/>
              <w:autoSpaceDE/>
              <w:autoSpaceDN/>
              <w:spacing w:before="120"/>
              <w:jc w:val="center"/>
              <w:rPr>
                <w:rFonts w:ascii="Calibri" w:hAnsi="Calibri" w:cs="Calibri"/>
                <w:color w:val="000000"/>
                <w:sz w:val="16"/>
                <w:szCs w:val="16"/>
              </w:rPr>
            </w:pPr>
            <w:r>
              <w:rPr>
                <w:rFonts w:ascii="Calibri" w:hAnsi="Calibri" w:cs="Calibri"/>
                <w:color w:val="000000"/>
                <w:sz w:val="16"/>
                <w:szCs w:val="16"/>
              </w:rPr>
              <w:t>0</w:t>
            </w:r>
          </w:p>
        </w:tc>
        <w:tc>
          <w:tcPr>
            <w:tcW w:w="3780" w:type="dxa"/>
            <w:tcBorders>
              <w:top w:val="nil"/>
              <w:left w:val="nil"/>
              <w:bottom w:val="dotted" w:sz="4" w:space="0" w:color="auto"/>
              <w:right w:val="single" w:sz="8" w:space="0" w:color="auto"/>
            </w:tcBorders>
            <w:shd w:val="clear" w:color="auto" w:fill="auto"/>
            <w:vAlign w:val="center"/>
          </w:tcPr>
          <w:p w:rsidR="00CB0284" w:rsidRPr="00EB2389" w:rsidP="009D3402" w14:paraId="7FCC143A" w14:textId="77777777">
            <w:pPr>
              <w:widowControl/>
              <w:autoSpaceDE/>
              <w:autoSpaceDN/>
              <w:spacing w:before="120"/>
              <w:rPr>
                <w:rFonts w:ascii="Calibri" w:hAnsi="Calibri" w:cs="Calibri"/>
                <w:color w:val="000000"/>
                <w:sz w:val="16"/>
                <w:szCs w:val="16"/>
              </w:rPr>
            </w:pPr>
          </w:p>
        </w:tc>
      </w:tr>
      <w:tr w14:paraId="1615CBB4" w14:textId="77777777" w:rsidTr="006F7245">
        <w:tblPrEx>
          <w:tblW w:w="10890" w:type="dxa"/>
          <w:tblInd w:w="-10" w:type="dxa"/>
          <w:tblLook w:val="04A0"/>
        </w:tblPrEx>
        <w:trPr>
          <w:trHeight w:val="432"/>
        </w:trPr>
        <w:tc>
          <w:tcPr>
            <w:tcW w:w="4230" w:type="dxa"/>
            <w:tcBorders>
              <w:top w:val="nil"/>
              <w:left w:val="single" w:sz="8" w:space="0" w:color="auto"/>
              <w:bottom w:val="nil"/>
              <w:right w:val="single" w:sz="8" w:space="0" w:color="auto"/>
            </w:tcBorders>
            <w:shd w:val="clear" w:color="000000" w:fill="BDD6EE"/>
            <w:vAlign w:val="center"/>
            <w:hideMark/>
          </w:tcPr>
          <w:p w:rsidR="00CB0284" w:rsidRPr="00EB2389" w:rsidP="009D3402" w14:paraId="0CB15D9B"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Total for Collection</w:t>
            </w:r>
          </w:p>
        </w:tc>
        <w:tc>
          <w:tcPr>
            <w:tcW w:w="1260" w:type="dxa"/>
            <w:tcBorders>
              <w:top w:val="nil"/>
              <w:left w:val="nil"/>
              <w:bottom w:val="nil"/>
              <w:right w:val="dashed" w:sz="8" w:space="0" w:color="auto"/>
            </w:tcBorders>
            <w:shd w:val="clear" w:color="000000" w:fill="BDD6EE"/>
            <w:vAlign w:val="center"/>
            <w:hideMark/>
          </w:tcPr>
          <w:p w:rsidR="00CB0284" w:rsidRPr="00EB2389" w:rsidP="009D3402" w14:paraId="49355F8E" w14:textId="42F278BF">
            <w:pPr>
              <w:widowControl/>
              <w:autoSpaceDE/>
              <w:autoSpaceDN/>
              <w:spacing w:before="120"/>
              <w:jc w:val="center"/>
              <w:rPr>
                <w:rFonts w:ascii="Calibri" w:hAnsi="Calibri" w:cs="Calibri"/>
                <w:b/>
                <w:bCs/>
                <w:color w:val="000000"/>
                <w:sz w:val="16"/>
                <w:szCs w:val="16"/>
              </w:rPr>
            </w:pPr>
            <w:r>
              <w:rPr>
                <w:rFonts w:ascii="Calibri" w:hAnsi="Calibri" w:cs="Calibri"/>
                <w:b/>
                <w:bCs/>
                <w:color w:val="000000"/>
                <w:sz w:val="16"/>
                <w:szCs w:val="16"/>
              </w:rPr>
              <w:t>792</w:t>
            </w:r>
          </w:p>
        </w:tc>
        <w:tc>
          <w:tcPr>
            <w:tcW w:w="1620" w:type="dxa"/>
            <w:tcBorders>
              <w:top w:val="nil"/>
              <w:left w:val="nil"/>
              <w:bottom w:val="nil"/>
              <w:right w:val="single" w:sz="8" w:space="0" w:color="auto"/>
            </w:tcBorders>
            <w:shd w:val="clear" w:color="000000" w:fill="BDD6EE"/>
            <w:vAlign w:val="center"/>
            <w:hideMark/>
          </w:tcPr>
          <w:p w:rsidR="00CB0284" w:rsidRPr="00EB2389" w:rsidP="009D3402" w14:paraId="1F9F9C09" w14:textId="51B85447">
            <w:pPr>
              <w:widowControl/>
              <w:autoSpaceDE/>
              <w:autoSpaceDN/>
              <w:spacing w:before="120"/>
              <w:jc w:val="center"/>
              <w:rPr>
                <w:rFonts w:ascii="Calibri" w:hAnsi="Calibri" w:cs="Calibri"/>
                <w:b/>
                <w:bCs/>
                <w:color w:val="000000"/>
                <w:sz w:val="16"/>
                <w:szCs w:val="16"/>
              </w:rPr>
            </w:pPr>
            <w:r>
              <w:rPr>
                <w:rFonts w:ascii="Calibri" w:hAnsi="Calibri" w:cs="Calibri"/>
                <w:b/>
                <w:bCs/>
                <w:color w:val="000000"/>
                <w:sz w:val="16"/>
                <w:szCs w:val="16"/>
              </w:rPr>
              <w:t>648</w:t>
            </w:r>
            <w:r w:rsidRPr="00EB2389">
              <w:rPr>
                <w:rFonts w:ascii="Calibri" w:hAnsi="Calibri" w:cs="Calibri"/>
                <w:b/>
                <w:bCs/>
                <w:color w:val="000000"/>
                <w:sz w:val="16"/>
                <w:szCs w:val="16"/>
              </w:rPr>
              <w:t> </w:t>
            </w:r>
          </w:p>
        </w:tc>
        <w:tc>
          <w:tcPr>
            <w:tcW w:w="3780" w:type="dxa"/>
            <w:tcBorders>
              <w:top w:val="nil"/>
              <w:left w:val="nil"/>
              <w:bottom w:val="nil"/>
              <w:right w:val="single" w:sz="8" w:space="0" w:color="auto"/>
            </w:tcBorders>
            <w:shd w:val="clear" w:color="000000" w:fill="000000"/>
            <w:vAlign w:val="center"/>
            <w:hideMark/>
          </w:tcPr>
          <w:p w:rsidR="00CB0284" w:rsidRPr="00EB2389" w:rsidP="009D3402" w14:paraId="4931C9C1"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 </w:t>
            </w:r>
          </w:p>
        </w:tc>
      </w:tr>
      <w:tr w14:paraId="0A6AA5F7" w14:textId="77777777" w:rsidTr="006F7245">
        <w:tblPrEx>
          <w:tblW w:w="10890" w:type="dxa"/>
          <w:tblInd w:w="-10" w:type="dxa"/>
          <w:tblLook w:val="04A0"/>
        </w:tblPrEx>
        <w:trPr>
          <w:trHeight w:val="278"/>
        </w:trPr>
        <w:tc>
          <w:tcPr>
            <w:tcW w:w="4230" w:type="dxa"/>
            <w:tcBorders>
              <w:top w:val="single" w:sz="8" w:space="0" w:color="auto"/>
              <w:left w:val="single" w:sz="8" w:space="0" w:color="auto"/>
              <w:bottom w:val="single" w:sz="8" w:space="0" w:color="auto"/>
              <w:right w:val="nil"/>
            </w:tcBorders>
            <w:shd w:val="clear" w:color="000000" w:fill="FCE4D6"/>
            <w:noWrap/>
            <w:vAlign w:val="bottom"/>
            <w:hideMark/>
          </w:tcPr>
          <w:p w:rsidR="00CB0284" w:rsidRPr="00EB2389" w:rsidP="009D3402" w14:paraId="5D348305" w14:textId="77777777">
            <w:pPr>
              <w:widowControl/>
              <w:autoSpaceDE/>
              <w:autoSpaceDN/>
              <w:spacing w:before="120"/>
              <w:jc w:val="center"/>
              <w:rPr>
                <w:rFonts w:ascii="Calibri" w:hAnsi="Calibri" w:cs="Calibri"/>
                <w:b/>
                <w:bCs/>
                <w:color w:val="000000"/>
                <w:sz w:val="16"/>
                <w:szCs w:val="16"/>
              </w:rPr>
            </w:pPr>
            <w:r w:rsidRPr="00EB2389">
              <w:rPr>
                <w:rFonts w:ascii="Calibri" w:hAnsi="Calibri" w:cs="Calibri"/>
                <w:b/>
                <w:bCs/>
                <w:color w:val="000000"/>
                <w:sz w:val="16"/>
                <w:szCs w:val="16"/>
              </w:rPr>
              <w:t>Difference</w:t>
            </w:r>
          </w:p>
        </w:tc>
        <w:tc>
          <w:tcPr>
            <w:tcW w:w="2880" w:type="dxa"/>
            <w:gridSpan w:val="2"/>
            <w:tcBorders>
              <w:top w:val="single" w:sz="8" w:space="0" w:color="auto"/>
              <w:left w:val="nil"/>
              <w:bottom w:val="single" w:sz="8" w:space="0" w:color="auto"/>
              <w:right w:val="single" w:sz="4" w:space="0" w:color="auto"/>
            </w:tcBorders>
            <w:shd w:val="clear" w:color="000000" w:fill="FCE4D6"/>
            <w:noWrap/>
            <w:vAlign w:val="bottom"/>
            <w:hideMark/>
          </w:tcPr>
          <w:p w:rsidR="00CB0284" w:rsidRPr="00EB2389" w:rsidP="009D3402" w14:paraId="233FF465" w14:textId="1B5C41EC">
            <w:pPr>
              <w:widowControl/>
              <w:autoSpaceDE/>
              <w:autoSpaceDN/>
              <w:spacing w:before="120"/>
              <w:jc w:val="center"/>
              <w:rPr>
                <w:rFonts w:ascii="Calibri" w:hAnsi="Calibri" w:cs="Calibri"/>
                <w:color w:val="000000"/>
              </w:rPr>
            </w:pPr>
            <w:r>
              <w:rPr>
                <w:rFonts w:ascii="Calibri" w:hAnsi="Calibri" w:cs="Calibri"/>
                <w:color w:val="000000"/>
              </w:rPr>
              <w:t>144</w:t>
            </w:r>
            <w:r w:rsidRPr="00EB2389">
              <w:rPr>
                <w:rFonts w:ascii="Calibri" w:hAnsi="Calibri" w:cs="Calibri"/>
                <w:color w:val="000000"/>
              </w:rPr>
              <w:t> </w:t>
            </w:r>
          </w:p>
        </w:tc>
        <w:tc>
          <w:tcPr>
            <w:tcW w:w="3780" w:type="dxa"/>
            <w:tcBorders>
              <w:top w:val="single" w:sz="8" w:space="0" w:color="auto"/>
              <w:left w:val="nil"/>
              <w:bottom w:val="single" w:sz="8" w:space="0" w:color="auto"/>
              <w:right w:val="single" w:sz="8" w:space="0" w:color="auto"/>
            </w:tcBorders>
            <w:shd w:val="clear" w:color="000000" w:fill="000000"/>
            <w:noWrap/>
            <w:vAlign w:val="bottom"/>
            <w:hideMark/>
          </w:tcPr>
          <w:p w:rsidR="00CB0284" w:rsidRPr="00EB2389" w:rsidP="009D3402" w14:paraId="678F9597" w14:textId="77777777">
            <w:pPr>
              <w:widowControl/>
              <w:autoSpaceDE/>
              <w:autoSpaceDN/>
              <w:spacing w:before="120"/>
              <w:rPr>
                <w:rFonts w:ascii="Calibri" w:hAnsi="Calibri" w:cs="Calibri"/>
                <w:color w:val="000000"/>
              </w:rPr>
            </w:pPr>
            <w:r w:rsidRPr="00EB2389">
              <w:rPr>
                <w:rFonts w:ascii="Calibri" w:hAnsi="Calibri" w:cs="Calibri"/>
                <w:color w:val="000000"/>
              </w:rPr>
              <w:t> </w:t>
            </w:r>
          </w:p>
        </w:tc>
      </w:tr>
    </w:tbl>
    <w:p w:rsidR="00FD2B71" w:rsidP="009D3402" w14:paraId="2943D839" w14:textId="77777777">
      <w:pPr>
        <w:pStyle w:val="BodyText"/>
        <w:spacing w:before="120"/>
        <w:rPr>
          <w:sz w:val="32"/>
        </w:rPr>
        <w:sectPr w:rsidSect="00FD2B71">
          <w:pgSz w:w="15840" w:h="12240" w:orient="landscape"/>
          <w:pgMar w:top="1440" w:right="1440" w:bottom="1440" w:left="1440" w:header="0" w:footer="1008" w:gutter="0"/>
          <w:cols w:space="720"/>
          <w:docGrid w:linePitch="299"/>
        </w:sectPr>
      </w:pPr>
    </w:p>
    <w:p w:rsidR="00956DFE" w:rsidP="009D3402" w14:paraId="437241DB" w14:textId="77777777">
      <w:pPr>
        <w:pStyle w:val="Heading1"/>
        <w:numPr>
          <w:ilvl w:val="0"/>
          <w:numId w:val="1"/>
        </w:numPr>
        <w:tabs>
          <w:tab w:val="left" w:pos="500"/>
        </w:tabs>
        <w:spacing w:before="120"/>
        <w:ind w:left="139" w:right="390" w:firstLine="0"/>
      </w:pPr>
      <w:r>
        <w:t>For</w:t>
      </w:r>
      <w:r>
        <w:rPr>
          <w:spacing w:val="-2"/>
        </w:rPr>
        <w:t xml:space="preserve"> </w:t>
      </w:r>
      <w:r>
        <w:t>collections</w:t>
      </w:r>
      <w:r>
        <w:rPr>
          <w:spacing w:val="-3"/>
        </w:rPr>
        <w:t xml:space="preserve"> </w:t>
      </w:r>
      <w:r>
        <w:t>of</w:t>
      </w:r>
      <w:r>
        <w:rPr>
          <w:spacing w:val="-2"/>
        </w:rPr>
        <w:t xml:space="preserve"> </w:t>
      </w:r>
      <w:r>
        <w:t>information</w:t>
      </w:r>
      <w:r>
        <w:rPr>
          <w:spacing w:val="-3"/>
        </w:rPr>
        <w:t xml:space="preserve"> </w:t>
      </w:r>
      <w:r>
        <w:t>whose</w:t>
      </w:r>
      <w:r>
        <w:rPr>
          <w:spacing w:val="-4"/>
        </w:rPr>
        <w:t xml:space="preserve"> </w:t>
      </w:r>
      <w:r>
        <w:t>results</w:t>
      </w:r>
      <w:r>
        <w:rPr>
          <w:spacing w:val="-3"/>
        </w:rPr>
        <w:t xml:space="preserve"> </w:t>
      </w:r>
      <w:r>
        <w:t>will</w:t>
      </w:r>
      <w:r>
        <w:rPr>
          <w:spacing w:val="-3"/>
        </w:rPr>
        <w:t xml:space="preserve"> </w:t>
      </w:r>
      <w:r>
        <w:t>be</w:t>
      </w:r>
      <w:r>
        <w:rPr>
          <w:spacing w:val="-4"/>
        </w:rPr>
        <w:t xml:space="preserve"> </w:t>
      </w:r>
      <w:r>
        <w:t>published,</w:t>
      </w:r>
      <w:r>
        <w:rPr>
          <w:spacing w:val="-4"/>
        </w:rPr>
        <w:t xml:space="preserve"> </w:t>
      </w:r>
      <w:r>
        <w:t>outline</w:t>
      </w:r>
      <w:r>
        <w:rPr>
          <w:spacing w:val="-7"/>
        </w:rPr>
        <w:t xml:space="preserve"> </w:t>
      </w:r>
      <w:r>
        <w:t>plans</w:t>
      </w:r>
      <w:r>
        <w:rPr>
          <w:spacing w:val="-6"/>
        </w:rPr>
        <w:t xml:space="preserve"> </w:t>
      </w:r>
      <w:r>
        <w:t>for</w:t>
      </w:r>
      <w:r>
        <w:rPr>
          <w:spacing w:val="-4"/>
        </w:rPr>
        <w:t xml:space="preserve"> </w:t>
      </w:r>
      <w:r>
        <w:t>tabulation</w:t>
      </w:r>
      <w:r>
        <w:rPr>
          <w:spacing w:val="-3"/>
        </w:rPr>
        <w:t xml:space="preserve"> </w:t>
      </w:r>
      <w:r>
        <w:t>and publication. Address any complex analytical techniques that will be used. Provide the time schedule for the entire project, including beginning and ending dates of the collection of information, completion of report, publication dates, and other actions.</w:t>
      </w:r>
    </w:p>
    <w:p w:rsidR="00ED6AEB" w:rsidRPr="00ED6AEB" w:rsidP="009D3402" w14:paraId="159784EB" w14:textId="77777777">
      <w:pPr>
        <w:spacing w:before="120"/>
        <w:ind w:left="90"/>
        <w:rPr>
          <w:sz w:val="24"/>
          <w:szCs w:val="24"/>
        </w:rPr>
      </w:pPr>
      <w:r w:rsidRPr="00ED6AEB">
        <w:rPr>
          <w:sz w:val="24"/>
          <w:szCs w:val="24"/>
        </w:rPr>
        <w:t>No logbook data would be published as a regular procedure. However, the information collected would be used to inform fishery management and may be published in analyses (</w:t>
      </w:r>
      <w:r w:rsidRPr="00ED6AEB">
        <w:rPr>
          <w:i/>
          <w:sz w:val="24"/>
          <w:szCs w:val="24"/>
        </w:rPr>
        <w:t>e.g.</w:t>
      </w:r>
      <w:r w:rsidRPr="00ED6AEB">
        <w:rPr>
          <w:sz w:val="24"/>
          <w:szCs w:val="24"/>
        </w:rPr>
        <w:t>, PFMC Groundfish Management Team analyses), to the extent allowable under confidentiality rules.</w:t>
      </w:r>
    </w:p>
    <w:p w:rsidR="005601D9" w:rsidP="009D3402" w14:paraId="6851B1C9" w14:textId="77777777">
      <w:pPr>
        <w:pStyle w:val="BodyText"/>
        <w:spacing w:before="120"/>
        <w:ind w:left="139" w:right="360"/>
      </w:pPr>
    </w:p>
    <w:p w:rsidR="00956DFE" w:rsidP="009D3402" w14:paraId="211E6B7A" w14:textId="77777777">
      <w:pPr>
        <w:pStyle w:val="Heading1"/>
        <w:numPr>
          <w:ilvl w:val="0"/>
          <w:numId w:val="1"/>
        </w:numPr>
        <w:tabs>
          <w:tab w:val="left" w:pos="500"/>
        </w:tabs>
        <w:spacing w:before="120"/>
        <w:ind w:left="139" w:right="699" w:firstLine="0"/>
      </w:pPr>
      <w:r>
        <w:t>If</w:t>
      </w:r>
      <w:r>
        <w:rPr>
          <w:spacing w:val="-2"/>
        </w:rPr>
        <w:t xml:space="preserve"> </w:t>
      </w:r>
      <w:r>
        <w:t>seeking</w:t>
      </w:r>
      <w:r>
        <w:rPr>
          <w:spacing w:val="-3"/>
        </w:rPr>
        <w:t xml:space="preserve"> </w:t>
      </w:r>
      <w:r>
        <w:t>approval</w:t>
      </w:r>
      <w:r>
        <w:rPr>
          <w:spacing w:val="-3"/>
        </w:rPr>
        <w:t xml:space="preserve"> </w:t>
      </w:r>
      <w:r>
        <w:t>to</w:t>
      </w:r>
      <w:r>
        <w:rPr>
          <w:spacing w:val="-3"/>
        </w:rPr>
        <w:t xml:space="preserve"> </w:t>
      </w:r>
      <w:r>
        <w:t>not</w:t>
      </w:r>
      <w:r>
        <w:rPr>
          <w:spacing w:val="-4"/>
        </w:rPr>
        <w:t xml:space="preserve"> </w:t>
      </w:r>
      <w:r>
        <w:t>display</w:t>
      </w:r>
      <w:r>
        <w:rPr>
          <w:spacing w:val="-3"/>
        </w:rPr>
        <w:t xml:space="preserve"> </w:t>
      </w:r>
      <w:r>
        <w:t>the</w:t>
      </w:r>
      <w:r>
        <w:rPr>
          <w:spacing w:val="-4"/>
        </w:rPr>
        <w:t xml:space="preserve"> </w:t>
      </w:r>
      <w:r>
        <w:t>expiration</w:t>
      </w:r>
      <w:r>
        <w:rPr>
          <w:spacing w:val="-3"/>
        </w:rPr>
        <w:t xml:space="preserve"> </w:t>
      </w:r>
      <w:r>
        <w:t>date</w:t>
      </w:r>
      <w:r>
        <w:rPr>
          <w:spacing w:val="-4"/>
        </w:rPr>
        <w:t xml:space="preserve"> </w:t>
      </w:r>
      <w:r>
        <w:t>for</w:t>
      </w:r>
      <w:r>
        <w:rPr>
          <w:spacing w:val="-4"/>
        </w:rPr>
        <w:t xml:space="preserve"> </w:t>
      </w:r>
      <w:r>
        <w:t>OMB</w:t>
      </w:r>
      <w:r>
        <w:rPr>
          <w:spacing w:val="-3"/>
        </w:rPr>
        <w:t xml:space="preserve"> </w:t>
      </w:r>
      <w:r>
        <w:t>approval</w:t>
      </w:r>
      <w:r>
        <w:rPr>
          <w:spacing w:val="-3"/>
        </w:rPr>
        <w:t xml:space="preserve"> </w:t>
      </w:r>
      <w:r>
        <w:t>of</w:t>
      </w:r>
      <w:r>
        <w:rPr>
          <w:spacing w:val="-2"/>
        </w:rPr>
        <w:t xml:space="preserve"> </w:t>
      </w:r>
      <w:r>
        <w:t>the</w:t>
      </w:r>
      <w:r>
        <w:rPr>
          <w:spacing w:val="-4"/>
        </w:rPr>
        <w:t xml:space="preserve"> </w:t>
      </w:r>
      <w:r>
        <w:t>information collection, explain the reasons that display would be inappropriate.</w:t>
      </w:r>
    </w:p>
    <w:p w:rsidR="00EB2389" w:rsidRPr="009D3402" w:rsidP="009D3402" w14:paraId="596477B8" w14:textId="156D06F2">
      <w:pPr>
        <w:spacing w:before="120"/>
        <w:ind w:left="90"/>
        <w:rPr>
          <w:sz w:val="24"/>
          <w:szCs w:val="24"/>
        </w:rPr>
      </w:pPr>
      <w:r w:rsidRPr="009D3402">
        <w:rPr>
          <w:sz w:val="24"/>
          <w:szCs w:val="24"/>
        </w:rPr>
        <w:t>The agency plans to display the expiration date for OMB approval of the information</w:t>
      </w:r>
      <w:r w:rsidRPr="009D3402">
        <w:rPr>
          <w:sz w:val="24"/>
          <w:szCs w:val="24"/>
        </w:rPr>
        <w:t xml:space="preserve"> collection on all instruments.</w:t>
      </w:r>
    </w:p>
    <w:p w:rsidR="00EB2389" w:rsidP="009D3402" w14:paraId="7E51BEAF" w14:textId="77777777">
      <w:pPr>
        <w:spacing w:before="120"/>
      </w:pPr>
    </w:p>
    <w:p w:rsidR="00956DFE" w:rsidP="009D3402" w14:paraId="210D2E8C" w14:textId="77777777">
      <w:pPr>
        <w:pStyle w:val="Heading1"/>
        <w:numPr>
          <w:ilvl w:val="0"/>
          <w:numId w:val="1"/>
        </w:numPr>
        <w:tabs>
          <w:tab w:val="left" w:pos="500"/>
        </w:tabs>
        <w:spacing w:before="120"/>
        <w:ind w:right="306" w:firstLine="0"/>
      </w:pPr>
      <w:r>
        <w:t>Explain</w:t>
      </w:r>
      <w:r>
        <w:rPr>
          <w:spacing w:val="-4"/>
        </w:rPr>
        <w:t xml:space="preserve"> </w:t>
      </w:r>
      <w:r>
        <w:t>each</w:t>
      </w:r>
      <w:r>
        <w:rPr>
          <w:spacing w:val="-3"/>
        </w:rPr>
        <w:t xml:space="preserve"> </w:t>
      </w:r>
      <w:r>
        <w:t>exception</w:t>
      </w:r>
      <w:r>
        <w:rPr>
          <w:spacing w:val="-6"/>
        </w:rPr>
        <w:t xml:space="preserve"> </w:t>
      </w:r>
      <w:r>
        <w:t>to</w:t>
      </w:r>
      <w:r>
        <w:rPr>
          <w:spacing w:val="-4"/>
        </w:rPr>
        <w:t xml:space="preserve"> </w:t>
      </w:r>
      <w:r>
        <w:t>the</w:t>
      </w:r>
      <w:r>
        <w:rPr>
          <w:spacing w:val="-5"/>
        </w:rPr>
        <w:t xml:space="preserve"> </w:t>
      </w:r>
      <w:r>
        <w:t>certification</w:t>
      </w:r>
      <w:r>
        <w:rPr>
          <w:spacing w:val="-4"/>
        </w:rPr>
        <w:t xml:space="preserve"> </w:t>
      </w:r>
      <w:r>
        <w:t>statement</w:t>
      </w:r>
      <w:r>
        <w:rPr>
          <w:spacing w:val="-5"/>
        </w:rPr>
        <w:t xml:space="preserve"> </w:t>
      </w:r>
      <w:r>
        <w:t>identified</w:t>
      </w:r>
      <w:r>
        <w:rPr>
          <w:spacing w:val="-3"/>
        </w:rPr>
        <w:t xml:space="preserve"> </w:t>
      </w:r>
      <w:r>
        <w:t>in</w:t>
      </w:r>
      <w:r>
        <w:rPr>
          <w:spacing w:val="-4"/>
        </w:rPr>
        <w:t xml:space="preserve"> </w:t>
      </w:r>
      <w:r>
        <w:t>“Certification</w:t>
      </w:r>
      <w:r>
        <w:rPr>
          <w:spacing w:val="-4"/>
        </w:rPr>
        <w:t xml:space="preserve"> </w:t>
      </w:r>
      <w:r>
        <w:t>for</w:t>
      </w:r>
      <w:r>
        <w:rPr>
          <w:spacing w:val="-5"/>
        </w:rPr>
        <w:t xml:space="preserve"> </w:t>
      </w:r>
      <w:r>
        <w:t xml:space="preserve">Paperwork Reduction Act </w:t>
      </w:r>
      <w:r>
        <w:t>Submissions."</w:t>
      </w:r>
    </w:p>
    <w:p w:rsidR="00956DFE" w:rsidP="009D3402" w14:paraId="11BF64CA" w14:textId="77777777">
      <w:pPr>
        <w:pStyle w:val="BodyText"/>
        <w:spacing w:before="120"/>
        <w:ind w:left="140"/>
      </w:pPr>
      <w:r>
        <w:t>The</w:t>
      </w:r>
      <w:r>
        <w:rPr>
          <w:spacing w:val="-3"/>
        </w:rPr>
        <w:t xml:space="preserve"> </w:t>
      </w:r>
      <w:r>
        <w:t>agency</w:t>
      </w:r>
      <w:r>
        <w:rPr>
          <w:spacing w:val="-5"/>
        </w:rPr>
        <w:t xml:space="preserve"> </w:t>
      </w:r>
      <w:r>
        <w:t>certifies</w:t>
      </w:r>
      <w:r>
        <w:rPr>
          <w:spacing w:val="1"/>
        </w:rPr>
        <w:t xml:space="preserve"> </w:t>
      </w:r>
      <w:r>
        <w:t>compliance</w:t>
      </w:r>
      <w:r>
        <w:rPr>
          <w:spacing w:val="-1"/>
        </w:rPr>
        <w:t xml:space="preserve"> </w:t>
      </w:r>
      <w:r>
        <w:t>with</w:t>
      </w:r>
      <w:r>
        <w:rPr>
          <w:spacing w:val="1"/>
        </w:rPr>
        <w:t xml:space="preserve"> </w:t>
      </w:r>
      <w:hyperlink r:id="rId6">
        <w:r>
          <w:rPr>
            <w:color w:val="0562C1"/>
            <w:u w:val="thick" w:color="0562C1"/>
          </w:rPr>
          <w:t>5 CFR 1320.9</w:t>
        </w:r>
      </w:hyperlink>
      <w:r>
        <w:rPr>
          <w:color w:val="0562C1"/>
          <w:spacing w:val="1"/>
        </w:rPr>
        <w:t xml:space="preserve"> </w:t>
      </w:r>
      <w:r>
        <w:t>and the related provisions</w:t>
      </w:r>
      <w:r>
        <w:rPr>
          <w:spacing w:val="1"/>
        </w:rPr>
        <w:t xml:space="preserve"> </w:t>
      </w:r>
      <w:r>
        <w:t>of</w:t>
      </w:r>
      <w:r>
        <w:rPr>
          <w:spacing w:val="-1"/>
        </w:rPr>
        <w:t xml:space="preserve"> </w:t>
      </w:r>
      <w:hyperlink r:id="rId7">
        <w:r>
          <w:rPr>
            <w:color w:val="0562C1"/>
            <w:u w:val="thick" w:color="0562C1"/>
          </w:rPr>
          <w:t>5CFR</w:t>
        </w:r>
        <w:r>
          <w:rPr>
            <w:color w:val="0562C1"/>
            <w:spacing w:val="1"/>
            <w:u w:val="thick" w:color="0562C1"/>
          </w:rPr>
          <w:t xml:space="preserve"> </w:t>
        </w:r>
      </w:hyperlink>
      <w:hyperlink r:id="rId7">
        <w:r>
          <w:rPr>
            <w:color w:val="0562C1"/>
            <w:spacing w:val="-2"/>
            <w:u w:val="thick" w:color="0562C1"/>
          </w:rPr>
          <w:t>1320.8(b)(3)</w:t>
        </w:r>
      </w:hyperlink>
      <w:r>
        <w:rPr>
          <w:spacing w:val="-2"/>
        </w:rPr>
        <w:t>.</w:t>
      </w:r>
    </w:p>
    <w:sectPr w:rsidSect="008E02BE">
      <w:pgSz w:w="12240" w:h="15840"/>
      <w:pgMar w:top="1440" w:right="1440" w:bottom="1440" w:left="1440" w:header="0" w:footer="10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4750DDA"/>
    <w:multiLevelType w:val="hybridMultilevel"/>
    <w:tmpl w:val="0EC85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7C76A29"/>
    <w:multiLevelType w:val="hybridMultilevel"/>
    <w:tmpl w:val="030C462E"/>
    <w:lvl w:ilvl="0">
      <w:start w:val="1"/>
      <w:numFmt w:val="decimal"/>
      <w:lvlText w:val="%1."/>
      <w:lvlJc w:val="left"/>
      <w:pPr>
        <w:ind w:left="140" w:hanging="360"/>
      </w:pPr>
      <w:rPr>
        <w:rFonts w:ascii="Arial" w:eastAsia="Arial" w:hAnsi="Arial" w:cs="Arial" w:hint="default"/>
        <w:b/>
        <w:bCs/>
        <w:i w:val="0"/>
        <w:iCs w:val="0"/>
        <w:w w:val="100"/>
        <w:sz w:val="24"/>
        <w:szCs w:val="24"/>
        <w:lang w:val="en-US" w:eastAsia="en-US" w:bidi="ar-SA"/>
      </w:rPr>
    </w:lvl>
    <w:lvl w:ilvl="1">
      <w:start w:val="0"/>
      <w:numFmt w:val="bullet"/>
      <w:lvlText w:val="•"/>
      <w:lvlJc w:val="left"/>
      <w:pPr>
        <w:ind w:left="1178" w:hanging="360"/>
      </w:pPr>
      <w:rPr>
        <w:rFonts w:hint="default"/>
        <w:lang w:val="en-US" w:eastAsia="en-US" w:bidi="ar-SA"/>
      </w:rPr>
    </w:lvl>
    <w:lvl w:ilvl="2">
      <w:start w:val="0"/>
      <w:numFmt w:val="bullet"/>
      <w:lvlText w:val="•"/>
      <w:lvlJc w:val="left"/>
      <w:pPr>
        <w:ind w:left="2216" w:hanging="360"/>
      </w:pPr>
      <w:rPr>
        <w:rFonts w:hint="default"/>
        <w:lang w:val="en-US" w:eastAsia="en-US" w:bidi="ar-SA"/>
      </w:rPr>
    </w:lvl>
    <w:lvl w:ilvl="3">
      <w:start w:val="0"/>
      <w:numFmt w:val="bullet"/>
      <w:lvlText w:val="•"/>
      <w:lvlJc w:val="left"/>
      <w:pPr>
        <w:ind w:left="3254" w:hanging="360"/>
      </w:pPr>
      <w:rPr>
        <w:rFonts w:hint="default"/>
        <w:lang w:val="en-US" w:eastAsia="en-US" w:bidi="ar-SA"/>
      </w:rPr>
    </w:lvl>
    <w:lvl w:ilvl="4">
      <w:start w:val="0"/>
      <w:numFmt w:val="bullet"/>
      <w:lvlText w:val="•"/>
      <w:lvlJc w:val="left"/>
      <w:pPr>
        <w:ind w:left="4292"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444" w:hanging="360"/>
      </w:pPr>
      <w:rPr>
        <w:rFonts w:hint="default"/>
        <w:lang w:val="en-US" w:eastAsia="en-US" w:bidi="ar-SA"/>
      </w:rPr>
    </w:lvl>
  </w:abstractNum>
  <w:num w:numId="1" w16cid:durableId="69427420">
    <w:abstractNumId w:val="1"/>
  </w:num>
  <w:num w:numId="2" w16cid:durableId="61875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FE"/>
    <w:rsid w:val="00001CB4"/>
    <w:rsid w:val="0002535C"/>
    <w:rsid w:val="00075C28"/>
    <w:rsid w:val="00081D94"/>
    <w:rsid w:val="000B5434"/>
    <w:rsid w:val="000D4EAE"/>
    <w:rsid w:val="000F114B"/>
    <w:rsid w:val="000F4C3D"/>
    <w:rsid w:val="00111946"/>
    <w:rsid w:val="00127D30"/>
    <w:rsid w:val="00151EBB"/>
    <w:rsid w:val="001C1D76"/>
    <w:rsid w:val="001F1E99"/>
    <w:rsid w:val="002502A9"/>
    <w:rsid w:val="00254D70"/>
    <w:rsid w:val="002B2B8B"/>
    <w:rsid w:val="002D6814"/>
    <w:rsid w:val="002E6A20"/>
    <w:rsid w:val="003133D0"/>
    <w:rsid w:val="00344836"/>
    <w:rsid w:val="003C5758"/>
    <w:rsid w:val="003F0C3F"/>
    <w:rsid w:val="00400E68"/>
    <w:rsid w:val="0044680B"/>
    <w:rsid w:val="004932FE"/>
    <w:rsid w:val="004A09B1"/>
    <w:rsid w:val="004B2C1B"/>
    <w:rsid w:val="00510D6B"/>
    <w:rsid w:val="0051318D"/>
    <w:rsid w:val="005453F1"/>
    <w:rsid w:val="005601D9"/>
    <w:rsid w:val="005641C4"/>
    <w:rsid w:val="00582BA9"/>
    <w:rsid w:val="005916D3"/>
    <w:rsid w:val="00595CB2"/>
    <w:rsid w:val="005C350D"/>
    <w:rsid w:val="005F3E5D"/>
    <w:rsid w:val="00611008"/>
    <w:rsid w:val="00627047"/>
    <w:rsid w:val="00641B93"/>
    <w:rsid w:val="0065080D"/>
    <w:rsid w:val="006607CD"/>
    <w:rsid w:val="006949EF"/>
    <w:rsid w:val="006A416C"/>
    <w:rsid w:val="006F7245"/>
    <w:rsid w:val="00745C59"/>
    <w:rsid w:val="00776A66"/>
    <w:rsid w:val="00781AAA"/>
    <w:rsid w:val="007A52D7"/>
    <w:rsid w:val="007E58FB"/>
    <w:rsid w:val="007F3ACA"/>
    <w:rsid w:val="008427BD"/>
    <w:rsid w:val="00845442"/>
    <w:rsid w:val="00854DC1"/>
    <w:rsid w:val="008C5A26"/>
    <w:rsid w:val="008E02BE"/>
    <w:rsid w:val="008E5E65"/>
    <w:rsid w:val="008F2EF7"/>
    <w:rsid w:val="009411F7"/>
    <w:rsid w:val="009426DE"/>
    <w:rsid w:val="009500C9"/>
    <w:rsid w:val="009524E3"/>
    <w:rsid w:val="00956DFE"/>
    <w:rsid w:val="009943AF"/>
    <w:rsid w:val="009D3402"/>
    <w:rsid w:val="009E3CF7"/>
    <w:rsid w:val="00A028B6"/>
    <w:rsid w:val="00A100F9"/>
    <w:rsid w:val="00A12257"/>
    <w:rsid w:val="00A16D76"/>
    <w:rsid w:val="00A44B9B"/>
    <w:rsid w:val="00AA470A"/>
    <w:rsid w:val="00AC030E"/>
    <w:rsid w:val="00B03976"/>
    <w:rsid w:val="00B550ED"/>
    <w:rsid w:val="00B81B43"/>
    <w:rsid w:val="00B926AE"/>
    <w:rsid w:val="00BB28E2"/>
    <w:rsid w:val="00BD4A39"/>
    <w:rsid w:val="00C12324"/>
    <w:rsid w:val="00C14444"/>
    <w:rsid w:val="00C80DC9"/>
    <w:rsid w:val="00C92688"/>
    <w:rsid w:val="00CA3293"/>
    <w:rsid w:val="00CB0284"/>
    <w:rsid w:val="00CB3E7C"/>
    <w:rsid w:val="00CD6A70"/>
    <w:rsid w:val="00CE3A06"/>
    <w:rsid w:val="00D02E38"/>
    <w:rsid w:val="00D15F98"/>
    <w:rsid w:val="00D2054D"/>
    <w:rsid w:val="00D61253"/>
    <w:rsid w:val="00D64557"/>
    <w:rsid w:val="00D67589"/>
    <w:rsid w:val="00DB70A8"/>
    <w:rsid w:val="00DD3DC4"/>
    <w:rsid w:val="00DF2134"/>
    <w:rsid w:val="00DF22D8"/>
    <w:rsid w:val="00E02389"/>
    <w:rsid w:val="00E31755"/>
    <w:rsid w:val="00E837D4"/>
    <w:rsid w:val="00E840CF"/>
    <w:rsid w:val="00EB2389"/>
    <w:rsid w:val="00ED3A14"/>
    <w:rsid w:val="00ED46BE"/>
    <w:rsid w:val="00ED6AEB"/>
    <w:rsid w:val="00EE44A3"/>
    <w:rsid w:val="00EE5C30"/>
    <w:rsid w:val="00F040D0"/>
    <w:rsid w:val="00F17BC1"/>
    <w:rsid w:val="00F46555"/>
    <w:rsid w:val="00F653D5"/>
    <w:rsid w:val="00FB7D2E"/>
    <w:rsid w:val="00FC0A4C"/>
    <w:rsid w:val="00FD2B71"/>
    <w:rsid w:val="00FD5E0A"/>
    <w:rsid w:val="00FD6B9B"/>
    <w:rsid w:val="00FE6E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92C34"/>
  <w15:docId w15:val="{D702C6D3-2EB0-4E6E-A14E-E9CBFBEB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9"/>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B2389"/>
    <w:pPr>
      <w:tabs>
        <w:tab w:val="center" w:pos="4680"/>
        <w:tab w:val="right" w:pos="9360"/>
      </w:tabs>
    </w:pPr>
  </w:style>
  <w:style w:type="character" w:customStyle="1" w:styleId="HeaderChar">
    <w:name w:val="Header Char"/>
    <w:basedOn w:val="DefaultParagraphFont"/>
    <w:link w:val="Header"/>
    <w:uiPriority w:val="99"/>
    <w:rsid w:val="00EB2389"/>
    <w:rPr>
      <w:rFonts w:ascii="Times New Roman" w:eastAsia="Times New Roman" w:hAnsi="Times New Roman" w:cs="Times New Roman"/>
    </w:rPr>
  </w:style>
  <w:style w:type="paragraph" w:styleId="Footer">
    <w:name w:val="footer"/>
    <w:basedOn w:val="Normal"/>
    <w:link w:val="FooterChar"/>
    <w:uiPriority w:val="99"/>
    <w:unhideWhenUsed/>
    <w:rsid w:val="00EB2389"/>
    <w:pPr>
      <w:tabs>
        <w:tab w:val="center" w:pos="4680"/>
        <w:tab w:val="right" w:pos="9360"/>
      </w:tabs>
    </w:pPr>
  </w:style>
  <w:style w:type="character" w:customStyle="1" w:styleId="FooterChar">
    <w:name w:val="Footer Char"/>
    <w:basedOn w:val="DefaultParagraphFont"/>
    <w:link w:val="Footer"/>
    <w:uiPriority w:val="99"/>
    <w:rsid w:val="00EB2389"/>
    <w:rPr>
      <w:rFonts w:ascii="Times New Roman" w:eastAsia="Times New Roman" w:hAnsi="Times New Roman" w:cs="Times New Roman"/>
    </w:rPr>
  </w:style>
  <w:style w:type="character" w:styleId="Hyperlink">
    <w:name w:val="Hyperlink"/>
    <w:basedOn w:val="DefaultParagraphFont"/>
    <w:uiPriority w:val="99"/>
    <w:unhideWhenUsed/>
    <w:rsid w:val="00001CB4"/>
    <w:rPr>
      <w:color w:val="0000FF" w:themeColor="hyperlink"/>
      <w:u w:val="single"/>
    </w:rPr>
  </w:style>
  <w:style w:type="character" w:styleId="CommentReference">
    <w:name w:val="annotation reference"/>
    <w:basedOn w:val="DefaultParagraphFont"/>
    <w:uiPriority w:val="99"/>
    <w:semiHidden/>
    <w:unhideWhenUsed/>
    <w:rsid w:val="00127D30"/>
    <w:rPr>
      <w:sz w:val="16"/>
      <w:szCs w:val="16"/>
    </w:rPr>
  </w:style>
  <w:style w:type="paragraph" w:styleId="CommentText">
    <w:name w:val="annotation text"/>
    <w:basedOn w:val="Normal"/>
    <w:link w:val="CommentTextChar"/>
    <w:uiPriority w:val="99"/>
    <w:semiHidden/>
    <w:unhideWhenUsed/>
    <w:rsid w:val="00127D30"/>
    <w:rPr>
      <w:sz w:val="20"/>
      <w:szCs w:val="20"/>
    </w:rPr>
  </w:style>
  <w:style w:type="character" w:customStyle="1" w:styleId="CommentTextChar">
    <w:name w:val="Comment Text Char"/>
    <w:basedOn w:val="DefaultParagraphFont"/>
    <w:link w:val="CommentText"/>
    <w:uiPriority w:val="99"/>
    <w:semiHidden/>
    <w:rsid w:val="00127D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7D30"/>
    <w:rPr>
      <w:b/>
      <w:bCs/>
    </w:rPr>
  </w:style>
  <w:style w:type="character" w:customStyle="1" w:styleId="CommentSubjectChar">
    <w:name w:val="Comment Subject Char"/>
    <w:basedOn w:val="CommentTextChar"/>
    <w:link w:val="CommentSubject"/>
    <w:uiPriority w:val="99"/>
    <w:semiHidden/>
    <w:rsid w:val="00127D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7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D30"/>
    <w:rPr>
      <w:rFonts w:ascii="Segoe UI" w:eastAsia="Times New Roman" w:hAnsi="Segoe UI" w:cs="Segoe UI"/>
      <w:sz w:val="18"/>
      <w:szCs w:val="18"/>
    </w:rPr>
  </w:style>
  <w:style w:type="paragraph" w:styleId="NormalWeb">
    <w:name w:val="Normal (Web)"/>
    <w:basedOn w:val="Normal"/>
    <w:uiPriority w:val="99"/>
    <w:semiHidden/>
    <w:unhideWhenUsed/>
    <w:rsid w:val="002502A9"/>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C12324"/>
    <w:rPr>
      <w:color w:val="605E5C"/>
      <w:shd w:val="clear" w:color="auto" w:fill="E1DFDD"/>
    </w:rPr>
  </w:style>
  <w:style w:type="character" w:styleId="FollowedHyperlink">
    <w:name w:val="FollowedHyperlink"/>
    <w:basedOn w:val="DefaultParagraphFont"/>
    <w:uiPriority w:val="99"/>
    <w:semiHidden/>
    <w:unhideWhenUsed/>
    <w:rsid w:val="00C123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ata.bls.gov/oes/%23/area/0600000" TargetMode="External" /><Relationship Id="rId5" Type="http://schemas.openxmlformats.org/officeDocument/2006/relationships/hyperlink" Target="https://www.commerce.gov/sites/default/files/2024-01/CAPS_rpStandard_2024.pdf" TargetMode="External" /><Relationship Id="rId6" Type="http://schemas.openxmlformats.org/officeDocument/2006/relationships/hyperlink" Target="http://www.gpo.gov/fdsys/pkg/CFR-2014-title5-vol3/pdf/CFR-2014-title5-vol3-sec1320-9.pdf" TargetMode="External" /><Relationship Id="rId7" Type="http://schemas.openxmlformats.org/officeDocument/2006/relationships/hyperlink" Target="http://www.gpo.gov/fdsys/pkg/CFR-2014-title5-vol3/pdf/CFR-2014-title5-vol3-sec1320-8.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10</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PRA TOOLS 2020</vt:lpstr>
    </vt:vector>
  </TitlesOfParts>
  <Company>NOAA Fisheries - HQ</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Adrienne.Thomas</cp:lastModifiedBy>
  <cp:revision>9</cp:revision>
  <dcterms:created xsi:type="dcterms:W3CDTF">2025-09-15T15:40:00Z</dcterms:created>
  <dcterms:modified xsi:type="dcterms:W3CDTF">2025-09-15T19:42:00Z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Acrobat PDFMaker 22 for Word</vt:lpwstr>
  </property>
  <property fmtid="{D5CDD505-2E9C-101B-9397-08002B2CF9AE}" pid="4" name="LastSaved">
    <vt:filetime>2022-05-31T00:00:00Z</vt:filetime>
  </property>
</Properties>
</file>