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680D" w14:paraId="00000001" w14:textId="77777777">
      <w:pPr>
        <w:pStyle w:val="Heading1"/>
        <w:ind w:left="0"/>
        <w:jc w:val="center"/>
      </w:pPr>
      <w:bookmarkStart w:id="0" w:name="_heading=h.gjdgxs" w:colFirst="0" w:colLast="0"/>
      <w:bookmarkEnd w:id="0"/>
      <w:r>
        <w:t>SUPPORTING STATEMENT</w:t>
      </w:r>
    </w:p>
    <w:p w:rsidR="006A680D" w14:paraId="00000002" w14:textId="77777777">
      <w:pPr>
        <w:spacing w:before="22" w:line="259" w:lineRule="auto"/>
        <w:ind w:firstLine="14"/>
        <w:jc w:val="center"/>
        <w:rPr>
          <w:b/>
        </w:rPr>
      </w:pPr>
      <w:r>
        <w:rPr>
          <w:b/>
        </w:rPr>
        <w:t>U.S. Department of Commerce</w:t>
      </w:r>
    </w:p>
    <w:p w:rsidR="006A680D" w14:paraId="00000003" w14:textId="77777777">
      <w:pPr>
        <w:spacing w:before="22" w:line="259" w:lineRule="auto"/>
        <w:ind w:firstLine="14"/>
        <w:jc w:val="center"/>
        <w:rPr>
          <w:b/>
        </w:rPr>
      </w:pPr>
      <w:r>
        <w:rPr>
          <w:b/>
        </w:rPr>
        <w:t>National Oceanic &amp; Atmospheric Administration</w:t>
      </w:r>
    </w:p>
    <w:p w:rsidR="006A680D" w14:paraId="00000004" w14:textId="77777777">
      <w:pPr>
        <w:widowControl w:val="0"/>
        <w:spacing w:line="259" w:lineRule="auto"/>
        <w:ind w:hanging="6"/>
        <w:jc w:val="center"/>
        <w:rPr>
          <w:b/>
        </w:rPr>
      </w:pPr>
      <w:r>
        <w:rPr>
          <w:b/>
        </w:rPr>
        <w:t>Using Quick Response Surveys to Build a Public Perception and Response Database</w:t>
      </w:r>
    </w:p>
    <w:p w:rsidR="006A680D" w14:paraId="00000005" w14:textId="77777777">
      <w:pPr>
        <w:spacing w:line="259" w:lineRule="auto"/>
        <w:ind w:hanging="6"/>
        <w:jc w:val="center"/>
        <w:rPr>
          <w:b/>
        </w:rPr>
      </w:pPr>
      <w:r>
        <w:rPr>
          <w:b/>
        </w:rPr>
        <w:t>OMB Control No. 0648-0805</w:t>
      </w:r>
    </w:p>
    <w:p w:rsidR="006A680D" w14:paraId="00000006" w14:textId="77777777">
      <w:pPr>
        <w:spacing w:before="80"/>
        <w:rPr>
          <w:b/>
        </w:rPr>
      </w:pPr>
    </w:p>
    <w:p w:rsidR="006A680D" w14:paraId="00000007" w14:textId="77777777">
      <w:pPr>
        <w:spacing w:before="80"/>
        <w:rPr>
          <w:b/>
        </w:rPr>
      </w:pPr>
      <w:r>
        <w:rPr>
          <w:b/>
        </w:rPr>
        <w:t xml:space="preserve">SUPPORTING STATEMENT PART B </w:t>
      </w:r>
    </w:p>
    <w:p w:rsidR="006A680D" w14:paraId="00000008" w14:textId="77777777">
      <w:pPr>
        <w:pBdr>
          <w:top w:val="nil"/>
          <w:left w:val="nil"/>
          <w:bottom w:val="nil"/>
          <w:right w:val="nil"/>
          <w:between w:val="nil"/>
        </w:pBdr>
        <w:rPr>
          <w:b/>
        </w:rPr>
      </w:pPr>
    </w:p>
    <w:p w:rsidR="006A680D" w14:paraId="00000009" w14:textId="77777777">
      <w:pPr>
        <w:pStyle w:val="Heading1"/>
        <w:tabs>
          <w:tab w:val="left" w:pos="360"/>
        </w:tabs>
        <w:spacing w:before="185"/>
        <w:ind w:left="0"/>
        <w:rPr>
          <w:b w:val="0"/>
        </w:rPr>
      </w:pPr>
      <w:r>
        <w:t xml:space="preserve">1. 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w:t>
      </w:r>
      <w:r>
        <w:t>the collection had been conducted previously, include the actual response rate achieved during the last collection.</w:t>
      </w:r>
    </w:p>
    <w:p w:rsidR="006A680D" w14:paraId="0000000A" w14:textId="77777777">
      <w:pPr>
        <w:spacing w:before="120" w:line="276" w:lineRule="auto"/>
      </w:pPr>
      <w:r>
        <w:t>The target population for the Quick Response Survey (QRS) is adults over 18 who have experienced a specific flash flood, tornado/high wind, or winter weather event. Fourteen National Weather Service (NWS) Weather Forecast Offices (WFOs) participated in Phase I and will continue to do so in Phase II. Phase II engages an additional 36 offices (Table 1) reaching a potential of 188,065,658 people. Surveys will be targeted to people residing in the counties impacted by a specific weather hazard. Respondents will</w:t>
      </w:r>
      <w:r>
        <w:t xml:space="preserve"> be surveyed 1 day to 4 weeks after a select severe or winter weather event occurs to limit recall bias by the respondent and provide the NWS with rapid results. </w:t>
      </w:r>
    </w:p>
    <w:p w:rsidR="006A680D" w14:paraId="0000000B" w14:textId="77777777">
      <w:pPr>
        <w:spacing w:before="160" w:line="276" w:lineRule="auto"/>
      </w:pPr>
      <w:r>
        <w:rPr>
          <w:b/>
        </w:rPr>
        <w:t>Table 1. Potential Respondent Universe</w:t>
      </w:r>
      <w:r>
        <w:br/>
      </w:r>
    </w:p>
    <w:tbl>
      <w:tblPr>
        <w:tblStyle w:val="ad"/>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3330"/>
        <w:gridCol w:w="1725"/>
        <w:gridCol w:w="1590"/>
        <w:gridCol w:w="1125"/>
        <w:gridCol w:w="1455"/>
      </w:tblGrid>
      <w:tr w14:paraId="122657CD" w14:textId="77777777">
        <w:tblPrEx>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Ex>
        <w:trPr>
          <w:trHeight w:val="460"/>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0C" w14:textId="77777777">
            <w:pPr>
              <w:spacing w:line="276" w:lineRule="auto"/>
              <w:rPr>
                <w:sz w:val="22"/>
                <w:szCs w:val="22"/>
              </w:rPr>
            </w:pPr>
            <w:r>
              <w:rPr>
                <w:b/>
                <w:sz w:val="22"/>
                <w:szCs w:val="22"/>
              </w:rPr>
              <w:t>City</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0D" w14:textId="77777777">
            <w:pPr>
              <w:spacing w:line="276" w:lineRule="auto"/>
              <w:rPr>
                <w:sz w:val="22"/>
                <w:szCs w:val="22"/>
              </w:rPr>
            </w:pPr>
            <w:r>
              <w:rPr>
                <w:b/>
                <w:sz w:val="22"/>
                <w:szCs w:val="22"/>
              </w:rPr>
              <w:t>State</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0E" w14:textId="77777777">
            <w:pPr>
              <w:spacing w:line="276" w:lineRule="auto"/>
              <w:rPr>
                <w:sz w:val="22"/>
                <w:szCs w:val="22"/>
              </w:rPr>
            </w:pPr>
            <w:r>
              <w:rPr>
                <w:b/>
                <w:sz w:val="22"/>
                <w:szCs w:val="22"/>
              </w:rPr>
              <w:t>WFO/CWA</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0F" w14:textId="77777777">
            <w:pPr>
              <w:spacing w:line="276" w:lineRule="auto"/>
              <w:rPr>
                <w:sz w:val="22"/>
                <w:szCs w:val="22"/>
              </w:rPr>
            </w:pPr>
            <w:r>
              <w:rPr>
                <w:b/>
                <w:sz w:val="22"/>
                <w:szCs w:val="22"/>
              </w:rPr>
              <w:t>Region</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10" w14:textId="77777777">
            <w:pPr>
              <w:spacing w:line="276" w:lineRule="auto"/>
              <w:jc w:val="right"/>
              <w:rPr>
                <w:sz w:val="22"/>
                <w:szCs w:val="22"/>
              </w:rPr>
            </w:pPr>
            <w:r>
              <w:rPr>
                <w:b/>
                <w:sz w:val="22"/>
                <w:szCs w:val="22"/>
              </w:rPr>
              <w:t>Population</w:t>
            </w:r>
          </w:p>
        </w:tc>
      </w:tr>
      <w:tr w14:paraId="64030992"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11" w14:textId="77777777">
            <w:pPr>
              <w:spacing w:line="276" w:lineRule="auto"/>
              <w:rPr>
                <w:sz w:val="22"/>
                <w:szCs w:val="22"/>
              </w:rPr>
            </w:pPr>
            <w:r>
              <w:rPr>
                <w:sz w:val="22"/>
                <w:szCs w:val="22"/>
              </w:rPr>
              <w:t>Albuquerque</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12" w14:textId="77777777">
            <w:pPr>
              <w:spacing w:line="276" w:lineRule="auto"/>
              <w:rPr>
                <w:sz w:val="22"/>
                <w:szCs w:val="22"/>
              </w:rPr>
            </w:pPr>
            <w:r>
              <w:rPr>
                <w:sz w:val="22"/>
                <w:szCs w:val="22"/>
              </w:rPr>
              <w:t>New Mexico</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13" w14:textId="77777777">
            <w:pPr>
              <w:spacing w:line="276" w:lineRule="auto"/>
              <w:rPr>
                <w:sz w:val="22"/>
                <w:szCs w:val="22"/>
              </w:rPr>
            </w:pPr>
            <w:r>
              <w:rPr>
                <w:sz w:val="22"/>
                <w:szCs w:val="22"/>
              </w:rPr>
              <w:t>ABQ</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14" w14:textId="77777777">
            <w:pPr>
              <w:spacing w:line="276" w:lineRule="auto"/>
              <w:rPr>
                <w:sz w:val="22"/>
                <w:szCs w:val="22"/>
              </w:rPr>
            </w:pPr>
            <w:r>
              <w:rPr>
                <w:sz w:val="22"/>
                <w:szCs w:val="22"/>
              </w:rPr>
              <w:t>Southern</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15" w14:textId="77777777">
            <w:pPr>
              <w:spacing w:line="276" w:lineRule="auto"/>
              <w:jc w:val="right"/>
              <w:rPr>
                <w:sz w:val="22"/>
                <w:szCs w:val="22"/>
              </w:rPr>
            </w:pPr>
            <w:r>
              <w:rPr>
                <w:sz w:val="22"/>
                <w:szCs w:val="22"/>
              </w:rPr>
              <w:t>1,621,716</w:t>
            </w:r>
          </w:p>
        </w:tc>
      </w:tr>
      <w:tr w14:paraId="6393056C"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16" w14:textId="77777777">
            <w:pPr>
              <w:spacing w:line="276" w:lineRule="auto"/>
              <w:rPr>
                <w:sz w:val="22"/>
                <w:szCs w:val="22"/>
              </w:rPr>
            </w:pPr>
            <w:r>
              <w:rPr>
                <w:sz w:val="22"/>
                <w:szCs w:val="22"/>
              </w:rPr>
              <w:t>Amarillo*</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17" w14:textId="77777777">
            <w:pPr>
              <w:spacing w:line="276" w:lineRule="auto"/>
              <w:rPr>
                <w:sz w:val="22"/>
                <w:szCs w:val="22"/>
              </w:rPr>
            </w:pPr>
            <w:r>
              <w:rPr>
                <w:sz w:val="22"/>
                <w:szCs w:val="22"/>
              </w:rPr>
              <w:t>Texas</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18" w14:textId="77777777">
            <w:pPr>
              <w:spacing w:line="276" w:lineRule="auto"/>
              <w:rPr>
                <w:sz w:val="22"/>
                <w:szCs w:val="22"/>
              </w:rPr>
            </w:pPr>
            <w:r>
              <w:rPr>
                <w:sz w:val="22"/>
                <w:szCs w:val="22"/>
              </w:rPr>
              <w:t>AMA</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19" w14:textId="77777777">
            <w:pPr>
              <w:spacing w:line="276" w:lineRule="auto"/>
              <w:rPr>
                <w:sz w:val="22"/>
                <w:szCs w:val="22"/>
              </w:rPr>
            </w:pPr>
            <w:r>
              <w:rPr>
                <w:sz w:val="22"/>
                <w:szCs w:val="22"/>
              </w:rPr>
              <w:t>Southern</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1A" w14:textId="77777777">
            <w:pPr>
              <w:spacing w:line="276" w:lineRule="auto"/>
              <w:jc w:val="right"/>
              <w:rPr>
                <w:sz w:val="22"/>
                <w:szCs w:val="22"/>
              </w:rPr>
            </w:pPr>
            <w:r>
              <w:rPr>
                <w:sz w:val="22"/>
                <w:szCs w:val="22"/>
              </w:rPr>
              <w:t>427,566</w:t>
            </w:r>
          </w:p>
        </w:tc>
      </w:tr>
      <w:tr w14:paraId="1A43E2D8"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1B" w14:textId="77777777">
            <w:pPr>
              <w:spacing w:line="276" w:lineRule="auto"/>
              <w:rPr>
                <w:sz w:val="22"/>
                <w:szCs w:val="22"/>
              </w:rPr>
            </w:pPr>
            <w:r>
              <w:rPr>
                <w:sz w:val="22"/>
                <w:szCs w:val="22"/>
              </w:rPr>
              <w:t>Austin/San Antonio</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1C" w14:textId="77777777">
            <w:pPr>
              <w:spacing w:line="276" w:lineRule="auto"/>
              <w:rPr>
                <w:sz w:val="22"/>
                <w:szCs w:val="22"/>
              </w:rPr>
            </w:pPr>
            <w:r>
              <w:rPr>
                <w:sz w:val="22"/>
                <w:szCs w:val="22"/>
              </w:rPr>
              <w:t>Texas</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1D" w14:textId="77777777">
            <w:pPr>
              <w:spacing w:line="276" w:lineRule="auto"/>
              <w:rPr>
                <w:sz w:val="22"/>
                <w:szCs w:val="22"/>
              </w:rPr>
            </w:pPr>
            <w:r>
              <w:rPr>
                <w:sz w:val="22"/>
                <w:szCs w:val="22"/>
              </w:rPr>
              <w:t>EWX</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1E" w14:textId="77777777">
            <w:pPr>
              <w:spacing w:line="276" w:lineRule="auto"/>
              <w:rPr>
                <w:sz w:val="22"/>
                <w:szCs w:val="22"/>
              </w:rPr>
            </w:pPr>
            <w:r>
              <w:rPr>
                <w:sz w:val="22"/>
                <w:szCs w:val="22"/>
              </w:rPr>
              <w:t>Southern</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1F" w14:textId="77777777">
            <w:pPr>
              <w:spacing w:line="276" w:lineRule="auto"/>
              <w:jc w:val="right"/>
              <w:rPr>
                <w:sz w:val="22"/>
                <w:szCs w:val="22"/>
              </w:rPr>
            </w:pPr>
            <w:r>
              <w:rPr>
                <w:sz w:val="22"/>
                <w:szCs w:val="22"/>
              </w:rPr>
              <w:t>5,426,844</w:t>
            </w:r>
          </w:p>
        </w:tc>
      </w:tr>
      <w:tr w14:paraId="39622D72"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20" w14:textId="77777777">
            <w:pPr>
              <w:spacing w:line="276" w:lineRule="auto"/>
              <w:rPr>
                <w:sz w:val="22"/>
                <w:szCs w:val="22"/>
              </w:rPr>
            </w:pPr>
            <w:r>
              <w:rPr>
                <w:sz w:val="22"/>
                <w:szCs w:val="22"/>
              </w:rPr>
              <w:t>Birmingham</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21" w14:textId="77777777">
            <w:pPr>
              <w:spacing w:line="276" w:lineRule="auto"/>
              <w:rPr>
                <w:sz w:val="22"/>
                <w:szCs w:val="22"/>
              </w:rPr>
            </w:pPr>
            <w:r>
              <w:rPr>
                <w:sz w:val="22"/>
                <w:szCs w:val="22"/>
              </w:rPr>
              <w:t>Alabama</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22" w14:textId="77777777">
            <w:pPr>
              <w:spacing w:line="276" w:lineRule="auto"/>
              <w:rPr>
                <w:sz w:val="22"/>
                <w:szCs w:val="22"/>
              </w:rPr>
            </w:pPr>
            <w:r>
              <w:rPr>
                <w:sz w:val="22"/>
                <w:szCs w:val="22"/>
              </w:rPr>
              <w:t>BMX</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23" w14:textId="77777777">
            <w:pPr>
              <w:spacing w:line="276" w:lineRule="auto"/>
              <w:rPr>
                <w:sz w:val="22"/>
                <w:szCs w:val="22"/>
              </w:rPr>
            </w:pPr>
            <w:r>
              <w:rPr>
                <w:sz w:val="22"/>
                <w:szCs w:val="22"/>
              </w:rPr>
              <w:t>Southern</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24" w14:textId="77777777">
            <w:pPr>
              <w:spacing w:line="276" w:lineRule="auto"/>
              <w:jc w:val="right"/>
              <w:rPr>
                <w:sz w:val="22"/>
                <w:szCs w:val="22"/>
              </w:rPr>
            </w:pPr>
            <w:r>
              <w:rPr>
                <w:sz w:val="22"/>
                <w:szCs w:val="22"/>
              </w:rPr>
              <w:t>2,788,108</w:t>
            </w:r>
          </w:p>
        </w:tc>
      </w:tr>
      <w:tr w14:paraId="06763201"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25" w14:textId="77777777">
            <w:pPr>
              <w:spacing w:line="276" w:lineRule="auto"/>
              <w:rPr>
                <w:sz w:val="22"/>
                <w:szCs w:val="22"/>
              </w:rPr>
            </w:pPr>
            <w:r>
              <w:rPr>
                <w:sz w:val="22"/>
                <w:szCs w:val="22"/>
              </w:rPr>
              <w:t>Blacksburg</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26" w14:textId="77777777">
            <w:pPr>
              <w:spacing w:line="276" w:lineRule="auto"/>
              <w:rPr>
                <w:sz w:val="22"/>
                <w:szCs w:val="22"/>
              </w:rPr>
            </w:pPr>
            <w:r>
              <w:rPr>
                <w:sz w:val="22"/>
                <w:szCs w:val="22"/>
              </w:rPr>
              <w:t>Virginia</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27" w14:textId="77777777">
            <w:pPr>
              <w:spacing w:line="276" w:lineRule="auto"/>
              <w:rPr>
                <w:sz w:val="22"/>
                <w:szCs w:val="22"/>
              </w:rPr>
            </w:pPr>
            <w:r>
              <w:rPr>
                <w:sz w:val="22"/>
                <w:szCs w:val="22"/>
              </w:rPr>
              <w:t>RNK</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28" w14:textId="77777777">
            <w:pPr>
              <w:spacing w:line="276" w:lineRule="auto"/>
              <w:rPr>
                <w:sz w:val="22"/>
                <w:szCs w:val="22"/>
              </w:rPr>
            </w:pPr>
            <w:r>
              <w:rPr>
                <w:sz w:val="22"/>
                <w:szCs w:val="22"/>
              </w:rPr>
              <w:t>Eastern</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29" w14:textId="77777777">
            <w:pPr>
              <w:spacing w:line="276" w:lineRule="auto"/>
              <w:jc w:val="right"/>
              <w:rPr>
                <w:sz w:val="22"/>
                <w:szCs w:val="22"/>
              </w:rPr>
            </w:pPr>
            <w:r>
              <w:rPr>
                <w:sz w:val="22"/>
                <w:szCs w:val="22"/>
              </w:rPr>
              <w:t>1,764,086</w:t>
            </w:r>
          </w:p>
        </w:tc>
      </w:tr>
      <w:tr w14:paraId="7F68FDB1"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2A" w14:textId="77777777">
            <w:pPr>
              <w:spacing w:line="276" w:lineRule="auto"/>
              <w:rPr>
                <w:sz w:val="22"/>
                <w:szCs w:val="22"/>
              </w:rPr>
            </w:pPr>
            <w:r>
              <w:rPr>
                <w:sz w:val="22"/>
                <w:szCs w:val="22"/>
              </w:rPr>
              <w:t>Burlington*</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2B" w14:textId="77777777">
            <w:pPr>
              <w:spacing w:line="276" w:lineRule="auto"/>
              <w:rPr>
                <w:sz w:val="22"/>
                <w:szCs w:val="22"/>
              </w:rPr>
            </w:pPr>
            <w:r>
              <w:rPr>
                <w:sz w:val="22"/>
                <w:szCs w:val="22"/>
              </w:rPr>
              <w:t>Vermont</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2C" w14:textId="77777777">
            <w:pPr>
              <w:spacing w:line="276" w:lineRule="auto"/>
              <w:rPr>
                <w:sz w:val="22"/>
                <w:szCs w:val="22"/>
              </w:rPr>
            </w:pPr>
            <w:r>
              <w:rPr>
                <w:sz w:val="22"/>
                <w:szCs w:val="22"/>
              </w:rPr>
              <w:t>BTV</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2D" w14:textId="77777777">
            <w:pPr>
              <w:spacing w:line="276" w:lineRule="auto"/>
              <w:rPr>
                <w:sz w:val="22"/>
                <w:szCs w:val="22"/>
              </w:rPr>
            </w:pPr>
            <w:r>
              <w:rPr>
                <w:sz w:val="22"/>
                <w:szCs w:val="22"/>
              </w:rPr>
              <w:t>Eastern</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2E" w14:textId="77777777">
            <w:pPr>
              <w:spacing w:line="276" w:lineRule="auto"/>
              <w:jc w:val="right"/>
              <w:rPr>
                <w:sz w:val="22"/>
                <w:szCs w:val="22"/>
              </w:rPr>
            </w:pPr>
            <w:r>
              <w:rPr>
                <w:sz w:val="22"/>
                <w:szCs w:val="22"/>
              </w:rPr>
              <w:t>832,929</w:t>
            </w:r>
          </w:p>
        </w:tc>
      </w:tr>
      <w:tr w14:paraId="79D96B61"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2F" w14:textId="77777777">
            <w:pPr>
              <w:spacing w:line="276" w:lineRule="auto"/>
              <w:rPr>
                <w:sz w:val="22"/>
                <w:szCs w:val="22"/>
              </w:rPr>
            </w:pPr>
            <w:r>
              <w:rPr>
                <w:sz w:val="22"/>
                <w:szCs w:val="22"/>
              </w:rPr>
              <w:t>Chicago</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30" w14:textId="77777777">
            <w:pPr>
              <w:spacing w:line="276" w:lineRule="auto"/>
              <w:rPr>
                <w:sz w:val="22"/>
                <w:szCs w:val="22"/>
              </w:rPr>
            </w:pPr>
            <w:r>
              <w:rPr>
                <w:sz w:val="22"/>
                <w:szCs w:val="22"/>
              </w:rPr>
              <w:t>Illinois</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31" w14:textId="77777777">
            <w:pPr>
              <w:spacing w:line="276" w:lineRule="auto"/>
              <w:rPr>
                <w:sz w:val="22"/>
                <w:szCs w:val="22"/>
              </w:rPr>
            </w:pPr>
            <w:r>
              <w:rPr>
                <w:sz w:val="22"/>
                <w:szCs w:val="22"/>
              </w:rPr>
              <w:t>LOT</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32" w14:textId="77777777">
            <w:pPr>
              <w:spacing w:line="276" w:lineRule="auto"/>
              <w:rPr>
                <w:sz w:val="22"/>
                <w:szCs w:val="22"/>
              </w:rPr>
            </w:pPr>
            <w:r>
              <w:rPr>
                <w:sz w:val="22"/>
                <w:szCs w:val="22"/>
              </w:rPr>
              <w:t>Central</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33" w14:textId="77777777">
            <w:pPr>
              <w:spacing w:line="276" w:lineRule="auto"/>
              <w:jc w:val="right"/>
              <w:rPr>
                <w:sz w:val="22"/>
                <w:szCs w:val="22"/>
              </w:rPr>
            </w:pPr>
            <w:r>
              <w:rPr>
                <w:sz w:val="22"/>
                <w:szCs w:val="22"/>
              </w:rPr>
              <w:t>10,082,145</w:t>
            </w:r>
          </w:p>
        </w:tc>
      </w:tr>
      <w:tr w14:paraId="24F960A6"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34" w14:textId="77777777">
            <w:pPr>
              <w:spacing w:line="276" w:lineRule="auto"/>
              <w:rPr>
                <w:sz w:val="22"/>
                <w:szCs w:val="22"/>
              </w:rPr>
            </w:pPr>
            <w:r>
              <w:rPr>
                <w:sz w:val="22"/>
                <w:szCs w:val="22"/>
              </w:rPr>
              <w:t>Denver</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35" w14:textId="77777777">
            <w:pPr>
              <w:spacing w:line="276" w:lineRule="auto"/>
              <w:rPr>
                <w:sz w:val="22"/>
                <w:szCs w:val="22"/>
              </w:rPr>
            </w:pPr>
            <w:r>
              <w:rPr>
                <w:sz w:val="22"/>
                <w:szCs w:val="22"/>
              </w:rPr>
              <w:t>Colorado</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36" w14:textId="77777777">
            <w:pPr>
              <w:spacing w:line="276" w:lineRule="auto"/>
              <w:rPr>
                <w:sz w:val="22"/>
                <w:szCs w:val="22"/>
              </w:rPr>
            </w:pPr>
            <w:r>
              <w:rPr>
                <w:sz w:val="22"/>
                <w:szCs w:val="22"/>
              </w:rPr>
              <w:t>BOU</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37" w14:textId="77777777">
            <w:pPr>
              <w:spacing w:line="276" w:lineRule="auto"/>
              <w:rPr>
                <w:sz w:val="22"/>
                <w:szCs w:val="22"/>
              </w:rPr>
            </w:pPr>
            <w:r>
              <w:rPr>
                <w:sz w:val="22"/>
                <w:szCs w:val="22"/>
              </w:rPr>
              <w:t>Central</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38" w14:textId="77777777">
            <w:pPr>
              <w:spacing w:line="276" w:lineRule="auto"/>
              <w:jc w:val="right"/>
              <w:rPr>
                <w:sz w:val="22"/>
                <w:szCs w:val="22"/>
              </w:rPr>
            </w:pPr>
            <w:r>
              <w:rPr>
                <w:sz w:val="22"/>
                <w:szCs w:val="22"/>
              </w:rPr>
              <w:t>4,125,237</w:t>
            </w:r>
          </w:p>
        </w:tc>
      </w:tr>
      <w:tr w14:paraId="0DFD9640"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39" w14:textId="77777777">
            <w:pPr>
              <w:spacing w:line="276" w:lineRule="auto"/>
              <w:rPr>
                <w:sz w:val="22"/>
                <w:szCs w:val="22"/>
              </w:rPr>
            </w:pPr>
            <w:r>
              <w:rPr>
                <w:sz w:val="22"/>
                <w:szCs w:val="22"/>
              </w:rPr>
              <w:t>Fort Worth*</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3A" w14:textId="77777777">
            <w:pPr>
              <w:spacing w:line="276" w:lineRule="auto"/>
              <w:rPr>
                <w:sz w:val="22"/>
                <w:szCs w:val="22"/>
              </w:rPr>
            </w:pPr>
            <w:r>
              <w:rPr>
                <w:sz w:val="22"/>
                <w:szCs w:val="22"/>
              </w:rPr>
              <w:t>Texas</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3B" w14:textId="77777777">
            <w:pPr>
              <w:spacing w:line="276" w:lineRule="auto"/>
              <w:rPr>
                <w:sz w:val="22"/>
                <w:szCs w:val="22"/>
              </w:rPr>
            </w:pPr>
            <w:r>
              <w:rPr>
                <w:sz w:val="22"/>
                <w:szCs w:val="22"/>
              </w:rPr>
              <w:t>FWD</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3C" w14:textId="77777777">
            <w:pPr>
              <w:spacing w:line="276" w:lineRule="auto"/>
              <w:rPr>
                <w:sz w:val="22"/>
                <w:szCs w:val="22"/>
              </w:rPr>
            </w:pPr>
            <w:r>
              <w:rPr>
                <w:sz w:val="22"/>
                <w:szCs w:val="22"/>
              </w:rPr>
              <w:t>Southern</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3D" w14:textId="77777777">
            <w:pPr>
              <w:spacing w:line="276" w:lineRule="auto"/>
              <w:jc w:val="right"/>
              <w:rPr>
                <w:sz w:val="22"/>
                <w:szCs w:val="22"/>
              </w:rPr>
            </w:pPr>
            <w:r>
              <w:rPr>
                <w:sz w:val="22"/>
                <w:szCs w:val="22"/>
              </w:rPr>
              <w:t>9,557,527</w:t>
            </w:r>
          </w:p>
        </w:tc>
      </w:tr>
      <w:tr w14:paraId="5479D5D6"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3E" w14:textId="77777777">
            <w:pPr>
              <w:spacing w:line="276" w:lineRule="auto"/>
              <w:rPr>
                <w:sz w:val="22"/>
                <w:szCs w:val="22"/>
              </w:rPr>
            </w:pPr>
            <w:r>
              <w:rPr>
                <w:sz w:val="22"/>
                <w:szCs w:val="22"/>
              </w:rPr>
              <w:t>Honolulu</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3F" w14:textId="77777777">
            <w:pPr>
              <w:spacing w:line="276" w:lineRule="auto"/>
              <w:rPr>
                <w:sz w:val="22"/>
                <w:szCs w:val="22"/>
              </w:rPr>
            </w:pPr>
            <w:r>
              <w:rPr>
                <w:sz w:val="22"/>
                <w:szCs w:val="22"/>
              </w:rPr>
              <w:t>Hawaii</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40" w14:textId="77777777">
            <w:pPr>
              <w:spacing w:line="276" w:lineRule="auto"/>
              <w:rPr>
                <w:sz w:val="22"/>
                <w:szCs w:val="22"/>
              </w:rPr>
            </w:pPr>
            <w:r>
              <w:rPr>
                <w:sz w:val="22"/>
                <w:szCs w:val="22"/>
              </w:rPr>
              <w:t>HFO</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41" w14:textId="77777777">
            <w:pPr>
              <w:spacing w:line="276" w:lineRule="auto"/>
              <w:rPr>
                <w:sz w:val="22"/>
                <w:szCs w:val="22"/>
              </w:rPr>
            </w:pPr>
            <w:r>
              <w:rPr>
                <w:sz w:val="22"/>
                <w:szCs w:val="22"/>
              </w:rPr>
              <w:t>Pacific</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42" w14:textId="77777777">
            <w:pPr>
              <w:spacing w:line="276" w:lineRule="auto"/>
              <w:jc w:val="right"/>
              <w:rPr>
                <w:sz w:val="22"/>
                <w:szCs w:val="22"/>
              </w:rPr>
            </w:pPr>
            <w:r>
              <w:rPr>
                <w:sz w:val="22"/>
                <w:szCs w:val="22"/>
              </w:rPr>
              <w:t>1,445,592</w:t>
            </w:r>
          </w:p>
        </w:tc>
      </w:tr>
      <w:tr w14:paraId="610D629C"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43" w14:textId="77777777">
            <w:pPr>
              <w:spacing w:line="276" w:lineRule="auto"/>
              <w:rPr>
                <w:sz w:val="22"/>
                <w:szCs w:val="22"/>
              </w:rPr>
            </w:pPr>
            <w:r>
              <w:rPr>
                <w:sz w:val="22"/>
                <w:szCs w:val="22"/>
              </w:rPr>
              <w:t>Houston/Galveston</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44" w14:textId="77777777">
            <w:pPr>
              <w:spacing w:line="276" w:lineRule="auto"/>
              <w:rPr>
                <w:sz w:val="22"/>
                <w:szCs w:val="22"/>
              </w:rPr>
            </w:pPr>
            <w:r>
              <w:rPr>
                <w:sz w:val="22"/>
                <w:szCs w:val="22"/>
              </w:rPr>
              <w:t>Texas</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45" w14:textId="77777777">
            <w:pPr>
              <w:spacing w:line="276" w:lineRule="auto"/>
              <w:rPr>
                <w:sz w:val="22"/>
                <w:szCs w:val="22"/>
              </w:rPr>
            </w:pPr>
            <w:r>
              <w:rPr>
                <w:sz w:val="22"/>
                <w:szCs w:val="22"/>
              </w:rPr>
              <w:t>HGX</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46" w14:textId="77777777">
            <w:pPr>
              <w:spacing w:line="276" w:lineRule="auto"/>
              <w:rPr>
                <w:sz w:val="22"/>
                <w:szCs w:val="22"/>
              </w:rPr>
            </w:pPr>
            <w:r>
              <w:rPr>
                <w:sz w:val="22"/>
                <w:szCs w:val="22"/>
              </w:rPr>
              <w:t>Southern</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47" w14:textId="77777777">
            <w:pPr>
              <w:spacing w:line="276" w:lineRule="auto"/>
              <w:jc w:val="right"/>
              <w:rPr>
                <w:sz w:val="22"/>
                <w:szCs w:val="22"/>
              </w:rPr>
            </w:pPr>
            <w:r>
              <w:rPr>
                <w:sz w:val="22"/>
                <w:szCs w:val="22"/>
              </w:rPr>
              <w:t>7,890,842</w:t>
            </w:r>
          </w:p>
        </w:tc>
      </w:tr>
      <w:tr w14:paraId="598CDBC7"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48" w14:textId="77777777">
            <w:pPr>
              <w:spacing w:line="276" w:lineRule="auto"/>
              <w:rPr>
                <w:sz w:val="22"/>
                <w:szCs w:val="22"/>
              </w:rPr>
            </w:pPr>
            <w:r>
              <w:rPr>
                <w:sz w:val="22"/>
                <w:szCs w:val="22"/>
              </w:rPr>
              <w:t>Jackson</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49" w14:textId="77777777">
            <w:pPr>
              <w:spacing w:line="276" w:lineRule="auto"/>
              <w:rPr>
                <w:sz w:val="22"/>
                <w:szCs w:val="22"/>
              </w:rPr>
            </w:pPr>
            <w:r>
              <w:rPr>
                <w:sz w:val="22"/>
                <w:szCs w:val="22"/>
              </w:rPr>
              <w:t>Mississippi</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4A" w14:textId="77777777">
            <w:pPr>
              <w:spacing w:line="276" w:lineRule="auto"/>
              <w:rPr>
                <w:sz w:val="22"/>
                <w:szCs w:val="22"/>
              </w:rPr>
            </w:pPr>
            <w:r>
              <w:rPr>
                <w:sz w:val="22"/>
                <w:szCs w:val="22"/>
              </w:rPr>
              <w:t>JAN</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4B" w14:textId="77777777">
            <w:pPr>
              <w:spacing w:line="276" w:lineRule="auto"/>
              <w:rPr>
                <w:sz w:val="22"/>
                <w:szCs w:val="22"/>
              </w:rPr>
            </w:pPr>
            <w:r>
              <w:rPr>
                <w:sz w:val="22"/>
                <w:szCs w:val="22"/>
              </w:rPr>
              <w:t>Southern</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4C" w14:textId="77777777">
            <w:pPr>
              <w:spacing w:line="276" w:lineRule="auto"/>
              <w:jc w:val="right"/>
              <w:rPr>
                <w:sz w:val="22"/>
                <w:szCs w:val="22"/>
              </w:rPr>
            </w:pPr>
            <w:r>
              <w:rPr>
                <w:sz w:val="22"/>
                <w:szCs w:val="22"/>
              </w:rPr>
              <w:t>1,743,191</w:t>
            </w:r>
          </w:p>
        </w:tc>
      </w:tr>
      <w:tr w14:paraId="0BD84AB8"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4D" w14:textId="77777777">
            <w:pPr>
              <w:spacing w:line="276" w:lineRule="auto"/>
              <w:rPr>
                <w:sz w:val="22"/>
                <w:szCs w:val="22"/>
              </w:rPr>
            </w:pPr>
            <w:r>
              <w:rPr>
                <w:sz w:val="22"/>
                <w:szCs w:val="22"/>
              </w:rPr>
              <w:t>Kansas City/Pleasant Hill</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4E" w14:textId="77777777">
            <w:pPr>
              <w:spacing w:line="276" w:lineRule="auto"/>
              <w:rPr>
                <w:sz w:val="22"/>
                <w:szCs w:val="22"/>
              </w:rPr>
            </w:pPr>
            <w:r>
              <w:rPr>
                <w:sz w:val="22"/>
                <w:szCs w:val="22"/>
              </w:rPr>
              <w:t>Missouri</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4F" w14:textId="77777777">
            <w:pPr>
              <w:spacing w:line="276" w:lineRule="auto"/>
              <w:rPr>
                <w:sz w:val="22"/>
                <w:szCs w:val="22"/>
              </w:rPr>
            </w:pPr>
            <w:r>
              <w:rPr>
                <w:sz w:val="22"/>
                <w:szCs w:val="22"/>
              </w:rPr>
              <w:t>EAX</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50" w14:textId="77777777">
            <w:pPr>
              <w:spacing w:line="276" w:lineRule="auto"/>
              <w:rPr>
                <w:sz w:val="22"/>
                <w:szCs w:val="22"/>
              </w:rPr>
            </w:pPr>
            <w:r>
              <w:rPr>
                <w:sz w:val="22"/>
                <w:szCs w:val="22"/>
              </w:rPr>
              <w:t>Central</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51" w14:textId="77777777">
            <w:pPr>
              <w:spacing w:line="276" w:lineRule="auto"/>
              <w:jc w:val="right"/>
              <w:rPr>
                <w:sz w:val="22"/>
                <w:szCs w:val="22"/>
              </w:rPr>
            </w:pPr>
            <w:r>
              <w:rPr>
                <w:sz w:val="22"/>
                <w:szCs w:val="22"/>
              </w:rPr>
              <w:t>2,698,866</w:t>
            </w:r>
          </w:p>
        </w:tc>
      </w:tr>
      <w:tr w14:paraId="03B73E21"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52" w14:textId="77777777">
            <w:pPr>
              <w:spacing w:line="276" w:lineRule="auto"/>
              <w:rPr>
                <w:sz w:val="22"/>
                <w:szCs w:val="22"/>
              </w:rPr>
            </w:pPr>
            <w:r>
              <w:rPr>
                <w:sz w:val="22"/>
                <w:szCs w:val="22"/>
              </w:rPr>
              <w:t>Las Vegas</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53" w14:textId="77777777">
            <w:pPr>
              <w:spacing w:line="276" w:lineRule="auto"/>
              <w:rPr>
                <w:sz w:val="22"/>
                <w:szCs w:val="22"/>
              </w:rPr>
            </w:pPr>
            <w:r>
              <w:rPr>
                <w:sz w:val="22"/>
                <w:szCs w:val="22"/>
              </w:rPr>
              <w:t>Nevada</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54" w14:textId="77777777">
            <w:pPr>
              <w:spacing w:line="276" w:lineRule="auto"/>
              <w:rPr>
                <w:sz w:val="22"/>
                <w:szCs w:val="22"/>
              </w:rPr>
            </w:pPr>
            <w:r>
              <w:rPr>
                <w:sz w:val="22"/>
                <w:szCs w:val="22"/>
              </w:rPr>
              <w:t>VEF</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55" w14:textId="77777777">
            <w:pPr>
              <w:spacing w:line="276" w:lineRule="auto"/>
              <w:rPr>
                <w:sz w:val="22"/>
                <w:szCs w:val="22"/>
              </w:rPr>
            </w:pPr>
            <w:r>
              <w:rPr>
                <w:sz w:val="22"/>
                <w:szCs w:val="22"/>
              </w:rPr>
              <w:t>Western</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56" w14:textId="77777777">
            <w:pPr>
              <w:spacing w:line="276" w:lineRule="auto"/>
              <w:jc w:val="right"/>
              <w:rPr>
                <w:sz w:val="22"/>
                <w:szCs w:val="22"/>
              </w:rPr>
            </w:pPr>
            <w:r>
              <w:rPr>
                <w:sz w:val="22"/>
                <w:szCs w:val="22"/>
              </w:rPr>
              <w:t>2,535,401</w:t>
            </w:r>
          </w:p>
        </w:tc>
      </w:tr>
      <w:tr w14:paraId="27D71DD4"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57" w14:textId="77777777">
            <w:pPr>
              <w:spacing w:line="276" w:lineRule="auto"/>
              <w:rPr>
                <w:sz w:val="22"/>
                <w:szCs w:val="22"/>
              </w:rPr>
            </w:pPr>
            <w:r>
              <w:rPr>
                <w:sz w:val="22"/>
                <w:szCs w:val="22"/>
              </w:rPr>
              <w:t>Little Rock*</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58" w14:textId="77777777">
            <w:pPr>
              <w:spacing w:line="276" w:lineRule="auto"/>
              <w:rPr>
                <w:sz w:val="22"/>
                <w:szCs w:val="22"/>
              </w:rPr>
            </w:pPr>
            <w:r>
              <w:rPr>
                <w:sz w:val="22"/>
                <w:szCs w:val="22"/>
              </w:rPr>
              <w:t>Arkansas</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59" w14:textId="77777777">
            <w:pPr>
              <w:spacing w:line="276" w:lineRule="auto"/>
              <w:rPr>
                <w:sz w:val="22"/>
                <w:szCs w:val="22"/>
              </w:rPr>
            </w:pPr>
            <w:r>
              <w:rPr>
                <w:sz w:val="22"/>
                <w:szCs w:val="22"/>
              </w:rPr>
              <w:t>LZK</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5A" w14:textId="77777777">
            <w:pPr>
              <w:spacing w:line="276" w:lineRule="auto"/>
              <w:rPr>
                <w:sz w:val="22"/>
                <w:szCs w:val="22"/>
              </w:rPr>
            </w:pPr>
            <w:r>
              <w:rPr>
                <w:sz w:val="22"/>
                <w:szCs w:val="22"/>
              </w:rPr>
              <w:t>Southern</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5B" w14:textId="77777777">
            <w:pPr>
              <w:spacing w:line="276" w:lineRule="auto"/>
              <w:jc w:val="right"/>
              <w:rPr>
                <w:sz w:val="22"/>
                <w:szCs w:val="22"/>
              </w:rPr>
            </w:pPr>
            <w:r>
              <w:rPr>
                <w:sz w:val="22"/>
                <w:szCs w:val="22"/>
              </w:rPr>
              <w:t>1,680,735</w:t>
            </w:r>
          </w:p>
        </w:tc>
      </w:tr>
      <w:tr w14:paraId="02A01D72"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5C" w14:textId="77777777">
            <w:pPr>
              <w:spacing w:line="276" w:lineRule="auto"/>
              <w:rPr>
                <w:sz w:val="22"/>
                <w:szCs w:val="22"/>
              </w:rPr>
            </w:pPr>
            <w:r>
              <w:rPr>
                <w:sz w:val="22"/>
                <w:szCs w:val="22"/>
              </w:rPr>
              <w:t>Mobile</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5D" w14:textId="77777777">
            <w:pPr>
              <w:spacing w:line="276" w:lineRule="auto"/>
              <w:rPr>
                <w:sz w:val="22"/>
                <w:szCs w:val="22"/>
              </w:rPr>
            </w:pPr>
            <w:r>
              <w:rPr>
                <w:sz w:val="22"/>
                <w:szCs w:val="22"/>
              </w:rPr>
              <w:t>Alabama</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5E" w14:textId="77777777">
            <w:pPr>
              <w:spacing w:line="276" w:lineRule="auto"/>
              <w:rPr>
                <w:sz w:val="22"/>
                <w:szCs w:val="22"/>
              </w:rPr>
            </w:pPr>
            <w:r>
              <w:rPr>
                <w:sz w:val="22"/>
                <w:szCs w:val="22"/>
              </w:rPr>
              <w:t>MOB</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5F" w14:textId="77777777">
            <w:pPr>
              <w:spacing w:line="276" w:lineRule="auto"/>
              <w:rPr>
                <w:sz w:val="22"/>
                <w:szCs w:val="22"/>
              </w:rPr>
            </w:pPr>
            <w:r>
              <w:rPr>
                <w:sz w:val="22"/>
                <w:szCs w:val="22"/>
              </w:rPr>
              <w:t>Southern</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60" w14:textId="77777777">
            <w:pPr>
              <w:spacing w:line="276" w:lineRule="auto"/>
              <w:jc w:val="right"/>
              <w:rPr>
                <w:sz w:val="22"/>
                <w:szCs w:val="22"/>
              </w:rPr>
            </w:pPr>
            <w:r>
              <w:rPr>
                <w:sz w:val="22"/>
                <w:szCs w:val="22"/>
              </w:rPr>
              <w:t>1,670,748</w:t>
            </w:r>
          </w:p>
        </w:tc>
      </w:tr>
      <w:tr w14:paraId="53964035"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61" w14:textId="77777777">
            <w:pPr>
              <w:spacing w:line="276" w:lineRule="auto"/>
              <w:rPr>
                <w:sz w:val="22"/>
                <w:szCs w:val="22"/>
              </w:rPr>
            </w:pPr>
            <w:r>
              <w:rPr>
                <w:sz w:val="22"/>
                <w:szCs w:val="22"/>
              </w:rPr>
              <w:t>Mount Holly*</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62" w14:textId="77777777">
            <w:pPr>
              <w:spacing w:line="276" w:lineRule="auto"/>
              <w:rPr>
                <w:sz w:val="22"/>
                <w:szCs w:val="22"/>
              </w:rPr>
            </w:pPr>
            <w:r>
              <w:rPr>
                <w:sz w:val="22"/>
                <w:szCs w:val="22"/>
              </w:rPr>
              <w:t>New Jersey</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63" w14:textId="77777777">
            <w:pPr>
              <w:spacing w:line="276" w:lineRule="auto"/>
              <w:rPr>
                <w:sz w:val="22"/>
                <w:szCs w:val="22"/>
              </w:rPr>
            </w:pPr>
            <w:r>
              <w:rPr>
                <w:sz w:val="22"/>
                <w:szCs w:val="22"/>
              </w:rPr>
              <w:t>PHI</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64" w14:textId="77777777">
            <w:pPr>
              <w:spacing w:line="276" w:lineRule="auto"/>
              <w:rPr>
                <w:sz w:val="22"/>
                <w:szCs w:val="22"/>
              </w:rPr>
            </w:pPr>
            <w:r>
              <w:rPr>
                <w:sz w:val="22"/>
                <w:szCs w:val="22"/>
              </w:rPr>
              <w:t>Eastern</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65" w14:textId="77777777">
            <w:pPr>
              <w:spacing w:line="276" w:lineRule="auto"/>
              <w:jc w:val="right"/>
              <w:rPr>
                <w:sz w:val="22"/>
                <w:szCs w:val="22"/>
              </w:rPr>
            </w:pPr>
            <w:r>
              <w:rPr>
                <w:sz w:val="22"/>
                <w:szCs w:val="22"/>
              </w:rPr>
              <w:t>12,365,092</w:t>
            </w:r>
          </w:p>
        </w:tc>
      </w:tr>
      <w:tr w14:paraId="462A0806"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66" w14:textId="77777777">
            <w:pPr>
              <w:spacing w:line="276" w:lineRule="auto"/>
              <w:rPr>
                <w:sz w:val="22"/>
                <w:szCs w:val="22"/>
              </w:rPr>
            </w:pPr>
            <w:r>
              <w:rPr>
                <w:sz w:val="22"/>
                <w:szCs w:val="22"/>
              </w:rPr>
              <w:t>Nashville*</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67" w14:textId="77777777">
            <w:pPr>
              <w:spacing w:line="276" w:lineRule="auto"/>
              <w:rPr>
                <w:sz w:val="22"/>
                <w:szCs w:val="22"/>
              </w:rPr>
            </w:pPr>
            <w:r>
              <w:rPr>
                <w:sz w:val="22"/>
                <w:szCs w:val="22"/>
              </w:rPr>
              <w:t>Tennessee</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68" w14:textId="77777777">
            <w:pPr>
              <w:spacing w:line="276" w:lineRule="auto"/>
              <w:rPr>
                <w:sz w:val="22"/>
                <w:szCs w:val="22"/>
              </w:rPr>
            </w:pPr>
            <w:r>
              <w:rPr>
                <w:sz w:val="22"/>
                <w:szCs w:val="22"/>
              </w:rPr>
              <w:t>OHX</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69" w14:textId="77777777">
            <w:pPr>
              <w:spacing w:line="276" w:lineRule="auto"/>
              <w:rPr>
                <w:sz w:val="22"/>
                <w:szCs w:val="22"/>
              </w:rPr>
            </w:pPr>
            <w:r>
              <w:rPr>
                <w:sz w:val="22"/>
                <w:szCs w:val="22"/>
              </w:rPr>
              <w:t>Southern</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6A" w14:textId="77777777">
            <w:pPr>
              <w:spacing w:line="276" w:lineRule="auto"/>
              <w:jc w:val="right"/>
              <w:rPr>
                <w:sz w:val="22"/>
                <w:szCs w:val="22"/>
              </w:rPr>
            </w:pPr>
            <w:r>
              <w:rPr>
                <w:sz w:val="22"/>
                <w:szCs w:val="22"/>
              </w:rPr>
              <w:t>2,891,417</w:t>
            </w:r>
          </w:p>
        </w:tc>
      </w:tr>
      <w:tr w14:paraId="5582A5B2"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6B" w14:textId="77777777">
            <w:pPr>
              <w:spacing w:line="276" w:lineRule="auto"/>
              <w:rPr>
                <w:sz w:val="22"/>
                <w:szCs w:val="22"/>
              </w:rPr>
            </w:pPr>
            <w:r>
              <w:rPr>
                <w:sz w:val="22"/>
                <w:szCs w:val="22"/>
              </w:rPr>
              <w:t>Peachtree City*</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6C" w14:textId="77777777">
            <w:pPr>
              <w:spacing w:line="276" w:lineRule="auto"/>
              <w:rPr>
                <w:sz w:val="22"/>
                <w:szCs w:val="22"/>
              </w:rPr>
            </w:pPr>
            <w:r>
              <w:rPr>
                <w:sz w:val="22"/>
                <w:szCs w:val="22"/>
              </w:rPr>
              <w:t>Georgia</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6D" w14:textId="77777777">
            <w:pPr>
              <w:spacing w:line="276" w:lineRule="auto"/>
              <w:rPr>
                <w:sz w:val="22"/>
                <w:szCs w:val="22"/>
              </w:rPr>
            </w:pPr>
            <w:r>
              <w:rPr>
                <w:sz w:val="22"/>
                <w:szCs w:val="22"/>
              </w:rPr>
              <w:t>FFC</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6E" w14:textId="77777777">
            <w:pPr>
              <w:spacing w:line="276" w:lineRule="auto"/>
              <w:rPr>
                <w:sz w:val="22"/>
                <w:szCs w:val="22"/>
              </w:rPr>
            </w:pPr>
            <w:r>
              <w:rPr>
                <w:sz w:val="22"/>
                <w:szCs w:val="22"/>
              </w:rPr>
              <w:t>Southern</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6F" w14:textId="77777777">
            <w:pPr>
              <w:spacing w:line="276" w:lineRule="auto"/>
              <w:jc w:val="right"/>
              <w:rPr>
                <w:sz w:val="22"/>
                <w:szCs w:val="22"/>
              </w:rPr>
            </w:pPr>
            <w:r>
              <w:rPr>
                <w:sz w:val="22"/>
                <w:szCs w:val="22"/>
              </w:rPr>
              <w:t>8,601,769</w:t>
            </w:r>
          </w:p>
        </w:tc>
      </w:tr>
      <w:tr w14:paraId="101B7D80"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70" w14:textId="77777777">
            <w:pPr>
              <w:spacing w:line="276" w:lineRule="auto"/>
              <w:rPr>
                <w:sz w:val="22"/>
                <w:szCs w:val="22"/>
              </w:rPr>
            </w:pPr>
            <w:r>
              <w:rPr>
                <w:sz w:val="22"/>
                <w:szCs w:val="22"/>
              </w:rPr>
              <w:t>Phoenix*</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71" w14:textId="77777777">
            <w:pPr>
              <w:spacing w:line="276" w:lineRule="auto"/>
              <w:rPr>
                <w:sz w:val="22"/>
                <w:szCs w:val="22"/>
              </w:rPr>
            </w:pPr>
            <w:r>
              <w:rPr>
                <w:sz w:val="22"/>
                <w:szCs w:val="22"/>
              </w:rPr>
              <w:t>Arizona</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72" w14:textId="77777777">
            <w:pPr>
              <w:spacing w:line="276" w:lineRule="auto"/>
              <w:rPr>
                <w:sz w:val="22"/>
                <w:szCs w:val="22"/>
              </w:rPr>
            </w:pPr>
            <w:r>
              <w:rPr>
                <w:sz w:val="22"/>
                <w:szCs w:val="22"/>
              </w:rPr>
              <w:t>PSR</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73" w14:textId="77777777">
            <w:pPr>
              <w:spacing w:line="276" w:lineRule="auto"/>
              <w:rPr>
                <w:sz w:val="22"/>
                <w:szCs w:val="22"/>
              </w:rPr>
            </w:pPr>
            <w:r>
              <w:rPr>
                <w:sz w:val="22"/>
                <w:szCs w:val="22"/>
              </w:rPr>
              <w:t>Western</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74" w14:textId="77777777">
            <w:pPr>
              <w:spacing w:line="276" w:lineRule="auto"/>
              <w:jc w:val="right"/>
              <w:rPr>
                <w:sz w:val="22"/>
                <w:szCs w:val="22"/>
              </w:rPr>
            </w:pPr>
            <w:r>
              <w:rPr>
                <w:sz w:val="22"/>
                <w:szCs w:val="22"/>
              </w:rPr>
              <w:t>4,895,596</w:t>
            </w:r>
          </w:p>
        </w:tc>
      </w:tr>
      <w:tr w14:paraId="09AA5731"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75" w14:textId="77777777">
            <w:pPr>
              <w:spacing w:line="276" w:lineRule="auto"/>
              <w:rPr>
                <w:sz w:val="22"/>
                <w:szCs w:val="22"/>
              </w:rPr>
            </w:pPr>
            <w:r>
              <w:rPr>
                <w:sz w:val="22"/>
                <w:szCs w:val="22"/>
              </w:rPr>
              <w:t>Pittsburgh*</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76" w14:textId="77777777">
            <w:pPr>
              <w:spacing w:line="276" w:lineRule="auto"/>
              <w:rPr>
                <w:sz w:val="22"/>
                <w:szCs w:val="22"/>
              </w:rPr>
            </w:pPr>
            <w:r>
              <w:rPr>
                <w:sz w:val="22"/>
                <w:szCs w:val="22"/>
              </w:rPr>
              <w:t>Pennsylvania</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77" w14:textId="77777777">
            <w:pPr>
              <w:spacing w:line="276" w:lineRule="auto"/>
              <w:rPr>
                <w:sz w:val="22"/>
                <w:szCs w:val="22"/>
              </w:rPr>
            </w:pPr>
            <w:r>
              <w:rPr>
                <w:sz w:val="22"/>
                <w:szCs w:val="22"/>
              </w:rPr>
              <w:t>PBZ</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78" w14:textId="77777777">
            <w:pPr>
              <w:spacing w:line="276" w:lineRule="auto"/>
              <w:rPr>
                <w:sz w:val="22"/>
                <w:szCs w:val="22"/>
              </w:rPr>
            </w:pPr>
            <w:r>
              <w:rPr>
                <w:sz w:val="22"/>
                <w:szCs w:val="22"/>
              </w:rPr>
              <w:t>Eastern</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79" w14:textId="77777777">
            <w:pPr>
              <w:spacing w:line="276" w:lineRule="auto"/>
              <w:jc w:val="right"/>
              <w:rPr>
                <w:sz w:val="22"/>
                <w:szCs w:val="22"/>
              </w:rPr>
            </w:pPr>
            <w:r>
              <w:rPr>
                <w:sz w:val="22"/>
                <w:szCs w:val="22"/>
              </w:rPr>
              <w:t>3,705,637</w:t>
            </w:r>
          </w:p>
        </w:tc>
      </w:tr>
      <w:tr w14:paraId="66DFB569"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7A" w14:textId="77777777">
            <w:pPr>
              <w:spacing w:line="276" w:lineRule="auto"/>
              <w:rPr>
                <w:sz w:val="22"/>
                <w:szCs w:val="22"/>
              </w:rPr>
            </w:pPr>
            <w:r>
              <w:rPr>
                <w:sz w:val="22"/>
                <w:szCs w:val="22"/>
              </w:rPr>
              <w:t>Portland*</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7B" w14:textId="77777777">
            <w:pPr>
              <w:spacing w:line="276" w:lineRule="auto"/>
              <w:rPr>
                <w:sz w:val="22"/>
                <w:szCs w:val="22"/>
              </w:rPr>
            </w:pPr>
            <w:r>
              <w:rPr>
                <w:sz w:val="22"/>
                <w:szCs w:val="22"/>
              </w:rPr>
              <w:t>Oregon</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7C" w14:textId="77777777">
            <w:pPr>
              <w:spacing w:line="276" w:lineRule="auto"/>
              <w:rPr>
                <w:sz w:val="22"/>
                <w:szCs w:val="22"/>
              </w:rPr>
            </w:pPr>
            <w:r>
              <w:rPr>
                <w:sz w:val="22"/>
                <w:szCs w:val="22"/>
              </w:rPr>
              <w:t>PQR</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7D" w14:textId="77777777">
            <w:pPr>
              <w:spacing w:line="276" w:lineRule="auto"/>
              <w:rPr>
                <w:sz w:val="22"/>
                <w:szCs w:val="22"/>
              </w:rPr>
            </w:pPr>
            <w:r>
              <w:rPr>
                <w:sz w:val="22"/>
                <w:szCs w:val="22"/>
              </w:rPr>
              <w:t>Western</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7E" w14:textId="77777777">
            <w:pPr>
              <w:spacing w:line="276" w:lineRule="auto"/>
              <w:jc w:val="right"/>
              <w:rPr>
                <w:sz w:val="22"/>
                <w:szCs w:val="22"/>
              </w:rPr>
            </w:pPr>
            <w:r>
              <w:rPr>
                <w:sz w:val="22"/>
                <w:szCs w:val="22"/>
              </w:rPr>
              <w:t>3,837,661</w:t>
            </w:r>
          </w:p>
        </w:tc>
      </w:tr>
      <w:tr w14:paraId="2F3F6958"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7F" w14:textId="77777777">
            <w:pPr>
              <w:spacing w:line="276" w:lineRule="auto"/>
              <w:rPr>
                <w:sz w:val="22"/>
                <w:szCs w:val="22"/>
              </w:rPr>
            </w:pPr>
            <w:r>
              <w:rPr>
                <w:sz w:val="22"/>
                <w:szCs w:val="22"/>
              </w:rPr>
              <w:t>Raleigh*</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80" w14:textId="77777777">
            <w:pPr>
              <w:spacing w:line="276" w:lineRule="auto"/>
              <w:rPr>
                <w:sz w:val="22"/>
                <w:szCs w:val="22"/>
              </w:rPr>
            </w:pPr>
            <w:r>
              <w:rPr>
                <w:sz w:val="22"/>
                <w:szCs w:val="22"/>
              </w:rPr>
              <w:t>North Carolina</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81" w14:textId="77777777">
            <w:pPr>
              <w:spacing w:line="276" w:lineRule="auto"/>
              <w:rPr>
                <w:sz w:val="22"/>
                <w:szCs w:val="22"/>
              </w:rPr>
            </w:pPr>
            <w:r>
              <w:rPr>
                <w:sz w:val="22"/>
                <w:szCs w:val="22"/>
              </w:rPr>
              <w:t>RAH</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82" w14:textId="77777777">
            <w:pPr>
              <w:spacing w:line="276" w:lineRule="auto"/>
              <w:rPr>
                <w:sz w:val="22"/>
                <w:szCs w:val="22"/>
              </w:rPr>
            </w:pPr>
            <w:r>
              <w:rPr>
                <w:sz w:val="22"/>
                <w:szCs w:val="22"/>
              </w:rPr>
              <w:t>Eastern</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83" w14:textId="77777777">
            <w:pPr>
              <w:spacing w:line="276" w:lineRule="auto"/>
              <w:jc w:val="right"/>
              <w:rPr>
                <w:sz w:val="22"/>
                <w:szCs w:val="22"/>
              </w:rPr>
            </w:pPr>
            <w:r>
              <w:rPr>
                <w:sz w:val="22"/>
                <w:szCs w:val="22"/>
              </w:rPr>
              <w:t>4,917,044</w:t>
            </w:r>
          </w:p>
        </w:tc>
      </w:tr>
      <w:tr w14:paraId="2EB91389"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84" w14:textId="77777777">
            <w:pPr>
              <w:spacing w:line="276" w:lineRule="auto"/>
              <w:rPr>
                <w:sz w:val="22"/>
                <w:szCs w:val="22"/>
              </w:rPr>
            </w:pPr>
            <w:r>
              <w:rPr>
                <w:sz w:val="22"/>
                <w:szCs w:val="22"/>
              </w:rPr>
              <w:t>Seattle</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85" w14:textId="77777777">
            <w:pPr>
              <w:spacing w:line="276" w:lineRule="auto"/>
              <w:rPr>
                <w:sz w:val="22"/>
                <w:szCs w:val="22"/>
              </w:rPr>
            </w:pPr>
            <w:r>
              <w:rPr>
                <w:sz w:val="22"/>
                <w:szCs w:val="22"/>
              </w:rPr>
              <w:t>Washington</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86" w14:textId="77777777">
            <w:pPr>
              <w:spacing w:line="276" w:lineRule="auto"/>
              <w:rPr>
                <w:sz w:val="22"/>
                <w:szCs w:val="22"/>
              </w:rPr>
            </w:pPr>
            <w:r>
              <w:rPr>
                <w:sz w:val="22"/>
                <w:szCs w:val="22"/>
              </w:rPr>
              <w:t>SEW</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87" w14:textId="77777777">
            <w:pPr>
              <w:spacing w:line="276" w:lineRule="auto"/>
              <w:rPr>
                <w:sz w:val="22"/>
                <w:szCs w:val="22"/>
              </w:rPr>
            </w:pPr>
            <w:r>
              <w:rPr>
                <w:sz w:val="22"/>
                <w:szCs w:val="22"/>
              </w:rPr>
              <w:t>Western</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88" w14:textId="77777777">
            <w:pPr>
              <w:spacing w:line="276" w:lineRule="auto"/>
              <w:jc w:val="right"/>
              <w:rPr>
                <w:sz w:val="22"/>
                <w:szCs w:val="22"/>
              </w:rPr>
            </w:pPr>
            <w:r>
              <w:rPr>
                <w:sz w:val="22"/>
                <w:szCs w:val="22"/>
              </w:rPr>
              <w:t>5,396,736</w:t>
            </w:r>
          </w:p>
        </w:tc>
      </w:tr>
      <w:tr w14:paraId="0D2F3BF3"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89" w14:textId="77777777">
            <w:pPr>
              <w:spacing w:line="276" w:lineRule="auto"/>
              <w:rPr>
                <w:sz w:val="22"/>
                <w:szCs w:val="22"/>
              </w:rPr>
            </w:pPr>
            <w:r>
              <w:rPr>
                <w:sz w:val="22"/>
                <w:szCs w:val="22"/>
              </w:rPr>
              <w:t>Shreveport*</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8A" w14:textId="77777777">
            <w:pPr>
              <w:spacing w:line="276" w:lineRule="auto"/>
              <w:rPr>
                <w:sz w:val="22"/>
                <w:szCs w:val="22"/>
              </w:rPr>
            </w:pPr>
            <w:r>
              <w:rPr>
                <w:sz w:val="22"/>
                <w:szCs w:val="22"/>
              </w:rPr>
              <w:t>Louisiana</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8B" w14:textId="77777777">
            <w:pPr>
              <w:spacing w:line="276" w:lineRule="auto"/>
              <w:rPr>
                <w:sz w:val="22"/>
                <w:szCs w:val="22"/>
              </w:rPr>
            </w:pPr>
            <w:r>
              <w:rPr>
                <w:sz w:val="22"/>
                <w:szCs w:val="22"/>
              </w:rPr>
              <w:t>SHV</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8C" w14:textId="77777777">
            <w:pPr>
              <w:spacing w:line="276" w:lineRule="auto"/>
              <w:rPr>
                <w:sz w:val="22"/>
                <w:szCs w:val="22"/>
              </w:rPr>
            </w:pPr>
            <w:r>
              <w:rPr>
                <w:sz w:val="22"/>
                <w:szCs w:val="22"/>
              </w:rPr>
              <w:t>Southern</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8D" w14:textId="77777777">
            <w:pPr>
              <w:spacing w:line="276" w:lineRule="auto"/>
              <w:jc w:val="right"/>
              <w:rPr>
                <w:sz w:val="22"/>
                <w:szCs w:val="22"/>
              </w:rPr>
            </w:pPr>
            <w:r>
              <w:rPr>
                <w:sz w:val="22"/>
                <w:szCs w:val="22"/>
              </w:rPr>
              <w:t>2,079,655</w:t>
            </w:r>
          </w:p>
        </w:tc>
      </w:tr>
      <w:tr w14:paraId="681B9033"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8E" w14:textId="77777777">
            <w:pPr>
              <w:spacing w:line="276" w:lineRule="auto"/>
              <w:rPr>
                <w:sz w:val="22"/>
                <w:szCs w:val="22"/>
              </w:rPr>
            </w:pPr>
            <w:r>
              <w:rPr>
                <w:sz w:val="22"/>
                <w:szCs w:val="22"/>
              </w:rPr>
              <w:t>Springfield</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8F" w14:textId="77777777">
            <w:pPr>
              <w:spacing w:line="276" w:lineRule="auto"/>
              <w:rPr>
                <w:sz w:val="22"/>
                <w:szCs w:val="22"/>
              </w:rPr>
            </w:pPr>
            <w:r>
              <w:rPr>
                <w:sz w:val="22"/>
                <w:szCs w:val="22"/>
              </w:rPr>
              <w:t>Missouri</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90" w14:textId="77777777">
            <w:pPr>
              <w:spacing w:line="276" w:lineRule="auto"/>
              <w:rPr>
                <w:sz w:val="22"/>
                <w:szCs w:val="22"/>
              </w:rPr>
            </w:pPr>
            <w:r>
              <w:rPr>
                <w:sz w:val="22"/>
                <w:szCs w:val="22"/>
              </w:rPr>
              <w:t>SGF</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91" w14:textId="77777777">
            <w:pPr>
              <w:spacing w:line="276" w:lineRule="auto"/>
              <w:rPr>
                <w:sz w:val="22"/>
                <w:szCs w:val="22"/>
              </w:rPr>
            </w:pPr>
            <w:r>
              <w:rPr>
                <w:sz w:val="22"/>
                <w:szCs w:val="22"/>
              </w:rPr>
              <w:t>Central</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92" w14:textId="77777777">
            <w:pPr>
              <w:spacing w:line="276" w:lineRule="auto"/>
              <w:jc w:val="right"/>
              <w:rPr>
                <w:sz w:val="22"/>
                <w:szCs w:val="22"/>
              </w:rPr>
            </w:pPr>
            <w:r>
              <w:rPr>
                <w:sz w:val="22"/>
                <w:szCs w:val="22"/>
              </w:rPr>
              <w:t>1,381,595</w:t>
            </w:r>
          </w:p>
        </w:tc>
      </w:tr>
      <w:tr w14:paraId="0477D3D7"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93" w14:textId="77777777">
            <w:pPr>
              <w:spacing w:line="276" w:lineRule="auto"/>
              <w:rPr>
                <w:sz w:val="22"/>
                <w:szCs w:val="22"/>
              </w:rPr>
            </w:pPr>
            <w:r>
              <w:rPr>
                <w:sz w:val="22"/>
                <w:szCs w:val="22"/>
              </w:rPr>
              <w:t>St Louis</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94" w14:textId="77777777">
            <w:pPr>
              <w:spacing w:line="276" w:lineRule="auto"/>
              <w:rPr>
                <w:sz w:val="22"/>
                <w:szCs w:val="22"/>
              </w:rPr>
            </w:pPr>
            <w:r>
              <w:rPr>
                <w:sz w:val="22"/>
                <w:szCs w:val="22"/>
              </w:rPr>
              <w:t>Missouri</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95" w14:textId="77777777">
            <w:pPr>
              <w:spacing w:line="276" w:lineRule="auto"/>
              <w:rPr>
                <w:sz w:val="22"/>
                <w:szCs w:val="22"/>
              </w:rPr>
            </w:pPr>
            <w:r>
              <w:rPr>
                <w:sz w:val="22"/>
                <w:szCs w:val="22"/>
              </w:rPr>
              <w:t>LSX</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96" w14:textId="77777777">
            <w:pPr>
              <w:spacing w:line="276" w:lineRule="auto"/>
              <w:rPr>
                <w:sz w:val="22"/>
                <w:szCs w:val="22"/>
              </w:rPr>
            </w:pPr>
            <w:r>
              <w:rPr>
                <w:sz w:val="22"/>
                <w:szCs w:val="22"/>
              </w:rPr>
              <w:t>Central</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97" w14:textId="77777777">
            <w:pPr>
              <w:spacing w:line="276" w:lineRule="auto"/>
              <w:jc w:val="right"/>
              <w:rPr>
                <w:sz w:val="22"/>
                <w:szCs w:val="22"/>
              </w:rPr>
            </w:pPr>
            <w:r>
              <w:rPr>
                <w:sz w:val="22"/>
                <w:szCs w:val="22"/>
              </w:rPr>
              <w:t>3,669,734</w:t>
            </w:r>
          </w:p>
        </w:tc>
      </w:tr>
      <w:tr w14:paraId="04069462"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98" w14:textId="77777777">
            <w:pPr>
              <w:spacing w:line="276" w:lineRule="auto"/>
              <w:rPr>
                <w:sz w:val="22"/>
                <w:szCs w:val="22"/>
              </w:rPr>
            </w:pPr>
            <w:r>
              <w:rPr>
                <w:sz w:val="22"/>
                <w:szCs w:val="22"/>
              </w:rPr>
              <w:t>Taunton*</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99" w14:textId="77777777">
            <w:pPr>
              <w:spacing w:line="276" w:lineRule="auto"/>
              <w:rPr>
                <w:sz w:val="22"/>
                <w:szCs w:val="22"/>
              </w:rPr>
            </w:pPr>
            <w:r>
              <w:rPr>
                <w:sz w:val="22"/>
                <w:szCs w:val="22"/>
              </w:rPr>
              <w:t>Massachusetts</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9A" w14:textId="77777777">
            <w:pPr>
              <w:spacing w:line="276" w:lineRule="auto"/>
              <w:rPr>
                <w:sz w:val="22"/>
                <w:szCs w:val="22"/>
              </w:rPr>
            </w:pPr>
            <w:r>
              <w:rPr>
                <w:sz w:val="22"/>
                <w:szCs w:val="22"/>
              </w:rPr>
              <w:t>BOX</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9B" w14:textId="77777777">
            <w:pPr>
              <w:spacing w:line="276" w:lineRule="auto"/>
              <w:rPr>
                <w:sz w:val="22"/>
                <w:szCs w:val="22"/>
              </w:rPr>
            </w:pPr>
            <w:r>
              <w:rPr>
                <w:sz w:val="22"/>
                <w:szCs w:val="22"/>
              </w:rPr>
              <w:t>Eastern</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9C" w14:textId="77777777">
            <w:pPr>
              <w:spacing w:line="276" w:lineRule="auto"/>
              <w:jc w:val="right"/>
              <w:rPr>
                <w:sz w:val="22"/>
                <w:szCs w:val="22"/>
              </w:rPr>
            </w:pPr>
            <w:r>
              <w:rPr>
                <w:sz w:val="22"/>
                <w:szCs w:val="22"/>
              </w:rPr>
              <w:t>7,959,719</w:t>
            </w:r>
          </w:p>
        </w:tc>
      </w:tr>
      <w:tr w14:paraId="0B772CB3"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9D" w14:textId="77777777">
            <w:pPr>
              <w:spacing w:line="276" w:lineRule="auto"/>
              <w:rPr>
                <w:sz w:val="22"/>
                <w:szCs w:val="22"/>
              </w:rPr>
            </w:pPr>
            <w:r>
              <w:rPr>
                <w:sz w:val="22"/>
                <w:szCs w:val="22"/>
              </w:rPr>
              <w:t>Twin Cities/Chanhassen</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9E" w14:textId="77777777">
            <w:pPr>
              <w:spacing w:line="276" w:lineRule="auto"/>
              <w:rPr>
                <w:sz w:val="22"/>
                <w:szCs w:val="22"/>
              </w:rPr>
            </w:pPr>
            <w:r>
              <w:rPr>
                <w:sz w:val="22"/>
                <w:szCs w:val="22"/>
              </w:rPr>
              <w:t>Minnesota</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9F" w14:textId="77777777">
            <w:pPr>
              <w:spacing w:line="276" w:lineRule="auto"/>
              <w:rPr>
                <w:sz w:val="22"/>
                <w:szCs w:val="22"/>
              </w:rPr>
            </w:pPr>
            <w:r>
              <w:rPr>
                <w:sz w:val="22"/>
                <w:szCs w:val="22"/>
              </w:rPr>
              <w:t>MPX</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A0" w14:textId="77777777">
            <w:pPr>
              <w:spacing w:line="276" w:lineRule="auto"/>
              <w:rPr>
                <w:sz w:val="22"/>
                <w:szCs w:val="22"/>
              </w:rPr>
            </w:pPr>
            <w:r>
              <w:rPr>
                <w:sz w:val="22"/>
                <w:szCs w:val="22"/>
              </w:rPr>
              <w:t>Central</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A1" w14:textId="77777777">
            <w:pPr>
              <w:spacing w:line="276" w:lineRule="auto"/>
              <w:jc w:val="right"/>
              <w:rPr>
                <w:sz w:val="22"/>
                <w:szCs w:val="22"/>
              </w:rPr>
            </w:pPr>
            <w:r>
              <w:rPr>
                <w:sz w:val="22"/>
                <w:szCs w:val="22"/>
              </w:rPr>
              <w:t>4,926,276</w:t>
            </w:r>
          </w:p>
        </w:tc>
      </w:tr>
      <w:tr w14:paraId="75FA923C"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A2" w14:textId="77777777">
            <w:pPr>
              <w:spacing w:line="276" w:lineRule="auto"/>
              <w:rPr>
                <w:sz w:val="22"/>
                <w:szCs w:val="22"/>
              </w:rPr>
            </w:pPr>
            <w:r>
              <w:rPr>
                <w:sz w:val="22"/>
                <w:szCs w:val="22"/>
              </w:rPr>
              <w:t>Upton*</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A3" w14:textId="77777777">
            <w:pPr>
              <w:spacing w:line="276" w:lineRule="auto"/>
              <w:rPr>
                <w:sz w:val="22"/>
                <w:szCs w:val="22"/>
              </w:rPr>
            </w:pPr>
            <w:r>
              <w:rPr>
                <w:sz w:val="22"/>
                <w:szCs w:val="22"/>
              </w:rPr>
              <w:t>New York</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A4" w14:textId="77777777">
            <w:pPr>
              <w:spacing w:line="276" w:lineRule="auto"/>
              <w:rPr>
                <w:sz w:val="22"/>
                <w:szCs w:val="22"/>
              </w:rPr>
            </w:pPr>
            <w:r>
              <w:rPr>
                <w:sz w:val="22"/>
                <w:szCs w:val="22"/>
              </w:rPr>
              <w:t>OKX</w:t>
            </w: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A5" w14:textId="77777777">
            <w:pPr>
              <w:spacing w:line="276" w:lineRule="auto"/>
              <w:rPr>
                <w:sz w:val="22"/>
                <w:szCs w:val="22"/>
              </w:rPr>
            </w:pPr>
            <w:r>
              <w:rPr>
                <w:sz w:val="22"/>
                <w:szCs w:val="22"/>
              </w:rPr>
              <w:t>Eastern</w:t>
            </w: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A6" w14:textId="77777777">
            <w:pPr>
              <w:spacing w:line="276" w:lineRule="auto"/>
              <w:jc w:val="right"/>
              <w:rPr>
                <w:sz w:val="22"/>
                <w:szCs w:val="22"/>
              </w:rPr>
            </w:pPr>
            <w:r>
              <w:rPr>
                <w:sz w:val="22"/>
                <w:szCs w:val="22"/>
              </w:rPr>
              <w:t>16,877,835</w:t>
            </w:r>
          </w:p>
        </w:tc>
      </w:tr>
      <w:tr w14:paraId="28C90561"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A7" w14:textId="77777777">
            <w:pPr>
              <w:spacing w:line="276" w:lineRule="auto"/>
              <w:rPr>
                <w:sz w:val="22"/>
                <w:szCs w:val="22"/>
              </w:rPr>
            </w:pPr>
            <w:r>
              <w:rPr>
                <w:b/>
                <w:sz w:val="22"/>
                <w:szCs w:val="22"/>
              </w:rPr>
              <w:t>Year 1 Population - 30 WFOs</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A8" w14:textId="77777777">
            <w:pPr>
              <w:spacing w:line="276" w:lineRule="auto"/>
              <w:rPr>
                <w:sz w:val="22"/>
                <w:szCs w:val="22"/>
              </w:rPr>
            </w:pP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A9" w14:textId="77777777">
            <w:pPr>
              <w:spacing w:line="276" w:lineRule="auto"/>
              <w:rPr>
                <w:sz w:val="22"/>
                <w:szCs w:val="22"/>
              </w:rPr>
            </w:pP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AA" w14:textId="77777777">
            <w:pPr>
              <w:spacing w:line="276" w:lineRule="auto"/>
              <w:rPr>
                <w:sz w:val="22"/>
                <w:szCs w:val="22"/>
              </w:rPr>
            </w:pP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AB" w14:textId="77777777">
            <w:pPr>
              <w:spacing w:line="276" w:lineRule="auto"/>
              <w:jc w:val="right"/>
              <w:rPr>
                <w:sz w:val="22"/>
                <w:szCs w:val="22"/>
              </w:rPr>
            </w:pPr>
            <w:r>
              <w:rPr>
                <w:b/>
                <w:sz w:val="22"/>
                <w:szCs w:val="22"/>
              </w:rPr>
              <w:t>139,797,299</w:t>
            </w:r>
          </w:p>
        </w:tc>
      </w:tr>
      <w:tr w14:paraId="42E01E33"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AC" w14:textId="77777777">
            <w:pPr>
              <w:spacing w:line="276" w:lineRule="auto"/>
              <w:rPr>
                <w:sz w:val="22"/>
                <w:szCs w:val="22"/>
              </w:rPr>
            </w:pP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AD" w14:textId="77777777">
            <w:pPr>
              <w:spacing w:line="276" w:lineRule="auto"/>
              <w:rPr>
                <w:sz w:val="22"/>
                <w:szCs w:val="22"/>
              </w:rPr>
            </w:pP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AE" w14:textId="77777777">
            <w:pPr>
              <w:spacing w:line="276" w:lineRule="auto"/>
              <w:rPr>
                <w:sz w:val="22"/>
                <w:szCs w:val="22"/>
              </w:rPr>
            </w:pP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AF" w14:textId="77777777">
            <w:pPr>
              <w:spacing w:line="276" w:lineRule="auto"/>
              <w:rPr>
                <w:sz w:val="22"/>
                <w:szCs w:val="22"/>
              </w:rPr>
            </w:pP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B0" w14:textId="77777777">
            <w:pPr>
              <w:spacing w:line="276" w:lineRule="auto"/>
              <w:rPr>
                <w:sz w:val="22"/>
                <w:szCs w:val="22"/>
              </w:rPr>
            </w:pPr>
          </w:p>
        </w:tc>
      </w:tr>
      <w:tr w14:paraId="2AF35AB4"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B1" w14:textId="77777777">
            <w:pPr>
              <w:spacing w:line="276" w:lineRule="auto"/>
              <w:rPr>
                <w:sz w:val="22"/>
                <w:szCs w:val="22"/>
              </w:rPr>
            </w:pPr>
            <w:r>
              <w:rPr>
                <w:sz w:val="22"/>
                <w:szCs w:val="22"/>
              </w:rPr>
              <w:t>10 Additional WFOs Avg. Pop</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B2" w14:textId="77777777">
            <w:pPr>
              <w:spacing w:line="276" w:lineRule="auto"/>
              <w:rPr>
                <w:sz w:val="22"/>
                <w:szCs w:val="22"/>
              </w:rPr>
            </w:pPr>
            <w:r>
              <w:rPr>
                <w:sz w:val="22"/>
                <w:szCs w:val="22"/>
              </w:rPr>
              <w:t>TBD</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B3" w14:textId="77777777">
            <w:pPr>
              <w:spacing w:line="276" w:lineRule="auto"/>
              <w:rPr>
                <w:sz w:val="22"/>
                <w:szCs w:val="22"/>
              </w:rPr>
            </w:pP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B4" w14:textId="77777777">
            <w:pPr>
              <w:spacing w:line="276" w:lineRule="auto"/>
              <w:rPr>
                <w:sz w:val="22"/>
                <w:szCs w:val="22"/>
              </w:rPr>
            </w:pP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B5" w14:textId="77777777">
            <w:pPr>
              <w:spacing w:line="276" w:lineRule="auto"/>
              <w:jc w:val="right"/>
              <w:rPr>
                <w:sz w:val="22"/>
                <w:szCs w:val="22"/>
              </w:rPr>
            </w:pPr>
            <w:r>
              <w:rPr>
                <w:sz w:val="22"/>
                <w:szCs w:val="22"/>
              </w:rPr>
              <w:t>2,413,418</w:t>
            </w:r>
          </w:p>
        </w:tc>
      </w:tr>
      <w:tr w14:paraId="54EB6C81"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B6" w14:textId="77777777">
            <w:pPr>
              <w:spacing w:line="276" w:lineRule="auto"/>
              <w:rPr>
                <w:sz w:val="22"/>
                <w:szCs w:val="22"/>
              </w:rPr>
            </w:pPr>
            <w:r>
              <w:rPr>
                <w:b/>
                <w:sz w:val="22"/>
                <w:szCs w:val="22"/>
              </w:rPr>
              <w:t>Year 2 Population - 40 WFOs</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B7" w14:textId="77777777">
            <w:pPr>
              <w:spacing w:line="276" w:lineRule="auto"/>
              <w:rPr>
                <w:sz w:val="22"/>
                <w:szCs w:val="22"/>
              </w:rPr>
            </w:pP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B8" w14:textId="77777777">
            <w:pPr>
              <w:spacing w:line="276" w:lineRule="auto"/>
              <w:rPr>
                <w:sz w:val="22"/>
                <w:szCs w:val="22"/>
              </w:rPr>
            </w:pP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B9" w14:textId="77777777">
            <w:pPr>
              <w:spacing w:line="276" w:lineRule="auto"/>
              <w:rPr>
                <w:sz w:val="22"/>
                <w:szCs w:val="22"/>
              </w:rPr>
            </w:pP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BA" w14:textId="77777777">
            <w:pPr>
              <w:spacing w:line="276" w:lineRule="auto"/>
              <w:jc w:val="right"/>
              <w:rPr>
                <w:sz w:val="22"/>
                <w:szCs w:val="22"/>
              </w:rPr>
            </w:pPr>
            <w:r>
              <w:rPr>
                <w:b/>
                <w:sz w:val="22"/>
                <w:szCs w:val="22"/>
              </w:rPr>
              <w:t>24,134,179</w:t>
            </w:r>
          </w:p>
        </w:tc>
      </w:tr>
      <w:tr w14:paraId="66AE64C8"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BB" w14:textId="77777777">
            <w:pPr>
              <w:spacing w:line="276" w:lineRule="auto"/>
              <w:rPr>
                <w:sz w:val="22"/>
                <w:szCs w:val="22"/>
              </w:rPr>
            </w:pP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BC" w14:textId="77777777">
            <w:pPr>
              <w:spacing w:line="276" w:lineRule="auto"/>
              <w:rPr>
                <w:sz w:val="22"/>
                <w:szCs w:val="22"/>
              </w:rPr>
            </w:pP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BD" w14:textId="77777777">
            <w:pPr>
              <w:spacing w:line="276" w:lineRule="auto"/>
              <w:rPr>
                <w:sz w:val="22"/>
                <w:szCs w:val="22"/>
              </w:rPr>
            </w:pP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BE" w14:textId="77777777">
            <w:pPr>
              <w:spacing w:line="276" w:lineRule="auto"/>
              <w:rPr>
                <w:sz w:val="22"/>
                <w:szCs w:val="22"/>
              </w:rPr>
            </w:pP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BF" w14:textId="77777777">
            <w:pPr>
              <w:spacing w:line="276" w:lineRule="auto"/>
              <w:jc w:val="right"/>
              <w:rPr>
                <w:sz w:val="22"/>
                <w:szCs w:val="22"/>
              </w:rPr>
            </w:pPr>
          </w:p>
        </w:tc>
      </w:tr>
      <w:tr w14:paraId="4B5D3747"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C0" w14:textId="77777777">
            <w:pPr>
              <w:spacing w:line="276" w:lineRule="auto"/>
              <w:rPr>
                <w:sz w:val="22"/>
                <w:szCs w:val="22"/>
              </w:rPr>
            </w:pPr>
            <w:r>
              <w:rPr>
                <w:sz w:val="22"/>
                <w:szCs w:val="22"/>
              </w:rPr>
              <w:t>10 Additional WFOs Avg. Pop</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C1" w14:textId="77777777">
            <w:pPr>
              <w:spacing w:line="276" w:lineRule="auto"/>
              <w:rPr>
                <w:sz w:val="22"/>
                <w:szCs w:val="22"/>
              </w:rPr>
            </w:pPr>
            <w:r>
              <w:rPr>
                <w:sz w:val="22"/>
                <w:szCs w:val="22"/>
              </w:rPr>
              <w:t>TBD</w:t>
            </w: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C2" w14:textId="77777777">
            <w:pPr>
              <w:spacing w:line="276" w:lineRule="auto"/>
              <w:rPr>
                <w:sz w:val="22"/>
                <w:szCs w:val="22"/>
              </w:rPr>
            </w:pP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C3" w14:textId="77777777">
            <w:pPr>
              <w:spacing w:line="276" w:lineRule="auto"/>
              <w:rPr>
                <w:sz w:val="22"/>
                <w:szCs w:val="22"/>
              </w:rPr>
            </w:pP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C4" w14:textId="77777777">
            <w:pPr>
              <w:spacing w:line="276" w:lineRule="auto"/>
              <w:jc w:val="right"/>
              <w:rPr>
                <w:sz w:val="22"/>
                <w:szCs w:val="22"/>
              </w:rPr>
            </w:pPr>
            <w:r>
              <w:rPr>
                <w:sz w:val="22"/>
                <w:szCs w:val="22"/>
              </w:rPr>
              <w:t>2,413,418</w:t>
            </w:r>
          </w:p>
        </w:tc>
      </w:tr>
      <w:tr w14:paraId="521E8AD7"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C5" w14:textId="77777777">
            <w:pPr>
              <w:spacing w:line="276" w:lineRule="auto"/>
              <w:rPr>
                <w:sz w:val="22"/>
                <w:szCs w:val="22"/>
              </w:rPr>
            </w:pPr>
            <w:r>
              <w:rPr>
                <w:b/>
                <w:sz w:val="22"/>
                <w:szCs w:val="22"/>
              </w:rPr>
              <w:t>Year 3 Population - 50 WFOs</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C6" w14:textId="77777777">
            <w:pPr>
              <w:spacing w:line="276" w:lineRule="auto"/>
              <w:rPr>
                <w:sz w:val="22"/>
                <w:szCs w:val="22"/>
              </w:rPr>
            </w:pP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C7" w14:textId="77777777">
            <w:pPr>
              <w:spacing w:line="276" w:lineRule="auto"/>
              <w:rPr>
                <w:sz w:val="22"/>
                <w:szCs w:val="22"/>
              </w:rPr>
            </w:pP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C8" w14:textId="77777777">
            <w:pPr>
              <w:spacing w:line="276" w:lineRule="auto"/>
              <w:rPr>
                <w:sz w:val="22"/>
                <w:szCs w:val="22"/>
              </w:rPr>
            </w:pP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C9" w14:textId="77777777">
            <w:pPr>
              <w:spacing w:line="276" w:lineRule="auto"/>
              <w:jc w:val="right"/>
              <w:rPr>
                <w:sz w:val="22"/>
                <w:szCs w:val="22"/>
              </w:rPr>
            </w:pPr>
            <w:r>
              <w:rPr>
                <w:b/>
                <w:sz w:val="22"/>
                <w:szCs w:val="22"/>
              </w:rPr>
              <w:t>24,134,179</w:t>
            </w:r>
          </w:p>
        </w:tc>
      </w:tr>
      <w:tr w14:paraId="78C13118" w14:textId="77777777">
        <w:tblPrEx>
          <w:tblW w:w="9225" w:type="dxa"/>
          <w:tblLayout w:type="fixed"/>
          <w:tblLook w:val="0600"/>
        </w:tblPrEx>
        <w:trPr>
          <w:trHeight w:val="302"/>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CA" w14:textId="77777777">
            <w:pPr>
              <w:spacing w:line="276" w:lineRule="auto"/>
              <w:rPr>
                <w:sz w:val="22"/>
                <w:szCs w:val="22"/>
              </w:rPr>
            </w:pP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CB" w14:textId="77777777">
            <w:pPr>
              <w:spacing w:line="276" w:lineRule="auto"/>
              <w:rPr>
                <w:sz w:val="22"/>
                <w:szCs w:val="22"/>
              </w:rPr>
            </w:pP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CC" w14:textId="77777777">
            <w:pPr>
              <w:spacing w:line="276" w:lineRule="auto"/>
              <w:rPr>
                <w:sz w:val="22"/>
                <w:szCs w:val="22"/>
              </w:rPr>
            </w:pP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CD" w14:textId="77777777">
            <w:pPr>
              <w:spacing w:line="276" w:lineRule="auto"/>
              <w:rPr>
                <w:sz w:val="22"/>
                <w:szCs w:val="22"/>
              </w:rPr>
            </w:pP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CE" w14:textId="77777777">
            <w:pPr>
              <w:spacing w:line="276" w:lineRule="auto"/>
              <w:jc w:val="right"/>
              <w:rPr>
                <w:sz w:val="22"/>
                <w:szCs w:val="22"/>
              </w:rPr>
            </w:pPr>
          </w:p>
        </w:tc>
      </w:tr>
      <w:tr w14:paraId="26856181"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CF" w14:textId="77777777">
            <w:pPr>
              <w:spacing w:line="276" w:lineRule="auto"/>
              <w:rPr>
                <w:sz w:val="22"/>
                <w:szCs w:val="22"/>
              </w:rPr>
            </w:pPr>
            <w:r>
              <w:rPr>
                <w:b/>
                <w:sz w:val="22"/>
                <w:szCs w:val="22"/>
              </w:rPr>
              <w:t>Total Population</w:t>
            </w:r>
          </w:p>
        </w:tc>
        <w:tc>
          <w:tcPr>
            <w:tcW w:w="17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D0" w14:textId="77777777">
            <w:pPr>
              <w:spacing w:line="276" w:lineRule="auto"/>
              <w:rPr>
                <w:sz w:val="22"/>
                <w:szCs w:val="22"/>
              </w:rPr>
            </w:pPr>
          </w:p>
        </w:tc>
        <w:tc>
          <w:tcPr>
            <w:tcW w:w="159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D1" w14:textId="77777777">
            <w:pPr>
              <w:spacing w:line="276" w:lineRule="auto"/>
              <w:rPr>
                <w:sz w:val="22"/>
                <w:szCs w:val="22"/>
              </w:rPr>
            </w:pPr>
          </w:p>
        </w:tc>
        <w:tc>
          <w:tcPr>
            <w:tcW w:w="11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D2" w14:textId="77777777">
            <w:pPr>
              <w:spacing w:line="276" w:lineRule="auto"/>
              <w:rPr>
                <w:sz w:val="22"/>
                <w:szCs w:val="22"/>
              </w:rPr>
            </w:pPr>
          </w:p>
        </w:tc>
        <w:tc>
          <w:tcPr>
            <w:tcW w:w="145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D3" w14:textId="77777777">
            <w:pPr>
              <w:spacing w:line="276" w:lineRule="auto"/>
              <w:jc w:val="right"/>
              <w:rPr>
                <w:sz w:val="22"/>
                <w:szCs w:val="22"/>
              </w:rPr>
            </w:pPr>
            <w:r>
              <w:rPr>
                <w:b/>
                <w:sz w:val="22"/>
                <w:szCs w:val="22"/>
              </w:rPr>
              <w:t>188,065,658</w:t>
            </w:r>
          </w:p>
        </w:tc>
      </w:tr>
      <w:tr w14:paraId="65FA4809" w14:textId="77777777">
        <w:tblPrEx>
          <w:tblW w:w="9225" w:type="dxa"/>
          <w:tblLayout w:type="fixed"/>
          <w:tblLook w:val="0600"/>
        </w:tblPrEx>
        <w:trPr>
          <w:trHeight w:val="415"/>
        </w:trPr>
        <w:tc>
          <w:tcPr>
            <w:tcW w:w="333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A680D" w14:paraId="000000D4" w14:textId="77777777">
            <w:pPr>
              <w:spacing w:line="276" w:lineRule="auto"/>
            </w:pPr>
          </w:p>
        </w:tc>
        <w:tc>
          <w:tcPr>
            <w:tcW w:w="172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A680D" w14:paraId="000000D5" w14:textId="77777777">
            <w:pPr>
              <w:spacing w:line="276" w:lineRule="auto"/>
            </w:pPr>
          </w:p>
        </w:tc>
        <w:tc>
          <w:tcPr>
            <w:tcW w:w="159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A680D" w14:paraId="000000D6" w14:textId="77777777">
            <w:pPr>
              <w:spacing w:line="276" w:lineRule="auto"/>
            </w:pPr>
          </w:p>
        </w:tc>
        <w:tc>
          <w:tcPr>
            <w:tcW w:w="112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A680D" w14:paraId="000000D7" w14:textId="77777777">
            <w:pPr>
              <w:spacing w:line="276" w:lineRule="auto"/>
            </w:pPr>
          </w:p>
        </w:tc>
        <w:tc>
          <w:tcPr>
            <w:tcW w:w="145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A680D" w14:paraId="000000D8" w14:textId="77777777">
            <w:pPr>
              <w:spacing w:line="276" w:lineRule="auto"/>
            </w:pPr>
          </w:p>
        </w:tc>
      </w:tr>
      <w:tr w14:paraId="4DAA679F" w14:textId="77777777">
        <w:tblPrEx>
          <w:tblW w:w="9225" w:type="dxa"/>
          <w:tblLayout w:type="fixed"/>
          <w:tblLook w:val="0600"/>
        </w:tblPrEx>
        <w:trPr>
          <w:trHeight w:val="415"/>
        </w:trPr>
        <w:tc>
          <w:tcPr>
            <w:tcW w:w="6645" w:type="dxa"/>
            <w:gridSpan w:val="3"/>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rsidR="006A680D" w14:paraId="000000D9" w14:textId="77777777">
            <w:pPr>
              <w:spacing w:line="276" w:lineRule="auto"/>
              <w:rPr>
                <w:sz w:val="22"/>
                <w:szCs w:val="22"/>
              </w:rPr>
            </w:pPr>
            <w:r>
              <w:rPr>
                <w:sz w:val="22"/>
                <w:szCs w:val="22"/>
              </w:rPr>
              <w:t>* Offices that disseminated at least one survey during Phase 1</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bottom"/>
          </w:tcPr>
          <w:p w:rsidR="006A680D" w14:paraId="000000DC" w14:textId="77777777">
            <w:pPr>
              <w:spacing w:line="276" w:lineRule="auto"/>
              <w:rPr>
                <w:sz w:val="22"/>
                <w:szCs w:val="22"/>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bottom"/>
          </w:tcPr>
          <w:p w:rsidR="006A680D" w14:paraId="000000DD" w14:textId="77777777">
            <w:pPr>
              <w:spacing w:line="276" w:lineRule="auto"/>
              <w:rPr>
                <w:sz w:val="22"/>
                <w:szCs w:val="22"/>
              </w:rPr>
            </w:pPr>
          </w:p>
        </w:tc>
      </w:tr>
    </w:tbl>
    <w:p w:rsidR="006A680D" w14:paraId="000000DE" w14:textId="77777777">
      <w:pPr>
        <w:spacing w:line="276" w:lineRule="auto"/>
      </w:pPr>
    </w:p>
    <w:p w:rsidR="006A680D" w14:paraId="000000DF" w14:textId="77777777">
      <w:pPr>
        <w:spacing w:before="120" w:line="276" w:lineRule="auto"/>
        <w:ind w:firstLine="720"/>
      </w:pPr>
      <w:r>
        <w:t xml:space="preserve">There will be two sampling methods used. The first method is a convenience sample. Surveys will be disseminated on participating WFOs social media pages. In addition, each WFO will enlist core partners (local weather, Emergency Managers (EMs), community groups) to share the survey links on </w:t>
      </w:r>
      <w:r>
        <w:t xml:space="preserve">their social media pages and email listservs to reach broader segments of the population. The goal is to create a high quality, geodemographically stratified convenience sample, called a quota sample. </w:t>
      </w:r>
    </w:p>
    <w:p w:rsidR="006A680D" w14:paraId="000000E0" w14:textId="77777777">
      <w:pPr>
        <w:spacing w:before="120" w:line="276" w:lineRule="auto"/>
        <w:ind w:firstLine="720"/>
      </w:pPr>
      <w:r>
        <w:t xml:space="preserve">Table 2 estimates surveys completed by the participating offices in Phase 2 based on results from Phase 1. In Phase 1, 15,226 surveys were completed. For Phase 2, we estimate that offices will field 1 - 4 surveys per year. </w:t>
      </w:r>
    </w:p>
    <w:p w:rsidR="006A680D" w14:paraId="000000E1" w14:textId="77777777">
      <w:pPr>
        <w:spacing w:before="120" w:line="276" w:lineRule="auto"/>
      </w:pPr>
    </w:p>
    <w:p w:rsidR="006A680D" w14:paraId="000000E6" w14:textId="77777777">
      <w:pPr>
        <w:spacing w:after="160" w:line="256" w:lineRule="auto"/>
      </w:pPr>
      <w:r>
        <w:t>Table 2. Convenience Sample Estimated Respondents Phase II.</w:t>
      </w:r>
    </w:p>
    <w:sdt>
      <w:sdtPr>
        <w:tag w:val="goog_rdk_0"/>
        <w:id w:val="1780154301"/>
        <w:lock w:val="contentLocked"/>
        <w:richText/>
      </w:sdtPr>
      <w:sdtContent>
        <w:tbl>
          <w:tblPr>
            <w:tblStyle w:val="ae"/>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1200"/>
            <w:gridCol w:w="2280"/>
            <w:gridCol w:w="2325"/>
            <w:gridCol w:w="1785"/>
            <w:gridCol w:w="2130"/>
          </w:tblGrid>
          <w:tr w14:paraId="1D561D40" w14:textId="77777777">
            <w:tblPrEx>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Ex>
            <w:tc>
              <w:tcPr>
                <w:tcW w:w="120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E7" w14:textId="77777777">
                <w:pPr>
                  <w:rPr>
                    <w:sz w:val="22"/>
                    <w:szCs w:val="22"/>
                  </w:rPr>
                </w:pPr>
                <w:r>
                  <w:rPr>
                    <w:sz w:val="22"/>
                    <w:szCs w:val="22"/>
                  </w:rPr>
                  <w:t xml:space="preserve"> </w:t>
                </w:r>
              </w:p>
            </w:tc>
            <w:tc>
              <w:tcPr>
                <w:tcW w:w="228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E8" w14:textId="77777777">
                <w:pPr>
                  <w:jc w:val="center"/>
                  <w:rPr>
                    <w:sz w:val="22"/>
                    <w:szCs w:val="22"/>
                  </w:rPr>
                </w:pPr>
                <w:r>
                  <w:rPr>
                    <w:b/>
                    <w:sz w:val="22"/>
                    <w:szCs w:val="22"/>
                  </w:rPr>
                  <w:t>Avg. Numb. WFOs</w:t>
                </w:r>
                <w:r>
                  <w:rPr>
                    <w:b/>
                    <w:sz w:val="22"/>
                    <w:szCs w:val="22"/>
                    <w:vertAlign w:val="superscript"/>
                  </w:rPr>
                  <w:t xml:space="preserve"> (1)</w:t>
                </w:r>
                <w:r>
                  <w:rPr>
                    <w:b/>
                    <w:sz w:val="22"/>
                    <w:szCs w:val="22"/>
                  </w:rPr>
                  <w:t xml:space="preserve"> </w:t>
                </w:r>
              </w:p>
            </w:tc>
            <w:tc>
              <w:tcPr>
                <w:tcW w:w="23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E9" w14:textId="77777777">
                <w:pPr>
                  <w:jc w:val="center"/>
                  <w:rPr>
                    <w:sz w:val="22"/>
                    <w:szCs w:val="22"/>
                  </w:rPr>
                </w:pPr>
                <w:r>
                  <w:rPr>
                    <w:b/>
                    <w:sz w:val="22"/>
                    <w:szCs w:val="22"/>
                  </w:rPr>
                  <w:t xml:space="preserve">Surveys per WFO </w:t>
                </w:r>
                <w:r>
                  <w:rPr>
                    <w:b/>
                    <w:sz w:val="22"/>
                    <w:szCs w:val="22"/>
                    <w:vertAlign w:val="superscript"/>
                  </w:rPr>
                  <w:t>(2)</w:t>
                </w:r>
                <w:r>
                  <w:rPr>
                    <w:b/>
                    <w:sz w:val="22"/>
                    <w:szCs w:val="22"/>
                  </w:rPr>
                  <w:t xml:space="preserve"> </w:t>
                </w:r>
              </w:p>
            </w:tc>
            <w:tc>
              <w:tcPr>
                <w:tcW w:w="178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EA" w14:textId="77777777">
                <w:pPr>
                  <w:jc w:val="center"/>
                  <w:rPr>
                    <w:sz w:val="22"/>
                    <w:szCs w:val="22"/>
                  </w:rPr>
                </w:pPr>
                <w:r>
                  <w:rPr>
                    <w:b/>
                    <w:sz w:val="22"/>
                    <w:szCs w:val="22"/>
                  </w:rPr>
                  <w:t>Responses per Survey</w:t>
                </w:r>
                <w:r>
                  <w:rPr>
                    <w:b/>
                    <w:sz w:val="22"/>
                    <w:szCs w:val="22"/>
                    <w:vertAlign w:val="superscript"/>
                  </w:rPr>
                  <w:t xml:space="preserve"> (3)</w:t>
                </w:r>
                <w:r>
                  <w:rPr>
                    <w:b/>
                    <w:sz w:val="22"/>
                    <w:szCs w:val="22"/>
                  </w:rPr>
                  <w:t xml:space="preserve"> </w:t>
                </w:r>
              </w:p>
            </w:tc>
            <w:tc>
              <w:tcPr>
                <w:tcW w:w="21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EB" w14:textId="77777777">
                <w:pPr>
                  <w:jc w:val="center"/>
                  <w:rPr>
                    <w:sz w:val="22"/>
                    <w:szCs w:val="22"/>
                  </w:rPr>
                </w:pPr>
                <w:r>
                  <w:rPr>
                    <w:b/>
                    <w:sz w:val="22"/>
                    <w:szCs w:val="22"/>
                  </w:rPr>
                  <w:t>Total Surveys</w:t>
                </w:r>
              </w:p>
            </w:tc>
          </w:tr>
          <w:tr w14:paraId="0BACD59A" w14:textId="77777777">
            <w:tblPrEx>
              <w:tblW w:w="9720" w:type="dxa"/>
              <w:tblLayout w:type="fixed"/>
              <w:tblLook w:val="0600"/>
            </w:tblPrEx>
            <w:trPr>
              <w:trHeight w:val="415"/>
            </w:trPr>
            <w:tc>
              <w:tcPr>
                <w:tcW w:w="120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EC" w14:textId="77777777">
                <w:pPr>
                  <w:jc w:val="center"/>
                  <w:rPr>
                    <w:sz w:val="22"/>
                    <w:szCs w:val="22"/>
                  </w:rPr>
                </w:pPr>
                <w:r>
                  <w:rPr>
                    <w:b/>
                    <w:sz w:val="22"/>
                    <w:szCs w:val="22"/>
                  </w:rPr>
                  <w:t>Year 1</w:t>
                </w:r>
              </w:p>
            </w:tc>
            <w:tc>
              <w:tcPr>
                <w:tcW w:w="228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ED" w14:textId="77777777">
                <w:pPr>
                  <w:jc w:val="center"/>
                  <w:rPr>
                    <w:sz w:val="22"/>
                    <w:szCs w:val="22"/>
                  </w:rPr>
                </w:pPr>
                <w:r>
                  <w:rPr>
                    <w:sz w:val="22"/>
                    <w:szCs w:val="22"/>
                  </w:rPr>
                  <w:t>22</w:t>
                </w:r>
              </w:p>
            </w:tc>
            <w:tc>
              <w:tcPr>
                <w:tcW w:w="23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EE" w14:textId="77777777">
                <w:pPr>
                  <w:jc w:val="center"/>
                  <w:rPr>
                    <w:sz w:val="22"/>
                    <w:szCs w:val="22"/>
                  </w:rPr>
                </w:pPr>
                <w:r>
                  <w:rPr>
                    <w:sz w:val="22"/>
                    <w:szCs w:val="22"/>
                  </w:rPr>
                  <w:t>1.5</w:t>
                </w:r>
              </w:p>
            </w:tc>
            <w:tc>
              <w:tcPr>
                <w:tcW w:w="178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EF" w14:textId="77777777">
                <w:pPr>
                  <w:jc w:val="center"/>
                  <w:rPr>
                    <w:sz w:val="22"/>
                    <w:szCs w:val="22"/>
                  </w:rPr>
                </w:pPr>
                <w:r>
                  <w:rPr>
                    <w:sz w:val="22"/>
                    <w:szCs w:val="22"/>
                  </w:rPr>
                  <w:t>500</w:t>
                </w:r>
              </w:p>
            </w:tc>
            <w:tc>
              <w:tcPr>
                <w:tcW w:w="21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F0" w14:textId="77777777">
                <w:pPr>
                  <w:jc w:val="center"/>
                  <w:rPr>
                    <w:sz w:val="22"/>
                    <w:szCs w:val="22"/>
                  </w:rPr>
                </w:pPr>
                <w:r>
                  <w:rPr>
                    <w:sz w:val="22"/>
                    <w:szCs w:val="22"/>
                  </w:rPr>
                  <w:t>16,500</w:t>
                </w:r>
              </w:p>
            </w:tc>
          </w:tr>
          <w:tr w14:paraId="008B3503" w14:textId="77777777">
            <w:tblPrEx>
              <w:tblW w:w="9720" w:type="dxa"/>
              <w:tblLayout w:type="fixed"/>
              <w:tblLook w:val="0600"/>
            </w:tblPrEx>
            <w:trPr>
              <w:trHeight w:val="415"/>
            </w:trPr>
            <w:tc>
              <w:tcPr>
                <w:tcW w:w="120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F1" w14:textId="77777777">
                <w:pPr>
                  <w:jc w:val="center"/>
                  <w:rPr>
                    <w:sz w:val="22"/>
                    <w:szCs w:val="22"/>
                  </w:rPr>
                </w:pPr>
                <w:r>
                  <w:rPr>
                    <w:b/>
                    <w:sz w:val="22"/>
                    <w:szCs w:val="22"/>
                  </w:rPr>
                  <w:t>Year 2</w:t>
                </w:r>
              </w:p>
            </w:tc>
            <w:tc>
              <w:tcPr>
                <w:tcW w:w="228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F2" w14:textId="77777777">
                <w:pPr>
                  <w:jc w:val="center"/>
                  <w:rPr>
                    <w:sz w:val="22"/>
                    <w:szCs w:val="22"/>
                  </w:rPr>
                </w:pPr>
                <w:r>
                  <w:rPr>
                    <w:sz w:val="22"/>
                    <w:szCs w:val="22"/>
                  </w:rPr>
                  <w:t>35</w:t>
                </w:r>
              </w:p>
            </w:tc>
            <w:tc>
              <w:tcPr>
                <w:tcW w:w="23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F3" w14:textId="77777777">
                <w:pPr>
                  <w:jc w:val="center"/>
                  <w:rPr>
                    <w:sz w:val="22"/>
                    <w:szCs w:val="22"/>
                  </w:rPr>
                </w:pPr>
                <w:r>
                  <w:rPr>
                    <w:sz w:val="22"/>
                    <w:szCs w:val="22"/>
                  </w:rPr>
                  <w:t>1.5</w:t>
                </w:r>
              </w:p>
            </w:tc>
            <w:tc>
              <w:tcPr>
                <w:tcW w:w="178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F4" w14:textId="77777777">
                <w:pPr>
                  <w:jc w:val="center"/>
                  <w:rPr>
                    <w:sz w:val="22"/>
                    <w:szCs w:val="22"/>
                  </w:rPr>
                </w:pPr>
                <w:r>
                  <w:rPr>
                    <w:sz w:val="22"/>
                    <w:szCs w:val="22"/>
                  </w:rPr>
                  <w:t>550</w:t>
                </w:r>
              </w:p>
            </w:tc>
            <w:tc>
              <w:tcPr>
                <w:tcW w:w="21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F5" w14:textId="77777777">
                <w:pPr>
                  <w:jc w:val="center"/>
                  <w:rPr>
                    <w:sz w:val="22"/>
                    <w:szCs w:val="22"/>
                  </w:rPr>
                </w:pPr>
                <w:r>
                  <w:rPr>
                    <w:sz w:val="22"/>
                    <w:szCs w:val="22"/>
                  </w:rPr>
                  <w:t>28,875</w:t>
                </w:r>
              </w:p>
            </w:tc>
          </w:tr>
          <w:tr w14:paraId="777D732D" w14:textId="77777777">
            <w:tblPrEx>
              <w:tblW w:w="9720" w:type="dxa"/>
              <w:tblLayout w:type="fixed"/>
              <w:tblLook w:val="0600"/>
            </w:tblPrEx>
            <w:trPr>
              <w:trHeight w:val="415"/>
            </w:trPr>
            <w:tc>
              <w:tcPr>
                <w:tcW w:w="120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F6" w14:textId="77777777">
                <w:pPr>
                  <w:jc w:val="center"/>
                  <w:rPr>
                    <w:sz w:val="22"/>
                    <w:szCs w:val="22"/>
                  </w:rPr>
                </w:pPr>
                <w:r>
                  <w:rPr>
                    <w:b/>
                    <w:sz w:val="22"/>
                    <w:szCs w:val="22"/>
                  </w:rPr>
                  <w:t>Year 3</w:t>
                </w:r>
              </w:p>
            </w:tc>
            <w:tc>
              <w:tcPr>
                <w:tcW w:w="228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F7" w14:textId="77777777">
                <w:pPr>
                  <w:jc w:val="center"/>
                  <w:rPr>
                    <w:sz w:val="22"/>
                    <w:szCs w:val="22"/>
                  </w:rPr>
                </w:pPr>
                <w:r>
                  <w:rPr>
                    <w:sz w:val="22"/>
                    <w:szCs w:val="22"/>
                  </w:rPr>
                  <w:t>45</w:t>
                </w:r>
              </w:p>
            </w:tc>
            <w:tc>
              <w:tcPr>
                <w:tcW w:w="232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F8" w14:textId="77777777">
                <w:pPr>
                  <w:jc w:val="center"/>
                  <w:rPr>
                    <w:sz w:val="22"/>
                    <w:szCs w:val="22"/>
                  </w:rPr>
                </w:pPr>
                <w:r>
                  <w:rPr>
                    <w:sz w:val="22"/>
                    <w:szCs w:val="22"/>
                  </w:rPr>
                  <w:t>2</w:t>
                </w:r>
              </w:p>
            </w:tc>
            <w:tc>
              <w:tcPr>
                <w:tcW w:w="1785"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F9" w14:textId="77777777">
                <w:pPr>
                  <w:jc w:val="center"/>
                  <w:rPr>
                    <w:sz w:val="22"/>
                    <w:szCs w:val="22"/>
                  </w:rPr>
                </w:pPr>
                <w:r>
                  <w:rPr>
                    <w:sz w:val="22"/>
                    <w:szCs w:val="22"/>
                  </w:rPr>
                  <w:t>600</w:t>
                </w:r>
              </w:p>
            </w:tc>
            <w:tc>
              <w:tcPr>
                <w:tcW w:w="2130" w:type="dxa"/>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vAlign w:val="center"/>
              </w:tcPr>
              <w:p w:rsidR="006A680D" w14:paraId="000000FA" w14:textId="77777777">
                <w:pPr>
                  <w:jc w:val="center"/>
                  <w:rPr>
                    <w:sz w:val="22"/>
                    <w:szCs w:val="22"/>
                  </w:rPr>
                </w:pPr>
                <w:r>
                  <w:rPr>
                    <w:sz w:val="22"/>
                    <w:szCs w:val="22"/>
                  </w:rPr>
                  <w:t>54,000</w:t>
                </w:r>
              </w:p>
            </w:tc>
          </w:tr>
          <w:tr w14:paraId="22B8834E" w14:textId="77777777">
            <w:tblPrEx>
              <w:tblW w:w="9720" w:type="dxa"/>
              <w:tblLayout w:type="fixed"/>
              <w:tblLook w:val="0600"/>
            </w:tblPrEx>
            <w:trPr>
              <w:trHeight w:val="415"/>
            </w:trPr>
            <w:tc>
              <w:tcPr>
                <w:tcW w:w="1200" w:type="dxa"/>
                <w:tcBorders>
                  <w:top w:val="single" w:sz="4" w:space="0" w:color="000000"/>
                  <w:left w:val="single" w:sz="4" w:space="0" w:color="000000"/>
                  <w:bottom w:val="single" w:sz="4" w:space="0" w:color="000000"/>
                  <w:right w:val="single" w:sz="4" w:space="0" w:color="000000"/>
                </w:tcBorders>
                <w:shd w:val="clear" w:color="auto" w:fill="CCCCCC"/>
                <w:tcMar>
                  <w:top w:w="144" w:type="dxa"/>
                  <w:left w:w="144" w:type="dxa"/>
                  <w:bottom w:w="144" w:type="dxa"/>
                  <w:right w:w="144" w:type="dxa"/>
                </w:tcMar>
                <w:vAlign w:val="center"/>
              </w:tcPr>
              <w:p w:rsidR="006A680D" w14:paraId="000000FB" w14:textId="77777777">
                <w:pPr>
                  <w:jc w:val="center"/>
                  <w:rPr>
                    <w:sz w:val="22"/>
                    <w:szCs w:val="22"/>
                  </w:rPr>
                </w:pPr>
                <w:r>
                  <w:rPr>
                    <w:b/>
                    <w:sz w:val="22"/>
                    <w:szCs w:val="22"/>
                  </w:rPr>
                  <w:t>Total</w:t>
                </w:r>
              </w:p>
            </w:tc>
            <w:tc>
              <w:tcPr>
                <w:tcW w:w="2280" w:type="dxa"/>
                <w:tcBorders>
                  <w:top w:val="single" w:sz="4" w:space="0" w:color="000000"/>
                  <w:left w:val="single" w:sz="4" w:space="0" w:color="000000"/>
                  <w:bottom w:val="single" w:sz="4" w:space="0" w:color="000000"/>
                  <w:right w:val="single" w:sz="4" w:space="0" w:color="000000"/>
                </w:tcBorders>
                <w:shd w:val="clear" w:color="auto" w:fill="CCCCCC"/>
                <w:tcMar>
                  <w:top w:w="144" w:type="dxa"/>
                  <w:left w:w="144" w:type="dxa"/>
                  <w:bottom w:w="144" w:type="dxa"/>
                  <w:right w:w="144" w:type="dxa"/>
                </w:tcMar>
                <w:vAlign w:val="center"/>
              </w:tcPr>
              <w:p w:rsidR="006A680D" w14:paraId="000000FC" w14:textId="77777777">
                <w:pPr>
                  <w:rPr>
                    <w:sz w:val="22"/>
                    <w:szCs w:val="22"/>
                  </w:rPr>
                </w:pPr>
                <w:r>
                  <w:rPr>
                    <w:b/>
                    <w:sz w:val="22"/>
                    <w:szCs w:val="22"/>
                  </w:rPr>
                  <w:t xml:space="preserve"> </w:t>
                </w:r>
              </w:p>
            </w:tc>
            <w:tc>
              <w:tcPr>
                <w:tcW w:w="2325" w:type="dxa"/>
                <w:tcBorders>
                  <w:top w:val="single" w:sz="4" w:space="0" w:color="000000"/>
                  <w:left w:val="single" w:sz="4" w:space="0" w:color="000000"/>
                  <w:bottom w:val="single" w:sz="4" w:space="0" w:color="000000"/>
                  <w:right w:val="single" w:sz="4" w:space="0" w:color="000000"/>
                </w:tcBorders>
                <w:shd w:val="clear" w:color="auto" w:fill="CCCCCC"/>
                <w:tcMar>
                  <w:top w:w="144" w:type="dxa"/>
                  <w:left w:w="144" w:type="dxa"/>
                  <w:bottom w:w="144" w:type="dxa"/>
                  <w:right w:w="144" w:type="dxa"/>
                </w:tcMar>
                <w:vAlign w:val="center"/>
              </w:tcPr>
              <w:p w:rsidR="006A680D" w14:paraId="000000FD" w14:textId="77777777">
                <w:pPr>
                  <w:rPr>
                    <w:sz w:val="22"/>
                    <w:szCs w:val="22"/>
                  </w:rPr>
                </w:pPr>
                <w:r>
                  <w:rPr>
                    <w:b/>
                    <w:sz w:val="22"/>
                    <w:szCs w:val="22"/>
                  </w:rPr>
                  <w:t xml:space="preserve"> </w:t>
                </w:r>
              </w:p>
            </w:tc>
            <w:tc>
              <w:tcPr>
                <w:tcW w:w="1785" w:type="dxa"/>
                <w:tcBorders>
                  <w:top w:val="single" w:sz="4" w:space="0" w:color="000000"/>
                  <w:left w:val="single" w:sz="4" w:space="0" w:color="000000"/>
                  <w:bottom w:val="single" w:sz="4" w:space="0" w:color="000000"/>
                  <w:right w:val="single" w:sz="4" w:space="0" w:color="000000"/>
                </w:tcBorders>
                <w:shd w:val="clear" w:color="auto" w:fill="CCCCCC"/>
                <w:tcMar>
                  <w:top w:w="144" w:type="dxa"/>
                  <w:left w:w="144" w:type="dxa"/>
                  <w:bottom w:w="144" w:type="dxa"/>
                  <w:right w:w="144" w:type="dxa"/>
                </w:tcMar>
                <w:vAlign w:val="center"/>
              </w:tcPr>
              <w:p w:rsidR="006A680D" w14:paraId="000000FE" w14:textId="77777777">
                <w:pPr>
                  <w:rPr>
                    <w:sz w:val="22"/>
                    <w:szCs w:val="22"/>
                  </w:rPr>
                </w:pPr>
                <w:r>
                  <w:rPr>
                    <w:b/>
                    <w:sz w:val="22"/>
                    <w:szCs w:val="22"/>
                  </w:rPr>
                  <w:t xml:space="preserve"> </w:t>
                </w:r>
              </w:p>
            </w:tc>
            <w:tc>
              <w:tcPr>
                <w:tcW w:w="2130" w:type="dxa"/>
                <w:tcBorders>
                  <w:top w:val="single" w:sz="4" w:space="0" w:color="000000"/>
                  <w:left w:val="single" w:sz="4" w:space="0" w:color="000000"/>
                  <w:bottom w:val="single" w:sz="4" w:space="0" w:color="000000"/>
                  <w:right w:val="single" w:sz="4" w:space="0" w:color="000000"/>
                </w:tcBorders>
                <w:shd w:val="clear" w:color="auto" w:fill="CCCCCC"/>
                <w:tcMar>
                  <w:top w:w="144" w:type="dxa"/>
                  <w:left w:w="144" w:type="dxa"/>
                  <w:bottom w:w="144" w:type="dxa"/>
                  <w:right w:w="144" w:type="dxa"/>
                </w:tcMar>
                <w:vAlign w:val="center"/>
              </w:tcPr>
              <w:p w:rsidR="006A680D" w14:paraId="000000FF" w14:textId="77777777">
                <w:pPr>
                  <w:jc w:val="center"/>
                  <w:rPr>
                    <w:sz w:val="22"/>
                    <w:szCs w:val="22"/>
                  </w:rPr>
                </w:pPr>
                <w:r>
                  <w:rPr>
                    <w:b/>
                    <w:sz w:val="22"/>
                    <w:szCs w:val="22"/>
                  </w:rPr>
                  <w:t>99,375</w:t>
                </w:r>
              </w:p>
            </w:tc>
          </w:tr>
        </w:tbl>
      </w:sdtContent>
    </w:sdt>
    <w:p w:rsidR="006A680D" w14:paraId="00000100" w14:textId="77777777">
      <w:pPr>
        <w:numPr>
          <w:ilvl w:val="0"/>
          <w:numId w:val="1"/>
        </w:numPr>
        <w:rPr>
          <w:i/>
        </w:rPr>
      </w:pPr>
      <w:r>
        <w:rPr>
          <w:i/>
        </w:rPr>
        <w:t>Targets are: 30 WFOs by end of Year 1, 40 WFOs by end of Year 2, and 50 active WFOs by project end. Numbers in Table 2 reflect average annual WFOs that are expected to participate.</w:t>
      </w:r>
    </w:p>
    <w:p w:rsidR="006A680D" w14:paraId="00000101" w14:textId="797DC554">
      <w:pPr>
        <w:numPr>
          <w:ilvl w:val="0"/>
          <w:numId w:val="1"/>
        </w:numPr>
        <w:rPr>
          <w:i/>
        </w:rPr>
      </w:pPr>
      <w:r>
        <w:rPr>
          <w:i/>
        </w:rPr>
        <w:t>Phase I average surveys per WFO was 1 (range 1 - 4</w:t>
      </w:r>
      <w:r>
        <w:rPr>
          <w:i/>
        </w:rPr>
        <w:t>); Phase II projected average surveys per WFO is 1.5-2.0.</w:t>
      </w:r>
    </w:p>
    <w:p w:rsidR="006A680D" w14:paraId="00000102" w14:textId="77777777">
      <w:pPr>
        <w:numPr>
          <w:ilvl w:val="0"/>
          <w:numId w:val="1"/>
        </w:numPr>
        <w:rPr>
          <w:i/>
        </w:rPr>
      </w:pPr>
      <w:r>
        <w:rPr>
          <w:i/>
        </w:rPr>
        <w:t xml:space="preserve">Phase I responses per survey was 412; projections of 500 - 600 responses per survey reflect planned improvements in response. </w:t>
      </w:r>
    </w:p>
    <w:p w:rsidR="006A680D" w14:paraId="00000103" w14:textId="77777777">
      <w:pPr>
        <w:spacing w:after="160" w:line="256" w:lineRule="auto"/>
      </w:pPr>
    </w:p>
    <w:p w:rsidR="006A680D" w14:paraId="00000104" w14:textId="77777777">
      <w:pPr>
        <w:spacing w:before="120" w:line="276" w:lineRule="auto"/>
        <w:ind w:firstLine="720"/>
        <w:sectPr>
          <w:footerReference w:type="even" r:id="rId5"/>
          <w:footerReference w:type="default" r:id="rId6"/>
          <w:pgSz w:w="12240" w:h="15840"/>
          <w:pgMar w:top="1080" w:right="1080" w:bottom="1200" w:left="1080" w:header="0" w:footer="1014" w:gutter="0"/>
          <w:pgNumType w:start="1"/>
          <w:cols w:space="720"/>
        </w:sectPr>
      </w:pPr>
      <w:r>
        <w:t xml:space="preserve">The second sampling method will be an internet-based probability sample. Although a probability-based sample has historically been the gold standard for this type of survey, it would be cost prohibitive to conduct the multiple surveys required for this effort. Therefore, an important topic for this study is how to collect and weight the quota sample that addresses bias issues that are common to convenience samples (see question 2), and to what extent this approach is appropriate for making statements about </w:t>
      </w:r>
      <w:r>
        <w:t xml:space="preserve">the respondents and for understanding causal factors. A sampling experiment will be conducted in Year 1 to compare U.S. Census-based benchmarks, a probability-based sample, and a convenience sample for 1 – 3 events (see question 3). The probability-based sample is being purchased from Ipsos Knowledge Panel. Ipsos uses probability sampling to recruit a representative U.S. online </w:t>
      </w:r>
      <w:r>
        <w:t>panel. Panel members are recruited using probability selection algorithms for both random-digit dial (RDD) telephone and address-ba</w:t>
      </w:r>
      <w:r>
        <w:t xml:space="preserve">sed sampling (ABS) methodologies. The Ipsos response rate is expected to be 55-60% (Ipsos 2015). Table 3 estimates the number of expected respondents to be 1650. </w:t>
      </w:r>
    </w:p>
    <w:p w:rsidR="006A680D" w14:paraId="00000105" w14:textId="77777777">
      <w:r>
        <w:t>Table 3. Probability Sample Estimated Respondents</w:t>
      </w:r>
    </w:p>
    <w:tbl>
      <w:tblPr>
        <w:tblStyle w:val="af"/>
        <w:tblW w:w="11760" w:type="dxa"/>
        <w:tblBorders>
          <w:top w:val="nil"/>
          <w:left w:val="nil"/>
          <w:bottom w:val="nil"/>
          <w:right w:val="nil"/>
          <w:insideH w:val="nil"/>
          <w:insideV w:val="nil"/>
        </w:tblBorders>
        <w:tblLayout w:type="fixed"/>
        <w:tblLook w:val="0600"/>
      </w:tblPr>
      <w:tblGrid>
        <w:gridCol w:w="1875"/>
        <w:gridCol w:w="2070"/>
        <w:gridCol w:w="1440"/>
        <w:gridCol w:w="1815"/>
        <w:gridCol w:w="1755"/>
        <w:gridCol w:w="2805"/>
      </w:tblGrid>
      <w:tr w14:paraId="2648D81C" w14:textId="77777777">
        <w:tblPrEx>
          <w:tblW w:w="11760" w:type="dxa"/>
          <w:tblBorders>
            <w:top w:val="nil"/>
            <w:left w:val="nil"/>
            <w:bottom w:val="nil"/>
            <w:right w:val="nil"/>
            <w:insideH w:val="nil"/>
            <w:insideV w:val="nil"/>
          </w:tblBorders>
          <w:tblLayout w:type="fixed"/>
          <w:tblLook w:val="0600"/>
        </w:tblPrEx>
        <w:trPr>
          <w:trHeight w:val="1624"/>
        </w:trPr>
        <w:tc>
          <w:tcPr>
            <w:tcW w:w="18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A680D" w14:paraId="00000106" w14:textId="77777777">
            <w:pPr>
              <w:spacing w:after="160" w:line="256" w:lineRule="auto"/>
              <w:rPr>
                <w:sz w:val="22"/>
                <w:szCs w:val="22"/>
              </w:rPr>
            </w:pPr>
            <w:r>
              <w:rPr>
                <w:sz w:val="22"/>
                <w:szCs w:val="22"/>
              </w:rPr>
              <w:t>Information Collection</w:t>
            </w:r>
          </w:p>
        </w:tc>
        <w:tc>
          <w:tcPr>
            <w:tcW w:w="207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6A680D" w14:paraId="00000107" w14:textId="77777777">
            <w:pPr>
              <w:spacing w:after="160" w:line="256" w:lineRule="auto"/>
              <w:jc w:val="center"/>
              <w:rPr>
                <w:sz w:val="22"/>
                <w:szCs w:val="22"/>
              </w:rPr>
            </w:pPr>
            <w:r>
              <w:rPr>
                <w:sz w:val="22"/>
                <w:szCs w:val="22"/>
              </w:rPr>
              <w:t>Population or Potential Respondents Universe</w:t>
            </w:r>
          </w:p>
          <w:p w:rsidR="006A680D" w14:paraId="00000108" w14:textId="77777777">
            <w:pPr>
              <w:spacing w:after="160" w:line="256" w:lineRule="auto"/>
              <w:jc w:val="center"/>
              <w:rPr>
                <w:sz w:val="22"/>
                <w:szCs w:val="22"/>
              </w:rPr>
            </w:pPr>
            <w:r>
              <w:rPr>
                <w:sz w:val="22"/>
                <w:szCs w:val="22"/>
              </w:rPr>
              <w:t>(a)</w:t>
            </w:r>
          </w:p>
        </w:tc>
        <w:tc>
          <w:tcPr>
            <w:tcW w:w="144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6A680D" w14:paraId="00000109" w14:textId="77777777">
            <w:pPr>
              <w:spacing w:after="160" w:line="256" w:lineRule="auto"/>
              <w:jc w:val="center"/>
              <w:rPr>
                <w:sz w:val="22"/>
                <w:szCs w:val="22"/>
              </w:rPr>
            </w:pPr>
            <w:r>
              <w:rPr>
                <w:sz w:val="22"/>
                <w:szCs w:val="22"/>
              </w:rPr>
              <w:t>Number of Respondents Selected</w:t>
            </w:r>
          </w:p>
          <w:p w:rsidR="006A680D" w14:paraId="0000010A" w14:textId="77777777">
            <w:pPr>
              <w:spacing w:after="160" w:line="256" w:lineRule="auto"/>
              <w:jc w:val="center"/>
              <w:rPr>
                <w:sz w:val="22"/>
                <w:szCs w:val="22"/>
              </w:rPr>
            </w:pPr>
            <w:r>
              <w:rPr>
                <w:sz w:val="22"/>
                <w:szCs w:val="22"/>
              </w:rPr>
              <w:t>(b)</w:t>
            </w:r>
          </w:p>
        </w:tc>
        <w:tc>
          <w:tcPr>
            <w:tcW w:w="18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6A680D" w14:paraId="0000010B" w14:textId="77777777">
            <w:pPr>
              <w:spacing w:after="160" w:line="256" w:lineRule="auto"/>
              <w:jc w:val="center"/>
              <w:rPr>
                <w:sz w:val="22"/>
                <w:szCs w:val="22"/>
              </w:rPr>
            </w:pPr>
            <w:r>
              <w:rPr>
                <w:sz w:val="22"/>
                <w:szCs w:val="22"/>
              </w:rPr>
              <w:t>Maximum Ipsos surveys</w:t>
            </w:r>
          </w:p>
          <w:p w:rsidR="006A680D" w14:paraId="0000010C" w14:textId="77777777">
            <w:pPr>
              <w:spacing w:after="160" w:line="256" w:lineRule="auto"/>
              <w:jc w:val="center"/>
              <w:rPr>
                <w:sz w:val="22"/>
                <w:szCs w:val="22"/>
              </w:rPr>
            </w:pPr>
            <w:r>
              <w:rPr>
                <w:sz w:val="22"/>
                <w:szCs w:val="22"/>
              </w:rPr>
              <w:t>(c)</w:t>
            </w:r>
          </w:p>
        </w:tc>
        <w:tc>
          <w:tcPr>
            <w:tcW w:w="175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6A680D" w14:paraId="0000010D" w14:textId="77777777">
            <w:pPr>
              <w:spacing w:after="160" w:line="256" w:lineRule="auto"/>
              <w:jc w:val="center"/>
              <w:rPr>
                <w:sz w:val="22"/>
                <w:szCs w:val="22"/>
              </w:rPr>
            </w:pPr>
            <w:r>
              <w:rPr>
                <w:sz w:val="22"/>
                <w:szCs w:val="22"/>
              </w:rPr>
              <w:t>Expected Completion Rate</w:t>
            </w:r>
          </w:p>
          <w:p w:rsidR="006A680D" w14:paraId="0000010E" w14:textId="77777777">
            <w:pPr>
              <w:spacing w:after="160" w:line="256" w:lineRule="auto"/>
              <w:jc w:val="center"/>
              <w:rPr>
                <w:sz w:val="22"/>
                <w:szCs w:val="22"/>
              </w:rPr>
            </w:pPr>
            <w:r>
              <w:rPr>
                <w:sz w:val="22"/>
                <w:szCs w:val="22"/>
              </w:rPr>
              <w:t>(d)</w:t>
            </w:r>
          </w:p>
        </w:tc>
        <w:tc>
          <w:tcPr>
            <w:tcW w:w="280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6A680D" w14:paraId="0000010F" w14:textId="77777777">
            <w:pPr>
              <w:spacing w:after="160" w:line="256" w:lineRule="auto"/>
              <w:jc w:val="center"/>
              <w:rPr>
                <w:sz w:val="22"/>
                <w:szCs w:val="22"/>
              </w:rPr>
            </w:pPr>
            <w:r>
              <w:rPr>
                <w:sz w:val="22"/>
                <w:szCs w:val="22"/>
              </w:rPr>
              <w:t>Expected Number of Respondents</w:t>
            </w:r>
          </w:p>
          <w:p w:rsidR="006A680D" w14:paraId="00000110" w14:textId="77777777">
            <w:pPr>
              <w:spacing w:after="160" w:line="256" w:lineRule="auto"/>
              <w:jc w:val="center"/>
              <w:rPr>
                <w:sz w:val="22"/>
                <w:szCs w:val="22"/>
              </w:rPr>
            </w:pPr>
            <w:r>
              <w:rPr>
                <w:sz w:val="22"/>
                <w:szCs w:val="22"/>
              </w:rPr>
              <w:t>(e) =(b) x (c) x (d)</w:t>
            </w:r>
          </w:p>
        </w:tc>
      </w:tr>
      <w:tr w14:paraId="539772B4" w14:textId="77777777">
        <w:tblPrEx>
          <w:tblW w:w="11760" w:type="dxa"/>
          <w:tblLayout w:type="fixed"/>
          <w:tblLook w:val="0600"/>
        </w:tblPrEx>
        <w:trPr>
          <w:trHeight w:val="1619"/>
        </w:trPr>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A680D" w14:paraId="00000111" w14:textId="77777777">
            <w:pPr>
              <w:spacing w:after="160" w:line="256" w:lineRule="auto"/>
              <w:rPr>
                <w:sz w:val="22"/>
                <w:szCs w:val="22"/>
              </w:rPr>
            </w:pPr>
            <w:r>
              <w:rPr>
                <w:sz w:val="22"/>
                <w:szCs w:val="22"/>
              </w:rPr>
              <w:t xml:space="preserve"> Ipsos </w:t>
            </w:r>
            <w:r>
              <w:rPr>
                <w:sz w:val="22"/>
                <w:szCs w:val="22"/>
              </w:rPr>
              <w:t>KnowledgePanel</w:t>
            </w:r>
          </w:p>
        </w:tc>
        <w:tc>
          <w:tcPr>
            <w:tcW w:w="2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A680D" w14:paraId="00000112" w14:textId="77777777">
            <w:pPr>
              <w:spacing w:after="160" w:line="256" w:lineRule="auto"/>
              <w:jc w:val="center"/>
              <w:rPr>
                <w:sz w:val="22"/>
                <w:szCs w:val="22"/>
              </w:rPr>
            </w:pPr>
            <w:r>
              <w:rPr>
                <w:sz w:val="22"/>
                <w:szCs w:val="22"/>
              </w:rPr>
              <w:t xml:space="preserve">All of the population within the selected Yr 1 NWS WFO County Warning Areas = </w:t>
            </w:r>
            <w:r>
              <w:rPr>
                <w:b/>
                <w:sz w:val="22"/>
                <w:szCs w:val="22"/>
              </w:rPr>
              <w:t>139,797,299</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A680D" w14:paraId="00000113" w14:textId="77777777">
            <w:pPr>
              <w:spacing w:after="160" w:line="256" w:lineRule="auto"/>
              <w:jc w:val="center"/>
              <w:rPr>
                <w:sz w:val="22"/>
                <w:szCs w:val="22"/>
              </w:rPr>
            </w:pPr>
            <w:r>
              <w:rPr>
                <w:sz w:val="22"/>
                <w:szCs w:val="22"/>
              </w:rPr>
              <w:t>600</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A680D" w14:paraId="00000114" w14:textId="77777777">
            <w:pPr>
              <w:spacing w:after="160" w:line="256" w:lineRule="auto"/>
              <w:jc w:val="center"/>
              <w:rPr>
                <w:sz w:val="22"/>
                <w:szCs w:val="22"/>
              </w:rPr>
            </w:pPr>
            <w:r>
              <w:rPr>
                <w:sz w:val="22"/>
                <w:szCs w:val="22"/>
              </w:rPr>
              <w:t xml:space="preserve"> 5</w:t>
            </w:r>
          </w:p>
        </w:tc>
        <w:tc>
          <w:tcPr>
            <w:tcW w:w="17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A680D" w14:paraId="00000115" w14:textId="77777777">
            <w:pPr>
              <w:spacing w:after="160" w:line="256" w:lineRule="auto"/>
              <w:jc w:val="center"/>
              <w:rPr>
                <w:sz w:val="22"/>
                <w:szCs w:val="22"/>
              </w:rPr>
            </w:pPr>
            <w:r>
              <w:rPr>
                <w:sz w:val="22"/>
                <w:szCs w:val="22"/>
              </w:rPr>
              <w:t>55%</w:t>
            </w:r>
          </w:p>
        </w:tc>
        <w:tc>
          <w:tcPr>
            <w:tcW w:w="28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A680D" w14:paraId="00000116" w14:textId="77777777">
            <w:pPr>
              <w:spacing w:after="160" w:line="256" w:lineRule="auto"/>
              <w:jc w:val="center"/>
              <w:rPr>
                <w:sz w:val="22"/>
                <w:szCs w:val="22"/>
              </w:rPr>
            </w:pPr>
            <w:r>
              <w:rPr>
                <w:sz w:val="22"/>
                <w:szCs w:val="22"/>
              </w:rPr>
              <w:t>1,650</w:t>
            </w:r>
          </w:p>
        </w:tc>
      </w:tr>
      <w:tr w14:paraId="741836A2" w14:textId="77777777">
        <w:tblPrEx>
          <w:tblW w:w="11760" w:type="dxa"/>
          <w:tblLayout w:type="fixed"/>
          <w:tblLook w:val="0600"/>
        </w:tblPrEx>
        <w:trPr>
          <w:trHeight w:val="605"/>
        </w:trPr>
        <w:tc>
          <w:tcPr>
            <w:tcW w:w="187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A680D" w14:paraId="00000117" w14:textId="77777777">
            <w:pPr>
              <w:spacing w:after="160" w:line="256" w:lineRule="auto"/>
              <w:rPr>
                <w:b/>
                <w:sz w:val="22"/>
                <w:szCs w:val="22"/>
              </w:rPr>
            </w:pPr>
            <w:r>
              <w:rPr>
                <w:b/>
                <w:sz w:val="22"/>
                <w:szCs w:val="22"/>
              </w:rPr>
              <w:t>Total</w:t>
            </w:r>
          </w:p>
        </w:tc>
        <w:tc>
          <w:tcPr>
            <w:tcW w:w="207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6A680D" w14:paraId="00000118" w14:textId="77777777">
            <w:pPr>
              <w:spacing w:after="160" w:line="256" w:lineRule="auto"/>
              <w:jc w:val="center"/>
              <w:rPr>
                <w:b/>
                <w:sz w:val="22"/>
                <w:szCs w:val="22"/>
              </w:rPr>
            </w:pPr>
            <w:r>
              <w:rPr>
                <w:b/>
                <w:sz w:val="22"/>
                <w:szCs w:val="22"/>
              </w:rPr>
              <w:t xml:space="preserve"> </w:t>
            </w:r>
          </w:p>
        </w:tc>
        <w:tc>
          <w:tcPr>
            <w:tcW w:w="144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6A680D" w14:paraId="00000119" w14:textId="77777777">
            <w:pPr>
              <w:spacing w:after="160" w:line="256" w:lineRule="auto"/>
              <w:jc w:val="center"/>
              <w:rPr>
                <w:b/>
                <w:sz w:val="22"/>
                <w:szCs w:val="22"/>
              </w:rPr>
            </w:pPr>
            <w:r>
              <w:rPr>
                <w:b/>
                <w:sz w:val="22"/>
                <w:szCs w:val="22"/>
              </w:rPr>
              <w:t xml:space="preserve"> </w:t>
            </w:r>
          </w:p>
        </w:tc>
        <w:tc>
          <w:tcPr>
            <w:tcW w:w="181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6A680D" w14:paraId="0000011A" w14:textId="77777777">
            <w:pPr>
              <w:spacing w:after="160" w:line="256" w:lineRule="auto"/>
              <w:jc w:val="center"/>
              <w:rPr>
                <w:b/>
                <w:sz w:val="22"/>
                <w:szCs w:val="22"/>
              </w:rPr>
            </w:pPr>
            <w:r>
              <w:rPr>
                <w:b/>
                <w:sz w:val="22"/>
                <w:szCs w:val="22"/>
              </w:rPr>
              <w:t xml:space="preserve"> </w:t>
            </w:r>
          </w:p>
        </w:tc>
        <w:tc>
          <w:tcPr>
            <w:tcW w:w="175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rsidR="006A680D" w14:paraId="0000011B" w14:textId="77777777">
            <w:pPr>
              <w:spacing w:after="160" w:line="256" w:lineRule="auto"/>
              <w:jc w:val="center"/>
              <w:rPr>
                <w:b/>
                <w:sz w:val="22"/>
                <w:szCs w:val="22"/>
              </w:rPr>
            </w:pPr>
            <w:r>
              <w:rPr>
                <w:b/>
                <w:sz w:val="22"/>
                <w:szCs w:val="22"/>
              </w:rPr>
              <w:t xml:space="preserve"> </w:t>
            </w:r>
          </w:p>
        </w:tc>
        <w:tc>
          <w:tcPr>
            <w:tcW w:w="28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A680D" w14:paraId="0000011C" w14:textId="77777777">
            <w:pPr>
              <w:spacing w:after="160" w:line="256" w:lineRule="auto"/>
              <w:jc w:val="center"/>
              <w:rPr>
                <w:b/>
                <w:sz w:val="22"/>
                <w:szCs w:val="22"/>
              </w:rPr>
            </w:pPr>
            <w:r>
              <w:rPr>
                <w:b/>
                <w:sz w:val="22"/>
                <w:szCs w:val="22"/>
              </w:rPr>
              <w:t>1,650</w:t>
            </w:r>
          </w:p>
        </w:tc>
      </w:tr>
    </w:tbl>
    <w:p w:rsidR="006A680D" w14:paraId="0000011D" w14:textId="77777777">
      <w:pPr>
        <w:spacing w:after="160" w:line="256" w:lineRule="auto"/>
      </w:pPr>
      <w:r>
        <w:t xml:space="preserve"> </w:t>
      </w:r>
    </w:p>
    <w:p w:rsidR="006A680D" w14:paraId="0000011E" w14:textId="77777777">
      <w:pPr>
        <w:spacing w:after="160" w:line="256" w:lineRule="auto"/>
        <w:rPr>
          <w:b/>
        </w:rPr>
      </w:pPr>
      <w:r>
        <w:rPr>
          <w:b/>
        </w:rPr>
        <w:t>References</w:t>
      </w:r>
    </w:p>
    <w:p w:rsidR="006A680D" w14:paraId="0000011F" w14:textId="77777777">
      <w:pPr>
        <w:spacing w:after="160" w:line="276" w:lineRule="auto"/>
        <w:rPr>
          <w:highlight w:val="white"/>
          <w:u w:val="single"/>
        </w:rPr>
      </w:pPr>
      <w:r>
        <w:t>OMB 2021. Available from</w:t>
      </w:r>
      <w:hyperlink r:id="rId7">
        <w:r>
          <w:t xml:space="preserve"> </w:t>
        </w:r>
      </w:hyperlink>
      <w:hyperlink r:id="rId7">
        <w:r>
          <w:rPr>
            <w:highlight w:val="white"/>
            <w:u w:val="single"/>
          </w:rPr>
          <w:t>https://omb.report/icr/202105-0990-004/doc/111804401</w:t>
        </w:r>
      </w:hyperlink>
    </w:p>
    <w:p w:rsidR="006A680D" w14:paraId="00000120" w14:textId="77777777">
      <w:pPr>
        <w:spacing w:line="276" w:lineRule="auto"/>
        <w:rPr>
          <w:u w:val="single"/>
        </w:rPr>
      </w:pPr>
      <w:r>
        <w:t>Pew Research 2020. Available from</w:t>
      </w:r>
      <w:hyperlink r:id="rId8">
        <w:r>
          <w:t xml:space="preserve"> </w:t>
        </w:r>
      </w:hyperlink>
      <w:hyperlink r:id="rId8">
        <w:r>
          <w:rPr>
            <w:u w:val="single"/>
          </w:rPr>
          <w:t>https://www.pewforum.org/2020/01/22/methodology-31/</w:t>
        </w:r>
      </w:hyperlink>
    </w:p>
    <w:p w:rsidR="006A680D" w14:paraId="00000121" w14:textId="77777777">
      <w:pPr>
        <w:spacing w:line="276" w:lineRule="auto"/>
        <w:rPr>
          <w:u w:val="single"/>
        </w:rPr>
      </w:pPr>
      <w:r>
        <w:rPr>
          <w:u w:val="single"/>
        </w:rPr>
        <w:t>Pew Research 2021. Available from https://www.pewresearch.org/internet/2021/04/07/social-media-U.S.e-in-2021/</w:t>
      </w:r>
    </w:p>
    <w:p w:rsidR="006A680D" w14:paraId="00000122" w14:textId="77777777">
      <w:pPr>
        <w:spacing w:line="276" w:lineRule="auto"/>
      </w:pPr>
      <w:r>
        <w:t xml:space="preserve"> </w:t>
      </w:r>
    </w:p>
    <w:p w:rsidR="006A680D" w14:paraId="00000123" w14:textId="77777777">
      <w:pPr>
        <w:spacing w:line="276" w:lineRule="auto"/>
        <w:rPr>
          <w:u w:val="single"/>
        </w:rPr>
      </w:pPr>
      <w:r>
        <w:t>Ipsos 2015. Documentation for Human Subject Review Committees: Ipsos company information, past external review, confidentiality, and privacy protections for panelists. Available from</w:t>
      </w:r>
      <w:hyperlink r:id="rId9">
        <w:r>
          <w:t xml:space="preserve"> </w:t>
        </w:r>
      </w:hyperlink>
      <w:hyperlink r:id="rId9">
        <w:r>
          <w:rPr>
            <w:u w:val="single"/>
          </w:rPr>
          <w:t>https://www.Ipsos.com/sites/default/files/Documentation%20for%20IRBs.pdf</w:t>
        </w:r>
      </w:hyperlink>
    </w:p>
    <w:p w:rsidR="006A680D" w14:paraId="00000124" w14:textId="77777777">
      <w:pPr>
        <w:spacing w:line="276" w:lineRule="auto"/>
      </w:pPr>
    </w:p>
    <w:p w:rsidR="006A680D" w14:paraId="00000125" w14:textId="77777777">
      <w:pPr>
        <w:spacing w:line="276" w:lineRule="auto"/>
        <w:rPr>
          <w:u w:val="single"/>
        </w:rPr>
        <w:sectPr>
          <w:pgSz w:w="15840" w:h="12240" w:orient="landscape"/>
          <w:pgMar w:top="1080" w:right="1080" w:bottom="1080" w:left="1200" w:header="0" w:footer="1014" w:gutter="0"/>
          <w:cols w:space="720"/>
        </w:sectPr>
      </w:pPr>
      <w:r>
        <w:t>We Are Social 2021. Digital 2021: Global October Snapshot Report. Available from</w:t>
      </w:r>
      <w:hyperlink r:id="rId10">
        <w:r>
          <w:t xml:space="preserve"> </w:t>
        </w:r>
      </w:hyperlink>
      <w:hyperlink r:id="rId10">
        <w:r>
          <w:rPr>
            <w:u w:val="single"/>
          </w:rPr>
          <w:t>https://wearesocial.com/blog/2021/10/social-media-users-pass-the-4-5-billion-mark/</w:t>
        </w:r>
      </w:hyperlink>
    </w:p>
    <w:p w:rsidR="006A680D" w14:paraId="00000126" w14:textId="77777777">
      <w:pPr>
        <w:pStyle w:val="Heading1"/>
        <w:tabs>
          <w:tab w:val="left" w:pos="360"/>
        </w:tabs>
        <w:ind w:left="0"/>
      </w:pPr>
      <w:r>
        <w:t>2. Describe the procedures for the collection of information including:</w:t>
      </w:r>
    </w:p>
    <w:p w:rsidR="006A680D" w14:paraId="00000127" w14:textId="77777777">
      <w:pPr>
        <w:tabs>
          <w:tab w:val="left" w:pos="720"/>
        </w:tabs>
        <w:spacing w:before="120" w:line="360" w:lineRule="auto"/>
        <w:rPr>
          <w:b/>
          <w:i/>
        </w:rPr>
      </w:pPr>
      <w:r>
        <w:rPr>
          <w:b/>
          <w:i/>
        </w:rPr>
        <w:t xml:space="preserve">2.1 Statistical methodology for stratification and sample selection </w:t>
      </w:r>
    </w:p>
    <w:p w:rsidR="006A680D" w14:paraId="00000128" w14:textId="77777777">
      <w:pPr>
        <w:tabs>
          <w:tab w:val="left" w:pos="720"/>
        </w:tabs>
        <w:spacing w:before="120" w:line="276" w:lineRule="auto"/>
      </w:pPr>
      <w:r>
        <w:tab/>
        <w:t xml:space="preserve">This research will use a demographically stratified, convenience sample, also called quota sample. The intent is to create a high-quality convenience sample that can mitigate the selection bias issues that are common with convenience samples, and therefore enable use of a standard statistical inference approach as an approximation, as suggested in </w:t>
      </w:r>
      <w:r>
        <w:t>Vehovar</w:t>
      </w:r>
      <w:r>
        <w:t xml:space="preserve"> et al. 2016.</w:t>
      </w:r>
    </w:p>
    <w:p w:rsidR="006A680D" w14:paraId="00000129" w14:textId="75198277">
      <w:pPr>
        <w:tabs>
          <w:tab w:val="left" w:pos="720"/>
        </w:tabs>
        <w:spacing w:before="120" w:line="276" w:lineRule="auto"/>
      </w:pPr>
      <w:r>
        <w:rPr>
          <w:sz w:val="22"/>
          <w:szCs w:val="22"/>
        </w:rPr>
        <w:tab/>
        <w:t>P</w:t>
      </w:r>
      <w:r>
        <w:t xml:space="preserve">robability-like sample properties will be introduced to the convenience sample using the following steps. First, collecting a convenience sample from multiple social media sites and email lists has been demonstrated to introduce some degree of randomness into the data because different sites address different populations. Second, using quota sampling helps to create a stratified sample which can be matched to American Community Survey (ACS) census data through sample matching. Third, sample weights will be </w:t>
      </w:r>
      <w:r>
        <w:t>constructed from the matched ACS sample with known population parameters using raking ratio estimation and, perhaps, propensity score matching to make the sample representative of the populations within each WFO. Lastly, these methods will be evaluated by comparing the quota sample results to the results from the</w:t>
      </w:r>
      <w:r w:rsidR="00E70AE3">
        <w:t xml:space="preserve"> </w:t>
      </w:r>
      <w:r>
        <w:t>Ipsos probability sample (See Question 3).</w:t>
      </w:r>
    </w:p>
    <w:p w:rsidR="006A680D" w14:paraId="0000012A" w14:textId="77777777">
      <w:pPr>
        <w:tabs>
          <w:tab w:val="left" w:pos="720"/>
        </w:tabs>
        <w:spacing w:before="120" w:line="276" w:lineRule="auto"/>
      </w:pPr>
      <w:r>
        <w:rPr>
          <w:b/>
          <w:i/>
        </w:rPr>
        <w:t>2.2 Estimation Procedure</w:t>
      </w:r>
      <w:r>
        <w:t xml:space="preserve"> </w:t>
      </w:r>
    </w:p>
    <w:p w:rsidR="006A680D" w14:paraId="0000012B" w14:textId="77777777">
      <w:pPr>
        <w:tabs>
          <w:tab w:val="left" w:pos="720"/>
        </w:tabs>
        <w:spacing w:before="120" w:line="276" w:lineRule="auto"/>
      </w:pPr>
      <w:r>
        <w:t xml:space="preserve">The data collected in the survey will primarily be categorical as survey respondents select specific actions or perceptions through multiple choice questions, or they indicate the importance of varied factors using a Likert scale. Data from surveys will be aggregated at the hazard level. The primary outcome variables are: </w:t>
      </w:r>
      <w:r>
        <w:rPr>
          <w:b/>
        </w:rPr>
        <w:t xml:space="preserve">1) </w:t>
      </w:r>
      <w:r>
        <w:t xml:space="preserve">actions taken before the event (for example, </w:t>
      </w:r>
      <w:r>
        <w:t>Did</w:t>
      </w:r>
      <w:r>
        <w:t xml:space="preserve"> you cancel a planned trip based on predicted flood risk?) and </w:t>
      </w:r>
      <w:r>
        <w:rPr>
          <w:b/>
        </w:rPr>
        <w:t>2)</w:t>
      </w:r>
      <w:r>
        <w:t xml:space="preserve"> actions taken during the event (for example, Did you drive on a flooded roadway?). The independent variables include environmental, cognitive, situational, and demographic factors. These data will be used for two primary purposes:</w:t>
      </w:r>
    </w:p>
    <w:p w:rsidR="006A680D" w14:paraId="0000012C" w14:textId="77777777">
      <w:pPr>
        <w:numPr>
          <w:ilvl w:val="0"/>
          <w:numId w:val="2"/>
        </w:numPr>
        <w:tabs>
          <w:tab w:val="left" w:pos="720"/>
        </w:tabs>
        <w:spacing w:before="120" w:line="276" w:lineRule="auto"/>
      </w:pPr>
      <w:r>
        <w:t>Descriptive Statistics and tests of association. The data will be used to examine measures of central tendency, standard deviation, and distributions. It will also be used to conduct Chi-square analyses to test the association between the outcome variables and the various factors. This information will be generated on an automated basis soon after a data collection effort is complete for evaluation by NWS forecasters to understand its usefulness.</w:t>
      </w:r>
    </w:p>
    <w:p w:rsidR="006A680D" w14:paraId="0000012D" w14:textId="77777777">
      <w:pPr>
        <w:numPr>
          <w:ilvl w:val="0"/>
          <w:numId w:val="2"/>
        </w:numPr>
        <w:tabs>
          <w:tab w:val="left" w:pos="720"/>
        </w:tabs>
        <w:spacing w:line="276" w:lineRule="auto"/>
      </w:pPr>
      <w:bookmarkStart w:id="1" w:name="_heading=h.1fob9te" w:colFirst="0" w:colLast="0"/>
      <w:bookmarkEnd w:id="1"/>
      <w:r>
        <w:t>Logistic and Multinomial regression. Since the outcome variables are categorical or binary, non-parametric regression will be used to analyze how the different factors influence the odds of taking protective actions before or during the event. Once a model is estimated, the internal validity of the model will be evaluated using Receiver Operating Curve (ROC) analysis, looking at the area under the receiver operating curve (AUC) and K-fold cross-validation AUC scores indicate the ability of the model to corr</w:t>
      </w:r>
      <w:r>
        <w:t xml:space="preserve">ectly predict outcomes in data while avoiding false negative and false positive predictions. K-fold cross-validation divides a sample into </w:t>
      </w:r>
      <w:r>
        <w:rPr>
          <w:i/>
        </w:rPr>
        <w:t>k</w:t>
      </w:r>
      <w:r>
        <w:t xml:space="preserve"> number of subsamples, each of which is tested against the larger remaining sample for similarity between analysis results. Coupling this method with AUC scoring provides a dual approach to ensuring internal validity (</w:t>
      </w:r>
      <w:r>
        <w:t>Kohavi</w:t>
      </w:r>
      <w:r>
        <w:t xml:space="preserve"> 1995). In addition, once the internal validity of the model is demonstrated, marginal probabilities will be computed for taking protective action g</w:t>
      </w:r>
      <w:r>
        <w:t xml:space="preserve">iven a specific factor. </w:t>
      </w:r>
    </w:p>
    <w:p w:rsidR="006A680D" w14:paraId="0000012E" w14:textId="2CC0CDFA">
      <w:pPr>
        <w:numPr>
          <w:ilvl w:val="0"/>
          <w:numId w:val="2"/>
        </w:numPr>
        <w:tabs>
          <w:tab w:val="left" w:pos="720"/>
        </w:tabs>
        <w:spacing w:line="276" w:lineRule="auto"/>
      </w:pPr>
      <w:bookmarkStart w:id="2" w:name="_heading=h.wvqwnf8o5rne" w:colFirst="0" w:colLast="0"/>
      <w:bookmarkEnd w:id="2"/>
      <w:r>
        <w:t xml:space="preserve">In </w:t>
      </w:r>
      <w:r w:rsidR="00E70AE3">
        <w:t>addition,</w:t>
      </w:r>
      <w:r>
        <w:t xml:space="preserve"> statistical techniques such as latent class analysis, mediating variables will be used to understand if there are relevant groups within the sample. </w:t>
      </w:r>
    </w:p>
    <w:p w:rsidR="006A680D" w14:paraId="0000012F" w14:textId="77777777">
      <w:pPr>
        <w:tabs>
          <w:tab w:val="left" w:pos="720"/>
        </w:tabs>
        <w:spacing w:before="120" w:line="276" w:lineRule="auto"/>
      </w:pPr>
    </w:p>
    <w:p w:rsidR="006A680D" w14:paraId="00000130" w14:textId="77777777">
      <w:pPr>
        <w:tabs>
          <w:tab w:val="left" w:pos="720"/>
        </w:tabs>
        <w:spacing w:before="120" w:line="276" w:lineRule="auto"/>
      </w:pPr>
      <w:r>
        <w:rPr>
          <w:b/>
          <w:i/>
        </w:rPr>
        <w:t>2.3 Degree of accuracy needed for the purpose described in the justification</w:t>
      </w:r>
      <w:r>
        <w:t xml:space="preserve">. </w:t>
      </w:r>
    </w:p>
    <w:p w:rsidR="006A680D" w14:paraId="00000131" w14:textId="629123DB">
      <w:pPr>
        <w:tabs>
          <w:tab w:val="left" w:pos="720"/>
        </w:tabs>
        <w:spacing w:before="120" w:line="276" w:lineRule="auto"/>
        <w:rPr>
          <w:highlight w:val="yellow"/>
        </w:rPr>
      </w:pPr>
      <w:r>
        <w:t>The</w:t>
      </w:r>
      <w:r>
        <w:rPr>
          <w:b/>
        </w:rPr>
        <w:t xml:space="preserve"> </w:t>
      </w:r>
      <w:r>
        <w:t>analysis will focus on understanding how different factors influence protective action decisions.</w:t>
      </w:r>
      <w:r w:rsidR="00E70AE3">
        <w:t xml:space="preserve"> </w:t>
      </w:r>
      <w:r>
        <w:t>The degree of accuracy needed to analyze different groups will be addressed through power analysis.</w:t>
      </w:r>
      <w:r>
        <w:rPr>
          <w:b/>
        </w:rPr>
        <w:t xml:space="preserve"> </w:t>
      </w:r>
      <w:r>
        <w:t>Power analysis evaluates the ability to detect differences between two groups in a given dataset. Put another way, it enables researchers to correctly reject the null hypothesis that two samples are taken from the same distribution. In current practice, most data collection efforts look for 0.8 power, meaning there is an 80% probability that the difference between the two groups will be detected, if it exists</w:t>
      </w:r>
      <w:r>
        <w:t>. Power is a function of sample size, the level of precision desired, the anticipated prevalence of the group in the sample, and effect size. Effect size measures the marginal distance between groups and is usually obtained empirically through prior studies or a pilot project (</w:t>
      </w:r>
      <w:r>
        <w:t>Durlak</w:t>
      </w:r>
      <w:r>
        <w:t xml:space="preserve">, 2009). This logic can be applied to any subgroup that might be analyzed on its own, and the proportion can be changed to suit other hazards. </w:t>
      </w:r>
    </w:p>
    <w:p w:rsidR="006A680D" w14:paraId="00000132" w14:textId="77777777">
      <w:pPr>
        <w:tabs>
          <w:tab w:val="left" w:pos="720"/>
        </w:tabs>
        <w:spacing w:before="120" w:line="276" w:lineRule="auto"/>
      </w:pPr>
      <w:r>
        <w:rPr>
          <w:b/>
          <w:i/>
        </w:rPr>
        <w:t>2.4 Unusual Problems and Use of Less Frequent Data Collection Cycles.</w:t>
      </w:r>
      <w:r>
        <w:t xml:space="preserve"> </w:t>
      </w:r>
    </w:p>
    <w:p w:rsidR="006A680D" w14:paraId="00000133" w14:textId="77777777">
      <w:pPr>
        <w:tabs>
          <w:tab w:val="left" w:pos="720"/>
        </w:tabs>
        <w:spacing w:before="120" w:line="276" w:lineRule="auto"/>
      </w:pPr>
      <w:r>
        <w:t>There are no unusual problems requiring specialized sampling procedures. Because of the number of WFOs involved, a less than annual data collection will not be a factor. In this study, surveys will be fielded in the first year and from then, the expectation is to increase the number of participating offices until a decision is made about whether to expand the surveying to all offices. The collection depends on the frequency of weather events. In case of an unusually active weather season, only the most impa</w:t>
      </w:r>
      <w:r>
        <w:t xml:space="preserve">ctful events are surveyed.  </w:t>
      </w:r>
    </w:p>
    <w:p w:rsidR="006A680D" w14:paraId="00000134" w14:textId="77777777">
      <w:pPr>
        <w:tabs>
          <w:tab w:val="left" w:pos="720"/>
        </w:tabs>
        <w:spacing w:after="160" w:line="256" w:lineRule="auto"/>
        <w:rPr>
          <w:b/>
        </w:rPr>
      </w:pPr>
    </w:p>
    <w:p w:rsidR="006A680D" w14:paraId="00000135" w14:textId="77777777">
      <w:pPr>
        <w:tabs>
          <w:tab w:val="left" w:pos="720"/>
        </w:tabs>
        <w:spacing w:after="160" w:line="256" w:lineRule="auto"/>
        <w:rPr>
          <w:b/>
        </w:rPr>
      </w:pPr>
      <w:r>
        <w:rPr>
          <w:b/>
        </w:rPr>
        <w:t>References</w:t>
      </w:r>
    </w:p>
    <w:p w:rsidR="006A680D" w14:paraId="00000136" w14:textId="77777777">
      <w:pPr>
        <w:tabs>
          <w:tab w:val="left" w:pos="720"/>
        </w:tabs>
        <w:spacing w:after="160" w:line="256" w:lineRule="auto"/>
      </w:pPr>
      <w:r>
        <w:t xml:space="preserve">Baker, R., Brick, J. M., Bates, N. A., Battaglia, M., Couper, M. P., </w:t>
      </w:r>
      <w:r>
        <w:t>Dever</w:t>
      </w:r>
      <w:r>
        <w:t>, J. A., ... &amp; Tourangeau, R. (2013). Summary report of the AAPOR task force on non-probability sampling. Journal of survey statistics and methodology, 1(2), 90-143.</w:t>
      </w:r>
    </w:p>
    <w:p w:rsidR="006A680D" w14:paraId="00000137" w14:textId="77777777">
      <w:pPr>
        <w:tabs>
          <w:tab w:val="left" w:pos="720"/>
        </w:tabs>
        <w:spacing w:after="160" w:line="276" w:lineRule="auto"/>
      </w:pPr>
      <w:r>
        <w:t>Durlak</w:t>
      </w:r>
      <w:r>
        <w:t xml:space="preserve">, J. A. (2009). How to select, calculate, and interpret effect sizes. </w:t>
      </w:r>
      <w:r>
        <w:rPr>
          <w:i/>
        </w:rPr>
        <w:t>Journal of pediatric psychology</w:t>
      </w:r>
      <w:r>
        <w:t xml:space="preserve">, </w:t>
      </w:r>
      <w:r>
        <w:rPr>
          <w:i/>
        </w:rPr>
        <w:t>34</w:t>
      </w:r>
      <w:r>
        <w:t>(9), 917-928.</w:t>
      </w:r>
    </w:p>
    <w:p w:rsidR="006A680D" w14:paraId="00000138" w14:textId="77777777">
      <w:pPr>
        <w:tabs>
          <w:tab w:val="left" w:pos="720"/>
        </w:tabs>
        <w:spacing w:after="160" w:line="276" w:lineRule="auto"/>
      </w:pPr>
      <w:r>
        <w:t>Ender, P. B. (2011). STATA: Power Logistic Regression (</w:t>
      </w:r>
      <w:r>
        <w:t>Powerlog</w:t>
      </w:r>
      <w:r>
        <w:t xml:space="preserve">): Stata Statistical Software: Release 12. College Station, TX: </w:t>
      </w:r>
      <w:r>
        <w:t>StataCorp</w:t>
      </w:r>
      <w:r>
        <w:t xml:space="preserve"> LP.</w:t>
      </w:r>
    </w:p>
    <w:p w:rsidR="006A680D" w14:paraId="00000139" w14:textId="77777777">
      <w:pPr>
        <w:tabs>
          <w:tab w:val="left" w:pos="720"/>
        </w:tabs>
        <w:spacing w:after="160" w:line="256" w:lineRule="auto"/>
      </w:pPr>
      <w:r>
        <w:t>Hays, R. D., Liu, H., &amp; Kapteyn, A. (2015). Use of Internet panels to conduct surveys. Behavior research methods, 47(3), 685-690.</w:t>
      </w:r>
    </w:p>
    <w:p w:rsidR="006A680D" w14:paraId="0000013A" w14:textId="77777777">
      <w:pPr>
        <w:tabs>
          <w:tab w:val="left" w:pos="720"/>
        </w:tabs>
        <w:spacing w:after="160" w:line="256" w:lineRule="auto"/>
      </w:pPr>
      <w:r>
        <w:t>Kim, J. K., &amp; Wang, Z. (2019). Sampling techniques for big data analysis. International Statistical Review, 87, S177-S191.</w:t>
      </w:r>
    </w:p>
    <w:p w:rsidR="006A680D" w14:paraId="0000013B" w14:textId="77777777">
      <w:pPr>
        <w:tabs>
          <w:tab w:val="left" w:pos="720"/>
        </w:tabs>
        <w:spacing w:after="160" w:line="256" w:lineRule="auto"/>
      </w:pPr>
      <w:r>
        <w:t>Kohavi</w:t>
      </w:r>
      <w:r>
        <w:t xml:space="preserve">, R. (1995, AugU.S.t). A study of cross-validation and bootstrap for accuracy estimation and model selection. In </w:t>
      </w:r>
      <w:r>
        <w:t>Ijcai</w:t>
      </w:r>
      <w:r>
        <w:t xml:space="preserve"> (Vol. 14, No. 2, pp. 1137-1145).</w:t>
      </w:r>
    </w:p>
    <w:p w:rsidR="006A680D" w14:paraId="0000013C" w14:textId="77777777">
      <w:pPr>
        <w:tabs>
          <w:tab w:val="left" w:pos="720"/>
        </w:tabs>
        <w:spacing w:after="160" w:line="256" w:lineRule="auto"/>
      </w:pPr>
      <w:r>
        <w:t>MacInnis</w:t>
      </w:r>
      <w:r>
        <w:t>, B., Krosnick, J. A., Ho, A. S., &amp; Cho, M. J. (2018). The accuracy of measurements with probability and nonprobability survey samples: Replication and extension. Public Opinion Quarterly, 82(4), 707-744.</w:t>
      </w:r>
    </w:p>
    <w:p w:rsidR="006A680D" w14:paraId="0000013D" w14:textId="77777777">
      <w:pPr>
        <w:tabs>
          <w:tab w:val="left" w:pos="720"/>
        </w:tabs>
        <w:spacing w:after="160" w:line="256" w:lineRule="auto"/>
      </w:pPr>
      <w:r>
        <w:t xml:space="preserve">Madigan, D., </w:t>
      </w:r>
      <w:r>
        <w:t>Stang</w:t>
      </w:r>
      <w:r>
        <w:t xml:space="preserve">, P. E., Berlin, J. A., </w:t>
      </w:r>
      <w:r>
        <w:t>Schuemie</w:t>
      </w:r>
      <w:r>
        <w:t xml:space="preserve">, M., </w:t>
      </w:r>
      <w:r>
        <w:t>Overhage</w:t>
      </w:r>
      <w:r>
        <w:t xml:space="preserve">, J. M., </w:t>
      </w:r>
      <w:r>
        <w:t>Suchard</w:t>
      </w:r>
      <w:r>
        <w:t>, M. A., ... &amp; Ryan, P. B. (2014). A systematic statistical approach to evaluating evidence from observational studies. Annual Review of Statistics and Its Application, 1, 11-39.</w:t>
      </w:r>
    </w:p>
    <w:p w:rsidR="006A680D" w14:paraId="0000013E" w14:textId="77777777">
      <w:pPr>
        <w:tabs>
          <w:tab w:val="left" w:pos="720"/>
        </w:tabs>
        <w:spacing w:after="160" w:line="256" w:lineRule="auto"/>
      </w:pPr>
      <w:r>
        <w:t>NOAA (2021). Storm Events Database. Available from https://www.ncdc.noaa.gov/stormevents/</w:t>
      </w:r>
    </w:p>
    <w:p w:rsidR="006A680D" w14:paraId="0000013F" w14:textId="77777777">
      <w:pPr>
        <w:tabs>
          <w:tab w:val="left" w:pos="720"/>
        </w:tabs>
        <w:spacing w:after="160" w:line="256" w:lineRule="auto"/>
      </w:pPr>
      <w:r>
        <w:t>Vehovar</w:t>
      </w:r>
      <w:r>
        <w:t xml:space="preserve">, V., </w:t>
      </w:r>
      <w:r>
        <w:t>Toepoel</w:t>
      </w:r>
      <w:r>
        <w:t>, V., &amp; Steinmetz, S. (2016). Non-probability sampling. The Sage handbook of survey methods, 329-345.</w:t>
      </w:r>
    </w:p>
    <w:p w:rsidR="00453228" w14:paraId="1B3BAC4E" w14:textId="77777777">
      <w:pPr>
        <w:tabs>
          <w:tab w:val="left" w:pos="720"/>
        </w:tabs>
        <w:spacing w:after="160" w:line="256" w:lineRule="auto"/>
      </w:pPr>
    </w:p>
    <w:p w:rsidR="006A680D" w14:paraId="00000140" w14:textId="77777777">
      <w:pPr>
        <w:pStyle w:val="Heading1"/>
        <w:tabs>
          <w:tab w:val="left" w:pos="360"/>
        </w:tabs>
        <w:spacing w:before="159"/>
        <w:ind w:left="0"/>
      </w:pPr>
      <w: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A680D" w14:paraId="00000141" w14:textId="77777777">
      <w:pPr>
        <w:pStyle w:val="Heading1"/>
        <w:tabs>
          <w:tab w:val="left" w:pos="360"/>
        </w:tabs>
        <w:spacing w:before="159"/>
        <w:ind w:left="0"/>
        <w:rPr>
          <w:i/>
        </w:rPr>
      </w:pPr>
      <w:sdt>
        <w:sdtPr>
          <w:tag w:val="goog_rdk_1"/>
          <w:id w:val="915693852"/>
          <w:richText/>
        </w:sdtPr>
        <w:sdtContent/>
      </w:sdt>
      <w:sdt>
        <w:sdtPr>
          <w:tag w:val="goog_rdk_2"/>
          <w:id w:val="-1200432336"/>
          <w:richText/>
        </w:sdtPr>
        <w:sdtContent/>
      </w:sdt>
      <w:r>
        <w:rPr>
          <w:i/>
        </w:rPr>
        <w:t>Response Rates</w:t>
      </w:r>
    </w:p>
    <w:p w:rsidR="006A680D" w14:paraId="00000142" w14:textId="77777777">
      <w:pPr>
        <w:pStyle w:val="Heading1"/>
        <w:tabs>
          <w:tab w:val="left" w:pos="360"/>
        </w:tabs>
        <w:spacing w:before="159"/>
        <w:ind w:left="0"/>
        <w:rPr>
          <w:b w:val="0"/>
        </w:rPr>
      </w:pPr>
      <w:r>
        <w:rPr>
          <w:b w:val="0"/>
        </w:rPr>
        <w:t>Through Qualtrics and a Survey Dashboard that will be created as part of this project, we will monitor the demographic characteristics of the survey responses in real time compared to benchmark American Community Survey statistics to ensure that we are getting the demographic representation needed for increased generalizability and number of responses required for statistical power. As the research progresses, we will evaluate the quality of the response and adjust frequency of reposting links, and the type</w:t>
      </w:r>
      <w:r>
        <w:rPr>
          <w:b w:val="0"/>
        </w:rPr>
        <w:t xml:space="preserve">s of organizations that post the links to the survey. This approach is based on several studies (see Antoun et al., 2016; Perrotta et al., 2021; </w:t>
      </w:r>
      <w:r>
        <w:rPr>
          <w:b w:val="0"/>
        </w:rPr>
        <w:t>Vehovar</w:t>
      </w:r>
      <w:r>
        <w:rPr>
          <w:b w:val="0"/>
        </w:rPr>
        <w:t xml:space="preserve"> et al., 2016) that found quota sampling through Facebook is a systematic strategy that can be used to obtain a stratified sample approximating American Community survey results when considering multiple sampling frames and randomization. </w:t>
      </w:r>
    </w:p>
    <w:p w:rsidR="006A680D" w14:paraId="00000143" w14:textId="77777777">
      <w:pPr>
        <w:spacing w:before="120" w:line="276" w:lineRule="auto"/>
      </w:pPr>
      <w:r>
        <w:t>After we develop the process for monitoring survey response, we will ask WFOs to track the time it takes for forecasters to initiate and monitor data collection to understand the burden it will place on WFOs.</w:t>
      </w:r>
    </w:p>
    <w:p w:rsidR="006A680D" w14:paraId="00000144" w14:textId="77777777">
      <w:pPr>
        <w:spacing w:before="120" w:line="276" w:lineRule="auto"/>
        <w:rPr>
          <w:b/>
          <w:i/>
        </w:rPr>
      </w:pPr>
      <w:r>
        <w:rPr>
          <w:b/>
          <w:i/>
        </w:rPr>
        <w:t>Sampling Experiment</w:t>
      </w:r>
    </w:p>
    <w:p w:rsidR="006A680D" w14:paraId="00000145" w14:textId="6E7E9CAC">
      <w:pPr>
        <w:spacing w:before="120" w:line="276" w:lineRule="auto"/>
      </w:pPr>
      <w:r>
        <w:t xml:space="preserve">In addition to ensuring representativeness in the data collection process as outlined in the section above, the quality and accuracy of the quota sample will be assessed through a sampling experiment where we compare the quota sample results and Ipsos sample results for the same weather event. For the QRS project sampling experiment, we will field identical surveys to an Ipsos sample and a QRS convenience sample for counties in a Metropolitan Statistical Area (MSA) that has experienced a widespread hazard. </w:t>
      </w:r>
      <w:r>
        <w:t xml:space="preserve">We will first compare the American Community Survey basic demographics (a benchmark) to the </w:t>
      </w:r>
      <w:r>
        <w:t xml:space="preserve">Ipsos survey to calibrate its accuracy. We assume good accuracy based on previous studies and Ipsos’ panel management. We will then compare demographic and non-demographic variables in the </w:t>
      </w:r>
      <w:r>
        <w:t>Ipsos surveys to the QRS convenience sample. We will compare point estimates, overall measures of error across key variables, and compare multivariate regressions for each sample. We will evaluate demographic and non-demographic weighting strategies. In previous studies that have compared probability and nonprobability samples, the probability samples were generally more accurate; however, there was a wide-range of quality for the non-probability samples, with some nonprobability samples having accuracy tha</w:t>
      </w:r>
      <w:r>
        <w:t>t was very close to the probability samples.  In addition, accuracy can be determined for different demographic or attitudinal segments. The sampling experiment will provide valuable information on biases that may exist in the quota sample and the source of the bias that might lead new weighting strategies or data collection strategies; the sampling experiment can also reveal population groups that might not be adequately represented in the quota sample; however, it may also show that the probability sample</w:t>
      </w:r>
      <w:r>
        <w:t xml:space="preserve"> does not have sufficient power for certain kinds of analyses. Based on the results of this test, we can begin to assess the potential for inference for this data collection by the quota sample effort and what kinds of caveats should be associated with the data. </w:t>
      </w:r>
    </w:p>
    <w:p w:rsidR="006A680D" w14:paraId="00000146" w14:textId="77777777">
      <w:pPr>
        <w:spacing w:before="120"/>
        <w:rPr>
          <w:b/>
        </w:rPr>
      </w:pPr>
    </w:p>
    <w:p w:rsidR="006A680D" w14:paraId="00000147" w14:textId="77777777">
      <w:pPr>
        <w:spacing w:before="120"/>
        <w:rPr>
          <w:b/>
        </w:rPr>
      </w:pPr>
      <w:r>
        <w:rPr>
          <w:b/>
        </w:rPr>
        <w:t>References</w:t>
      </w:r>
    </w:p>
    <w:p w:rsidR="006A680D" w14:paraId="00000148" w14:textId="77777777">
      <w:pPr>
        <w:spacing w:after="160" w:line="276" w:lineRule="auto"/>
      </w:pPr>
      <w:r>
        <w:t>Antoun, C., Zhang, C., Conrad, F. G., &amp; Schober, M. F. (2016). Comparisons of online recruitment strategies for convenience samples: Craigslist, Google AdWords, Facebook, and Amazon Mechanical Turk. Field methods, 28(3), 231-246.</w:t>
      </w:r>
    </w:p>
    <w:p w:rsidR="006A680D" w14:paraId="00000149" w14:textId="77777777">
      <w:pPr>
        <w:spacing w:after="160" w:line="256" w:lineRule="auto"/>
      </w:pPr>
      <w:r>
        <w:t>Callegaro</w:t>
      </w:r>
      <w:r>
        <w:t xml:space="preserve">, M., Baker, R. P., Bethlehem, J., </w:t>
      </w:r>
      <w:r>
        <w:t>Göritz</w:t>
      </w:r>
      <w:r>
        <w:t xml:space="preserve">, A. S., Krosnick, J. A., &amp; </w:t>
      </w:r>
      <w:r>
        <w:t>Lavrakas</w:t>
      </w:r>
      <w:r>
        <w:t>, P. J. (Eds.). (2014). Online panel research: A data quality perspective. John Wiley &amp; Sons.</w:t>
      </w:r>
    </w:p>
    <w:p w:rsidR="006A680D" w14:paraId="0000014A" w14:textId="77777777">
      <w:pPr>
        <w:spacing w:after="160" w:line="256" w:lineRule="auto"/>
      </w:pPr>
      <w:r>
        <w:t xml:space="preserve">CFI Group (2018a). National Weather Service </w:t>
      </w:r>
      <w:r>
        <w:t>Webmonitor</w:t>
      </w:r>
      <w:r>
        <w:t xml:space="preserve"> Results Q3 FY2018 (April – June 2018). Retrieved with permission from the NWS Performance Management Web Portal.</w:t>
      </w:r>
    </w:p>
    <w:p w:rsidR="006A680D" w14:paraId="0000014B" w14:textId="77777777">
      <w:pPr>
        <w:spacing w:after="160" w:line="256" w:lineRule="auto"/>
      </w:pPr>
      <w:r>
        <w:t>Chang, L., &amp; Krosnick, J. A. (2009). National surveys via RDD telephone interviewing versus. the Internet: Comparing sample representativeness and response quality. Public Opinion Quarterly, 73(4), 641-678.</w:t>
      </w:r>
    </w:p>
    <w:p w:rsidR="006A680D" w14:paraId="0000014C" w14:textId="77777777">
      <w:pPr>
        <w:spacing w:after="160" w:line="256" w:lineRule="auto"/>
      </w:pPr>
      <w:bookmarkStart w:id="3" w:name="_heading=h.30j0zll" w:colFirst="0" w:colLast="0"/>
      <w:bookmarkEnd w:id="3"/>
      <w:r>
        <w:t>Dutwin</w:t>
      </w:r>
      <w:r>
        <w:t>, D., &amp; Buskirk, T. D. (2017). Apples to oranges or gala versus golden delicious? Comparing data quality of nonprobability internet samples to low response rate probability samples. Public Opinion Quarterly, 81(S1), 213-239.</w:t>
      </w:r>
    </w:p>
    <w:p w:rsidR="006A680D" w14:paraId="0000014D" w14:textId="77777777">
      <w:pPr>
        <w:spacing w:after="160" w:line="256" w:lineRule="auto"/>
      </w:pPr>
      <w:r>
        <w:t xml:space="preserve">Perrotta, D., Grow, A., </w:t>
      </w:r>
      <w:r>
        <w:t>Rampazzo</w:t>
      </w:r>
      <w:r>
        <w:t xml:space="preserve">, F., </w:t>
      </w:r>
      <w:r>
        <w:t>Cimentada</w:t>
      </w:r>
      <w:r>
        <w:t>, J., Del Fava, E., Gil-</w:t>
      </w:r>
      <w:r>
        <w:t>Clavel</w:t>
      </w:r>
      <w:r>
        <w:t xml:space="preserve">, S., &amp; </w:t>
      </w:r>
      <w:r>
        <w:t>Zagheni</w:t>
      </w:r>
      <w:r>
        <w:t xml:space="preserve">, E. (2021). </w:t>
      </w:r>
      <w:r>
        <w:t>Behaviours</w:t>
      </w:r>
      <w:r>
        <w:t xml:space="preserve"> and attitudes in response to the COVID-19 pandemic: insights from a cross-national Facebook survey. EPJ data science, 10(1), 1-13.</w:t>
      </w:r>
    </w:p>
    <w:p w:rsidR="006A680D" w14:paraId="0000014E" w14:textId="77777777">
      <w:pPr>
        <w:spacing w:after="160" w:line="256" w:lineRule="auto"/>
      </w:pPr>
      <w:r>
        <w:t>Malhotra, N., &amp; Krosnick, J. A. (2007). The effect of survey mode and sampling on inferences about political attitudes and behavior: Comparing the 2000 and 2004 ANES to Internet surveys with nonprobability samples. Political Analysis, 15(3), 286-323.</w:t>
      </w:r>
    </w:p>
    <w:p w:rsidR="006A680D" w14:paraId="0000014F" w14:textId="77777777">
      <w:pPr>
        <w:spacing w:after="160" w:line="276" w:lineRule="auto"/>
        <w:rPr>
          <w:u w:val="single"/>
        </w:rPr>
      </w:pPr>
      <w:r>
        <w:t>NOAA 2021. Storm Events Database. Available from</w:t>
      </w:r>
      <w:hyperlink r:id="rId11">
        <w:r>
          <w:t xml:space="preserve"> </w:t>
        </w:r>
      </w:hyperlink>
      <w:hyperlink r:id="rId11">
        <w:r>
          <w:rPr>
            <w:u w:val="single"/>
          </w:rPr>
          <w:t>https://www.ncdc.gov/stormevents.html</w:t>
        </w:r>
      </w:hyperlink>
    </w:p>
    <w:p w:rsidR="006A680D" w14:paraId="00000150" w14:textId="77777777">
      <w:pPr>
        <w:spacing w:after="160" w:line="256" w:lineRule="auto"/>
      </w:pPr>
      <w:r>
        <w:t>Nunley, C., &amp; Sherman-Morris, K. (2020). What people know about the weather. Bulletin of the American Meteorological Society, 101(7), E1225-E1240.</w:t>
      </w:r>
    </w:p>
    <w:p w:rsidR="006A680D" w14:paraId="00000151" w14:textId="77777777">
      <w:pPr>
        <w:spacing w:after="160" w:line="276" w:lineRule="auto"/>
      </w:pPr>
      <w:r>
        <w:t>Rivers, D. (2007, AugU.S.t). Sampling for web surveys. In Joint Statistical Meetings (p. 4).</w:t>
      </w:r>
    </w:p>
    <w:p w:rsidR="006A680D" w14:paraId="00000152" w14:textId="77777777">
      <w:pPr>
        <w:spacing w:after="160" w:line="276" w:lineRule="auto"/>
      </w:pPr>
      <w:r>
        <w:t>Vehovar</w:t>
      </w:r>
      <w:r>
        <w:t xml:space="preserve">, V., </w:t>
      </w:r>
      <w:r>
        <w:t>Motl</w:t>
      </w:r>
      <w:r>
        <w:t xml:space="preserve">, A., </w:t>
      </w:r>
      <w:r>
        <w:t>Mihelič</w:t>
      </w:r>
      <w:r>
        <w:t xml:space="preserve">, L., </w:t>
      </w:r>
      <w:r>
        <w:t>Berčič</w:t>
      </w:r>
      <w:r>
        <w:t xml:space="preserve">, B., &amp; </w:t>
      </w:r>
      <w:r>
        <w:t>Petrovčič</w:t>
      </w:r>
      <w:r>
        <w:t xml:space="preserve">, A. (2012). </w:t>
      </w:r>
      <w:r>
        <w:t>Zaznava</w:t>
      </w:r>
      <w:r>
        <w:t xml:space="preserve"> </w:t>
      </w:r>
      <w:r>
        <w:t>sovražnega</w:t>
      </w:r>
      <w:r>
        <w:t xml:space="preserve"> </w:t>
      </w:r>
      <w:r>
        <w:t>govora</w:t>
      </w:r>
      <w:r>
        <w:t xml:space="preserve"> </w:t>
      </w:r>
      <w:r>
        <w:t>na</w:t>
      </w:r>
      <w:r>
        <w:t xml:space="preserve"> </w:t>
      </w:r>
      <w:r>
        <w:t>slovenskem</w:t>
      </w:r>
      <w:r>
        <w:t xml:space="preserve"> </w:t>
      </w:r>
      <w:r>
        <w:t>spletu</w:t>
      </w:r>
      <w:r>
        <w:t xml:space="preserve">. </w:t>
      </w:r>
      <w:r>
        <w:t>Teorija</w:t>
      </w:r>
      <w:r>
        <w:t xml:space="preserve"> in </w:t>
      </w:r>
      <w:r>
        <w:t>praksa</w:t>
      </w:r>
      <w:r>
        <w:t>, 49(1), 171-189.</w:t>
      </w:r>
    </w:p>
    <w:p w:rsidR="006A680D" w14:paraId="00000153" w14:textId="77777777">
      <w:pPr>
        <w:spacing w:after="160" w:line="276" w:lineRule="auto"/>
      </w:pPr>
      <w:r>
        <w:t>Yeager, David S., et al. "Comparing the accuracy of RDD telephone surveys and internet surveys conducted with probability and non-probability samples." Public opinion quarterly 75.4 (2011): 709-747.</w:t>
      </w:r>
    </w:p>
    <w:p w:rsidR="00453228" w14:paraId="53DA4DDD" w14:textId="77777777">
      <w:pPr>
        <w:spacing w:after="160" w:line="276" w:lineRule="auto"/>
      </w:pPr>
    </w:p>
    <w:p w:rsidR="006A680D" w14:paraId="00000154" w14:textId="77777777">
      <w:pPr>
        <w:pStyle w:val="Heading1"/>
        <w:tabs>
          <w:tab w:val="left" w:pos="360"/>
        </w:tabs>
        <w:spacing w:before="183"/>
        <w:ind w:left="0"/>
      </w:pPr>
      <w: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6A680D" w14:paraId="00000155" w14:textId="77777777">
      <w:pPr>
        <w:pBdr>
          <w:top w:val="nil"/>
          <w:left w:val="nil"/>
          <w:bottom w:val="nil"/>
          <w:right w:val="nil"/>
          <w:between w:val="nil"/>
        </w:pBdr>
        <w:spacing w:before="158" w:line="259" w:lineRule="auto"/>
      </w:pPr>
      <w:r>
        <w:t>The QRS were tested in Phase I and no additional testing is needed.</w:t>
      </w:r>
    </w:p>
    <w:p w:rsidR="00453228" w14:paraId="40F6D441" w14:textId="77777777">
      <w:pPr>
        <w:pBdr>
          <w:top w:val="nil"/>
          <w:left w:val="nil"/>
          <w:bottom w:val="nil"/>
          <w:right w:val="nil"/>
          <w:between w:val="nil"/>
        </w:pBdr>
        <w:spacing w:before="158" w:line="259" w:lineRule="auto"/>
      </w:pPr>
    </w:p>
    <w:p w:rsidR="006A680D" w14:paraId="00000156" w14:textId="77777777">
      <w:pPr>
        <w:pStyle w:val="Heading1"/>
        <w:tabs>
          <w:tab w:val="left" w:pos="360"/>
        </w:tabs>
        <w:spacing w:before="183"/>
        <w:ind w:left="0"/>
      </w:pPr>
      <w:r>
        <w:t>5. Provide the name and telephone number of individuals consulted on statistical aspects of the design and the name of the agency unit, contractor(s), grantee(s), or other person(s) who will actually collect and/or analyze the information for the agency.</w:t>
      </w:r>
    </w:p>
    <w:p w:rsidR="006A680D" w14:paraId="00000157" w14:textId="77777777">
      <w:pPr>
        <w:pBdr>
          <w:top w:val="nil"/>
          <w:left w:val="nil"/>
          <w:bottom w:val="nil"/>
          <w:right w:val="nil"/>
          <w:between w:val="nil"/>
        </w:pBdr>
        <w:spacing w:before="158" w:line="259" w:lineRule="auto"/>
      </w:pPr>
      <w:r>
        <w:t>Quick Response Surveys contacts who were consulted on statistical aspects of the design and will collect and analyze the survey data for the agency include:</w:t>
      </w:r>
    </w:p>
    <w:p w:rsidR="006A680D" w14:paraId="00000158" w14:textId="77777777">
      <w:pPr>
        <w:pBdr>
          <w:top w:val="nil"/>
          <w:left w:val="nil"/>
          <w:bottom w:val="nil"/>
          <w:right w:val="nil"/>
          <w:between w:val="nil"/>
        </w:pBdr>
        <w:spacing w:before="158" w:line="259" w:lineRule="auto"/>
      </w:pPr>
      <w:r>
        <w:t xml:space="preserve">Brenda Philips, (413) 577-2213; </w:t>
      </w:r>
      <w:hyperlink r:id="rId12">
        <w:r>
          <w:rPr>
            <w:u w:val="single"/>
          </w:rPr>
          <w:t>bphilips@engin.umass.edu</w:t>
        </w:r>
      </w:hyperlink>
    </w:p>
    <w:p w:rsidR="006A680D" w14:paraId="00000159" w14:textId="77777777">
      <w:pPr>
        <w:pBdr>
          <w:top w:val="nil"/>
          <w:left w:val="nil"/>
          <w:bottom w:val="nil"/>
          <w:right w:val="nil"/>
          <w:between w:val="nil"/>
        </w:pBdr>
        <w:spacing w:before="158" w:line="259" w:lineRule="auto"/>
      </w:pPr>
      <w:r>
        <w:t xml:space="preserve">Cedar League, (406)202-8167; </w:t>
      </w:r>
      <w:hyperlink r:id="rId13">
        <w:r>
          <w:rPr>
            <w:u w:val="single"/>
          </w:rPr>
          <w:t>cedarleague@gmail.com</w:t>
        </w:r>
      </w:hyperlink>
    </w:p>
    <w:p w:rsidR="006A680D" w14:paraId="0000015A" w14:textId="77777777">
      <w:pPr>
        <w:pBdr>
          <w:top w:val="nil"/>
          <w:left w:val="nil"/>
          <w:bottom w:val="nil"/>
          <w:right w:val="nil"/>
          <w:between w:val="nil"/>
        </w:pBdr>
        <w:spacing w:before="158" w:line="259" w:lineRule="auto"/>
      </w:pPr>
      <w:r>
        <w:t xml:space="preserve">Nathan Meyers, (734)771-7323; </w:t>
      </w:r>
      <w:hyperlink r:id="rId14">
        <w:r>
          <w:rPr>
            <w:u w:val="single"/>
          </w:rPr>
          <w:t>npmeyers@soc.umass.edu</w:t>
        </w:r>
      </w:hyperlink>
    </w:p>
    <w:p w:rsidR="006A680D" w14:paraId="0000015B" w14:textId="77777777">
      <w:pPr>
        <w:pBdr>
          <w:top w:val="nil"/>
          <w:left w:val="nil"/>
          <w:bottom w:val="nil"/>
          <w:right w:val="nil"/>
          <w:between w:val="nil"/>
        </w:pBdr>
        <w:spacing w:before="158" w:line="259" w:lineRule="auto"/>
      </w:pPr>
      <w:r>
        <w:t xml:space="preserve">David Westbrook, (413) 522-1409; </w:t>
      </w:r>
      <w:hyperlink r:id="rId15">
        <w:r>
          <w:rPr>
            <w:u w:val="single"/>
          </w:rPr>
          <w:t>westy@cs.umass.edu</w:t>
        </w:r>
      </w:hyperlink>
    </w:p>
    <w:p w:rsidR="006A680D" w14:paraId="0000015C" w14:textId="77777777">
      <w:pPr>
        <w:pBdr>
          <w:top w:val="nil"/>
          <w:left w:val="nil"/>
          <w:bottom w:val="nil"/>
          <w:right w:val="nil"/>
          <w:between w:val="nil"/>
        </w:pBdr>
        <w:spacing w:before="158" w:line="259" w:lineRule="auto"/>
      </w:pPr>
    </w:p>
    <w:sectPr>
      <w:pgSz w:w="12240" w:h="15840"/>
      <w:pgMar w:top="108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80D" w14:paraId="00000162" w14:textId="7777777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6A680D" w14:paraId="00000163" w14:textId="7777777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80D" w14:paraId="00000160" w14:textId="77777777">
    <w:pPr>
      <w:pBdr>
        <w:top w:val="nil"/>
        <w:left w:val="nil"/>
        <w:bottom w:val="nil"/>
        <w:right w:val="nil"/>
        <w:between w:val="nil"/>
      </w:pBdr>
      <w:tabs>
        <w:tab w:val="center" w:pos="4680"/>
        <w:tab w:val="right" w:pos="9360"/>
      </w:tabs>
      <w:rPr>
        <w:color w:val="000000"/>
      </w:rPr>
    </w:pPr>
  </w:p>
  <w:p w:rsidR="006A680D" w14:paraId="00000161" w14:textId="614F9943">
    <w:pPr>
      <w:pBdr>
        <w:top w:val="nil"/>
        <w:left w:val="nil"/>
        <w:bottom w:val="nil"/>
        <w:right w:val="nil"/>
        <w:between w:val="nil"/>
      </w:pBdr>
      <w:tabs>
        <w:tab w:val="center" w:pos="4680"/>
        <w:tab w:val="right" w:pos="9360"/>
      </w:tabs>
      <w:jc w:val="right"/>
      <w:rPr>
        <w:color w:val="000000"/>
      </w:rPr>
    </w:pPr>
    <w:r>
      <w:fldChar w:fldCharType="begin"/>
    </w:r>
    <w:r>
      <w:instrText>PAGE</w:instrText>
    </w:r>
    <w:r>
      <w:fldChar w:fldCharType="separate"/>
    </w:r>
    <w:r w:rsidR="00E70AE3">
      <w:rPr>
        <w:noProof/>
      </w:rPr>
      <w:t>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E428FC"/>
    <w:multiLevelType w:val="multilevel"/>
    <w:tmpl w:val="25E2AE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52E01002"/>
    <w:multiLevelType w:val="multilevel"/>
    <w:tmpl w:val="82464F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79186905">
    <w:abstractNumId w:val="1"/>
  </w:num>
  <w:num w:numId="2" w16cid:durableId="299072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80D"/>
    <w:rsid w:val="00453228"/>
    <w:rsid w:val="00626117"/>
    <w:rsid w:val="006A680D"/>
    <w:rsid w:val="00DB3149"/>
    <w:rsid w:val="00E70A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AACD41"/>
  <w15:docId w15:val="{4BB601D7-2C9F-4C51-A423-7A2D127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before="80"/>
      <w:ind w:left="400"/>
      <w:outlineLvl w:val="0"/>
    </w:pPr>
    <w:rPr>
      <w:b/>
    </w:rPr>
  </w:style>
  <w:style w:type="paragraph" w:styleId="Heading2">
    <w:name w:val="heading 2"/>
    <w:basedOn w:val="Normal"/>
    <w:next w:val="Normal"/>
    <w:uiPriority w:val="9"/>
    <w:semiHidden/>
    <w:unhideWhenUsed/>
    <w:qFormat/>
    <w:pPr>
      <w:keepNext/>
      <w:keepLines/>
      <w:widowControl w:val="0"/>
      <w:spacing w:before="360" w:after="80"/>
      <w:outlineLvl w:val="1"/>
    </w:pPr>
    <w:rPr>
      <w:b/>
      <w:sz w:val="36"/>
      <w:szCs w:val="36"/>
    </w:rPr>
  </w:style>
  <w:style w:type="paragraph" w:styleId="Heading3">
    <w:name w:val="heading 3"/>
    <w:basedOn w:val="Normal"/>
    <w:next w:val="Normal"/>
    <w:uiPriority w:val="9"/>
    <w:semiHidden/>
    <w:unhideWhenUsed/>
    <w:qFormat/>
    <w:pPr>
      <w:keepNext/>
      <w:keepLines/>
      <w:widowControl w:val="0"/>
      <w:spacing w:before="280" w:after="80"/>
      <w:outlineLvl w:val="2"/>
    </w:pPr>
    <w:rPr>
      <w:b/>
      <w:sz w:val="28"/>
      <w:szCs w:val="28"/>
    </w:rPr>
  </w:style>
  <w:style w:type="paragraph" w:styleId="Heading4">
    <w:name w:val="heading 4"/>
    <w:basedOn w:val="Normal"/>
    <w:next w:val="Normal"/>
    <w:uiPriority w:val="9"/>
    <w:semiHidden/>
    <w:unhideWhenUsed/>
    <w:qFormat/>
    <w:pPr>
      <w:keepNext/>
      <w:keepLines/>
      <w:widowControl w:val="0"/>
      <w:spacing w:before="240" w:after="40"/>
      <w:outlineLvl w:val="3"/>
    </w:pPr>
    <w:rPr>
      <w:b/>
    </w:rPr>
  </w:style>
  <w:style w:type="paragraph" w:styleId="Heading5">
    <w:name w:val="heading 5"/>
    <w:basedOn w:val="Normal"/>
    <w:next w:val="Normal"/>
    <w:uiPriority w:val="9"/>
    <w:semiHidden/>
    <w:unhideWhenUsed/>
    <w:qFormat/>
    <w:pPr>
      <w:keepNext/>
      <w:keepLines/>
      <w:widowControl w:val="0"/>
      <w:spacing w:before="220" w:after="40"/>
      <w:outlineLvl w:val="4"/>
    </w:pPr>
    <w:rPr>
      <w:b/>
      <w:sz w:val="22"/>
      <w:szCs w:val="22"/>
    </w:rPr>
  </w:style>
  <w:style w:type="paragraph" w:styleId="Heading6">
    <w:name w:val="heading 6"/>
    <w:basedOn w:val="Normal"/>
    <w:next w:val="Normal"/>
    <w:uiPriority w:val="9"/>
    <w:semiHidden/>
    <w:unhideWhenUsed/>
    <w:qFormat/>
    <w:pPr>
      <w:keepNext/>
      <w:keepLines/>
      <w:widowControl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widowControl w:val="0"/>
      <w:spacing w:before="480" w:after="120"/>
    </w:pPr>
    <w:rPr>
      <w:b/>
      <w:sz w:val="72"/>
      <w:szCs w:val="72"/>
    </w:rPr>
  </w:style>
  <w:style w:type="table" w:customStyle="1" w:styleId="TableNormal00">
    <w:name w:val="TableNormal_0"/>
    <w:tblPr>
      <w:tblCellMar>
        <w:top w:w="0" w:type="dxa"/>
        <w:left w:w="0" w:type="dxa"/>
        <w:bottom w:w="0" w:type="dxa"/>
        <w:right w:w="0" w:type="dxa"/>
      </w:tblCellMar>
    </w:tblPr>
  </w:style>
  <w:style w:type="table" w:customStyle="1" w:styleId="TableNormal1">
    <w:name w:val="TableNormal_1"/>
    <w:tblPr>
      <w:tblCellMar>
        <w:top w:w="0" w:type="dxa"/>
        <w:left w:w="0" w:type="dxa"/>
        <w:bottom w:w="0" w:type="dxa"/>
        <w:right w:w="0" w:type="dxa"/>
      </w:tblCellMar>
    </w:tbl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1E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E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91ECE"/>
    <w:rPr>
      <w:b/>
      <w:bCs/>
    </w:rPr>
  </w:style>
  <w:style w:type="character" w:customStyle="1" w:styleId="CommentSubjectChar">
    <w:name w:val="Comment Subject Char"/>
    <w:basedOn w:val="CommentTextChar"/>
    <w:link w:val="CommentSubject"/>
    <w:uiPriority w:val="99"/>
    <w:semiHidden/>
    <w:rsid w:val="00391ECE"/>
    <w:rPr>
      <w:b/>
      <w:bCs/>
      <w:sz w:val="20"/>
      <w:szCs w:val="20"/>
    </w:rPr>
  </w:style>
  <w:style w:type="paragraph" w:styleId="Revision">
    <w:name w:val="Revision"/>
    <w:hidden/>
    <w:uiPriority w:val="99"/>
    <w:semiHidden/>
    <w:rsid w:val="00783636"/>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tblPr>
      <w:tblStyleRowBandSize w:val="1"/>
      <w:tblStyleColBandSize w:val="1"/>
      <w:tblCellMar>
        <w:top w:w="100" w:type="dxa"/>
        <w:left w:w="100" w:type="dxa"/>
        <w:bottom w:w="100" w:type="dxa"/>
        <w:right w:w="100" w:type="dxa"/>
      </w:tblCellMar>
    </w:tblPr>
  </w:style>
  <w:style w:type="table" w:customStyle="1" w:styleId="a9">
    <w:name w:val="a9"/>
    <w:basedOn w:val="TableNormal"/>
    <w:tblPr>
      <w:tblStyleRowBandSize w:val="1"/>
      <w:tblStyleColBandSize w:val="1"/>
      <w:tblCellMar>
        <w:top w:w="100" w:type="dxa"/>
        <w:left w:w="100" w:type="dxa"/>
        <w:bottom w:w="100" w:type="dxa"/>
        <w:right w:w="100" w:type="dxa"/>
      </w:tblCellMar>
    </w:tblPr>
  </w:style>
  <w:style w:type="table" w:customStyle="1" w:styleId="aa">
    <w:name w:val="aa"/>
    <w:basedOn w:val="TableNormal"/>
    <w:tblPr>
      <w:tblStyleRowBandSize w:val="1"/>
      <w:tblStyleColBandSize w:val="1"/>
      <w:tblCellMar>
        <w:top w:w="100" w:type="dxa"/>
        <w:left w:w="100" w:type="dxa"/>
        <w:bottom w:w="100" w:type="dxa"/>
        <w:right w:w="100" w:type="dxa"/>
      </w:tblCellMar>
    </w:tblPr>
  </w:style>
  <w:style w:type="table" w:customStyle="1" w:styleId="ab">
    <w:name w:val="ab"/>
    <w:basedOn w:val="TableNormal"/>
    <w:tblPr>
      <w:tblStyleRowBandSize w:val="1"/>
      <w:tblStyleColBandSize w:val="1"/>
      <w:tblCellMar>
        <w:top w:w="100" w:type="dxa"/>
        <w:left w:w="100" w:type="dxa"/>
        <w:bottom w:w="100" w:type="dxa"/>
        <w:right w:w="100" w:type="dxa"/>
      </w:tblCellMar>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rPr>
  </w:style>
  <w:style w:type="table" w:customStyle="1" w:styleId="ad">
    <w:name w:val="ad"/>
    <w:basedOn w:val="TableNormal"/>
    <w:tblPr>
      <w:tblStyleRowBandSize w:val="1"/>
      <w:tblStyleColBandSize w:val="1"/>
      <w:tblCellMar>
        <w:top w:w="100" w:type="dxa"/>
        <w:left w:w="100" w:type="dxa"/>
        <w:bottom w:w="100" w:type="dxa"/>
        <w:right w:w="100" w:type="dxa"/>
      </w:tblCellMar>
    </w:tblPr>
  </w:style>
  <w:style w:type="table" w:customStyle="1" w:styleId="ae">
    <w:name w:val="ae"/>
    <w:basedOn w:val="TableNormal"/>
    <w:tblPr>
      <w:tblStyleRowBandSize w:val="1"/>
      <w:tblStyleColBandSize w:val="1"/>
      <w:tblCellMar>
        <w:top w:w="100" w:type="dxa"/>
        <w:left w:w="100" w:type="dxa"/>
        <w:bottom w:w="100" w:type="dxa"/>
        <w:right w:w="100" w:type="dxa"/>
      </w:tblCellMar>
    </w:tblPr>
  </w:style>
  <w:style w:type="table" w:customStyle="1" w:styleId="af">
    <w:name w:val="af"/>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earesocial.com/blog/2021/10/social-media-users-pass-the-4-5-billion-mark/" TargetMode="External" /><Relationship Id="rId11" Type="http://schemas.openxmlformats.org/officeDocument/2006/relationships/hyperlink" Target="https://www.ncdc.gov/stormevents.html" TargetMode="External" /><Relationship Id="rId12" Type="http://schemas.openxmlformats.org/officeDocument/2006/relationships/hyperlink" Target="mailto:bphilips@engin.umass.edu" TargetMode="External" /><Relationship Id="rId13" Type="http://schemas.openxmlformats.org/officeDocument/2006/relationships/hyperlink" Target="mailto:cedarleague@gmail.com" TargetMode="External" /><Relationship Id="rId14" Type="http://schemas.openxmlformats.org/officeDocument/2006/relationships/hyperlink" Target="mailto:npmeyers@soc.umass.edu" TargetMode="External" /><Relationship Id="rId15" Type="http://schemas.openxmlformats.org/officeDocument/2006/relationships/hyperlink" Target="mailto:westy@cs.umass.edu"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omb.report/icr/202105-0990-004/doc/111804401" TargetMode="External" /><Relationship Id="rId8" Type="http://schemas.openxmlformats.org/officeDocument/2006/relationships/hyperlink" Target="https://www.pewforum.org/2020/01/22/methodology-31/" TargetMode="External" /><Relationship Id="rId9" Type="http://schemas.openxmlformats.org/officeDocument/2006/relationships/hyperlink" Target="https://www.ipsos.com/sites/default/files/Documentation%20for%20IRB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qoxM6bgPNwfQ5OLwdj9ntFRSFA==">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3278</Words>
  <Characters>18685</Characters>
  <Application>Microsoft Office Word</Application>
  <DocSecurity>0</DocSecurity>
  <Lines>155</Lines>
  <Paragraphs>43</Paragraphs>
  <ScaleCrop>false</ScaleCrop>
  <Company>NOAA 1200 CORPSRV</Company>
  <LinksUpToDate>false</LinksUpToDate>
  <CharactersWithSpaces>21920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4</cp:revision>
  <dcterms:created xsi:type="dcterms:W3CDTF">2025-08-12T15:11:00Z</dcterms:created>
  <dcterms:modified xsi:type="dcterms:W3CDTF">2025-08-12T15:13:00Z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0x010100D250A597B2B9634FBFF658D906DC2ED5</vt:lpwstr>
  </property>
  <property fmtid="{D5CDD505-2E9C-101B-9397-08002B2CF9AE}" pid="4" name="Order">
    <vt:r8>4215200</vt:r8>
  </property>
  <property fmtid="{D5CDD505-2E9C-101B-9397-08002B2CF9AE}" pid="5" name="TriggerFlowInfo">
    <vt:lpwstr/>
  </property>
  <property fmtid="{D5CDD505-2E9C-101B-9397-08002B2CF9AE}" pid="6" name="_ExtendedDescription">
    <vt:lpwstr/>
  </property>
  <property fmtid="{D5CDD505-2E9C-101B-9397-08002B2CF9AE}" pid="7" name="_SharedFileIndex">
    <vt:lpwstr/>
  </property>
  <property fmtid="{D5CDD505-2E9C-101B-9397-08002B2CF9AE}" pid="8" name="_SourceUrl">
    <vt:lpwstr/>
  </property>
</Properties>
</file>