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C4B6E" w:rsidP="00525ED7" w14:paraId="01B3D3B9" w14:textId="3D9640D0">
      <w:pPr>
        <w:pStyle w:val="NormalWeb"/>
        <w:spacing w:line="288" w:lineRule="atLeast"/>
        <w:jc w:val="center"/>
      </w:pPr>
      <w:bookmarkStart w:id="0" w:name="cs31c"/>
    </w:p>
    <w:p w:rsidR="000C4B6E" w:rsidP="000C4B6E" w14:paraId="6ACE19D3" w14:textId="77777777">
      <w:pPr>
        <w:pStyle w:val="NormalWeb"/>
        <w:spacing w:line="288" w:lineRule="atLeast"/>
        <w:ind w:firstLine="480"/>
        <w:jc w:val="center"/>
        <w:rPr>
          <w:u w:val="single"/>
        </w:rPr>
      </w:pPr>
      <w:bookmarkStart w:id="1" w:name="cs31d"/>
      <w:bookmarkEnd w:id="0"/>
      <w:r>
        <w:rPr>
          <w:u w:val="single"/>
        </w:rPr>
        <w:t>SUPPORTING STATEMENT – PART B</w:t>
      </w:r>
    </w:p>
    <w:p w:rsidR="000C4B6E" w:rsidP="000C4B6E" w14:paraId="7FC1A7A4" w14:textId="77777777">
      <w:pPr>
        <w:pStyle w:val="NormalWeb"/>
        <w:spacing w:line="288" w:lineRule="atLeast"/>
        <w:ind w:firstLine="480"/>
      </w:pPr>
      <w:bookmarkStart w:id="2" w:name="cs32"/>
      <w:bookmarkEnd w:id="1"/>
      <w:r>
        <w:t xml:space="preserve">B.  </w:t>
      </w:r>
      <w:r>
        <w:rPr>
          <w:u w:val="single"/>
        </w:rPr>
        <w:t>COLLECTIONS OF INFORMATION EMPLOYING STATISTICAL METHODS</w:t>
      </w:r>
    </w:p>
    <w:bookmarkEnd w:id="2"/>
    <w:p w:rsidR="000C4B6E" w:rsidP="003908B8" w14:paraId="6AB85EE3" w14:textId="77777777">
      <w:pPr>
        <w:pStyle w:val="NormalWeb"/>
        <w:spacing w:line="288" w:lineRule="atLeast"/>
      </w:pPr>
      <w:r>
        <w:t xml:space="preserve">1.  </w:t>
      </w:r>
      <w:r>
        <w:rPr>
          <w:u w:val="single"/>
        </w:rPr>
        <w:t>Description of the Activity</w:t>
      </w:r>
    </w:p>
    <w:p w:rsidR="000C4B6E" w:rsidP="003908B8" w14:paraId="7B6308AF" w14:textId="443124FC">
      <w:pPr>
        <w:pStyle w:val="NormalWeb"/>
        <w:spacing w:line="288" w:lineRule="atLeast"/>
      </w:pPr>
      <w:r w:rsidRPr="00550F5B">
        <w:t xml:space="preserve">Respondents for the survey are generated from a sampling of reports transmitted by investigators and sources are selected for each investigator based on quality and integrity requirements.  Respondents from the OIG specific survey are selected by surveying all sources for an investigator in question for a select period of time established by the OIG.  </w:t>
      </w:r>
      <w:r w:rsidR="00915D7D">
        <w:t>Investigative Interview Survey</w:t>
      </w:r>
      <w:r w:rsidRPr="00550F5B">
        <w:t>s are then mailed to those individuals when there is alleged misconduct involving the referenced investigator.</w:t>
      </w:r>
      <w:r>
        <w:t xml:space="preserve">  During FY21, OIG sent approximately 1,627 re-contact letters.  OIG anticipates an increase in the number of letters for future fiscal years.</w:t>
      </w:r>
      <w:r w:rsidR="00EA3865">
        <w:t xml:space="preserve"> The chart below reflects total letters processed during FY</w:t>
      </w:r>
      <w:r w:rsidR="00591C5E">
        <w:t>20</w:t>
      </w:r>
      <w:r w:rsidR="00EA3865">
        <w:t>-FY2</w:t>
      </w:r>
      <w:r w:rsidR="00591C5E">
        <w:t>4</w:t>
      </w:r>
      <w:r w:rsidR="00EA3865">
        <w:t xml:space="preserve"> and excludes letters sent by OIG.</w:t>
      </w:r>
    </w:p>
    <w:tbl>
      <w:tblPr>
        <w:tblW w:w="7880" w:type="dxa"/>
        <w:tblInd w:w="113" w:type="dxa"/>
        <w:tblLook w:val="04A0"/>
      </w:tblPr>
      <w:tblGrid>
        <w:gridCol w:w="985"/>
        <w:gridCol w:w="985"/>
        <w:gridCol w:w="985"/>
        <w:gridCol w:w="985"/>
        <w:gridCol w:w="985"/>
        <w:gridCol w:w="985"/>
        <w:gridCol w:w="985"/>
        <w:gridCol w:w="985"/>
      </w:tblGrid>
      <w:tr w14:paraId="722103BA" w14:textId="77777777" w:rsidTr="00C4761C">
        <w:tblPrEx>
          <w:tblW w:w="7880" w:type="dxa"/>
          <w:tblInd w:w="113" w:type="dxa"/>
          <w:tblLook w:val="04A0"/>
        </w:tblPrEx>
        <w:trPr>
          <w:trHeight w:val="292"/>
        </w:trPr>
        <w:tc>
          <w:tcPr>
            <w:tcW w:w="197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C4B6E" w:rsidRPr="0094558A" w:rsidP="00C4761C" w14:paraId="21511EDB" w14:textId="77777777">
            <w:pPr>
              <w:jc w:val="center"/>
              <w:rPr>
                <w:rFonts w:ascii="Calibri" w:hAnsi="Calibri" w:cs="Calibri"/>
                <w:color w:val="000000"/>
                <w:sz w:val="22"/>
                <w:szCs w:val="22"/>
              </w:rPr>
            </w:pPr>
            <w:r w:rsidRPr="0094558A">
              <w:rPr>
                <w:rFonts w:ascii="Calibri" w:hAnsi="Calibri" w:cs="Calibri"/>
                <w:color w:val="000000"/>
                <w:sz w:val="22"/>
                <w:szCs w:val="22"/>
              </w:rPr>
              <w:t> </w:t>
            </w:r>
          </w:p>
        </w:tc>
        <w:tc>
          <w:tcPr>
            <w:tcW w:w="985" w:type="dxa"/>
            <w:tcBorders>
              <w:top w:val="single" w:sz="4" w:space="0" w:color="auto"/>
              <w:left w:val="nil"/>
              <w:bottom w:val="single" w:sz="4" w:space="0" w:color="auto"/>
              <w:right w:val="single" w:sz="4" w:space="0" w:color="auto"/>
            </w:tcBorders>
            <w:shd w:val="clear" w:color="000000" w:fill="FFFFFF"/>
            <w:noWrap/>
            <w:vAlign w:val="bottom"/>
            <w:hideMark/>
          </w:tcPr>
          <w:p w:rsidR="000C4B6E" w:rsidRPr="0094558A" w:rsidP="00C4761C" w14:paraId="40198602" w14:textId="1A21E39A">
            <w:pPr>
              <w:jc w:val="right"/>
              <w:rPr>
                <w:rFonts w:ascii="Calibri" w:hAnsi="Calibri" w:cs="Calibri"/>
                <w:b/>
                <w:bCs/>
                <w:color w:val="000000"/>
                <w:sz w:val="22"/>
                <w:szCs w:val="22"/>
              </w:rPr>
            </w:pPr>
            <w:r w:rsidRPr="0094558A">
              <w:rPr>
                <w:rFonts w:ascii="Calibri" w:hAnsi="Calibri" w:cs="Calibri"/>
                <w:b/>
                <w:bCs/>
                <w:color w:val="000000"/>
                <w:sz w:val="22"/>
                <w:szCs w:val="22"/>
              </w:rPr>
              <w:t>FY</w:t>
            </w:r>
            <w:r w:rsidR="00813B2B">
              <w:rPr>
                <w:rFonts w:ascii="Calibri" w:hAnsi="Calibri" w:cs="Calibri"/>
                <w:b/>
                <w:bCs/>
                <w:color w:val="000000"/>
                <w:sz w:val="22"/>
                <w:szCs w:val="22"/>
              </w:rPr>
              <w:t>20*</w:t>
            </w:r>
          </w:p>
        </w:tc>
        <w:tc>
          <w:tcPr>
            <w:tcW w:w="985" w:type="dxa"/>
            <w:tcBorders>
              <w:top w:val="single" w:sz="4" w:space="0" w:color="auto"/>
              <w:left w:val="nil"/>
              <w:bottom w:val="single" w:sz="4" w:space="0" w:color="auto"/>
              <w:right w:val="single" w:sz="4" w:space="0" w:color="auto"/>
            </w:tcBorders>
            <w:shd w:val="clear" w:color="000000" w:fill="FFFFFF"/>
            <w:noWrap/>
            <w:vAlign w:val="bottom"/>
            <w:hideMark/>
          </w:tcPr>
          <w:p w:rsidR="000C4B6E" w:rsidRPr="0094558A" w:rsidP="00C4761C" w14:paraId="2E36DB63" w14:textId="46C79DF5">
            <w:pPr>
              <w:jc w:val="right"/>
              <w:rPr>
                <w:rFonts w:ascii="Calibri" w:hAnsi="Calibri" w:cs="Calibri"/>
                <w:b/>
                <w:bCs/>
                <w:color w:val="000000"/>
                <w:sz w:val="22"/>
                <w:szCs w:val="22"/>
              </w:rPr>
            </w:pPr>
            <w:r w:rsidRPr="0094558A">
              <w:rPr>
                <w:rFonts w:ascii="Calibri" w:hAnsi="Calibri" w:cs="Calibri"/>
                <w:b/>
                <w:bCs/>
                <w:color w:val="000000"/>
                <w:sz w:val="22"/>
                <w:szCs w:val="22"/>
              </w:rPr>
              <w:t>FY</w:t>
            </w:r>
            <w:r w:rsidR="00813B2B">
              <w:rPr>
                <w:rFonts w:ascii="Calibri" w:hAnsi="Calibri" w:cs="Calibri"/>
                <w:b/>
                <w:bCs/>
                <w:color w:val="000000"/>
                <w:sz w:val="22"/>
                <w:szCs w:val="22"/>
              </w:rPr>
              <w:t>21</w:t>
            </w:r>
          </w:p>
        </w:tc>
        <w:tc>
          <w:tcPr>
            <w:tcW w:w="985" w:type="dxa"/>
            <w:tcBorders>
              <w:top w:val="single" w:sz="4" w:space="0" w:color="auto"/>
              <w:left w:val="nil"/>
              <w:bottom w:val="single" w:sz="4" w:space="0" w:color="auto"/>
              <w:right w:val="single" w:sz="4" w:space="0" w:color="auto"/>
            </w:tcBorders>
            <w:shd w:val="clear" w:color="000000" w:fill="FFFFFF"/>
            <w:noWrap/>
            <w:vAlign w:val="bottom"/>
            <w:hideMark/>
          </w:tcPr>
          <w:p w:rsidR="000C4B6E" w:rsidRPr="0094558A" w:rsidP="00C4761C" w14:paraId="098B2495" w14:textId="474E1900">
            <w:pPr>
              <w:jc w:val="right"/>
              <w:rPr>
                <w:rFonts w:ascii="Calibri" w:hAnsi="Calibri" w:cs="Calibri"/>
                <w:b/>
                <w:bCs/>
                <w:color w:val="000000"/>
                <w:sz w:val="22"/>
                <w:szCs w:val="22"/>
              </w:rPr>
            </w:pPr>
            <w:r w:rsidRPr="0094558A">
              <w:rPr>
                <w:rFonts w:ascii="Calibri" w:hAnsi="Calibri" w:cs="Calibri"/>
                <w:b/>
                <w:bCs/>
                <w:color w:val="000000"/>
                <w:sz w:val="22"/>
                <w:szCs w:val="22"/>
              </w:rPr>
              <w:t>FY</w:t>
            </w:r>
            <w:r w:rsidR="00813B2B">
              <w:rPr>
                <w:rFonts w:ascii="Calibri" w:hAnsi="Calibri" w:cs="Calibri"/>
                <w:b/>
                <w:bCs/>
                <w:color w:val="000000"/>
                <w:sz w:val="22"/>
                <w:szCs w:val="22"/>
              </w:rPr>
              <w:t>22</w:t>
            </w:r>
          </w:p>
        </w:tc>
        <w:tc>
          <w:tcPr>
            <w:tcW w:w="985" w:type="dxa"/>
            <w:tcBorders>
              <w:top w:val="single" w:sz="4" w:space="0" w:color="auto"/>
              <w:left w:val="nil"/>
              <w:bottom w:val="single" w:sz="4" w:space="0" w:color="auto"/>
              <w:right w:val="single" w:sz="4" w:space="0" w:color="auto"/>
            </w:tcBorders>
            <w:shd w:val="clear" w:color="000000" w:fill="FFFFFF"/>
            <w:noWrap/>
            <w:vAlign w:val="bottom"/>
            <w:hideMark/>
          </w:tcPr>
          <w:p w:rsidR="000C4B6E" w:rsidRPr="0094558A" w:rsidP="00C4761C" w14:paraId="3A0723C6" w14:textId="7B62C214">
            <w:pPr>
              <w:jc w:val="right"/>
              <w:rPr>
                <w:rFonts w:ascii="Calibri" w:hAnsi="Calibri" w:cs="Calibri"/>
                <w:b/>
                <w:bCs/>
                <w:color w:val="000000"/>
                <w:sz w:val="22"/>
                <w:szCs w:val="22"/>
              </w:rPr>
            </w:pPr>
            <w:r w:rsidRPr="0094558A">
              <w:rPr>
                <w:rFonts w:ascii="Calibri" w:hAnsi="Calibri" w:cs="Calibri"/>
                <w:b/>
                <w:bCs/>
                <w:color w:val="000000"/>
                <w:sz w:val="22"/>
                <w:szCs w:val="22"/>
              </w:rPr>
              <w:t>FY</w:t>
            </w:r>
            <w:r w:rsidR="00813B2B">
              <w:rPr>
                <w:rFonts w:ascii="Calibri" w:hAnsi="Calibri" w:cs="Calibri"/>
                <w:b/>
                <w:bCs/>
                <w:color w:val="000000"/>
                <w:sz w:val="22"/>
                <w:szCs w:val="22"/>
              </w:rPr>
              <w:t>23</w:t>
            </w:r>
          </w:p>
        </w:tc>
        <w:tc>
          <w:tcPr>
            <w:tcW w:w="985" w:type="dxa"/>
            <w:tcBorders>
              <w:top w:val="single" w:sz="4" w:space="0" w:color="auto"/>
              <w:left w:val="nil"/>
              <w:bottom w:val="single" w:sz="4" w:space="0" w:color="auto"/>
              <w:right w:val="single" w:sz="4" w:space="0" w:color="auto"/>
            </w:tcBorders>
            <w:shd w:val="clear" w:color="000000" w:fill="FFFFFF"/>
            <w:noWrap/>
            <w:vAlign w:val="bottom"/>
            <w:hideMark/>
          </w:tcPr>
          <w:p w:rsidR="000C4B6E" w:rsidRPr="0094558A" w:rsidP="00C4761C" w14:paraId="3EF42CE2" w14:textId="56BDCBA7">
            <w:pPr>
              <w:jc w:val="right"/>
              <w:rPr>
                <w:rFonts w:ascii="Calibri" w:hAnsi="Calibri" w:cs="Calibri"/>
                <w:b/>
                <w:bCs/>
                <w:color w:val="000000"/>
                <w:sz w:val="22"/>
                <w:szCs w:val="22"/>
              </w:rPr>
            </w:pPr>
            <w:r w:rsidRPr="0094558A">
              <w:rPr>
                <w:rFonts w:ascii="Calibri" w:hAnsi="Calibri" w:cs="Calibri"/>
                <w:b/>
                <w:bCs/>
                <w:color w:val="000000"/>
                <w:sz w:val="22"/>
                <w:szCs w:val="22"/>
              </w:rPr>
              <w:t>FY2</w:t>
            </w:r>
            <w:r w:rsidR="00813B2B">
              <w:rPr>
                <w:rFonts w:ascii="Calibri" w:hAnsi="Calibri" w:cs="Calibri"/>
                <w:b/>
                <w:bCs/>
                <w:color w:val="000000"/>
                <w:sz w:val="22"/>
                <w:szCs w:val="22"/>
              </w:rPr>
              <w:t>4</w:t>
            </w:r>
          </w:p>
        </w:tc>
        <w:tc>
          <w:tcPr>
            <w:tcW w:w="985" w:type="dxa"/>
            <w:tcBorders>
              <w:top w:val="single" w:sz="4" w:space="0" w:color="auto"/>
              <w:left w:val="nil"/>
              <w:bottom w:val="single" w:sz="4" w:space="0" w:color="auto"/>
              <w:right w:val="single" w:sz="4" w:space="0" w:color="auto"/>
            </w:tcBorders>
            <w:shd w:val="clear" w:color="000000" w:fill="FFFFFF"/>
            <w:noWrap/>
            <w:vAlign w:val="bottom"/>
            <w:hideMark/>
          </w:tcPr>
          <w:p w:rsidR="000C4B6E" w:rsidRPr="0094558A" w:rsidP="00C4761C" w14:paraId="386ABEA8" w14:textId="77777777">
            <w:pPr>
              <w:jc w:val="right"/>
              <w:rPr>
                <w:rFonts w:ascii="Calibri" w:hAnsi="Calibri" w:cs="Calibri"/>
                <w:b/>
                <w:bCs/>
                <w:color w:val="000000"/>
                <w:sz w:val="22"/>
                <w:szCs w:val="22"/>
              </w:rPr>
            </w:pPr>
            <w:r w:rsidRPr="0094558A">
              <w:rPr>
                <w:rFonts w:ascii="Calibri" w:hAnsi="Calibri" w:cs="Calibri"/>
                <w:b/>
                <w:bCs/>
                <w:color w:val="000000"/>
                <w:sz w:val="22"/>
                <w:szCs w:val="22"/>
              </w:rPr>
              <w:t>AVG</w:t>
            </w:r>
          </w:p>
        </w:tc>
      </w:tr>
      <w:tr w14:paraId="3E57C451" w14:textId="77777777" w:rsidTr="00C4761C">
        <w:tblPrEx>
          <w:tblW w:w="7880" w:type="dxa"/>
          <w:tblInd w:w="113" w:type="dxa"/>
          <w:tblLook w:val="04A0"/>
        </w:tblPrEx>
        <w:trPr>
          <w:trHeight w:val="292"/>
        </w:trPr>
        <w:tc>
          <w:tcPr>
            <w:tcW w:w="197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C4B6E" w:rsidRPr="0094558A" w:rsidP="00C4761C" w14:paraId="7798E875" w14:textId="77777777">
            <w:pPr>
              <w:rPr>
                <w:rFonts w:ascii="Calibri" w:hAnsi="Calibri" w:cs="Calibri"/>
                <w:color w:val="000000"/>
                <w:sz w:val="22"/>
                <w:szCs w:val="22"/>
              </w:rPr>
            </w:pPr>
            <w:r w:rsidRPr="0094558A">
              <w:rPr>
                <w:rFonts w:ascii="Calibri" w:hAnsi="Calibri" w:cs="Calibri"/>
                <w:color w:val="000000"/>
                <w:sz w:val="22"/>
                <w:szCs w:val="22"/>
              </w:rPr>
              <w:t>Letters Sent</w:t>
            </w:r>
          </w:p>
        </w:tc>
        <w:tc>
          <w:tcPr>
            <w:tcW w:w="985" w:type="dxa"/>
            <w:tcBorders>
              <w:top w:val="nil"/>
              <w:left w:val="nil"/>
              <w:bottom w:val="single" w:sz="4" w:space="0" w:color="auto"/>
              <w:right w:val="single" w:sz="4" w:space="0" w:color="auto"/>
            </w:tcBorders>
            <w:shd w:val="clear" w:color="000000" w:fill="FFFFFF"/>
            <w:noWrap/>
            <w:vAlign w:val="bottom"/>
            <w:hideMark/>
          </w:tcPr>
          <w:p w:rsidR="000C4B6E" w:rsidRPr="0094558A" w:rsidP="00C4761C" w14:paraId="401AD44E" w14:textId="437EF909">
            <w:pPr>
              <w:jc w:val="right"/>
              <w:rPr>
                <w:rFonts w:ascii="Calibri" w:hAnsi="Calibri" w:cs="Calibri"/>
                <w:color w:val="000000"/>
                <w:sz w:val="22"/>
                <w:szCs w:val="22"/>
              </w:rPr>
            </w:pPr>
            <w:r w:rsidRPr="0094558A">
              <w:rPr>
                <w:rFonts w:ascii="Calibri" w:hAnsi="Calibri" w:cs="Calibri"/>
                <w:color w:val="000000"/>
                <w:sz w:val="22"/>
                <w:szCs w:val="22"/>
              </w:rPr>
              <w:t>142,795</w:t>
            </w:r>
          </w:p>
        </w:tc>
        <w:tc>
          <w:tcPr>
            <w:tcW w:w="985" w:type="dxa"/>
            <w:tcBorders>
              <w:top w:val="nil"/>
              <w:left w:val="nil"/>
              <w:bottom w:val="single" w:sz="4" w:space="0" w:color="auto"/>
              <w:right w:val="single" w:sz="4" w:space="0" w:color="auto"/>
            </w:tcBorders>
            <w:shd w:val="clear" w:color="000000" w:fill="FFFFFF"/>
            <w:noWrap/>
            <w:vAlign w:val="bottom"/>
            <w:hideMark/>
          </w:tcPr>
          <w:p w:rsidR="000C4B6E" w:rsidRPr="0094558A" w:rsidP="00C4761C" w14:paraId="604F7B4B" w14:textId="316FECF0">
            <w:pPr>
              <w:jc w:val="right"/>
              <w:rPr>
                <w:rFonts w:ascii="Calibri" w:hAnsi="Calibri" w:cs="Calibri"/>
                <w:color w:val="000000"/>
                <w:sz w:val="22"/>
                <w:szCs w:val="22"/>
              </w:rPr>
            </w:pPr>
            <w:r w:rsidRPr="0094558A">
              <w:rPr>
                <w:rFonts w:ascii="Calibri" w:hAnsi="Calibri" w:cs="Calibri"/>
                <w:color w:val="000000"/>
                <w:sz w:val="22"/>
                <w:szCs w:val="22"/>
              </w:rPr>
              <w:t>109</w:t>
            </w:r>
            <w:r>
              <w:rPr>
                <w:rFonts w:ascii="Calibri" w:hAnsi="Calibri" w:cs="Calibri"/>
                <w:color w:val="000000"/>
                <w:sz w:val="22"/>
                <w:szCs w:val="22"/>
              </w:rPr>
              <w:t>,</w:t>
            </w:r>
            <w:r w:rsidRPr="0094558A">
              <w:rPr>
                <w:rFonts w:ascii="Calibri" w:hAnsi="Calibri" w:cs="Calibri"/>
                <w:color w:val="000000"/>
                <w:sz w:val="22"/>
                <w:szCs w:val="22"/>
              </w:rPr>
              <w:t>732</w:t>
            </w:r>
          </w:p>
        </w:tc>
        <w:tc>
          <w:tcPr>
            <w:tcW w:w="985" w:type="dxa"/>
            <w:tcBorders>
              <w:top w:val="nil"/>
              <w:left w:val="nil"/>
              <w:bottom w:val="single" w:sz="4" w:space="0" w:color="auto"/>
              <w:right w:val="single" w:sz="4" w:space="0" w:color="auto"/>
            </w:tcBorders>
            <w:shd w:val="clear" w:color="000000" w:fill="FFFFFF"/>
            <w:noWrap/>
            <w:vAlign w:val="bottom"/>
            <w:hideMark/>
          </w:tcPr>
          <w:p w:rsidR="000C4B6E" w:rsidRPr="0094558A" w:rsidP="00C4761C" w14:paraId="6439C69C" w14:textId="6AB138BF">
            <w:pPr>
              <w:jc w:val="right"/>
              <w:rPr>
                <w:rFonts w:ascii="Calibri" w:hAnsi="Calibri" w:cs="Calibri"/>
                <w:color w:val="000000"/>
                <w:sz w:val="22"/>
                <w:szCs w:val="22"/>
              </w:rPr>
            </w:pPr>
            <w:r>
              <w:rPr>
                <w:rFonts w:ascii="Calibri" w:hAnsi="Calibri" w:cs="Calibri"/>
                <w:color w:val="000000"/>
                <w:sz w:val="22"/>
                <w:szCs w:val="22"/>
              </w:rPr>
              <w:t>106,183</w:t>
            </w:r>
          </w:p>
        </w:tc>
        <w:tc>
          <w:tcPr>
            <w:tcW w:w="985" w:type="dxa"/>
            <w:tcBorders>
              <w:top w:val="nil"/>
              <w:left w:val="nil"/>
              <w:bottom w:val="single" w:sz="4" w:space="0" w:color="auto"/>
              <w:right w:val="single" w:sz="4" w:space="0" w:color="auto"/>
            </w:tcBorders>
            <w:shd w:val="clear" w:color="000000" w:fill="FFFFFF"/>
            <w:noWrap/>
            <w:vAlign w:val="bottom"/>
            <w:hideMark/>
          </w:tcPr>
          <w:p w:rsidR="000C4B6E" w:rsidRPr="0094558A" w:rsidP="00C4761C" w14:paraId="17852AC3" w14:textId="4CBE85E6">
            <w:pPr>
              <w:jc w:val="right"/>
              <w:rPr>
                <w:rFonts w:ascii="Calibri" w:hAnsi="Calibri" w:cs="Calibri"/>
                <w:color w:val="000000"/>
                <w:sz w:val="22"/>
                <w:szCs w:val="22"/>
              </w:rPr>
            </w:pPr>
            <w:r>
              <w:rPr>
                <w:rFonts w:ascii="Calibri" w:hAnsi="Calibri" w:cs="Calibri"/>
                <w:color w:val="000000"/>
                <w:sz w:val="22"/>
                <w:szCs w:val="22"/>
              </w:rPr>
              <w:t>164,452</w:t>
            </w:r>
          </w:p>
        </w:tc>
        <w:tc>
          <w:tcPr>
            <w:tcW w:w="985" w:type="dxa"/>
            <w:tcBorders>
              <w:top w:val="nil"/>
              <w:left w:val="nil"/>
              <w:bottom w:val="single" w:sz="4" w:space="0" w:color="auto"/>
              <w:right w:val="single" w:sz="4" w:space="0" w:color="auto"/>
            </w:tcBorders>
            <w:shd w:val="clear" w:color="auto" w:fill="auto"/>
            <w:noWrap/>
            <w:vAlign w:val="bottom"/>
            <w:hideMark/>
          </w:tcPr>
          <w:p w:rsidR="000C4B6E" w:rsidRPr="0094558A" w:rsidP="00C4761C" w14:paraId="6AC63761" w14:textId="33844D4F">
            <w:pPr>
              <w:jc w:val="right"/>
              <w:rPr>
                <w:rFonts w:ascii="Calibri" w:hAnsi="Calibri" w:cs="Calibri"/>
                <w:color w:val="000000"/>
                <w:sz w:val="22"/>
                <w:szCs w:val="22"/>
              </w:rPr>
            </w:pPr>
            <w:r w:rsidRPr="0094558A">
              <w:rPr>
                <w:rFonts w:ascii="Calibri" w:hAnsi="Calibri" w:cs="Calibri"/>
                <w:color w:val="000000"/>
                <w:sz w:val="22"/>
                <w:szCs w:val="22"/>
              </w:rPr>
              <w:t>1</w:t>
            </w:r>
            <w:r w:rsidR="00813B2B">
              <w:rPr>
                <w:rFonts w:ascii="Calibri" w:hAnsi="Calibri" w:cs="Calibri"/>
                <w:color w:val="000000"/>
                <w:sz w:val="22"/>
                <w:szCs w:val="22"/>
              </w:rPr>
              <w:t>86,342</w:t>
            </w:r>
          </w:p>
        </w:tc>
        <w:tc>
          <w:tcPr>
            <w:tcW w:w="985" w:type="dxa"/>
            <w:tcBorders>
              <w:top w:val="nil"/>
              <w:left w:val="nil"/>
              <w:bottom w:val="single" w:sz="4" w:space="0" w:color="auto"/>
              <w:right w:val="single" w:sz="4" w:space="0" w:color="auto"/>
            </w:tcBorders>
            <w:shd w:val="clear" w:color="auto" w:fill="auto"/>
            <w:noWrap/>
            <w:vAlign w:val="bottom"/>
            <w:hideMark/>
          </w:tcPr>
          <w:p w:rsidR="000C4B6E" w:rsidRPr="0094558A" w:rsidP="00C4761C" w14:paraId="51477B73" w14:textId="2F4EB619">
            <w:pPr>
              <w:jc w:val="right"/>
              <w:rPr>
                <w:rFonts w:ascii="Calibri" w:hAnsi="Calibri" w:cs="Calibri"/>
                <w:color w:val="000000"/>
                <w:sz w:val="22"/>
                <w:szCs w:val="22"/>
              </w:rPr>
            </w:pPr>
            <w:r w:rsidRPr="0094558A">
              <w:rPr>
                <w:rFonts w:ascii="Calibri" w:hAnsi="Calibri" w:cs="Calibri"/>
                <w:color w:val="000000"/>
                <w:sz w:val="22"/>
                <w:szCs w:val="22"/>
              </w:rPr>
              <w:t>1</w:t>
            </w:r>
            <w:r w:rsidR="00591C5E">
              <w:rPr>
                <w:rFonts w:ascii="Calibri" w:hAnsi="Calibri" w:cs="Calibri"/>
                <w:color w:val="000000"/>
                <w:sz w:val="22"/>
                <w:szCs w:val="22"/>
              </w:rPr>
              <w:t>41,900</w:t>
            </w:r>
          </w:p>
        </w:tc>
      </w:tr>
      <w:tr w14:paraId="2929F862" w14:textId="77777777" w:rsidTr="00C4761C">
        <w:tblPrEx>
          <w:tblW w:w="7880" w:type="dxa"/>
          <w:tblInd w:w="113" w:type="dxa"/>
          <w:tblLook w:val="04A0"/>
        </w:tblPrEx>
        <w:trPr>
          <w:trHeight w:val="292"/>
        </w:trPr>
        <w:tc>
          <w:tcPr>
            <w:tcW w:w="197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C4B6E" w:rsidRPr="0094558A" w:rsidP="00C4761C" w14:paraId="48133396" w14:textId="77777777">
            <w:pPr>
              <w:rPr>
                <w:rFonts w:ascii="Calibri" w:hAnsi="Calibri" w:cs="Calibri"/>
                <w:color w:val="000000"/>
                <w:sz w:val="22"/>
                <w:szCs w:val="22"/>
              </w:rPr>
            </w:pPr>
            <w:r w:rsidRPr="0094558A">
              <w:rPr>
                <w:rFonts w:ascii="Calibri" w:hAnsi="Calibri" w:cs="Calibri"/>
                <w:color w:val="000000"/>
                <w:sz w:val="22"/>
                <w:szCs w:val="22"/>
              </w:rPr>
              <w:t>Letters Returned</w:t>
            </w:r>
          </w:p>
        </w:tc>
        <w:tc>
          <w:tcPr>
            <w:tcW w:w="985" w:type="dxa"/>
            <w:tcBorders>
              <w:top w:val="nil"/>
              <w:left w:val="nil"/>
              <w:bottom w:val="single" w:sz="4" w:space="0" w:color="auto"/>
              <w:right w:val="single" w:sz="4" w:space="0" w:color="auto"/>
            </w:tcBorders>
            <w:shd w:val="clear" w:color="000000" w:fill="FFFFFF"/>
            <w:noWrap/>
            <w:vAlign w:val="bottom"/>
            <w:hideMark/>
          </w:tcPr>
          <w:p w:rsidR="000C4B6E" w:rsidRPr="0094558A" w:rsidP="00C4761C" w14:paraId="23AEEB5E" w14:textId="4FE85511">
            <w:pPr>
              <w:jc w:val="right"/>
              <w:rPr>
                <w:rFonts w:ascii="Calibri" w:hAnsi="Calibri" w:cs="Calibri"/>
                <w:color w:val="000000"/>
                <w:sz w:val="22"/>
                <w:szCs w:val="22"/>
              </w:rPr>
            </w:pPr>
            <w:r w:rsidRPr="0094558A">
              <w:rPr>
                <w:rFonts w:ascii="Calibri" w:hAnsi="Calibri" w:cs="Calibri"/>
                <w:color w:val="000000"/>
                <w:sz w:val="22"/>
                <w:szCs w:val="22"/>
              </w:rPr>
              <w:t>35,823</w:t>
            </w:r>
          </w:p>
        </w:tc>
        <w:tc>
          <w:tcPr>
            <w:tcW w:w="985" w:type="dxa"/>
            <w:tcBorders>
              <w:top w:val="nil"/>
              <w:left w:val="nil"/>
              <w:bottom w:val="single" w:sz="4" w:space="0" w:color="auto"/>
              <w:right w:val="single" w:sz="4" w:space="0" w:color="auto"/>
            </w:tcBorders>
            <w:shd w:val="clear" w:color="000000" w:fill="FFFFFF"/>
            <w:noWrap/>
            <w:vAlign w:val="bottom"/>
            <w:hideMark/>
          </w:tcPr>
          <w:p w:rsidR="000C4B6E" w:rsidRPr="0094558A" w:rsidP="00C4761C" w14:paraId="088841E1" w14:textId="50B9C7C7">
            <w:pPr>
              <w:jc w:val="right"/>
              <w:rPr>
                <w:rFonts w:ascii="Calibri" w:hAnsi="Calibri" w:cs="Calibri"/>
                <w:color w:val="000000"/>
                <w:sz w:val="22"/>
                <w:szCs w:val="22"/>
              </w:rPr>
            </w:pPr>
            <w:r w:rsidRPr="0094558A">
              <w:rPr>
                <w:rFonts w:ascii="Calibri" w:hAnsi="Calibri" w:cs="Calibri"/>
                <w:color w:val="000000"/>
                <w:sz w:val="22"/>
                <w:szCs w:val="22"/>
              </w:rPr>
              <w:t>34</w:t>
            </w:r>
            <w:r>
              <w:rPr>
                <w:rFonts w:ascii="Calibri" w:hAnsi="Calibri" w:cs="Calibri"/>
                <w:color w:val="000000"/>
                <w:sz w:val="22"/>
                <w:szCs w:val="22"/>
              </w:rPr>
              <w:t>,</w:t>
            </w:r>
            <w:r w:rsidRPr="0094558A">
              <w:rPr>
                <w:rFonts w:ascii="Calibri" w:hAnsi="Calibri" w:cs="Calibri"/>
                <w:color w:val="000000"/>
                <w:sz w:val="22"/>
                <w:szCs w:val="22"/>
              </w:rPr>
              <w:t>084</w:t>
            </w:r>
          </w:p>
        </w:tc>
        <w:tc>
          <w:tcPr>
            <w:tcW w:w="985" w:type="dxa"/>
            <w:tcBorders>
              <w:top w:val="nil"/>
              <w:left w:val="nil"/>
              <w:bottom w:val="single" w:sz="4" w:space="0" w:color="auto"/>
              <w:right w:val="single" w:sz="4" w:space="0" w:color="auto"/>
            </w:tcBorders>
            <w:shd w:val="clear" w:color="000000" w:fill="FFFFFF"/>
            <w:noWrap/>
            <w:vAlign w:val="bottom"/>
            <w:hideMark/>
          </w:tcPr>
          <w:p w:rsidR="000C4B6E" w:rsidRPr="0094558A" w:rsidP="00C4761C" w14:paraId="6E540836" w14:textId="2A3819D2">
            <w:pPr>
              <w:jc w:val="right"/>
              <w:rPr>
                <w:rFonts w:ascii="Calibri" w:hAnsi="Calibri" w:cs="Calibri"/>
                <w:color w:val="000000"/>
                <w:sz w:val="22"/>
                <w:szCs w:val="22"/>
              </w:rPr>
            </w:pPr>
            <w:r>
              <w:rPr>
                <w:rFonts w:ascii="Calibri" w:hAnsi="Calibri" w:cs="Calibri"/>
                <w:color w:val="000000"/>
                <w:sz w:val="22"/>
                <w:szCs w:val="22"/>
              </w:rPr>
              <w:t>27,396</w:t>
            </w:r>
          </w:p>
        </w:tc>
        <w:tc>
          <w:tcPr>
            <w:tcW w:w="985" w:type="dxa"/>
            <w:tcBorders>
              <w:top w:val="nil"/>
              <w:left w:val="nil"/>
              <w:bottom w:val="single" w:sz="4" w:space="0" w:color="auto"/>
              <w:right w:val="single" w:sz="4" w:space="0" w:color="auto"/>
            </w:tcBorders>
            <w:shd w:val="clear" w:color="000000" w:fill="FFFFFF"/>
            <w:noWrap/>
            <w:vAlign w:val="bottom"/>
            <w:hideMark/>
          </w:tcPr>
          <w:p w:rsidR="000C4B6E" w:rsidRPr="0094558A" w:rsidP="00C4761C" w14:paraId="28CBF7A7" w14:textId="56748E2C">
            <w:pPr>
              <w:jc w:val="right"/>
              <w:rPr>
                <w:rFonts w:ascii="Calibri" w:hAnsi="Calibri" w:cs="Calibri"/>
                <w:color w:val="000000"/>
                <w:sz w:val="22"/>
                <w:szCs w:val="22"/>
              </w:rPr>
            </w:pPr>
            <w:r w:rsidRPr="0094558A">
              <w:rPr>
                <w:rFonts w:ascii="Calibri" w:hAnsi="Calibri" w:cs="Calibri"/>
                <w:color w:val="000000"/>
                <w:sz w:val="22"/>
                <w:szCs w:val="22"/>
              </w:rPr>
              <w:t>3</w:t>
            </w:r>
            <w:r w:rsidR="00813B2B">
              <w:rPr>
                <w:rFonts w:ascii="Calibri" w:hAnsi="Calibri" w:cs="Calibri"/>
                <w:color w:val="000000"/>
                <w:sz w:val="22"/>
                <w:szCs w:val="22"/>
              </w:rPr>
              <w:t>6,922</w:t>
            </w:r>
          </w:p>
        </w:tc>
        <w:tc>
          <w:tcPr>
            <w:tcW w:w="985" w:type="dxa"/>
            <w:tcBorders>
              <w:top w:val="nil"/>
              <w:left w:val="nil"/>
              <w:bottom w:val="single" w:sz="4" w:space="0" w:color="auto"/>
              <w:right w:val="single" w:sz="4" w:space="0" w:color="auto"/>
            </w:tcBorders>
            <w:shd w:val="clear" w:color="auto" w:fill="auto"/>
            <w:noWrap/>
            <w:vAlign w:val="bottom"/>
            <w:hideMark/>
          </w:tcPr>
          <w:p w:rsidR="000C4B6E" w:rsidRPr="0094558A" w:rsidP="00C4761C" w14:paraId="33E89B35" w14:textId="5C9B18D4">
            <w:pPr>
              <w:jc w:val="right"/>
              <w:rPr>
                <w:rFonts w:ascii="Calibri" w:hAnsi="Calibri" w:cs="Calibri"/>
                <w:color w:val="000000"/>
                <w:sz w:val="22"/>
                <w:szCs w:val="22"/>
              </w:rPr>
            </w:pPr>
            <w:r w:rsidRPr="0094558A">
              <w:rPr>
                <w:rFonts w:ascii="Calibri" w:hAnsi="Calibri" w:cs="Calibri"/>
                <w:color w:val="000000"/>
                <w:sz w:val="22"/>
                <w:szCs w:val="22"/>
              </w:rPr>
              <w:t>3</w:t>
            </w:r>
            <w:r w:rsidR="00813B2B">
              <w:rPr>
                <w:rFonts w:ascii="Calibri" w:hAnsi="Calibri" w:cs="Calibri"/>
                <w:color w:val="000000"/>
                <w:sz w:val="22"/>
                <w:szCs w:val="22"/>
              </w:rPr>
              <w:t>7,518</w:t>
            </w:r>
          </w:p>
        </w:tc>
        <w:tc>
          <w:tcPr>
            <w:tcW w:w="985" w:type="dxa"/>
            <w:tcBorders>
              <w:top w:val="nil"/>
              <w:left w:val="nil"/>
              <w:bottom w:val="single" w:sz="4" w:space="0" w:color="auto"/>
              <w:right w:val="single" w:sz="4" w:space="0" w:color="auto"/>
            </w:tcBorders>
            <w:shd w:val="clear" w:color="auto" w:fill="auto"/>
            <w:noWrap/>
            <w:vAlign w:val="bottom"/>
            <w:hideMark/>
          </w:tcPr>
          <w:p w:rsidR="000C4B6E" w:rsidRPr="0094558A" w:rsidP="00C4761C" w14:paraId="7D971C6A" w14:textId="590A3FEB">
            <w:pPr>
              <w:jc w:val="right"/>
              <w:rPr>
                <w:rFonts w:ascii="Calibri" w:hAnsi="Calibri" w:cs="Calibri"/>
                <w:color w:val="000000"/>
                <w:sz w:val="22"/>
                <w:szCs w:val="22"/>
              </w:rPr>
            </w:pPr>
            <w:r>
              <w:rPr>
                <w:rFonts w:ascii="Calibri" w:hAnsi="Calibri" w:cs="Calibri"/>
                <w:color w:val="000000"/>
                <w:sz w:val="22"/>
                <w:szCs w:val="22"/>
              </w:rPr>
              <w:t>34,348</w:t>
            </w:r>
          </w:p>
        </w:tc>
      </w:tr>
      <w:tr w14:paraId="6419C20E" w14:textId="77777777" w:rsidTr="00C4761C">
        <w:tblPrEx>
          <w:tblW w:w="7880" w:type="dxa"/>
          <w:tblInd w:w="113" w:type="dxa"/>
          <w:tblLook w:val="04A0"/>
        </w:tblPrEx>
        <w:trPr>
          <w:trHeight w:val="292"/>
        </w:trPr>
        <w:tc>
          <w:tcPr>
            <w:tcW w:w="197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C4B6E" w:rsidRPr="0094558A" w:rsidP="00C4761C" w14:paraId="4A2A9467" w14:textId="77777777">
            <w:pPr>
              <w:rPr>
                <w:rFonts w:ascii="Calibri" w:hAnsi="Calibri" w:cs="Calibri"/>
                <w:color w:val="000000"/>
                <w:sz w:val="22"/>
                <w:szCs w:val="22"/>
              </w:rPr>
            </w:pPr>
            <w:r w:rsidRPr="0094558A">
              <w:rPr>
                <w:rFonts w:ascii="Calibri" w:hAnsi="Calibri" w:cs="Calibri"/>
                <w:color w:val="000000"/>
                <w:sz w:val="22"/>
                <w:szCs w:val="22"/>
              </w:rPr>
              <w:t>Return Percentage</w:t>
            </w:r>
          </w:p>
        </w:tc>
        <w:tc>
          <w:tcPr>
            <w:tcW w:w="985" w:type="dxa"/>
            <w:tcBorders>
              <w:top w:val="nil"/>
              <w:left w:val="nil"/>
              <w:bottom w:val="single" w:sz="4" w:space="0" w:color="auto"/>
              <w:right w:val="single" w:sz="4" w:space="0" w:color="auto"/>
            </w:tcBorders>
            <w:shd w:val="clear" w:color="000000" w:fill="FFFFFF"/>
            <w:noWrap/>
            <w:vAlign w:val="bottom"/>
            <w:hideMark/>
          </w:tcPr>
          <w:p w:rsidR="000C4B6E" w:rsidRPr="0094558A" w:rsidP="00C4761C" w14:paraId="5E8C1439" w14:textId="3733F927">
            <w:pPr>
              <w:jc w:val="right"/>
              <w:rPr>
                <w:rFonts w:ascii="Calibri" w:hAnsi="Calibri" w:cs="Calibri"/>
                <w:sz w:val="22"/>
                <w:szCs w:val="22"/>
              </w:rPr>
            </w:pPr>
            <w:r>
              <w:rPr>
                <w:rFonts w:ascii="Calibri" w:hAnsi="Calibri" w:cs="Calibri"/>
                <w:sz w:val="22"/>
                <w:szCs w:val="22"/>
              </w:rPr>
              <w:t>25</w:t>
            </w:r>
            <w:r w:rsidRPr="0094558A">
              <w:rPr>
                <w:rFonts w:ascii="Calibri" w:hAnsi="Calibri" w:cs="Calibri"/>
                <w:sz w:val="22"/>
                <w:szCs w:val="22"/>
              </w:rPr>
              <w:t>%</w:t>
            </w:r>
          </w:p>
        </w:tc>
        <w:tc>
          <w:tcPr>
            <w:tcW w:w="985" w:type="dxa"/>
            <w:tcBorders>
              <w:top w:val="nil"/>
              <w:left w:val="nil"/>
              <w:bottom w:val="single" w:sz="4" w:space="0" w:color="auto"/>
              <w:right w:val="single" w:sz="4" w:space="0" w:color="auto"/>
            </w:tcBorders>
            <w:shd w:val="clear" w:color="000000" w:fill="FFFFFF"/>
            <w:noWrap/>
            <w:vAlign w:val="bottom"/>
            <w:hideMark/>
          </w:tcPr>
          <w:p w:rsidR="000C4B6E" w:rsidRPr="0094558A" w:rsidP="00C4761C" w14:paraId="3EF0C29F" w14:textId="54FEE133">
            <w:pPr>
              <w:jc w:val="right"/>
              <w:rPr>
                <w:rFonts w:ascii="Calibri" w:hAnsi="Calibri" w:cs="Calibri"/>
                <w:sz w:val="22"/>
                <w:szCs w:val="22"/>
              </w:rPr>
            </w:pPr>
            <w:r w:rsidRPr="0094558A">
              <w:rPr>
                <w:rFonts w:ascii="Calibri" w:hAnsi="Calibri" w:cs="Calibri"/>
                <w:sz w:val="22"/>
                <w:szCs w:val="22"/>
              </w:rPr>
              <w:t>3</w:t>
            </w:r>
            <w:r w:rsidR="00813B2B">
              <w:rPr>
                <w:rFonts w:ascii="Calibri" w:hAnsi="Calibri" w:cs="Calibri"/>
                <w:sz w:val="22"/>
                <w:szCs w:val="22"/>
              </w:rPr>
              <w:t>1</w:t>
            </w:r>
            <w:r w:rsidRPr="0094558A">
              <w:rPr>
                <w:rFonts w:ascii="Calibri" w:hAnsi="Calibri" w:cs="Calibri"/>
                <w:sz w:val="22"/>
                <w:szCs w:val="22"/>
              </w:rPr>
              <w:t>%</w:t>
            </w:r>
          </w:p>
        </w:tc>
        <w:tc>
          <w:tcPr>
            <w:tcW w:w="985" w:type="dxa"/>
            <w:tcBorders>
              <w:top w:val="nil"/>
              <w:left w:val="nil"/>
              <w:bottom w:val="single" w:sz="4" w:space="0" w:color="auto"/>
              <w:right w:val="single" w:sz="4" w:space="0" w:color="auto"/>
            </w:tcBorders>
            <w:shd w:val="clear" w:color="000000" w:fill="FFFFFF"/>
            <w:noWrap/>
            <w:vAlign w:val="bottom"/>
            <w:hideMark/>
          </w:tcPr>
          <w:p w:rsidR="000C4B6E" w:rsidRPr="0094558A" w:rsidP="00C4761C" w14:paraId="35672787" w14:textId="24E3A455">
            <w:pPr>
              <w:jc w:val="right"/>
              <w:rPr>
                <w:rFonts w:ascii="Calibri" w:hAnsi="Calibri" w:cs="Calibri"/>
                <w:sz w:val="22"/>
                <w:szCs w:val="22"/>
              </w:rPr>
            </w:pPr>
            <w:r>
              <w:rPr>
                <w:rFonts w:ascii="Calibri" w:hAnsi="Calibri" w:cs="Calibri"/>
                <w:sz w:val="22"/>
                <w:szCs w:val="22"/>
              </w:rPr>
              <w:t>26</w:t>
            </w:r>
            <w:r w:rsidRPr="0094558A">
              <w:rPr>
                <w:rFonts w:ascii="Calibri" w:hAnsi="Calibri" w:cs="Calibri"/>
                <w:sz w:val="22"/>
                <w:szCs w:val="22"/>
              </w:rPr>
              <w:t>%</w:t>
            </w:r>
          </w:p>
        </w:tc>
        <w:tc>
          <w:tcPr>
            <w:tcW w:w="985" w:type="dxa"/>
            <w:tcBorders>
              <w:top w:val="nil"/>
              <w:left w:val="nil"/>
              <w:bottom w:val="single" w:sz="4" w:space="0" w:color="auto"/>
              <w:right w:val="single" w:sz="4" w:space="0" w:color="auto"/>
            </w:tcBorders>
            <w:shd w:val="clear" w:color="000000" w:fill="FFFFFF"/>
            <w:noWrap/>
            <w:vAlign w:val="bottom"/>
            <w:hideMark/>
          </w:tcPr>
          <w:p w:rsidR="000C4B6E" w:rsidRPr="0094558A" w:rsidP="00C4761C" w14:paraId="516430BF" w14:textId="221A6B6F">
            <w:pPr>
              <w:jc w:val="right"/>
              <w:rPr>
                <w:rFonts w:ascii="Calibri" w:hAnsi="Calibri" w:cs="Calibri"/>
                <w:sz w:val="22"/>
                <w:szCs w:val="22"/>
              </w:rPr>
            </w:pPr>
            <w:r w:rsidRPr="0094558A">
              <w:rPr>
                <w:rFonts w:ascii="Calibri" w:hAnsi="Calibri" w:cs="Calibri"/>
                <w:sz w:val="22"/>
                <w:szCs w:val="22"/>
              </w:rPr>
              <w:t>2</w:t>
            </w:r>
            <w:r w:rsidR="00813B2B">
              <w:rPr>
                <w:rFonts w:ascii="Calibri" w:hAnsi="Calibri" w:cs="Calibri"/>
                <w:sz w:val="22"/>
                <w:szCs w:val="22"/>
              </w:rPr>
              <w:t>2</w:t>
            </w:r>
            <w:r w:rsidRPr="0094558A">
              <w:rPr>
                <w:rFonts w:ascii="Calibri" w:hAnsi="Calibri" w:cs="Calibri"/>
                <w:sz w:val="22"/>
                <w:szCs w:val="22"/>
              </w:rPr>
              <w:t>%</w:t>
            </w:r>
          </w:p>
        </w:tc>
        <w:tc>
          <w:tcPr>
            <w:tcW w:w="985" w:type="dxa"/>
            <w:tcBorders>
              <w:top w:val="nil"/>
              <w:left w:val="nil"/>
              <w:bottom w:val="single" w:sz="4" w:space="0" w:color="auto"/>
              <w:right w:val="single" w:sz="4" w:space="0" w:color="auto"/>
            </w:tcBorders>
            <w:shd w:val="clear" w:color="auto" w:fill="auto"/>
            <w:noWrap/>
            <w:vAlign w:val="bottom"/>
            <w:hideMark/>
          </w:tcPr>
          <w:p w:rsidR="000C4B6E" w:rsidRPr="0094558A" w:rsidP="00C4761C" w14:paraId="0BAEECE7" w14:textId="6C18B2FA">
            <w:pPr>
              <w:jc w:val="right"/>
              <w:rPr>
                <w:rFonts w:ascii="Calibri" w:hAnsi="Calibri" w:cs="Calibri"/>
                <w:color w:val="000000"/>
                <w:sz w:val="22"/>
                <w:szCs w:val="22"/>
              </w:rPr>
            </w:pPr>
            <w:r>
              <w:rPr>
                <w:rFonts w:ascii="Calibri" w:hAnsi="Calibri" w:cs="Calibri"/>
                <w:color w:val="000000"/>
                <w:sz w:val="22"/>
                <w:szCs w:val="22"/>
              </w:rPr>
              <w:t>20</w:t>
            </w:r>
            <w:r w:rsidRPr="0094558A">
              <w:rPr>
                <w:rFonts w:ascii="Calibri" w:hAnsi="Calibri" w:cs="Calibri"/>
                <w:color w:val="000000"/>
                <w:sz w:val="22"/>
                <w:szCs w:val="22"/>
              </w:rPr>
              <w:t>%</w:t>
            </w:r>
          </w:p>
        </w:tc>
        <w:tc>
          <w:tcPr>
            <w:tcW w:w="985" w:type="dxa"/>
            <w:tcBorders>
              <w:top w:val="nil"/>
              <w:left w:val="nil"/>
              <w:bottom w:val="single" w:sz="4" w:space="0" w:color="auto"/>
              <w:right w:val="single" w:sz="4" w:space="0" w:color="auto"/>
            </w:tcBorders>
            <w:shd w:val="clear" w:color="auto" w:fill="auto"/>
            <w:noWrap/>
            <w:vAlign w:val="bottom"/>
            <w:hideMark/>
          </w:tcPr>
          <w:p w:rsidR="000C4B6E" w:rsidRPr="0094558A" w:rsidP="00C4761C" w14:paraId="50C30168" w14:textId="1C42E364">
            <w:pPr>
              <w:jc w:val="right"/>
              <w:rPr>
                <w:rFonts w:ascii="Calibri" w:hAnsi="Calibri" w:cs="Calibri"/>
                <w:color w:val="000000"/>
                <w:sz w:val="22"/>
                <w:szCs w:val="22"/>
              </w:rPr>
            </w:pPr>
            <w:r>
              <w:rPr>
                <w:rFonts w:ascii="Calibri" w:hAnsi="Calibri" w:cs="Calibri"/>
                <w:color w:val="000000"/>
                <w:sz w:val="22"/>
                <w:szCs w:val="22"/>
              </w:rPr>
              <w:t>2</w:t>
            </w:r>
            <w:r w:rsidRPr="0094558A">
              <w:rPr>
                <w:rFonts w:ascii="Calibri" w:hAnsi="Calibri" w:cs="Calibri"/>
                <w:color w:val="000000"/>
                <w:sz w:val="22"/>
                <w:szCs w:val="22"/>
              </w:rPr>
              <w:t>4%</w:t>
            </w:r>
          </w:p>
        </w:tc>
      </w:tr>
      <w:tr w14:paraId="3C1D4D90" w14:textId="77777777" w:rsidTr="00C4761C">
        <w:tblPrEx>
          <w:tblW w:w="7880" w:type="dxa"/>
          <w:tblInd w:w="113" w:type="dxa"/>
          <w:tblLook w:val="04A0"/>
        </w:tblPrEx>
        <w:trPr>
          <w:trHeight w:val="292"/>
        </w:trPr>
        <w:tc>
          <w:tcPr>
            <w:tcW w:w="985" w:type="dxa"/>
            <w:tcBorders>
              <w:top w:val="nil"/>
              <w:left w:val="nil"/>
              <w:bottom w:val="nil"/>
              <w:right w:val="nil"/>
            </w:tcBorders>
            <w:shd w:val="clear" w:color="auto" w:fill="auto"/>
            <w:noWrap/>
            <w:vAlign w:val="bottom"/>
            <w:hideMark/>
          </w:tcPr>
          <w:p w:rsidR="000C4B6E" w:rsidRPr="0094558A" w:rsidP="00C4761C" w14:paraId="4B3673AB" w14:textId="77777777">
            <w:pPr>
              <w:jc w:val="right"/>
              <w:rPr>
                <w:rFonts w:ascii="Calibri" w:hAnsi="Calibri" w:cs="Calibri"/>
                <w:color w:val="000000"/>
                <w:sz w:val="22"/>
                <w:szCs w:val="22"/>
              </w:rPr>
            </w:pPr>
          </w:p>
        </w:tc>
        <w:tc>
          <w:tcPr>
            <w:tcW w:w="985" w:type="dxa"/>
            <w:tcBorders>
              <w:top w:val="nil"/>
              <w:left w:val="nil"/>
              <w:bottom w:val="nil"/>
              <w:right w:val="nil"/>
            </w:tcBorders>
            <w:shd w:val="clear" w:color="auto" w:fill="auto"/>
            <w:noWrap/>
            <w:vAlign w:val="bottom"/>
            <w:hideMark/>
          </w:tcPr>
          <w:p w:rsidR="000C4B6E" w:rsidRPr="0094558A" w:rsidP="00C4761C" w14:paraId="03004622" w14:textId="77777777">
            <w:pPr>
              <w:rPr>
                <w:sz w:val="20"/>
                <w:szCs w:val="20"/>
              </w:rPr>
            </w:pPr>
          </w:p>
        </w:tc>
        <w:tc>
          <w:tcPr>
            <w:tcW w:w="985" w:type="dxa"/>
            <w:tcBorders>
              <w:top w:val="nil"/>
              <w:left w:val="nil"/>
              <w:bottom w:val="nil"/>
              <w:right w:val="nil"/>
            </w:tcBorders>
            <w:shd w:val="clear" w:color="auto" w:fill="auto"/>
            <w:noWrap/>
            <w:vAlign w:val="bottom"/>
            <w:hideMark/>
          </w:tcPr>
          <w:p w:rsidR="000C4B6E" w:rsidRPr="0094558A" w:rsidP="00C4761C" w14:paraId="3C8F461E" w14:textId="77777777">
            <w:pPr>
              <w:rPr>
                <w:sz w:val="20"/>
                <w:szCs w:val="20"/>
              </w:rPr>
            </w:pPr>
          </w:p>
        </w:tc>
        <w:tc>
          <w:tcPr>
            <w:tcW w:w="985" w:type="dxa"/>
            <w:tcBorders>
              <w:top w:val="nil"/>
              <w:left w:val="nil"/>
              <w:bottom w:val="nil"/>
              <w:right w:val="nil"/>
            </w:tcBorders>
            <w:shd w:val="clear" w:color="auto" w:fill="auto"/>
            <w:noWrap/>
            <w:vAlign w:val="bottom"/>
            <w:hideMark/>
          </w:tcPr>
          <w:p w:rsidR="000C4B6E" w:rsidRPr="0094558A" w:rsidP="00C4761C" w14:paraId="5F81B67B" w14:textId="77777777">
            <w:pPr>
              <w:rPr>
                <w:sz w:val="20"/>
                <w:szCs w:val="20"/>
              </w:rPr>
            </w:pPr>
          </w:p>
        </w:tc>
        <w:tc>
          <w:tcPr>
            <w:tcW w:w="985" w:type="dxa"/>
            <w:tcBorders>
              <w:top w:val="nil"/>
              <w:left w:val="nil"/>
              <w:bottom w:val="nil"/>
              <w:right w:val="nil"/>
            </w:tcBorders>
            <w:shd w:val="clear" w:color="auto" w:fill="auto"/>
            <w:noWrap/>
            <w:vAlign w:val="bottom"/>
            <w:hideMark/>
          </w:tcPr>
          <w:p w:rsidR="000C4B6E" w:rsidRPr="0094558A" w:rsidP="00C4761C" w14:paraId="0E426567" w14:textId="77777777">
            <w:pPr>
              <w:rPr>
                <w:sz w:val="20"/>
                <w:szCs w:val="20"/>
              </w:rPr>
            </w:pPr>
          </w:p>
        </w:tc>
        <w:tc>
          <w:tcPr>
            <w:tcW w:w="985" w:type="dxa"/>
            <w:tcBorders>
              <w:top w:val="nil"/>
              <w:left w:val="nil"/>
              <w:bottom w:val="nil"/>
              <w:right w:val="nil"/>
            </w:tcBorders>
            <w:shd w:val="clear" w:color="auto" w:fill="auto"/>
            <w:noWrap/>
            <w:vAlign w:val="bottom"/>
            <w:hideMark/>
          </w:tcPr>
          <w:p w:rsidR="000C4B6E" w:rsidRPr="0094558A" w:rsidP="00C4761C" w14:paraId="2438D64B" w14:textId="77777777">
            <w:pPr>
              <w:rPr>
                <w:sz w:val="20"/>
                <w:szCs w:val="20"/>
              </w:rPr>
            </w:pPr>
          </w:p>
        </w:tc>
        <w:tc>
          <w:tcPr>
            <w:tcW w:w="985" w:type="dxa"/>
            <w:tcBorders>
              <w:top w:val="nil"/>
              <w:left w:val="nil"/>
              <w:bottom w:val="nil"/>
              <w:right w:val="nil"/>
            </w:tcBorders>
            <w:shd w:val="clear" w:color="auto" w:fill="auto"/>
            <w:noWrap/>
            <w:vAlign w:val="bottom"/>
            <w:hideMark/>
          </w:tcPr>
          <w:p w:rsidR="000C4B6E" w:rsidRPr="0094558A" w:rsidP="00C4761C" w14:paraId="3381C5BA" w14:textId="77777777">
            <w:pPr>
              <w:rPr>
                <w:sz w:val="20"/>
                <w:szCs w:val="20"/>
              </w:rPr>
            </w:pPr>
          </w:p>
        </w:tc>
        <w:tc>
          <w:tcPr>
            <w:tcW w:w="985" w:type="dxa"/>
            <w:tcBorders>
              <w:top w:val="nil"/>
              <w:left w:val="nil"/>
              <w:bottom w:val="nil"/>
              <w:right w:val="nil"/>
            </w:tcBorders>
            <w:shd w:val="clear" w:color="auto" w:fill="auto"/>
            <w:noWrap/>
            <w:vAlign w:val="bottom"/>
            <w:hideMark/>
          </w:tcPr>
          <w:p w:rsidR="000C4B6E" w:rsidRPr="0094558A" w:rsidP="00C4761C" w14:paraId="148B392E" w14:textId="77777777">
            <w:pPr>
              <w:rPr>
                <w:sz w:val="20"/>
                <w:szCs w:val="20"/>
              </w:rPr>
            </w:pPr>
          </w:p>
        </w:tc>
      </w:tr>
      <w:tr w14:paraId="1ABE52B5" w14:textId="77777777" w:rsidTr="00C4761C">
        <w:tblPrEx>
          <w:tblW w:w="7880" w:type="dxa"/>
          <w:tblInd w:w="113" w:type="dxa"/>
          <w:tblLook w:val="04A0"/>
        </w:tblPrEx>
        <w:trPr>
          <w:trHeight w:val="292"/>
        </w:trPr>
        <w:tc>
          <w:tcPr>
            <w:tcW w:w="985" w:type="dxa"/>
            <w:tcBorders>
              <w:top w:val="nil"/>
              <w:left w:val="nil"/>
              <w:bottom w:val="nil"/>
              <w:right w:val="nil"/>
            </w:tcBorders>
            <w:shd w:val="clear" w:color="auto" w:fill="auto"/>
            <w:noWrap/>
            <w:vAlign w:val="bottom"/>
            <w:hideMark/>
          </w:tcPr>
          <w:p w:rsidR="000C4B6E" w:rsidRPr="0094558A" w:rsidP="00C4761C" w14:paraId="4B355B76" w14:textId="77777777">
            <w:pPr>
              <w:rPr>
                <w:sz w:val="20"/>
                <w:szCs w:val="20"/>
              </w:rPr>
            </w:pPr>
          </w:p>
        </w:tc>
        <w:tc>
          <w:tcPr>
            <w:tcW w:w="985" w:type="dxa"/>
            <w:tcBorders>
              <w:top w:val="nil"/>
              <w:left w:val="nil"/>
              <w:bottom w:val="nil"/>
              <w:right w:val="nil"/>
            </w:tcBorders>
            <w:shd w:val="clear" w:color="auto" w:fill="auto"/>
            <w:noWrap/>
            <w:vAlign w:val="bottom"/>
            <w:hideMark/>
          </w:tcPr>
          <w:p w:rsidR="000C4B6E" w:rsidRPr="0094558A" w:rsidP="00C4761C" w14:paraId="5902A903" w14:textId="77777777">
            <w:pPr>
              <w:rPr>
                <w:sz w:val="20"/>
                <w:szCs w:val="20"/>
              </w:rPr>
            </w:pPr>
          </w:p>
        </w:tc>
        <w:tc>
          <w:tcPr>
            <w:tcW w:w="3940" w:type="dxa"/>
            <w:gridSpan w:val="4"/>
            <w:tcBorders>
              <w:top w:val="nil"/>
              <w:left w:val="nil"/>
              <w:bottom w:val="nil"/>
              <w:right w:val="nil"/>
            </w:tcBorders>
            <w:shd w:val="clear" w:color="auto" w:fill="auto"/>
            <w:noWrap/>
            <w:vAlign w:val="bottom"/>
            <w:hideMark/>
          </w:tcPr>
          <w:p w:rsidR="000C4B6E" w:rsidRPr="0094558A" w:rsidP="00C4761C" w14:paraId="561ACE8D" w14:textId="77777777">
            <w:pPr>
              <w:rPr>
                <w:rFonts w:ascii="Calibri" w:hAnsi="Calibri" w:cs="Calibri"/>
                <w:color w:val="000000"/>
                <w:sz w:val="22"/>
                <w:szCs w:val="22"/>
              </w:rPr>
            </w:pPr>
            <w:r w:rsidRPr="0094558A">
              <w:rPr>
                <w:rFonts w:ascii="Calibri" w:hAnsi="Calibri" w:cs="Calibri"/>
                <w:color w:val="000000"/>
                <w:sz w:val="22"/>
                <w:szCs w:val="22"/>
              </w:rPr>
              <w:t>* Program affected by COVID shutdowns</w:t>
            </w:r>
          </w:p>
        </w:tc>
        <w:tc>
          <w:tcPr>
            <w:tcW w:w="985" w:type="dxa"/>
            <w:tcBorders>
              <w:top w:val="nil"/>
              <w:left w:val="nil"/>
              <w:bottom w:val="nil"/>
              <w:right w:val="nil"/>
            </w:tcBorders>
            <w:shd w:val="clear" w:color="auto" w:fill="auto"/>
            <w:noWrap/>
            <w:vAlign w:val="bottom"/>
            <w:hideMark/>
          </w:tcPr>
          <w:p w:rsidR="000C4B6E" w:rsidRPr="0094558A" w:rsidP="00C4761C" w14:paraId="5D72D7BB" w14:textId="77777777">
            <w:pPr>
              <w:rPr>
                <w:rFonts w:ascii="Calibri" w:hAnsi="Calibri" w:cs="Calibri"/>
                <w:color w:val="000000"/>
                <w:sz w:val="22"/>
                <w:szCs w:val="22"/>
              </w:rPr>
            </w:pPr>
          </w:p>
        </w:tc>
        <w:tc>
          <w:tcPr>
            <w:tcW w:w="985" w:type="dxa"/>
            <w:tcBorders>
              <w:top w:val="nil"/>
              <w:left w:val="nil"/>
              <w:bottom w:val="nil"/>
              <w:right w:val="nil"/>
            </w:tcBorders>
            <w:shd w:val="clear" w:color="auto" w:fill="auto"/>
            <w:noWrap/>
            <w:vAlign w:val="bottom"/>
            <w:hideMark/>
          </w:tcPr>
          <w:p w:rsidR="000C4B6E" w:rsidRPr="0094558A" w:rsidP="00C4761C" w14:paraId="19CAF8FA" w14:textId="77777777">
            <w:pPr>
              <w:rPr>
                <w:sz w:val="20"/>
                <w:szCs w:val="20"/>
              </w:rPr>
            </w:pPr>
          </w:p>
        </w:tc>
      </w:tr>
    </w:tbl>
    <w:p w:rsidR="000C4B6E" w:rsidP="003908B8" w14:paraId="1277B2F6" w14:textId="77777777">
      <w:pPr>
        <w:pStyle w:val="NormalWeb"/>
        <w:spacing w:line="288" w:lineRule="atLeast"/>
      </w:pPr>
      <w:r>
        <w:t xml:space="preserve">2.  </w:t>
      </w:r>
      <w:r>
        <w:rPr>
          <w:u w:val="single"/>
        </w:rPr>
        <w:t>Procedures for the Collection of Information</w:t>
      </w:r>
    </w:p>
    <w:p w:rsidR="000C4B6E" w:rsidRPr="001473E7" w:rsidP="003908B8" w14:paraId="069C837F" w14:textId="0C667CF4">
      <w:pPr>
        <w:pStyle w:val="NormalWeb"/>
        <w:numPr>
          <w:ilvl w:val="0"/>
          <w:numId w:val="1"/>
        </w:numPr>
        <w:tabs>
          <w:tab w:val="left" w:pos="270"/>
        </w:tabs>
        <w:spacing w:line="288" w:lineRule="atLeast"/>
        <w:ind w:left="270" w:firstLine="0"/>
        <w:rPr>
          <w:color w:val="FF0000"/>
        </w:rPr>
      </w:pPr>
      <w:r>
        <w:t>Statistical methodologies for stratification and sample selectio</w:t>
      </w:r>
      <w:r w:rsidR="003908B8">
        <w:t>n:</w:t>
      </w:r>
      <w:r>
        <w:t xml:space="preserve"> </w:t>
      </w:r>
    </w:p>
    <w:p w:rsidR="000C4B6E" w:rsidRPr="00550F5B" w:rsidP="003908B8" w14:paraId="235261E0" w14:textId="154B0A34">
      <w:pPr>
        <w:pStyle w:val="NormalWeb"/>
        <w:spacing w:line="288" w:lineRule="atLeast"/>
        <w:ind w:left="630"/>
      </w:pPr>
      <w:r w:rsidRPr="00550F5B">
        <w:t>Selection of respondents is random and done automatically within Quality Re</w:t>
      </w:r>
      <w:r w:rsidR="00915D7D">
        <w:t>c</w:t>
      </w:r>
      <w:r w:rsidRPr="00550F5B">
        <w:t>ontact Database. As stated above, in specific surveys conducted by the OIG all sources within a period of time selected by the OIG are surveyed.</w:t>
      </w:r>
    </w:p>
    <w:p w:rsidR="000C4B6E" w:rsidP="000C4B6E" w14:paraId="2A81A37F" w14:textId="77777777">
      <w:pPr>
        <w:pStyle w:val="NormalWeb"/>
        <w:numPr>
          <w:ilvl w:val="0"/>
          <w:numId w:val="1"/>
        </w:numPr>
        <w:spacing w:line="288" w:lineRule="atLeast"/>
      </w:pPr>
      <w:r>
        <w:t xml:space="preserve">Estimation procedures; </w:t>
      </w:r>
    </w:p>
    <w:p w:rsidR="000C4B6E" w:rsidP="004F2AD9" w14:paraId="4A69FFCD" w14:textId="001135C7">
      <w:pPr>
        <w:pStyle w:val="NormalWeb"/>
        <w:spacing w:line="288" w:lineRule="atLeast"/>
        <w:ind w:firstLine="630"/>
      </w:pPr>
      <w:r>
        <w:t>Not applicable</w:t>
      </w:r>
    </w:p>
    <w:p w:rsidR="000C4B6E" w:rsidP="000C4B6E" w14:paraId="5F872BF2" w14:textId="77777777">
      <w:pPr>
        <w:pStyle w:val="NormalWeb"/>
        <w:numPr>
          <w:ilvl w:val="0"/>
          <w:numId w:val="1"/>
        </w:numPr>
        <w:spacing w:line="288" w:lineRule="atLeast"/>
        <w:rPr>
          <w:color w:val="FF0000"/>
        </w:rPr>
      </w:pPr>
      <w:r>
        <w:t xml:space="preserve">Degree of accuracy needed for the Purpose discussed in the justification; </w:t>
      </w:r>
    </w:p>
    <w:p w:rsidR="000C4B6E" w:rsidRPr="00550F5B" w:rsidP="004F2AD9" w14:paraId="5FADBFE6" w14:textId="7DEE7BDE">
      <w:pPr>
        <w:pStyle w:val="NormalWeb"/>
        <w:spacing w:line="288" w:lineRule="atLeast"/>
        <w:ind w:firstLine="630"/>
      </w:pPr>
      <w:r>
        <w:t>Not applicable</w:t>
      </w:r>
    </w:p>
    <w:p w:rsidR="000C4B6E" w:rsidP="000C4B6E" w14:paraId="27A7C45B" w14:textId="77777777">
      <w:pPr>
        <w:pStyle w:val="NormalWeb"/>
        <w:numPr>
          <w:ilvl w:val="0"/>
          <w:numId w:val="1"/>
        </w:numPr>
        <w:spacing w:line="288" w:lineRule="atLeast"/>
      </w:pPr>
      <w:r>
        <w:t xml:space="preserve">Unusual problems requiring specialized sampling procedures; and </w:t>
      </w:r>
    </w:p>
    <w:p w:rsidR="000C4B6E" w:rsidRPr="00550F5B" w:rsidP="004F2AD9" w14:paraId="6A249CD1" w14:textId="2F48BBFB">
      <w:pPr>
        <w:pStyle w:val="NormalWeb"/>
        <w:spacing w:line="288" w:lineRule="atLeast"/>
        <w:ind w:firstLine="630"/>
      </w:pPr>
      <w:r>
        <w:t>Not applicabl</w:t>
      </w:r>
      <w:r w:rsidR="004F2AD9">
        <w:t>e</w:t>
      </w:r>
    </w:p>
    <w:p w:rsidR="000C4B6E" w:rsidP="004F2AD9" w14:paraId="19A0DBE3" w14:textId="77777777">
      <w:pPr>
        <w:pStyle w:val="NormalWeb"/>
        <w:spacing w:line="288" w:lineRule="atLeast"/>
        <w:ind w:firstLine="270"/>
      </w:pPr>
      <w:r>
        <w:t>e.  Use of periodic or cyclical data collections to reduce respondent burden.</w:t>
      </w:r>
    </w:p>
    <w:p w:rsidR="000C4B6E" w:rsidRPr="00550F5B" w:rsidP="004F2AD9" w14:paraId="4B2064C3" w14:textId="77777777">
      <w:pPr>
        <w:pStyle w:val="NormalWeb"/>
        <w:spacing w:line="288" w:lineRule="atLeast"/>
      </w:pPr>
      <w:r w:rsidRPr="00550F5B">
        <w:t xml:space="preserve">In the future, a goal to transition to an electronic version of delivery and response would reduce the burden on the respondents. Use of business reply envelopes is currently in use to reduce the burden time of respondent. </w:t>
      </w:r>
    </w:p>
    <w:p w:rsidR="000C4B6E" w:rsidP="004F2AD9" w14:paraId="34C669C0" w14:textId="77777777">
      <w:pPr>
        <w:pStyle w:val="NormalWeb"/>
        <w:spacing w:line="288" w:lineRule="atLeast"/>
      </w:pPr>
      <w:r>
        <w:t xml:space="preserve">3.  </w:t>
      </w:r>
      <w:r>
        <w:rPr>
          <w:u w:val="single"/>
        </w:rPr>
        <w:t>Maximization of Response Rates, Non-response, and Reliability</w:t>
      </w:r>
    </w:p>
    <w:p w:rsidR="000C4B6E" w:rsidRPr="00550F5B" w:rsidP="004F2AD9" w14:paraId="6A829702" w14:textId="3AA24A42">
      <w:pPr>
        <w:pStyle w:val="NormalWeb"/>
        <w:spacing w:line="288" w:lineRule="atLeast"/>
      </w:pPr>
      <w:r w:rsidRPr="00550F5B">
        <w:t xml:space="preserve">Use possible electronic delivery and responses to maximize response rate.  The OIG reviews </w:t>
      </w:r>
      <w:r w:rsidRPr="00550F5B" w:rsidR="0063261F">
        <w:t>address</w:t>
      </w:r>
      <w:r w:rsidRPr="00550F5B">
        <w:t xml:space="preserve"> of sources, provided by the investigator, for accuracy and makes any necessary corrections to maximize response rates.  DCSA OIG will telephonically contact a percentage of individuals mailed an </w:t>
      </w:r>
      <w:r w:rsidR="00915D7D">
        <w:t>IIS</w:t>
      </w:r>
      <w:r w:rsidRPr="00550F5B">
        <w:t xml:space="preserve"> that do not respond when those </w:t>
      </w:r>
      <w:r w:rsidR="00915D7D">
        <w:t>IIS</w:t>
      </w:r>
      <w:r w:rsidRPr="00550F5B">
        <w:t>s are mailed by DCSA OIG in follow up to alleged misconduct by Federal or contract investigative staff.</w:t>
      </w:r>
      <w:r>
        <w:t xml:space="preserve">  The number of telephonic contacts varies based on the amount of work completed by the investigator.  OIG does not utilize a script for the phone calls.</w:t>
      </w:r>
    </w:p>
    <w:p w:rsidR="000C4B6E" w:rsidP="004F2AD9" w14:paraId="2EE80550" w14:textId="77777777">
      <w:pPr>
        <w:pStyle w:val="NormalWeb"/>
        <w:spacing w:line="288" w:lineRule="atLeast"/>
      </w:pPr>
      <w:r>
        <w:t xml:space="preserve">4.  </w:t>
      </w:r>
      <w:r>
        <w:rPr>
          <w:u w:val="single"/>
        </w:rPr>
        <w:t>Tests of Procedures</w:t>
      </w:r>
    </w:p>
    <w:p w:rsidR="000C4B6E" w:rsidP="004F2AD9" w14:paraId="2268FDAE" w14:textId="09B2975A">
      <w:pPr>
        <w:pStyle w:val="NormalWeb"/>
        <w:spacing w:line="288" w:lineRule="atLeast"/>
        <w:ind w:firstLine="360"/>
      </w:pPr>
      <w:r>
        <w:t>Not applicable.</w:t>
      </w:r>
    </w:p>
    <w:p w:rsidR="000C4B6E" w:rsidP="004F2AD9" w14:paraId="30D8B54F" w14:textId="77777777">
      <w:pPr>
        <w:pStyle w:val="NormalWeb"/>
        <w:spacing w:line="288" w:lineRule="atLeast"/>
      </w:pPr>
      <w:r>
        <w:t xml:space="preserve">5.  </w:t>
      </w:r>
      <w:r>
        <w:rPr>
          <w:u w:val="single"/>
        </w:rPr>
        <w:t>Statistical Consultation and Information Analysis</w:t>
      </w:r>
    </w:p>
    <w:p w:rsidR="000C4B6E" w:rsidRPr="00550F5B" w:rsidP="004F2AD9" w14:paraId="7C9C73DC" w14:textId="77777777">
      <w:pPr>
        <w:pStyle w:val="NormalWeb"/>
        <w:spacing w:line="288" w:lineRule="atLeast"/>
        <w:ind w:firstLine="360"/>
      </w:pPr>
      <w:r>
        <w:t>Not applicable.</w:t>
      </w:r>
    </w:p>
    <w:p w:rsidR="000C4B6E" w:rsidP="004F2AD9" w14:paraId="1915A93F" w14:textId="77777777">
      <w:pPr>
        <w:pStyle w:val="NormalWeb"/>
        <w:spacing w:line="288" w:lineRule="atLeast"/>
        <w:ind w:left="360"/>
      </w:pPr>
      <w:r>
        <w:t xml:space="preserve">b. Provide name and organization of person(s) who will actually collect and analyze the collected information. </w:t>
      </w:r>
    </w:p>
    <w:p w:rsidR="000C4B6E" w:rsidRPr="00550F5B" w:rsidP="000C4B6E" w14:paraId="6F0AA622" w14:textId="77777777">
      <w:pPr>
        <w:pStyle w:val="NormalWeb"/>
        <w:spacing w:line="288" w:lineRule="atLeast"/>
        <w:ind w:firstLine="1260"/>
      </w:pPr>
      <w:r w:rsidRPr="00550F5B">
        <w:t>Ryan Hicks, Quality Management Oversight</w:t>
      </w:r>
    </w:p>
    <w:p w:rsidR="008308DE" w14:paraId="069454CD"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BAC7099"/>
    <w:multiLevelType w:val="hybridMultilevel"/>
    <w:tmpl w:val="4DB210B0"/>
    <w:lvl w:ilvl="0">
      <w:start w:val="1"/>
      <w:numFmt w:val="lowerLetter"/>
      <w:lvlText w:val="%1."/>
      <w:lvlJc w:val="left"/>
      <w:pPr>
        <w:ind w:left="630" w:hanging="360"/>
      </w:pPr>
      <w:rPr>
        <w:rFonts w:hint="default"/>
        <w:color w:val="auto"/>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num w:numId="1" w16cid:durableId="455637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B6E"/>
    <w:rsid w:val="00034AD8"/>
    <w:rsid w:val="000C4B6E"/>
    <w:rsid w:val="0014383F"/>
    <w:rsid w:val="001473E7"/>
    <w:rsid w:val="001D2359"/>
    <w:rsid w:val="002403AA"/>
    <w:rsid w:val="0030524A"/>
    <w:rsid w:val="003908B8"/>
    <w:rsid w:val="004F2AD9"/>
    <w:rsid w:val="00505FD9"/>
    <w:rsid w:val="00525ED7"/>
    <w:rsid w:val="00550F5B"/>
    <w:rsid w:val="00591C5E"/>
    <w:rsid w:val="0063261F"/>
    <w:rsid w:val="00690B6A"/>
    <w:rsid w:val="0071055A"/>
    <w:rsid w:val="007E61CF"/>
    <w:rsid w:val="00813B2B"/>
    <w:rsid w:val="008308DE"/>
    <w:rsid w:val="00870137"/>
    <w:rsid w:val="008B1E4C"/>
    <w:rsid w:val="008B2BA5"/>
    <w:rsid w:val="00915D7D"/>
    <w:rsid w:val="0094558A"/>
    <w:rsid w:val="00972B70"/>
    <w:rsid w:val="00AD40B0"/>
    <w:rsid w:val="00B6063E"/>
    <w:rsid w:val="00B62970"/>
    <w:rsid w:val="00B77306"/>
    <w:rsid w:val="00C4761C"/>
    <w:rsid w:val="00D659E9"/>
    <w:rsid w:val="00DC085A"/>
    <w:rsid w:val="00E83558"/>
    <w:rsid w:val="00EA3865"/>
    <w:rsid w:val="00FA306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522C019"/>
  <w15:chartTrackingRefBased/>
  <w15:docId w15:val="{EAECA1A1-A2DD-4D7A-BA5B-871CFF576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B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0C4B6E"/>
    <w:pPr>
      <w:spacing w:before="100" w:beforeAutospacing="1" w:after="100" w:afterAutospacing="1"/>
    </w:pPr>
  </w:style>
  <w:style w:type="paragraph" w:styleId="Revision">
    <w:name w:val="Revision"/>
    <w:hidden/>
    <w:uiPriority w:val="99"/>
    <w:semiHidden/>
    <w:rsid w:val="00915D7D"/>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15D7D"/>
    <w:rPr>
      <w:sz w:val="16"/>
      <w:szCs w:val="16"/>
    </w:rPr>
  </w:style>
  <w:style w:type="paragraph" w:styleId="CommentText">
    <w:name w:val="annotation text"/>
    <w:basedOn w:val="Normal"/>
    <w:link w:val="CommentTextChar"/>
    <w:uiPriority w:val="99"/>
    <w:unhideWhenUsed/>
    <w:rsid w:val="00915D7D"/>
    <w:rPr>
      <w:sz w:val="20"/>
      <w:szCs w:val="20"/>
    </w:rPr>
  </w:style>
  <w:style w:type="character" w:customStyle="1" w:styleId="CommentTextChar">
    <w:name w:val="Comment Text Char"/>
    <w:basedOn w:val="DefaultParagraphFont"/>
    <w:link w:val="CommentText"/>
    <w:uiPriority w:val="99"/>
    <w:rsid w:val="00915D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15D7D"/>
    <w:rPr>
      <w:b/>
      <w:bCs/>
    </w:rPr>
  </w:style>
  <w:style w:type="character" w:customStyle="1" w:styleId="CommentSubjectChar">
    <w:name w:val="Comment Subject Char"/>
    <w:basedOn w:val="CommentTextChar"/>
    <w:link w:val="CommentSubject"/>
    <w:uiPriority w:val="99"/>
    <w:semiHidden/>
    <w:rsid w:val="00915D7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81CC1-073B-4F29-8D3E-EB968F3C4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Defense CounterIntelligence Security Agency</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Benyo, Cristina, N, CIV, DCSA</dc:creator>
  <cp:lastModifiedBy>Defusco, Marie K CTR WHS ESD (USA)</cp:lastModifiedBy>
  <cp:revision>5</cp:revision>
  <cp:lastPrinted>2024-09-10T15:24:00Z</cp:lastPrinted>
  <dcterms:created xsi:type="dcterms:W3CDTF">2024-12-12T17:39:00Z</dcterms:created>
  <dcterms:modified xsi:type="dcterms:W3CDTF">2025-07-02T11:58:00Z</dcterms:modified>
</cp:coreProperties>
</file>