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E7F" w:rsidP="00B47E7F" w14:paraId="70926CA1" w14:textId="77777777">
      <w:pPr>
        <w:tabs>
          <w:tab w:val="left" w:pos="3876"/>
        </w:tabs>
        <w:jc w:val="center"/>
        <w:rPr>
          <w:rFonts w:eastAsia="Calibri"/>
        </w:rPr>
      </w:pPr>
      <w:r w:rsidRPr="00357C8A">
        <w:rPr>
          <w:rFonts w:eastAsia="Calibri"/>
        </w:rPr>
        <w:t>United States Food and Drug Administration</w:t>
      </w:r>
    </w:p>
    <w:p w:rsidR="00B47E7F" w:rsidP="00B47E7F" w14:paraId="3C5E4683" w14:textId="77777777">
      <w:pPr>
        <w:jc w:val="center"/>
        <w:rPr>
          <w:rFonts w:eastAsia="Calibri"/>
        </w:rPr>
      </w:pPr>
    </w:p>
    <w:p w:rsidR="000A2644" w:rsidRPr="000A2644" w:rsidP="000A2644" w14:paraId="10DE313A" w14:textId="77777777">
      <w:pPr>
        <w:jc w:val="center"/>
        <w:rPr>
          <w:rFonts w:eastAsia="Calibri"/>
        </w:rPr>
      </w:pPr>
      <w:r w:rsidRPr="000A2644">
        <w:rPr>
          <w:rFonts w:eastAsia="Calibri"/>
        </w:rPr>
        <w:t>CENTER FOR DEVICES AND RADIOLOGICAL HEALTH (CDRH)</w:t>
      </w:r>
    </w:p>
    <w:p w:rsidR="00B47E7F" w:rsidP="000A2644" w14:paraId="02017116" w14:textId="37132A5B">
      <w:pPr>
        <w:jc w:val="center"/>
        <w:rPr>
          <w:rFonts w:eastAsia="Calibri"/>
        </w:rPr>
      </w:pPr>
      <w:r w:rsidRPr="000A2644">
        <w:rPr>
          <w:rFonts w:eastAsia="Calibri"/>
        </w:rPr>
        <w:t>APPEALS PROCESSES</w:t>
      </w:r>
    </w:p>
    <w:p w:rsidR="000A2644" w:rsidP="000A2644" w14:paraId="6B213271" w14:textId="77777777">
      <w:pPr>
        <w:jc w:val="center"/>
        <w:rPr>
          <w:rFonts w:eastAsia="Calibri"/>
        </w:rPr>
      </w:pPr>
    </w:p>
    <w:p w:rsidR="00B47E7F" w:rsidP="00B47E7F" w14:paraId="0C5C00EF" w14:textId="12835208">
      <w:pPr>
        <w:jc w:val="center"/>
        <w:rPr>
          <w:rFonts w:eastAsia="Calibri"/>
        </w:rPr>
      </w:pPr>
      <w:r w:rsidRPr="00357C8A">
        <w:rPr>
          <w:rFonts w:eastAsia="Calibri"/>
        </w:rPr>
        <w:t>OMB Control No. 0910-</w:t>
      </w:r>
      <w:r w:rsidR="000E5A3B">
        <w:rPr>
          <w:rFonts w:eastAsia="Calibri"/>
        </w:rPr>
        <w:t>0738</w:t>
      </w:r>
      <w:r>
        <w:rPr>
          <w:rFonts w:eastAsia="Calibri"/>
        </w:rPr>
        <w:t xml:space="preserve"> -- </w:t>
      </w:r>
      <w:r w:rsidR="00BD70CC">
        <w:rPr>
          <w:rFonts w:eastAsia="Calibri"/>
        </w:rPr>
        <w:t>Extension</w:t>
      </w:r>
    </w:p>
    <w:p w:rsidR="00357C8A" w:rsidP="00357C8A" w14:paraId="3656B9AB" w14:textId="77777777">
      <w:pPr>
        <w:jc w:val="center"/>
        <w:rPr>
          <w:rFonts w:eastAsia="Calibri"/>
        </w:rPr>
      </w:pPr>
    </w:p>
    <w:p w:rsidR="00357C8A" w:rsidP="00357C8A" w14:paraId="2C2BCB7B" w14:textId="77777777">
      <w:pPr>
        <w:jc w:val="center"/>
        <w:rPr>
          <w:rFonts w:eastAsia="Calibri"/>
        </w:rPr>
      </w:pPr>
      <w:r w:rsidRPr="00357C8A">
        <w:rPr>
          <w:rFonts w:eastAsia="Calibri"/>
        </w:rPr>
        <w:t>SUPPORTING STATEMENT</w:t>
      </w:r>
    </w:p>
    <w:p w:rsidR="00357C8A" w:rsidRPr="00357C8A" w:rsidP="00357C8A" w14:paraId="049F31CB" w14:textId="77777777">
      <w:pPr>
        <w:rPr>
          <w:rFonts w:eastAsia="Calibri"/>
          <w:b/>
        </w:rPr>
      </w:pPr>
    </w:p>
    <w:p w:rsidR="00357C8A" w:rsidP="000D79CC" w14:paraId="436C6022" w14:textId="35FC4291">
      <w:pPr>
        <w:rPr>
          <w:rFonts w:eastAsia="Calibri"/>
        </w:rPr>
      </w:pPr>
      <w:r w:rsidRPr="00357C8A">
        <w:rPr>
          <w:rFonts w:eastAsia="Calibri"/>
          <w:b/>
        </w:rPr>
        <w:t>Part A</w:t>
      </w:r>
      <w:r w:rsidR="009C43B2">
        <w:rPr>
          <w:rFonts w:eastAsia="Calibri"/>
          <w:b/>
        </w:rPr>
        <w:t xml:space="preserve"> – </w:t>
      </w:r>
      <w:r w:rsidRPr="00357C8A">
        <w:rPr>
          <w:rFonts w:eastAsia="Calibri"/>
          <w:b/>
        </w:rPr>
        <w:t>Justification</w:t>
      </w:r>
      <w:r w:rsidRPr="00357C8A">
        <w:rPr>
          <w:rFonts w:eastAsia="Calibri"/>
        </w:rPr>
        <w:t>:</w:t>
      </w:r>
    </w:p>
    <w:p w:rsidR="000D79CC" w:rsidRPr="00357C8A" w:rsidP="000D79CC" w14:paraId="53128261" w14:textId="77777777">
      <w:pPr>
        <w:rPr>
          <w:rFonts w:eastAsia="Calibri"/>
        </w:rPr>
      </w:pPr>
    </w:p>
    <w:p w:rsidR="00357C8A" w:rsidRPr="00357C8A" w:rsidP="006705E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D47630" w:rsidP="00530DB8" w14:paraId="21A540BC" w14:textId="52EEBD1E">
      <w:pPr>
        <w:rPr>
          <w:rFonts w:eastAsia="Calibri"/>
        </w:rPr>
      </w:pPr>
      <w:r w:rsidRPr="005C71CA">
        <w:rPr>
          <w:rFonts w:eastAsia="Calibri"/>
        </w:rPr>
        <w:t>This information collection supports</w:t>
      </w:r>
      <w:r w:rsidR="00530DB8">
        <w:rPr>
          <w:rFonts w:eastAsia="Calibri"/>
        </w:rPr>
        <w:t xml:space="preserve"> recommendations found in</w:t>
      </w:r>
      <w:r w:rsidRPr="005C71CA">
        <w:rPr>
          <w:rFonts w:eastAsia="Calibri"/>
        </w:rPr>
        <w:t xml:space="preserve"> Food and Drug Administration (FDA) guidance</w:t>
      </w:r>
      <w:r w:rsidR="00530DB8">
        <w:rPr>
          <w:rFonts w:eastAsia="Calibri"/>
        </w:rPr>
        <w:t>.  The guidance document</w:t>
      </w:r>
      <w:r w:rsidR="00DB7E4C">
        <w:rPr>
          <w:rFonts w:eastAsia="Calibri"/>
        </w:rPr>
        <w:t xml:space="preserve">, </w:t>
      </w:r>
      <w:r w:rsidRPr="000C2542" w:rsidR="000C2542">
        <w:rPr>
          <w:rFonts w:eastAsia="Calibri"/>
        </w:rPr>
        <w:t>“</w:t>
      </w:r>
      <w:r w:rsidRPr="00530DB8" w:rsidR="000C2542">
        <w:rPr>
          <w:rFonts w:eastAsia="Calibri"/>
          <w:i/>
          <w:iCs/>
        </w:rPr>
        <w:t>Guidance for Industry and Food and Drug Administration Staff; Center for Devices and Radiological Health Appeals Processes</w:t>
      </w:r>
      <w:r w:rsidR="00530DB8">
        <w:rPr>
          <w:rFonts w:eastAsia="Calibri"/>
        </w:rPr>
        <w:t>,</w:t>
      </w:r>
      <w:r w:rsidRPr="000C2542" w:rsidR="000C2542">
        <w:rPr>
          <w:rFonts w:eastAsia="Calibri"/>
        </w:rPr>
        <w:t xml:space="preserve">” </w:t>
      </w:r>
      <w:r w:rsidR="00B523EA">
        <w:rPr>
          <w:rFonts w:eastAsia="Calibri"/>
        </w:rPr>
        <w:t>(March 2022</w:t>
      </w:r>
      <w:r w:rsidR="009206F5">
        <w:rPr>
          <w:rFonts w:eastAsia="Calibri"/>
        </w:rPr>
        <w:t xml:space="preserve">; </w:t>
      </w:r>
      <w:r w:rsidRPr="00D47630" w:rsidR="00812250">
        <w:rPr>
          <w:rFonts w:eastAsia="Calibri"/>
        </w:rPr>
        <w:t xml:space="preserve">available for download from our website at </w:t>
      </w:r>
      <w:hyperlink r:id="rId7" w:history="1">
        <w:r w:rsidR="00D7645F">
          <w:rPr>
            <w:rStyle w:val="Hyperlink"/>
          </w:rPr>
          <w:t>Center for Devices and Radiological Health (CDRH) Appeals Processes | FDA</w:t>
        </w:r>
      </w:hyperlink>
      <w:r w:rsidR="00D7645F">
        <w:t xml:space="preserve">, </w:t>
      </w:r>
      <w:r w:rsidR="004162F2">
        <w:rPr>
          <w:rFonts w:eastAsia="Calibri"/>
        </w:rPr>
        <w:t xml:space="preserve">pertains to </w:t>
      </w:r>
      <w:r w:rsidR="008A1D5E">
        <w:rPr>
          <w:rFonts w:eastAsia="Calibri"/>
        </w:rPr>
        <w:t xml:space="preserve">the </w:t>
      </w:r>
      <w:r w:rsidRPr="000C2542" w:rsidR="000C2542">
        <w:rPr>
          <w:rFonts w:eastAsia="Calibri"/>
        </w:rPr>
        <w:t>review of decisions or actions by CDRH employees.</w:t>
      </w:r>
      <w:r w:rsidR="00530DB8">
        <w:rPr>
          <w:rFonts w:eastAsia="Calibri"/>
        </w:rPr>
        <w:t xml:space="preserve">  </w:t>
      </w:r>
      <w:r w:rsidR="00B523EA">
        <w:rPr>
          <w:rFonts w:eastAsia="Calibri"/>
        </w:rPr>
        <w:t>The guidance document</w:t>
      </w:r>
      <w:r w:rsidR="005C74F7">
        <w:rPr>
          <w:rFonts w:eastAsia="Calibri"/>
        </w:rPr>
        <w:t xml:space="preserve"> discusses</w:t>
      </w:r>
      <w:r w:rsidR="00B523EA">
        <w:rPr>
          <w:rFonts w:eastAsia="Calibri"/>
        </w:rPr>
        <w:t xml:space="preserve"> various mechanisms </w:t>
      </w:r>
      <w:r w:rsidR="006F6886">
        <w:rPr>
          <w:rFonts w:eastAsia="Calibri"/>
        </w:rPr>
        <w:t xml:space="preserve">and applicable </w:t>
      </w:r>
      <w:r w:rsidR="008D4D3D">
        <w:rPr>
          <w:rFonts w:eastAsia="Calibri"/>
        </w:rPr>
        <w:t xml:space="preserve">regulatory </w:t>
      </w:r>
      <w:r w:rsidR="00B523EA">
        <w:rPr>
          <w:rFonts w:eastAsia="Calibri"/>
        </w:rPr>
        <w:t xml:space="preserve">authorities, </w:t>
      </w:r>
      <w:r w:rsidR="006F6886">
        <w:rPr>
          <w:rFonts w:eastAsia="Calibri"/>
        </w:rPr>
        <w:t xml:space="preserve">as well as </w:t>
      </w:r>
      <w:r w:rsidR="00B523EA">
        <w:rPr>
          <w:rFonts w:eastAsia="Calibri"/>
        </w:rPr>
        <w:t>provides format and content instruction</w:t>
      </w:r>
      <w:r w:rsidR="005C74F7">
        <w:rPr>
          <w:rFonts w:eastAsia="Calibri"/>
        </w:rPr>
        <w:t>,</w:t>
      </w:r>
      <w:r w:rsidR="006F6886">
        <w:rPr>
          <w:rFonts w:eastAsia="Calibri"/>
        </w:rPr>
        <w:t xml:space="preserve"> for </w:t>
      </w:r>
      <w:r w:rsidR="005C74F7">
        <w:rPr>
          <w:rFonts w:eastAsia="Calibri"/>
        </w:rPr>
        <w:t xml:space="preserve">alternative </w:t>
      </w:r>
      <w:r w:rsidR="006F6886">
        <w:rPr>
          <w:rFonts w:eastAsia="Calibri"/>
        </w:rPr>
        <w:t>methods of appeal</w:t>
      </w:r>
      <w:r w:rsidR="008A1D5E">
        <w:rPr>
          <w:rFonts w:eastAsia="Calibri"/>
        </w:rPr>
        <w:t>ing decisions</w:t>
      </w:r>
      <w:r w:rsidR="00B523EA">
        <w:rPr>
          <w:rFonts w:eastAsia="Calibri"/>
        </w:rPr>
        <w:t xml:space="preserve">.  </w:t>
      </w:r>
      <w:r w:rsidRPr="00B523EA" w:rsidR="00B523EA">
        <w:rPr>
          <w:rFonts w:eastAsia="Calibri"/>
        </w:rPr>
        <w:t>A</w:t>
      </w:r>
      <w:r w:rsidR="00FE0DA1">
        <w:rPr>
          <w:rFonts w:eastAsia="Calibri"/>
        </w:rPr>
        <w:t xml:space="preserve">t the same time, </w:t>
      </w:r>
      <w:r w:rsidRPr="00B523EA" w:rsidR="00B523EA">
        <w:rPr>
          <w:rFonts w:eastAsia="Calibri"/>
        </w:rPr>
        <w:t>information collection pertaining to administrative actions to which the Federal government is a party or that occur after an administrative case file has been opened regarding a particular individual or entity, are generally exempt from OMB review and approval under the PRA.</w:t>
      </w:r>
      <w:r w:rsidR="00FE0DA1">
        <w:rPr>
          <w:rFonts w:eastAsia="Calibri"/>
        </w:rPr>
        <w:t xml:space="preserve">  Nevertheless</w:t>
      </w:r>
      <w:r w:rsidRPr="00B523EA" w:rsidR="00B523EA">
        <w:rPr>
          <w:rFonts w:eastAsia="Calibri"/>
        </w:rPr>
        <w:t xml:space="preserve">, we have characterized burden we attribute to the recommendations discussed in the guidance document as </w:t>
      </w:r>
      <w:r w:rsidR="00C96DF4">
        <w:rPr>
          <w:rFonts w:eastAsia="Calibri"/>
        </w:rPr>
        <w:t xml:space="preserve">reporting </w:t>
      </w:r>
      <w:r w:rsidRPr="00B523EA" w:rsidR="00B523EA">
        <w:rPr>
          <w:rFonts w:eastAsia="Calibri"/>
        </w:rPr>
        <w:t>burden and provide an estimate of time and effort that may be incurred by respondents in Question 12 of this supporting statement.</w:t>
      </w:r>
      <w:r w:rsidR="00FE0DA1">
        <w:rPr>
          <w:rFonts w:eastAsia="Calibri"/>
        </w:rPr>
        <w:t xml:space="preserve">  </w:t>
      </w:r>
      <w:r w:rsidRPr="000C2542" w:rsidR="003A0A45">
        <w:rPr>
          <w:rFonts w:eastAsia="Calibri"/>
        </w:rPr>
        <w:t xml:space="preserve">While CDRH </w:t>
      </w:r>
      <w:r w:rsidR="00530DB8">
        <w:rPr>
          <w:rFonts w:eastAsia="Calibri"/>
        </w:rPr>
        <w:t xml:space="preserve">would </w:t>
      </w:r>
      <w:r w:rsidRPr="000C2542" w:rsidR="003A0A45">
        <w:rPr>
          <w:rFonts w:eastAsia="Calibri"/>
        </w:rPr>
        <w:t xml:space="preserve">already </w:t>
      </w:r>
      <w:r w:rsidR="00530DB8">
        <w:rPr>
          <w:rFonts w:eastAsia="Calibri"/>
        </w:rPr>
        <w:t xml:space="preserve">maintain </w:t>
      </w:r>
      <w:r w:rsidRPr="000C2542" w:rsidR="003A0A45">
        <w:rPr>
          <w:rFonts w:eastAsia="Calibri"/>
        </w:rPr>
        <w:t>the administrative file form</w:t>
      </w:r>
      <w:r w:rsidR="00530DB8">
        <w:rPr>
          <w:rFonts w:eastAsia="Calibri"/>
        </w:rPr>
        <w:t>ing</w:t>
      </w:r>
      <w:r w:rsidRPr="000C2542" w:rsidR="003A0A45">
        <w:rPr>
          <w:rFonts w:eastAsia="Calibri"/>
        </w:rPr>
        <w:t xml:space="preserve"> the basis of a decision on a matter under appeal, the submission of </w:t>
      </w:r>
      <w:r w:rsidRPr="000C2542" w:rsidR="003A0A45">
        <w:rPr>
          <w:rFonts w:eastAsia="Calibri"/>
        </w:rPr>
        <w:t>particular information</w:t>
      </w:r>
      <w:r w:rsidRPr="000C2542" w:rsidR="003A0A45">
        <w:rPr>
          <w:rFonts w:eastAsia="Calibri"/>
        </w:rPr>
        <w:t xml:space="preserve"> regarding the </w:t>
      </w:r>
      <w:r w:rsidR="00530DB8">
        <w:rPr>
          <w:rFonts w:eastAsia="Calibri"/>
        </w:rPr>
        <w:t xml:space="preserve">review </w:t>
      </w:r>
      <w:r w:rsidRPr="000C2542" w:rsidR="003A0A45">
        <w:rPr>
          <w:rFonts w:eastAsia="Calibri"/>
        </w:rPr>
        <w:t>request</w:t>
      </w:r>
      <w:r w:rsidR="00530DB8">
        <w:rPr>
          <w:rFonts w:eastAsia="Calibri"/>
        </w:rPr>
        <w:t xml:space="preserve">, </w:t>
      </w:r>
      <w:r w:rsidRPr="000C2542" w:rsidR="003A0A45">
        <w:rPr>
          <w:rFonts w:eastAsia="Calibri"/>
        </w:rPr>
        <w:t>and the data and information relied on by the requestor in the appeal</w:t>
      </w:r>
      <w:r w:rsidR="00530DB8">
        <w:rPr>
          <w:rFonts w:eastAsia="Calibri"/>
        </w:rPr>
        <w:t>,</w:t>
      </w:r>
      <w:r w:rsidRPr="000C2542" w:rsidR="003A0A45">
        <w:rPr>
          <w:rFonts w:eastAsia="Calibri"/>
        </w:rPr>
        <w:t xml:space="preserve"> </w:t>
      </w:r>
      <w:r w:rsidR="00530DB8">
        <w:rPr>
          <w:rFonts w:eastAsia="Calibri"/>
        </w:rPr>
        <w:t xml:space="preserve">will </w:t>
      </w:r>
      <w:r w:rsidRPr="000C2542" w:rsidR="003A0A45">
        <w:rPr>
          <w:rFonts w:eastAsia="Calibri"/>
        </w:rPr>
        <w:t>facilitate timely resolution of the decision under review.</w:t>
      </w:r>
    </w:p>
    <w:p w:rsidR="00FE0DA1" w:rsidP="00530DB8" w14:paraId="7E182D33" w14:textId="77777777">
      <w:pPr>
        <w:rPr>
          <w:rFonts w:eastAsia="Calibri"/>
        </w:rPr>
      </w:pPr>
    </w:p>
    <w:p w:rsidR="00142614" w:rsidP="710AFAD5" w14:paraId="16DDB3E6" w14:textId="13E12E6D">
      <w:pPr>
        <w:rPr>
          <w:rFonts w:eastAsia="Calibri"/>
        </w:rPr>
      </w:pPr>
      <w:r w:rsidRPr="710AFAD5">
        <w:rPr>
          <w:rFonts w:eastAsia="Calibri"/>
        </w:rPr>
        <w:t>We therefore request OMB</w:t>
      </w:r>
      <w:r w:rsidR="004D3A53">
        <w:rPr>
          <w:rFonts w:eastAsia="Calibri"/>
        </w:rPr>
        <w:t xml:space="preserve"> extension </w:t>
      </w:r>
      <w:r w:rsidR="006D125F">
        <w:rPr>
          <w:rFonts w:eastAsia="Calibri"/>
        </w:rPr>
        <w:t>of OMB</w:t>
      </w:r>
      <w:r w:rsidRPr="710AFAD5">
        <w:rPr>
          <w:rFonts w:eastAsia="Calibri"/>
        </w:rPr>
        <w:t xml:space="preserve"> approval of the information collection </w:t>
      </w:r>
      <w:r w:rsidRPr="710AFAD5" w:rsidR="00FE0DA1">
        <w:rPr>
          <w:rFonts w:eastAsia="Calibri"/>
        </w:rPr>
        <w:t>found in the document</w:t>
      </w:r>
      <w:r w:rsidRPr="710AFAD5">
        <w:rPr>
          <w:rFonts w:eastAsia="Calibri"/>
        </w:rPr>
        <w:t xml:space="preserve"> </w:t>
      </w:r>
      <w:r w:rsidRPr="710AFAD5" w:rsidR="004F5994">
        <w:rPr>
          <w:rFonts w:eastAsia="Calibri"/>
        </w:rPr>
        <w:t>“</w:t>
      </w:r>
      <w:r w:rsidRPr="710AFAD5" w:rsidR="004F5994">
        <w:rPr>
          <w:rFonts w:eastAsia="Calibri"/>
          <w:i/>
          <w:iCs/>
        </w:rPr>
        <w:t>Guidance for Industry and Food and Drug Administration Staff; Center for Devices and Radiological Health Appeals Processes</w:t>
      </w:r>
      <w:r w:rsidRPr="710AFAD5" w:rsidR="004F5994">
        <w:rPr>
          <w:rFonts w:eastAsia="Calibri"/>
        </w:rPr>
        <w:t>”</w:t>
      </w:r>
      <w:r w:rsidR="00FD2CA3">
        <w:rPr>
          <w:rFonts w:eastAsia="Calibri"/>
        </w:rPr>
        <w:t xml:space="preserve"> </w:t>
      </w:r>
      <w:r w:rsidR="00C93337">
        <w:rPr>
          <w:rFonts w:eastAsia="Calibri"/>
        </w:rPr>
        <w:t>as</w:t>
      </w:r>
      <w:r w:rsidRPr="710AFAD5" w:rsidR="00C93337">
        <w:rPr>
          <w:rFonts w:eastAsia="Calibri"/>
        </w:rPr>
        <w:t xml:space="preserve"> </w:t>
      </w:r>
      <w:r w:rsidRPr="710AFAD5">
        <w:rPr>
          <w:rFonts w:eastAsia="Calibri"/>
        </w:rPr>
        <w:t>discussed in this supporting statement.</w:t>
      </w:r>
      <w:r w:rsidRPr="710AFAD5" w:rsidR="005D39FC">
        <w:rPr>
          <w:rFonts w:eastAsia="Calibri"/>
        </w:rPr>
        <w:t xml:space="preserve">  </w:t>
      </w:r>
    </w:p>
    <w:p w:rsidR="006D5DEF" w:rsidRPr="006D5DEF" w:rsidP="006D5DEF" w14:paraId="4413DD73" w14:textId="77777777">
      <w:pPr>
        <w:rPr>
          <w:rFonts w:eastAsia="Calibri"/>
          <w:i/>
        </w:rPr>
      </w:pPr>
    </w:p>
    <w:p w:rsidR="00357C8A" w:rsidRPr="00357C8A" w:rsidP="00D1339E" w14:paraId="39D1A85E" w14:textId="77777777">
      <w:pPr>
        <w:keepNext/>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DC4629" w:rsidRPr="00DC4629" w:rsidP="00DC4629" w14:paraId="207C2C04" w14:textId="363B2F2C">
      <w:pPr>
        <w:spacing w:after="200"/>
        <w:rPr>
          <w:rFonts w:eastAsia="Calibri"/>
        </w:rPr>
      </w:pPr>
      <w:r>
        <w:rPr>
          <w:rFonts w:eastAsia="Calibri"/>
        </w:rPr>
        <w:t>The guidance document is intended to provide respondents with a resource regard</w:t>
      </w:r>
      <w:r w:rsidR="006F6886">
        <w:rPr>
          <w:rFonts w:eastAsia="Calibri"/>
        </w:rPr>
        <w:t xml:space="preserve">ing appealing CDRH decisions.  </w:t>
      </w:r>
      <w:r>
        <w:rPr>
          <w:rFonts w:eastAsia="Calibri"/>
        </w:rPr>
        <w:t xml:space="preserve">For example, </w:t>
      </w:r>
      <w:r w:rsidR="006F6886">
        <w:rPr>
          <w:rFonts w:eastAsia="Calibri"/>
        </w:rPr>
        <w:t xml:space="preserve">the guidance document instructs that respondents may contact the CDRH Ombudsman by e-mail, and it also </w:t>
      </w:r>
      <w:r>
        <w:rPr>
          <w:rFonts w:eastAsia="Calibri"/>
        </w:rPr>
        <w:t xml:space="preserve">discusses procedures and associated time schedules </w:t>
      </w:r>
      <w:r w:rsidR="006F6886">
        <w:rPr>
          <w:rFonts w:eastAsia="Calibri"/>
        </w:rPr>
        <w:t xml:space="preserve">should respondents choose to file a </w:t>
      </w:r>
      <w:r>
        <w:rPr>
          <w:rFonts w:eastAsia="Calibri"/>
        </w:rPr>
        <w:t>petition under 21 CFR 10.75.</w:t>
      </w:r>
      <w:r w:rsidR="006F6886">
        <w:rPr>
          <w:rFonts w:eastAsia="Calibri"/>
        </w:rPr>
        <w:t xml:space="preserve">  Other ways in which respondents may appeal CDRH decisions is also discussed.  </w:t>
      </w:r>
      <w:r w:rsidRPr="00DC4629">
        <w:rPr>
          <w:rFonts w:eastAsia="Calibri"/>
        </w:rPr>
        <w:t>By providing a suggested format outlin</w:t>
      </w:r>
      <w:r w:rsidR="006F6886">
        <w:rPr>
          <w:rFonts w:eastAsia="Calibri"/>
        </w:rPr>
        <w:t>ing</w:t>
      </w:r>
      <w:r w:rsidRPr="00DC4629">
        <w:rPr>
          <w:rFonts w:eastAsia="Calibri"/>
        </w:rPr>
        <w:t xml:space="preserve"> </w:t>
      </w:r>
      <w:r w:rsidR="006F6886">
        <w:rPr>
          <w:rFonts w:eastAsia="Calibri"/>
        </w:rPr>
        <w:t xml:space="preserve">the </w:t>
      </w:r>
      <w:r w:rsidRPr="00DC4629">
        <w:rPr>
          <w:rFonts w:eastAsia="Calibri"/>
        </w:rPr>
        <w:t xml:space="preserve">type of information </w:t>
      </w:r>
      <w:r w:rsidR="006F6886">
        <w:rPr>
          <w:rFonts w:eastAsia="Calibri"/>
        </w:rPr>
        <w:t xml:space="preserve">to include </w:t>
      </w:r>
      <w:r w:rsidRPr="00DC4629">
        <w:rPr>
          <w:rFonts w:eastAsia="Calibri"/>
        </w:rPr>
        <w:t>in an appeals cover letter</w:t>
      </w:r>
      <w:r w:rsidR="006F6886">
        <w:rPr>
          <w:rFonts w:eastAsia="Calibri"/>
        </w:rPr>
        <w:t>,</w:t>
      </w:r>
      <w:r w:rsidRPr="00DC4629">
        <w:rPr>
          <w:rFonts w:eastAsia="Calibri"/>
        </w:rPr>
        <w:t xml:space="preserve"> and </w:t>
      </w:r>
      <w:r w:rsidR="006F6886">
        <w:rPr>
          <w:rFonts w:eastAsia="Calibri"/>
        </w:rPr>
        <w:t xml:space="preserve">by </w:t>
      </w:r>
      <w:r w:rsidRPr="00DC4629">
        <w:rPr>
          <w:rFonts w:eastAsia="Calibri"/>
        </w:rPr>
        <w:t xml:space="preserve">encouraging </w:t>
      </w:r>
      <w:r w:rsidR="006F6886">
        <w:rPr>
          <w:rFonts w:eastAsia="Calibri"/>
        </w:rPr>
        <w:t xml:space="preserve">the submission of </w:t>
      </w:r>
      <w:r w:rsidRPr="00DC4629">
        <w:rPr>
          <w:rFonts w:eastAsia="Calibri"/>
        </w:rPr>
        <w:t xml:space="preserve">specific documents germane to the request, </w:t>
      </w:r>
      <w:r w:rsidR="006F6886">
        <w:rPr>
          <w:rFonts w:eastAsia="Calibri"/>
        </w:rPr>
        <w:t>we hope to</w:t>
      </w:r>
      <w:r w:rsidR="003F056D">
        <w:rPr>
          <w:rFonts w:eastAsia="Calibri"/>
        </w:rPr>
        <w:t xml:space="preserve"> help</w:t>
      </w:r>
      <w:r w:rsidR="006F6886">
        <w:rPr>
          <w:rFonts w:eastAsia="Calibri"/>
        </w:rPr>
        <w:t xml:space="preserve"> facilitate</w:t>
      </w:r>
      <w:r w:rsidR="00C71517">
        <w:rPr>
          <w:rFonts w:eastAsia="Calibri"/>
        </w:rPr>
        <w:t xml:space="preserve"> resolution</w:t>
      </w:r>
      <w:r w:rsidR="006F6886">
        <w:rPr>
          <w:rFonts w:eastAsia="Calibri"/>
        </w:rPr>
        <w:t>.</w:t>
      </w:r>
      <w:r w:rsidR="00C71517">
        <w:rPr>
          <w:rFonts w:eastAsia="Calibri"/>
        </w:rPr>
        <w:t xml:space="preserve">  </w:t>
      </w:r>
      <w:r w:rsidRPr="00DC4629">
        <w:rPr>
          <w:rFonts w:eastAsia="Calibri"/>
        </w:rPr>
        <w:t xml:space="preserve">Respondents </w:t>
      </w:r>
      <w:r w:rsidR="00C71517">
        <w:rPr>
          <w:rFonts w:eastAsia="Calibri"/>
        </w:rPr>
        <w:t xml:space="preserve">to the information collection </w:t>
      </w:r>
      <w:r w:rsidRPr="00DC4629">
        <w:rPr>
          <w:rFonts w:eastAsia="Calibri"/>
        </w:rPr>
        <w:t>are sponsors, applicants, or manufacturers of medical devices.</w:t>
      </w:r>
    </w:p>
    <w:p w:rsidR="00357C8A" w:rsidRPr="00357C8A" w:rsidP="006705EA" w14:paraId="37E67F98" w14:textId="635626E3">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30D46" w:rsidRPr="00A30D46" w:rsidP="00A30D46" w14:paraId="2F069CED" w14:textId="7F429832">
      <w:pPr>
        <w:spacing w:after="200"/>
        <w:rPr>
          <w:rFonts w:eastAsia="Calibri"/>
        </w:rPr>
      </w:pPr>
      <w:r>
        <w:rPr>
          <w:rFonts w:eastAsia="Calibri"/>
        </w:rPr>
        <w:t xml:space="preserve">We </w:t>
      </w:r>
      <w:r w:rsidRPr="00A30D46">
        <w:rPr>
          <w:rFonts w:eastAsia="Calibri"/>
        </w:rPr>
        <w:t xml:space="preserve">estimate 99% of respondents will use electronic means to fulfill the </w:t>
      </w:r>
      <w:r>
        <w:rPr>
          <w:rFonts w:eastAsia="Calibri"/>
        </w:rPr>
        <w:t>information collection</w:t>
      </w:r>
      <w:r w:rsidRPr="00A30D46">
        <w:rPr>
          <w:rFonts w:eastAsia="Calibri"/>
        </w:rPr>
        <w:t>.</w:t>
      </w:r>
    </w:p>
    <w:p w:rsidR="00357C8A" w:rsidRPr="00357C8A" w:rsidP="006705E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A460F9" w:rsidRPr="00A460F9" w:rsidP="0053380B" w14:paraId="128FC588" w14:textId="38D5B4A5">
      <w:pPr>
        <w:spacing w:after="200"/>
        <w:rPr>
          <w:rFonts w:eastAsia="Calibri"/>
        </w:rPr>
      </w:pPr>
      <w:r w:rsidRPr="005C71CA">
        <w:t>We are unaware of duplicative information collection.</w:t>
      </w:r>
    </w:p>
    <w:p w:rsidR="00357C8A" w:rsidRPr="00357C8A" w:rsidP="006705E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0C33D7" w:rsidP="008A7DC3" w14:paraId="48FCC726" w14:textId="77777777">
      <w:pPr>
        <w:spacing w:after="200"/>
        <w:rPr>
          <w:rFonts w:eastAsia="Calibri"/>
        </w:rPr>
      </w:pPr>
      <w:r>
        <w:rPr>
          <w:rFonts w:eastAsia="Calibri"/>
        </w:rPr>
        <w:t xml:space="preserve">We do not believe the information collection imposes undue burden on small entities.  </w:t>
      </w:r>
    </w:p>
    <w:p w:rsidR="008A7DC3" w:rsidRPr="008A7DC3" w:rsidP="008A7DC3" w14:paraId="4DF375D3" w14:textId="167F80E7">
      <w:pPr>
        <w:spacing w:after="200"/>
        <w:rPr>
          <w:rFonts w:eastAsia="Calibri"/>
        </w:rPr>
      </w:pPr>
      <w:r>
        <w:rPr>
          <w:rFonts w:eastAsia="Calibri"/>
        </w:rPr>
        <w:t>In addition, t</w:t>
      </w:r>
      <w:r w:rsidR="00C71517">
        <w:rPr>
          <w:rFonts w:eastAsia="Calibri"/>
        </w:rPr>
        <w:t xml:space="preserve">o help </w:t>
      </w:r>
      <w:r w:rsidRPr="008A7DC3">
        <w:rPr>
          <w:rFonts w:eastAsia="Calibri"/>
        </w:rPr>
        <w:t xml:space="preserve">minimize the impact </w:t>
      </w:r>
      <w:r w:rsidR="00C71517">
        <w:rPr>
          <w:rFonts w:eastAsia="Calibri"/>
        </w:rPr>
        <w:t xml:space="preserve">of regulatory compliance </w:t>
      </w:r>
      <w:r w:rsidRPr="008A7DC3">
        <w:rPr>
          <w:rFonts w:eastAsia="Calibri"/>
        </w:rPr>
        <w:t>on small businesses</w:t>
      </w:r>
      <w:r w:rsidR="00C71517">
        <w:rPr>
          <w:rFonts w:eastAsia="Calibri"/>
        </w:rPr>
        <w:t xml:space="preserve">, FDA provides </w:t>
      </w:r>
      <w:r w:rsidRPr="008A7DC3">
        <w:rPr>
          <w:rFonts w:eastAsia="Calibri"/>
        </w:rPr>
        <w:t>personalized assistance</w:t>
      </w:r>
      <w:r w:rsidR="00C71517">
        <w:rPr>
          <w:rFonts w:eastAsia="Calibri"/>
        </w:rPr>
        <w:t xml:space="preserve"> through CDRH’s</w:t>
      </w:r>
      <w:r w:rsidRPr="008A7DC3">
        <w:rPr>
          <w:rFonts w:eastAsia="Calibri"/>
        </w:rPr>
        <w:t xml:space="preserve"> Division of </w:t>
      </w:r>
      <w:r w:rsidR="009F166B">
        <w:rPr>
          <w:rFonts w:eastAsia="Calibri"/>
        </w:rPr>
        <w:t>Industry</w:t>
      </w:r>
      <w:r w:rsidRPr="008A7DC3" w:rsidR="009F166B">
        <w:rPr>
          <w:rFonts w:eastAsia="Calibri"/>
        </w:rPr>
        <w:t xml:space="preserve"> </w:t>
      </w:r>
      <w:r w:rsidRPr="008A7DC3">
        <w:rPr>
          <w:rFonts w:eastAsia="Calibri"/>
        </w:rPr>
        <w:t>and Consumer Education (DICE).  DICE’s technical and regulatory staff is available to respond to questions</w:t>
      </w:r>
      <w:r w:rsidR="00C71517">
        <w:rPr>
          <w:rFonts w:eastAsia="Calibri"/>
        </w:rPr>
        <w:t>, support</w:t>
      </w:r>
      <w:r>
        <w:rPr>
          <w:rFonts w:eastAsia="Calibri"/>
        </w:rPr>
        <w:t>ed by</w:t>
      </w:r>
      <w:r w:rsidR="00C71517">
        <w:rPr>
          <w:rFonts w:eastAsia="Calibri"/>
        </w:rPr>
        <w:t xml:space="preserve"> a </w:t>
      </w:r>
      <w:r w:rsidRPr="008A7DC3">
        <w:rPr>
          <w:rFonts w:eastAsia="Calibri"/>
        </w:rPr>
        <w:t>toll-free dedicated telephone number</w:t>
      </w:r>
      <w:r w:rsidR="00C71517">
        <w:rPr>
          <w:rFonts w:eastAsia="Calibri"/>
        </w:rPr>
        <w:t xml:space="preserve"> </w:t>
      </w:r>
      <w:r w:rsidRPr="008A7DC3">
        <w:rPr>
          <w:rFonts w:eastAsia="Calibri"/>
        </w:rPr>
        <w:t xml:space="preserve">Monday through Friday from 8 a.m. to 5 p.m., to facilitate this communication.  The Division also maintains an email account and a website </w:t>
      </w:r>
      <w:r w:rsidR="00C71517">
        <w:rPr>
          <w:rFonts w:eastAsia="Calibri"/>
        </w:rPr>
        <w:t xml:space="preserve">through </w:t>
      </w:r>
      <w:r w:rsidRPr="008A7DC3">
        <w:rPr>
          <w:rFonts w:eastAsia="Calibri"/>
        </w:rPr>
        <w:t>which firms may obtain regulatory compliance information.</w:t>
      </w:r>
      <w:r w:rsidR="00C71517">
        <w:rPr>
          <w:rFonts w:eastAsia="Calibri"/>
        </w:rPr>
        <w:t xml:space="preserve">  Finally, </w:t>
      </w:r>
      <w:r w:rsidRPr="008A7DC3">
        <w:rPr>
          <w:rFonts w:eastAsia="Calibri"/>
        </w:rPr>
        <w:t xml:space="preserve">DICE </w:t>
      </w:r>
      <w:r>
        <w:rPr>
          <w:rFonts w:eastAsia="Calibri"/>
        </w:rPr>
        <w:t xml:space="preserve">continues to </w:t>
      </w:r>
      <w:r w:rsidR="00E72089">
        <w:rPr>
          <w:rFonts w:eastAsia="Calibri"/>
        </w:rPr>
        <w:t xml:space="preserve">engage the respondent community </w:t>
      </w:r>
      <w:r>
        <w:rPr>
          <w:rFonts w:eastAsia="Calibri"/>
        </w:rPr>
        <w:t xml:space="preserve">through </w:t>
      </w:r>
      <w:r w:rsidRPr="008A7DC3">
        <w:rPr>
          <w:rFonts w:eastAsia="Calibri"/>
        </w:rPr>
        <w:t>conferences, workshops, and seminars</w:t>
      </w:r>
      <w:r>
        <w:rPr>
          <w:rFonts w:eastAsia="Calibri"/>
        </w:rPr>
        <w:t xml:space="preserve">, as well as </w:t>
      </w:r>
      <w:r w:rsidR="00530E96">
        <w:rPr>
          <w:rFonts w:eastAsia="Calibri"/>
        </w:rPr>
        <w:t xml:space="preserve">by </w:t>
      </w:r>
      <w:r w:rsidRPr="008A7DC3">
        <w:rPr>
          <w:rFonts w:eastAsia="Calibri"/>
        </w:rPr>
        <w:t>develop</w:t>
      </w:r>
      <w:r w:rsidR="00530E96">
        <w:rPr>
          <w:rFonts w:eastAsia="Calibri"/>
        </w:rPr>
        <w:t>ing</w:t>
      </w:r>
      <w:r w:rsidRPr="008A7DC3">
        <w:rPr>
          <w:rFonts w:eastAsia="Calibri"/>
        </w:rPr>
        <w:t xml:space="preserve"> and disseminat</w:t>
      </w:r>
      <w:r w:rsidR="00530E96">
        <w:rPr>
          <w:rFonts w:eastAsia="Calibri"/>
        </w:rPr>
        <w:t>ing</w:t>
      </w:r>
      <w:r w:rsidRPr="008A7DC3">
        <w:rPr>
          <w:rFonts w:eastAsia="Calibri"/>
        </w:rPr>
        <w:t xml:space="preserve"> publications and educational materials.</w:t>
      </w:r>
    </w:p>
    <w:p w:rsidR="00357C8A" w:rsidRPr="00357C8A" w:rsidP="00B32979" w14:paraId="0AE88DF7" w14:textId="77777777">
      <w:pPr>
        <w:keepNext/>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F334BF" w:rsidRPr="00F334BF" w:rsidP="00F334BF" w14:paraId="4CCDB5A6" w14:textId="6B3D18CC">
      <w:pPr>
        <w:spacing w:after="200"/>
        <w:rPr>
          <w:rFonts w:eastAsia="Calibri"/>
        </w:rPr>
      </w:pPr>
      <w:r>
        <w:rPr>
          <w:rFonts w:eastAsia="Calibri"/>
        </w:rPr>
        <w:t>The information collection recommendations discussed in the guidance are consistent with statutory</w:t>
      </w:r>
      <w:r w:rsidR="00A60CDE">
        <w:rPr>
          <w:rFonts w:eastAsia="Calibri"/>
        </w:rPr>
        <w:t xml:space="preserve"> requirements found in section 517</w:t>
      </w:r>
      <w:r w:rsidR="0042519E">
        <w:rPr>
          <w:rFonts w:eastAsia="Calibri"/>
        </w:rPr>
        <w:t>A</w:t>
      </w:r>
      <w:r w:rsidR="00A60CDE">
        <w:rPr>
          <w:rFonts w:eastAsia="Calibri"/>
        </w:rPr>
        <w:t xml:space="preserve"> of the Federal Food, Drug, and Cosmetic Act</w:t>
      </w:r>
      <w:r>
        <w:rPr>
          <w:rFonts w:eastAsia="Calibri"/>
        </w:rPr>
        <w:t xml:space="preserve">. </w:t>
      </w:r>
    </w:p>
    <w:p w:rsidR="00357C8A" w:rsidRPr="00357C8A" w:rsidP="006705E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E278A4" w:rsidRPr="00E278A4" w:rsidP="0022425B" w14:paraId="2BDD7D4D" w14:textId="6B1CBF2C">
      <w:pPr>
        <w:spacing w:after="200"/>
        <w:rPr>
          <w:rFonts w:eastAsia="Calibri"/>
        </w:rPr>
      </w:pPr>
      <w:r>
        <w:t>There are no special circumstances for this collection of information.</w:t>
      </w:r>
    </w:p>
    <w:p w:rsidR="00357C8A" w:rsidRPr="00357C8A" w:rsidP="006705EA" w14:paraId="17931CD8" w14:textId="77777777">
      <w:pPr>
        <w:numPr>
          <w:ilvl w:val="0"/>
          <w:numId w:val="6"/>
        </w:numPr>
        <w:spacing w:after="200" w:line="276" w:lineRule="auto"/>
        <w:rPr>
          <w:rFonts w:eastAsia="Calibri"/>
        </w:rPr>
      </w:pPr>
      <w:r w:rsidRPr="710AFAD5">
        <w:rPr>
          <w:rFonts w:eastAsia="Calibri"/>
          <w:u w:val="single"/>
        </w:rPr>
        <w:t>Comments in Response to the Federal Register Notice and Efforts to Consult Outside the Agency</w:t>
      </w:r>
    </w:p>
    <w:p w:rsidR="45C7792F" w:rsidP="710AFAD5" w14:paraId="7CC830A1" w14:textId="7C513F40">
      <w:pPr>
        <w:spacing w:after="200"/>
      </w:pPr>
      <w:r w:rsidRPr="00BD70CC">
        <w:t xml:space="preserve">FDA published a 60-day notice for public comment in the </w:t>
      </w:r>
      <w:r w:rsidRPr="00BD70CC">
        <w:rPr>
          <w:i/>
          <w:iCs/>
        </w:rPr>
        <w:t>Federal Register</w:t>
      </w:r>
      <w:r w:rsidRPr="00BD70CC">
        <w:t xml:space="preserve"> of</w:t>
      </w:r>
      <w:r w:rsidRPr="00BD70CC" w:rsidR="00361180">
        <w:t xml:space="preserve"> July 3, 2025</w:t>
      </w:r>
      <w:r w:rsidRPr="00BD70CC">
        <w:t xml:space="preserve"> </w:t>
      </w:r>
      <w:r w:rsidRPr="00BD70CC" w:rsidR="00361180">
        <w:t>(90 FR 29563). No comments were received.</w:t>
      </w:r>
      <w:r w:rsidR="00361180">
        <w:t xml:space="preserve">  </w:t>
      </w:r>
    </w:p>
    <w:p w:rsidR="00357C8A" w:rsidRPr="00357C8A" w:rsidP="006705E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357C8A" w:rsidP="00357C8A" w14:paraId="2A6742FE" w14:textId="72159BE9">
      <w:pPr>
        <w:spacing w:after="200"/>
        <w:rPr>
          <w:rFonts w:eastAsia="Calibri"/>
          <w:color w:val="FF0000"/>
        </w:rPr>
      </w:pPr>
      <w:r w:rsidRPr="002074FE">
        <w:rPr>
          <w:rFonts w:eastAsia="Calibri"/>
        </w:rPr>
        <w:t>There are no incentives, payments or gifts associated with this information collection.</w:t>
      </w:r>
    </w:p>
    <w:p w:rsidR="00357C8A" w:rsidRPr="00357C8A" w:rsidP="006705EA" w14:paraId="51F27BA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875A94" w:rsidRPr="003A75FE" w:rsidP="00875A94" w14:paraId="46612212" w14:textId="77777777">
      <w:pPr>
        <w:rPr>
          <w:i/>
          <w:iCs/>
        </w:rPr>
      </w:pPr>
      <w:bookmarkStart w:id="0" w:name="_Hlk191567720"/>
      <w:r w:rsidRPr="003A75FE">
        <w:rPr>
          <w:i/>
          <w:iCs/>
        </w:rPr>
        <w:t>The Privacy Act of 1974 (5 U.S.C. 552a)</w:t>
      </w:r>
    </w:p>
    <w:bookmarkEnd w:id="0"/>
    <w:p w:rsidR="00875A94" w:rsidP="00875A94" w14:paraId="1764F73D" w14:textId="77777777">
      <w:pPr>
        <w:rPr>
          <w:rFonts w:eastAsia="Calibri"/>
        </w:rPr>
      </w:pPr>
    </w:p>
    <w:p w:rsidR="00875A94" w:rsidP="00875A94" w14:paraId="176DABD1" w14:textId="77777777">
      <w:r w:rsidRPr="00A60CDE">
        <w:rPr>
          <w:rFonts w:eastAsia="Calibri"/>
        </w:rPr>
        <w:t xml:space="preserve">In preparing this </w:t>
      </w:r>
      <w:r>
        <w:rPr>
          <w:rFonts w:eastAsia="Calibri"/>
        </w:rPr>
        <w:t>s</w:t>
      </w:r>
      <w:r w:rsidRPr="00A60CDE">
        <w:rPr>
          <w:rFonts w:eastAsia="Calibri"/>
        </w:rPr>
        <w:t xml:space="preserve">upporting </w:t>
      </w:r>
      <w:r>
        <w:rPr>
          <w:rFonts w:eastAsia="Calibri"/>
        </w:rPr>
        <w:t>s</w:t>
      </w:r>
      <w:r w:rsidRPr="00A60CDE">
        <w:rPr>
          <w:rFonts w:eastAsia="Calibri"/>
        </w:rPr>
        <w:t xml:space="preserve">tatement, </w:t>
      </w:r>
      <w:r>
        <w:rPr>
          <w:rFonts w:eastAsia="Calibri"/>
        </w:rPr>
        <w:t xml:space="preserve">we </w:t>
      </w:r>
      <w:r w:rsidRPr="00A60CDE">
        <w:rPr>
          <w:rFonts w:eastAsia="Calibri"/>
        </w:rPr>
        <w:t xml:space="preserve">consulted </w:t>
      </w:r>
      <w:r>
        <w:rPr>
          <w:rFonts w:eastAsia="Calibri"/>
        </w:rPr>
        <w:t xml:space="preserve">our </w:t>
      </w:r>
      <w:r w:rsidRPr="00A60CDE">
        <w:rPr>
          <w:rFonts w:eastAsia="Calibri"/>
        </w:rPr>
        <w:t>Privacy Office to ensure appropriate handling of information collected.</w:t>
      </w:r>
      <w:r>
        <w:rPr>
          <w:rFonts w:eastAsia="Calibri"/>
        </w:rPr>
        <w:t xml:space="preserve">  Although this </w:t>
      </w:r>
      <w:r w:rsidRPr="00AA5F14">
        <w:rPr>
          <w:rFonts w:eastAsia="Calibri"/>
        </w:rPr>
        <w:t>ICR collects personally identifiable information (PII)</w:t>
      </w:r>
      <w:r>
        <w:rPr>
          <w:rFonts w:eastAsia="Calibri"/>
        </w:rPr>
        <w:t xml:space="preserve">, </w:t>
      </w:r>
      <w:r w:rsidRPr="00D161D2">
        <w:t>it is collected in the context of the subject individuals’ professional capacity and the FDA-related work performed for their employer (e.g., point of contact at a regulated entity)</w:t>
      </w:r>
      <w:r>
        <w:t xml:space="preserve">. </w:t>
      </w:r>
      <w:r>
        <w:rPr>
          <w:rFonts w:eastAsia="Calibri"/>
        </w:rPr>
        <w:t xml:space="preserve">The PII </w:t>
      </w:r>
      <w:r w:rsidRPr="00AA5F14">
        <w:rPr>
          <w:rFonts w:eastAsia="Calibri"/>
        </w:rPr>
        <w:t>submitted is the name, work email address, work telephone number, and work address</w:t>
      </w:r>
      <w:r>
        <w:rPr>
          <w:rFonts w:eastAsia="Calibri"/>
        </w:rPr>
        <w:t xml:space="preserve"> of the appellant</w:t>
      </w:r>
      <w:r w:rsidRPr="00AA5F14">
        <w:rPr>
          <w:rFonts w:eastAsia="Calibri"/>
        </w:rPr>
        <w:t>.</w:t>
      </w:r>
      <w:r>
        <w:rPr>
          <w:rFonts w:eastAsia="Calibri"/>
        </w:rPr>
        <w:t xml:space="preserve">  Although this PII is collected, we have </w:t>
      </w:r>
      <w:r w:rsidRPr="00AA5F14">
        <w:rPr>
          <w:rFonts w:eastAsia="Calibri"/>
        </w:rPr>
        <w:t xml:space="preserve">determined that this collection is not subject to the Privacy Act of 1974 and the </w:t>
      </w:r>
      <w:r w:rsidRPr="00AA5F14">
        <w:rPr>
          <w:rFonts w:eastAsia="Calibri"/>
        </w:rPr>
        <w:t>particular notice</w:t>
      </w:r>
      <w:r w:rsidRPr="00AA5F14">
        <w:rPr>
          <w:rFonts w:eastAsia="Calibri"/>
        </w:rPr>
        <w:t xml:space="preserve"> and other requirements of the </w:t>
      </w:r>
      <w:r>
        <w:rPr>
          <w:rFonts w:eastAsia="Calibri"/>
        </w:rPr>
        <w:t xml:space="preserve">Privacy </w:t>
      </w:r>
      <w:r w:rsidRPr="00AA5F14">
        <w:rPr>
          <w:rFonts w:eastAsia="Calibri"/>
        </w:rPr>
        <w:t>Act do not apply.  Specifically, FDA does not use name or any other personal identifier to routinely retrieve records from the information collected.</w:t>
      </w:r>
      <w:r>
        <w:rPr>
          <w:rFonts w:eastAsia="Calibri"/>
        </w:rPr>
        <w:t xml:space="preserve"> </w:t>
      </w:r>
      <w:r w:rsidRPr="004C1756">
        <w:t xml:space="preserve">Through appropriate </w:t>
      </w:r>
      <w:r w:rsidRPr="00AA3157">
        <w:t>design</w:t>
      </w:r>
      <w:r w:rsidRPr="004C1756">
        <w:t>, FDA minimized the PII collected to protect the privacy of the individuals.</w:t>
      </w:r>
    </w:p>
    <w:p w:rsidR="00875A94" w:rsidRPr="00AA5F14" w:rsidP="00875A94" w14:paraId="7327011D" w14:textId="77777777">
      <w:pPr>
        <w:rPr>
          <w:rFonts w:eastAsia="Calibri"/>
        </w:rPr>
      </w:pPr>
    </w:p>
    <w:p w:rsidR="00875A94" w:rsidP="00875A94" w14:paraId="3A62B4EA" w14:textId="77777777">
      <w:pPr>
        <w:rPr>
          <w:i/>
          <w:iCs/>
        </w:rPr>
      </w:pPr>
      <w:r w:rsidRPr="00935B76">
        <w:rPr>
          <w:i/>
          <w:iCs/>
        </w:rPr>
        <w:t>The Freedom of Information Act (FOIA)</w:t>
      </w:r>
    </w:p>
    <w:p w:rsidR="00875A94" w:rsidRPr="00935B76" w:rsidP="00875A94" w14:paraId="77C346C0" w14:textId="77777777">
      <w:pPr>
        <w:rPr>
          <w:i/>
          <w:iCs/>
        </w:rPr>
      </w:pPr>
    </w:p>
    <w:p w:rsidR="001075D3" w:rsidP="00875A94" w14:paraId="4101652C" w14:textId="197E3A79">
      <w:r w:rsidRPr="005D35BE">
        <w:t>Under FOIA (5 U.S.C. 552), the public has broad access to government documents. However, FOIA provides certain exemptions from mandatory public disclosure of government records (5 U.S.C. 552(b</w:t>
      </w:r>
      <w:r w:rsidRPr="005D35BE">
        <w:t>)(</w:t>
      </w:r>
      <w:r w:rsidRPr="005D35BE">
        <w:t>1-9)).  FDA will make the fullest possible disclosure of records to the public (see 21 CFR 20), consistent with the rights of individuals to privacy, the property rights of persons in trade and confidential commercial or financial information.</w:t>
      </w:r>
    </w:p>
    <w:p w:rsidR="00875A94" w:rsidRPr="001075D3" w:rsidP="00875A94" w14:paraId="0EB101B5" w14:textId="77777777"/>
    <w:p w:rsidR="00357C8A" w:rsidRPr="00357C8A" w:rsidP="006705E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7C8A" w:rsidP="0022425B" w14:paraId="56556319" w14:textId="7443903D">
      <w:pPr>
        <w:spacing w:after="200"/>
        <w:rPr>
          <w:rFonts w:eastAsia="Calibri"/>
          <w:color w:val="FF0000"/>
        </w:rPr>
      </w:pPr>
      <w:r w:rsidRPr="002C41F9">
        <w:rPr>
          <w:rFonts w:eastAsia="Calibri"/>
          <w:iCs/>
        </w:rPr>
        <w:t>The collection of information does not involve sensitive questions.</w:t>
      </w:r>
      <w:r w:rsidRPr="002A47D2">
        <w:rPr>
          <w:rFonts w:eastAsia="Calibri"/>
          <w:color w:val="FF0000"/>
        </w:rPr>
        <w:t xml:space="preserve"> </w:t>
      </w:r>
    </w:p>
    <w:p w:rsidR="00357C8A" w:rsidRPr="00357C8A" w:rsidP="006705EA" w14:paraId="25A9650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66533D" w14:paraId="658EF539" w14:textId="3CC8EEF7">
      <w:pPr>
        <w:rPr>
          <w:rFonts w:eastAsia="Calibri"/>
        </w:rPr>
      </w:pPr>
      <w:r w:rsidRPr="00A60CDE">
        <w:rPr>
          <w:rFonts w:eastAsia="Calibri"/>
          <w:i/>
          <w:iCs/>
        </w:rPr>
        <w:t>12a.  Annualized Hour Burden Estimate</w:t>
      </w:r>
    </w:p>
    <w:p w:rsidR="0066533D" w:rsidRPr="0066533D" w:rsidP="0066533D" w14:paraId="0384408B" w14:textId="77777777">
      <w:pPr>
        <w:rPr>
          <w:rFonts w:eastAsia="Calibri"/>
        </w:rPr>
      </w:pPr>
    </w:p>
    <w:tbl>
      <w:tblPr>
        <w:tblW w:w="94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260"/>
        <w:gridCol w:w="1440"/>
        <w:gridCol w:w="1080"/>
        <w:gridCol w:w="1170"/>
        <w:gridCol w:w="865"/>
      </w:tblGrid>
      <w:tr w14:paraId="6A840DFF" w14:textId="77777777" w:rsidTr="00323D0F">
        <w:tblPrEx>
          <w:tblW w:w="94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15" w:type="dxa"/>
            <w:gridSpan w:val="6"/>
            <w:tcBorders>
              <w:top w:val="nil"/>
              <w:left w:val="nil"/>
              <w:right w:val="nil"/>
            </w:tcBorders>
            <w:shd w:val="clear" w:color="auto" w:fill="auto"/>
          </w:tcPr>
          <w:p w:rsidR="00ED0E01" w:rsidRPr="00795F9D" w:rsidP="0066533D" w14:paraId="58C72284" w14:textId="1544EE20">
            <w:pPr>
              <w:jc w:val="center"/>
              <w:rPr>
                <w:sz w:val="20"/>
                <w:szCs w:val="20"/>
              </w:rPr>
            </w:pPr>
            <w:r w:rsidRPr="00795F9D">
              <w:rPr>
                <w:sz w:val="20"/>
                <w:szCs w:val="20"/>
              </w:rPr>
              <w:t xml:space="preserve">Table </w:t>
            </w:r>
            <w:r w:rsidRPr="00795F9D">
              <w:rPr>
                <w:sz w:val="20"/>
                <w:szCs w:val="20"/>
              </w:rPr>
              <w:t>1.--</w:t>
            </w:r>
            <w:r w:rsidRPr="00795F9D">
              <w:rPr>
                <w:sz w:val="20"/>
                <w:szCs w:val="20"/>
              </w:rPr>
              <w:t>Estimated Annual Reporting Burden</w:t>
            </w:r>
          </w:p>
        </w:tc>
      </w:tr>
      <w:tr w14:paraId="4C9821F7" w14:textId="77777777" w:rsidTr="00FC53C5">
        <w:tblPrEx>
          <w:tblW w:w="9415" w:type="dxa"/>
          <w:tblInd w:w="90" w:type="dxa"/>
          <w:tblLayout w:type="fixed"/>
          <w:tblLook w:val="01E0"/>
        </w:tblPrEx>
        <w:trPr>
          <w:cantSplit/>
          <w:trHeight w:val="20"/>
          <w:tblHeader/>
        </w:trPr>
        <w:tc>
          <w:tcPr>
            <w:tcW w:w="3600" w:type="dxa"/>
            <w:tcBorders>
              <w:bottom w:val="single" w:sz="4" w:space="0" w:color="auto"/>
            </w:tcBorders>
            <w:shd w:val="clear" w:color="auto" w:fill="auto"/>
          </w:tcPr>
          <w:p w:rsidR="00C35638" w:rsidRPr="00795F9D" w:rsidP="0066533D" w14:paraId="4C6387D7" w14:textId="1431956E">
            <w:pPr>
              <w:jc w:val="center"/>
              <w:rPr>
                <w:sz w:val="20"/>
                <w:szCs w:val="20"/>
              </w:rPr>
            </w:pPr>
            <w:r>
              <w:rPr>
                <w:sz w:val="20"/>
                <w:szCs w:val="20"/>
              </w:rPr>
              <w:t xml:space="preserve">Information Collection Recommendations </w:t>
            </w:r>
            <w:r w:rsidR="00FD7CEC">
              <w:rPr>
                <w:sz w:val="20"/>
                <w:szCs w:val="20"/>
              </w:rPr>
              <w:t>from</w:t>
            </w:r>
            <w:r>
              <w:rPr>
                <w:sz w:val="20"/>
                <w:szCs w:val="20"/>
              </w:rPr>
              <w:t xml:space="preserve"> FDA Guidance</w:t>
            </w:r>
          </w:p>
        </w:tc>
        <w:tc>
          <w:tcPr>
            <w:tcW w:w="1260" w:type="dxa"/>
            <w:shd w:val="clear" w:color="auto" w:fill="auto"/>
          </w:tcPr>
          <w:p w:rsidR="00C35638" w:rsidRPr="00795F9D" w:rsidP="0066533D" w14:paraId="215F1767" w14:textId="77777777">
            <w:pPr>
              <w:jc w:val="center"/>
              <w:rPr>
                <w:sz w:val="20"/>
                <w:szCs w:val="20"/>
              </w:rPr>
            </w:pPr>
            <w:r w:rsidRPr="00795F9D">
              <w:rPr>
                <w:sz w:val="20"/>
                <w:szCs w:val="20"/>
              </w:rPr>
              <w:t>No. of Respondents</w:t>
            </w:r>
          </w:p>
        </w:tc>
        <w:tc>
          <w:tcPr>
            <w:tcW w:w="1440" w:type="dxa"/>
            <w:shd w:val="clear" w:color="auto" w:fill="auto"/>
          </w:tcPr>
          <w:p w:rsidR="00C35638" w:rsidRPr="00795F9D" w:rsidP="0066533D" w14:paraId="58118B28" w14:textId="77777777">
            <w:pPr>
              <w:jc w:val="center"/>
              <w:rPr>
                <w:sz w:val="20"/>
                <w:szCs w:val="20"/>
              </w:rPr>
            </w:pPr>
            <w:r w:rsidRPr="00795F9D">
              <w:rPr>
                <w:bCs/>
                <w:sz w:val="20"/>
                <w:szCs w:val="20"/>
              </w:rPr>
              <w:t>No. of Responses per Respondent</w:t>
            </w:r>
          </w:p>
        </w:tc>
        <w:tc>
          <w:tcPr>
            <w:tcW w:w="1080" w:type="dxa"/>
            <w:shd w:val="clear" w:color="auto" w:fill="auto"/>
          </w:tcPr>
          <w:p w:rsidR="00C35638" w:rsidRPr="00795F9D" w:rsidP="0066533D" w14:paraId="341454F9" w14:textId="77777777">
            <w:pPr>
              <w:jc w:val="center"/>
              <w:rPr>
                <w:sz w:val="20"/>
                <w:szCs w:val="20"/>
              </w:rPr>
            </w:pPr>
            <w:r w:rsidRPr="00795F9D">
              <w:rPr>
                <w:sz w:val="20"/>
                <w:szCs w:val="20"/>
              </w:rPr>
              <w:t>Total Annual Responses</w:t>
            </w:r>
          </w:p>
        </w:tc>
        <w:tc>
          <w:tcPr>
            <w:tcW w:w="1170" w:type="dxa"/>
            <w:shd w:val="clear" w:color="auto" w:fill="auto"/>
          </w:tcPr>
          <w:p w:rsidR="00C35638" w:rsidRPr="00795F9D" w:rsidP="0066533D" w14:paraId="0B0CAD53" w14:textId="77777777">
            <w:pPr>
              <w:jc w:val="center"/>
              <w:rPr>
                <w:sz w:val="20"/>
                <w:szCs w:val="20"/>
              </w:rPr>
            </w:pPr>
            <w:r w:rsidRPr="00795F9D">
              <w:rPr>
                <w:bCs/>
                <w:sz w:val="20"/>
                <w:szCs w:val="20"/>
              </w:rPr>
              <w:t>Average Burden per Response</w:t>
            </w:r>
          </w:p>
        </w:tc>
        <w:tc>
          <w:tcPr>
            <w:tcW w:w="865" w:type="dxa"/>
            <w:shd w:val="clear" w:color="auto" w:fill="auto"/>
          </w:tcPr>
          <w:p w:rsidR="00C35638" w:rsidRPr="00795F9D" w:rsidP="0066533D" w14:paraId="00620CF7" w14:textId="77777777">
            <w:pPr>
              <w:jc w:val="center"/>
              <w:rPr>
                <w:sz w:val="20"/>
                <w:szCs w:val="20"/>
              </w:rPr>
            </w:pPr>
            <w:r w:rsidRPr="00795F9D">
              <w:rPr>
                <w:sz w:val="20"/>
                <w:szCs w:val="20"/>
              </w:rPr>
              <w:t>Total Hours</w:t>
            </w:r>
          </w:p>
        </w:tc>
      </w:tr>
      <w:tr w14:paraId="3C9EE7FE" w14:textId="77777777" w:rsidTr="00FC53C5">
        <w:tblPrEx>
          <w:tblW w:w="9415" w:type="dxa"/>
          <w:tblInd w:w="90" w:type="dxa"/>
          <w:tblLayout w:type="fixed"/>
          <w:tblLook w:val="01E0"/>
        </w:tblPrEx>
        <w:trPr>
          <w:cantSplit/>
          <w:trHeight w:val="20"/>
        </w:trPr>
        <w:tc>
          <w:tcPr>
            <w:tcW w:w="3600" w:type="dxa"/>
            <w:tcBorders>
              <w:bottom w:val="single" w:sz="4" w:space="0" w:color="auto"/>
            </w:tcBorders>
            <w:shd w:val="clear" w:color="auto" w:fill="auto"/>
          </w:tcPr>
          <w:p w:rsidR="00C35638" w:rsidRPr="00795F9D" w:rsidP="0066533D" w14:paraId="035BF074" w14:textId="553352DE">
            <w:pPr>
              <w:rPr>
                <w:sz w:val="20"/>
                <w:szCs w:val="20"/>
              </w:rPr>
            </w:pPr>
            <w:r w:rsidRPr="00795F9D">
              <w:rPr>
                <w:sz w:val="20"/>
                <w:szCs w:val="20"/>
              </w:rPr>
              <w:t>CDRH Appeals Process</w:t>
            </w:r>
          </w:p>
        </w:tc>
        <w:tc>
          <w:tcPr>
            <w:tcW w:w="1260" w:type="dxa"/>
            <w:shd w:val="clear" w:color="auto" w:fill="auto"/>
          </w:tcPr>
          <w:p w:rsidR="00C35638" w:rsidRPr="00795F9D" w:rsidP="0066533D" w14:paraId="79244D55" w14:textId="2B2BE4E5">
            <w:pPr>
              <w:jc w:val="center"/>
              <w:rPr>
                <w:sz w:val="20"/>
                <w:szCs w:val="20"/>
              </w:rPr>
            </w:pPr>
            <w:r>
              <w:rPr>
                <w:sz w:val="20"/>
                <w:szCs w:val="20"/>
              </w:rPr>
              <w:t>75</w:t>
            </w:r>
          </w:p>
        </w:tc>
        <w:tc>
          <w:tcPr>
            <w:tcW w:w="1440" w:type="dxa"/>
            <w:shd w:val="clear" w:color="auto" w:fill="auto"/>
          </w:tcPr>
          <w:p w:rsidR="00C35638" w:rsidRPr="00795F9D" w:rsidP="0066533D" w14:paraId="00B7A2C1" w14:textId="77777777">
            <w:pPr>
              <w:jc w:val="center"/>
              <w:rPr>
                <w:sz w:val="20"/>
                <w:szCs w:val="20"/>
              </w:rPr>
            </w:pPr>
            <w:r w:rsidRPr="00795F9D">
              <w:rPr>
                <w:sz w:val="20"/>
                <w:szCs w:val="20"/>
              </w:rPr>
              <w:t>1</w:t>
            </w:r>
          </w:p>
        </w:tc>
        <w:tc>
          <w:tcPr>
            <w:tcW w:w="1080" w:type="dxa"/>
            <w:shd w:val="clear" w:color="auto" w:fill="auto"/>
          </w:tcPr>
          <w:p w:rsidR="00C35638" w:rsidRPr="00795F9D" w:rsidP="0066533D" w14:paraId="1FEB76BE" w14:textId="75CB3F9A">
            <w:pPr>
              <w:jc w:val="center"/>
              <w:rPr>
                <w:sz w:val="20"/>
                <w:szCs w:val="20"/>
              </w:rPr>
            </w:pPr>
            <w:r>
              <w:rPr>
                <w:sz w:val="20"/>
                <w:szCs w:val="20"/>
              </w:rPr>
              <w:t>75</w:t>
            </w:r>
          </w:p>
        </w:tc>
        <w:tc>
          <w:tcPr>
            <w:tcW w:w="1170" w:type="dxa"/>
            <w:shd w:val="clear" w:color="auto" w:fill="auto"/>
          </w:tcPr>
          <w:p w:rsidR="00C35638" w:rsidRPr="00795F9D" w:rsidP="0066533D" w14:paraId="27372C72" w14:textId="77777777">
            <w:pPr>
              <w:jc w:val="center"/>
              <w:rPr>
                <w:sz w:val="20"/>
                <w:szCs w:val="20"/>
              </w:rPr>
            </w:pPr>
            <w:r w:rsidRPr="00795F9D">
              <w:rPr>
                <w:sz w:val="20"/>
                <w:szCs w:val="20"/>
              </w:rPr>
              <w:t>8</w:t>
            </w:r>
          </w:p>
        </w:tc>
        <w:tc>
          <w:tcPr>
            <w:tcW w:w="865" w:type="dxa"/>
            <w:shd w:val="clear" w:color="auto" w:fill="auto"/>
          </w:tcPr>
          <w:p w:rsidR="00C35638" w:rsidRPr="00795F9D" w:rsidP="0066533D" w14:paraId="0AB0D318" w14:textId="260A8613">
            <w:pPr>
              <w:jc w:val="center"/>
              <w:rPr>
                <w:sz w:val="20"/>
                <w:szCs w:val="20"/>
              </w:rPr>
            </w:pPr>
            <w:r>
              <w:rPr>
                <w:sz w:val="20"/>
                <w:szCs w:val="20"/>
              </w:rPr>
              <w:t>600</w:t>
            </w:r>
          </w:p>
        </w:tc>
      </w:tr>
    </w:tbl>
    <w:p w:rsidR="0066533D" w:rsidP="0066533D" w14:paraId="3757D272" w14:textId="77777777">
      <w:pPr>
        <w:rPr>
          <w:rFonts w:eastAsia="Calibri"/>
        </w:rPr>
      </w:pPr>
    </w:p>
    <w:p w:rsidR="00357C8A" w:rsidP="0066533D" w14:paraId="346FA635" w14:textId="03ACBA90">
      <w:pPr>
        <w:rPr>
          <w:rFonts w:eastAsia="Calibri"/>
        </w:rPr>
      </w:pPr>
      <w:r w:rsidRPr="0066533D">
        <w:rPr>
          <w:rFonts w:eastAsia="Calibri"/>
          <w:i/>
          <w:iCs/>
        </w:rPr>
        <w:t>12b.  Annualized Cost Burden Estimate</w:t>
      </w:r>
    </w:p>
    <w:p w:rsidR="0066533D" w:rsidRPr="0066533D" w:rsidP="0066533D" w14:paraId="147DE448" w14:textId="77777777">
      <w:pPr>
        <w:rPr>
          <w:rFonts w:eastAsia="Calibri"/>
        </w:rPr>
      </w:pPr>
    </w:p>
    <w:p w:rsidR="00401505" w:rsidP="002246B3" w14:paraId="003903A7" w14:textId="5C69BCA7">
      <w:r w:rsidRPr="00111B14">
        <w:t xml:space="preserve">We </w:t>
      </w:r>
      <w:r>
        <w:t>assume</w:t>
      </w:r>
      <w:r w:rsidRPr="00111B14">
        <w:t xml:space="preserve"> that the </w:t>
      </w:r>
      <w:r>
        <w:t>information collection</w:t>
      </w:r>
      <w:r w:rsidRPr="00111B14">
        <w:t xml:space="preserve"> will be completed by regulatory affairs professionals</w:t>
      </w:r>
      <w:r w:rsidR="00A97757">
        <w:t xml:space="preserve"> and </w:t>
      </w:r>
      <w:r w:rsidR="00B10DFD">
        <w:t xml:space="preserve">executive </w:t>
      </w:r>
      <w:r w:rsidR="00642772">
        <w:t>administrative assistants</w:t>
      </w:r>
      <w:r w:rsidRPr="00111B14">
        <w:t>.</w:t>
      </w:r>
      <w:r w:rsidR="00F720D6">
        <w:t xml:space="preserve">  </w:t>
      </w:r>
      <w:r w:rsidRPr="00111B14">
        <w:t>We use, $</w:t>
      </w:r>
      <w:r w:rsidR="00A1222B">
        <w:t>87.86</w:t>
      </w:r>
      <w:r w:rsidRPr="00111B14">
        <w:t xml:space="preserve"> the U.S. Bureau of Labor Statistics’ May 202</w:t>
      </w:r>
      <w:r w:rsidR="007925B3">
        <w:t>4</w:t>
      </w:r>
      <w:r w:rsidRPr="00111B14">
        <w:t xml:space="preserve"> National Occupational Employment and Wage Estimates,  </w:t>
      </w:r>
      <w:hyperlink r:id="rId8" w:anchor="/industry/000000" w:history="1">
        <w:r w:rsidRPr="0001495B" w:rsidR="0001495B">
          <w:rPr>
            <w:color w:val="0000FF"/>
            <w:u w:val="single"/>
          </w:rPr>
          <w:t>Occupational Employment and Wage Statistics</w:t>
        </w:r>
      </w:hyperlink>
      <w:r w:rsidR="00B36B85">
        <w:t xml:space="preserve"> </w:t>
      </w:r>
      <w:r w:rsidR="00A85F13">
        <w:t>mean</w:t>
      </w:r>
      <w:r w:rsidRPr="00111B14">
        <w:t xml:space="preserve"> wage rate for a Lawyer (occupation code 23-1011)</w:t>
      </w:r>
      <w:r w:rsidR="00197A2B">
        <w:t>,</w:t>
      </w:r>
      <w:r w:rsidRPr="00111B14">
        <w:t xml:space="preserve"> to calculate the burden for regulatory affairs professionals</w:t>
      </w:r>
      <w:r w:rsidR="00D62012">
        <w:t>.</w:t>
      </w:r>
      <w:r w:rsidR="00F720D6">
        <w:t xml:space="preserve">  </w:t>
      </w:r>
      <w:r w:rsidR="00D62012">
        <w:t xml:space="preserve">We </w:t>
      </w:r>
      <w:r w:rsidR="00F720D6">
        <w:t xml:space="preserve">also </w:t>
      </w:r>
      <w:r w:rsidR="00D62012">
        <w:t>use,</w:t>
      </w:r>
      <w:r w:rsidR="00954E29">
        <w:t xml:space="preserve"> $</w:t>
      </w:r>
      <w:r w:rsidR="006913F4">
        <w:t>3</w:t>
      </w:r>
      <w:r w:rsidR="00D80271">
        <w:t>7</w:t>
      </w:r>
      <w:r w:rsidR="00AB5C21">
        <w:t>.</w:t>
      </w:r>
      <w:r w:rsidR="00D80271">
        <w:t>05</w:t>
      </w:r>
      <w:r w:rsidR="00954E29">
        <w:t>,</w:t>
      </w:r>
      <w:r w:rsidR="00576392">
        <w:t xml:space="preserve"> the </w:t>
      </w:r>
      <w:r w:rsidR="00121DF4">
        <w:t>mean</w:t>
      </w:r>
      <w:r w:rsidR="00576392">
        <w:t xml:space="preserve"> wage rate for Executive</w:t>
      </w:r>
      <w:r w:rsidR="00197A2B">
        <w:t xml:space="preserve"> Secretaries and</w:t>
      </w:r>
      <w:r w:rsidR="00021AAD">
        <w:t xml:space="preserve"> Executive</w:t>
      </w:r>
      <w:r w:rsidR="00576392">
        <w:t xml:space="preserve"> Administrative Assistant</w:t>
      </w:r>
      <w:r w:rsidR="00021AAD">
        <w:t>s</w:t>
      </w:r>
      <w:r w:rsidR="00576392">
        <w:t xml:space="preserve"> (occupation code </w:t>
      </w:r>
      <w:r w:rsidR="00552EB2">
        <w:t>43-6011)</w:t>
      </w:r>
      <w:r w:rsidR="00197A2B">
        <w:t>,</w:t>
      </w:r>
      <w:r w:rsidR="00552EB2">
        <w:t xml:space="preserve"> to calculate the burden for </w:t>
      </w:r>
      <w:r w:rsidR="00B10DFD">
        <w:t xml:space="preserve">executive </w:t>
      </w:r>
      <w:r w:rsidR="00552EB2">
        <w:t>administrative assistants</w:t>
      </w:r>
      <w:r w:rsidRPr="00111B14">
        <w:t>.</w:t>
      </w:r>
      <w:r w:rsidR="00C41088">
        <w:t xml:space="preserve">  </w:t>
      </w:r>
      <w:r w:rsidR="00814055">
        <w:t>W</w:t>
      </w:r>
      <w:r w:rsidRPr="00111B14">
        <w:t>e double</w:t>
      </w:r>
      <w:r w:rsidR="005634B4">
        <w:t>d</w:t>
      </w:r>
      <w:r w:rsidRPr="00111B14">
        <w:t xml:space="preserve"> th</w:t>
      </w:r>
      <w:r w:rsidR="00504FA4">
        <w:t>ese</w:t>
      </w:r>
      <w:r w:rsidR="00C41088">
        <w:t xml:space="preserve"> figures</w:t>
      </w:r>
      <w:r w:rsidR="00504FA4">
        <w:t xml:space="preserve"> </w:t>
      </w:r>
      <w:r w:rsidR="00214577">
        <w:t>t</w:t>
      </w:r>
      <w:r w:rsidRPr="00111B14" w:rsidR="00214577">
        <w:t>o account for benefits and overhead</w:t>
      </w:r>
      <w:r w:rsidRPr="00111B14">
        <w:t>.</w:t>
      </w:r>
    </w:p>
    <w:p w:rsidR="00E537D5" w:rsidP="002246B3" w14:paraId="1A5F81CA" w14:textId="77777777"/>
    <w:p w:rsidR="00401505" w:rsidRPr="008C4EAD" w:rsidP="008C4EAD" w14:paraId="20D52685" w14:textId="5C93EAC8">
      <w:pPr>
        <w:ind w:left="360"/>
        <w:jc w:val="center"/>
        <w:rPr>
          <w:rFonts w:eastAsia="Calibri"/>
          <w:sz w:val="20"/>
          <w:szCs w:val="20"/>
        </w:rPr>
      </w:pPr>
      <w:r w:rsidRPr="008C4EAD">
        <w:rPr>
          <w:rFonts w:eastAsia="Calibri"/>
          <w:sz w:val="20"/>
          <w:szCs w:val="20"/>
        </w:rPr>
        <w:t>Table</w:t>
      </w:r>
      <w:r w:rsidRPr="008C4EAD" w:rsidR="00E537D5">
        <w:rPr>
          <w:rFonts w:eastAsia="Calibri"/>
          <w:sz w:val="20"/>
          <w:szCs w:val="20"/>
        </w:rPr>
        <w:t xml:space="preserve"> 2. – Estimated Annual Cost Burden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5"/>
        <w:gridCol w:w="1890"/>
        <w:gridCol w:w="1890"/>
        <w:gridCol w:w="2659"/>
      </w:tblGrid>
      <w:tr w14:paraId="2F7CE151" w14:textId="77777777" w:rsidTr="00E537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055" w:type="dxa"/>
            <w:shd w:val="clear" w:color="auto" w:fill="auto"/>
          </w:tcPr>
          <w:p w:rsidR="005F7130" w:rsidRPr="0047419B" w:rsidP="00372FD1" w14:paraId="5D90BE57" w14:textId="77777777">
            <w:pPr>
              <w:jc w:val="center"/>
              <w:rPr>
                <w:sz w:val="20"/>
                <w:szCs w:val="20"/>
              </w:rPr>
            </w:pPr>
            <w:r w:rsidRPr="0047419B">
              <w:rPr>
                <w:sz w:val="20"/>
                <w:szCs w:val="20"/>
              </w:rPr>
              <w:t>Type of Respondent</w:t>
            </w:r>
          </w:p>
        </w:tc>
        <w:tc>
          <w:tcPr>
            <w:tcW w:w="1890" w:type="dxa"/>
            <w:shd w:val="clear" w:color="auto" w:fill="auto"/>
          </w:tcPr>
          <w:p w:rsidR="005F7130" w:rsidRPr="0047419B" w:rsidP="00372FD1" w14:paraId="14E2EBD8" w14:textId="77777777">
            <w:pPr>
              <w:jc w:val="center"/>
              <w:rPr>
                <w:sz w:val="20"/>
                <w:szCs w:val="20"/>
              </w:rPr>
            </w:pPr>
            <w:r w:rsidRPr="0047419B">
              <w:rPr>
                <w:sz w:val="20"/>
                <w:szCs w:val="20"/>
              </w:rPr>
              <w:t>Total Burden Hours</w:t>
            </w:r>
          </w:p>
        </w:tc>
        <w:tc>
          <w:tcPr>
            <w:tcW w:w="1890" w:type="dxa"/>
            <w:shd w:val="clear" w:color="auto" w:fill="auto"/>
          </w:tcPr>
          <w:p w:rsidR="005F7130" w:rsidRPr="0047419B" w:rsidP="00372FD1" w14:paraId="607E87F2" w14:textId="77777777">
            <w:pPr>
              <w:jc w:val="center"/>
              <w:rPr>
                <w:sz w:val="20"/>
                <w:szCs w:val="20"/>
              </w:rPr>
            </w:pPr>
            <w:r w:rsidRPr="0047419B">
              <w:rPr>
                <w:sz w:val="20"/>
                <w:szCs w:val="20"/>
              </w:rPr>
              <w:t>Hourly Wage Rate</w:t>
            </w:r>
          </w:p>
        </w:tc>
        <w:tc>
          <w:tcPr>
            <w:tcW w:w="2659" w:type="dxa"/>
            <w:shd w:val="clear" w:color="auto" w:fill="auto"/>
          </w:tcPr>
          <w:p w:rsidR="005F7130" w:rsidRPr="0047419B" w:rsidP="00372FD1" w14:paraId="71323DE1" w14:textId="120F9B20">
            <w:pPr>
              <w:jc w:val="center"/>
              <w:rPr>
                <w:sz w:val="20"/>
                <w:szCs w:val="20"/>
              </w:rPr>
            </w:pPr>
            <w:r w:rsidRPr="0047419B">
              <w:rPr>
                <w:sz w:val="20"/>
                <w:szCs w:val="20"/>
              </w:rPr>
              <w:t>Total Costs (rounded)</w:t>
            </w:r>
          </w:p>
        </w:tc>
      </w:tr>
      <w:tr w14:paraId="07F68A28" w14:textId="77777777" w:rsidTr="00E537D5">
        <w:tblPrEx>
          <w:tblW w:w="5000" w:type="pct"/>
          <w:jc w:val="center"/>
          <w:tblLook w:val="01E0"/>
        </w:tblPrEx>
        <w:trPr>
          <w:jc w:val="center"/>
        </w:trPr>
        <w:tc>
          <w:tcPr>
            <w:tcW w:w="3055" w:type="dxa"/>
            <w:shd w:val="clear" w:color="auto" w:fill="auto"/>
          </w:tcPr>
          <w:p w:rsidR="005F7130" w:rsidRPr="0047419B" w:rsidP="00C772C0" w14:paraId="64DCAE93" w14:textId="3B0A0B61">
            <w:pPr>
              <w:rPr>
                <w:sz w:val="20"/>
                <w:szCs w:val="20"/>
              </w:rPr>
            </w:pPr>
            <w:r w:rsidRPr="0047419B">
              <w:rPr>
                <w:sz w:val="20"/>
                <w:szCs w:val="20"/>
              </w:rPr>
              <w:t>Regulatory Affairs Professional</w:t>
            </w:r>
          </w:p>
        </w:tc>
        <w:tc>
          <w:tcPr>
            <w:tcW w:w="1890" w:type="dxa"/>
            <w:shd w:val="clear" w:color="auto" w:fill="auto"/>
          </w:tcPr>
          <w:p w:rsidR="005F7130" w:rsidRPr="0047419B" w:rsidP="007E6193" w14:paraId="0122288E" w14:textId="3C030DBD">
            <w:pPr>
              <w:jc w:val="right"/>
              <w:rPr>
                <w:sz w:val="20"/>
                <w:szCs w:val="20"/>
              </w:rPr>
            </w:pPr>
            <w:r>
              <w:rPr>
                <w:sz w:val="20"/>
                <w:szCs w:val="20"/>
              </w:rPr>
              <w:t>510</w:t>
            </w:r>
          </w:p>
        </w:tc>
        <w:tc>
          <w:tcPr>
            <w:tcW w:w="1890" w:type="dxa"/>
            <w:shd w:val="clear" w:color="auto" w:fill="auto"/>
          </w:tcPr>
          <w:p w:rsidR="005F7130" w:rsidRPr="0047419B" w:rsidP="007E6193" w14:paraId="167A7953" w14:textId="27B23024">
            <w:pPr>
              <w:jc w:val="right"/>
              <w:rPr>
                <w:sz w:val="20"/>
                <w:szCs w:val="20"/>
              </w:rPr>
            </w:pPr>
            <w:r>
              <w:rPr>
                <w:sz w:val="20"/>
                <w:szCs w:val="20"/>
              </w:rPr>
              <w:t>$1</w:t>
            </w:r>
            <w:r w:rsidR="002F4004">
              <w:rPr>
                <w:sz w:val="20"/>
                <w:szCs w:val="20"/>
              </w:rPr>
              <w:t>76</w:t>
            </w:r>
          </w:p>
        </w:tc>
        <w:tc>
          <w:tcPr>
            <w:tcW w:w="2659" w:type="dxa"/>
            <w:shd w:val="clear" w:color="auto" w:fill="auto"/>
          </w:tcPr>
          <w:p w:rsidR="005F7130" w:rsidRPr="0047419B" w:rsidP="007E6193" w14:paraId="738D1F4C" w14:textId="79ED8D7F">
            <w:pPr>
              <w:jc w:val="right"/>
              <w:rPr>
                <w:sz w:val="20"/>
                <w:szCs w:val="20"/>
              </w:rPr>
            </w:pPr>
            <w:r w:rsidRPr="0047419B">
              <w:rPr>
                <w:sz w:val="20"/>
                <w:szCs w:val="20"/>
              </w:rPr>
              <w:t>$</w:t>
            </w:r>
            <w:r w:rsidR="00F354BE">
              <w:rPr>
                <w:sz w:val="20"/>
                <w:szCs w:val="20"/>
              </w:rPr>
              <w:t>89</w:t>
            </w:r>
            <w:r w:rsidR="00646C15">
              <w:rPr>
                <w:sz w:val="20"/>
                <w:szCs w:val="20"/>
              </w:rPr>
              <w:t>,760</w:t>
            </w:r>
          </w:p>
        </w:tc>
      </w:tr>
      <w:tr w14:paraId="6DBE4EC6" w14:textId="77777777" w:rsidTr="00E537D5">
        <w:tblPrEx>
          <w:tblW w:w="5000" w:type="pct"/>
          <w:jc w:val="center"/>
          <w:tblLook w:val="01E0"/>
        </w:tblPrEx>
        <w:trPr>
          <w:jc w:val="center"/>
        </w:trPr>
        <w:tc>
          <w:tcPr>
            <w:tcW w:w="3055" w:type="dxa"/>
            <w:shd w:val="clear" w:color="auto" w:fill="auto"/>
          </w:tcPr>
          <w:p w:rsidR="005F7130" w:rsidRPr="0047419B" w:rsidP="00C772C0" w14:paraId="181ECCD1" w14:textId="77777777">
            <w:pPr>
              <w:rPr>
                <w:sz w:val="20"/>
                <w:szCs w:val="20"/>
              </w:rPr>
            </w:pPr>
            <w:r w:rsidRPr="0047419B">
              <w:rPr>
                <w:sz w:val="20"/>
                <w:szCs w:val="20"/>
              </w:rPr>
              <w:t>Executive Administrative Assistant</w:t>
            </w:r>
          </w:p>
        </w:tc>
        <w:tc>
          <w:tcPr>
            <w:tcW w:w="1890" w:type="dxa"/>
            <w:shd w:val="clear" w:color="auto" w:fill="auto"/>
          </w:tcPr>
          <w:p w:rsidR="005F7130" w:rsidRPr="0047419B" w:rsidP="007E6193" w14:paraId="70A42ED0" w14:textId="295A38B9">
            <w:pPr>
              <w:jc w:val="right"/>
              <w:rPr>
                <w:sz w:val="20"/>
                <w:szCs w:val="20"/>
              </w:rPr>
            </w:pPr>
            <w:r>
              <w:rPr>
                <w:sz w:val="20"/>
                <w:szCs w:val="20"/>
              </w:rPr>
              <w:t>90</w:t>
            </w:r>
          </w:p>
        </w:tc>
        <w:tc>
          <w:tcPr>
            <w:tcW w:w="1890" w:type="dxa"/>
            <w:shd w:val="clear" w:color="auto" w:fill="auto"/>
          </w:tcPr>
          <w:p w:rsidR="005F7130" w:rsidRPr="0047419B" w:rsidP="007E6193" w14:paraId="65A4C6F0" w14:textId="1B6972FC">
            <w:pPr>
              <w:jc w:val="right"/>
              <w:rPr>
                <w:sz w:val="20"/>
                <w:szCs w:val="20"/>
              </w:rPr>
            </w:pPr>
            <w:r>
              <w:rPr>
                <w:sz w:val="20"/>
                <w:szCs w:val="20"/>
              </w:rPr>
              <w:t>$74</w:t>
            </w:r>
          </w:p>
        </w:tc>
        <w:tc>
          <w:tcPr>
            <w:tcW w:w="2659" w:type="dxa"/>
            <w:shd w:val="clear" w:color="auto" w:fill="auto"/>
          </w:tcPr>
          <w:p w:rsidR="005F7130" w:rsidRPr="0047419B" w:rsidP="007E6193" w14:paraId="7D70DC3F" w14:textId="6818484E">
            <w:pPr>
              <w:jc w:val="right"/>
              <w:rPr>
                <w:sz w:val="20"/>
                <w:szCs w:val="20"/>
              </w:rPr>
            </w:pPr>
            <w:r w:rsidRPr="0047419B">
              <w:rPr>
                <w:sz w:val="20"/>
                <w:szCs w:val="20"/>
              </w:rPr>
              <w:t>$</w:t>
            </w:r>
            <w:r w:rsidR="00646C15">
              <w:rPr>
                <w:sz w:val="20"/>
                <w:szCs w:val="20"/>
              </w:rPr>
              <w:t>6,660</w:t>
            </w:r>
          </w:p>
        </w:tc>
      </w:tr>
      <w:tr w14:paraId="0BA70E32" w14:textId="77777777" w:rsidTr="00E537D5">
        <w:tblPrEx>
          <w:tblW w:w="5000" w:type="pct"/>
          <w:jc w:val="center"/>
          <w:tblLook w:val="01E0"/>
        </w:tblPrEx>
        <w:trPr>
          <w:jc w:val="center"/>
        </w:trPr>
        <w:tc>
          <w:tcPr>
            <w:tcW w:w="6835" w:type="dxa"/>
            <w:gridSpan w:val="3"/>
            <w:shd w:val="clear" w:color="auto" w:fill="auto"/>
          </w:tcPr>
          <w:p w:rsidR="005F7130" w:rsidRPr="0047419B" w:rsidP="00C772C0" w14:paraId="38E105BB" w14:textId="77777777">
            <w:pPr>
              <w:rPr>
                <w:sz w:val="20"/>
                <w:szCs w:val="20"/>
              </w:rPr>
            </w:pPr>
            <w:r w:rsidRPr="0047419B">
              <w:rPr>
                <w:sz w:val="20"/>
                <w:szCs w:val="20"/>
              </w:rPr>
              <w:t>Total</w:t>
            </w:r>
          </w:p>
        </w:tc>
        <w:tc>
          <w:tcPr>
            <w:tcW w:w="2659" w:type="dxa"/>
            <w:shd w:val="clear" w:color="auto" w:fill="auto"/>
          </w:tcPr>
          <w:p w:rsidR="005F7130" w:rsidRPr="0047419B" w:rsidP="007E6193" w14:paraId="2BA59DE4" w14:textId="5F44B0D0">
            <w:pPr>
              <w:jc w:val="right"/>
              <w:rPr>
                <w:sz w:val="20"/>
                <w:szCs w:val="20"/>
              </w:rPr>
            </w:pPr>
            <w:r w:rsidRPr="0047419B">
              <w:rPr>
                <w:sz w:val="20"/>
                <w:szCs w:val="20"/>
              </w:rPr>
              <w:t>$</w:t>
            </w:r>
            <w:r w:rsidR="00646C15">
              <w:rPr>
                <w:sz w:val="20"/>
                <w:szCs w:val="20"/>
              </w:rPr>
              <w:t>96</w:t>
            </w:r>
            <w:r w:rsidR="00F72CE5">
              <w:rPr>
                <w:sz w:val="20"/>
                <w:szCs w:val="20"/>
              </w:rPr>
              <w:t>,420</w:t>
            </w:r>
          </w:p>
        </w:tc>
      </w:tr>
    </w:tbl>
    <w:p w:rsidR="00A40275" w:rsidRPr="00357C8A" w:rsidP="00357C8A" w14:paraId="07DC9789" w14:textId="56CCD715">
      <w:pPr>
        <w:rPr>
          <w:rFonts w:eastAsia="Calibri"/>
        </w:rPr>
      </w:pPr>
    </w:p>
    <w:p w:rsidR="00357C8A" w:rsidRPr="00357C8A" w:rsidP="006705EA" w14:paraId="6205AA95" w14:textId="4A9911ED">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F07FB" w:rsidRPr="006F07FB" w:rsidP="0022425B" w14:paraId="0B5AB43D" w14:textId="4D616EEB">
      <w:pPr>
        <w:spacing w:after="200" w:line="276" w:lineRule="auto"/>
        <w:rPr>
          <w:rFonts w:eastAsia="Calibri"/>
          <w:u w:val="single"/>
        </w:rPr>
      </w:pPr>
      <w:r>
        <w:t>There are no capital, start-up, operating or maintenance costs associated with this information collection.</w:t>
      </w:r>
    </w:p>
    <w:p w:rsidR="00357C8A" w:rsidRPr="00357C8A" w:rsidP="006705EA"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2E382A" w:rsidP="002E382A" w14:paraId="255E992B" w14:textId="6EDB3927">
      <w:pPr>
        <w:pStyle w:val="BodyText2"/>
      </w:pPr>
      <w:r>
        <w:rPr>
          <w:rFonts w:eastAsia="Calibri"/>
        </w:rPr>
        <w:t xml:space="preserve">We </w:t>
      </w:r>
      <w:r w:rsidRPr="005E2A9C" w:rsidR="005E2A9C">
        <w:rPr>
          <w:rFonts w:eastAsia="Calibri"/>
        </w:rPr>
        <w:t xml:space="preserve">estimate </w:t>
      </w:r>
      <w:r>
        <w:rPr>
          <w:rFonts w:eastAsia="Calibri"/>
        </w:rPr>
        <w:t xml:space="preserve">a </w:t>
      </w:r>
      <w:r w:rsidRPr="005E2A9C" w:rsidR="005E2A9C">
        <w:rPr>
          <w:rFonts w:eastAsia="Calibri"/>
        </w:rPr>
        <w:t xml:space="preserve">0.5 full time equivalent (FTE) </w:t>
      </w:r>
      <w:r>
        <w:rPr>
          <w:rFonts w:eastAsia="Calibri"/>
        </w:rPr>
        <w:t xml:space="preserve">allocation for reviewing appeal requests in accordance with </w:t>
      </w:r>
      <w:r w:rsidR="00CD05AE">
        <w:rPr>
          <w:rFonts w:eastAsia="Calibri"/>
        </w:rPr>
        <w:t>section 517</w:t>
      </w:r>
      <w:r w:rsidR="0042519E">
        <w:rPr>
          <w:rFonts w:eastAsia="Calibri"/>
        </w:rPr>
        <w:t>A</w:t>
      </w:r>
      <w:r w:rsidR="00CD05AE">
        <w:rPr>
          <w:rFonts w:eastAsia="Calibri"/>
        </w:rPr>
        <w:t xml:space="preserve"> of the FD&amp;C Act</w:t>
      </w:r>
      <w:r w:rsidR="003B2E9F">
        <w:rPr>
          <w:rFonts w:eastAsia="Calibri"/>
        </w:rPr>
        <w:t xml:space="preserve"> and </w:t>
      </w:r>
      <w:r w:rsidR="00BF1C97">
        <w:rPr>
          <w:rFonts w:eastAsia="Calibri"/>
        </w:rPr>
        <w:t xml:space="preserve">as discussed </w:t>
      </w:r>
      <w:r w:rsidR="003B2E9F">
        <w:rPr>
          <w:rFonts w:eastAsia="Calibri"/>
        </w:rPr>
        <w:t xml:space="preserve">in the referenced guidance document.  </w:t>
      </w:r>
      <w:r w:rsidR="00E96840">
        <w:rPr>
          <w:rFonts w:eastAsia="Calibri"/>
        </w:rPr>
        <w:t>Using an internal cost model, we a</w:t>
      </w:r>
      <w:r w:rsidR="003B2E9F">
        <w:rPr>
          <w:rFonts w:eastAsia="Calibri"/>
        </w:rPr>
        <w:t>ssum</w:t>
      </w:r>
      <w:r w:rsidR="00E96840">
        <w:rPr>
          <w:rFonts w:eastAsia="Calibri"/>
        </w:rPr>
        <w:t>e</w:t>
      </w:r>
      <w:r w:rsidR="003B2E9F">
        <w:rPr>
          <w:rFonts w:eastAsia="Calibri"/>
        </w:rPr>
        <w:t xml:space="preserve"> an annual</w:t>
      </w:r>
      <w:r>
        <w:t xml:space="preserve"> </w:t>
      </w:r>
      <w:r w:rsidR="00231DF8">
        <w:t xml:space="preserve">rate </w:t>
      </w:r>
      <w:r>
        <w:t>of $</w:t>
      </w:r>
      <w:r w:rsidRPr="005D2835" w:rsidR="005D2835">
        <w:t>$362,271.92 </w:t>
      </w:r>
      <w:r w:rsidR="00BF1C97">
        <w:t xml:space="preserve">for a </w:t>
      </w:r>
      <w:r w:rsidR="00BF1C97">
        <w:t>ful</w:t>
      </w:r>
      <w:r w:rsidR="005C6716">
        <w:t>l</w:t>
      </w:r>
      <w:r w:rsidR="00BF36EA">
        <w:t>y-loaded</w:t>
      </w:r>
      <w:r w:rsidR="005C6716">
        <w:t xml:space="preserve"> FTE</w:t>
      </w:r>
      <w:r w:rsidR="00BF36EA">
        <w:t>,</w:t>
      </w:r>
      <w:r w:rsidR="00AD48DC">
        <w:t xml:space="preserve"> includ</w:t>
      </w:r>
      <w:r w:rsidR="00BF36EA">
        <w:t>ing</w:t>
      </w:r>
      <w:r w:rsidR="00AD48DC">
        <w:t xml:space="preserve"> benefits</w:t>
      </w:r>
      <w:r w:rsidR="00BF36EA">
        <w:t xml:space="preserve"> and overhead</w:t>
      </w:r>
      <w:r w:rsidR="005C6716">
        <w:t xml:space="preserve">, </w:t>
      </w:r>
      <w:r w:rsidR="00873F54">
        <w:t>we calculate</w:t>
      </w:r>
      <w:r>
        <w:t xml:space="preserve"> Federal cost</w:t>
      </w:r>
      <w:r w:rsidR="005578A9">
        <w:t>s to be</w:t>
      </w:r>
      <w:r>
        <w:t xml:space="preserve"> $</w:t>
      </w:r>
      <w:r w:rsidR="002505A8">
        <w:t>181,136</w:t>
      </w:r>
      <w:r w:rsidR="00204EDA">
        <w:t xml:space="preserve"> (rounded)</w:t>
      </w:r>
      <w:r>
        <w:t>.</w:t>
      </w:r>
    </w:p>
    <w:p w:rsidR="002E382A" w:rsidP="002E382A" w14:paraId="3926E029" w14:textId="77777777">
      <w:pPr>
        <w:pStyle w:val="BodyText2"/>
        <w:ind w:left="720"/>
      </w:pPr>
    </w:p>
    <w:p w:rsidR="00357C8A" w:rsidP="006705EA" w14:paraId="4C080B4D" w14:textId="46E89078">
      <w:pPr>
        <w:numPr>
          <w:ilvl w:val="0"/>
          <w:numId w:val="6"/>
        </w:numPr>
        <w:spacing w:after="200" w:line="276" w:lineRule="auto"/>
        <w:rPr>
          <w:rFonts w:eastAsia="Calibri"/>
          <w:u w:val="single"/>
        </w:rPr>
      </w:pPr>
      <w:r w:rsidRPr="00357C8A">
        <w:rPr>
          <w:rFonts w:eastAsia="Calibri"/>
          <w:u w:val="single"/>
        </w:rPr>
        <w:t>Explanation for Program Changes or Adjustments</w:t>
      </w:r>
    </w:p>
    <w:p w:rsidR="0043419D" w:rsidP="00357C8A" w14:paraId="30BDA274" w14:textId="10E2596C">
      <w:pPr>
        <w:spacing w:after="200"/>
        <w:rPr>
          <w:rStyle w:val="eop"/>
          <w:color w:val="000000"/>
          <w:shd w:val="clear" w:color="auto" w:fill="FFFFFF"/>
        </w:rPr>
      </w:pPr>
      <w:r>
        <w:rPr>
          <w:rStyle w:val="normaltextrun"/>
          <w:color w:val="000000"/>
          <w:shd w:val="clear" w:color="auto" w:fill="FFFFFF"/>
        </w:rPr>
        <w:t>Our estimated burden for the information collection reflects an overall increase of 320 hours and a corresponding increase of 40 responses.  We attribute this adjustment to an increase in the number of submissions we received over the last few years.</w:t>
      </w:r>
      <w:r>
        <w:rPr>
          <w:rStyle w:val="eop"/>
          <w:color w:val="000000"/>
          <w:shd w:val="clear" w:color="auto" w:fill="FFFFFF"/>
        </w:rPr>
        <w:t> </w:t>
      </w:r>
    </w:p>
    <w:p w:rsidR="00357C8A" w:rsidRPr="00357C8A" w:rsidP="006705EA"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086D08AD" w14:textId="6EB458F7">
      <w:pPr>
        <w:spacing w:after="200"/>
        <w:rPr>
          <w:rFonts w:eastAsia="Calibri"/>
          <w:color w:val="FF0000"/>
        </w:rPr>
      </w:pPr>
      <w:r w:rsidRPr="005C71CA">
        <w:rPr>
          <w:rFonts w:eastAsia="Calibri"/>
        </w:rPr>
        <w:t>This information collect</w:t>
      </w:r>
      <w:r w:rsidR="008728B8">
        <w:rPr>
          <w:rFonts w:eastAsia="Calibri"/>
        </w:rPr>
        <w:t>ion</w:t>
      </w:r>
      <w:r w:rsidRPr="005C71CA">
        <w:rPr>
          <w:rFonts w:eastAsia="Calibri"/>
        </w:rPr>
        <w:t xml:space="preserve"> will not be published or tabulated.</w:t>
      </w:r>
    </w:p>
    <w:p w:rsidR="00357C8A" w:rsidRPr="00357C8A" w:rsidP="006705EA" w14:paraId="2080EABB" w14:textId="77777777">
      <w:pPr>
        <w:numPr>
          <w:ilvl w:val="0"/>
          <w:numId w:val="6"/>
        </w:numPr>
        <w:spacing w:after="200" w:line="276" w:lineRule="auto"/>
        <w:rPr>
          <w:rFonts w:eastAsia="Calibri"/>
          <w:u w:val="single"/>
        </w:rPr>
      </w:pPr>
      <w:r w:rsidRPr="710AFAD5">
        <w:rPr>
          <w:rFonts w:eastAsia="Calibri"/>
          <w:u w:val="single"/>
        </w:rPr>
        <w:t>Reason(s) Display of OMB Expiration Date is Inappropriate</w:t>
      </w:r>
    </w:p>
    <w:p w:rsidR="4431ECE0" w:rsidP="710AFAD5" w14:paraId="073CA7E7" w14:textId="6914A3A3">
      <w:pPr>
        <w:spacing w:after="200"/>
      </w:pPr>
      <w:r w:rsidRPr="710AFAD5">
        <w:t xml:space="preserve">Consistent with established practice FDA will publish a </w:t>
      </w:r>
      <w:r w:rsidRPr="710AFAD5">
        <w:rPr>
          <w:i/>
          <w:iCs/>
        </w:rPr>
        <w:t>Federal Register</w:t>
      </w:r>
      <w:r w:rsidRPr="710AFAD5">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357C8A" w:rsidRPr="00357C8A" w:rsidP="006705E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0C363028" w14:textId="1393562A">
      <w:pPr>
        <w:spacing w:after="200"/>
        <w:rPr>
          <w:rFonts w:eastAsia="Calibri"/>
        </w:rPr>
      </w:pPr>
      <w:r w:rsidRPr="007E59A8">
        <w:rPr>
          <w:rFonts w:eastAsia="Calibri"/>
        </w:rPr>
        <w:t>There are no exceptions to the certification</w:t>
      </w:r>
      <w:r>
        <w:rPr>
          <w:rFonts w:eastAsia="Calibri"/>
        </w:rPr>
        <w:t>.</w:t>
      </w:r>
    </w:p>
    <w:sectPr w:rsidSect="00DC532A">
      <w:headerReference w:type="default" r:id="rId9"/>
      <w:footerReference w:type="even" r:id="rId10"/>
      <w:footerReference w:type="default" r:id="rId11"/>
      <w:headerReference w:type="first" r:id="rId12"/>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DB8" w:rsidP="003F3DF5" w14:paraId="09365797" w14:textId="77777777">
    <w:pPr>
      <w:pStyle w:val="Footer"/>
      <w:framePr w:wrap="around" w:vAnchor="text" w:hAnchor="margin" w:xAlign="center" w:y="1"/>
      <w:rPr>
        <w:rStyle w:val="PageNumber"/>
      </w:rPr>
    </w:pPr>
  </w:p>
  <w:p w:rsidR="00530DB8" w:rsidP="003F3DF5" w14:paraId="7AB385DF" w14:textId="77777777">
    <w:pPr>
      <w:pStyle w:val="Footer"/>
      <w:framePr w:wrap="around" w:vAnchor="text" w:hAnchor="margin" w:xAlign="center" w:y="1"/>
      <w:rPr>
        <w:rStyle w:val="PageNumber"/>
      </w:rPr>
    </w:pPr>
  </w:p>
  <w:p w:rsidR="00530DB8" w:rsidP="00530DB8" w14:paraId="42A3FC51" w14:textId="04CAFF5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D60" w:rsidP="755C8B3D" w14:paraId="3BA1102D" w14:textId="1078369E">
    <w:pPr>
      <w:pStyle w:val="Header"/>
    </w:pPr>
    <w:r>
      <w:tab/>
    </w:r>
  </w:p>
  <w:p w:rsidR="00B57D60" w:rsidP="755C8B3D" w14:paraId="05639B77" w14:textId="77777777">
    <w:pPr>
      <w:pStyle w:val="Header"/>
    </w:pPr>
  </w:p>
  <w:p w:rsidR="003C0FE2" w:rsidRPr="003C0FE2" w:rsidP="755C8B3D" w14:paraId="4D823F4D" w14:textId="2CF67141">
    <w:pPr>
      <w:pStyle w:val="Header"/>
      <w:rPr>
        <w:sz w:val="18"/>
        <w:szCs w:val="18"/>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5CA" w:rsidP="00530DB8" w14:paraId="3B1D1815" w14:textId="77777777">
    <w:pPr>
      <w:pStyle w:val="Header"/>
      <w:ind w:left="-720"/>
    </w:pPr>
  </w:p>
  <w:p w:rsidR="00530DB8" w:rsidP="00530DB8" w14:paraId="490EAE03"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17045110">
    <w:abstractNumId w:val="5"/>
  </w:num>
  <w:num w:numId="2" w16cid:durableId="1379084774">
    <w:abstractNumId w:val="1"/>
  </w:num>
  <w:num w:numId="3" w16cid:durableId="2080323266">
    <w:abstractNumId w:val="6"/>
  </w:num>
  <w:num w:numId="4" w16cid:durableId="393161084">
    <w:abstractNumId w:val="3"/>
  </w:num>
  <w:num w:numId="5" w16cid:durableId="1516387647">
    <w:abstractNumId w:val="7"/>
  </w:num>
  <w:num w:numId="6" w16cid:durableId="586425530">
    <w:abstractNumId w:val="0"/>
  </w:num>
  <w:num w:numId="7" w16cid:durableId="1361666832">
    <w:abstractNumId w:val="2"/>
  </w:num>
  <w:num w:numId="8" w16cid:durableId="11092735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229"/>
    <w:rsid w:val="00006484"/>
    <w:rsid w:val="000108A0"/>
    <w:rsid w:val="00010A33"/>
    <w:rsid w:val="00011813"/>
    <w:rsid w:val="0001495B"/>
    <w:rsid w:val="00021AAD"/>
    <w:rsid w:val="00031A2C"/>
    <w:rsid w:val="00042B93"/>
    <w:rsid w:val="00043C7F"/>
    <w:rsid w:val="0004575B"/>
    <w:rsid w:val="000467A8"/>
    <w:rsid w:val="000638C8"/>
    <w:rsid w:val="0006570F"/>
    <w:rsid w:val="00075DE8"/>
    <w:rsid w:val="00076792"/>
    <w:rsid w:val="00087439"/>
    <w:rsid w:val="0008755C"/>
    <w:rsid w:val="00090454"/>
    <w:rsid w:val="000937F2"/>
    <w:rsid w:val="000A2644"/>
    <w:rsid w:val="000A28BE"/>
    <w:rsid w:val="000B417C"/>
    <w:rsid w:val="000B6617"/>
    <w:rsid w:val="000B7CF5"/>
    <w:rsid w:val="000C1260"/>
    <w:rsid w:val="000C2542"/>
    <w:rsid w:val="000C33D7"/>
    <w:rsid w:val="000C560C"/>
    <w:rsid w:val="000C5E7E"/>
    <w:rsid w:val="000D080B"/>
    <w:rsid w:val="000D2595"/>
    <w:rsid w:val="000D48FD"/>
    <w:rsid w:val="000D79CC"/>
    <w:rsid w:val="000E1C64"/>
    <w:rsid w:val="000E4DFE"/>
    <w:rsid w:val="000E5A3B"/>
    <w:rsid w:val="000F1090"/>
    <w:rsid w:val="000F5584"/>
    <w:rsid w:val="000F7119"/>
    <w:rsid w:val="00100739"/>
    <w:rsid w:val="0010493E"/>
    <w:rsid w:val="0010706D"/>
    <w:rsid w:val="001075D3"/>
    <w:rsid w:val="00107885"/>
    <w:rsid w:val="00111B14"/>
    <w:rsid w:val="00114FC4"/>
    <w:rsid w:val="001213AA"/>
    <w:rsid w:val="00121DF4"/>
    <w:rsid w:val="0012329C"/>
    <w:rsid w:val="0013229B"/>
    <w:rsid w:val="00134FA7"/>
    <w:rsid w:val="00137950"/>
    <w:rsid w:val="00142614"/>
    <w:rsid w:val="00152F29"/>
    <w:rsid w:val="00173ACD"/>
    <w:rsid w:val="00174D54"/>
    <w:rsid w:val="00176590"/>
    <w:rsid w:val="0017702C"/>
    <w:rsid w:val="00185270"/>
    <w:rsid w:val="00197A2B"/>
    <w:rsid w:val="001A30FA"/>
    <w:rsid w:val="001A3B5A"/>
    <w:rsid w:val="001B7CE9"/>
    <w:rsid w:val="001C5998"/>
    <w:rsid w:val="001D495A"/>
    <w:rsid w:val="001E2419"/>
    <w:rsid w:val="001E244C"/>
    <w:rsid w:val="001E423D"/>
    <w:rsid w:val="001F1437"/>
    <w:rsid w:val="001F22E4"/>
    <w:rsid w:val="001F3DCF"/>
    <w:rsid w:val="002008CA"/>
    <w:rsid w:val="00204EDA"/>
    <w:rsid w:val="00206799"/>
    <w:rsid w:val="002074FE"/>
    <w:rsid w:val="00214577"/>
    <w:rsid w:val="0022425B"/>
    <w:rsid w:val="002246B3"/>
    <w:rsid w:val="002259EF"/>
    <w:rsid w:val="00231C3F"/>
    <w:rsid w:val="00231DF8"/>
    <w:rsid w:val="00242ED1"/>
    <w:rsid w:val="002444BB"/>
    <w:rsid w:val="00247D4B"/>
    <w:rsid w:val="002505A8"/>
    <w:rsid w:val="00254069"/>
    <w:rsid w:val="002622C2"/>
    <w:rsid w:val="002666C3"/>
    <w:rsid w:val="00270748"/>
    <w:rsid w:val="00271404"/>
    <w:rsid w:val="002734E5"/>
    <w:rsid w:val="002746DB"/>
    <w:rsid w:val="00280CAF"/>
    <w:rsid w:val="00282F09"/>
    <w:rsid w:val="002858BB"/>
    <w:rsid w:val="00291810"/>
    <w:rsid w:val="00294699"/>
    <w:rsid w:val="00294D62"/>
    <w:rsid w:val="00297532"/>
    <w:rsid w:val="00297FFD"/>
    <w:rsid w:val="002A1210"/>
    <w:rsid w:val="002A47D2"/>
    <w:rsid w:val="002A7FB5"/>
    <w:rsid w:val="002B2074"/>
    <w:rsid w:val="002C377E"/>
    <w:rsid w:val="002C41F9"/>
    <w:rsid w:val="002D14D8"/>
    <w:rsid w:val="002D4799"/>
    <w:rsid w:val="002E2765"/>
    <w:rsid w:val="002E382A"/>
    <w:rsid w:val="002E3FA4"/>
    <w:rsid w:val="002E53A5"/>
    <w:rsid w:val="002E64B8"/>
    <w:rsid w:val="002E6834"/>
    <w:rsid w:val="002F4004"/>
    <w:rsid w:val="003113FF"/>
    <w:rsid w:val="00312622"/>
    <w:rsid w:val="0032277F"/>
    <w:rsid w:val="00323D0F"/>
    <w:rsid w:val="003319DD"/>
    <w:rsid w:val="00336B69"/>
    <w:rsid w:val="00342407"/>
    <w:rsid w:val="0034302B"/>
    <w:rsid w:val="00350523"/>
    <w:rsid w:val="0035189D"/>
    <w:rsid w:val="00355B62"/>
    <w:rsid w:val="00357C8A"/>
    <w:rsid w:val="00361180"/>
    <w:rsid w:val="00363ABB"/>
    <w:rsid w:val="00367688"/>
    <w:rsid w:val="00372FD1"/>
    <w:rsid w:val="003740BC"/>
    <w:rsid w:val="0037456B"/>
    <w:rsid w:val="003801A3"/>
    <w:rsid w:val="00383D90"/>
    <w:rsid w:val="003870AE"/>
    <w:rsid w:val="003916C7"/>
    <w:rsid w:val="003A0A45"/>
    <w:rsid w:val="003A1A27"/>
    <w:rsid w:val="003A50CC"/>
    <w:rsid w:val="003A75FE"/>
    <w:rsid w:val="003B0610"/>
    <w:rsid w:val="003B2E9F"/>
    <w:rsid w:val="003B42B3"/>
    <w:rsid w:val="003B6384"/>
    <w:rsid w:val="003C0FE2"/>
    <w:rsid w:val="003C1BDB"/>
    <w:rsid w:val="003C2CA1"/>
    <w:rsid w:val="003C4EBB"/>
    <w:rsid w:val="003C74B5"/>
    <w:rsid w:val="003D1531"/>
    <w:rsid w:val="003E4EC6"/>
    <w:rsid w:val="003E527E"/>
    <w:rsid w:val="003E553E"/>
    <w:rsid w:val="003E7078"/>
    <w:rsid w:val="003F037E"/>
    <w:rsid w:val="003F056D"/>
    <w:rsid w:val="003F3DF5"/>
    <w:rsid w:val="003F73B8"/>
    <w:rsid w:val="00401505"/>
    <w:rsid w:val="0040297E"/>
    <w:rsid w:val="00411D11"/>
    <w:rsid w:val="0041439E"/>
    <w:rsid w:val="00414494"/>
    <w:rsid w:val="004144E3"/>
    <w:rsid w:val="004153ED"/>
    <w:rsid w:val="00415E23"/>
    <w:rsid w:val="004162F2"/>
    <w:rsid w:val="0041670D"/>
    <w:rsid w:val="00423272"/>
    <w:rsid w:val="00424061"/>
    <w:rsid w:val="0042519E"/>
    <w:rsid w:val="0043419D"/>
    <w:rsid w:val="004344B2"/>
    <w:rsid w:val="00442A3C"/>
    <w:rsid w:val="00443969"/>
    <w:rsid w:val="00445A20"/>
    <w:rsid w:val="00447D74"/>
    <w:rsid w:val="00450A74"/>
    <w:rsid w:val="004546BF"/>
    <w:rsid w:val="00465350"/>
    <w:rsid w:val="0047419B"/>
    <w:rsid w:val="004763BA"/>
    <w:rsid w:val="00476B91"/>
    <w:rsid w:val="004846BF"/>
    <w:rsid w:val="00484CE0"/>
    <w:rsid w:val="004917AB"/>
    <w:rsid w:val="00494912"/>
    <w:rsid w:val="004A5323"/>
    <w:rsid w:val="004A5A99"/>
    <w:rsid w:val="004A7E81"/>
    <w:rsid w:val="004B2724"/>
    <w:rsid w:val="004C1756"/>
    <w:rsid w:val="004C2787"/>
    <w:rsid w:val="004C6979"/>
    <w:rsid w:val="004D13A2"/>
    <w:rsid w:val="004D1CD1"/>
    <w:rsid w:val="004D3A53"/>
    <w:rsid w:val="004D3E7A"/>
    <w:rsid w:val="004E292C"/>
    <w:rsid w:val="004F44D5"/>
    <w:rsid w:val="004F594B"/>
    <w:rsid w:val="004F5994"/>
    <w:rsid w:val="004F61E1"/>
    <w:rsid w:val="00504FA4"/>
    <w:rsid w:val="00506481"/>
    <w:rsid w:val="00511C77"/>
    <w:rsid w:val="0051716A"/>
    <w:rsid w:val="00517A29"/>
    <w:rsid w:val="00530DB8"/>
    <w:rsid w:val="00530E96"/>
    <w:rsid w:val="0053380B"/>
    <w:rsid w:val="00543194"/>
    <w:rsid w:val="00544138"/>
    <w:rsid w:val="00552EB2"/>
    <w:rsid w:val="00554E34"/>
    <w:rsid w:val="005578A9"/>
    <w:rsid w:val="0056217E"/>
    <w:rsid w:val="005634B4"/>
    <w:rsid w:val="00563AD2"/>
    <w:rsid w:val="00570717"/>
    <w:rsid w:val="005732A5"/>
    <w:rsid w:val="00576392"/>
    <w:rsid w:val="00584583"/>
    <w:rsid w:val="0059062C"/>
    <w:rsid w:val="00590E90"/>
    <w:rsid w:val="00590EEB"/>
    <w:rsid w:val="005A4099"/>
    <w:rsid w:val="005B01FD"/>
    <w:rsid w:val="005C38B2"/>
    <w:rsid w:val="005C5029"/>
    <w:rsid w:val="005C55C2"/>
    <w:rsid w:val="005C6716"/>
    <w:rsid w:val="005C71CA"/>
    <w:rsid w:val="005C745C"/>
    <w:rsid w:val="005C74F7"/>
    <w:rsid w:val="005D2835"/>
    <w:rsid w:val="005D35BE"/>
    <w:rsid w:val="005D39FC"/>
    <w:rsid w:val="005D4DF5"/>
    <w:rsid w:val="005E2A9C"/>
    <w:rsid w:val="005E42BA"/>
    <w:rsid w:val="005F1736"/>
    <w:rsid w:val="005F7130"/>
    <w:rsid w:val="00600E10"/>
    <w:rsid w:val="006015B9"/>
    <w:rsid w:val="00611D6B"/>
    <w:rsid w:val="0062296A"/>
    <w:rsid w:val="00625CFD"/>
    <w:rsid w:val="006326EC"/>
    <w:rsid w:val="00642772"/>
    <w:rsid w:val="006441EC"/>
    <w:rsid w:val="00646421"/>
    <w:rsid w:val="00646C15"/>
    <w:rsid w:val="00663A42"/>
    <w:rsid w:val="006641C7"/>
    <w:rsid w:val="0066533D"/>
    <w:rsid w:val="006667F2"/>
    <w:rsid w:val="006705EA"/>
    <w:rsid w:val="00670BE2"/>
    <w:rsid w:val="00673302"/>
    <w:rsid w:val="00674AE4"/>
    <w:rsid w:val="00676E46"/>
    <w:rsid w:val="00681694"/>
    <w:rsid w:val="006913F4"/>
    <w:rsid w:val="006916D9"/>
    <w:rsid w:val="006963E2"/>
    <w:rsid w:val="0069680B"/>
    <w:rsid w:val="006A0E05"/>
    <w:rsid w:val="006A26C6"/>
    <w:rsid w:val="006A465A"/>
    <w:rsid w:val="006A7D5D"/>
    <w:rsid w:val="006B3F19"/>
    <w:rsid w:val="006B72E3"/>
    <w:rsid w:val="006D0C12"/>
    <w:rsid w:val="006D125F"/>
    <w:rsid w:val="006D2B3B"/>
    <w:rsid w:val="006D5D57"/>
    <w:rsid w:val="006D5DEF"/>
    <w:rsid w:val="006E2538"/>
    <w:rsid w:val="006E302F"/>
    <w:rsid w:val="006F07FB"/>
    <w:rsid w:val="006F08EA"/>
    <w:rsid w:val="006F4D6D"/>
    <w:rsid w:val="006F6886"/>
    <w:rsid w:val="00701846"/>
    <w:rsid w:val="00705086"/>
    <w:rsid w:val="00722001"/>
    <w:rsid w:val="00726932"/>
    <w:rsid w:val="00750521"/>
    <w:rsid w:val="00751E66"/>
    <w:rsid w:val="00754497"/>
    <w:rsid w:val="00775CAE"/>
    <w:rsid w:val="00787C39"/>
    <w:rsid w:val="007925B3"/>
    <w:rsid w:val="00792947"/>
    <w:rsid w:val="00795DF3"/>
    <w:rsid w:val="00795F9D"/>
    <w:rsid w:val="007A022F"/>
    <w:rsid w:val="007A373C"/>
    <w:rsid w:val="007B225C"/>
    <w:rsid w:val="007B580F"/>
    <w:rsid w:val="007C75B1"/>
    <w:rsid w:val="007D3DFC"/>
    <w:rsid w:val="007E17AE"/>
    <w:rsid w:val="007E2F07"/>
    <w:rsid w:val="007E463D"/>
    <w:rsid w:val="007E59A8"/>
    <w:rsid w:val="007E6193"/>
    <w:rsid w:val="00805804"/>
    <w:rsid w:val="0080776D"/>
    <w:rsid w:val="00810145"/>
    <w:rsid w:val="0081050D"/>
    <w:rsid w:val="008108FA"/>
    <w:rsid w:val="00810FF1"/>
    <w:rsid w:val="00812250"/>
    <w:rsid w:val="00814055"/>
    <w:rsid w:val="0081494A"/>
    <w:rsid w:val="00816272"/>
    <w:rsid w:val="00822010"/>
    <w:rsid w:val="00822336"/>
    <w:rsid w:val="00823DFA"/>
    <w:rsid w:val="00842DB7"/>
    <w:rsid w:val="00843752"/>
    <w:rsid w:val="0084479F"/>
    <w:rsid w:val="008479B4"/>
    <w:rsid w:val="0085725E"/>
    <w:rsid w:val="00865053"/>
    <w:rsid w:val="00867C77"/>
    <w:rsid w:val="008717D8"/>
    <w:rsid w:val="008728B8"/>
    <w:rsid w:val="00873D4F"/>
    <w:rsid w:val="00873F54"/>
    <w:rsid w:val="0087509F"/>
    <w:rsid w:val="00875A94"/>
    <w:rsid w:val="00883732"/>
    <w:rsid w:val="008839DE"/>
    <w:rsid w:val="00885B09"/>
    <w:rsid w:val="00892400"/>
    <w:rsid w:val="00897B61"/>
    <w:rsid w:val="008A1D5E"/>
    <w:rsid w:val="008A209D"/>
    <w:rsid w:val="008A22BB"/>
    <w:rsid w:val="008A7DC3"/>
    <w:rsid w:val="008B035D"/>
    <w:rsid w:val="008B0E29"/>
    <w:rsid w:val="008B0EFA"/>
    <w:rsid w:val="008B1DA6"/>
    <w:rsid w:val="008B30AB"/>
    <w:rsid w:val="008C3BB8"/>
    <w:rsid w:val="008C4B65"/>
    <w:rsid w:val="008C4EAD"/>
    <w:rsid w:val="008D4D3D"/>
    <w:rsid w:val="008E5F55"/>
    <w:rsid w:val="008F05ED"/>
    <w:rsid w:val="008F24D5"/>
    <w:rsid w:val="009009E7"/>
    <w:rsid w:val="0090585D"/>
    <w:rsid w:val="00905DEF"/>
    <w:rsid w:val="00906056"/>
    <w:rsid w:val="00911811"/>
    <w:rsid w:val="009122AE"/>
    <w:rsid w:val="00913B43"/>
    <w:rsid w:val="009206F5"/>
    <w:rsid w:val="00930203"/>
    <w:rsid w:val="009306F3"/>
    <w:rsid w:val="009311D2"/>
    <w:rsid w:val="009311E6"/>
    <w:rsid w:val="00931275"/>
    <w:rsid w:val="00935B76"/>
    <w:rsid w:val="00936AC7"/>
    <w:rsid w:val="009373BE"/>
    <w:rsid w:val="00953B64"/>
    <w:rsid w:val="00954E29"/>
    <w:rsid w:val="009646A7"/>
    <w:rsid w:val="00967D42"/>
    <w:rsid w:val="00970A88"/>
    <w:rsid w:val="009818A1"/>
    <w:rsid w:val="00985B5F"/>
    <w:rsid w:val="009A1674"/>
    <w:rsid w:val="009B38BE"/>
    <w:rsid w:val="009B4DF2"/>
    <w:rsid w:val="009C43B2"/>
    <w:rsid w:val="009C684F"/>
    <w:rsid w:val="009D074C"/>
    <w:rsid w:val="009D6E73"/>
    <w:rsid w:val="009E7158"/>
    <w:rsid w:val="009F166B"/>
    <w:rsid w:val="009F1F1D"/>
    <w:rsid w:val="009F2B4F"/>
    <w:rsid w:val="009F3C63"/>
    <w:rsid w:val="009F66B5"/>
    <w:rsid w:val="009F6B22"/>
    <w:rsid w:val="00A02F10"/>
    <w:rsid w:val="00A1060C"/>
    <w:rsid w:val="00A1222B"/>
    <w:rsid w:val="00A16221"/>
    <w:rsid w:val="00A20A7D"/>
    <w:rsid w:val="00A30D46"/>
    <w:rsid w:val="00A35D42"/>
    <w:rsid w:val="00A37B2C"/>
    <w:rsid w:val="00A40275"/>
    <w:rsid w:val="00A460F9"/>
    <w:rsid w:val="00A46CCF"/>
    <w:rsid w:val="00A506DE"/>
    <w:rsid w:val="00A53451"/>
    <w:rsid w:val="00A60A78"/>
    <w:rsid w:val="00A60CDE"/>
    <w:rsid w:val="00A67214"/>
    <w:rsid w:val="00A70426"/>
    <w:rsid w:val="00A707CC"/>
    <w:rsid w:val="00A71410"/>
    <w:rsid w:val="00A85F13"/>
    <w:rsid w:val="00A86E8D"/>
    <w:rsid w:val="00A91E9A"/>
    <w:rsid w:val="00A93ED9"/>
    <w:rsid w:val="00A96221"/>
    <w:rsid w:val="00A97757"/>
    <w:rsid w:val="00AA3157"/>
    <w:rsid w:val="00AA5F14"/>
    <w:rsid w:val="00AA7E26"/>
    <w:rsid w:val="00AB5C21"/>
    <w:rsid w:val="00AC2DBB"/>
    <w:rsid w:val="00AC6A99"/>
    <w:rsid w:val="00AD15D9"/>
    <w:rsid w:val="00AD48DC"/>
    <w:rsid w:val="00AD6048"/>
    <w:rsid w:val="00AE77FE"/>
    <w:rsid w:val="00B04B46"/>
    <w:rsid w:val="00B055EF"/>
    <w:rsid w:val="00B06B5B"/>
    <w:rsid w:val="00B077F6"/>
    <w:rsid w:val="00B10DFD"/>
    <w:rsid w:val="00B23769"/>
    <w:rsid w:val="00B2777E"/>
    <w:rsid w:val="00B31003"/>
    <w:rsid w:val="00B32979"/>
    <w:rsid w:val="00B36976"/>
    <w:rsid w:val="00B36B85"/>
    <w:rsid w:val="00B41789"/>
    <w:rsid w:val="00B43A70"/>
    <w:rsid w:val="00B47E7F"/>
    <w:rsid w:val="00B523EA"/>
    <w:rsid w:val="00B57D60"/>
    <w:rsid w:val="00B64DF2"/>
    <w:rsid w:val="00B66114"/>
    <w:rsid w:val="00B7640D"/>
    <w:rsid w:val="00B81808"/>
    <w:rsid w:val="00B86DFA"/>
    <w:rsid w:val="00B936D0"/>
    <w:rsid w:val="00B946DA"/>
    <w:rsid w:val="00BA1E5A"/>
    <w:rsid w:val="00BA32A6"/>
    <w:rsid w:val="00BB15FB"/>
    <w:rsid w:val="00BD3895"/>
    <w:rsid w:val="00BD3D5B"/>
    <w:rsid w:val="00BD70CC"/>
    <w:rsid w:val="00BE3600"/>
    <w:rsid w:val="00BF1C97"/>
    <w:rsid w:val="00BF36EA"/>
    <w:rsid w:val="00C01F6F"/>
    <w:rsid w:val="00C041EA"/>
    <w:rsid w:val="00C10518"/>
    <w:rsid w:val="00C13055"/>
    <w:rsid w:val="00C13BBD"/>
    <w:rsid w:val="00C149AB"/>
    <w:rsid w:val="00C16929"/>
    <w:rsid w:val="00C20690"/>
    <w:rsid w:val="00C26A76"/>
    <w:rsid w:val="00C3049B"/>
    <w:rsid w:val="00C30BAB"/>
    <w:rsid w:val="00C35638"/>
    <w:rsid w:val="00C36020"/>
    <w:rsid w:val="00C40694"/>
    <w:rsid w:val="00C41088"/>
    <w:rsid w:val="00C45DB2"/>
    <w:rsid w:val="00C479BF"/>
    <w:rsid w:val="00C5124B"/>
    <w:rsid w:val="00C635FF"/>
    <w:rsid w:val="00C70542"/>
    <w:rsid w:val="00C71517"/>
    <w:rsid w:val="00C75CBF"/>
    <w:rsid w:val="00C772C0"/>
    <w:rsid w:val="00C93337"/>
    <w:rsid w:val="00C96DF4"/>
    <w:rsid w:val="00CA7FCD"/>
    <w:rsid w:val="00CC2894"/>
    <w:rsid w:val="00CC4DEB"/>
    <w:rsid w:val="00CD05AE"/>
    <w:rsid w:val="00CD77C3"/>
    <w:rsid w:val="00CE112C"/>
    <w:rsid w:val="00CF55D4"/>
    <w:rsid w:val="00D0371A"/>
    <w:rsid w:val="00D1339E"/>
    <w:rsid w:val="00D15F6C"/>
    <w:rsid w:val="00D161D2"/>
    <w:rsid w:val="00D220B0"/>
    <w:rsid w:val="00D30D58"/>
    <w:rsid w:val="00D4606F"/>
    <w:rsid w:val="00D47630"/>
    <w:rsid w:val="00D508B1"/>
    <w:rsid w:val="00D608DA"/>
    <w:rsid w:val="00D62012"/>
    <w:rsid w:val="00D725CA"/>
    <w:rsid w:val="00D730BF"/>
    <w:rsid w:val="00D7645F"/>
    <w:rsid w:val="00D80271"/>
    <w:rsid w:val="00D852F4"/>
    <w:rsid w:val="00D86B45"/>
    <w:rsid w:val="00D91B8D"/>
    <w:rsid w:val="00D92D83"/>
    <w:rsid w:val="00D92FB9"/>
    <w:rsid w:val="00DA1EF2"/>
    <w:rsid w:val="00DA2C95"/>
    <w:rsid w:val="00DB1110"/>
    <w:rsid w:val="00DB3432"/>
    <w:rsid w:val="00DB3730"/>
    <w:rsid w:val="00DB7E4C"/>
    <w:rsid w:val="00DC371B"/>
    <w:rsid w:val="00DC3788"/>
    <w:rsid w:val="00DC4629"/>
    <w:rsid w:val="00DC532A"/>
    <w:rsid w:val="00DC76C7"/>
    <w:rsid w:val="00DD0146"/>
    <w:rsid w:val="00DD09F5"/>
    <w:rsid w:val="00DD0E02"/>
    <w:rsid w:val="00DD4201"/>
    <w:rsid w:val="00DD5E9F"/>
    <w:rsid w:val="00DE5711"/>
    <w:rsid w:val="00E00058"/>
    <w:rsid w:val="00E00EA0"/>
    <w:rsid w:val="00E021CB"/>
    <w:rsid w:val="00E03F04"/>
    <w:rsid w:val="00E138F1"/>
    <w:rsid w:val="00E2309D"/>
    <w:rsid w:val="00E2527C"/>
    <w:rsid w:val="00E25D4E"/>
    <w:rsid w:val="00E266C5"/>
    <w:rsid w:val="00E26758"/>
    <w:rsid w:val="00E278A4"/>
    <w:rsid w:val="00E4357B"/>
    <w:rsid w:val="00E443A7"/>
    <w:rsid w:val="00E45904"/>
    <w:rsid w:val="00E537D5"/>
    <w:rsid w:val="00E63DE5"/>
    <w:rsid w:val="00E647AF"/>
    <w:rsid w:val="00E647C7"/>
    <w:rsid w:val="00E65A37"/>
    <w:rsid w:val="00E65EF7"/>
    <w:rsid w:val="00E66386"/>
    <w:rsid w:val="00E667B5"/>
    <w:rsid w:val="00E72089"/>
    <w:rsid w:val="00E77B48"/>
    <w:rsid w:val="00E84D7E"/>
    <w:rsid w:val="00E85398"/>
    <w:rsid w:val="00E857FB"/>
    <w:rsid w:val="00E91799"/>
    <w:rsid w:val="00E96840"/>
    <w:rsid w:val="00E97DF8"/>
    <w:rsid w:val="00EA0135"/>
    <w:rsid w:val="00EA21FE"/>
    <w:rsid w:val="00EA34E3"/>
    <w:rsid w:val="00EB1EC9"/>
    <w:rsid w:val="00EB7010"/>
    <w:rsid w:val="00EB7538"/>
    <w:rsid w:val="00EC1868"/>
    <w:rsid w:val="00EC57F3"/>
    <w:rsid w:val="00ED0E01"/>
    <w:rsid w:val="00EE6468"/>
    <w:rsid w:val="00EF243D"/>
    <w:rsid w:val="00F04233"/>
    <w:rsid w:val="00F1299B"/>
    <w:rsid w:val="00F13074"/>
    <w:rsid w:val="00F179FA"/>
    <w:rsid w:val="00F207A4"/>
    <w:rsid w:val="00F25173"/>
    <w:rsid w:val="00F256FD"/>
    <w:rsid w:val="00F334BF"/>
    <w:rsid w:val="00F354BE"/>
    <w:rsid w:val="00F355AC"/>
    <w:rsid w:val="00F40CF7"/>
    <w:rsid w:val="00F44194"/>
    <w:rsid w:val="00F53DF3"/>
    <w:rsid w:val="00F57156"/>
    <w:rsid w:val="00F63A66"/>
    <w:rsid w:val="00F66A82"/>
    <w:rsid w:val="00F71A5A"/>
    <w:rsid w:val="00F720D6"/>
    <w:rsid w:val="00F72CE5"/>
    <w:rsid w:val="00F73A1A"/>
    <w:rsid w:val="00F769E0"/>
    <w:rsid w:val="00F87774"/>
    <w:rsid w:val="00FA4A46"/>
    <w:rsid w:val="00FA75FE"/>
    <w:rsid w:val="00FB000F"/>
    <w:rsid w:val="00FB1032"/>
    <w:rsid w:val="00FB37AB"/>
    <w:rsid w:val="00FB39BC"/>
    <w:rsid w:val="00FB3B37"/>
    <w:rsid w:val="00FB6A53"/>
    <w:rsid w:val="00FC11CA"/>
    <w:rsid w:val="00FC53C5"/>
    <w:rsid w:val="00FC6BDE"/>
    <w:rsid w:val="00FD2CA3"/>
    <w:rsid w:val="00FD7CEC"/>
    <w:rsid w:val="00FE0DA1"/>
    <w:rsid w:val="00FE4DFA"/>
    <w:rsid w:val="00FF0A0A"/>
    <w:rsid w:val="00FF50F7"/>
    <w:rsid w:val="00FF6138"/>
    <w:rsid w:val="03BC4E10"/>
    <w:rsid w:val="073A35B4"/>
    <w:rsid w:val="086D0965"/>
    <w:rsid w:val="140345EC"/>
    <w:rsid w:val="17D1FF44"/>
    <w:rsid w:val="186A04D2"/>
    <w:rsid w:val="1BC33D9A"/>
    <w:rsid w:val="3C5E9484"/>
    <w:rsid w:val="4431ECE0"/>
    <w:rsid w:val="45C7792F"/>
    <w:rsid w:val="498EF84C"/>
    <w:rsid w:val="4D014090"/>
    <w:rsid w:val="69EDCD08"/>
    <w:rsid w:val="710AFAD5"/>
    <w:rsid w:val="74745A73"/>
    <w:rsid w:val="755C8B3D"/>
    <w:rsid w:val="77C14E47"/>
    <w:rsid w:val="7952C2E7"/>
    <w:rsid w:val="7C3022A6"/>
    <w:rsid w:val="7C8A63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CC4DEB"/>
    <w:rPr>
      <w:sz w:val="16"/>
      <w:szCs w:val="16"/>
    </w:rPr>
  </w:style>
  <w:style w:type="paragraph" w:styleId="CommentText">
    <w:name w:val="annotation text"/>
    <w:basedOn w:val="Normal"/>
    <w:link w:val="CommentTextChar"/>
    <w:rsid w:val="00CC4DEB"/>
    <w:rPr>
      <w:sz w:val="20"/>
      <w:szCs w:val="20"/>
    </w:rPr>
  </w:style>
  <w:style w:type="character" w:customStyle="1" w:styleId="CommentTextChar">
    <w:name w:val="Comment Text Char"/>
    <w:basedOn w:val="DefaultParagraphFont"/>
    <w:link w:val="CommentText"/>
    <w:rsid w:val="00CC4DEB"/>
    <w:rPr>
      <w:lang w:eastAsia="en-US"/>
    </w:rPr>
  </w:style>
  <w:style w:type="paragraph" w:styleId="CommentSubject">
    <w:name w:val="annotation subject"/>
    <w:basedOn w:val="CommentText"/>
    <w:next w:val="CommentText"/>
    <w:link w:val="CommentSubjectChar"/>
    <w:rsid w:val="00CC4DEB"/>
    <w:rPr>
      <w:b/>
      <w:bCs/>
    </w:rPr>
  </w:style>
  <w:style w:type="character" w:customStyle="1" w:styleId="CommentSubjectChar">
    <w:name w:val="Comment Subject Char"/>
    <w:basedOn w:val="CommentTextChar"/>
    <w:link w:val="CommentSubject"/>
    <w:rsid w:val="00CC4DEB"/>
    <w:rPr>
      <w:b/>
      <w:bCs/>
      <w:lang w:eastAsia="en-US"/>
    </w:rPr>
  </w:style>
  <w:style w:type="character" w:customStyle="1" w:styleId="BodyText2Char">
    <w:name w:val="Body Text 2 Char"/>
    <w:link w:val="BodyText2"/>
    <w:rsid w:val="002E382A"/>
    <w:rPr>
      <w:sz w:val="24"/>
      <w:lang w:eastAsia="en-US"/>
    </w:rPr>
  </w:style>
  <w:style w:type="paragraph" w:styleId="Revision">
    <w:name w:val="Revision"/>
    <w:hidden/>
    <w:uiPriority w:val="99"/>
    <w:semiHidden/>
    <w:rsid w:val="008B1DA6"/>
    <w:rPr>
      <w:sz w:val="24"/>
      <w:szCs w:val="24"/>
      <w:lang w:eastAsia="en-US"/>
    </w:rPr>
  </w:style>
  <w:style w:type="character" w:customStyle="1" w:styleId="normaltextrun">
    <w:name w:val="normaltextrun"/>
    <w:basedOn w:val="DefaultParagraphFont"/>
    <w:rsid w:val="007B580F"/>
  </w:style>
  <w:style w:type="character" w:customStyle="1" w:styleId="eop">
    <w:name w:val="eop"/>
    <w:basedOn w:val="DefaultParagraphFont"/>
    <w:rsid w:val="007B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regulatory-information/search-fda-guidance-documents/center-devices-and-radiological-health-cdrh-appeals-processes" TargetMode="External" /><Relationship Id="rId8" Type="http://schemas.openxmlformats.org/officeDocument/2006/relationships/hyperlink" Target="https://data.bls.gov/o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04A83-7086-4B87-B3F3-6172B3A9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19F17-D4F8-4253-BE68-AEABAA6C90C1}">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3.xml><?xml version="1.0" encoding="utf-8"?>
<ds:datastoreItem xmlns:ds="http://schemas.openxmlformats.org/officeDocument/2006/customXml" ds:itemID="{9402BE76-58B4-4D9D-8F0C-CEF90D7FB6B6}">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8114</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2025-08-05T12:38:00Z</dcterms:created>
  <dcterms:modified xsi:type="dcterms:W3CDTF">2025-11-26T14:00:00Z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