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169" w:rsidP="00DD3169" w14:paraId="6EDAAD27" w14:textId="77777777">
      <w:pPr>
        <w:ind w:left="187"/>
        <w:jc w:val="center"/>
        <w:rPr>
          <w:rFonts w:ascii="Arial" w:hAnsi="Arial" w:cs="Arial"/>
          <w:b/>
          <w:sz w:val="24"/>
          <w:szCs w:val="24"/>
        </w:rPr>
      </w:pPr>
      <w:r>
        <w:rPr>
          <w:rFonts w:ascii="Arial" w:hAnsi="Arial" w:cs="Arial"/>
          <w:b/>
          <w:sz w:val="24"/>
          <w:szCs w:val="24"/>
        </w:rPr>
        <w:t xml:space="preserve">OMB Control Number </w:t>
      </w:r>
      <w:r w:rsidRPr="00B372FB">
        <w:rPr>
          <w:rFonts w:ascii="Arial" w:hAnsi="Arial" w:cs="Arial"/>
          <w:b/>
          <w:sz w:val="24"/>
          <w:szCs w:val="24"/>
        </w:rPr>
        <w:t>0920-</w:t>
      </w:r>
      <w:r>
        <w:rPr>
          <w:rFonts w:ascii="Arial" w:hAnsi="Arial" w:cs="Arial"/>
          <w:b/>
          <w:sz w:val="24"/>
          <w:szCs w:val="24"/>
        </w:rPr>
        <w:t>1282</w:t>
      </w:r>
    </w:p>
    <w:p w:rsidR="00DD3169" w:rsidRPr="00B372FB" w:rsidP="00DD3169" w14:paraId="20F4E935" w14:textId="510CB077">
      <w:pPr>
        <w:ind w:left="187"/>
        <w:jc w:val="center"/>
        <w:rPr>
          <w:rFonts w:ascii="Arial" w:hAnsi="Arial" w:cs="Arial"/>
          <w:b/>
          <w:sz w:val="24"/>
          <w:szCs w:val="24"/>
        </w:rPr>
      </w:pPr>
      <w:r>
        <w:rPr>
          <w:rFonts w:ascii="Arial" w:hAnsi="Arial" w:cs="Arial"/>
          <w:b/>
          <w:sz w:val="24"/>
          <w:szCs w:val="24"/>
        </w:rPr>
        <w:t>Performance Measures Project</w:t>
      </w:r>
    </w:p>
    <w:p w:rsidR="00B46F2C" w:rsidRPr="00B372FB" w:rsidP="00DD3169" w14:paraId="5FCA51DA" w14:textId="4B98A1BE">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Approval</w:t>
      </w:r>
      <w:r w:rsidR="00031E9C">
        <w:rPr>
          <w:rFonts w:ascii="Arial" w:hAnsi="Arial" w:cs="Arial"/>
          <w:b/>
          <w:sz w:val="24"/>
          <w:szCs w:val="24"/>
        </w:rPr>
        <w:t xml:space="preserve"> (for data collection in 202</w:t>
      </w:r>
      <w:r w:rsidR="00B729D5">
        <w:rPr>
          <w:rFonts w:ascii="Arial" w:hAnsi="Arial" w:cs="Arial"/>
          <w:b/>
          <w:sz w:val="24"/>
          <w:szCs w:val="24"/>
        </w:rPr>
        <w:t>4</w:t>
      </w:r>
      <w:r w:rsidR="00031E9C">
        <w:rPr>
          <w:rFonts w:ascii="Arial" w:hAnsi="Arial" w:cs="Arial"/>
          <w:b/>
          <w:sz w:val="24"/>
          <w:szCs w:val="24"/>
        </w:rPr>
        <w:t>, 202</w:t>
      </w:r>
      <w:r w:rsidR="00B729D5">
        <w:rPr>
          <w:rFonts w:ascii="Arial" w:hAnsi="Arial" w:cs="Arial"/>
          <w:b/>
          <w:sz w:val="24"/>
          <w:szCs w:val="24"/>
        </w:rPr>
        <w:t>5</w:t>
      </w:r>
      <w:r w:rsidR="00031E9C">
        <w:rPr>
          <w:rFonts w:ascii="Arial" w:hAnsi="Arial" w:cs="Arial"/>
          <w:b/>
          <w:sz w:val="24"/>
          <w:szCs w:val="24"/>
        </w:rPr>
        <w:t>, 202</w:t>
      </w:r>
      <w:r w:rsidR="00B729D5">
        <w:rPr>
          <w:rFonts w:ascii="Arial" w:hAnsi="Arial" w:cs="Arial"/>
          <w:b/>
          <w:sz w:val="24"/>
          <w:szCs w:val="24"/>
        </w:rPr>
        <w:t>6</w:t>
      </w:r>
      <w:r w:rsidR="00031E9C">
        <w:rPr>
          <w:rFonts w:ascii="Arial" w:hAnsi="Arial" w:cs="Arial"/>
          <w:b/>
          <w:sz w:val="24"/>
          <w:szCs w:val="24"/>
        </w:rPr>
        <w:t>)</w:t>
      </w:r>
    </w:p>
    <w:p w:rsidR="00EA2C4C" w:rsidRPr="00B372FB" w:rsidP="00EA2C4C" w14:paraId="3E9D3936" w14:textId="407616BE">
      <w:pPr>
        <w:jc w:val="center"/>
        <w:rPr>
          <w:rFonts w:ascii="Arial" w:hAnsi="Arial" w:cs="Arial"/>
          <w:b/>
          <w:sz w:val="24"/>
          <w:szCs w:val="24"/>
        </w:rPr>
      </w:pPr>
    </w:p>
    <w:p w:rsidR="00B372FB" w:rsidRPr="001A7311" w:rsidP="00434E33" w14:paraId="30A894A0" w14:textId="2D8356D1">
      <w:pPr>
        <w:rPr>
          <w:rFonts w:ascii="Arial" w:hAnsi="Arial"/>
          <w:bCs/>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1A7311">
        <w:rPr>
          <w:rFonts w:ascii="Arial" w:hAnsi="Arial"/>
          <w:b/>
        </w:rPr>
        <w:t xml:space="preserve"> </w:t>
      </w:r>
      <w:r w:rsidR="001A7311">
        <w:rPr>
          <w:rFonts w:ascii="Arial" w:hAnsi="Arial"/>
          <w:bCs/>
        </w:rPr>
        <w:t>National Center for Chronic Disease Prevention and Health Promotion (NCCDPHP)/Division of Diabetes Translation (DDT)/Translation, Health Education, and Evaluation Branch (THEEB)</w:t>
      </w:r>
    </w:p>
    <w:p w:rsidR="00B46F2C" w:rsidRPr="00B372FB" w:rsidP="00434E33" w14:paraId="4E5A86F4" w14:textId="59F6574B">
      <w:pPr>
        <w:rPr>
          <w:rFonts w:ascii="Arial" w:hAnsi="Arial"/>
          <w:b/>
        </w:rPr>
      </w:pPr>
      <w:r>
        <w:rPr>
          <w:rFonts w:ascii="Arial" w:hAnsi="Arial"/>
          <w:b/>
        </w:rPr>
        <w:t>PROJECT TITLE:</w:t>
      </w:r>
      <w:r w:rsidRPr="00B372FB">
        <w:rPr>
          <w:rFonts w:ascii="Arial" w:hAnsi="Arial"/>
        </w:rPr>
        <w:t xml:space="preserve"> </w:t>
      </w:r>
      <w:r w:rsidR="001A7311">
        <w:rPr>
          <w:rFonts w:ascii="Arial" w:hAnsi="Arial"/>
        </w:rPr>
        <w:t xml:space="preserve">Performance Measures to Address </w:t>
      </w:r>
      <w:r w:rsidRPr="001A7311" w:rsidR="001A7311">
        <w:rPr>
          <w:rFonts w:ascii="Arial" w:hAnsi="Arial"/>
        </w:rPr>
        <w:t>the DP23-0020 Cooperative Agreement Program: A Strategic Approach to Advancing Health Equity for Priority Populations with or at Risk for Diabetes.</w:t>
      </w:r>
    </w:p>
    <w:p w:rsidR="00B46F2C" w:rsidP="00840FCA" w14:paraId="01F82DC3" w14:textId="746CA24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F84782" w:rsidRPr="00F84782" w:rsidP="00F84782" w14:paraId="421408E9" w14:textId="77777777">
      <w:pPr>
        <w:rPr>
          <w:rFonts w:ascii="Arial" w:hAnsi="Arial"/>
          <w:bCs/>
        </w:rPr>
      </w:pPr>
      <w:r w:rsidRPr="00F84782">
        <w:rPr>
          <w:rFonts w:ascii="Arial" w:hAnsi="Arial"/>
          <w:bCs/>
        </w:rPr>
        <w:t>This NOFO seeks to decrease risk for type 2 diabetes among adults with prediabetes and improve self-care practices, quality of care, and early detection of complications among people with diabetes. Additionally, this NOFO will support implementation of evidence-based, family-centered childhood obesity interventions as a type 2 diabetes risk reduction strategy. All work supported under this NOFO will focus on reducing health disparities for priority populations, defined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w:t>
      </w:r>
    </w:p>
    <w:p w:rsidR="00F84782" w:rsidRPr="00F84782" w:rsidP="00F84782" w14:paraId="15A69A34" w14:textId="77777777">
      <w:pPr>
        <w:rPr>
          <w:rFonts w:ascii="Arial" w:hAnsi="Arial"/>
          <w:bCs/>
        </w:rPr>
      </w:pPr>
      <w:r w:rsidRPr="00F84782">
        <w:rPr>
          <w:rFonts w:ascii="Arial" w:hAnsi="Arial"/>
          <w:bCs/>
        </w:rPr>
        <w:t>This NOFO seeks to address health disparities by reducing SDOH-related barriers impacting priority populations’ successful access to and participation in evidence-based diabetes management, evidence-based approaches to type 2 diabetes prevention and risk reduction services and programs, and policy and systems-level support for diabetes management and type 2 diabetes prevention. This NOFO will fund 77 awards for three components, specifically 51 awards (1 located in each state and the District of Columbia) for Component A, up to 22 awards (organizations that work in US counties identified as “high need” based on diabetes burden and social vulnerability) for Component B, and up to 4 awards (multisectoral partnership networks) for Component C. The total period of performance funding for the five-year period is $411,000,000.  Additionally, outcomes reported by recipients will be used to respond to Congressional policy requests, federal, state, and local partners, and other stakeholders.</w:t>
      </w:r>
    </w:p>
    <w:p w:rsidR="00F84782" w:rsidRPr="00F84782" w:rsidP="00F84782" w14:paraId="647098E9" w14:textId="3D833C11">
      <w:pPr>
        <w:rPr>
          <w:rFonts w:ascii="Arial" w:hAnsi="Arial"/>
          <w:bCs/>
        </w:rPr>
      </w:pPr>
      <w:r w:rsidRPr="00F84782">
        <w:rPr>
          <w:rFonts w:ascii="Arial" w:hAnsi="Arial"/>
          <w:bCs/>
        </w:rPr>
        <w:t>A menu of strategies related to diabetes management, type 2 diabetes prevention, and childhood obesity management is provided for each component. Strategies are based on interventions grounded in scientific and practice-based evidence. These include 1) diabetes self-management education and support (DSMES), which improves health outcomes and quality of life and is cost effective; 2) the National Diabetes Prevention Program (National DPP), which supports a lifestyle intervention founded on the science of the DPP research study that confirmed type 2 diabetes can be prevented in adults at high risk; and 3) four family-centered weight management interventions for children proven effective in low-income populations. Other strategies are aligned with recommendations in the 2021 National Clinical Care Commission Report to Congress on preventing and controlling diabetes and its complications.</w:t>
      </w:r>
    </w:p>
    <w:p w:rsidR="00F84782" w:rsidRPr="00F84782" w:rsidP="00F84782" w14:paraId="4EA7088C" w14:textId="77777777">
      <w:pPr>
        <w:rPr>
          <w:rFonts w:ascii="Arial" w:hAnsi="Arial"/>
          <w:bCs/>
        </w:rPr>
      </w:pPr>
      <w:r w:rsidRPr="00F84782">
        <w:rPr>
          <w:rFonts w:ascii="Arial" w:hAnsi="Arial"/>
          <w:bCs/>
        </w:rPr>
        <w:t xml:space="preserve">Component A and B Strategies include: </w:t>
      </w:r>
    </w:p>
    <w:p w:rsidR="00F84782" w:rsidRPr="008E6B9E" w:rsidP="008E6B9E" w14:paraId="78FFBDE5" w14:textId="77777777">
      <w:pPr>
        <w:pStyle w:val="NoSpacing"/>
        <w:rPr>
          <w:rFonts w:ascii="Arial" w:hAnsi="Arial" w:cs="Arial"/>
        </w:rPr>
      </w:pPr>
      <w:r w:rsidRPr="008E6B9E">
        <w:rPr>
          <w:rFonts w:ascii="Arial" w:hAnsi="Arial" w:cs="Arial"/>
        </w:rPr>
        <w:t>I.</w:t>
      </w:r>
      <w:r w:rsidRPr="008E6B9E">
        <w:rPr>
          <w:rFonts w:ascii="Arial" w:hAnsi="Arial" w:cs="Arial"/>
        </w:rPr>
        <w:tab/>
        <w:t>Evidence-based Approaches to Diabetes Management</w:t>
      </w:r>
    </w:p>
    <w:p w:rsidR="00F84782" w:rsidRPr="008E6B9E" w:rsidP="008E6B9E" w14:paraId="0624EEA2" w14:textId="77777777">
      <w:pPr>
        <w:pStyle w:val="NoSpacing"/>
        <w:rPr>
          <w:rFonts w:ascii="Arial" w:hAnsi="Arial" w:cs="Arial"/>
        </w:rPr>
      </w:pPr>
      <w:r w:rsidRPr="008E6B9E">
        <w:rPr>
          <w:rFonts w:ascii="Arial" w:hAnsi="Arial" w:cs="Arial"/>
        </w:rPr>
        <w:t>II.</w:t>
      </w:r>
      <w:r w:rsidRPr="008E6B9E">
        <w:rPr>
          <w:rFonts w:ascii="Arial" w:hAnsi="Arial" w:cs="Arial"/>
        </w:rPr>
        <w:tab/>
        <w:t>Evidence-based Approaches to Type 2 Diabetes Prevention and Risk Reduction</w:t>
      </w:r>
    </w:p>
    <w:p w:rsidR="00F84782" w:rsidP="008E6B9E" w14:paraId="51E37AD1" w14:textId="080C2A8E">
      <w:pPr>
        <w:pStyle w:val="NoSpacing"/>
        <w:ind w:left="720" w:hanging="720"/>
        <w:rPr>
          <w:rFonts w:ascii="Arial" w:hAnsi="Arial" w:cs="Arial"/>
        </w:rPr>
      </w:pPr>
      <w:r w:rsidRPr="008E6B9E">
        <w:rPr>
          <w:rFonts w:ascii="Arial" w:hAnsi="Arial" w:cs="Arial"/>
        </w:rPr>
        <w:t>III.</w:t>
      </w:r>
      <w:r w:rsidRPr="008E6B9E">
        <w:rPr>
          <w:rFonts w:ascii="Arial" w:hAnsi="Arial" w:cs="Arial"/>
        </w:rPr>
        <w:tab/>
        <w:t>Policy and Systems Level Support for Diabetes Management and Type 2 Diabetes Prevention</w:t>
      </w:r>
    </w:p>
    <w:p w:rsidR="008E6B9E" w:rsidRPr="008E6B9E" w:rsidP="008E6B9E" w14:paraId="55C94215" w14:textId="77777777">
      <w:pPr>
        <w:pStyle w:val="NoSpacing"/>
        <w:ind w:left="720" w:hanging="720"/>
        <w:rPr>
          <w:rFonts w:ascii="Arial" w:hAnsi="Arial" w:cs="Arial"/>
        </w:rPr>
      </w:pPr>
    </w:p>
    <w:p w:rsidR="00F84782" w:rsidRPr="00F84782" w:rsidP="00F84782" w14:paraId="1EEB8616" w14:textId="77777777">
      <w:pPr>
        <w:rPr>
          <w:rFonts w:ascii="Arial" w:hAnsi="Arial"/>
          <w:bCs/>
        </w:rPr>
      </w:pPr>
      <w:r w:rsidRPr="00F84782">
        <w:rPr>
          <w:rFonts w:ascii="Arial" w:hAnsi="Arial"/>
          <w:bCs/>
        </w:rPr>
        <w:t xml:space="preserve">Component C Strategies include: </w:t>
      </w:r>
    </w:p>
    <w:p w:rsidR="00F84782" w:rsidRPr="008E6B9E" w:rsidP="008E6B9E" w14:paraId="4C83AB85" w14:textId="77777777">
      <w:pPr>
        <w:pStyle w:val="NoSpacing"/>
        <w:rPr>
          <w:rFonts w:ascii="Arial" w:hAnsi="Arial" w:cs="Arial"/>
        </w:rPr>
      </w:pPr>
      <w:r w:rsidRPr="008E6B9E">
        <w:rPr>
          <w:rFonts w:ascii="Arial" w:hAnsi="Arial" w:cs="Arial"/>
        </w:rPr>
        <w:t>I.</w:t>
      </w:r>
      <w:r w:rsidRPr="008E6B9E">
        <w:rPr>
          <w:rFonts w:ascii="Arial" w:hAnsi="Arial" w:cs="Arial"/>
        </w:rPr>
        <w:tab/>
        <w:t>Administrative Infrastructure</w:t>
      </w:r>
    </w:p>
    <w:p w:rsidR="00F84782" w:rsidRPr="008E6B9E" w:rsidP="008E6B9E" w14:paraId="7257E9A0" w14:textId="77777777">
      <w:pPr>
        <w:pStyle w:val="NoSpacing"/>
        <w:rPr>
          <w:rFonts w:ascii="Arial" w:hAnsi="Arial" w:cs="Arial"/>
        </w:rPr>
      </w:pPr>
      <w:r w:rsidRPr="008E6B9E">
        <w:rPr>
          <w:rFonts w:ascii="Arial" w:hAnsi="Arial" w:cs="Arial"/>
        </w:rPr>
        <w:t>II.</w:t>
      </w:r>
      <w:r w:rsidRPr="008E6B9E">
        <w:rPr>
          <w:rFonts w:ascii="Arial" w:hAnsi="Arial" w:cs="Arial"/>
        </w:rPr>
        <w:tab/>
        <w:t>Participant Referral Processes</w:t>
      </w:r>
    </w:p>
    <w:p w:rsidR="00F84782" w:rsidRPr="008E6B9E" w:rsidP="008E6B9E" w14:paraId="31AA96F0" w14:textId="77777777">
      <w:pPr>
        <w:pStyle w:val="NoSpacing"/>
        <w:rPr>
          <w:rFonts w:ascii="Arial" w:hAnsi="Arial" w:cs="Arial"/>
        </w:rPr>
      </w:pPr>
      <w:r w:rsidRPr="008E6B9E">
        <w:rPr>
          <w:rFonts w:ascii="Arial" w:hAnsi="Arial" w:cs="Arial"/>
        </w:rPr>
        <w:t>III.</w:t>
      </w:r>
      <w:r w:rsidRPr="008E6B9E">
        <w:rPr>
          <w:rFonts w:ascii="Arial" w:hAnsi="Arial" w:cs="Arial"/>
        </w:rPr>
        <w:tab/>
        <w:t>Program Delivery and Participant Support</w:t>
      </w:r>
    </w:p>
    <w:p w:rsidR="00F84782" w:rsidP="008E6B9E" w14:paraId="786D39BE" w14:textId="0090C263">
      <w:pPr>
        <w:pStyle w:val="NoSpacing"/>
        <w:rPr>
          <w:rFonts w:ascii="Arial" w:hAnsi="Arial" w:cs="Arial"/>
        </w:rPr>
      </w:pPr>
      <w:r w:rsidRPr="008E6B9E">
        <w:rPr>
          <w:rFonts w:ascii="Arial" w:hAnsi="Arial" w:cs="Arial"/>
        </w:rPr>
        <w:t>IV.</w:t>
      </w:r>
      <w:r w:rsidRPr="008E6B9E">
        <w:rPr>
          <w:rFonts w:ascii="Arial" w:hAnsi="Arial" w:cs="Arial"/>
        </w:rPr>
        <w:tab/>
        <w:t>Payer and Employer Partners Payment/Coverage</w:t>
      </w:r>
    </w:p>
    <w:p w:rsidR="008E6B9E" w:rsidRPr="008E6B9E" w:rsidP="008E6B9E" w14:paraId="4C7DF295" w14:textId="77777777">
      <w:pPr>
        <w:pStyle w:val="NoSpacing"/>
        <w:rPr>
          <w:rFonts w:ascii="Arial" w:hAnsi="Arial" w:cs="Arial"/>
        </w:rPr>
      </w:pPr>
    </w:p>
    <w:p w:rsidR="00F84782" w:rsidRPr="00F84782" w:rsidP="00F84782" w14:paraId="069A7AED" w14:textId="6236BC7D">
      <w:pPr>
        <w:rPr>
          <w:rFonts w:ascii="Arial" w:hAnsi="Arial"/>
          <w:bCs/>
        </w:rPr>
      </w:pPr>
      <w:r w:rsidRPr="00F84782">
        <w:rPr>
          <w:rFonts w:ascii="Arial" w:hAnsi="Arial"/>
          <w:bCs/>
        </w:rPr>
        <w:t xml:space="preserve">Recipients will select a minimum number of strategies, based on their selected component, </w:t>
      </w:r>
      <w:r w:rsidR="00317C72">
        <w:rPr>
          <w:rFonts w:ascii="Arial" w:hAnsi="Arial"/>
          <w:bCs/>
        </w:rPr>
        <w:t xml:space="preserve">that </w:t>
      </w:r>
      <w:r w:rsidRPr="00F84782">
        <w:rPr>
          <w:rFonts w:ascii="Arial" w:hAnsi="Arial"/>
          <w:bCs/>
        </w:rPr>
        <w:t>they are best equipped to implement, achieve significant progress, and evaluate based on their organization’s mission, capacity, expertise, partner connections, and other related factors.</w:t>
      </w:r>
      <w:r w:rsidR="007F73F8">
        <w:rPr>
          <w:rFonts w:ascii="Arial" w:hAnsi="Arial"/>
          <w:bCs/>
        </w:rPr>
        <w:t xml:space="preserve"> Component A recipients will select a minimum of 6 of the13 strategies from the Components A and B: Menu of Strategies. Component B recipients will select a minimum of 4 of the 13 strategies from the Menu of Strategies. Component C recipients will work on all 4 strategies from the Component C Strategies Menu.  Recipients will report on the Performance Measures for all selected strategies on an annual basis during the evaluation reporting period. </w:t>
      </w:r>
    </w:p>
    <w:p w:rsidR="00D663F0" w:rsidRPr="001A7311" w:rsidP="00840FCA" w14:paraId="290053A1" w14:textId="3BF6AF3C">
      <w:pPr>
        <w:rPr>
          <w:rFonts w:ascii="Arial" w:hAnsi="Arial"/>
          <w:bCs/>
        </w:rPr>
      </w:pPr>
      <w:r>
        <w:rPr>
          <w:rFonts w:ascii="Arial" w:hAnsi="Arial"/>
          <w:b/>
        </w:rPr>
        <w:t>NUMBER AND TITLE OF NOFO:</w:t>
      </w:r>
      <w:r w:rsidRPr="001A7311" w:rsidR="001A7311">
        <w:t xml:space="preserve"> </w:t>
      </w:r>
      <w:r w:rsidRPr="001A7311" w:rsidR="001A7311">
        <w:rPr>
          <w:rFonts w:ascii="Arial" w:hAnsi="Arial"/>
          <w:bCs/>
        </w:rPr>
        <w:t>A Strategic Approach to Advancing Health Equity for Priority Populations with or at Risk for Diabetes (DP23-0020)</w:t>
      </w:r>
    </w:p>
    <w:p w:rsidR="00D663F0" w:rsidP="00840FCA" w14:paraId="0C950D67" w14:textId="46A28B0E">
      <w:pPr>
        <w:rPr>
          <w:rFonts w:ascii="Arial" w:hAnsi="Arial"/>
          <w:b/>
        </w:rPr>
      </w:pPr>
      <w:r>
        <w:rPr>
          <w:rFonts w:ascii="Arial" w:hAnsi="Arial"/>
          <w:b/>
        </w:rPr>
        <w:t>NUMBER OF PARTICIPATING RECIPIENTS:</w:t>
      </w:r>
      <w:r w:rsidR="001A7311">
        <w:rPr>
          <w:rFonts w:ascii="Arial" w:hAnsi="Arial"/>
          <w:b/>
        </w:rPr>
        <w:t xml:space="preserve"> 77</w:t>
      </w:r>
    </w:p>
    <w:p w:rsidR="001A7311" w:rsidRPr="00B372FB" w:rsidP="00840FCA" w14:paraId="64BD8481" w14:textId="044A2ED8">
      <w:pPr>
        <w:rPr>
          <w:rFonts w:ascii="Arial" w:hAnsi="Arial"/>
          <w:b/>
        </w:rPr>
      </w:pPr>
      <w:r w:rsidRPr="001A7311">
        <w:rPr>
          <w:rFonts w:ascii="Arial" w:hAnsi="Arial"/>
          <w:bCs/>
        </w:rPr>
        <w:t>The NOFO includes 3 components and recipients will only be awarded for 1.  Component A will fund 51 organizations (1 located in each state and the District of Columbia). Component B will fund 22 organizations to work in US counties identified as “high need” based on diabetes burden and social vulnerability. Component C will fund 4 multisectoral partnership networks</w:t>
      </w:r>
      <w:r w:rsidRPr="001A7311">
        <w:rPr>
          <w:rFonts w:ascii="Arial" w:hAnsi="Arial"/>
          <w:b/>
        </w:rPr>
        <w:t>.</w:t>
      </w:r>
    </w:p>
    <w:p w:rsidR="00840FCA" w:rsidP="00840FCA" w14:paraId="508228BD" w14:textId="667DA816">
      <w:pPr>
        <w:pStyle w:val="Header"/>
        <w:tabs>
          <w:tab w:val="clear" w:pos="4320"/>
          <w:tab w:val="clear" w:pos="8640"/>
        </w:tabs>
        <w:rPr>
          <w:rFonts w:ascii="Arial" w:hAnsi="Arial"/>
        </w:rPr>
      </w:pPr>
      <w:r w:rsidRPr="00B372FB">
        <w:rPr>
          <w:rFonts w:ascii="Arial" w:hAnsi="Arial"/>
          <w:b/>
        </w:rPr>
        <w:t xml:space="preserve">DESCRIPTION OF </w:t>
      </w:r>
      <w:r w:rsidR="00D663F0">
        <w:rPr>
          <w:rFonts w:ascii="Arial" w:hAnsi="Arial"/>
          <w:b/>
        </w:rPr>
        <w:t>NOFO (check</w:t>
      </w:r>
      <w:r w:rsidR="00F575A2">
        <w:rPr>
          <w:rFonts w:ascii="Arial" w:hAnsi="Arial"/>
          <w:b/>
        </w:rPr>
        <w:t xml:space="preserve"> all that apply</w:t>
      </w:r>
      <w:r w:rsidR="00D663F0">
        <w:rPr>
          <w:rFonts w:ascii="Arial" w:hAnsi="Arial"/>
          <w:b/>
        </w:rPr>
        <w:t>)</w:t>
      </w:r>
      <w:r w:rsidRPr="00B372FB">
        <w:rPr>
          <w:rFonts w:ascii="Arial" w:hAnsi="Arial"/>
        </w:rPr>
        <w:t>:</w:t>
      </w:r>
    </w:p>
    <w:p w:rsidR="00D663F0" w:rsidP="00840FCA" w14:paraId="2C61B660" w14:textId="1F58BFF1">
      <w:pPr>
        <w:pStyle w:val="Header"/>
        <w:tabs>
          <w:tab w:val="clear" w:pos="4320"/>
          <w:tab w:val="clear" w:pos="8640"/>
        </w:tabs>
        <w:rPr>
          <w:rFonts w:ascii="Arial" w:hAnsi="Arial"/>
        </w:rPr>
      </w:pPr>
      <w:r>
        <w:rPr>
          <w:rFonts w:ascii="Arial" w:hAnsi="Arial"/>
        </w:rPr>
        <w:t>X</w:t>
      </w:r>
      <w:r>
        <w:rPr>
          <w:rFonts w:ascii="Arial" w:hAnsi="Arial"/>
        </w:rPr>
        <w:tab/>
        <w:t>Funds all 50 states</w:t>
      </w:r>
    </w:p>
    <w:p w:rsidR="00D663F0" w:rsidP="00840FCA" w14:paraId="3B9E40F0" w14:textId="6018C457">
      <w:pPr>
        <w:pStyle w:val="Header"/>
        <w:tabs>
          <w:tab w:val="clear" w:pos="4320"/>
          <w:tab w:val="clear" w:pos="8640"/>
        </w:tabs>
        <w:rPr>
          <w:rFonts w:ascii="Arial" w:hAnsi="Arial"/>
        </w:rPr>
      </w:pPr>
      <w:r>
        <w:rPr>
          <w:rFonts w:ascii="Arial" w:hAnsi="Arial"/>
        </w:rPr>
        <w:t>X</w:t>
      </w:r>
      <w:r>
        <w:rPr>
          <w:rFonts w:ascii="Arial" w:hAnsi="Arial"/>
        </w:rPr>
        <w:tab/>
        <w:t>Has budget higher than $10 million per year</w:t>
      </w:r>
    </w:p>
    <w:p w:rsidR="00D663F0" w:rsidRPr="00B372FB" w:rsidP="00840FCA" w14:paraId="412E1CA4" w14:textId="445D1693">
      <w:pPr>
        <w:pStyle w:val="Header"/>
        <w:tabs>
          <w:tab w:val="clear" w:pos="4320"/>
          <w:tab w:val="clear" w:pos="8640"/>
        </w:tabs>
        <w:rPr>
          <w:rFonts w:ascii="Arial" w:hAnsi="Arial"/>
        </w:rPr>
      </w:pPr>
      <w:r>
        <w:rPr>
          <w:rFonts w:ascii="Arial" w:hAnsi="Arial"/>
        </w:rPr>
        <w:t>X</w:t>
      </w:r>
      <w:r>
        <w:rPr>
          <w:rFonts w:ascii="Arial" w:hAnsi="Arial"/>
        </w:rPr>
        <w:tab/>
        <w:t>Has significant stakeholder interest (e.g. partners, Congress)</w:t>
      </w:r>
    </w:p>
    <w:p w:rsidR="00B46F2C" w14:paraId="210D972C" w14:textId="77777777">
      <w:pPr>
        <w:rPr>
          <w:rFonts w:ascii="Arial" w:hAnsi="Arial"/>
        </w:rPr>
      </w:pPr>
      <w:r>
        <w:rPr>
          <w:rFonts w:ascii="Arial" w:hAnsi="Arial"/>
        </w:rPr>
        <w:t>Please elaborate:</w:t>
      </w:r>
    </w:p>
    <w:p w:rsidR="00E64372" w14:paraId="755A982A" w14:textId="2C2E283E">
      <w:pPr>
        <w:rPr>
          <w:rFonts w:ascii="Arial" w:hAnsi="Arial"/>
          <w:bCs/>
        </w:rPr>
      </w:pPr>
      <w:r>
        <w:rPr>
          <w:rFonts w:ascii="Arial" w:hAnsi="Arial"/>
          <w:b/>
        </w:rPr>
        <w:t>PERFORMANCE METRICS USED &amp; JUSTIFICATIONS:</w:t>
      </w:r>
    </w:p>
    <w:p w:rsidR="00D5400F" w14:paraId="01CA9417" w14:textId="142FBCB9">
      <w:pPr>
        <w:rPr>
          <w:rFonts w:ascii="Arial" w:hAnsi="Arial"/>
          <w:bCs/>
        </w:rPr>
      </w:pPr>
      <w:r>
        <w:rPr>
          <w:rFonts w:ascii="Arial" w:hAnsi="Arial"/>
          <w:bCs/>
        </w:rPr>
        <w:t>CDC has already received approval from OMB to collect aggregate data on performance measures from CDC-RFA-DP18-1815, Improving the Health of Americans through Prevention and Management of Diabetes and Heart Disease and Stroke. We are requesting OMB approval for updates</w:t>
      </w:r>
      <w:r w:rsidR="008E6B9E">
        <w:rPr>
          <w:rFonts w:ascii="Arial" w:hAnsi="Arial"/>
          <w:bCs/>
        </w:rPr>
        <w:t xml:space="preserve"> we plan to make to performance measures. </w:t>
      </w:r>
      <w:r w:rsidR="00BE26F1">
        <w:rPr>
          <w:rFonts w:ascii="Arial" w:hAnsi="Arial"/>
          <w:bCs/>
        </w:rPr>
        <w:t xml:space="preserve">The </w:t>
      </w:r>
      <w:r w:rsidRPr="00BE26F1" w:rsidR="00BE26F1">
        <w:rPr>
          <w:rFonts w:ascii="Arial" w:hAnsi="Arial"/>
          <w:bCs/>
        </w:rPr>
        <w:t>CDC-RFA-DP18-1815, Improving the Health of Americans through Prevention and Management of Diabetes and Heart Disease and Stroke</w:t>
      </w:r>
      <w:r w:rsidR="00BE26F1">
        <w:rPr>
          <w:rFonts w:ascii="Arial" w:hAnsi="Arial"/>
          <w:bCs/>
        </w:rPr>
        <w:t xml:space="preserve"> program, currently collects annual data the OMB Control Number: </w:t>
      </w:r>
      <w:r w:rsidRPr="00BE26F1" w:rsidR="00BE26F1">
        <w:rPr>
          <w:rFonts w:ascii="Arial" w:hAnsi="Arial"/>
          <w:bCs/>
        </w:rPr>
        <w:t>0920-1312</w:t>
      </w:r>
      <w:r w:rsidR="00BE26F1">
        <w:rPr>
          <w:rFonts w:ascii="Arial" w:hAnsi="Arial"/>
          <w:bCs/>
        </w:rPr>
        <w:t xml:space="preserve"> (expire</w:t>
      </w:r>
      <w:r w:rsidR="000C3C5B">
        <w:rPr>
          <w:rFonts w:ascii="Arial" w:hAnsi="Arial"/>
          <w:bCs/>
        </w:rPr>
        <w:t>d</w:t>
      </w:r>
      <w:r w:rsidR="00BE26F1">
        <w:rPr>
          <w:rFonts w:ascii="Arial" w:hAnsi="Arial"/>
          <w:bCs/>
        </w:rPr>
        <w:t xml:space="preserve"> 12/31/2023).</w:t>
      </w:r>
    </w:p>
    <w:p w:rsidR="004D4E12" w14:paraId="0C9ACAD1" w14:textId="75F78B14">
      <w:pPr>
        <w:rPr>
          <w:rFonts w:ascii="Arial" w:hAnsi="Arial"/>
          <w:bCs/>
        </w:rPr>
      </w:pPr>
      <w:r>
        <w:rPr>
          <w:rFonts w:ascii="Arial" w:hAnsi="Arial"/>
          <w:bCs/>
        </w:rPr>
        <w:t xml:space="preserve">The program requests OMB to approve updates to the current performance measures. We are adjusting performance measures to account for the differences in type of respondents per Component; to better align planned measures to the intent of this funding opportunity; and based on feedback received from recipients and partners. Performance measure data </w:t>
      </w:r>
      <w:r>
        <w:rPr>
          <w:rFonts w:ascii="Arial" w:hAnsi="Arial"/>
          <w:bCs/>
        </w:rPr>
        <w:t>allow</w:t>
      </w:r>
      <w:r>
        <w:rPr>
          <w:rFonts w:ascii="Arial" w:hAnsi="Arial"/>
          <w:bCs/>
        </w:rPr>
        <w:t xml:space="preserve"> recipient</w:t>
      </w:r>
      <w:r>
        <w:rPr>
          <w:rFonts w:ascii="Arial" w:hAnsi="Arial"/>
          <w:bCs/>
        </w:rPr>
        <w:t>s to track</w:t>
      </w:r>
      <w:r>
        <w:rPr>
          <w:rFonts w:ascii="Arial" w:hAnsi="Arial"/>
          <w:bCs/>
        </w:rPr>
        <w:t xml:space="preserve"> progress toward desired outcomes, which helps inform recipient adjustments to activity development and implementation in work plans.</w:t>
      </w:r>
      <w:r>
        <w:rPr>
          <w:rFonts w:ascii="Arial" w:hAnsi="Arial"/>
          <w:bCs/>
        </w:rPr>
        <w:t xml:space="preserve"> Annual reporting on performance measures is needed to monitor progress and adjustment of activities.</w:t>
      </w:r>
      <w:r w:rsidR="00127D82">
        <w:rPr>
          <w:rFonts w:ascii="Arial" w:hAnsi="Arial"/>
          <w:bCs/>
        </w:rPr>
        <w:t xml:space="preserve">  Attached to this application (</w:t>
      </w:r>
      <w:r w:rsidR="00636D50">
        <w:rPr>
          <w:rFonts w:ascii="Arial" w:hAnsi="Arial"/>
          <w:bCs/>
        </w:rPr>
        <w:t>Appendices D, E, F:  Component A Data Reporting; Component B Data Reporting; Component C Data Reporting)</w:t>
      </w:r>
      <w:r w:rsidR="00127D82">
        <w:rPr>
          <w:rFonts w:ascii="Arial" w:hAnsi="Arial"/>
          <w:bCs/>
        </w:rPr>
        <w:t xml:space="preserve"> are samples of the data entry forms recipients use to report performance measures</w:t>
      </w:r>
      <w:r w:rsidR="007F73F8">
        <w:rPr>
          <w:rFonts w:ascii="Arial" w:hAnsi="Arial"/>
          <w:bCs/>
        </w:rPr>
        <w:t xml:space="preserve"> for the strategies they selected</w:t>
      </w:r>
      <w:r w:rsidR="00127D82">
        <w:rPr>
          <w:rFonts w:ascii="Arial" w:hAnsi="Arial"/>
          <w:bCs/>
        </w:rPr>
        <w:t xml:space="preserve">. </w:t>
      </w:r>
    </w:p>
    <w:p w:rsidR="007F73F8" w:rsidRPr="00D5400F" w14:paraId="3847A747" w14:textId="308EE350">
      <w:pPr>
        <w:rPr>
          <w:rFonts w:ascii="Arial" w:hAnsi="Arial"/>
          <w:bCs/>
        </w:rPr>
      </w:pPr>
      <w:r>
        <w:rPr>
          <w:rFonts w:ascii="Arial" w:hAnsi="Arial"/>
          <w:bCs/>
        </w:rPr>
        <w:t xml:space="preserve">Recipients will use the secure Award Management Platform (AMP) to submit their Performance Measure reports on an annual basis.  Use of this platform ensures that recipients are submitting performance measure data in a uniformed manner.  Additionally, CDC will provide recipients with the OMB-approved Performance Measure Plan Reporting Template to assist in their data collection and reporting process. </w:t>
      </w:r>
      <w:r w:rsidR="007E3C5D">
        <w:rPr>
          <w:rFonts w:ascii="Arial" w:hAnsi="Arial"/>
          <w:bCs/>
        </w:rPr>
        <w:t xml:space="preserve">Information on alignment between program strategies and performance measures is provided in </w:t>
      </w:r>
      <w:r w:rsidRPr="000C3C5B" w:rsidR="000C3C5B">
        <w:rPr>
          <w:rFonts w:ascii="Arial" w:hAnsi="Arial"/>
          <w:bCs/>
        </w:rPr>
        <w:t xml:space="preserve">(Appendices </w:t>
      </w:r>
      <w:r w:rsidR="000C3C5B">
        <w:rPr>
          <w:rFonts w:ascii="Arial" w:hAnsi="Arial"/>
          <w:bCs/>
        </w:rPr>
        <w:t>A</w:t>
      </w:r>
      <w:r w:rsidRPr="000C3C5B" w:rsidR="000C3C5B">
        <w:rPr>
          <w:rFonts w:ascii="Arial" w:hAnsi="Arial"/>
          <w:bCs/>
        </w:rPr>
        <w:t xml:space="preserve">, </w:t>
      </w:r>
      <w:r w:rsidR="000C3C5B">
        <w:rPr>
          <w:rFonts w:ascii="Arial" w:hAnsi="Arial"/>
          <w:bCs/>
        </w:rPr>
        <w:t>B</w:t>
      </w:r>
      <w:r w:rsidRPr="000C3C5B" w:rsidR="000C3C5B">
        <w:rPr>
          <w:rFonts w:ascii="Arial" w:hAnsi="Arial"/>
          <w:bCs/>
        </w:rPr>
        <w:t xml:space="preserve">, </w:t>
      </w:r>
      <w:r w:rsidR="000C3C5B">
        <w:rPr>
          <w:rFonts w:ascii="Arial" w:hAnsi="Arial"/>
          <w:bCs/>
        </w:rPr>
        <w:t>C</w:t>
      </w:r>
      <w:r w:rsidRPr="000C3C5B" w:rsidR="000C3C5B">
        <w:rPr>
          <w:rFonts w:ascii="Arial" w:hAnsi="Arial"/>
          <w:bCs/>
        </w:rPr>
        <w:t xml:space="preserve">:  Component A </w:t>
      </w:r>
      <w:r w:rsidR="000C3C5B">
        <w:rPr>
          <w:rFonts w:ascii="Arial" w:hAnsi="Arial"/>
          <w:bCs/>
        </w:rPr>
        <w:t>Performance Measure Guidance</w:t>
      </w:r>
      <w:r w:rsidRPr="000C3C5B" w:rsidR="000C3C5B">
        <w:rPr>
          <w:rFonts w:ascii="Arial" w:hAnsi="Arial"/>
          <w:bCs/>
        </w:rPr>
        <w:t xml:space="preserve">; Component B </w:t>
      </w:r>
      <w:r w:rsidR="000C3C5B">
        <w:rPr>
          <w:rFonts w:ascii="Arial" w:hAnsi="Arial"/>
          <w:bCs/>
        </w:rPr>
        <w:t>Performance Measure Guidance</w:t>
      </w:r>
      <w:r w:rsidRPr="000C3C5B" w:rsidR="000C3C5B">
        <w:rPr>
          <w:rFonts w:ascii="Arial" w:hAnsi="Arial"/>
          <w:bCs/>
        </w:rPr>
        <w:t xml:space="preserve">; Component C </w:t>
      </w:r>
      <w:r w:rsidR="000C3C5B">
        <w:rPr>
          <w:rFonts w:ascii="Arial" w:hAnsi="Arial"/>
          <w:bCs/>
        </w:rPr>
        <w:t>Performance Measure Guidance</w:t>
      </w:r>
      <w:r w:rsidRPr="000C3C5B" w:rsidR="000C3C5B">
        <w:rPr>
          <w:rFonts w:ascii="Arial" w:hAnsi="Arial"/>
          <w:bCs/>
        </w:rPr>
        <w:t>)</w:t>
      </w:r>
      <w:r w:rsidR="007E3C5D">
        <w:rPr>
          <w:rFonts w:ascii="Arial" w:hAnsi="Arial"/>
          <w:bCs/>
        </w:rPr>
        <w:t xml:space="preserve">. Updated performance measure guidance, including reporting guidance, will be shared with recipients via AMP. </w:t>
      </w:r>
      <w:r>
        <w:rPr>
          <w:rFonts w:ascii="Arial" w:hAnsi="Arial"/>
          <w:bCs/>
        </w:rPr>
        <w:t xml:space="preserve"> </w:t>
      </w:r>
    </w:p>
    <w:p w:rsidR="002F2EF9" w:rsidP="008101A5" w14:paraId="392F5F22"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6961799C" w14:textId="77777777">
      <w:pPr>
        <w:rPr>
          <w:rFonts w:ascii="Arial" w:hAnsi="Arial"/>
        </w:rPr>
      </w:pPr>
      <w:r w:rsidRPr="00B372FB">
        <w:rPr>
          <w:rFonts w:ascii="Arial" w:hAnsi="Arial"/>
        </w:rPr>
        <w:t xml:space="preserve">I certify the following to be true: </w:t>
      </w:r>
    </w:p>
    <w:p w:rsidR="00B46F2C" w:rsidRPr="00846B36" w:rsidP="00BC3BA2" w14:paraId="5B8342D7"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55A824E5" w14:textId="0555FE51">
      <w:pPr>
        <w:pStyle w:val="ListParagraph"/>
        <w:numPr>
          <w:ilvl w:val="0"/>
          <w:numId w:val="14"/>
        </w:numPr>
        <w:rPr>
          <w:rFonts w:ascii="Arial" w:hAnsi="Arial"/>
        </w:rPr>
      </w:pPr>
      <w:r w:rsidRPr="00B372FB">
        <w:rPr>
          <w:rFonts w:ascii="Arial" w:hAnsi="Arial"/>
        </w:rPr>
        <w:t xml:space="preserve">Information gathered </w:t>
      </w:r>
      <w:r w:rsidRPr="006F1548" w:rsidR="00205530">
        <w:rPr>
          <w:rFonts w:ascii="Arial" w:hAnsi="Arial" w:cs="Arial"/>
        </w:rPr>
        <w:t>is meant primarily for program improvement and accountability; it is not intended to be used as the principal basis for policy decisions</w:t>
      </w:r>
      <w:r w:rsidRPr="00B372FB">
        <w:rPr>
          <w:rFonts w:ascii="Arial" w:hAnsi="Arial"/>
        </w:rPr>
        <w:t xml:space="preserve"> </w:t>
      </w:r>
    </w:p>
    <w:p w:rsidR="00B46F2C" w:rsidRPr="00B372FB" w:rsidP="009C13B9" w14:paraId="2E9C4986" w14:textId="57D8BAF3">
      <w:pPr>
        <w:rPr>
          <w:rFonts w:ascii="Arial" w:hAnsi="Arial"/>
        </w:rPr>
      </w:pPr>
      <w:r w:rsidRPr="00B372FB">
        <w:rPr>
          <w:rFonts w:ascii="Arial" w:hAnsi="Arial"/>
        </w:rPr>
        <w:t>Name:</w:t>
      </w:r>
      <w:r w:rsidR="00B32078">
        <w:rPr>
          <w:rFonts w:ascii="Arial" w:hAnsi="Arial"/>
        </w:rPr>
        <w:t xml:space="preserve"> </w:t>
      </w:r>
      <w:r w:rsidRPr="006E08B4" w:rsidR="000B2C3F">
        <w:rPr>
          <w:rFonts w:ascii="Script MT Bold" w:hAnsi="Script MT Bold"/>
          <w:sz w:val="22"/>
          <w:szCs w:val="22"/>
          <w:u w:val="single"/>
        </w:rPr>
        <w:t>Kimberly D. Farris</w:t>
      </w:r>
      <w:r w:rsidR="006E08B4">
        <w:rPr>
          <w:rFonts w:ascii="Arial" w:hAnsi="Arial"/>
          <w:u w:val="single"/>
        </w:rPr>
        <w:t xml:space="preserve">                                       March 14, 2024</w:t>
      </w:r>
    </w:p>
    <w:p w:rsidR="00B46F2C" w:rsidRPr="00B372FB" w:rsidP="009C13B9" w14:paraId="3CBD5579"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P="00C86E91" w14:paraId="4684DAD9" w14:textId="2C8B04A4">
      <w:pPr>
        <w:rPr>
          <w:rFonts w:ascii="Arial" w:hAnsi="Arial"/>
        </w:rPr>
      </w:pPr>
      <w:r>
        <w:rPr>
          <w:rFonts w:ascii="Arial" w:hAnsi="Arial"/>
          <w:b/>
        </w:rPr>
        <w:t xml:space="preserve">ANNUALIZED </w:t>
      </w:r>
      <w:r w:rsidRPr="00B372FB">
        <w:rPr>
          <w:rFonts w:ascii="Arial" w:hAnsi="Arial"/>
          <w:b/>
        </w:rPr>
        <w:t>BURDEN HOURS</w:t>
      </w:r>
      <w:r w:rsidR="00AB2FEA">
        <w:rPr>
          <w:rFonts w:ascii="Arial" w:hAnsi="Arial"/>
          <w:b/>
        </w:rPr>
        <w:t>:</w:t>
      </w:r>
      <w:r w:rsidRPr="00B372FB">
        <w:rPr>
          <w:rFonts w:ascii="Arial" w:hAnsi="Arial"/>
        </w:rPr>
        <w:t xml:space="preserve"> </w:t>
      </w:r>
    </w:p>
    <w:p w:rsidR="0024150F" w:rsidRPr="00B372FB" w:rsidP="00C86E91" w14:paraId="14D94F0F" w14:textId="1C88CC63">
      <w:pPr>
        <w:rPr>
          <w:rFonts w:ascii="Arial" w:hAnsi="Arial"/>
          <w:i/>
        </w:rPr>
      </w:pPr>
      <w:r>
        <w:rPr>
          <w:rFonts w:ascii="Arial" w:hAnsi="Arial"/>
        </w:rPr>
        <w:t xml:space="preserve">This table calculates the </w:t>
      </w:r>
      <w:r w:rsidR="00393D08">
        <w:rPr>
          <w:rFonts w:ascii="Arial" w:hAnsi="Arial"/>
        </w:rPr>
        <w:t>total estimated</w:t>
      </w:r>
      <w:r>
        <w:rPr>
          <w:rFonts w:ascii="Arial" w:hAnsi="Arial"/>
        </w:rPr>
        <w:t xml:space="preserve"> burden per year</w:t>
      </w:r>
      <w:r w:rsidR="00393D08">
        <w:rPr>
          <w:rFonts w:ascii="Arial" w:hAnsi="Arial"/>
        </w:rPr>
        <w:t xml:space="preserve"> for all recipients</w:t>
      </w:r>
      <w:r>
        <w:rPr>
          <w:rFonts w:ascii="Arial" w:hAnsi="Arial"/>
        </w:rPr>
        <w:t>.</w:t>
      </w:r>
    </w:p>
    <w:p w:rsidR="00B46F2C" w:rsidRPr="00B372FB" w:rsidP="00F3170F" w14:paraId="71CC9324" w14:textId="77777777">
      <w:pPr>
        <w:keepNext/>
        <w:keepLines/>
        <w:rPr>
          <w:rFonts w:ascii="Arial" w:hAnsi="Arial"/>
          <w:b/>
        </w:rPr>
      </w:pP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1800"/>
        <w:gridCol w:w="1620"/>
        <w:gridCol w:w="1800"/>
        <w:gridCol w:w="1710"/>
        <w:gridCol w:w="1350"/>
      </w:tblGrid>
      <w:tr w14:paraId="1C028583" w14:textId="77777777" w:rsidTr="006F1548">
        <w:tblPrEx>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070" w:type="dxa"/>
          </w:tcPr>
          <w:p w:rsidR="00336372" w:rsidRPr="00B372FB" w:rsidP="00C8488C" w14:paraId="5035C3E3" w14:textId="0D535849">
            <w:pPr>
              <w:rPr>
                <w:rFonts w:ascii="Arial" w:hAnsi="Arial"/>
                <w:b/>
              </w:rPr>
            </w:pPr>
            <w:r>
              <w:rPr>
                <w:rFonts w:ascii="Arial" w:hAnsi="Arial"/>
                <w:b/>
              </w:rPr>
              <w:t>Type</w:t>
            </w:r>
            <w:r w:rsidRPr="00B372FB">
              <w:rPr>
                <w:rFonts w:ascii="Arial" w:hAnsi="Arial"/>
                <w:b/>
              </w:rPr>
              <w:t xml:space="preserve"> of Respondent </w:t>
            </w:r>
          </w:p>
        </w:tc>
        <w:tc>
          <w:tcPr>
            <w:tcW w:w="1800" w:type="dxa"/>
          </w:tcPr>
          <w:p w:rsidR="00336372" w:rsidRPr="00B372FB" w:rsidP="00843796" w14:paraId="39A8C663" w14:textId="77777777">
            <w:pPr>
              <w:rPr>
                <w:rFonts w:ascii="Arial" w:hAnsi="Arial"/>
                <w:b/>
              </w:rPr>
            </w:pPr>
            <w:r>
              <w:rPr>
                <w:rFonts w:ascii="Arial" w:hAnsi="Arial"/>
                <w:b/>
              </w:rPr>
              <w:t>Form Name</w:t>
            </w:r>
          </w:p>
        </w:tc>
        <w:tc>
          <w:tcPr>
            <w:tcW w:w="1620" w:type="dxa"/>
          </w:tcPr>
          <w:p w:rsidR="00336372" w:rsidRPr="00B372FB" w:rsidP="00843796" w14:paraId="1ACFA586" w14:textId="77777777">
            <w:pPr>
              <w:rPr>
                <w:rFonts w:ascii="Arial" w:hAnsi="Arial"/>
                <w:b/>
              </w:rPr>
            </w:pPr>
            <w:r w:rsidRPr="00B372FB">
              <w:rPr>
                <w:rFonts w:ascii="Arial" w:hAnsi="Arial"/>
                <w:b/>
              </w:rPr>
              <w:t>No. of Respondents</w:t>
            </w:r>
          </w:p>
        </w:tc>
        <w:tc>
          <w:tcPr>
            <w:tcW w:w="1800" w:type="dxa"/>
          </w:tcPr>
          <w:p w:rsidR="00336372" w:rsidRPr="00B372FB" w:rsidP="00843796" w14:paraId="30A787B4" w14:textId="29AF8FC4">
            <w:pPr>
              <w:rPr>
                <w:rFonts w:ascii="Arial" w:hAnsi="Arial"/>
                <w:b/>
              </w:rPr>
            </w:pPr>
            <w:r>
              <w:rPr>
                <w:rFonts w:ascii="Arial" w:hAnsi="Arial"/>
                <w:b/>
              </w:rPr>
              <w:t>No. of Responses per Respondent</w:t>
            </w:r>
          </w:p>
        </w:tc>
        <w:tc>
          <w:tcPr>
            <w:tcW w:w="1710" w:type="dxa"/>
          </w:tcPr>
          <w:p w:rsidR="00336372" w:rsidRPr="00B372FB" w:rsidP="00843796" w14:paraId="2B0DCC30" w14:textId="38D94D12">
            <w:pPr>
              <w:rPr>
                <w:rFonts w:ascii="Arial" w:hAnsi="Arial"/>
                <w:b/>
              </w:rPr>
            </w:pPr>
            <w:r>
              <w:rPr>
                <w:rFonts w:ascii="Arial" w:hAnsi="Arial"/>
                <w:b/>
              </w:rPr>
              <w:t>Avg. Burden Per Response</w:t>
            </w:r>
          </w:p>
        </w:tc>
        <w:tc>
          <w:tcPr>
            <w:tcW w:w="1350" w:type="dxa"/>
          </w:tcPr>
          <w:p w:rsidR="00336372" w:rsidRPr="00B372FB" w:rsidP="00843796" w14:paraId="4B5F245B" w14:textId="78A47BFD">
            <w:pPr>
              <w:rPr>
                <w:rFonts w:ascii="Arial" w:hAnsi="Arial"/>
                <w:b/>
              </w:rPr>
            </w:pPr>
            <w:r>
              <w:rPr>
                <w:rFonts w:ascii="Arial" w:hAnsi="Arial"/>
                <w:b/>
              </w:rPr>
              <w:t xml:space="preserve">Total </w:t>
            </w:r>
            <w:r w:rsidR="00DD3169">
              <w:rPr>
                <w:rFonts w:ascii="Arial" w:hAnsi="Arial"/>
                <w:b/>
              </w:rPr>
              <w:t xml:space="preserve">Annualized </w:t>
            </w:r>
            <w:r w:rsidRPr="00B372FB">
              <w:rPr>
                <w:rFonts w:ascii="Arial" w:hAnsi="Arial"/>
                <w:b/>
              </w:rPr>
              <w:t>Burden</w:t>
            </w:r>
            <w:r>
              <w:rPr>
                <w:rFonts w:ascii="Arial" w:hAnsi="Arial"/>
                <w:b/>
              </w:rPr>
              <w:t xml:space="preserve"> Hours</w:t>
            </w:r>
          </w:p>
        </w:tc>
      </w:tr>
      <w:tr w14:paraId="78F9F73A" w14:textId="77777777" w:rsidTr="006F1548">
        <w:tblPrEx>
          <w:tblW w:w="10350" w:type="dxa"/>
          <w:tblInd w:w="-365" w:type="dxa"/>
          <w:tblLayout w:type="fixed"/>
          <w:tblLook w:val="01E0"/>
        </w:tblPrEx>
        <w:trPr>
          <w:trHeight w:val="253"/>
        </w:trPr>
        <w:tc>
          <w:tcPr>
            <w:tcW w:w="2070" w:type="dxa"/>
          </w:tcPr>
          <w:p w:rsidR="00336372" w:rsidRPr="00B372FB" w:rsidP="00843796" w14:paraId="27C8ACE3" w14:textId="7B1EDC14">
            <w:pPr>
              <w:rPr>
                <w:rFonts w:ascii="Arial" w:hAnsi="Arial"/>
              </w:rPr>
            </w:pPr>
            <w:r>
              <w:rPr>
                <w:rFonts w:ascii="Arial" w:hAnsi="Arial"/>
              </w:rPr>
              <w:t>State</w:t>
            </w:r>
            <w:r w:rsidR="00317C72">
              <w:rPr>
                <w:rFonts w:ascii="Arial" w:hAnsi="Arial"/>
              </w:rPr>
              <w:t>s</w:t>
            </w:r>
          </w:p>
        </w:tc>
        <w:tc>
          <w:tcPr>
            <w:tcW w:w="1800" w:type="dxa"/>
          </w:tcPr>
          <w:p w:rsidR="00336372" w:rsidRPr="00B372FB" w:rsidP="00843796" w14:paraId="589D4014" w14:textId="2F0ACD86">
            <w:pPr>
              <w:rPr>
                <w:rFonts w:ascii="Arial" w:hAnsi="Arial"/>
              </w:rPr>
            </w:pPr>
            <w:r w:rsidRPr="00D5400F">
              <w:rPr>
                <w:rFonts w:ascii="Arial" w:hAnsi="Arial"/>
              </w:rPr>
              <w:t>Component A P</w:t>
            </w:r>
            <w:r>
              <w:rPr>
                <w:rFonts w:ascii="Arial" w:hAnsi="Arial"/>
              </w:rPr>
              <w:t xml:space="preserve">erformance </w:t>
            </w:r>
            <w:r w:rsidRPr="00D5400F">
              <w:rPr>
                <w:rFonts w:ascii="Arial" w:hAnsi="Arial"/>
              </w:rPr>
              <w:t>M</w:t>
            </w:r>
            <w:r>
              <w:rPr>
                <w:rFonts w:ascii="Arial" w:hAnsi="Arial"/>
              </w:rPr>
              <w:t>easure</w:t>
            </w:r>
            <w:r w:rsidR="00636D50">
              <w:rPr>
                <w:rFonts w:ascii="Arial" w:hAnsi="Arial"/>
              </w:rPr>
              <w:t xml:space="preserve"> Guidance </w:t>
            </w:r>
          </w:p>
        </w:tc>
        <w:tc>
          <w:tcPr>
            <w:tcW w:w="1620" w:type="dxa"/>
          </w:tcPr>
          <w:p w:rsidR="00336372" w:rsidRPr="00B372FB" w:rsidP="00D5400F" w14:paraId="23B02146" w14:textId="7EB1DDB8">
            <w:pPr>
              <w:jc w:val="center"/>
              <w:rPr>
                <w:rFonts w:ascii="Arial" w:hAnsi="Arial"/>
              </w:rPr>
            </w:pPr>
            <w:r>
              <w:rPr>
                <w:rFonts w:ascii="Arial" w:hAnsi="Arial"/>
              </w:rPr>
              <w:t>51</w:t>
            </w:r>
          </w:p>
        </w:tc>
        <w:tc>
          <w:tcPr>
            <w:tcW w:w="1800" w:type="dxa"/>
          </w:tcPr>
          <w:p w:rsidR="00336372" w:rsidRPr="00B372FB" w:rsidP="00D5400F" w14:paraId="7A1F511D" w14:textId="3A1064E1">
            <w:pPr>
              <w:jc w:val="center"/>
              <w:rPr>
                <w:rFonts w:ascii="Arial" w:hAnsi="Arial"/>
              </w:rPr>
            </w:pPr>
            <w:r>
              <w:rPr>
                <w:rFonts w:ascii="Arial" w:hAnsi="Arial"/>
              </w:rPr>
              <w:t>1</w:t>
            </w:r>
          </w:p>
        </w:tc>
        <w:tc>
          <w:tcPr>
            <w:tcW w:w="1710" w:type="dxa"/>
          </w:tcPr>
          <w:p w:rsidR="00336372" w:rsidRPr="00B372FB" w:rsidP="00D5400F" w14:paraId="36F94463" w14:textId="036E8EAC">
            <w:pPr>
              <w:jc w:val="center"/>
              <w:rPr>
                <w:rFonts w:ascii="Arial" w:hAnsi="Arial"/>
              </w:rPr>
            </w:pPr>
            <w:r>
              <w:rPr>
                <w:rFonts w:ascii="Arial" w:hAnsi="Arial"/>
              </w:rPr>
              <w:t>8</w:t>
            </w:r>
            <w:r w:rsidR="00317C72">
              <w:rPr>
                <w:rFonts w:ascii="Arial" w:hAnsi="Arial"/>
              </w:rPr>
              <w:t xml:space="preserve"> hours</w:t>
            </w:r>
          </w:p>
        </w:tc>
        <w:tc>
          <w:tcPr>
            <w:tcW w:w="1350" w:type="dxa"/>
          </w:tcPr>
          <w:p w:rsidR="00336372" w:rsidRPr="00B372FB" w:rsidP="00D5400F" w14:paraId="13C14829" w14:textId="5241CFD4">
            <w:pPr>
              <w:jc w:val="center"/>
              <w:rPr>
                <w:rFonts w:ascii="Arial" w:hAnsi="Arial"/>
              </w:rPr>
            </w:pPr>
            <w:r>
              <w:rPr>
                <w:rFonts w:ascii="Arial" w:hAnsi="Arial"/>
              </w:rPr>
              <w:t>408</w:t>
            </w:r>
          </w:p>
        </w:tc>
      </w:tr>
      <w:tr w14:paraId="368E829C" w14:textId="77777777" w:rsidTr="006F1548">
        <w:tblPrEx>
          <w:tblW w:w="10350" w:type="dxa"/>
          <w:tblInd w:w="-365" w:type="dxa"/>
          <w:tblLayout w:type="fixed"/>
          <w:tblLook w:val="01E0"/>
        </w:tblPrEx>
        <w:trPr>
          <w:trHeight w:val="253"/>
        </w:trPr>
        <w:tc>
          <w:tcPr>
            <w:tcW w:w="2070" w:type="dxa"/>
          </w:tcPr>
          <w:p w:rsidR="00336372" w:rsidRPr="00B372FB" w:rsidP="00843796" w14:paraId="288E5DF7" w14:textId="44325A76">
            <w:pPr>
              <w:rPr>
                <w:rFonts w:ascii="Arial" w:hAnsi="Arial"/>
              </w:rPr>
            </w:pPr>
            <w:r>
              <w:rPr>
                <w:rFonts w:ascii="Arial" w:hAnsi="Arial"/>
              </w:rPr>
              <w:t>Non-Governmental Organizations</w:t>
            </w:r>
          </w:p>
        </w:tc>
        <w:tc>
          <w:tcPr>
            <w:tcW w:w="1800" w:type="dxa"/>
          </w:tcPr>
          <w:p w:rsidR="00336372" w:rsidRPr="00B372FB" w:rsidP="00843796" w14:paraId="78B783CD" w14:textId="442B0856">
            <w:pPr>
              <w:rPr>
                <w:rFonts w:ascii="Arial" w:hAnsi="Arial"/>
              </w:rPr>
            </w:pPr>
            <w:r w:rsidRPr="00D5400F">
              <w:rPr>
                <w:rFonts w:ascii="Arial" w:hAnsi="Arial"/>
              </w:rPr>
              <w:t>Component B P</w:t>
            </w:r>
            <w:r>
              <w:rPr>
                <w:rFonts w:ascii="Arial" w:hAnsi="Arial"/>
              </w:rPr>
              <w:t xml:space="preserve">erformance </w:t>
            </w:r>
            <w:r w:rsidRPr="00D5400F">
              <w:rPr>
                <w:rFonts w:ascii="Arial" w:hAnsi="Arial"/>
              </w:rPr>
              <w:t>M</w:t>
            </w:r>
            <w:r>
              <w:rPr>
                <w:rFonts w:ascii="Arial" w:hAnsi="Arial"/>
              </w:rPr>
              <w:t>easure</w:t>
            </w:r>
            <w:r w:rsidRPr="00D5400F">
              <w:rPr>
                <w:rFonts w:ascii="Arial" w:hAnsi="Arial"/>
              </w:rPr>
              <w:t xml:space="preserve"> </w:t>
            </w:r>
            <w:r w:rsidR="00636D50">
              <w:rPr>
                <w:rFonts w:ascii="Arial" w:hAnsi="Arial"/>
              </w:rPr>
              <w:t>Guidance</w:t>
            </w:r>
          </w:p>
        </w:tc>
        <w:tc>
          <w:tcPr>
            <w:tcW w:w="1620" w:type="dxa"/>
          </w:tcPr>
          <w:p w:rsidR="00336372" w:rsidRPr="00B372FB" w:rsidP="00D5400F" w14:paraId="33483CB8" w14:textId="4247ABF8">
            <w:pPr>
              <w:jc w:val="center"/>
              <w:rPr>
                <w:rFonts w:ascii="Arial" w:hAnsi="Arial"/>
              </w:rPr>
            </w:pPr>
            <w:r>
              <w:rPr>
                <w:rFonts w:ascii="Arial" w:hAnsi="Arial"/>
              </w:rPr>
              <w:t>22</w:t>
            </w:r>
          </w:p>
        </w:tc>
        <w:tc>
          <w:tcPr>
            <w:tcW w:w="1800" w:type="dxa"/>
          </w:tcPr>
          <w:p w:rsidR="00336372" w:rsidRPr="00B372FB" w:rsidP="00D5400F" w14:paraId="754B4592" w14:textId="529D210F">
            <w:pPr>
              <w:jc w:val="center"/>
              <w:rPr>
                <w:rFonts w:ascii="Arial" w:hAnsi="Arial"/>
              </w:rPr>
            </w:pPr>
            <w:r>
              <w:rPr>
                <w:rFonts w:ascii="Arial" w:hAnsi="Arial"/>
              </w:rPr>
              <w:t>1</w:t>
            </w:r>
          </w:p>
        </w:tc>
        <w:tc>
          <w:tcPr>
            <w:tcW w:w="1710" w:type="dxa"/>
          </w:tcPr>
          <w:p w:rsidR="00336372" w:rsidRPr="00B372FB" w:rsidP="00D5400F" w14:paraId="754E3263" w14:textId="330A2F62">
            <w:pPr>
              <w:jc w:val="center"/>
              <w:rPr>
                <w:rFonts w:ascii="Arial" w:hAnsi="Arial"/>
              </w:rPr>
            </w:pPr>
            <w:r>
              <w:rPr>
                <w:rFonts w:ascii="Arial" w:hAnsi="Arial"/>
              </w:rPr>
              <w:t>8</w:t>
            </w:r>
            <w:r w:rsidR="00317C72">
              <w:rPr>
                <w:rFonts w:ascii="Arial" w:hAnsi="Arial"/>
              </w:rPr>
              <w:t xml:space="preserve"> hours</w:t>
            </w:r>
          </w:p>
        </w:tc>
        <w:tc>
          <w:tcPr>
            <w:tcW w:w="1350" w:type="dxa"/>
          </w:tcPr>
          <w:p w:rsidR="00336372" w:rsidRPr="00B372FB" w:rsidP="00D5400F" w14:paraId="53EFEE1C" w14:textId="168D8B29">
            <w:pPr>
              <w:jc w:val="center"/>
              <w:rPr>
                <w:rFonts w:ascii="Arial" w:hAnsi="Arial"/>
              </w:rPr>
            </w:pPr>
            <w:r>
              <w:rPr>
                <w:rFonts w:ascii="Arial" w:hAnsi="Arial"/>
              </w:rPr>
              <w:t>176</w:t>
            </w:r>
          </w:p>
        </w:tc>
      </w:tr>
      <w:tr w14:paraId="7EB78BE8" w14:textId="77777777" w:rsidTr="006F1548">
        <w:tblPrEx>
          <w:tblW w:w="10350" w:type="dxa"/>
          <w:tblInd w:w="-365" w:type="dxa"/>
          <w:tblLayout w:type="fixed"/>
          <w:tblLook w:val="01E0"/>
        </w:tblPrEx>
        <w:trPr>
          <w:trHeight w:val="253"/>
        </w:trPr>
        <w:tc>
          <w:tcPr>
            <w:tcW w:w="2070" w:type="dxa"/>
          </w:tcPr>
          <w:p w:rsidR="00D5400F" w:rsidP="00843796" w14:paraId="51AECEBA" w14:textId="5B58F337">
            <w:pPr>
              <w:rPr>
                <w:rFonts w:ascii="Arial" w:hAnsi="Arial"/>
              </w:rPr>
            </w:pPr>
            <w:r>
              <w:rPr>
                <w:rFonts w:ascii="Arial" w:hAnsi="Arial"/>
              </w:rPr>
              <w:t>Private Sector</w:t>
            </w:r>
          </w:p>
        </w:tc>
        <w:tc>
          <w:tcPr>
            <w:tcW w:w="1800" w:type="dxa"/>
          </w:tcPr>
          <w:p w:rsidR="00D5400F" w:rsidRPr="00B372FB" w:rsidP="00843796" w14:paraId="3A3D9FAB" w14:textId="4FAC78D6">
            <w:pPr>
              <w:rPr>
                <w:rFonts w:ascii="Arial" w:hAnsi="Arial"/>
              </w:rPr>
            </w:pPr>
            <w:r w:rsidRPr="00D5400F">
              <w:rPr>
                <w:rFonts w:ascii="Arial" w:hAnsi="Arial"/>
              </w:rPr>
              <w:t>Component C P</w:t>
            </w:r>
            <w:r>
              <w:rPr>
                <w:rFonts w:ascii="Arial" w:hAnsi="Arial"/>
              </w:rPr>
              <w:t xml:space="preserve">erformance </w:t>
            </w:r>
            <w:r w:rsidRPr="00D5400F">
              <w:rPr>
                <w:rFonts w:ascii="Arial" w:hAnsi="Arial"/>
              </w:rPr>
              <w:t>M</w:t>
            </w:r>
            <w:r>
              <w:rPr>
                <w:rFonts w:ascii="Arial" w:hAnsi="Arial"/>
              </w:rPr>
              <w:t>easure</w:t>
            </w:r>
            <w:r w:rsidRPr="00D5400F">
              <w:rPr>
                <w:rFonts w:ascii="Arial" w:hAnsi="Arial"/>
              </w:rPr>
              <w:t xml:space="preserve"> </w:t>
            </w:r>
            <w:r w:rsidR="00636D50">
              <w:rPr>
                <w:rFonts w:ascii="Arial" w:hAnsi="Arial"/>
              </w:rPr>
              <w:t>Guidance</w:t>
            </w:r>
          </w:p>
        </w:tc>
        <w:tc>
          <w:tcPr>
            <w:tcW w:w="1620" w:type="dxa"/>
          </w:tcPr>
          <w:p w:rsidR="00D5400F" w:rsidRPr="00B372FB" w:rsidP="00D5400F" w14:paraId="692344C0" w14:textId="368D6D39">
            <w:pPr>
              <w:jc w:val="center"/>
              <w:rPr>
                <w:rFonts w:ascii="Arial" w:hAnsi="Arial"/>
              </w:rPr>
            </w:pPr>
            <w:r>
              <w:rPr>
                <w:rFonts w:ascii="Arial" w:hAnsi="Arial"/>
              </w:rPr>
              <w:t>4</w:t>
            </w:r>
          </w:p>
        </w:tc>
        <w:tc>
          <w:tcPr>
            <w:tcW w:w="1800" w:type="dxa"/>
          </w:tcPr>
          <w:p w:rsidR="00D5400F" w:rsidRPr="00B372FB" w:rsidP="00D5400F" w14:paraId="09116D98" w14:textId="6AA3E93D">
            <w:pPr>
              <w:jc w:val="center"/>
              <w:rPr>
                <w:rFonts w:ascii="Arial" w:hAnsi="Arial"/>
              </w:rPr>
            </w:pPr>
            <w:r>
              <w:rPr>
                <w:rFonts w:ascii="Arial" w:hAnsi="Arial"/>
              </w:rPr>
              <w:t>1</w:t>
            </w:r>
          </w:p>
        </w:tc>
        <w:tc>
          <w:tcPr>
            <w:tcW w:w="1710" w:type="dxa"/>
          </w:tcPr>
          <w:p w:rsidR="00D5400F" w:rsidRPr="00B372FB" w:rsidP="00D5400F" w14:paraId="7CA60CA6" w14:textId="5DCD8156">
            <w:pPr>
              <w:jc w:val="center"/>
              <w:rPr>
                <w:rFonts w:ascii="Arial" w:hAnsi="Arial"/>
              </w:rPr>
            </w:pPr>
            <w:r>
              <w:rPr>
                <w:rFonts w:ascii="Arial" w:hAnsi="Arial"/>
              </w:rPr>
              <w:t>8</w:t>
            </w:r>
            <w:r w:rsidR="00317C72">
              <w:rPr>
                <w:rFonts w:ascii="Arial" w:hAnsi="Arial"/>
              </w:rPr>
              <w:t xml:space="preserve"> hours</w:t>
            </w:r>
          </w:p>
        </w:tc>
        <w:tc>
          <w:tcPr>
            <w:tcW w:w="1350" w:type="dxa"/>
          </w:tcPr>
          <w:p w:rsidR="00D5400F" w:rsidRPr="00B372FB" w:rsidP="00D5400F" w14:paraId="0940317F" w14:textId="1CA506BD">
            <w:pPr>
              <w:jc w:val="center"/>
              <w:rPr>
                <w:rFonts w:ascii="Arial" w:hAnsi="Arial"/>
              </w:rPr>
            </w:pPr>
            <w:r>
              <w:rPr>
                <w:rFonts w:ascii="Arial" w:hAnsi="Arial"/>
              </w:rPr>
              <w:t>32</w:t>
            </w:r>
          </w:p>
        </w:tc>
      </w:tr>
      <w:tr w14:paraId="11952BC7" w14:textId="77777777" w:rsidTr="006F1548">
        <w:tblPrEx>
          <w:tblW w:w="10350" w:type="dxa"/>
          <w:tblInd w:w="-365" w:type="dxa"/>
          <w:tblLayout w:type="fixed"/>
          <w:tblLook w:val="01E0"/>
        </w:tblPrEx>
        <w:trPr>
          <w:trHeight w:val="267"/>
        </w:trPr>
        <w:tc>
          <w:tcPr>
            <w:tcW w:w="2070" w:type="dxa"/>
          </w:tcPr>
          <w:p w:rsidR="00336372" w:rsidRPr="00B372FB" w:rsidP="00843796" w14:paraId="14357DBB" w14:textId="77777777">
            <w:pPr>
              <w:rPr>
                <w:rFonts w:ascii="Arial" w:hAnsi="Arial"/>
                <w:b/>
              </w:rPr>
            </w:pPr>
            <w:r w:rsidRPr="00B372FB">
              <w:rPr>
                <w:rFonts w:ascii="Arial" w:hAnsi="Arial"/>
                <w:b/>
              </w:rPr>
              <w:t>Totals</w:t>
            </w:r>
          </w:p>
        </w:tc>
        <w:tc>
          <w:tcPr>
            <w:tcW w:w="1800" w:type="dxa"/>
          </w:tcPr>
          <w:p w:rsidR="00336372" w:rsidRPr="00B372FB" w:rsidP="00843796" w14:paraId="6325275A" w14:textId="77777777">
            <w:pPr>
              <w:rPr>
                <w:rFonts w:ascii="Arial" w:hAnsi="Arial"/>
                <w:b/>
              </w:rPr>
            </w:pPr>
          </w:p>
        </w:tc>
        <w:tc>
          <w:tcPr>
            <w:tcW w:w="1620" w:type="dxa"/>
          </w:tcPr>
          <w:p w:rsidR="00336372" w:rsidRPr="00B372FB" w:rsidP="00D5400F" w14:paraId="23639F48" w14:textId="1B4065E5">
            <w:pPr>
              <w:jc w:val="center"/>
              <w:rPr>
                <w:rFonts w:ascii="Arial" w:hAnsi="Arial"/>
                <w:b/>
              </w:rPr>
            </w:pPr>
          </w:p>
        </w:tc>
        <w:tc>
          <w:tcPr>
            <w:tcW w:w="1800" w:type="dxa"/>
          </w:tcPr>
          <w:p w:rsidR="00336372" w:rsidRPr="00D5400F" w:rsidP="00D5400F" w14:paraId="49FE1D2A" w14:textId="1091BCF0">
            <w:pPr>
              <w:jc w:val="center"/>
              <w:rPr>
                <w:rFonts w:ascii="Arial" w:hAnsi="Arial"/>
                <w:b/>
                <w:bCs/>
              </w:rPr>
            </w:pPr>
          </w:p>
        </w:tc>
        <w:tc>
          <w:tcPr>
            <w:tcW w:w="1710" w:type="dxa"/>
          </w:tcPr>
          <w:p w:rsidR="00336372" w:rsidRPr="00D5400F" w:rsidP="00D5400F" w14:paraId="3FE26319" w14:textId="420A0640">
            <w:pPr>
              <w:jc w:val="center"/>
              <w:rPr>
                <w:rFonts w:ascii="Arial" w:hAnsi="Arial"/>
                <w:b/>
                <w:bCs/>
              </w:rPr>
            </w:pPr>
          </w:p>
        </w:tc>
        <w:tc>
          <w:tcPr>
            <w:tcW w:w="1350" w:type="dxa"/>
          </w:tcPr>
          <w:p w:rsidR="00336372" w:rsidRPr="00B372FB" w:rsidP="00D5400F" w14:paraId="6B009D08" w14:textId="71D3ACA3">
            <w:pPr>
              <w:jc w:val="center"/>
              <w:rPr>
                <w:rFonts w:ascii="Arial" w:hAnsi="Arial"/>
                <w:b/>
              </w:rPr>
            </w:pPr>
            <w:r>
              <w:rPr>
                <w:rFonts w:ascii="Arial" w:hAnsi="Arial"/>
                <w:b/>
              </w:rPr>
              <w:t>616</w:t>
            </w:r>
          </w:p>
        </w:tc>
      </w:tr>
    </w:tbl>
    <w:p w:rsidR="00B46F2C" w:rsidP="00F3170F" w14:paraId="22BD2C1D" w14:textId="79DD77C2">
      <w:pPr>
        <w:rPr>
          <w:rFonts w:ascii="Arial" w:hAnsi="Arial"/>
        </w:rPr>
      </w:pPr>
    </w:p>
    <w:p w:rsidR="00336372" w:rsidP="00F3170F" w14:paraId="16ED553B" w14:textId="752CFFF2">
      <w:pPr>
        <w:rPr>
          <w:rFonts w:ascii="Arial" w:hAnsi="Arial"/>
          <w:b/>
        </w:rPr>
      </w:pPr>
    </w:p>
    <w:p w:rsidR="00127D82" w:rsidP="00F3170F" w14:paraId="5A63CA7E" w14:textId="77777777">
      <w:pPr>
        <w:rPr>
          <w:rFonts w:ascii="Arial" w:hAnsi="Arial"/>
          <w:b/>
        </w:rPr>
      </w:pPr>
    </w:p>
    <w:p w:rsidR="00336372" w:rsidP="00F3170F" w14:paraId="404837F3" w14:textId="6C3DD3DA">
      <w:pPr>
        <w:rPr>
          <w:rFonts w:ascii="Arial" w:hAnsi="Arial"/>
        </w:rPr>
      </w:pPr>
      <w:r>
        <w:rPr>
          <w:rFonts w:ascii="Arial" w:hAnsi="Arial"/>
          <w:b/>
        </w:rPr>
        <w:t xml:space="preserve">TOTAL </w:t>
      </w:r>
      <w:r w:rsidRPr="00B372FB">
        <w:rPr>
          <w:rFonts w:ascii="Arial" w:hAnsi="Arial"/>
          <w:b/>
        </w:rPr>
        <w:t>BURDEN HOURS</w:t>
      </w:r>
      <w:r>
        <w:rPr>
          <w:rFonts w:ascii="Arial" w:hAnsi="Arial"/>
          <w:b/>
        </w:rPr>
        <w:t xml:space="preserve"> FOR THIS GENIC</w:t>
      </w:r>
      <w:r w:rsidR="00AB2FEA">
        <w:rPr>
          <w:rFonts w:ascii="Arial" w:hAnsi="Arial"/>
          <w:b/>
        </w:rPr>
        <w:t>:</w:t>
      </w:r>
      <w:r w:rsidRPr="00B372FB">
        <w:rPr>
          <w:rFonts w:ascii="Arial" w:hAnsi="Arial"/>
        </w:rPr>
        <w:t xml:space="preserve"> </w:t>
      </w:r>
    </w:p>
    <w:p w:rsidR="0024150F" w:rsidRPr="00F87606" w:rsidP="00F3170F" w14:paraId="344E169F" w14:textId="334E3017">
      <w:pPr>
        <w:rPr>
          <w:rFonts w:ascii="Arial" w:hAnsi="Arial"/>
          <w:i/>
        </w:rPr>
      </w:pPr>
      <w:r>
        <w:rPr>
          <w:rFonts w:ascii="Arial" w:hAnsi="Arial"/>
        </w:rPr>
        <w:t xml:space="preserve">This table specifies the </w:t>
      </w:r>
      <w:r w:rsidR="00F87606">
        <w:rPr>
          <w:rFonts w:ascii="Arial" w:hAnsi="Arial"/>
        </w:rPr>
        <w:t>calendar years in which information will be collected</w:t>
      </w:r>
      <w:r>
        <w:rPr>
          <w:rFonts w:ascii="Arial" w:hAnsi="Arial"/>
        </w:rPr>
        <w:t xml:space="preserve"> and calculates </w:t>
      </w:r>
      <w:r w:rsidR="00DD3169">
        <w:rPr>
          <w:rFonts w:ascii="Arial" w:hAnsi="Arial"/>
        </w:rPr>
        <w:t xml:space="preserve">the </w:t>
      </w:r>
      <w:r w:rsidR="00393D08">
        <w:rPr>
          <w:rFonts w:ascii="Arial" w:hAnsi="Arial"/>
        </w:rPr>
        <w:t>t</w:t>
      </w:r>
      <w:r>
        <w:rPr>
          <w:rFonts w:ascii="Arial" w:hAnsi="Arial"/>
        </w:rPr>
        <w:t xml:space="preserve">otal burden </w:t>
      </w:r>
      <w:r w:rsidR="00DD3169">
        <w:rPr>
          <w:rFonts w:ascii="Arial" w:hAnsi="Arial"/>
        </w:rPr>
        <w:t xml:space="preserve">hours requested </w:t>
      </w:r>
      <w:r w:rsidR="00393D08">
        <w:rPr>
          <w:rFonts w:ascii="Arial" w:hAnsi="Arial"/>
        </w:rPr>
        <w:t>over</w:t>
      </w:r>
      <w:r>
        <w:rPr>
          <w:rFonts w:ascii="Arial" w:hAnsi="Arial"/>
        </w:rPr>
        <w:t xml:space="preserve"> th</w:t>
      </w:r>
      <w:r w:rsidR="00393D08">
        <w:rPr>
          <w:rFonts w:ascii="Arial" w:hAnsi="Arial"/>
        </w:rPr>
        <w:t xml:space="preserve">e </w:t>
      </w:r>
      <w:r w:rsidR="00E64550">
        <w:rPr>
          <w:rFonts w:ascii="Arial" w:hAnsi="Arial"/>
        </w:rPr>
        <w:t xml:space="preserve">approved </w:t>
      </w:r>
      <w:r w:rsidR="00DD3169">
        <w:rPr>
          <w:rFonts w:ascii="Arial" w:hAnsi="Arial"/>
        </w:rPr>
        <w:t>timeframe</w:t>
      </w:r>
      <w:r w:rsidR="00E64550">
        <w:rPr>
          <w:rFonts w:ascii="Arial" w:hAnsi="Arial"/>
        </w:rPr>
        <w:t xml:space="preserve"> of the generic</w:t>
      </w:r>
      <w:r>
        <w:rPr>
          <w:rFonts w:ascii="Arial" w:hAnsi="Arial"/>
        </w:rPr>
        <w:t>.</w:t>
      </w:r>
    </w:p>
    <w:tbl>
      <w:tblPr>
        <w:tblStyle w:val="TableGrid"/>
        <w:tblW w:w="9805" w:type="dxa"/>
        <w:tblLook w:val="04A0"/>
      </w:tblPr>
      <w:tblGrid>
        <w:gridCol w:w="4405"/>
        <w:gridCol w:w="1440"/>
        <w:gridCol w:w="1800"/>
        <w:gridCol w:w="2160"/>
      </w:tblGrid>
      <w:tr w14:paraId="022685B3" w14:textId="77777777" w:rsidTr="00F87606">
        <w:tblPrEx>
          <w:tblW w:w="9805" w:type="dxa"/>
          <w:tblLook w:val="04A0"/>
        </w:tblPrEx>
        <w:tc>
          <w:tcPr>
            <w:tcW w:w="4405" w:type="dxa"/>
            <w:vAlign w:val="center"/>
          </w:tcPr>
          <w:p w:rsidR="00336372" w:rsidRPr="00F87606" w:rsidP="000B6970" w14:paraId="7BB374D5" w14:textId="6EE991E5">
            <w:pPr>
              <w:rPr>
                <w:rFonts w:ascii="Arial" w:hAnsi="Arial" w:cs="Arial"/>
                <w:sz w:val="21"/>
                <w:szCs w:val="21"/>
              </w:rPr>
            </w:pPr>
            <w:r w:rsidRPr="00F87606">
              <w:rPr>
                <w:rFonts w:ascii="Arial" w:hAnsi="Arial" w:cs="Arial"/>
              </w:rPr>
              <w:t xml:space="preserve">Data Collection Timeframe (List </w:t>
            </w:r>
            <w:r w:rsidR="00DD3169">
              <w:rPr>
                <w:rFonts w:ascii="Arial" w:hAnsi="Arial" w:cs="Arial"/>
                <w:sz w:val="21"/>
                <w:szCs w:val="21"/>
              </w:rPr>
              <w:t xml:space="preserve">up to 3 </w:t>
            </w:r>
            <w:r w:rsidRPr="00F87606">
              <w:rPr>
                <w:rFonts w:ascii="Arial" w:hAnsi="Arial" w:cs="Arial"/>
              </w:rPr>
              <w:t>Years)</w:t>
            </w:r>
          </w:p>
        </w:tc>
        <w:tc>
          <w:tcPr>
            <w:tcW w:w="1440" w:type="dxa"/>
            <w:vAlign w:val="center"/>
          </w:tcPr>
          <w:p w:rsidR="00336372" w:rsidRPr="00F87606" w:rsidP="000B6970" w14:paraId="2E95F97B" w14:textId="77777777">
            <w:pPr>
              <w:rPr>
                <w:rFonts w:ascii="Arial" w:hAnsi="Arial" w:cs="Arial"/>
                <w:sz w:val="21"/>
                <w:szCs w:val="21"/>
              </w:rPr>
            </w:pPr>
            <w:r w:rsidRPr="00F87606">
              <w:rPr>
                <w:rFonts w:ascii="Arial" w:hAnsi="Arial" w:cs="Arial"/>
              </w:rPr>
              <w:t>No. Years Requested</w:t>
            </w:r>
          </w:p>
        </w:tc>
        <w:tc>
          <w:tcPr>
            <w:tcW w:w="1800" w:type="dxa"/>
            <w:vAlign w:val="center"/>
          </w:tcPr>
          <w:p w:rsidR="00336372" w:rsidRPr="00F87606" w:rsidP="000B6970" w14:paraId="4A909EF4" w14:textId="77777777">
            <w:pPr>
              <w:rPr>
                <w:rFonts w:ascii="Arial" w:hAnsi="Arial" w:cs="Arial"/>
                <w:sz w:val="21"/>
                <w:szCs w:val="21"/>
              </w:rPr>
            </w:pPr>
            <w:r w:rsidRPr="00F87606">
              <w:rPr>
                <w:rFonts w:ascii="Arial" w:hAnsi="Arial" w:cs="Arial"/>
              </w:rPr>
              <w:t>Annualized Burden Hours</w:t>
            </w:r>
          </w:p>
        </w:tc>
        <w:tc>
          <w:tcPr>
            <w:tcW w:w="2160" w:type="dxa"/>
            <w:vAlign w:val="center"/>
          </w:tcPr>
          <w:p w:rsidR="00336372" w:rsidRPr="00F87606" w:rsidP="000B6970" w14:paraId="292EC41E" w14:textId="4667E492">
            <w:pPr>
              <w:rPr>
                <w:rFonts w:ascii="Arial" w:hAnsi="Arial" w:cs="Arial"/>
                <w:sz w:val="21"/>
                <w:szCs w:val="21"/>
              </w:rPr>
            </w:pPr>
            <w:r w:rsidRPr="00F87606">
              <w:rPr>
                <w:rFonts w:ascii="Arial" w:hAnsi="Arial" w:cs="Arial"/>
              </w:rPr>
              <w:t xml:space="preserve">Total Burden Hours </w:t>
            </w:r>
            <w:r w:rsidR="007E7082">
              <w:rPr>
                <w:rFonts w:ascii="Arial" w:hAnsi="Arial" w:cs="Arial"/>
                <w:sz w:val="21"/>
                <w:szCs w:val="21"/>
              </w:rPr>
              <w:t>for this GENIC</w:t>
            </w:r>
          </w:p>
        </w:tc>
      </w:tr>
      <w:tr w14:paraId="78C17734" w14:textId="77777777" w:rsidTr="00F87606">
        <w:tblPrEx>
          <w:tblW w:w="9805" w:type="dxa"/>
          <w:tblLook w:val="04A0"/>
        </w:tblPrEx>
        <w:tc>
          <w:tcPr>
            <w:tcW w:w="4405" w:type="dxa"/>
            <w:vAlign w:val="center"/>
          </w:tcPr>
          <w:p w:rsidR="00336372" w:rsidRPr="00F87606" w:rsidP="000B6970" w14:paraId="1AE3CC7E" w14:textId="32CBB344">
            <w:pPr>
              <w:rPr>
                <w:rFonts w:ascii="Arial" w:hAnsi="Arial" w:cs="Arial"/>
                <w:sz w:val="21"/>
                <w:szCs w:val="21"/>
              </w:rPr>
            </w:pPr>
            <w:r>
              <w:rPr>
                <w:rFonts w:ascii="Arial" w:hAnsi="Arial" w:cs="Arial"/>
                <w:sz w:val="21"/>
                <w:szCs w:val="21"/>
              </w:rPr>
              <w:t>202</w:t>
            </w:r>
            <w:r w:rsidR="004D4E12">
              <w:rPr>
                <w:rFonts w:ascii="Arial" w:hAnsi="Arial" w:cs="Arial"/>
                <w:sz w:val="21"/>
                <w:szCs w:val="21"/>
              </w:rPr>
              <w:t>4</w:t>
            </w:r>
            <w:r>
              <w:rPr>
                <w:rFonts w:ascii="Arial" w:hAnsi="Arial" w:cs="Arial"/>
                <w:sz w:val="21"/>
                <w:szCs w:val="21"/>
              </w:rPr>
              <w:t>, 202</w:t>
            </w:r>
            <w:r w:rsidR="004D4E12">
              <w:rPr>
                <w:rFonts w:ascii="Arial" w:hAnsi="Arial" w:cs="Arial"/>
                <w:sz w:val="21"/>
                <w:szCs w:val="21"/>
              </w:rPr>
              <w:t>5</w:t>
            </w:r>
            <w:r>
              <w:rPr>
                <w:rFonts w:ascii="Arial" w:hAnsi="Arial" w:cs="Arial"/>
                <w:sz w:val="21"/>
                <w:szCs w:val="21"/>
              </w:rPr>
              <w:t>, 202</w:t>
            </w:r>
            <w:r w:rsidR="004D4E12">
              <w:rPr>
                <w:rFonts w:ascii="Arial" w:hAnsi="Arial" w:cs="Arial"/>
                <w:sz w:val="21"/>
                <w:szCs w:val="21"/>
              </w:rPr>
              <w:t>6</w:t>
            </w:r>
          </w:p>
        </w:tc>
        <w:tc>
          <w:tcPr>
            <w:tcW w:w="1440" w:type="dxa"/>
            <w:vAlign w:val="center"/>
          </w:tcPr>
          <w:p w:rsidR="00336372" w:rsidRPr="00F87606" w:rsidP="000B6970" w14:paraId="3028B48D" w14:textId="4C95D993">
            <w:pPr>
              <w:jc w:val="center"/>
              <w:rPr>
                <w:rFonts w:ascii="Arial" w:hAnsi="Arial" w:cs="Arial"/>
                <w:sz w:val="21"/>
                <w:szCs w:val="21"/>
              </w:rPr>
            </w:pPr>
            <w:r>
              <w:rPr>
                <w:rFonts w:ascii="Arial" w:hAnsi="Arial" w:cs="Arial"/>
                <w:sz w:val="21"/>
                <w:szCs w:val="21"/>
              </w:rPr>
              <w:t>3</w:t>
            </w:r>
          </w:p>
        </w:tc>
        <w:tc>
          <w:tcPr>
            <w:tcW w:w="1800" w:type="dxa"/>
            <w:vAlign w:val="center"/>
          </w:tcPr>
          <w:p w:rsidR="00336372" w:rsidRPr="00F87606" w:rsidP="000B6970" w14:paraId="24A3473D" w14:textId="3E546ED1">
            <w:pPr>
              <w:jc w:val="center"/>
              <w:rPr>
                <w:rFonts w:ascii="Arial" w:hAnsi="Arial" w:cs="Arial"/>
                <w:sz w:val="21"/>
                <w:szCs w:val="21"/>
              </w:rPr>
            </w:pPr>
            <w:r>
              <w:rPr>
                <w:rFonts w:ascii="Arial" w:hAnsi="Arial" w:cs="Arial"/>
                <w:sz w:val="21"/>
                <w:szCs w:val="21"/>
              </w:rPr>
              <w:t>616</w:t>
            </w:r>
          </w:p>
        </w:tc>
        <w:tc>
          <w:tcPr>
            <w:tcW w:w="2160" w:type="dxa"/>
            <w:vAlign w:val="center"/>
          </w:tcPr>
          <w:p w:rsidR="00336372" w:rsidRPr="00D5400F" w:rsidP="000B6970" w14:paraId="26F0A39D" w14:textId="4C74FCC2">
            <w:pPr>
              <w:jc w:val="center"/>
              <w:rPr>
                <w:rFonts w:ascii="Arial" w:hAnsi="Arial" w:cs="Arial"/>
                <w:b/>
                <w:bCs/>
                <w:sz w:val="21"/>
                <w:szCs w:val="21"/>
              </w:rPr>
            </w:pPr>
            <w:r>
              <w:rPr>
                <w:rFonts w:ascii="Arial" w:hAnsi="Arial" w:cs="Arial"/>
                <w:b/>
                <w:bCs/>
                <w:sz w:val="21"/>
                <w:szCs w:val="21"/>
              </w:rPr>
              <w:t>1848</w:t>
            </w:r>
          </w:p>
        </w:tc>
      </w:tr>
    </w:tbl>
    <w:p w:rsidR="00336372" w:rsidRPr="00B372FB" w:rsidP="00F3170F" w14:paraId="1F03EC12" w14:textId="77777777">
      <w:pPr>
        <w:rPr>
          <w:rFonts w:ascii="Arial" w:hAnsi="Arial"/>
        </w:rPr>
      </w:pPr>
    </w:p>
    <w:p w:rsidR="00B46F2C" w:rsidRPr="00D11DD8" w14:paraId="4E521E90" w14:textId="5028ECE0">
      <w:pPr>
        <w:rPr>
          <w:rFonts w:ascii="Arial" w:hAnsi="Arial"/>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w:t>
      </w:r>
      <w:r w:rsidRPr="00D11DD8" w:rsidR="00D11DD8">
        <w:rPr>
          <w:rFonts w:ascii="Arial" w:hAnsi="Arial"/>
          <w:b/>
          <w:bCs/>
          <w:i/>
          <w:iCs/>
          <w:u w:val="single"/>
        </w:rPr>
        <w:t>$3,</w:t>
      </w:r>
      <w:r w:rsidR="00127D82">
        <w:rPr>
          <w:rFonts w:ascii="Arial" w:hAnsi="Arial"/>
          <w:b/>
          <w:bCs/>
          <w:i/>
          <w:iCs/>
          <w:u w:val="single"/>
        </w:rPr>
        <w:t>812,333</w:t>
      </w:r>
      <w:r w:rsidRPr="00D11DD8" w:rsidR="00D11DD8">
        <w:rPr>
          <w:rFonts w:ascii="Arial" w:hAnsi="Arial"/>
          <w:b/>
          <w:bCs/>
          <w:i/>
          <w:iCs/>
          <w:u w:val="single"/>
        </w:rPr>
        <w:t>.00</w:t>
      </w:r>
      <w:r w:rsidR="00D11DD8">
        <w:rPr>
          <w:rFonts w:ascii="Arial" w:hAnsi="Arial"/>
        </w:rPr>
        <w:t>.</w:t>
      </w:r>
    </w:p>
    <w:tbl>
      <w:tblPr>
        <w:tblStyle w:val="TableGrid1"/>
        <w:tblW w:w="4859" w:type="pct"/>
        <w:tblLayout w:type="fixed"/>
        <w:tblLook w:val="04A0"/>
      </w:tblPr>
      <w:tblGrid>
        <w:gridCol w:w="5035"/>
        <w:gridCol w:w="1855"/>
        <w:gridCol w:w="2196"/>
      </w:tblGrid>
      <w:tr w14:paraId="15868EFD" w14:textId="77777777" w:rsidTr="00F71B7E">
        <w:tblPrEx>
          <w:tblW w:w="4859" w:type="pct"/>
          <w:tblLayout w:type="fixed"/>
          <w:tblLook w:val="04A0"/>
        </w:tblPrEx>
        <w:tc>
          <w:tcPr>
            <w:tcW w:w="5035" w:type="dxa"/>
          </w:tcPr>
          <w:p w:rsidR="00D5400F" w:rsidRPr="00D5400F" w:rsidP="00D5400F" w14:paraId="53137317" w14:textId="77777777">
            <w:pPr>
              <w:widowControl w:val="0"/>
              <w:tabs>
                <w:tab w:val="left" w:pos="2571"/>
              </w:tabs>
              <w:rPr>
                <w:rFonts w:ascii="Arial" w:hAnsi="Arial" w:cs="Arial"/>
                <w:b/>
                <w:bCs/>
                <w:sz w:val="21"/>
                <w:szCs w:val="21"/>
              </w:rPr>
            </w:pPr>
            <w:r w:rsidRPr="00D5400F">
              <w:rPr>
                <w:rFonts w:ascii="Arial" w:hAnsi="Arial" w:cs="Arial"/>
                <w:b/>
                <w:bCs/>
                <w:sz w:val="21"/>
                <w:szCs w:val="21"/>
              </w:rPr>
              <w:t>Cost Category</w:t>
            </w:r>
          </w:p>
        </w:tc>
        <w:tc>
          <w:tcPr>
            <w:tcW w:w="1855" w:type="dxa"/>
          </w:tcPr>
          <w:p w:rsidR="00D5400F" w:rsidRPr="00D5400F" w:rsidP="00D5400F" w14:paraId="2C330855" w14:textId="77777777">
            <w:pPr>
              <w:widowControl w:val="0"/>
              <w:rPr>
                <w:rFonts w:ascii="Arial" w:hAnsi="Arial" w:cs="Arial"/>
                <w:b/>
                <w:bCs/>
                <w:sz w:val="21"/>
                <w:szCs w:val="21"/>
              </w:rPr>
            </w:pPr>
            <w:r w:rsidRPr="00D5400F">
              <w:rPr>
                <w:rFonts w:ascii="Arial" w:hAnsi="Arial" w:cs="Arial"/>
                <w:b/>
                <w:bCs/>
                <w:sz w:val="21"/>
                <w:szCs w:val="21"/>
              </w:rPr>
              <w:t>Total Cost Over 3-Year Period</w:t>
            </w:r>
          </w:p>
        </w:tc>
        <w:tc>
          <w:tcPr>
            <w:tcW w:w="2196" w:type="dxa"/>
          </w:tcPr>
          <w:p w:rsidR="00D5400F" w:rsidRPr="00D5400F" w:rsidP="00D5400F" w14:paraId="3CD36997" w14:textId="77777777">
            <w:pPr>
              <w:widowControl w:val="0"/>
              <w:rPr>
                <w:rFonts w:ascii="Arial" w:hAnsi="Arial" w:cs="Arial"/>
                <w:b/>
                <w:bCs/>
                <w:sz w:val="21"/>
                <w:szCs w:val="21"/>
              </w:rPr>
            </w:pPr>
            <w:r w:rsidRPr="00D5400F">
              <w:rPr>
                <w:rFonts w:ascii="Arial" w:hAnsi="Arial" w:cs="Arial"/>
                <w:b/>
                <w:bCs/>
                <w:sz w:val="21"/>
                <w:szCs w:val="21"/>
              </w:rPr>
              <w:t>Total Annualized Cost</w:t>
            </w:r>
          </w:p>
        </w:tc>
      </w:tr>
      <w:tr w14:paraId="4EA45C9E" w14:textId="77777777" w:rsidTr="00F71B7E">
        <w:tblPrEx>
          <w:tblW w:w="4859" w:type="pct"/>
          <w:tblLayout w:type="fixed"/>
          <w:tblLook w:val="04A0"/>
        </w:tblPrEx>
        <w:trPr>
          <w:trHeight w:val="3149"/>
        </w:trPr>
        <w:tc>
          <w:tcPr>
            <w:tcW w:w="5035" w:type="dxa"/>
          </w:tcPr>
          <w:p w:rsidR="00D5400F" w:rsidP="00D5400F" w14:paraId="66283E2C" w14:textId="75B5F0E3">
            <w:pPr>
              <w:widowControl w:val="0"/>
              <w:rPr>
                <w:rFonts w:ascii="Arial" w:hAnsi="Arial" w:cs="Arial"/>
                <w:sz w:val="21"/>
                <w:szCs w:val="21"/>
              </w:rPr>
            </w:pPr>
            <w:r w:rsidRPr="00D5400F">
              <w:rPr>
                <w:rFonts w:ascii="Arial" w:hAnsi="Arial" w:cs="Arial"/>
                <w:sz w:val="21"/>
                <w:szCs w:val="21"/>
              </w:rPr>
              <w:t>CDC - DDT Personnel</w:t>
            </w:r>
          </w:p>
          <w:p w:rsidR="00B960DE" w:rsidRPr="00D5400F" w:rsidP="00D5400F" w14:paraId="5FE71C2A" w14:textId="77777777">
            <w:pPr>
              <w:widowControl w:val="0"/>
              <w:rPr>
                <w:rFonts w:ascii="Arial" w:hAnsi="Arial" w:cs="Arial"/>
                <w:sz w:val="21"/>
                <w:szCs w:val="21"/>
              </w:rPr>
            </w:pPr>
          </w:p>
          <w:p w:rsidR="00D5400F" w:rsidRPr="00D5400F" w:rsidP="00D5400F" w14:paraId="30E61C04" w14:textId="331DA198">
            <w:pPr>
              <w:widowControl w:val="0"/>
              <w:numPr>
                <w:ilvl w:val="0"/>
                <w:numId w:val="25"/>
              </w:numPr>
              <w:contextualSpacing/>
              <w:rPr>
                <w:rFonts w:ascii="Arial" w:hAnsi="Arial" w:cs="Arial"/>
                <w:b/>
                <w:sz w:val="21"/>
                <w:szCs w:val="21"/>
              </w:rPr>
            </w:pPr>
            <w:r>
              <w:rPr>
                <w:rFonts w:ascii="Arial" w:hAnsi="Arial" w:cs="Arial"/>
                <w:b/>
                <w:sz w:val="21"/>
                <w:szCs w:val="21"/>
              </w:rPr>
              <w:t>50</w:t>
            </w:r>
            <w:r w:rsidRPr="00D5400F">
              <w:rPr>
                <w:rFonts w:ascii="Arial" w:hAnsi="Arial" w:cs="Arial"/>
                <w:b/>
                <w:sz w:val="21"/>
                <w:szCs w:val="21"/>
              </w:rPr>
              <w:t>% GS-1</w:t>
            </w:r>
            <w:r>
              <w:rPr>
                <w:rFonts w:ascii="Arial" w:hAnsi="Arial" w:cs="Arial"/>
                <w:b/>
                <w:sz w:val="21"/>
                <w:szCs w:val="21"/>
              </w:rPr>
              <w:t xml:space="preserve">3 </w:t>
            </w:r>
            <w:r w:rsidRPr="00D5400F">
              <w:rPr>
                <w:rFonts w:ascii="Arial" w:hAnsi="Arial" w:cs="Arial"/>
                <w:b/>
                <w:sz w:val="21"/>
                <w:szCs w:val="21"/>
              </w:rPr>
              <w:t xml:space="preserve">@$ </w:t>
            </w:r>
            <w:r>
              <w:rPr>
                <w:rFonts w:ascii="Arial" w:hAnsi="Arial" w:cs="Arial"/>
                <w:b/>
                <w:sz w:val="21"/>
                <w:szCs w:val="21"/>
              </w:rPr>
              <w:t>104,008</w:t>
            </w:r>
            <w:r w:rsidRPr="00D5400F">
              <w:rPr>
                <w:rFonts w:ascii="Arial" w:hAnsi="Arial" w:cs="Arial"/>
                <w:b/>
                <w:sz w:val="21"/>
                <w:szCs w:val="21"/>
              </w:rPr>
              <w:t>/year = $</w:t>
            </w:r>
            <w:r>
              <w:rPr>
                <w:rFonts w:ascii="Arial" w:hAnsi="Arial" w:cs="Arial"/>
                <w:b/>
                <w:sz w:val="21"/>
                <w:szCs w:val="21"/>
              </w:rPr>
              <w:t>52,004</w:t>
            </w:r>
          </w:p>
          <w:p w:rsidR="00D5400F" w:rsidRPr="00D5400F" w:rsidP="00D5400F" w14:paraId="06CD8CDD" w14:textId="44751F6F">
            <w:pPr>
              <w:widowControl w:val="0"/>
              <w:numPr>
                <w:ilvl w:val="0"/>
                <w:numId w:val="24"/>
              </w:numPr>
              <w:contextualSpacing/>
              <w:rPr>
                <w:rFonts w:ascii="Arial" w:hAnsi="Arial" w:cs="Arial"/>
                <w:b/>
                <w:sz w:val="21"/>
                <w:szCs w:val="21"/>
              </w:rPr>
            </w:pPr>
            <w:r w:rsidRPr="00D5400F">
              <w:rPr>
                <w:rFonts w:ascii="Arial" w:hAnsi="Arial" w:cs="Arial"/>
                <w:b/>
                <w:sz w:val="21"/>
                <w:szCs w:val="21"/>
              </w:rPr>
              <w:t xml:space="preserve">50% GS-13 @ $ </w:t>
            </w:r>
            <w:r w:rsidRPr="00B960DE">
              <w:rPr>
                <w:rFonts w:ascii="Arial" w:hAnsi="Arial" w:cs="Arial"/>
                <w:b/>
                <w:sz w:val="21"/>
                <w:szCs w:val="21"/>
              </w:rPr>
              <w:t>104,008</w:t>
            </w:r>
            <w:r w:rsidRPr="00D5400F">
              <w:rPr>
                <w:rFonts w:ascii="Arial" w:hAnsi="Arial" w:cs="Arial"/>
                <w:b/>
                <w:sz w:val="21"/>
                <w:szCs w:val="21"/>
              </w:rPr>
              <w:t>/year = $</w:t>
            </w:r>
            <w:r w:rsidRPr="00B960DE">
              <w:rPr>
                <w:rFonts w:ascii="Arial" w:hAnsi="Arial" w:cs="Arial"/>
                <w:b/>
                <w:sz w:val="21"/>
                <w:szCs w:val="21"/>
              </w:rPr>
              <w:t>52,004</w:t>
            </w:r>
          </w:p>
          <w:p w:rsidR="00D5400F" w:rsidRPr="00D5400F" w:rsidP="00D5400F" w14:paraId="16A1B1BC" w14:textId="4FE65A08">
            <w:pPr>
              <w:widowControl w:val="0"/>
              <w:numPr>
                <w:ilvl w:val="0"/>
                <w:numId w:val="24"/>
              </w:numPr>
              <w:contextualSpacing/>
              <w:rPr>
                <w:rFonts w:ascii="Arial" w:hAnsi="Arial" w:cs="Arial"/>
                <w:b/>
                <w:sz w:val="21"/>
                <w:szCs w:val="21"/>
              </w:rPr>
            </w:pPr>
            <w:r w:rsidRPr="00D5400F">
              <w:rPr>
                <w:rFonts w:ascii="Arial" w:hAnsi="Arial" w:cs="Arial"/>
                <w:b/>
                <w:sz w:val="21"/>
                <w:szCs w:val="21"/>
              </w:rPr>
              <w:t xml:space="preserve">50% GS-13 @ $ </w:t>
            </w:r>
            <w:r w:rsidR="00127D82">
              <w:rPr>
                <w:rFonts w:ascii="Arial" w:hAnsi="Arial" w:cs="Arial"/>
                <w:b/>
                <w:sz w:val="21"/>
                <w:szCs w:val="21"/>
              </w:rPr>
              <w:t>104,008</w:t>
            </w:r>
            <w:r w:rsidRPr="00D5400F">
              <w:rPr>
                <w:rFonts w:ascii="Arial" w:hAnsi="Arial" w:cs="Arial"/>
                <w:b/>
                <w:sz w:val="21"/>
                <w:szCs w:val="21"/>
              </w:rPr>
              <w:t>/year = $</w:t>
            </w:r>
            <w:r w:rsidRPr="00B960DE">
              <w:rPr>
                <w:rFonts w:ascii="Arial" w:hAnsi="Arial" w:cs="Arial"/>
                <w:b/>
                <w:sz w:val="21"/>
                <w:szCs w:val="21"/>
              </w:rPr>
              <w:t>52,004</w:t>
            </w:r>
          </w:p>
          <w:p w:rsidR="00D5400F" w:rsidRPr="00D5400F" w:rsidP="00D5400F" w14:paraId="401FDE2F" w14:textId="68C214EA">
            <w:pPr>
              <w:widowControl w:val="0"/>
              <w:numPr>
                <w:ilvl w:val="0"/>
                <w:numId w:val="24"/>
              </w:numPr>
              <w:contextualSpacing/>
              <w:rPr>
                <w:rFonts w:ascii="Arial" w:hAnsi="Arial" w:cs="Arial"/>
                <w:b/>
                <w:sz w:val="21"/>
                <w:szCs w:val="21"/>
              </w:rPr>
            </w:pPr>
            <w:r w:rsidRPr="00D5400F">
              <w:rPr>
                <w:rFonts w:ascii="Arial" w:hAnsi="Arial" w:cs="Arial"/>
                <w:b/>
                <w:sz w:val="21"/>
                <w:szCs w:val="21"/>
              </w:rPr>
              <w:t>25% GS-14 @ $ 110,231/year = $</w:t>
            </w:r>
            <w:r w:rsidRPr="00B960DE">
              <w:rPr>
                <w:rFonts w:ascii="Arial" w:hAnsi="Arial" w:cs="Arial"/>
                <w:b/>
                <w:sz w:val="21"/>
                <w:szCs w:val="21"/>
              </w:rPr>
              <w:t>30,642</w:t>
            </w:r>
          </w:p>
          <w:p w:rsidR="00D5400F" w:rsidRPr="00D5400F" w:rsidP="00D5400F" w14:paraId="68693674" w14:textId="77777777">
            <w:pPr>
              <w:widowControl w:val="0"/>
              <w:rPr>
                <w:rFonts w:ascii="Arial" w:hAnsi="Arial" w:cs="Arial"/>
                <w:bCs/>
                <w:i/>
                <w:sz w:val="21"/>
                <w:szCs w:val="21"/>
              </w:rPr>
            </w:pPr>
          </w:p>
          <w:p w:rsidR="00D5400F" w:rsidRPr="00D5400F" w:rsidP="00D5400F" w14:paraId="275AE093" w14:textId="77777777">
            <w:pPr>
              <w:widowControl w:val="0"/>
              <w:jc w:val="right"/>
              <w:rPr>
                <w:rFonts w:ascii="Arial" w:hAnsi="Arial" w:cs="Arial"/>
                <w:bCs/>
                <w:i/>
                <w:sz w:val="21"/>
                <w:szCs w:val="21"/>
              </w:rPr>
            </w:pPr>
          </w:p>
          <w:p w:rsidR="00D5400F" w:rsidRPr="00D5400F" w:rsidP="00D5400F" w14:paraId="64663879" w14:textId="77777777">
            <w:pPr>
              <w:widowControl w:val="0"/>
              <w:jc w:val="right"/>
              <w:rPr>
                <w:rFonts w:ascii="Arial" w:hAnsi="Arial" w:cs="Arial"/>
                <w:b/>
                <w:i/>
                <w:sz w:val="21"/>
                <w:szCs w:val="21"/>
              </w:rPr>
            </w:pPr>
            <w:r w:rsidRPr="00D5400F">
              <w:rPr>
                <w:rFonts w:ascii="Arial" w:hAnsi="Arial" w:cs="Arial"/>
                <w:b/>
                <w:i/>
                <w:sz w:val="21"/>
                <w:szCs w:val="21"/>
              </w:rPr>
              <w:t>Total, CDC Personnel</w:t>
            </w:r>
          </w:p>
        </w:tc>
        <w:tc>
          <w:tcPr>
            <w:tcW w:w="1855" w:type="dxa"/>
          </w:tcPr>
          <w:p w:rsidR="00D5400F" w:rsidRPr="00D5400F" w:rsidP="00D5400F" w14:paraId="40916854" w14:textId="77777777">
            <w:pPr>
              <w:widowControl w:val="0"/>
              <w:jc w:val="right"/>
              <w:rPr>
                <w:rFonts w:ascii="Arial" w:hAnsi="Arial" w:cs="Arial"/>
                <w:sz w:val="21"/>
                <w:szCs w:val="21"/>
              </w:rPr>
            </w:pPr>
          </w:p>
          <w:p w:rsidR="00D5400F" w:rsidRPr="00D5400F" w:rsidP="00D5400F" w14:paraId="255C2759" w14:textId="77777777">
            <w:pPr>
              <w:widowControl w:val="0"/>
              <w:jc w:val="right"/>
              <w:rPr>
                <w:rFonts w:ascii="Arial" w:hAnsi="Arial" w:cs="Arial"/>
                <w:sz w:val="21"/>
                <w:szCs w:val="21"/>
              </w:rPr>
            </w:pPr>
          </w:p>
          <w:p w:rsidR="00D5400F" w:rsidRPr="00D5400F" w:rsidP="00D5400F" w14:paraId="5B5E4A16" w14:textId="77777777">
            <w:pPr>
              <w:widowControl w:val="0"/>
              <w:jc w:val="right"/>
              <w:rPr>
                <w:rFonts w:ascii="Arial" w:hAnsi="Arial" w:cs="Arial"/>
                <w:sz w:val="21"/>
                <w:szCs w:val="21"/>
              </w:rPr>
            </w:pPr>
          </w:p>
          <w:p w:rsidR="00D5400F" w:rsidRPr="00D5400F" w:rsidP="00D5400F" w14:paraId="4B4D1624" w14:textId="77777777">
            <w:pPr>
              <w:widowControl w:val="0"/>
              <w:jc w:val="right"/>
              <w:rPr>
                <w:rFonts w:ascii="Arial" w:hAnsi="Arial" w:cs="Arial"/>
                <w:sz w:val="21"/>
                <w:szCs w:val="21"/>
              </w:rPr>
            </w:pPr>
          </w:p>
          <w:p w:rsidR="00D5400F" w:rsidRPr="00D5400F" w:rsidP="00D5400F" w14:paraId="634BA17D" w14:textId="77777777">
            <w:pPr>
              <w:widowControl w:val="0"/>
              <w:rPr>
                <w:rFonts w:ascii="Arial" w:hAnsi="Arial" w:cs="Arial"/>
                <w:i/>
                <w:sz w:val="21"/>
                <w:szCs w:val="21"/>
              </w:rPr>
            </w:pPr>
          </w:p>
          <w:p w:rsidR="00D5400F" w:rsidRPr="00D5400F" w:rsidP="00D5400F" w14:paraId="677F1612" w14:textId="77777777">
            <w:pPr>
              <w:widowControl w:val="0"/>
              <w:jc w:val="right"/>
              <w:rPr>
                <w:rFonts w:ascii="Arial" w:hAnsi="Arial" w:cs="Arial"/>
                <w:i/>
                <w:sz w:val="21"/>
                <w:szCs w:val="21"/>
              </w:rPr>
            </w:pPr>
          </w:p>
          <w:p w:rsidR="00D5400F" w:rsidRPr="00D5400F" w:rsidP="00D5400F" w14:paraId="117E8C54" w14:textId="77777777">
            <w:pPr>
              <w:widowControl w:val="0"/>
              <w:jc w:val="right"/>
              <w:rPr>
                <w:rFonts w:ascii="Arial" w:hAnsi="Arial" w:cs="Arial"/>
                <w:i/>
                <w:sz w:val="21"/>
                <w:szCs w:val="21"/>
              </w:rPr>
            </w:pPr>
          </w:p>
          <w:p w:rsidR="00D5400F" w:rsidRPr="00D5400F" w:rsidP="00D5400F" w14:paraId="3EDA398C" w14:textId="33602A4B">
            <w:pPr>
              <w:widowControl w:val="0"/>
              <w:jc w:val="right"/>
              <w:rPr>
                <w:rFonts w:ascii="Arial" w:hAnsi="Arial" w:cs="Arial"/>
                <w:i/>
                <w:sz w:val="21"/>
                <w:szCs w:val="21"/>
              </w:rPr>
            </w:pPr>
            <w:r w:rsidRPr="00D5400F">
              <w:rPr>
                <w:rFonts w:ascii="Arial" w:hAnsi="Arial" w:cs="Arial"/>
                <w:i/>
                <w:sz w:val="21"/>
                <w:szCs w:val="21"/>
              </w:rPr>
              <w:t>$</w:t>
            </w:r>
            <w:r w:rsidR="00127D82">
              <w:rPr>
                <w:rFonts w:ascii="Arial" w:hAnsi="Arial" w:cs="Arial"/>
                <w:i/>
                <w:sz w:val="21"/>
                <w:szCs w:val="21"/>
              </w:rPr>
              <w:t>559,962</w:t>
            </w:r>
            <w:r w:rsidRPr="00D5400F">
              <w:rPr>
                <w:rFonts w:ascii="Arial" w:hAnsi="Arial" w:cs="Arial"/>
                <w:i/>
                <w:sz w:val="21"/>
                <w:szCs w:val="21"/>
              </w:rPr>
              <w:t>.00</w:t>
            </w:r>
          </w:p>
          <w:p w:rsidR="00D5400F" w:rsidRPr="00D5400F" w:rsidP="00D5400F" w14:paraId="54DE9131" w14:textId="77777777">
            <w:pPr>
              <w:widowControl w:val="0"/>
              <w:jc w:val="right"/>
              <w:rPr>
                <w:rFonts w:ascii="Arial" w:hAnsi="Arial" w:cs="Arial"/>
                <w:sz w:val="21"/>
                <w:szCs w:val="21"/>
              </w:rPr>
            </w:pPr>
          </w:p>
        </w:tc>
        <w:tc>
          <w:tcPr>
            <w:tcW w:w="2196" w:type="dxa"/>
          </w:tcPr>
          <w:p w:rsidR="00D5400F" w:rsidRPr="00D5400F" w:rsidP="00D5400F" w14:paraId="7974DCC3" w14:textId="77777777">
            <w:pPr>
              <w:widowControl w:val="0"/>
              <w:jc w:val="right"/>
              <w:rPr>
                <w:rFonts w:ascii="Arial" w:hAnsi="Arial" w:cs="Arial"/>
                <w:sz w:val="21"/>
                <w:szCs w:val="21"/>
              </w:rPr>
            </w:pPr>
          </w:p>
          <w:p w:rsidR="00D5400F" w:rsidRPr="00D5400F" w:rsidP="00D5400F" w14:paraId="13462E7C" w14:textId="77777777">
            <w:pPr>
              <w:widowControl w:val="0"/>
              <w:jc w:val="right"/>
              <w:rPr>
                <w:rFonts w:ascii="Arial" w:hAnsi="Arial" w:cs="Arial"/>
                <w:sz w:val="21"/>
                <w:szCs w:val="21"/>
              </w:rPr>
            </w:pPr>
          </w:p>
          <w:p w:rsidR="00D5400F" w:rsidRPr="00D5400F" w:rsidP="00D5400F" w14:paraId="06721874" w14:textId="77777777">
            <w:pPr>
              <w:widowControl w:val="0"/>
              <w:jc w:val="right"/>
              <w:rPr>
                <w:rFonts w:ascii="Arial" w:hAnsi="Arial" w:cs="Arial"/>
                <w:sz w:val="21"/>
                <w:szCs w:val="21"/>
              </w:rPr>
            </w:pPr>
          </w:p>
          <w:p w:rsidR="00D5400F" w:rsidRPr="00D5400F" w:rsidP="00D5400F" w14:paraId="0AD64A61" w14:textId="77777777">
            <w:pPr>
              <w:widowControl w:val="0"/>
              <w:rPr>
                <w:rFonts w:ascii="Arial" w:hAnsi="Arial" w:cs="Arial"/>
                <w:sz w:val="21"/>
                <w:szCs w:val="21"/>
              </w:rPr>
            </w:pPr>
          </w:p>
          <w:p w:rsidR="00D5400F" w:rsidRPr="00D5400F" w:rsidP="00D5400F" w14:paraId="59F019C4" w14:textId="77777777">
            <w:pPr>
              <w:widowControl w:val="0"/>
              <w:jc w:val="right"/>
              <w:rPr>
                <w:rFonts w:ascii="Arial" w:hAnsi="Arial" w:cs="Arial"/>
                <w:i/>
                <w:sz w:val="21"/>
                <w:szCs w:val="21"/>
              </w:rPr>
            </w:pPr>
          </w:p>
          <w:p w:rsidR="00D5400F" w:rsidRPr="00D5400F" w:rsidP="00D5400F" w14:paraId="6B196CAF" w14:textId="77777777">
            <w:pPr>
              <w:widowControl w:val="0"/>
              <w:rPr>
                <w:rFonts w:ascii="Arial" w:hAnsi="Arial" w:cs="Arial"/>
                <w:i/>
                <w:sz w:val="21"/>
                <w:szCs w:val="21"/>
              </w:rPr>
            </w:pPr>
          </w:p>
          <w:p w:rsidR="00D5400F" w:rsidRPr="00D5400F" w:rsidP="00D5400F" w14:paraId="496B78C6" w14:textId="77777777">
            <w:pPr>
              <w:widowControl w:val="0"/>
              <w:rPr>
                <w:rFonts w:ascii="Arial" w:hAnsi="Arial" w:cs="Arial"/>
                <w:i/>
                <w:sz w:val="21"/>
                <w:szCs w:val="21"/>
              </w:rPr>
            </w:pPr>
          </w:p>
          <w:p w:rsidR="00D5400F" w:rsidRPr="00D5400F" w:rsidP="00D5400F" w14:paraId="3B051FDE" w14:textId="39BD03A0">
            <w:pPr>
              <w:widowControl w:val="0"/>
              <w:jc w:val="right"/>
              <w:rPr>
                <w:rFonts w:ascii="Arial" w:hAnsi="Arial" w:cs="Arial"/>
                <w:i/>
                <w:sz w:val="21"/>
                <w:szCs w:val="21"/>
              </w:rPr>
            </w:pPr>
            <w:r w:rsidRPr="00D5400F">
              <w:rPr>
                <w:rFonts w:ascii="Arial" w:hAnsi="Arial" w:cs="Arial"/>
                <w:i/>
                <w:sz w:val="21"/>
                <w:szCs w:val="21"/>
              </w:rPr>
              <w:t>$</w:t>
            </w:r>
            <w:r w:rsidR="00127D82">
              <w:rPr>
                <w:rFonts w:ascii="Arial" w:hAnsi="Arial" w:cs="Arial"/>
                <w:i/>
                <w:sz w:val="21"/>
                <w:szCs w:val="21"/>
              </w:rPr>
              <w:t>186,654</w:t>
            </w:r>
            <w:r w:rsidRPr="00D5400F">
              <w:rPr>
                <w:rFonts w:ascii="Arial" w:hAnsi="Arial" w:cs="Arial"/>
                <w:i/>
                <w:sz w:val="21"/>
                <w:szCs w:val="21"/>
              </w:rPr>
              <w:t>.00</w:t>
            </w:r>
          </w:p>
        </w:tc>
      </w:tr>
      <w:tr w14:paraId="7819AEEE" w14:textId="77777777" w:rsidTr="00F71B7E">
        <w:tblPrEx>
          <w:tblW w:w="4859" w:type="pct"/>
          <w:tblLayout w:type="fixed"/>
          <w:tblLook w:val="04A0"/>
        </w:tblPrEx>
        <w:trPr>
          <w:trHeight w:val="1430"/>
        </w:trPr>
        <w:tc>
          <w:tcPr>
            <w:tcW w:w="5035" w:type="dxa"/>
          </w:tcPr>
          <w:p w:rsidR="00D5400F" w:rsidRPr="00D5400F" w:rsidP="00D5400F" w14:paraId="1281F27E" w14:textId="77777777">
            <w:pPr>
              <w:widowControl w:val="0"/>
              <w:rPr>
                <w:rFonts w:ascii="Arial" w:hAnsi="Arial" w:cs="Arial"/>
                <w:b/>
                <w:bCs/>
                <w:sz w:val="21"/>
                <w:szCs w:val="21"/>
              </w:rPr>
            </w:pPr>
            <w:r w:rsidRPr="00D5400F">
              <w:rPr>
                <w:rFonts w:ascii="Arial" w:hAnsi="Arial" w:cs="Arial"/>
                <w:sz w:val="21"/>
                <w:szCs w:val="21"/>
              </w:rPr>
              <w:t>Data Collection Contractor</w:t>
            </w:r>
          </w:p>
          <w:p w:rsidR="00D5400F" w:rsidRPr="00B960DE" w:rsidP="00D5400F" w14:paraId="6F0A81C3" w14:textId="6EAAEEB1">
            <w:pPr>
              <w:widowControl w:val="0"/>
              <w:numPr>
                <w:ilvl w:val="0"/>
                <w:numId w:val="26"/>
              </w:numPr>
              <w:rPr>
                <w:rFonts w:ascii="Arial" w:hAnsi="Arial" w:cs="Arial"/>
                <w:bCs/>
                <w:sz w:val="21"/>
                <w:szCs w:val="21"/>
              </w:rPr>
            </w:pPr>
            <w:r w:rsidRPr="00B960DE">
              <w:rPr>
                <w:rFonts w:ascii="Arial" w:hAnsi="Arial" w:cs="Arial"/>
                <w:b/>
                <w:sz w:val="21"/>
                <w:szCs w:val="21"/>
              </w:rPr>
              <w:t>DDT THEEB Contractors</w:t>
            </w:r>
          </w:p>
          <w:p w:rsidR="00D5400F" w:rsidRPr="00D5400F" w:rsidP="00D5400F" w14:paraId="3C328381" w14:textId="77777777">
            <w:pPr>
              <w:widowControl w:val="0"/>
              <w:ind w:left="720"/>
              <w:rPr>
                <w:rFonts w:ascii="Arial" w:hAnsi="Arial" w:cs="Arial"/>
                <w:bCs/>
                <w:sz w:val="21"/>
                <w:szCs w:val="21"/>
              </w:rPr>
            </w:pPr>
          </w:p>
          <w:p w:rsidR="00D5400F" w:rsidRPr="00D5400F" w:rsidP="00D5400F" w14:paraId="012104D0" w14:textId="77777777">
            <w:pPr>
              <w:widowControl w:val="0"/>
              <w:ind w:left="1440"/>
              <w:rPr>
                <w:rFonts w:ascii="Arial" w:hAnsi="Arial" w:cs="Arial"/>
                <w:b/>
                <w:i/>
                <w:sz w:val="21"/>
                <w:szCs w:val="21"/>
              </w:rPr>
            </w:pPr>
            <w:r w:rsidRPr="00D5400F">
              <w:rPr>
                <w:rFonts w:ascii="Arial" w:hAnsi="Arial" w:cs="Arial"/>
                <w:b/>
                <w:i/>
                <w:sz w:val="21"/>
                <w:szCs w:val="21"/>
              </w:rPr>
              <w:t xml:space="preserve">   Total, Category A Contractor</w:t>
            </w:r>
          </w:p>
        </w:tc>
        <w:tc>
          <w:tcPr>
            <w:tcW w:w="1855" w:type="dxa"/>
          </w:tcPr>
          <w:p w:rsidR="00D5400F" w:rsidRPr="00D5400F" w:rsidP="00D5400F" w14:paraId="6AC2537C" w14:textId="77777777">
            <w:pPr>
              <w:widowControl w:val="0"/>
              <w:jc w:val="right"/>
              <w:rPr>
                <w:rFonts w:ascii="Arial" w:hAnsi="Arial" w:cs="Arial"/>
                <w:bCs/>
                <w:i/>
                <w:sz w:val="21"/>
                <w:szCs w:val="21"/>
              </w:rPr>
            </w:pPr>
          </w:p>
          <w:p w:rsidR="00D5400F" w:rsidRPr="00D5400F" w:rsidP="00D5400F" w14:paraId="3C09B788" w14:textId="77777777">
            <w:pPr>
              <w:widowControl w:val="0"/>
              <w:jc w:val="right"/>
              <w:rPr>
                <w:rFonts w:ascii="Arial" w:hAnsi="Arial" w:cs="Arial"/>
                <w:bCs/>
                <w:i/>
                <w:sz w:val="21"/>
                <w:szCs w:val="21"/>
              </w:rPr>
            </w:pPr>
          </w:p>
          <w:p w:rsidR="00D5400F" w:rsidRPr="00D5400F" w:rsidP="00D5400F" w14:paraId="3B98583A" w14:textId="77777777">
            <w:pPr>
              <w:widowControl w:val="0"/>
              <w:rPr>
                <w:rFonts w:ascii="Arial" w:hAnsi="Arial" w:cs="Arial"/>
                <w:bCs/>
                <w:i/>
                <w:sz w:val="21"/>
                <w:szCs w:val="21"/>
              </w:rPr>
            </w:pPr>
          </w:p>
          <w:p w:rsidR="00D5400F" w:rsidRPr="00D5400F" w:rsidP="00D5400F" w14:paraId="5E7D7559" w14:textId="6961121C">
            <w:pPr>
              <w:widowControl w:val="0"/>
              <w:jc w:val="right"/>
              <w:rPr>
                <w:rFonts w:ascii="Arial" w:hAnsi="Arial" w:cs="Arial"/>
                <w:bCs/>
                <w:i/>
                <w:sz w:val="21"/>
                <w:szCs w:val="21"/>
              </w:rPr>
            </w:pPr>
            <w:r w:rsidRPr="00D5400F">
              <w:rPr>
                <w:rFonts w:ascii="Arial" w:hAnsi="Arial" w:cs="Arial"/>
                <w:bCs/>
                <w:i/>
                <w:sz w:val="21"/>
                <w:szCs w:val="21"/>
              </w:rPr>
              <w:t>$</w:t>
            </w:r>
            <w:r w:rsidRPr="00B960DE" w:rsidR="00D11DD8">
              <w:rPr>
                <w:rFonts w:ascii="Arial" w:hAnsi="Arial" w:cs="Arial"/>
                <w:bCs/>
                <w:i/>
                <w:sz w:val="21"/>
                <w:szCs w:val="21"/>
              </w:rPr>
              <w:t>3,252,371</w:t>
            </w:r>
            <w:r w:rsidRPr="00D5400F">
              <w:rPr>
                <w:rFonts w:ascii="Arial" w:hAnsi="Arial" w:cs="Arial"/>
                <w:bCs/>
                <w:i/>
                <w:sz w:val="21"/>
                <w:szCs w:val="21"/>
              </w:rPr>
              <w:t>.00</w:t>
            </w:r>
          </w:p>
        </w:tc>
        <w:tc>
          <w:tcPr>
            <w:tcW w:w="2196" w:type="dxa"/>
          </w:tcPr>
          <w:p w:rsidR="00D5400F" w:rsidRPr="00D5400F" w:rsidP="00D5400F" w14:paraId="0E0BADBA" w14:textId="77777777">
            <w:pPr>
              <w:widowControl w:val="0"/>
              <w:jc w:val="right"/>
              <w:rPr>
                <w:rFonts w:ascii="Arial" w:hAnsi="Arial" w:cs="Arial"/>
                <w:bCs/>
                <w:i/>
                <w:sz w:val="21"/>
                <w:szCs w:val="21"/>
              </w:rPr>
            </w:pPr>
          </w:p>
          <w:p w:rsidR="00D5400F" w:rsidRPr="00D5400F" w:rsidP="00D5400F" w14:paraId="71147C9A" w14:textId="77777777">
            <w:pPr>
              <w:widowControl w:val="0"/>
              <w:jc w:val="right"/>
              <w:rPr>
                <w:rFonts w:ascii="Arial" w:hAnsi="Arial" w:cs="Arial"/>
                <w:bCs/>
                <w:i/>
                <w:sz w:val="21"/>
                <w:szCs w:val="21"/>
              </w:rPr>
            </w:pPr>
          </w:p>
          <w:p w:rsidR="00D5400F" w:rsidRPr="00D5400F" w:rsidP="00D5400F" w14:paraId="3E5FA835" w14:textId="77777777">
            <w:pPr>
              <w:widowControl w:val="0"/>
              <w:rPr>
                <w:rFonts w:ascii="Arial" w:hAnsi="Arial" w:cs="Arial"/>
                <w:bCs/>
                <w:i/>
                <w:sz w:val="21"/>
                <w:szCs w:val="21"/>
              </w:rPr>
            </w:pPr>
          </w:p>
          <w:p w:rsidR="00D5400F" w:rsidRPr="00D5400F" w:rsidP="00D5400F" w14:paraId="76C4D483" w14:textId="120C7093">
            <w:pPr>
              <w:widowControl w:val="0"/>
              <w:jc w:val="right"/>
              <w:rPr>
                <w:rFonts w:ascii="Arial" w:hAnsi="Arial" w:cs="Arial"/>
                <w:i/>
                <w:sz w:val="21"/>
                <w:szCs w:val="21"/>
                <w:highlight w:val="yellow"/>
              </w:rPr>
            </w:pPr>
            <w:r w:rsidRPr="00D5400F">
              <w:rPr>
                <w:rFonts w:ascii="Arial" w:hAnsi="Arial" w:cs="Arial"/>
                <w:bCs/>
                <w:i/>
                <w:sz w:val="21"/>
                <w:szCs w:val="21"/>
              </w:rPr>
              <w:t>$</w:t>
            </w:r>
            <w:r w:rsidRPr="00B960DE" w:rsidR="00D11DD8">
              <w:rPr>
                <w:rFonts w:ascii="Arial" w:hAnsi="Arial" w:cs="Arial"/>
                <w:bCs/>
                <w:i/>
                <w:sz w:val="21"/>
                <w:szCs w:val="21"/>
              </w:rPr>
              <w:t>1,084,124</w:t>
            </w:r>
            <w:r w:rsidRPr="00D5400F">
              <w:rPr>
                <w:rFonts w:ascii="Arial" w:hAnsi="Arial" w:cs="Arial"/>
                <w:bCs/>
                <w:i/>
                <w:sz w:val="21"/>
                <w:szCs w:val="21"/>
              </w:rPr>
              <w:t>.00</w:t>
            </w:r>
          </w:p>
        </w:tc>
      </w:tr>
    </w:tbl>
    <w:p w:rsidR="00B46F2C" w:rsidP="00A403BB" w14:paraId="3F6B65D6" w14:textId="37E9CCAF">
      <w:pPr>
        <w:rPr>
          <w:rFonts w:ascii="Arial" w:hAnsi="Arial"/>
          <w:b/>
        </w:rPr>
      </w:pPr>
    </w:p>
    <w:p w:rsidR="008D0D2A" w:rsidP="00A403BB" w14:paraId="1F5E2A18" w14:textId="7A81B05C">
      <w:pPr>
        <w:rPr>
          <w:rFonts w:ascii="Arial" w:hAnsi="Arial"/>
          <w:b/>
        </w:rPr>
      </w:pPr>
    </w:p>
    <w:p w:rsidR="008D0D2A" w:rsidRPr="00B372FB" w:rsidP="00A403BB" w14:paraId="5C57AADD" w14:textId="77777777">
      <w:pPr>
        <w:rPr>
          <w:rFonts w:ascii="Arial" w:hAnsi="Arial"/>
          <w:b/>
        </w:rPr>
      </w:pPr>
    </w:p>
    <w:p w:rsidR="00B46F2C" w:rsidRPr="00B372FB" w:rsidP="00A403BB" w14:paraId="162E8F52" w14:textId="1AF54EF4">
      <w:pPr>
        <w:rPr>
          <w:rFonts w:ascii="Arial" w:hAnsi="Arial"/>
          <w:b/>
        </w:rPr>
      </w:pPr>
      <w:r w:rsidRPr="00B372FB">
        <w:rPr>
          <w:rFonts w:ascii="Arial" w:hAnsi="Arial"/>
          <w:b/>
        </w:rPr>
        <w:t>A</w:t>
      </w:r>
      <w:r w:rsidR="00AB2FEA">
        <w:rPr>
          <w:rFonts w:ascii="Arial" w:hAnsi="Arial"/>
          <w:b/>
        </w:rPr>
        <w:t>DMINISTRATION OF THE INSTRUMENT:</w:t>
      </w:r>
    </w:p>
    <w:p w:rsidR="00B46F2C" w:rsidRPr="00B372FB" w:rsidP="00A403BB" w14:paraId="133D08B2"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27834837" w14:textId="1216F544">
      <w:pPr>
        <w:ind w:left="720"/>
        <w:rPr>
          <w:rFonts w:ascii="Arial" w:hAnsi="Arial"/>
        </w:rPr>
      </w:pPr>
      <w:r>
        <w:rPr>
          <w:rFonts w:ascii="Arial" w:hAnsi="Arial"/>
        </w:rPr>
        <w:t xml:space="preserve">X </w:t>
      </w:r>
      <w:r w:rsidRPr="00B372FB">
        <w:rPr>
          <w:rFonts w:ascii="Arial" w:hAnsi="Arial"/>
        </w:rPr>
        <w:t xml:space="preserve"> Web-based </w:t>
      </w:r>
    </w:p>
    <w:p w:rsidR="00B46F2C" w:rsidRPr="00B372FB" w:rsidP="001B0AAA" w14:paraId="72763E9E" w14:textId="77777777">
      <w:pPr>
        <w:ind w:left="720"/>
        <w:rPr>
          <w:rFonts w:ascii="Arial" w:hAnsi="Arial"/>
        </w:rPr>
      </w:pPr>
      <w:r w:rsidRPr="00B372FB">
        <w:rPr>
          <w:rFonts w:ascii="Arial" w:hAnsi="Arial"/>
        </w:rPr>
        <w:t xml:space="preserve">[  ] </w:t>
      </w:r>
      <w:r w:rsidR="00D663F0">
        <w:rPr>
          <w:rFonts w:ascii="Arial" w:hAnsi="Arial"/>
        </w:rPr>
        <w:t>Email</w:t>
      </w:r>
    </w:p>
    <w:p w:rsidR="00B46F2C" w:rsidRPr="00B372FB" w:rsidP="001B0AAA" w14:paraId="3D4D2F08" w14:textId="77777777">
      <w:pPr>
        <w:ind w:left="720"/>
        <w:rPr>
          <w:rFonts w:ascii="Arial" w:hAnsi="Arial"/>
        </w:rPr>
      </w:pPr>
      <w:r w:rsidRPr="00B372FB">
        <w:rPr>
          <w:rFonts w:ascii="Arial" w:hAnsi="Arial"/>
        </w:rPr>
        <w:t xml:space="preserve">[  ] </w:t>
      </w:r>
      <w:r w:rsidR="00D663F0">
        <w:rPr>
          <w:rFonts w:ascii="Arial" w:hAnsi="Arial"/>
        </w:rPr>
        <w:t xml:space="preserve">Postal </w:t>
      </w:r>
      <w:r w:rsidRPr="00B372FB">
        <w:rPr>
          <w:rFonts w:ascii="Arial" w:hAnsi="Arial"/>
        </w:rPr>
        <w:t xml:space="preserve">Mail </w:t>
      </w:r>
    </w:p>
    <w:p w:rsidR="00B46F2C" w:rsidRPr="00B372FB" w:rsidP="001B0AAA" w14:paraId="551214A8" w14:textId="77777777">
      <w:pPr>
        <w:ind w:left="720"/>
        <w:rPr>
          <w:rFonts w:ascii="Arial" w:hAnsi="Arial"/>
        </w:rPr>
      </w:pPr>
      <w:r w:rsidRPr="00B372FB">
        <w:rPr>
          <w:rFonts w:ascii="Arial" w:hAnsi="Arial"/>
        </w:rPr>
        <w:t>[  ] Other, Explain</w:t>
      </w:r>
    </w:p>
    <w:p w:rsidR="00B46F2C" w:rsidRPr="00B372FB" w:rsidP="00F24CFC" w14:paraId="31AF4733" w14:textId="77777777">
      <w:pPr>
        <w:pStyle w:val="ListParagraph"/>
        <w:ind w:left="360"/>
        <w:rPr>
          <w:rFonts w:ascii="Arial" w:hAnsi="Arial"/>
        </w:rPr>
      </w:pPr>
    </w:p>
    <w:p w:rsidR="009340B1" w:rsidP="0024521E" w14:paraId="2C4B4506"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15160C" w14:paraId="251F7982" w14:textId="43852AD2">
      <w:pPr>
        <w:rPr>
          <w:rFonts w:ascii="Arial" w:hAnsi="Arial"/>
          <w:b/>
        </w:rPr>
      </w:pPr>
      <w:r>
        <w:rPr>
          <w:rFonts w:ascii="Arial" w:hAnsi="Arial"/>
          <w:b/>
        </w:rPr>
        <w:t>Attachments:</w:t>
      </w:r>
    </w:p>
    <w:p w:rsidR="0015160C" w:rsidRPr="0015160C" w:rsidP="0015160C" w14:paraId="2B2767C4" w14:textId="77777777">
      <w:pPr>
        <w:pStyle w:val="NoSpacing"/>
        <w:numPr>
          <w:ilvl w:val="0"/>
          <w:numId w:val="26"/>
        </w:numPr>
      </w:pPr>
      <w:r w:rsidRPr="0015160C">
        <w:t>Appendix A: Component A: OPPE-NCCDPHP-DDT-Component A Performance Measure Guidance-PS23-0020-new-2024-2026-02-05-2024</w:t>
      </w:r>
    </w:p>
    <w:p w:rsidR="0015160C" w:rsidRPr="0015160C" w:rsidP="0015160C" w14:paraId="21C4961C" w14:textId="77777777">
      <w:pPr>
        <w:pStyle w:val="NoSpacing"/>
      </w:pPr>
    </w:p>
    <w:p w:rsidR="0015160C" w:rsidRPr="0015160C" w:rsidP="0015160C" w14:paraId="0DBF63BA" w14:textId="77777777">
      <w:pPr>
        <w:pStyle w:val="NoSpacing"/>
        <w:numPr>
          <w:ilvl w:val="0"/>
          <w:numId w:val="26"/>
        </w:numPr>
      </w:pPr>
      <w:r w:rsidRPr="0015160C">
        <w:t>Appendix B: Component B: OPPE-NCCDPHP-DDT-Component B Performance Measure Guidance-PS23-0020-new-2024-2026-02-05-2024</w:t>
      </w:r>
    </w:p>
    <w:p w:rsidR="0015160C" w:rsidRPr="0015160C" w:rsidP="0015160C" w14:paraId="026188DA" w14:textId="77777777">
      <w:pPr>
        <w:pStyle w:val="NoSpacing"/>
      </w:pPr>
    </w:p>
    <w:p w:rsidR="0015160C" w:rsidRPr="0015160C" w:rsidP="0015160C" w14:paraId="72CBC219" w14:textId="77777777">
      <w:pPr>
        <w:pStyle w:val="NoSpacing"/>
        <w:numPr>
          <w:ilvl w:val="0"/>
          <w:numId w:val="26"/>
        </w:numPr>
      </w:pPr>
      <w:r w:rsidRPr="0015160C">
        <w:t>Appendix C: Component C: OPPE-NCCDPHP-DDT-Component C Performance Measure Guidance-PS23-0020-new-2024-2026-02-05-2024</w:t>
      </w:r>
    </w:p>
    <w:p w:rsidR="0015160C" w:rsidRPr="0015160C" w:rsidP="0015160C" w14:paraId="0DE22E0D" w14:textId="77777777">
      <w:pPr>
        <w:pStyle w:val="NoSpacing"/>
      </w:pPr>
    </w:p>
    <w:p w:rsidR="0015160C" w:rsidRPr="0015160C" w:rsidP="0015160C" w14:paraId="390D6198" w14:textId="77777777">
      <w:pPr>
        <w:pStyle w:val="NoSpacing"/>
        <w:numPr>
          <w:ilvl w:val="0"/>
          <w:numId w:val="26"/>
        </w:numPr>
      </w:pPr>
      <w:r w:rsidRPr="0015160C">
        <w:t>Appendix D: Data Reporting: OPPE-NCCDPHP-DDT-Component A Data Reporting -PS23-0020-new-2024-2026-02-05-2024</w:t>
      </w:r>
    </w:p>
    <w:p w:rsidR="0015160C" w:rsidRPr="0015160C" w:rsidP="0015160C" w14:paraId="5165D8E3" w14:textId="77777777">
      <w:pPr>
        <w:pStyle w:val="NoSpacing"/>
      </w:pPr>
    </w:p>
    <w:p w:rsidR="0015160C" w:rsidRPr="0015160C" w:rsidP="0015160C" w14:paraId="4B3E600B" w14:textId="77777777">
      <w:pPr>
        <w:pStyle w:val="NoSpacing"/>
        <w:numPr>
          <w:ilvl w:val="0"/>
          <w:numId w:val="26"/>
        </w:numPr>
      </w:pPr>
      <w:r w:rsidRPr="0015160C">
        <w:t>Appendix E: Data Reporting: OPPE-NCCDPHP-DDT-Component B Data Reporting -PS23-0020-new-2024-2026-02-05-2024</w:t>
      </w:r>
    </w:p>
    <w:p w:rsidR="0015160C" w:rsidRPr="0015160C" w:rsidP="0015160C" w14:paraId="32F76F32" w14:textId="77777777">
      <w:pPr>
        <w:pStyle w:val="NoSpacing"/>
      </w:pPr>
    </w:p>
    <w:p w:rsidR="0015160C" w:rsidRPr="0015160C" w:rsidP="0015160C" w14:paraId="5971ABE7" w14:textId="77777777">
      <w:pPr>
        <w:pStyle w:val="NoSpacing"/>
        <w:numPr>
          <w:ilvl w:val="0"/>
          <w:numId w:val="26"/>
        </w:numPr>
      </w:pPr>
      <w:r w:rsidRPr="0015160C">
        <w:t>Appendix F: Data Reporting: OPPE-NCCDPHP-DDT-Component C Data Reporting -PS23-0020-new-2024-2026-02-05-2024</w:t>
      </w:r>
    </w:p>
    <w:p w:rsidR="0015160C" w:rsidRPr="0015160C" w:rsidP="0015160C" w14:paraId="78DC957B" w14:textId="77777777">
      <w:pPr>
        <w:pStyle w:val="NoSpacing"/>
      </w:pPr>
    </w:p>
    <w:p w:rsidR="0015160C" w:rsidRPr="0015160C" w:rsidP="0015160C" w14:paraId="3826C4D1" w14:textId="415F8459">
      <w:pPr>
        <w:pStyle w:val="NoSpacing"/>
        <w:numPr>
          <w:ilvl w:val="0"/>
          <w:numId w:val="26"/>
        </w:numPr>
      </w:pPr>
      <w:r w:rsidRPr="0015160C">
        <w:t>Appendix G: Email to recipients: OPPE-NCCDPHP-DDT-recipient email-PS23-0020-new-2024-2026-02-05-2024</w:t>
      </w:r>
    </w:p>
    <w:p w:rsidR="009340B1" w14:paraId="5EA3B452" w14:textId="6EAAFC27">
      <w:pPr>
        <w:rPr>
          <w:rFonts w:ascii="Arial" w:hAnsi="Arial"/>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00F" w14:paraId="61B3B01A" w14:textId="327B5C2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9064C68"/>
    <w:multiLevelType w:val="hybridMultilevel"/>
    <w:tmpl w:val="E36AF1D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AB7170E"/>
    <w:multiLevelType w:val="hybridMultilevel"/>
    <w:tmpl w:val="4B2AE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C1713C"/>
    <w:multiLevelType w:val="hybridMultilevel"/>
    <w:tmpl w:val="318C158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2E861522"/>
    <w:multiLevelType w:val="hybridMultilevel"/>
    <w:tmpl w:val="82AC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2335DF"/>
    <w:multiLevelType w:val="hybridMultilevel"/>
    <w:tmpl w:val="B3206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8E5CCC"/>
    <w:multiLevelType w:val="hybridMultilevel"/>
    <w:tmpl w:val="93E2A864"/>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8712A2"/>
    <w:multiLevelType w:val="hybridMultilevel"/>
    <w:tmpl w:val="51A4559E"/>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53798331">
    <w:abstractNumId w:val="17"/>
  </w:num>
  <w:num w:numId="2" w16cid:durableId="1386101088">
    <w:abstractNumId w:val="24"/>
  </w:num>
  <w:num w:numId="3" w16cid:durableId="1212427275">
    <w:abstractNumId w:val="23"/>
  </w:num>
  <w:num w:numId="4" w16cid:durableId="2057924648">
    <w:abstractNumId w:val="25"/>
  </w:num>
  <w:num w:numId="5" w16cid:durableId="1574465533">
    <w:abstractNumId w:val="4"/>
  </w:num>
  <w:num w:numId="6" w16cid:durableId="276569415">
    <w:abstractNumId w:val="1"/>
  </w:num>
  <w:num w:numId="7" w16cid:durableId="289365907">
    <w:abstractNumId w:val="15"/>
  </w:num>
  <w:num w:numId="8" w16cid:durableId="605581461">
    <w:abstractNumId w:val="21"/>
  </w:num>
  <w:num w:numId="9" w16cid:durableId="1223061373">
    <w:abstractNumId w:val="16"/>
  </w:num>
  <w:num w:numId="10" w16cid:durableId="410080102">
    <w:abstractNumId w:val="2"/>
  </w:num>
  <w:num w:numId="11" w16cid:durableId="1911571365">
    <w:abstractNumId w:val="9"/>
  </w:num>
  <w:num w:numId="12" w16cid:durableId="1488133191">
    <w:abstractNumId w:val="10"/>
  </w:num>
  <w:num w:numId="13" w16cid:durableId="209533238">
    <w:abstractNumId w:val="0"/>
  </w:num>
  <w:num w:numId="14" w16cid:durableId="937446482">
    <w:abstractNumId w:val="22"/>
  </w:num>
  <w:num w:numId="15" w16cid:durableId="198933170">
    <w:abstractNumId w:val="20"/>
  </w:num>
  <w:num w:numId="16" w16cid:durableId="1036929864">
    <w:abstractNumId w:val="19"/>
  </w:num>
  <w:num w:numId="17" w16cid:durableId="995911642">
    <w:abstractNumId w:val="5"/>
  </w:num>
  <w:num w:numId="18" w16cid:durableId="2121140752">
    <w:abstractNumId w:val="6"/>
  </w:num>
  <w:num w:numId="19" w16cid:durableId="955987830">
    <w:abstractNumId w:val="11"/>
  </w:num>
  <w:num w:numId="20" w16cid:durableId="435101142">
    <w:abstractNumId w:val="8"/>
  </w:num>
  <w:num w:numId="21" w16cid:durableId="1795059241">
    <w:abstractNumId w:val="18"/>
  </w:num>
  <w:num w:numId="22" w16cid:durableId="712659819">
    <w:abstractNumId w:val="3"/>
  </w:num>
  <w:num w:numId="23" w16cid:durableId="1385790990">
    <w:abstractNumId w:val="14"/>
  </w:num>
  <w:num w:numId="24" w16cid:durableId="124011038">
    <w:abstractNumId w:val="7"/>
  </w:num>
  <w:num w:numId="25" w16cid:durableId="671101283">
    <w:abstractNumId w:val="13"/>
  </w:num>
  <w:num w:numId="26" w16cid:durableId="1641350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1E9C"/>
    <w:rsid w:val="00037C5D"/>
    <w:rsid w:val="00047A64"/>
    <w:rsid w:val="00067329"/>
    <w:rsid w:val="000B2838"/>
    <w:rsid w:val="000B2C3F"/>
    <w:rsid w:val="000B6970"/>
    <w:rsid w:val="000C3C5B"/>
    <w:rsid w:val="000D44CA"/>
    <w:rsid w:val="000E200B"/>
    <w:rsid w:val="000F68BE"/>
    <w:rsid w:val="00127D82"/>
    <w:rsid w:val="0015160C"/>
    <w:rsid w:val="001927A4"/>
    <w:rsid w:val="00194AC6"/>
    <w:rsid w:val="001A23B0"/>
    <w:rsid w:val="001A25CC"/>
    <w:rsid w:val="001A7311"/>
    <w:rsid w:val="001B0AAA"/>
    <w:rsid w:val="001C39F7"/>
    <w:rsid w:val="001D0776"/>
    <w:rsid w:val="001E5F40"/>
    <w:rsid w:val="001F135F"/>
    <w:rsid w:val="00205530"/>
    <w:rsid w:val="00237B48"/>
    <w:rsid w:val="0024150F"/>
    <w:rsid w:val="0024521E"/>
    <w:rsid w:val="00263C3D"/>
    <w:rsid w:val="00274D0B"/>
    <w:rsid w:val="002821FF"/>
    <w:rsid w:val="002B3C95"/>
    <w:rsid w:val="002D0B92"/>
    <w:rsid w:val="002F2EF9"/>
    <w:rsid w:val="00303F23"/>
    <w:rsid w:val="00317C72"/>
    <w:rsid w:val="00336372"/>
    <w:rsid w:val="00350FC0"/>
    <w:rsid w:val="003675DB"/>
    <w:rsid w:val="00393D08"/>
    <w:rsid w:val="003C0B83"/>
    <w:rsid w:val="003D5BBE"/>
    <w:rsid w:val="003E3C61"/>
    <w:rsid w:val="003F1C5B"/>
    <w:rsid w:val="0041337D"/>
    <w:rsid w:val="00413E04"/>
    <w:rsid w:val="00434E33"/>
    <w:rsid w:val="00441434"/>
    <w:rsid w:val="0045264C"/>
    <w:rsid w:val="00465ECE"/>
    <w:rsid w:val="00482D14"/>
    <w:rsid w:val="004876EC"/>
    <w:rsid w:val="00487B0F"/>
    <w:rsid w:val="00487BA8"/>
    <w:rsid w:val="004C7DF7"/>
    <w:rsid w:val="004D4E12"/>
    <w:rsid w:val="004D6E14"/>
    <w:rsid w:val="005009B0"/>
    <w:rsid w:val="00512CA7"/>
    <w:rsid w:val="00541AAF"/>
    <w:rsid w:val="005A1006"/>
    <w:rsid w:val="005B4451"/>
    <w:rsid w:val="005C4FAD"/>
    <w:rsid w:val="005D46C6"/>
    <w:rsid w:val="005E714A"/>
    <w:rsid w:val="00612E38"/>
    <w:rsid w:val="006140A0"/>
    <w:rsid w:val="006358D1"/>
    <w:rsid w:val="00636621"/>
    <w:rsid w:val="00636D50"/>
    <w:rsid w:val="00642B49"/>
    <w:rsid w:val="006826B6"/>
    <w:rsid w:val="006832D9"/>
    <w:rsid w:val="006879EE"/>
    <w:rsid w:val="0069403B"/>
    <w:rsid w:val="006E08B4"/>
    <w:rsid w:val="006E12B5"/>
    <w:rsid w:val="006F1548"/>
    <w:rsid w:val="006F3DDE"/>
    <w:rsid w:val="00704678"/>
    <w:rsid w:val="007425E7"/>
    <w:rsid w:val="00781DF1"/>
    <w:rsid w:val="007E3C5D"/>
    <w:rsid w:val="007E7082"/>
    <w:rsid w:val="007F73F8"/>
    <w:rsid w:val="00802607"/>
    <w:rsid w:val="008101A5"/>
    <w:rsid w:val="00822664"/>
    <w:rsid w:val="00840FCA"/>
    <w:rsid w:val="00843796"/>
    <w:rsid w:val="00846B36"/>
    <w:rsid w:val="00847F00"/>
    <w:rsid w:val="00894248"/>
    <w:rsid w:val="00895229"/>
    <w:rsid w:val="008D0D2A"/>
    <w:rsid w:val="008E6B9E"/>
    <w:rsid w:val="008F0203"/>
    <w:rsid w:val="008F50D4"/>
    <w:rsid w:val="009239AA"/>
    <w:rsid w:val="009340B1"/>
    <w:rsid w:val="00935ADA"/>
    <w:rsid w:val="00946B6C"/>
    <w:rsid w:val="00955A71"/>
    <w:rsid w:val="0096108F"/>
    <w:rsid w:val="00991F8D"/>
    <w:rsid w:val="009C13B9"/>
    <w:rsid w:val="009D01A2"/>
    <w:rsid w:val="009E6C02"/>
    <w:rsid w:val="009F5923"/>
    <w:rsid w:val="00A0433B"/>
    <w:rsid w:val="00A13253"/>
    <w:rsid w:val="00A403BB"/>
    <w:rsid w:val="00A674DF"/>
    <w:rsid w:val="00A83AA6"/>
    <w:rsid w:val="00AB2FEA"/>
    <w:rsid w:val="00AD000F"/>
    <w:rsid w:val="00AE005B"/>
    <w:rsid w:val="00AE1809"/>
    <w:rsid w:val="00AE5B70"/>
    <w:rsid w:val="00AF1A5E"/>
    <w:rsid w:val="00B32078"/>
    <w:rsid w:val="00B34C5E"/>
    <w:rsid w:val="00B372FB"/>
    <w:rsid w:val="00B45990"/>
    <w:rsid w:val="00B46F2C"/>
    <w:rsid w:val="00B61B2E"/>
    <w:rsid w:val="00B729D5"/>
    <w:rsid w:val="00B80D76"/>
    <w:rsid w:val="00B85006"/>
    <w:rsid w:val="00B95F5A"/>
    <w:rsid w:val="00B960DE"/>
    <w:rsid w:val="00BA2105"/>
    <w:rsid w:val="00BA7E06"/>
    <w:rsid w:val="00BB43B5"/>
    <w:rsid w:val="00BB6219"/>
    <w:rsid w:val="00BC3BA2"/>
    <w:rsid w:val="00BD290F"/>
    <w:rsid w:val="00BD3812"/>
    <w:rsid w:val="00BE26F1"/>
    <w:rsid w:val="00BE342A"/>
    <w:rsid w:val="00C1435C"/>
    <w:rsid w:val="00C14CC4"/>
    <w:rsid w:val="00C33C52"/>
    <w:rsid w:val="00C40D8B"/>
    <w:rsid w:val="00C8407A"/>
    <w:rsid w:val="00C8488C"/>
    <w:rsid w:val="00C86E91"/>
    <w:rsid w:val="00CA2650"/>
    <w:rsid w:val="00CB1078"/>
    <w:rsid w:val="00CC6FAF"/>
    <w:rsid w:val="00CE1218"/>
    <w:rsid w:val="00D11DD8"/>
    <w:rsid w:val="00D21578"/>
    <w:rsid w:val="00D24698"/>
    <w:rsid w:val="00D5400F"/>
    <w:rsid w:val="00D6383F"/>
    <w:rsid w:val="00D663F0"/>
    <w:rsid w:val="00D71221"/>
    <w:rsid w:val="00D97DB9"/>
    <w:rsid w:val="00DB344C"/>
    <w:rsid w:val="00DB59D0"/>
    <w:rsid w:val="00DC33D3"/>
    <w:rsid w:val="00DD3169"/>
    <w:rsid w:val="00DE50DE"/>
    <w:rsid w:val="00E2594A"/>
    <w:rsid w:val="00E26329"/>
    <w:rsid w:val="00E40B50"/>
    <w:rsid w:val="00E50293"/>
    <w:rsid w:val="00E55CAE"/>
    <w:rsid w:val="00E64372"/>
    <w:rsid w:val="00E64550"/>
    <w:rsid w:val="00E65FFC"/>
    <w:rsid w:val="00E749EA"/>
    <w:rsid w:val="00E80951"/>
    <w:rsid w:val="00E854FE"/>
    <w:rsid w:val="00E86CC6"/>
    <w:rsid w:val="00EA2C4C"/>
    <w:rsid w:val="00EB56B3"/>
    <w:rsid w:val="00ED6492"/>
    <w:rsid w:val="00EF2095"/>
    <w:rsid w:val="00F06866"/>
    <w:rsid w:val="00F15956"/>
    <w:rsid w:val="00F17D70"/>
    <w:rsid w:val="00F24CFC"/>
    <w:rsid w:val="00F3170F"/>
    <w:rsid w:val="00F4017B"/>
    <w:rsid w:val="00F40A28"/>
    <w:rsid w:val="00F45E35"/>
    <w:rsid w:val="00F575A2"/>
    <w:rsid w:val="00F6612D"/>
    <w:rsid w:val="00F671B8"/>
    <w:rsid w:val="00F8405A"/>
    <w:rsid w:val="00F84782"/>
    <w:rsid w:val="00F87606"/>
    <w:rsid w:val="00F976B0"/>
    <w:rsid w:val="00FA6DE7"/>
    <w:rsid w:val="00FB3095"/>
    <w:rsid w:val="00FC0A8E"/>
    <w:rsid w:val="00FD1319"/>
    <w:rsid w:val="00FE2FA6"/>
    <w:rsid w:val="00FE3DF2"/>
    <w:rsid w:val="00FF4C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337276"/>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TableGrid1">
    <w:name w:val="Table Grid1"/>
    <w:basedOn w:val="TableNormal"/>
    <w:next w:val="TableGrid"/>
    <w:uiPriority w:val="39"/>
    <w:rsid w:val="00D5400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5</Pages>
  <Words>1416</Words>
  <Characters>8727</Characters>
  <Application>Microsoft Office Word</Application>
  <DocSecurity>0</DocSecurity>
  <Lines>251</Lines>
  <Paragraphs>107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Clunis, Odion (CDC/IOD/OS)</cp:lastModifiedBy>
  <cp:revision>5</cp:revision>
  <cp:lastPrinted>2012-08-06T16:52:00Z</cp:lastPrinted>
  <dcterms:created xsi:type="dcterms:W3CDTF">2024-03-14T16:06:00Z</dcterms:created>
  <dcterms:modified xsi:type="dcterms:W3CDTF">2024-04-19T11:23:00Z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4315e19f4bc027369b18e9d0f686c7206ad9eeddbd3d58ec1b175281196c6e49</vt:lpwstr>
  </property>
  <property fmtid="{D5CDD505-2E9C-101B-9397-08002B2CF9AE}" pid="3" name="MSIP_Label_8af03ff0-41c5-4c41-b55e-fabb8fae94be_ActionId">
    <vt:lpwstr>c4ae747f-5b2e-40d0-a02e-2f91d2d85de7</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2024-04-19T11:23:43Z</vt:lpwstr>
  </property>
  <property fmtid="{D5CDD505-2E9C-101B-9397-08002B2CF9AE}" pid="9" name="MSIP_Label_8af03ff0-41c5-4c41-b55e-fabb8fae94be_SiteId">
    <vt:lpwstr>9ce70869-60db-44fd-abe8-d2767077fc8f</vt:lpwstr>
  </property>
  <property fmtid="{D5CDD505-2E9C-101B-9397-08002B2CF9AE}" pid="10" name="_NewReviewCycle">
    <vt:lpwstr/>
  </property>
</Properties>
</file>