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0AB630FF"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0A824B94"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439A354C"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8D2FCD" w:rsidP="003B71AA" w14:paraId="0DFB77DC" w14:textId="40C89141">
      <w:pPr>
        <w:spacing w:line="480" w:lineRule="auto"/>
        <w:jc w:val="center"/>
        <w:rPr>
          <w:rFonts w:ascii="Courier New" w:hAnsi="Courier New" w:cs="Courier New"/>
          <w:sz w:val="24"/>
          <w:szCs w:val="24"/>
        </w:rPr>
      </w:pPr>
      <w:r w:rsidRPr="008D2FCD">
        <w:rPr>
          <w:rFonts w:ascii="Courier New" w:hAnsi="Courier New" w:cs="Courier New"/>
          <w:sz w:val="24"/>
          <w:szCs w:val="24"/>
        </w:rPr>
        <w:t>[30Day-</w:t>
      </w:r>
      <w:r w:rsidRPr="008D2FCD" w:rsidR="008D2FCD">
        <w:rPr>
          <w:rFonts w:ascii="Courier New" w:hAnsi="Courier New" w:cs="Courier New"/>
          <w:sz w:val="24"/>
          <w:szCs w:val="24"/>
        </w:rPr>
        <w:t>FY</w:t>
      </w:r>
      <w:r w:rsidRPr="008D2FCD" w:rsidR="007B0B2F">
        <w:rPr>
          <w:rFonts w:ascii="Courier New" w:hAnsi="Courier New" w:cs="Courier New"/>
          <w:sz w:val="24"/>
          <w:szCs w:val="24"/>
        </w:rPr>
        <w:t>-</w:t>
      </w:r>
      <w:r w:rsidR="00C55AD3">
        <w:rPr>
          <w:rFonts w:ascii="Courier New" w:hAnsi="Courier New" w:cs="Courier New"/>
          <w:sz w:val="24"/>
          <w:szCs w:val="24"/>
        </w:rPr>
        <w:t>2025</w:t>
      </w:r>
      <w:r w:rsidRPr="008D2FCD" w:rsidR="00AE0EDA">
        <w:rPr>
          <w:rFonts w:ascii="Courier New" w:hAnsi="Courier New" w:cs="Courier New"/>
          <w:sz w:val="24"/>
          <w:szCs w:val="24"/>
        </w:rPr>
        <w:t>]</w:t>
      </w:r>
    </w:p>
    <w:p w:rsidR="00724ACE" w:rsidRPr="008D2FCD" w:rsidP="00724ACE" w14:paraId="0331DED5" w14:textId="77777777">
      <w:pPr>
        <w:spacing w:line="480" w:lineRule="auto"/>
        <w:jc w:val="center"/>
        <w:rPr>
          <w:rFonts w:ascii="Courier New" w:hAnsi="Courier New" w:cs="Courier New"/>
          <w:bCs/>
          <w:sz w:val="24"/>
          <w:szCs w:val="24"/>
        </w:rPr>
      </w:pPr>
      <w:r w:rsidRPr="008D2FCD">
        <w:rPr>
          <w:rFonts w:ascii="Courier New" w:hAnsi="Courier New" w:cs="Courier New"/>
          <w:bCs/>
          <w:sz w:val="24"/>
          <w:szCs w:val="24"/>
        </w:rPr>
        <w:t>Agency Forms Undergoing Paperwork Reduction Act Review</w:t>
      </w:r>
    </w:p>
    <w:p w:rsidR="00BA3FC6" w:rsidRPr="008D2FCD" w:rsidP="003B71AA" w14:paraId="2B3E55CA" w14:textId="77777777">
      <w:pPr>
        <w:tabs>
          <w:tab w:val="center" w:pos="4680"/>
        </w:tabs>
        <w:spacing w:line="480" w:lineRule="auto"/>
        <w:jc w:val="both"/>
        <w:rPr>
          <w:rFonts w:ascii="Courier New" w:hAnsi="Courier New" w:cs="Courier New"/>
          <w:sz w:val="24"/>
          <w:szCs w:val="24"/>
        </w:rPr>
      </w:pPr>
    </w:p>
    <w:p w:rsidR="002F2954" w:rsidRPr="008D2FCD" w:rsidP="002F2954" w14:paraId="116DFA02" w14:textId="394966DE">
      <w:pPr>
        <w:spacing w:line="480" w:lineRule="auto"/>
        <w:ind w:firstLine="720"/>
        <w:rPr>
          <w:rFonts w:ascii="Courier New" w:hAnsi="Courier New" w:cs="Courier New"/>
          <w:sz w:val="24"/>
          <w:szCs w:val="24"/>
        </w:rPr>
      </w:pPr>
      <w:r w:rsidRPr="10C8C4F6">
        <w:rPr>
          <w:rFonts w:ascii="Courier New" w:hAnsi="Courier New" w:cs="Courier New"/>
          <w:sz w:val="24"/>
          <w:szCs w:val="24"/>
        </w:rPr>
        <w:t>In accordance with the Paperwork Reduction Act of 1995, t</w:t>
      </w:r>
      <w:r w:rsidRPr="10C8C4F6" w:rsidR="001503F9">
        <w:rPr>
          <w:rFonts w:ascii="Courier New" w:hAnsi="Courier New" w:cs="Courier New"/>
          <w:sz w:val="24"/>
          <w:szCs w:val="24"/>
        </w:rPr>
        <w:t xml:space="preserve">he Centers for Disease Control and Prevention (CDC) has submitted the information collection request </w:t>
      </w:r>
      <w:r w:rsidRPr="10C8C4F6">
        <w:rPr>
          <w:rFonts w:ascii="Courier New" w:hAnsi="Courier New" w:cs="Courier New"/>
          <w:sz w:val="24"/>
          <w:szCs w:val="24"/>
        </w:rPr>
        <w:t xml:space="preserve">titled </w:t>
      </w:r>
      <w:r w:rsidRPr="10C8C4F6" w:rsidR="00C55AD3">
        <w:rPr>
          <w:rFonts w:ascii="Courier New" w:hAnsi="Courier New" w:cs="Courier New"/>
          <w:sz w:val="24"/>
          <w:szCs w:val="24"/>
        </w:rPr>
        <w:t>Sudden Death in the Young</w:t>
      </w:r>
      <w:r w:rsidRPr="10C8C4F6">
        <w:rPr>
          <w:rFonts w:ascii="Courier New" w:hAnsi="Courier New" w:cs="Courier New"/>
        </w:rPr>
        <w:t xml:space="preserve"> </w:t>
      </w:r>
      <w:r w:rsidRPr="10C8C4F6" w:rsidR="001503F9">
        <w:rPr>
          <w:rFonts w:ascii="Courier New" w:hAnsi="Courier New" w:cs="Courier New"/>
          <w:sz w:val="24"/>
          <w:szCs w:val="24"/>
        </w:rPr>
        <w:t xml:space="preserve">to the Office of Management and Budget (OMB) for review and approval. CDC previously published a “Proposed Data Collection Submitted for Public Comment and Recommendations” notice on </w:t>
      </w:r>
      <w:r w:rsidRPr="10C8C4F6" w:rsidR="00C55AD3">
        <w:rPr>
          <w:rFonts w:ascii="Courier New" w:hAnsi="Courier New" w:cs="Courier New"/>
          <w:sz w:val="24"/>
          <w:szCs w:val="24"/>
        </w:rPr>
        <w:t>June 14,</w:t>
      </w:r>
      <w:r w:rsidRPr="10C8C4F6" w:rsidR="005F01CF">
        <w:rPr>
          <w:rFonts w:ascii="Courier New" w:hAnsi="Courier New" w:cs="Courier New"/>
          <w:sz w:val="24"/>
          <w:szCs w:val="24"/>
        </w:rPr>
        <w:t xml:space="preserve"> </w:t>
      </w:r>
      <w:r w:rsidRPr="10C8C4F6" w:rsidR="00C55AD3">
        <w:rPr>
          <w:rFonts w:ascii="Courier New" w:hAnsi="Courier New" w:cs="Courier New"/>
          <w:sz w:val="24"/>
          <w:szCs w:val="24"/>
        </w:rPr>
        <w:t>2025</w:t>
      </w:r>
      <w:r w:rsidRPr="10C8C4F6" w:rsidR="001503F9">
        <w:rPr>
          <w:rFonts w:ascii="Courier New" w:hAnsi="Courier New" w:cs="Courier New"/>
          <w:sz w:val="24"/>
          <w:szCs w:val="24"/>
        </w:rPr>
        <w:t xml:space="preserve"> to obtain comments from the public and affected agencies.  </w:t>
      </w:r>
      <w:r w:rsidRPr="10C8C4F6" w:rsidR="001503F9">
        <w:rPr>
          <w:rFonts w:ascii="Courier New" w:hAnsi="Courier New" w:cs="Courier New"/>
          <w:sz w:val="24"/>
          <w:szCs w:val="24"/>
        </w:rPr>
        <w:t xml:space="preserve">CDC did not receive comments related to the previous notice. </w:t>
      </w:r>
      <w:r w:rsidRPr="10C8C4F6" w:rsidR="00337166">
        <w:rPr>
          <w:rFonts w:ascii="Courier New" w:hAnsi="Courier New" w:cs="Courier New"/>
          <w:sz w:val="24"/>
          <w:szCs w:val="24"/>
        </w:rPr>
        <w:t>T</w:t>
      </w:r>
      <w:r w:rsidRPr="10C8C4F6" w:rsidR="001503F9">
        <w:rPr>
          <w:rFonts w:ascii="Courier New" w:hAnsi="Courier New" w:cs="Courier New"/>
          <w:color w:val="000000" w:themeColor="text1" w:themeShade="FF" w:themeTint="FF"/>
          <w:sz w:val="24"/>
          <w:szCs w:val="24"/>
        </w:rPr>
        <w:t xml:space="preserve">his notice </w:t>
      </w:r>
      <w:r w:rsidRPr="10C8C4F6" w:rsidR="00337166">
        <w:rPr>
          <w:rFonts w:ascii="Courier New" w:hAnsi="Courier New" w:cs="Courier New"/>
          <w:color w:val="000000" w:themeColor="text1" w:themeShade="FF" w:themeTint="FF"/>
          <w:sz w:val="24"/>
          <w:szCs w:val="24"/>
        </w:rPr>
        <w:t xml:space="preserve">serves </w:t>
      </w:r>
      <w:r w:rsidRPr="10C8C4F6" w:rsidR="001503F9">
        <w:rPr>
          <w:rFonts w:ascii="Courier New" w:hAnsi="Courier New" w:cs="Courier New"/>
          <w:color w:val="000000" w:themeColor="text1" w:themeShade="FF" w:themeTint="FF"/>
          <w:sz w:val="24"/>
          <w:szCs w:val="24"/>
        </w:rPr>
        <w:t xml:space="preserve">to allow an additional 30 days for public </w:t>
      </w:r>
      <w:r w:rsidRPr="10C8C4F6" w:rsidR="00EE5DF8">
        <w:rPr>
          <w:rFonts w:ascii="Courier New" w:hAnsi="Courier New" w:cs="Courier New"/>
          <w:color w:val="000000" w:themeColor="text1" w:themeShade="FF" w:themeTint="FF"/>
          <w:sz w:val="24"/>
          <w:szCs w:val="24"/>
        </w:rPr>
        <w:t xml:space="preserve">and affected agency </w:t>
      </w:r>
      <w:r w:rsidRPr="10C8C4F6" w:rsidR="001503F9">
        <w:rPr>
          <w:rFonts w:ascii="Courier New" w:hAnsi="Courier New" w:cs="Courier New"/>
          <w:color w:val="000000" w:themeColor="text1" w:themeShade="FF" w:themeTint="FF"/>
          <w:sz w:val="24"/>
          <w:szCs w:val="24"/>
        </w:rPr>
        <w:t>comments.</w:t>
      </w:r>
    </w:p>
    <w:p w:rsidR="002F2954" w:rsidRPr="008D2FCD" w:rsidP="002F2954" w14:paraId="431CDE1E" w14:textId="77777777">
      <w:pPr>
        <w:spacing w:line="480" w:lineRule="auto"/>
        <w:ind w:firstLine="720"/>
        <w:rPr>
          <w:rFonts w:ascii="Courier New" w:hAnsi="Courier New" w:cs="Courier New"/>
          <w:sz w:val="24"/>
          <w:szCs w:val="24"/>
        </w:rPr>
      </w:pPr>
    </w:p>
    <w:p w:rsidR="00EE5DF8" w:rsidRPr="008D2FCD" w:rsidP="10C8C4F6" w14:paraId="4581F200" w14:textId="77777777">
      <w:pPr>
        <w:spacing w:line="480" w:lineRule="auto"/>
        <w:ind w:firstLine="720"/>
        <w:rPr>
          <w:rFonts w:ascii="Courier New" w:eastAsia="Courier New" w:hAnsi="Courier New" w:cs="Courier New"/>
          <w:sz w:val="24"/>
          <w:szCs w:val="24"/>
        </w:rPr>
      </w:pPr>
      <w:r w:rsidRPr="10C8C4F6">
        <w:rPr>
          <w:rFonts w:ascii="Courier New" w:eastAsia="Courier New" w:hAnsi="Courier New" w:cs="Courier New"/>
          <w:sz w:val="24"/>
          <w:szCs w:val="24"/>
        </w:rPr>
        <w:t xml:space="preserve">CDC will accept all comments </w:t>
      </w:r>
      <w:r w:rsidRPr="10C8C4F6">
        <w:rPr>
          <w:rFonts w:ascii="Courier New" w:eastAsia="Courier New" w:hAnsi="Courier New" w:cs="Courier New"/>
          <w:sz w:val="24"/>
          <w:szCs w:val="24"/>
        </w:rPr>
        <w:t>for</w:t>
      </w:r>
      <w:r w:rsidRPr="10C8C4F6">
        <w:rPr>
          <w:rFonts w:ascii="Courier New" w:eastAsia="Courier New" w:hAnsi="Courier New" w:cs="Courier New"/>
          <w:sz w:val="24"/>
          <w:szCs w:val="24"/>
        </w:rPr>
        <w:t xml:space="preserve"> this proposed information collection project.</w:t>
      </w:r>
      <w:r w:rsidRPr="10C8C4F6" w:rsidR="002F2954">
        <w:rPr>
          <w:rFonts w:ascii="Courier New" w:eastAsia="Courier New" w:hAnsi="Courier New" w:cs="Courier New"/>
          <w:sz w:val="24"/>
          <w:szCs w:val="24"/>
        </w:rPr>
        <w:t xml:space="preserve"> </w:t>
      </w:r>
      <w:r w:rsidRPr="10C8C4F6">
        <w:rPr>
          <w:rFonts w:ascii="Courier New" w:eastAsia="Courier New" w:hAnsi="Courier New" w:cs="Courier New"/>
          <w:color w:val="000000" w:themeColor="text1" w:themeShade="FF" w:themeTint="FF"/>
          <w:sz w:val="24"/>
          <w:szCs w:val="24"/>
        </w:rPr>
        <w:t xml:space="preserve">The Office of Management and Budget </w:t>
      </w:r>
      <w:r w:rsidRPr="10C8C4F6">
        <w:rPr>
          <w:rFonts w:ascii="Courier New" w:eastAsia="Courier New" w:hAnsi="Courier New" w:cs="Courier New"/>
          <w:color w:val="000000" w:themeColor="text1" w:themeShade="FF" w:themeTint="FF"/>
          <w:sz w:val="24"/>
          <w:szCs w:val="24"/>
        </w:rPr>
        <w:t>is</w:t>
      </w:r>
      <w:r w:rsidRPr="10C8C4F6">
        <w:rPr>
          <w:rFonts w:ascii="Courier New" w:eastAsia="Courier New" w:hAnsi="Courier New" w:cs="Courier New"/>
          <w:color w:val="000000" w:themeColor="text1" w:themeShade="FF" w:themeTint="FF"/>
          <w:sz w:val="24"/>
          <w:szCs w:val="24"/>
        </w:rPr>
        <w:t xml:space="preserve"> particularly interested in comments that: </w:t>
      </w:r>
      <w:r w:rsidRPr="10C8C4F6">
        <w:rPr>
          <w:rFonts w:ascii="Courier New" w:eastAsia="Courier New" w:hAnsi="Courier New" w:cs="Courier New"/>
          <w:sz w:val="24"/>
          <w:szCs w:val="24"/>
        </w:rPr>
        <w:t xml:space="preserve"> </w:t>
      </w:r>
    </w:p>
    <w:p w:rsidR="00EE5DF8" w:rsidRPr="008D2FCD" w:rsidP="00EE5DF8" w14:paraId="252DC052"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w:t>
      </w:r>
      <w:r w:rsidRPr="008D2FCD">
        <w:rPr>
          <w:rFonts w:ascii="Courier New" w:hAnsi="Courier New" w:cs="Courier New"/>
          <w:sz w:val="24"/>
          <w:szCs w:val="24"/>
        </w:rPr>
        <w:t>utility;</w:t>
      </w:r>
      <w:r w:rsidRPr="008D2FCD">
        <w:rPr>
          <w:rFonts w:ascii="Courier New" w:hAnsi="Courier New" w:cs="Courier New"/>
          <w:sz w:val="24"/>
          <w:szCs w:val="24"/>
        </w:rPr>
        <w:t xml:space="preserve"> </w:t>
      </w:r>
    </w:p>
    <w:p w:rsidR="00EE5DF8" w:rsidRPr="008D2FCD" w:rsidP="00EE5DF8" w14:paraId="6737C6DB"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8D2FCD">
        <w:rPr>
          <w:rFonts w:ascii="Courier New" w:hAnsi="Courier New" w:cs="Courier New"/>
          <w:sz w:val="24"/>
          <w:szCs w:val="24"/>
        </w:rPr>
        <w:t>used;</w:t>
      </w:r>
    </w:p>
    <w:p w:rsidR="00EE5DF8" w:rsidRPr="008D2FCD" w:rsidP="00EE5DF8" w14:paraId="61D49AD2"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(c) Enhance the quality, utility, and clarity of the information to be </w:t>
      </w:r>
      <w:r w:rsidRPr="008D2FCD">
        <w:rPr>
          <w:rFonts w:ascii="Courier New" w:hAnsi="Courier New" w:cs="Courier New"/>
          <w:sz w:val="24"/>
          <w:szCs w:val="24"/>
        </w:rPr>
        <w:t>collected;</w:t>
      </w:r>
      <w:r w:rsidRPr="008D2FCD">
        <w:rPr>
          <w:rFonts w:ascii="Courier New" w:hAnsi="Courier New" w:cs="Courier New"/>
          <w:sz w:val="24"/>
          <w:szCs w:val="24"/>
        </w:rPr>
        <w:t xml:space="preserve"> </w:t>
      </w:r>
    </w:p>
    <w:p w:rsidR="00EE5DF8" w:rsidRPr="008D2FCD" w:rsidP="00EE5DF8" w14:paraId="34444D45"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(d) Minimize the burden of the collection of information on those who are to respond, including, </w:t>
      </w:r>
      <w:r w:rsidRPr="008D2FCD">
        <w:rPr>
          <w:rFonts w:ascii="Courier New" w:hAnsi="Courier New" w:cs="Courier New"/>
          <w:sz w:val="24"/>
          <w:szCs w:val="24"/>
        </w:rPr>
        <w:t>through the use of</w:t>
      </w:r>
      <w:r w:rsidRPr="008D2FCD">
        <w:rPr>
          <w:rFonts w:ascii="Courier New" w:hAnsi="Courier New" w:cs="Courier New"/>
          <w:sz w:val="24"/>
          <w:szCs w:val="24"/>
        </w:rPr>
        <w:t xml:space="preserve"> appropriate automated, electronic, mechanical, or other technological collection techniques or other forms of information technology, e.g., permitting electronic submission of responses; and </w:t>
      </w:r>
    </w:p>
    <w:p w:rsidR="002F2954" w:rsidP="00EE5DF8" w14:paraId="3B5527E2" w14:textId="77777777">
      <w:pPr>
        <w:spacing w:line="480" w:lineRule="auto"/>
        <w:ind w:firstLine="720"/>
        <w:rPr>
          <w:rFonts w:ascii="Courier New" w:hAnsi="Courier New" w:cs="Courier New"/>
          <w:sz w:val="24"/>
          <w:szCs w:val="24"/>
        </w:rPr>
      </w:pPr>
      <w:r w:rsidRPr="008D2FCD">
        <w:rPr>
          <w:rFonts w:ascii="Courier New" w:hAnsi="Courier New" w:cs="Courier New"/>
          <w:sz w:val="24"/>
          <w:szCs w:val="24"/>
        </w:rPr>
        <w:t>(e) Assess information collection costs.</w:t>
      </w:r>
    </w:p>
    <w:p w:rsidR="002F2954" w:rsidP="002F2954" w14:paraId="4CE7DE72" w14:textId="77777777">
      <w:pPr>
        <w:spacing w:line="480" w:lineRule="auto"/>
        <w:ind w:firstLine="720"/>
        <w:rPr>
          <w:rFonts w:ascii="Courier New" w:hAnsi="Courier New" w:cs="Courier New"/>
          <w:sz w:val="24"/>
          <w:szCs w:val="24"/>
        </w:rPr>
      </w:pPr>
    </w:p>
    <w:p w:rsidR="002F2954" w:rsidP="00137909" w14:paraId="764D90FB" w14:textId="412F9D7B">
      <w:pPr>
        <w:spacing w:line="480" w:lineRule="auto"/>
        <w:ind w:firstLine="720"/>
        <w:jc w:val="both"/>
        <w:rPr>
          <w:rFonts w:ascii="Courier New" w:hAnsi="Courier New" w:cs="Courier New"/>
          <w:sz w:val="24"/>
          <w:szCs w:val="24"/>
        </w:rPr>
      </w:pPr>
      <w:bookmarkStart w:id="0" w:name="_Hlk35367145"/>
      <w:r w:rsidRPr="00D555C1">
        <w:rPr>
          <w:rFonts w:ascii="Courier New" w:hAnsi="Courier New" w:cs="Courier New"/>
          <w:sz w:val="24"/>
          <w:szCs w:val="24"/>
        </w:rPr>
        <w:t>To request additional information on the proposed project or to obtain a copy of the information collection plan and instruments, call (404) 639-7570</w:t>
      </w:r>
      <w:r w:rsidRPr="00D555C1" w:rsidR="00137909">
        <w:rPr>
          <w:rFonts w:ascii="Courier New" w:hAnsi="Courier New" w:cs="Courier New"/>
          <w:sz w:val="24"/>
          <w:szCs w:val="24"/>
        </w:rPr>
        <w:t>.</w:t>
      </w:r>
      <w:r w:rsidRPr="00D555C1">
        <w:rPr>
          <w:rFonts w:ascii="Courier New" w:hAnsi="Courier New" w:cs="Courier New"/>
          <w:sz w:val="24"/>
          <w:szCs w:val="24"/>
        </w:rPr>
        <w:t xml:space="preserve"> </w:t>
      </w:r>
      <w:r w:rsidRPr="00D555C1" w:rsidR="00137909">
        <w:rPr>
          <w:rFonts w:ascii="Courier New" w:hAnsi="Courier New" w:cs="Courier New"/>
          <w:sz w:val="24"/>
          <w:szCs w:val="24"/>
        </w:rPr>
        <w:t xml:space="preserve">Comments and recommendations for the proposed information collection should be sent within 30 days of publication of this notice to </w:t>
      </w:r>
      <w:hyperlink r:id="rId7" w:history="1">
        <w:r w:rsidRPr="00D555C1" w:rsidR="00035A72">
          <w:rPr>
            <w:rStyle w:val="Hyperlink"/>
            <w:rFonts w:ascii="Courier New" w:hAnsi="Courier New" w:cs="Courier New"/>
            <w:sz w:val="24"/>
            <w:szCs w:val="24"/>
          </w:rPr>
          <w:t>www.reginfo.gov/public/do/PRAMain</w:t>
        </w:r>
      </w:hyperlink>
      <w:r w:rsidRPr="00D555C1" w:rsidR="00035A72">
        <w:rPr>
          <w:rFonts w:ascii="Courier New" w:hAnsi="Courier New" w:cs="Courier New"/>
          <w:sz w:val="24"/>
          <w:szCs w:val="24"/>
        </w:rPr>
        <w:t xml:space="preserve"> </w:t>
      </w:r>
      <w:r w:rsidRPr="00D555C1" w:rsidR="00137909">
        <w:rPr>
          <w:rFonts w:ascii="Courier New" w:hAnsi="Courier New" w:cs="Courier New"/>
          <w:sz w:val="24"/>
          <w:szCs w:val="24"/>
        </w:rPr>
        <w:t xml:space="preserve"> Find this particular information collection by selecting "Currently under 30-day Review - Open for Public Comments" or by using the search function. </w:t>
      </w:r>
      <w:r w:rsidRPr="00D555C1">
        <w:rPr>
          <w:rFonts w:ascii="Courier New" w:hAnsi="Courier New" w:cs="Courier New"/>
          <w:sz w:val="24"/>
          <w:szCs w:val="24"/>
        </w:rPr>
        <w:t xml:space="preserve">Direct written comments and/or suggestions regarding the items contained in this notice to the Attention: CDC Desk Officer, Office of Management and Budget, </w:t>
      </w:r>
      <w:r w:rsidRPr="00D555C1">
        <w:rPr>
          <w:rFonts w:ascii="Courier New" w:hAnsi="Courier New" w:cs="Courier New"/>
          <w:color w:val="000000"/>
          <w:sz w:val="24"/>
          <w:szCs w:val="24"/>
        </w:rPr>
        <w:t xml:space="preserve">725 </w:t>
      </w:r>
      <w:r w:rsidRPr="00D555C1">
        <w:rPr>
          <w:rFonts w:ascii="Courier New" w:hAnsi="Courier New" w:cs="Courier New"/>
          <w:color w:val="000000"/>
          <w:sz w:val="24"/>
          <w:szCs w:val="24"/>
        </w:rPr>
        <w:t xml:space="preserve">17th Street, NW, </w:t>
      </w:r>
      <w:r w:rsidRPr="00D555C1">
        <w:rPr>
          <w:rFonts w:ascii="Courier New" w:hAnsi="Courier New" w:cs="Courier New"/>
          <w:sz w:val="24"/>
          <w:szCs w:val="24"/>
        </w:rPr>
        <w:t>Washington, DC 20503 or by fax to (202) 395-5806.  Provide written comments within 30 days of notice publication.</w:t>
      </w:r>
    </w:p>
    <w:bookmarkEnd w:id="0"/>
    <w:p w:rsidR="002F2954" w:rsidP="002F2954" w14:paraId="18BFD7A9" w14:textId="77777777">
      <w:pPr>
        <w:spacing w:line="480" w:lineRule="auto"/>
        <w:ind w:right="-540"/>
        <w:jc w:val="both"/>
        <w:rPr>
          <w:rFonts w:ascii="Courier New" w:hAnsi="Courier New" w:cs="Courier New"/>
          <w:sz w:val="24"/>
          <w:szCs w:val="24"/>
        </w:rPr>
      </w:pPr>
    </w:p>
    <w:p w:rsidR="002F2954" w:rsidRPr="007F086F" w:rsidP="002F2954" w14:paraId="12C12638" w14:textId="77777777">
      <w:pPr>
        <w:spacing w:line="480" w:lineRule="auto"/>
        <w:rPr>
          <w:rFonts w:ascii="Courier New" w:hAnsi="Courier New" w:cs="Courier New"/>
          <w:sz w:val="24"/>
          <w:szCs w:val="24"/>
          <w:u w:val="single"/>
        </w:rPr>
      </w:pPr>
      <w:r w:rsidRPr="007F086F">
        <w:rPr>
          <w:rFonts w:ascii="Courier New" w:hAnsi="Courier New" w:cs="Courier New"/>
          <w:sz w:val="24"/>
          <w:szCs w:val="24"/>
          <w:u w:val="single"/>
        </w:rPr>
        <w:t>Proposed Project</w:t>
      </w:r>
    </w:p>
    <w:p w:rsidR="008656F7" w:rsidRPr="008D2FCD" w:rsidP="61A5C19D" w14:paraId="16E3F22F" w14:textId="129AB54B">
      <w:pPr>
        <w:spacing w:line="480" w:lineRule="auto"/>
        <w:rPr>
          <w:rFonts w:ascii="Courier New" w:hAnsi="Courier New" w:cs="Courier New"/>
          <w:b/>
          <w:bCs/>
          <w:sz w:val="24"/>
          <w:szCs w:val="24"/>
        </w:rPr>
      </w:pPr>
      <w:r w:rsidRPr="10C8C4F6">
        <w:rPr>
          <w:rFonts w:ascii="Courier New" w:hAnsi="Courier New" w:cs="Courier New"/>
          <w:sz w:val="24"/>
          <w:szCs w:val="24"/>
        </w:rPr>
        <w:t>Sudden Death in the Young</w:t>
      </w:r>
      <w:r w:rsidRPr="10C8C4F6" w:rsidR="002F2954">
        <w:rPr>
          <w:rFonts w:ascii="Courier New" w:hAnsi="Courier New" w:cs="Courier New"/>
          <w:sz w:val="24"/>
          <w:szCs w:val="24"/>
        </w:rPr>
        <w:t xml:space="preserve"> (OMB </w:t>
      </w:r>
      <w:r w:rsidRPr="10C8C4F6" w:rsidR="004910C9">
        <w:rPr>
          <w:rFonts w:ascii="Courier New" w:hAnsi="Courier New" w:cs="Courier New"/>
          <w:sz w:val="24"/>
          <w:szCs w:val="24"/>
        </w:rPr>
        <w:t>Control Number</w:t>
      </w:r>
      <w:r w:rsidRPr="10C8C4F6">
        <w:rPr>
          <w:rFonts w:ascii="Courier New" w:hAnsi="Courier New" w:cs="Courier New"/>
          <w:sz w:val="24"/>
          <w:szCs w:val="24"/>
        </w:rPr>
        <w:t xml:space="preserve"> 0920-1092 </w:t>
      </w:r>
      <w:r w:rsidRPr="10C8C4F6">
        <w:rPr>
          <w:rFonts w:ascii="Courier New" w:hAnsi="Courier New" w:cs="Courier New"/>
          <w:sz w:val="24"/>
          <w:szCs w:val="24"/>
        </w:rPr>
        <w:t>09/30/2025</w:t>
      </w:r>
      <w:r w:rsidRPr="10C8C4F6" w:rsidR="000D73C5">
        <w:rPr>
          <w:rFonts w:ascii="Courier New" w:hAnsi="Courier New" w:cs="Courier New"/>
          <w:sz w:val="24"/>
          <w:szCs w:val="24"/>
        </w:rPr>
        <w:t>)</w:t>
      </w:r>
      <w:r w:rsidRPr="10C8C4F6">
        <w:rPr>
          <w:rFonts w:ascii="Courier New" w:hAnsi="Courier New" w:cs="Courier New"/>
          <w:sz w:val="24"/>
          <w:szCs w:val="24"/>
        </w:rPr>
        <w:t xml:space="preserve"> </w:t>
      </w:r>
      <w:r w:rsidRPr="10C8C4F6">
        <w:rPr>
          <w:rFonts w:ascii="Courier New" w:hAnsi="Courier New" w:cs="Courier New"/>
          <w:sz w:val="24"/>
          <w:szCs w:val="24"/>
        </w:rPr>
        <w:t xml:space="preserve">Extension - National </w:t>
      </w:r>
      <w:r w:rsidRPr="10C8C4F6" w:rsidR="00475921">
        <w:rPr>
          <w:rFonts w:ascii="Courier New" w:hAnsi="Courier New" w:cs="Courier New"/>
          <w:sz w:val="24"/>
          <w:szCs w:val="24"/>
        </w:rPr>
        <w:t>Center for Chronic Disease Prevention and Health Promotion</w:t>
      </w:r>
      <w:r w:rsidRPr="10C8C4F6" w:rsidR="00D555C1">
        <w:rPr>
          <w:rFonts w:ascii="Courier New" w:hAnsi="Courier New" w:cs="Courier New"/>
          <w:sz w:val="24"/>
          <w:szCs w:val="24"/>
        </w:rPr>
        <w:t xml:space="preserve">, </w:t>
      </w:r>
      <w:r w:rsidRPr="10C8C4F6" w:rsidR="002F2954">
        <w:rPr>
          <w:rFonts w:ascii="Courier New" w:hAnsi="Courier New" w:cs="Courier New"/>
          <w:sz w:val="24"/>
          <w:szCs w:val="24"/>
        </w:rPr>
        <w:t>Centers for Disease Control and Prevention (CDC).</w:t>
      </w:r>
    </w:p>
    <w:p w:rsidR="005772A8" w:rsidRPr="008D2FCD" w:rsidP="008656F7" w14:paraId="41CEC59F" w14:textId="77777777">
      <w:pPr>
        <w:widowControl w:val="0"/>
        <w:tabs>
          <w:tab w:val="left" w:pos="0"/>
        </w:tabs>
        <w:spacing w:line="480" w:lineRule="auto"/>
        <w:rPr>
          <w:rFonts w:ascii="Courier New" w:hAnsi="Courier New" w:cs="EEAGN D+ Melior"/>
          <w:color w:val="000000"/>
          <w:sz w:val="24"/>
          <w:szCs w:val="24"/>
          <w:u w:val="single"/>
        </w:rPr>
      </w:pPr>
    </w:p>
    <w:p w:rsidR="00EE5DF8" w:rsidRPr="008D2FCD" w:rsidP="00EE5DF8" w14:paraId="348048B8" w14:textId="77777777">
      <w:pPr>
        <w:spacing w:line="480" w:lineRule="auto"/>
        <w:rPr>
          <w:rFonts w:ascii="Courier New" w:hAnsi="Courier New" w:cs="Courier New"/>
          <w:sz w:val="24"/>
          <w:szCs w:val="24"/>
          <w:u w:val="single"/>
        </w:rPr>
      </w:pPr>
      <w:r w:rsidRPr="008D2FCD">
        <w:rPr>
          <w:rFonts w:ascii="Courier New" w:hAnsi="Courier New" w:cs="Courier New"/>
          <w:sz w:val="24"/>
          <w:szCs w:val="24"/>
          <w:u w:val="single"/>
        </w:rPr>
        <w:t>Background and Brief Description</w:t>
      </w:r>
    </w:p>
    <w:p w:rsidR="00475921" w:rsidRPr="00D555C1" w:rsidP="00475921" w14:paraId="2C952281" w14:textId="77777777">
      <w:pPr>
        <w:spacing w:line="480" w:lineRule="auto"/>
        <w:rPr>
          <w:rFonts w:ascii="Courier New" w:hAnsi="Courier New" w:cs="Courier New"/>
          <w:sz w:val="24"/>
          <w:szCs w:val="24"/>
        </w:rPr>
      </w:pPr>
      <w:r w:rsidRPr="00D555C1">
        <w:rPr>
          <w:rFonts w:ascii="Courier New" w:hAnsi="Courier New" w:cs="Courier New"/>
          <w:sz w:val="24"/>
          <w:szCs w:val="24"/>
        </w:rPr>
        <w:t xml:space="preserve">Estimates of the annual incidence of Sudden Death in the Young (SDY) vary broadly due to differences in case definitions, inconsistencies in classifying cause of </w:t>
      </w:r>
      <w:r w:rsidRPr="00D555C1">
        <w:rPr>
          <w:rFonts w:ascii="Courier New" w:hAnsi="Courier New" w:cs="Courier New"/>
          <w:sz w:val="24"/>
          <w:szCs w:val="24"/>
        </w:rPr>
        <w:t>death on death</w:t>
      </w:r>
      <w:r w:rsidRPr="00D555C1">
        <w:rPr>
          <w:rFonts w:ascii="Courier New" w:hAnsi="Courier New" w:cs="Courier New"/>
          <w:sz w:val="24"/>
          <w:szCs w:val="24"/>
        </w:rPr>
        <w:t xml:space="preserve"> certificates, study populations, and case ascertainment. To address the need for improved estimates of SDY incidence and its epidemiology based on uniform cases definitions, CDC, in collaboration with NIH’s National Heart, Lung, and Blood Institute (NHLBI) and National Institute of Neurological Disorders and Stroke (NINDS), implemented the SDY Case Registry in 2015. To meet the ongoing need to produce accurate and uniform information, CDC, and NIH continued the SDY Case Registry in 2018 with 13 recipients through a CDC-based cooperative agreement program (DP18-1806). In 2023, a new cooperative agreement program began with 12 recipients (DP23-</w:t>
      </w:r>
      <w:r w:rsidRPr="00D555C1">
        <w:rPr>
          <w:rFonts w:ascii="Courier New" w:hAnsi="Courier New" w:cs="Courier New"/>
          <w:sz w:val="24"/>
          <w:szCs w:val="24"/>
        </w:rPr>
        <w:t>0006) was launched by CDC with continued support from NIH. The current revision seeks to revise burden hour estimates, modify responses for data elements collected, and to extend OMB approval for a period of three years.</w:t>
      </w:r>
    </w:p>
    <w:p w:rsidR="00475921" w:rsidRPr="00D555C1" w:rsidP="00475921" w14:paraId="705982C8" w14:textId="77777777">
      <w:pPr>
        <w:spacing w:line="480" w:lineRule="auto"/>
        <w:rPr>
          <w:rFonts w:ascii="Courier New" w:hAnsi="Courier New" w:cs="Courier New"/>
          <w:sz w:val="24"/>
          <w:szCs w:val="24"/>
        </w:rPr>
      </w:pPr>
    </w:p>
    <w:p w:rsidR="00475921" w:rsidRPr="00D555C1" w:rsidP="00475921" w14:paraId="34FB1D48" w14:textId="77777777">
      <w:pPr>
        <w:spacing w:line="480" w:lineRule="auto"/>
        <w:rPr>
          <w:rFonts w:ascii="Courier New" w:hAnsi="Courier New" w:cs="Courier New"/>
          <w:sz w:val="24"/>
          <w:szCs w:val="24"/>
        </w:rPr>
      </w:pPr>
      <w:r w:rsidRPr="00D555C1">
        <w:rPr>
          <w:rFonts w:ascii="Courier New" w:hAnsi="Courier New" w:cs="Courier New"/>
          <w:sz w:val="24"/>
          <w:szCs w:val="24"/>
        </w:rPr>
        <w:t xml:space="preserve">CDC recipients agree to compile a defined set of SDY information about a defined subset of child deaths through the jurisdiction’s/state’s existing CDR program. CDC estimates that the 12 participating state/jurisdictions will collect data on approximately 606 SDY cases per year. Each of the 12 CDC-funded state/jurisdiction awardees will, on average, review and enter data on 51 of 606 cases each year. Burden is estimated for reporting required case information. It is estimated that approximately half (303) of the estimated 606 SDY cases will undergo advanced clinical review by a team of three medical experts. </w:t>
      </w:r>
    </w:p>
    <w:p w:rsidR="00EE5DF8" w:rsidRPr="00D555C1" w:rsidP="00475921" w14:paraId="38727A29" w14:textId="209F18EB">
      <w:pPr>
        <w:spacing w:line="480" w:lineRule="auto"/>
        <w:rPr>
          <w:rFonts w:ascii="Courier New" w:hAnsi="Courier New" w:cs="Courier New"/>
          <w:sz w:val="24"/>
          <w:szCs w:val="24"/>
        </w:rPr>
      </w:pPr>
      <w:r w:rsidRPr="00D555C1">
        <w:rPr>
          <w:rFonts w:ascii="Courier New" w:hAnsi="Courier New" w:cs="Courier New"/>
          <w:sz w:val="24"/>
          <w:szCs w:val="24"/>
        </w:rPr>
        <w:t xml:space="preserve">OMB approval is requested for three years. The total estimated annual burden is 438 </w:t>
      </w:r>
      <w:r w:rsidRPr="00D555C1">
        <w:rPr>
          <w:rFonts w:ascii="Courier New" w:hAnsi="Courier New" w:cs="Courier New"/>
          <w:sz w:val="24"/>
          <w:szCs w:val="24"/>
        </w:rPr>
        <w:t>hours</w:t>
      </w:r>
      <w:r w:rsidRPr="00D555C1">
        <w:rPr>
          <w:rFonts w:ascii="Courier New" w:hAnsi="Courier New" w:cs="Courier New"/>
          <w:sz w:val="24"/>
          <w:szCs w:val="24"/>
        </w:rPr>
        <w:t xml:space="preserve"> which is a decrease of 73 hours from the previously approved information collection request due to a decrease in the number of participating states/local jurisdictions from 13 to 12, which resulted in a decrease in estimated SDY cases for which data is collected for.  There are no costs to respondents other than their time.</w:t>
      </w:r>
    </w:p>
    <w:p w:rsidR="00EE5DF8" w:rsidRPr="00D555C1" w:rsidP="00EE5DF8" w14:paraId="1AC53D08" w14:textId="77777777">
      <w:pPr>
        <w:spacing w:line="480" w:lineRule="auto"/>
        <w:rPr>
          <w:rFonts w:ascii="Courier New" w:hAnsi="Courier New" w:cs="Courier New"/>
          <w:sz w:val="24"/>
          <w:szCs w:val="24"/>
        </w:rPr>
      </w:pPr>
    </w:p>
    <w:p w:rsidR="00EE5DF8" w:rsidRPr="008D2FCD" w:rsidP="00EE5DF8" w14:paraId="1BC30FFC" w14:textId="77777777">
      <w:pPr>
        <w:spacing w:line="480" w:lineRule="auto"/>
        <w:rPr>
          <w:rFonts w:ascii="Courier New" w:hAnsi="Courier New" w:cs="Courier New"/>
          <w:b/>
          <w:u w:val="single"/>
        </w:rPr>
      </w:pPr>
    </w:p>
    <w:p w:rsidR="00EE5DF8" w:rsidRPr="008D2FCD" w:rsidP="00EE5DF8" w14:paraId="2548F33E" w14:textId="77777777">
      <w:pPr>
        <w:widowControl w:val="0"/>
        <w:tabs>
          <w:tab w:val="left" w:pos="0"/>
        </w:tabs>
        <w:spacing w:line="480" w:lineRule="auto"/>
        <w:rPr>
          <w:rFonts w:ascii="Courier New" w:hAnsi="Courier New" w:cs="EEAGN D+ Melior"/>
          <w:color w:val="000000"/>
          <w:sz w:val="24"/>
          <w:szCs w:val="24"/>
        </w:rPr>
      </w:pPr>
      <w:r w:rsidRPr="008D2FCD">
        <w:rPr>
          <w:rFonts w:ascii="Courier New" w:hAnsi="Courier New" w:cs="EEAGN D+ Melior"/>
          <w:color w:val="000000"/>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474"/>
        <w:gridCol w:w="1801"/>
        <w:gridCol w:w="1657"/>
        <w:gridCol w:w="1617"/>
      </w:tblGrid>
      <w:tr w14:paraId="0E2D15D5" w14:textId="77777777" w:rsidTr="00EE5D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EE5DF8" w:rsidRPr="008D2FCD" w:rsidP="00D31685" w14:paraId="7AA849F1" w14:textId="77777777">
            <w:pPr>
              <w:widowControl w:val="0"/>
              <w:tabs>
                <w:tab w:val="left" w:pos="0"/>
              </w:tabs>
              <w:jc w:val="center"/>
              <w:rPr>
                <w:rFonts w:ascii="Courier New" w:hAnsi="Courier New" w:cs="EEAGN D+ Melior"/>
                <w:color w:val="000000"/>
                <w:sz w:val="24"/>
                <w:szCs w:val="24"/>
              </w:rPr>
            </w:pPr>
            <w:r w:rsidRPr="008D2FCD">
              <w:rPr>
                <w:rFonts w:ascii="Courier New" w:hAnsi="Courier New" w:cs="EEAGN D+ Melior"/>
                <w:color w:val="000000"/>
                <w:sz w:val="24"/>
                <w:szCs w:val="24"/>
              </w:rPr>
              <w:t>Type of Respondents</w:t>
            </w:r>
          </w:p>
        </w:tc>
        <w:tc>
          <w:tcPr>
            <w:tcW w:w="3257" w:type="dxa"/>
            <w:shd w:val="clear" w:color="auto" w:fill="auto"/>
          </w:tcPr>
          <w:p w:rsidR="00EE5DF8" w:rsidRPr="008D2FCD" w:rsidP="00D31685" w14:paraId="25299A23" w14:textId="77777777">
            <w:pPr>
              <w:widowControl w:val="0"/>
              <w:tabs>
                <w:tab w:val="left" w:pos="0"/>
              </w:tabs>
              <w:jc w:val="center"/>
              <w:rPr>
                <w:rFonts w:ascii="Courier New" w:hAnsi="Courier New" w:cs="EEAGN D+ Melior"/>
                <w:color w:val="000000"/>
                <w:sz w:val="24"/>
                <w:szCs w:val="24"/>
              </w:rPr>
            </w:pPr>
            <w:r w:rsidRPr="008D2FCD">
              <w:rPr>
                <w:rFonts w:ascii="Courier New" w:hAnsi="Courier New" w:cs="EEAGN D+ Melior"/>
                <w:color w:val="000000"/>
                <w:sz w:val="24"/>
                <w:szCs w:val="24"/>
              </w:rPr>
              <w:t>Form Name</w:t>
            </w:r>
          </w:p>
        </w:tc>
        <w:tc>
          <w:tcPr>
            <w:tcW w:w="1068" w:type="dxa"/>
            <w:shd w:val="clear" w:color="auto" w:fill="auto"/>
          </w:tcPr>
          <w:p w:rsidR="00EE5DF8" w:rsidRPr="008D2FCD" w:rsidP="00D31685" w14:paraId="480B06A8" w14:textId="77777777">
            <w:pPr>
              <w:widowControl w:val="0"/>
              <w:tabs>
                <w:tab w:val="left" w:pos="0"/>
              </w:tabs>
              <w:jc w:val="center"/>
              <w:rPr>
                <w:rFonts w:ascii="Courier New" w:hAnsi="Courier New" w:cs="EEAGN D+ Melior"/>
                <w:color w:val="000000"/>
                <w:sz w:val="24"/>
                <w:szCs w:val="24"/>
              </w:rPr>
            </w:pPr>
            <w:r w:rsidRPr="008D2FCD">
              <w:rPr>
                <w:rFonts w:ascii="Courier New" w:hAnsi="Courier New" w:cs="EEAGN D+ Melior"/>
                <w:color w:val="000000"/>
                <w:sz w:val="24"/>
                <w:szCs w:val="24"/>
              </w:rPr>
              <w:t>Number of Respondents</w:t>
            </w:r>
          </w:p>
        </w:tc>
        <w:tc>
          <w:tcPr>
            <w:tcW w:w="1657" w:type="dxa"/>
            <w:shd w:val="clear" w:color="auto" w:fill="auto"/>
          </w:tcPr>
          <w:p w:rsidR="00EE5DF8" w:rsidRPr="008D2FCD" w:rsidP="00D31685" w14:paraId="6A0B41FB" w14:textId="77777777">
            <w:pPr>
              <w:widowControl w:val="0"/>
              <w:tabs>
                <w:tab w:val="left" w:pos="0"/>
              </w:tabs>
              <w:jc w:val="center"/>
              <w:rPr>
                <w:rFonts w:ascii="Courier New" w:hAnsi="Courier New" w:cs="EEAGN D+ Melior"/>
                <w:color w:val="000000"/>
                <w:sz w:val="24"/>
                <w:szCs w:val="24"/>
              </w:rPr>
            </w:pPr>
            <w:r w:rsidRPr="008D2FCD">
              <w:rPr>
                <w:rFonts w:ascii="Courier New" w:hAnsi="Courier New" w:cs="EEAGN D+ Melior"/>
                <w:color w:val="000000"/>
                <w:sz w:val="24"/>
                <w:szCs w:val="24"/>
              </w:rPr>
              <w:t>Number of Responses per Respondent</w:t>
            </w:r>
          </w:p>
        </w:tc>
        <w:tc>
          <w:tcPr>
            <w:tcW w:w="1793" w:type="dxa"/>
            <w:shd w:val="clear" w:color="auto" w:fill="auto"/>
          </w:tcPr>
          <w:p w:rsidR="00EE5DF8" w:rsidRPr="008D2FCD" w:rsidP="00D31685" w14:paraId="4CEF2A0D" w14:textId="77777777">
            <w:pPr>
              <w:widowControl w:val="0"/>
              <w:tabs>
                <w:tab w:val="left" w:pos="0"/>
              </w:tabs>
              <w:jc w:val="center"/>
              <w:rPr>
                <w:rFonts w:ascii="Courier New" w:hAnsi="Courier New" w:cs="EEAGN D+ Melior"/>
                <w:color w:val="000000"/>
                <w:sz w:val="24"/>
                <w:szCs w:val="24"/>
              </w:rPr>
            </w:pPr>
            <w:r w:rsidRPr="008D2FCD">
              <w:rPr>
                <w:rFonts w:ascii="Courier New" w:hAnsi="Courier New" w:cs="EEAGN D+ Melior"/>
                <w:color w:val="000000"/>
                <w:sz w:val="24"/>
                <w:szCs w:val="24"/>
              </w:rPr>
              <w:t>Average Burden per Response (in hours)</w:t>
            </w:r>
          </w:p>
        </w:tc>
      </w:tr>
      <w:tr w14:paraId="2453E3C6" w14:textId="77777777" w:rsidTr="008D2FCD">
        <w:tblPrEx>
          <w:tblW w:w="0" w:type="auto"/>
          <w:tblLook w:val="04A0"/>
        </w:tblPrEx>
        <w:tc>
          <w:tcPr>
            <w:tcW w:w="1801" w:type="dxa"/>
            <w:shd w:val="clear" w:color="auto" w:fill="auto"/>
          </w:tcPr>
          <w:p w:rsidR="00EE5DF8" w:rsidRPr="008D2FCD" w:rsidP="00EA7207" w14:paraId="72AB4F70" w14:textId="4FA27AC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State Health Personnel</w:t>
            </w:r>
          </w:p>
        </w:tc>
        <w:tc>
          <w:tcPr>
            <w:tcW w:w="3257" w:type="dxa"/>
            <w:shd w:val="clear" w:color="auto" w:fill="auto"/>
          </w:tcPr>
          <w:p w:rsidR="00EE5DF8" w:rsidRPr="008D2FCD" w:rsidP="00EA7207" w14:paraId="31136B55" w14:textId="5C30DDA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SDY Module I</w:t>
            </w:r>
          </w:p>
        </w:tc>
        <w:tc>
          <w:tcPr>
            <w:tcW w:w="1068" w:type="dxa"/>
            <w:shd w:val="clear" w:color="auto" w:fill="auto"/>
          </w:tcPr>
          <w:p w:rsidR="00EE5DF8" w:rsidRPr="008D2FCD" w:rsidP="00EA7207" w14:paraId="5109683B" w14:textId="510D7A4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12</w:t>
            </w:r>
          </w:p>
        </w:tc>
        <w:tc>
          <w:tcPr>
            <w:tcW w:w="1657" w:type="dxa"/>
            <w:shd w:val="clear" w:color="auto" w:fill="auto"/>
          </w:tcPr>
          <w:p w:rsidR="00EE5DF8" w:rsidRPr="008D2FCD" w:rsidP="00EA7207" w14:paraId="70F07CCB" w14:textId="372068E5">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51</w:t>
            </w:r>
          </w:p>
        </w:tc>
        <w:tc>
          <w:tcPr>
            <w:tcW w:w="1793" w:type="dxa"/>
            <w:shd w:val="clear" w:color="auto" w:fill="auto"/>
          </w:tcPr>
          <w:p w:rsidR="00EE5DF8" w:rsidRPr="008D2FCD" w:rsidP="00EA7207" w14:paraId="54F05E06" w14:textId="0835CA3F">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10/60</w:t>
            </w:r>
          </w:p>
        </w:tc>
      </w:tr>
      <w:tr w14:paraId="260A4AB0" w14:textId="77777777" w:rsidTr="00D555C1">
        <w:tblPrEx>
          <w:tblW w:w="0" w:type="auto"/>
          <w:tblLook w:val="04A0"/>
        </w:tblPrEx>
        <w:tc>
          <w:tcPr>
            <w:tcW w:w="1801" w:type="dxa"/>
            <w:shd w:val="clear" w:color="auto" w:fill="auto"/>
          </w:tcPr>
          <w:p w:rsidR="00475921" w:rsidRPr="001E12DB" w:rsidP="00EA7207" w14:paraId="71C9D640" w14:textId="7E2F71E8">
            <w:pPr>
              <w:widowControl w:val="0"/>
              <w:tabs>
                <w:tab w:val="left" w:pos="0"/>
              </w:tabs>
              <w:rPr>
                <w:rFonts w:ascii="Courier New" w:hAnsi="Courier New" w:cs="EEAGN D+ Melior"/>
                <w:color w:val="000000"/>
                <w:sz w:val="24"/>
                <w:szCs w:val="24"/>
              </w:rPr>
            </w:pPr>
            <w:r w:rsidRPr="001E12DB">
              <w:rPr>
                <w:rFonts w:ascii="Courier New" w:hAnsi="Courier New" w:cs="EEAGN D+ Melior"/>
                <w:color w:val="000000"/>
                <w:sz w:val="24"/>
                <w:szCs w:val="24"/>
              </w:rPr>
              <w:t>Medical Expert</w:t>
            </w:r>
          </w:p>
        </w:tc>
        <w:tc>
          <w:tcPr>
            <w:tcW w:w="3257" w:type="dxa"/>
            <w:shd w:val="clear" w:color="auto" w:fill="auto"/>
          </w:tcPr>
          <w:p w:rsidR="00475921" w:rsidRPr="001E12DB" w:rsidP="00EA7207" w14:paraId="672D44D1" w14:textId="6592FC0A">
            <w:pPr>
              <w:widowControl w:val="0"/>
              <w:tabs>
                <w:tab w:val="left" w:pos="0"/>
              </w:tabs>
              <w:rPr>
                <w:rFonts w:ascii="Courier New" w:hAnsi="Courier New" w:cs="EEAGN D+ Melior"/>
                <w:color w:val="000000"/>
                <w:sz w:val="24"/>
                <w:szCs w:val="24"/>
              </w:rPr>
            </w:pPr>
            <w:r w:rsidRPr="001E12DB">
              <w:rPr>
                <w:rFonts w:ascii="Courier New" w:hAnsi="Courier New" w:cs="EEAGN D+ Melior"/>
                <w:color w:val="000000"/>
                <w:sz w:val="24"/>
                <w:szCs w:val="24"/>
              </w:rPr>
              <w:t>Advanced Review</w:t>
            </w:r>
          </w:p>
        </w:tc>
        <w:tc>
          <w:tcPr>
            <w:tcW w:w="1068" w:type="dxa"/>
            <w:shd w:val="clear" w:color="auto" w:fill="auto"/>
          </w:tcPr>
          <w:p w:rsidR="00475921" w:rsidRPr="001E12DB" w:rsidP="00EA7207" w14:paraId="4EB5F199" w14:textId="31F78171">
            <w:pPr>
              <w:widowControl w:val="0"/>
              <w:tabs>
                <w:tab w:val="left" w:pos="0"/>
              </w:tabs>
              <w:rPr>
                <w:rFonts w:ascii="Courier New" w:hAnsi="Courier New" w:cs="EEAGN D+ Melior"/>
                <w:color w:val="000000"/>
                <w:sz w:val="24"/>
                <w:szCs w:val="24"/>
              </w:rPr>
            </w:pPr>
            <w:r w:rsidRPr="001E12DB">
              <w:rPr>
                <w:rFonts w:ascii="Courier New" w:hAnsi="Courier New" w:cs="EEAGN D+ Melior"/>
                <w:color w:val="000000"/>
                <w:sz w:val="24"/>
                <w:szCs w:val="24"/>
              </w:rPr>
              <w:t>36</w:t>
            </w:r>
          </w:p>
        </w:tc>
        <w:tc>
          <w:tcPr>
            <w:tcW w:w="1657" w:type="dxa"/>
            <w:shd w:val="clear" w:color="auto" w:fill="auto"/>
          </w:tcPr>
          <w:p w:rsidR="00475921" w:rsidRPr="001E12DB" w:rsidP="00EA7207" w14:paraId="35025519" w14:textId="0D2BC164">
            <w:pPr>
              <w:widowControl w:val="0"/>
              <w:tabs>
                <w:tab w:val="left" w:pos="0"/>
              </w:tabs>
              <w:rPr>
                <w:rFonts w:ascii="Courier New" w:hAnsi="Courier New" w:cs="EEAGN D+ Melior"/>
                <w:color w:val="000000"/>
                <w:sz w:val="24"/>
                <w:szCs w:val="24"/>
              </w:rPr>
            </w:pPr>
            <w:r w:rsidRPr="001E12DB">
              <w:rPr>
                <w:rFonts w:ascii="Courier New" w:hAnsi="Courier New" w:cs="EEAGN D+ Melior"/>
                <w:color w:val="000000"/>
                <w:sz w:val="24"/>
                <w:szCs w:val="24"/>
              </w:rPr>
              <w:t>26</w:t>
            </w:r>
          </w:p>
        </w:tc>
        <w:tc>
          <w:tcPr>
            <w:tcW w:w="1793" w:type="dxa"/>
            <w:shd w:val="clear" w:color="auto" w:fill="auto"/>
          </w:tcPr>
          <w:p w:rsidR="00475921" w:rsidRPr="008D2FCD" w:rsidP="00EA7207" w14:paraId="358763BE" w14:textId="5ADB96AA">
            <w:pPr>
              <w:widowControl w:val="0"/>
              <w:tabs>
                <w:tab w:val="left" w:pos="0"/>
              </w:tabs>
              <w:rPr>
                <w:rFonts w:ascii="Courier New" w:hAnsi="Courier New" w:cs="EEAGN D+ Melior"/>
                <w:color w:val="000000"/>
                <w:sz w:val="24"/>
                <w:szCs w:val="24"/>
              </w:rPr>
            </w:pPr>
            <w:r w:rsidRPr="001E12DB">
              <w:rPr>
                <w:rFonts w:ascii="Courier New" w:hAnsi="Courier New" w:cs="EEAGN D+ Melior"/>
                <w:color w:val="000000"/>
                <w:sz w:val="24"/>
                <w:szCs w:val="24"/>
              </w:rPr>
              <w:t>15/60</w:t>
            </w:r>
          </w:p>
        </w:tc>
      </w:tr>
      <w:tr w14:paraId="4D1E2B7C" w14:textId="77777777" w:rsidTr="00D555C1">
        <w:tblPrEx>
          <w:tblW w:w="0" w:type="auto"/>
          <w:tblLook w:val="04A0"/>
        </w:tblPrEx>
        <w:tc>
          <w:tcPr>
            <w:tcW w:w="1801" w:type="dxa"/>
            <w:shd w:val="clear" w:color="auto" w:fill="auto"/>
          </w:tcPr>
          <w:p w:rsidR="001E12DB" w:rsidP="00EA7207" w14:paraId="283C3F7E" w14:textId="1AC2C772">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State Health Personnel</w:t>
            </w:r>
          </w:p>
        </w:tc>
        <w:tc>
          <w:tcPr>
            <w:tcW w:w="3257" w:type="dxa"/>
            <w:shd w:val="clear" w:color="auto" w:fill="auto"/>
          </w:tcPr>
          <w:p w:rsidR="001E12DB" w:rsidP="00EA7207" w14:paraId="2A5C8763" w14:textId="1D164B38">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SDY Module N</w:t>
            </w:r>
          </w:p>
        </w:tc>
        <w:tc>
          <w:tcPr>
            <w:tcW w:w="1068" w:type="dxa"/>
            <w:shd w:val="clear" w:color="auto" w:fill="auto"/>
          </w:tcPr>
          <w:p w:rsidR="001E12DB" w:rsidP="00EA7207" w14:paraId="3AC2A6CC" w14:textId="7D40A72D">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12</w:t>
            </w:r>
          </w:p>
        </w:tc>
        <w:tc>
          <w:tcPr>
            <w:tcW w:w="1657" w:type="dxa"/>
            <w:shd w:val="clear" w:color="auto" w:fill="auto"/>
          </w:tcPr>
          <w:p w:rsidR="001E12DB" w:rsidP="00EA7207" w14:paraId="5885C509" w14:textId="1B58ADE9">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51</w:t>
            </w:r>
          </w:p>
        </w:tc>
        <w:tc>
          <w:tcPr>
            <w:tcW w:w="1793" w:type="dxa"/>
            <w:shd w:val="clear" w:color="auto" w:fill="auto"/>
          </w:tcPr>
          <w:p w:rsidR="001E12DB" w:rsidP="00EA7207" w14:paraId="1EE4DDD0" w14:textId="3882D3EA">
            <w:pPr>
              <w:widowControl w:val="0"/>
              <w:tabs>
                <w:tab w:val="left" w:pos="0"/>
              </w:tabs>
              <w:rPr>
                <w:rFonts w:ascii="Courier New" w:hAnsi="Courier New" w:cs="EEAGN D+ Melior"/>
                <w:color w:val="000000"/>
                <w:sz w:val="24"/>
                <w:szCs w:val="24"/>
              </w:rPr>
            </w:pPr>
            <w:r>
              <w:rPr>
                <w:rFonts w:ascii="Courier New" w:hAnsi="Courier New" w:cs="EEAGN D+ Melior"/>
                <w:color w:val="000000"/>
                <w:sz w:val="24"/>
                <w:szCs w:val="24"/>
              </w:rPr>
              <w:t>10/60</w:t>
            </w:r>
          </w:p>
        </w:tc>
      </w:tr>
    </w:tbl>
    <w:p w:rsidR="00EE5DF8" w:rsidRPr="008D2FCD" w:rsidP="00EE5DF8" w14:paraId="4155E35E" w14:textId="77777777">
      <w:pPr>
        <w:spacing w:line="480" w:lineRule="auto"/>
        <w:rPr>
          <w:rFonts w:ascii="Courier New" w:hAnsi="Courier New" w:cs="Courier New"/>
          <w:sz w:val="24"/>
          <w:szCs w:val="24"/>
          <w:u w:val="single"/>
        </w:rPr>
      </w:pPr>
    </w:p>
    <w:p w:rsidR="007B0B2F" w:rsidRPr="008D2FCD" w:rsidP="007B0B2F" w14:paraId="17006F15" w14:textId="77777777">
      <w:pPr>
        <w:spacing w:line="480" w:lineRule="auto"/>
        <w:jc w:val="both"/>
        <w:rPr>
          <w:rFonts w:ascii="Courier New" w:hAnsi="Courier New" w:cs="Courier New"/>
          <w:iCs/>
          <w:sz w:val="24"/>
          <w:szCs w:val="24"/>
          <w:u w:val="single"/>
        </w:rPr>
      </w:pPr>
    </w:p>
    <w:p w:rsidR="004910C9" w:rsidRPr="008D2FCD" w:rsidP="004F3772" w14:paraId="06B23B9E" w14:textId="77777777">
      <w:pPr>
        <w:ind w:left="2880"/>
        <w:rPr>
          <w:rFonts w:ascii="Courier New" w:hAnsi="Courier New" w:cs="Courier New"/>
          <w:sz w:val="24"/>
        </w:rPr>
      </w:pPr>
    </w:p>
    <w:p w:rsidR="004F3772" w:rsidRPr="008D2FCD" w:rsidP="004F3772" w14:paraId="7EA5DEB5" w14:textId="77777777">
      <w:pPr>
        <w:ind w:left="2880"/>
        <w:rPr>
          <w:rFonts w:ascii="Courier New" w:hAnsi="Courier New" w:cs="Courier New"/>
          <w:sz w:val="24"/>
        </w:rPr>
      </w:pPr>
      <w:r w:rsidRPr="008D2FCD">
        <w:rPr>
          <w:rFonts w:ascii="Courier New" w:hAnsi="Courier New" w:cs="Courier New"/>
          <w:sz w:val="24"/>
        </w:rPr>
        <w:t>__________________________________</w:t>
      </w:r>
    </w:p>
    <w:p w:rsidR="00D30265" w:rsidRPr="008D2FCD" w:rsidP="00D30265" w14:paraId="3C5DBC71"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Jeffrey M. Zirger</w:t>
      </w:r>
      <w:r w:rsidRPr="008D2FCD" w:rsidR="004910C9">
        <w:rPr>
          <w:rFonts w:ascii="Courier New" w:hAnsi="Courier New" w:cs="Courier New"/>
          <w:color w:val="000000"/>
          <w:sz w:val="24"/>
        </w:rPr>
        <w:t>,</w:t>
      </w:r>
      <w:r w:rsidRPr="008D2FCD">
        <w:rPr>
          <w:rFonts w:ascii="Courier New" w:hAnsi="Courier New" w:cs="Courier New"/>
          <w:color w:val="000000"/>
          <w:sz w:val="24"/>
        </w:rPr>
        <w:t xml:space="preserve"> Ph.D.,</w:t>
      </w:r>
    </w:p>
    <w:p w:rsidR="002B65CE" w:rsidRPr="008D2FCD" w:rsidP="00D30265" w14:paraId="73130A19" w14:textId="5AE7705C">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Lead</w:t>
      </w:r>
      <w:r w:rsidRPr="008D2FCD" w:rsidR="00D30265">
        <w:rPr>
          <w:rFonts w:ascii="Courier New" w:hAnsi="Courier New" w:cs="Courier New"/>
          <w:color w:val="000000"/>
          <w:sz w:val="24"/>
        </w:rPr>
        <w:t xml:space="preserve">, </w:t>
      </w:r>
    </w:p>
    <w:p w:rsidR="00D30265" w:rsidRPr="008D2FCD" w:rsidP="00D30265" w14:paraId="3C775320"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Information Collection Review Office</w:t>
      </w:r>
      <w:r w:rsidRPr="008D2FCD" w:rsidR="004910C9">
        <w:rPr>
          <w:rFonts w:ascii="Courier New" w:hAnsi="Courier New" w:cs="Courier New"/>
          <w:color w:val="000000"/>
          <w:sz w:val="24"/>
        </w:rPr>
        <w:t>,</w:t>
      </w:r>
      <w:r w:rsidRPr="008D2FCD">
        <w:rPr>
          <w:rFonts w:ascii="Courier New" w:hAnsi="Courier New" w:cs="Courier New"/>
          <w:color w:val="000000"/>
          <w:sz w:val="24"/>
        </w:rPr>
        <w:t xml:space="preserve"> </w:t>
      </w:r>
      <w:r w:rsidRPr="008D2FCD">
        <w:rPr>
          <w:rFonts w:ascii="Courier New" w:hAnsi="Courier New" w:cs="Courier New"/>
          <w:color w:val="000000"/>
          <w:sz w:val="24"/>
        </w:rPr>
        <w:tab/>
      </w:r>
    </w:p>
    <w:p w:rsidR="00D30265" w:rsidRPr="008D2FCD" w:rsidP="00D30265" w14:paraId="48BCB7C9"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Office of Scientific Integrity</w:t>
      </w:r>
      <w:r w:rsidRPr="008D2FCD" w:rsidR="004910C9">
        <w:rPr>
          <w:rFonts w:ascii="Courier New" w:hAnsi="Courier New" w:cs="Courier New"/>
          <w:color w:val="000000"/>
          <w:sz w:val="24"/>
        </w:rPr>
        <w:t>,</w:t>
      </w:r>
    </w:p>
    <w:p w:rsidR="00D30265" w:rsidRPr="00D3495A" w:rsidP="00344DB8" w14:paraId="0AE3669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8D2FCD">
        <w:rPr>
          <w:rFonts w:ascii="Courier New" w:hAnsi="Courier New" w:cs="Courier New"/>
          <w:color w:val="000000"/>
          <w:sz w:val="24"/>
        </w:rPr>
        <w:t>Offic</w:t>
      </w:r>
      <w:r w:rsidRPr="008D2FCD" w:rsidR="00344DB8">
        <w:rPr>
          <w:rFonts w:ascii="Courier New" w:hAnsi="Courier New" w:cs="Courier New"/>
          <w:color w:val="000000"/>
          <w:sz w:val="24"/>
        </w:rPr>
        <w:t xml:space="preserve">e of </w:t>
      </w:r>
      <w:r w:rsidRPr="008D2FCD">
        <w:rPr>
          <w:rFonts w:ascii="Courier New" w:hAnsi="Courier New" w:cs="Courier New"/>
          <w:color w:val="000000"/>
          <w:sz w:val="24"/>
        </w:rPr>
        <w:t>Science</w:t>
      </w:r>
      <w:r w:rsidRPr="008D2FCD" w:rsidR="004910C9">
        <w:rPr>
          <w:rFonts w:ascii="Courier New" w:hAnsi="Courier New" w:cs="Courier New"/>
          <w:color w:val="000000"/>
          <w:sz w:val="24"/>
        </w:rPr>
        <w:t>,</w:t>
      </w:r>
    </w:p>
    <w:p w:rsidR="00B30DC2" w:rsidRPr="00344DB8" w:rsidP="00344DB8" w14:paraId="50E3C77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D3495A">
        <w:rPr>
          <w:rFonts w:ascii="Courier New" w:hAnsi="Courier New" w:cs="Courier New"/>
          <w:color w:val="000000"/>
          <w:sz w:val="24"/>
        </w:rPr>
        <w:t>Centers for Disease Control and Prevention</w:t>
      </w:r>
      <w:r w:rsidR="004910C9">
        <w:rPr>
          <w:rFonts w:ascii="Courier New" w:hAnsi="Courier New" w:cs="Courier New"/>
          <w:color w:val="000000"/>
          <w:sz w:val="24"/>
        </w:rPr>
        <w:t>.</w:t>
      </w:r>
    </w:p>
    <w:sectPr w:rsidSect="00DC6A3C">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P="00DC6A3C" w14:paraId="35A7F1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2FCD" w14:paraId="06E2EF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RPr="0057366F" w:rsidP="00920EC7" w14:paraId="438E9866"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7F" w14:paraId="15C9D4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7F" w14:paraId="1FD7FE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7F" w14:paraId="5CDF0C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7F" w14:paraId="6FDDB4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1145115">
    <w:abstractNumId w:val="0"/>
  </w:num>
  <w:num w:numId="2" w16cid:durableId="688217673">
    <w:abstractNumId w:val="1"/>
  </w:num>
  <w:num w:numId="3" w16cid:durableId="411391130">
    <w:abstractNumId w:val="2"/>
  </w:num>
  <w:num w:numId="4" w16cid:durableId="968784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35A72"/>
    <w:rsid w:val="00042A01"/>
    <w:rsid w:val="00052CA1"/>
    <w:rsid w:val="00055A0C"/>
    <w:rsid w:val="000569F0"/>
    <w:rsid w:val="000613AB"/>
    <w:rsid w:val="0006297F"/>
    <w:rsid w:val="0008785A"/>
    <w:rsid w:val="0009233D"/>
    <w:rsid w:val="000A2D5A"/>
    <w:rsid w:val="000A358B"/>
    <w:rsid w:val="000A47E8"/>
    <w:rsid w:val="000B7C81"/>
    <w:rsid w:val="000C51C7"/>
    <w:rsid w:val="000D73C5"/>
    <w:rsid w:val="000E2EEF"/>
    <w:rsid w:val="000E35AF"/>
    <w:rsid w:val="000F0BFE"/>
    <w:rsid w:val="00110DE8"/>
    <w:rsid w:val="00121C34"/>
    <w:rsid w:val="00121D1B"/>
    <w:rsid w:val="00130665"/>
    <w:rsid w:val="00137909"/>
    <w:rsid w:val="0014015A"/>
    <w:rsid w:val="00140364"/>
    <w:rsid w:val="001503F9"/>
    <w:rsid w:val="00156566"/>
    <w:rsid w:val="001605F6"/>
    <w:rsid w:val="00172C63"/>
    <w:rsid w:val="00176629"/>
    <w:rsid w:val="00182965"/>
    <w:rsid w:val="00182DD9"/>
    <w:rsid w:val="00190A42"/>
    <w:rsid w:val="001920FA"/>
    <w:rsid w:val="00195C65"/>
    <w:rsid w:val="001965CC"/>
    <w:rsid w:val="001A4111"/>
    <w:rsid w:val="001A4417"/>
    <w:rsid w:val="001B6EB1"/>
    <w:rsid w:val="001B7A63"/>
    <w:rsid w:val="001C28BA"/>
    <w:rsid w:val="001C539C"/>
    <w:rsid w:val="001D0BCC"/>
    <w:rsid w:val="001D24A3"/>
    <w:rsid w:val="001D74A6"/>
    <w:rsid w:val="001E0334"/>
    <w:rsid w:val="001E12DB"/>
    <w:rsid w:val="001F2419"/>
    <w:rsid w:val="00205BE2"/>
    <w:rsid w:val="00207FA2"/>
    <w:rsid w:val="00211A9D"/>
    <w:rsid w:val="00231E29"/>
    <w:rsid w:val="00235B88"/>
    <w:rsid w:val="00241402"/>
    <w:rsid w:val="002414EA"/>
    <w:rsid w:val="00254A1B"/>
    <w:rsid w:val="002559EE"/>
    <w:rsid w:val="00257C6E"/>
    <w:rsid w:val="0026099C"/>
    <w:rsid w:val="00270D90"/>
    <w:rsid w:val="002753D5"/>
    <w:rsid w:val="002770E5"/>
    <w:rsid w:val="00281091"/>
    <w:rsid w:val="00286E33"/>
    <w:rsid w:val="002939CE"/>
    <w:rsid w:val="002976EC"/>
    <w:rsid w:val="002A2E96"/>
    <w:rsid w:val="002A3D6D"/>
    <w:rsid w:val="002B26A7"/>
    <w:rsid w:val="002B2FC4"/>
    <w:rsid w:val="002B65CE"/>
    <w:rsid w:val="002C179F"/>
    <w:rsid w:val="002C3D55"/>
    <w:rsid w:val="002C5B7F"/>
    <w:rsid w:val="002C726A"/>
    <w:rsid w:val="002D1FA7"/>
    <w:rsid w:val="002D3968"/>
    <w:rsid w:val="002E06AA"/>
    <w:rsid w:val="002E0F9F"/>
    <w:rsid w:val="002E2C79"/>
    <w:rsid w:val="002F114B"/>
    <w:rsid w:val="002F2954"/>
    <w:rsid w:val="002F4588"/>
    <w:rsid w:val="003053DA"/>
    <w:rsid w:val="003057F5"/>
    <w:rsid w:val="00307413"/>
    <w:rsid w:val="003116DA"/>
    <w:rsid w:val="0032704A"/>
    <w:rsid w:val="003331AD"/>
    <w:rsid w:val="00337166"/>
    <w:rsid w:val="003435C5"/>
    <w:rsid w:val="00344DB8"/>
    <w:rsid w:val="003464F1"/>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3F72F6"/>
    <w:rsid w:val="0040412A"/>
    <w:rsid w:val="004045A9"/>
    <w:rsid w:val="004125E1"/>
    <w:rsid w:val="00421C1D"/>
    <w:rsid w:val="00426D35"/>
    <w:rsid w:val="004538D2"/>
    <w:rsid w:val="00475921"/>
    <w:rsid w:val="00476DFE"/>
    <w:rsid w:val="004910C9"/>
    <w:rsid w:val="0049407B"/>
    <w:rsid w:val="00496205"/>
    <w:rsid w:val="004A115E"/>
    <w:rsid w:val="004B7202"/>
    <w:rsid w:val="004C0448"/>
    <w:rsid w:val="004C2173"/>
    <w:rsid w:val="004D3A0A"/>
    <w:rsid w:val="004D4BFC"/>
    <w:rsid w:val="004E05AF"/>
    <w:rsid w:val="004E293A"/>
    <w:rsid w:val="004E3573"/>
    <w:rsid w:val="004F2478"/>
    <w:rsid w:val="004F3772"/>
    <w:rsid w:val="004F3ABC"/>
    <w:rsid w:val="004F564C"/>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628F"/>
    <w:rsid w:val="005F0158"/>
    <w:rsid w:val="005F01CF"/>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8396A"/>
    <w:rsid w:val="006904EA"/>
    <w:rsid w:val="00690ED4"/>
    <w:rsid w:val="006971B2"/>
    <w:rsid w:val="006A3E13"/>
    <w:rsid w:val="006A52D3"/>
    <w:rsid w:val="006B2349"/>
    <w:rsid w:val="006B44C7"/>
    <w:rsid w:val="006C233A"/>
    <w:rsid w:val="006C43BC"/>
    <w:rsid w:val="006C7E5C"/>
    <w:rsid w:val="006D5D30"/>
    <w:rsid w:val="006E2E9C"/>
    <w:rsid w:val="006E38B2"/>
    <w:rsid w:val="00701DED"/>
    <w:rsid w:val="00715453"/>
    <w:rsid w:val="00717E2E"/>
    <w:rsid w:val="0072169F"/>
    <w:rsid w:val="00724ACE"/>
    <w:rsid w:val="00727707"/>
    <w:rsid w:val="007326E7"/>
    <w:rsid w:val="0074387F"/>
    <w:rsid w:val="0074512E"/>
    <w:rsid w:val="00751799"/>
    <w:rsid w:val="00753502"/>
    <w:rsid w:val="00762063"/>
    <w:rsid w:val="00763D6E"/>
    <w:rsid w:val="0076522A"/>
    <w:rsid w:val="00766902"/>
    <w:rsid w:val="00767B3E"/>
    <w:rsid w:val="00776E58"/>
    <w:rsid w:val="00797C34"/>
    <w:rsid w:val="007A055A"/>
    <w:rsid w:val="007B0B2F"/>
    <w:rsid w:val="007B241F"/>
    <w:rsid w:val="007C19C4"/>
    <w:rsid w:val="007D1A82"/>
    <w:rsid w:val="007D606D"/>
    <w:rsid w:val="007E0021"/>
    <w:rsid w:val="007E7A16"/>
    <w:rsid w:val="007F086F"/>
    <w:rsid w:val="007F7F25"/>
    <w:rsid w:val="00805859"/>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0C6F"/>
    <w:rsid w:val="008A205F"/>
    <w:rsid w:val="008B4748"/>
    <w:rsid w:val="008B5250"/>
    <w:rsid w:val="008B55F3"/>
    <w:rsid w:val="008C41A4"/>
    <w:rsid w:val="008C59F9"/>
    <w:rsid w:val="008D0ABD"/>
    <w:rsid w:val="008D2FCD"/>
    <w:rsid w:val="008D3E3A"/>
    <w:rsid w:val="008E7F28"/>
    <w:rsid w:val="008F4D92"/>
    <w:rsid w:val="008F72F3"/>
    <w:rsid w:val="00906ECB"/>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A1CF6"/>
    <w:rsid w:val="009B3330"/>
    <w:rsid w:val="009F50B1"/>
    <w:rsid w:val="00A027E7"/>
    <w:rsid w:val="00A10BE0"/>
    <w:rsid w:val="00A11EC3"/>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3511"/>
    <w:rsid w:val="00AA3EAA"/>
    <w:rsid w:val="00AA4ADF"/>
    <w:rsid w:val="00AC3F66"/>
    <w:rsid w:val="00AC5FCC"/>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4641"/>
    <w:rsid w:val="00BF3122"/>
    <w:rsid w:val="00BF5A3E"/>
    <w:rsid w:val="00C01D35"/>
    <w:rsid w:val="00C129DD"/>
    <w:rsid w:val="00C33EB9"/>
    <w:rsid w:val="00C35975"/>
    <w:rsid w:val="00C42D34"/>
    <w:rsid w:val="00C51EAE"/>
    <w:rsid w:val="00C528E5"/>
    <w:rsid w:val="00C55AD3"/>
    <w:rsid w:val="00C74875"/>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1A08"/>
    <w:rsid w:val="00D0369A"/>
    <w:rsid w:val="00D16AA9"/>
    <w:rsid w:val="00D24679"/>
    <w:rsid w:val="00D2522E"/>
    <w:rsid w:val="00D30265"/>
    <w:rsid w:val="00D31685"/>
    <w:rsid w:val="00D3495A"/>
    <w:rsid w:val="00D437D3"/>
    <w:rsid w:val="00D44088"/>
    <w:rsid w:val="00D44D7C"/>
    <w:rsid w:val="00D50099"/>
    <w:rsid w:val="00D555C1"/>
    <w:rsid w:val="00D5738E"/>
    <w:rsid w:val="00D60C8F"/>
    <w:rsid w:val="00D64642"/>
    <w:rsid w:val="00D710A9"/>
    <w:rsid w:val="00D720FA"/>
    <w:rsid w:val="00D76239"/>
    <w:rsid w:val="00D76BE4"/>
    <w:rsid w:val="00D8381C"/>
    <w:rsid w:val="00D87049"/>
    <w:rsid w:val="00D92740"/>
    <w:rsid w:val="00D93CDA"/>
    <w:rsid w:val="00DA1A3F"/>
    <w:rsid w:val="00DA58C4"/>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6F71"/>
    <w:rsid w:val="00E43400"/>
    <w:rsid w:val="00E527BD"/>
    <w:rsid w:val="00E64BD1"/>
    <w:rsid w:val="00E65FB2"/>
    <w:rsid w:val="00E93604"/>
    <w:rsid w:val="00EA3B3A"/>
    <w:rsid w:val="00EA7207"/>
    <w:rsid w:val="00EC3EF0"/>
    <w:rsid w:val="00ED24C7"/>
    <w:rsid w:val="00ED3FC7"/>
    <w:rsid w:val="00EE5DF8"/>
    <w:rsid w:val="00EF2635"/>
    <w:rsid w:val="00EF368D"/>
    <w:rsid w:val="00EF38D5"/>
    <w:rsid w:val="00F06A13"/>
    <w:rsid w:val="00F1198E"/>
    <w:rsid w:val="00F12077"/>
    <w:rsid w:val="00F12717"/>
    <w:rsid w:val="00F3758D"/>
    <w:rsid w:val="00F42CF7"/>
    <w:rsid w:val="00F435C5"/>
    <w:rsid w:val="00F459ED"/>
    <w:rsid w:val="00F47EFF"/>
    <w:rsid w:val="00F51836"/>
    <w:rsid w:val="00F74978"/>
    <w:rsid w:val="00F81250"/>
    <w:rsid w:val="00F919FD"/>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 w:val="10C8C4F6"/>
    <w:rsid w:val="125D7B12"/>
    <w:rsid w:val="335CE18C"/>
    <w:rsid w:val="43366142"/>
    <w:rsid w:val="61A5C19D"/>
    <w:rsid w:val="63495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676A1C"/>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nhideWhenUsed/>
    <w:rsid w:val="00035A72"/>
    <w:rPr>
      <w:color w:val="0000FF" w:themeColor="hyperlink"/>
      <w:u w:val="single"/>
    </w:rPr>
  </w:style>
  <w:style w:type="character" w:styleId="UnresolvedMention">
    <w:name w:val="Unresolved Mention"/>
    <w:basedOn w:val="DefaultParagraphFont"/>
    <w:uiPriority w:val="99"/>
    <w:semiHidden/>
    <w:unhideWhenUsed/>
    <w:rsid w:val="00035A72"/>
    <w:rPr>
      <w:color w:val="605E5C"/>
      <w:shd w:val="clear" w:color="auto" w:fill="E1DFDD"/>
    </w:rPr>
  </w:style>
  <w:style w:type="character" w:styleId="FollowedHyperlink">
    <w:name w:val="FollowedHyperlink"/>
    <w:basedOn w:val="DefaultParagraphFont"/>
    <w:semiHidden/>
    <w:unhideWhenUsed/>
    <w:rsid w:val="00035A72"/>
    <w:rPr>
      <w:color w:val="800080" w:themeColor="followedHyperlink"/>
      <w:u w:val="single"/>
    </w:rPr>
  </w:style>
  <w:style w:type="paragraph" w:styleId="Revision">
    <w:name w:val="Revision"/>
    <w:hidden/>
    <w:uiPriority w:val="99"/>
    <w:semiHidden/>
    <w:rsid w:val="00C55AD3"/>
    <w:rPr>
      <w:rFonts w:ascii="Courier 10cpi" w:hAnsi="Courier 10cpi"/>
    </w:rPr>
  </w:style>
  <w:style w:type="paragraph" w:styleId="CommentText">
    <w:name w:val="annotation text"/>
    <w:basedOn w:val="Normal"/>
    <w:link w:val="CommentTextChar"/>
    <w:unhideWhenUsed/>
    <w:rsid w:val="00475921"/>
  </w:style>
  <w:style w:type="character" w:customStyle="1" w:styleId="CommentTextChar">
    <w:name w:val="Comment Text Char"/>
    <w:basedOn w:val="DefaultParagraphFont"/>
    <w:link w:val="CommentText"/>
    <w:rsid w:val="00475921"/>
    <w:rPr>
      <w:rFonts w:ascii="Courier 10cpi" w:hAnsi="Courier 10cpi"/>
    </w:rPr>
  </w:style>
  <w:style w:type="paragraph" w:styleId="CommentSubject">
    <w:name w:val="annotation subject"/>
    <w:basedOn w:val="CommentText"/>
    <w:next w:val="CommentText"/>
    <w:link w:val="CommentSubjectChar"/>
    <w:semiHidden/>
    <w:unhideWhenUsed/>
    <w:rsid w:val="00475921"/>
    <w:rPr>
      <w:b/>
      <w:bCs/>
    </w:rPr>
  </w:style>
  <w:style w:type="character" w:customStyle="1" w:styleId="CommentSubjectChar">
    <w:name w:val="Comment Subject Char"/>
    <w:basedOn w:val="CommentTextChar"/>
    <w:link w:val="CommentSubject"/>
    <w:semiHidden/>
    <w:rsid w:val="00475921"/>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AF3ED0F0754598C620EBB67DBBC0" ma:contentTypeVersion="13" ma:contentTypeDescription="Create a new document." ma:contentTypeScope="" ma:versionID="52b409cdb63f98e43a531c53d51572e3">
  <xsd:schema xmlns:xsd="http://www.w3.org/2001/XMLSchema" xmlns:xs="http://www.w3.org/2001/XMLSchema" xmlns:p="http://schemas.microsoft.com/office/2006/metadata/properties" xmlns:ns2="e249a89d-ff7f-4471-89cc-c2b748dc4782" xmlns:ns3="9a8797bb-1fcb-49ce-89ce-74c8db0298bf" targetNamespace="http://schemas.microsoft.com/office/2006/metadata/properties" ma:root="true" ma:fieldsID="31d80448a6ad61b46280158f70087ecc" ns2:_="" ns3:_="">
    <xsd:import namespace="e249a89d-ff7f-4471-89cc-c2b748dc4782"/>
    <xsd:import namespace="9a8797bb-1fcb-49ce-89ce-74c8db0298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9a89d-ff7f-4471-89cc-c2b748dc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797bb-1fcb-49ce-89ce-74c8db0298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e158c3-7f14-41c4-af59-d00cdc9a77c1}" ma:internalName="TaxCatchAll" ma:showField="CatchAllData" ma:web="9a8797bb-1fcb-49ce-89ce-74c8db029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49a89d-ff7f-4471-89cc-c2b748dc4782">
      <Terms xmlns="http://schemas.microsoft.com/office/infopath/2007/PartnerControls"/>
    </lcf76f155ced4ddcb4097134ff3c332f>
    <TaxCatchAll xmlns="9a8797bb-1fcb-49ce-89ce-74c8db029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C4FBC-CD7F-42E4-9456-936294C41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9a89d-ff7f-4471-89cc-c2b748dc4782"/>
    <ds:schemaRef ds:uri="9a8797bb-1fcb-49ce-89ce-74c8db02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F70B0-19A5-4A4C-B822-9ED04641489C}">
  <ds:schemaRefs>
    <ds:schemaRef ds:uri="http://schemas.microsoft.com/office/2006/metadata/properties"/>
    <ds:schemaRef ds:uri="http://schemas.microsoft.com/office/infopath/2007/PartnerControls"/>
    <ds:schemaRef ds:uri="e249a89d-ff7f-4471-89cc-c2b748dc4782"/>
    <ds:schemaRef ds:uri="9a8797bb-1fcb-49ce-89ce-74c8db0298bf"/>
  </ds:schemaRefs>
</ds:datastoreItem>
</file>

<file path=customXml/itemProps3.xml><?xml version="1.0" encoding="utf-8"?>
<ds:datastoreItem xmlns:ds="http://schemas.openxmlformats.org/officeDocument/2006/customXml" ds:itemID="{4BEC8080-8D4E-41EF-9204-BA2349527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subject>30-Day FRN Template</dc:subject>
  <dc:creator>CDC</dc:creator>
  <cp:keywords>30-Day FRN Template</cp:keywords>
  <cp:lastModifiedBy>Parks Brown, Sharyn (CDC/NCCDPHP/DRH)</cp:lastModifiedBy>
  <cp:revision>8</cp:revision>
  <cp:lastPrinted>2007-12-12T20:15:00Z</cp:lastPrinted>
  <dcterms:created xsi:type="dcterms:W3CDTF">2025-08-21T22:12:00Z</dcterms:created>
  <dcterms:modified xsi:type="dcterms:W3CDTF">2025-08-22T17:09:42Z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0x010100A84BAF3ED0F0754598C620EBB67DBBC0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8af03ff0-41c5-4c41-b55e-fabb8fae94be_ActionId">
    <vt:lpwstr>0a5bf1a6-dd45-4a39-9c85-63a355683a99</vt:lpwstr>
  </property>
  <property fmtid="{D5CDD505-2E9C-101B-9397-08002B2CF9AE}" pid="6" name="MSIP_Label_8af03ff0-41c5-4c41-b55e-fabb8fae94be_Application">
    <vt:lpwstr>Microsoft Azure Information Protection</vt:lpwstr>
  </property>
  <property fmtid="{D5CDD505-2E9C-101B-9397-08002B2CF9AE}" pid="7" name="MSIP_Label_8af03ff0-41c5-4c41-b55e-fabb8fae94be_Enabled">
    <vt:lpwstr>True</vt:lpwstr>
  </property>
  <property fmtid="{D5CDD505-2E9C-101B-9397-08002B2CF9AE}" pid="8" name="MSIP_Label_8af03ff0-41c5-4c41-b55e-fabb8fae94be_Extended_MSFT_Method">
    <vt:lpwstr>Manual</vt:lpwstr>
  </property>
  <property fmtid="{D5CDD505-2E9C-101B-9397-08002B2CF9AE}" pid="9" name="MSIP_Label_8af03ff0-41c5-4c41-b55e-fabb8fae94be_Name">
    <vt:lpwstr>Public</vt:lpwstr>
  </property>
  <property fmtid="{D5CDD505-2E9C-101B-9397-08002B2CF9AE}" pid="10" name="MSIP_Label_8af03ff0-41c5-4c41-b55e-fabb8fae94be_Owner">
    <vt:lpwstr>yni5@cdc.gov</vt:lpwstr>
  </property>
  <property fmtid="{D5CDD505-2E9C-101B-9397-08002B2CF9AE}" pid="11" name="MSIP_Label_8af03ff0-41c5-4c41-b55e-fabb8fae94be_SetDate">
    <vt:lpwstr>2020-06-15T19:00:24.4020986Z</vt:lpwstr>
  </property>
  <property fmtid="{D5CDD505-2E9C-101B-9397-08002B2CF9AE}" pid="12" name="MSIP_Label_8af03ff0-41c5-4c41-b55e-fabb8fae94be_SiteId">
    <vt:lpwstr>9ce70869-60db-44fd-abe8-d2767077fc8f</vt:lpwstr>
  </property>
  <property fmtid="{D5CDD505-2E9C-101B-9397-08002B2CF9AE}" pid="13" name="Sensitivity">
    <vt:lpwstr>Public</vt:lpwstr>
  </property>
</Properties>
</file>