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712FC4" w:rsidRPr="001921C2" w:rsidP="00391C26" w14:paraId="6173ABDC" w14:textId="2F705BC3">
      <w:pPr>
        <w:jc w:val="center"/>
        <w:rPr>
          <w:rFonts w:ascii="Aptos" w:eastAsia="Times New Roman" w:hAnsi="Aptos" w:cs="Times New Roman"/>
          <w:sz w:val="24"/>
          <w:szCs w:val="24"/>
        </w:rPr>
      </w:pPr>
      <w:r w:rsidRPr="001921C2">
        <w:rPr>
          <w:rFonts w:ascii="Aptos" w:hAnsi="Aptos" w:cs="Times New Roman"/>
          <w:sz w:val="24"/>
          <w:szCs w:val="24"/>
        </w:rPr>
        <w:t>Supporting Statement A for</w:t>
      </w:r>
    </w:p>
    <w:p w:rsidR="00712FC4" w:rsidRPr="001921C2" w:rsidP="00712FC4" w14:paraId="2D950C30" w14:textId="77777777">
      <w:pPr>
        <w:pStyle w:val="P1-StandPara"/>
        <w:tabs>
          <w:tab w:val="left" w:pos="720"/>
          <w:tab w:val="right" w:leader="dot" w:pos="9504"/>
        </w:tabs>
        <w:spacing w:before="120" w:after="120"/>
        <w:ind w:firstLine="0"/>
        <w:rPr>
          <w:rFonts w:ascii="Aptos" w:hAnsi="Aptos"/>
          <w:sz w:val="24"/>
          <w:szCs w:val="24"/>
        </w:rPr>
      </w:pPr>
      <w:r w:rsidRPr="001921C2">
        <w:rPr>
          <w:rFonts w:ascii="Aptos" w:hAnsi="Aptos"/>
          <w:sz w:val="24"/>
          <w:szCs w:val="24"/>
        </w:rPr>
        <w:t xml:space="preserve">                    </w:t>
      </w:r>
    </w:p>
    <w:p w:rsidR="00712FC4" w:rsidRPr="00E73023" w:rsidP="00712FC4" w14:paraId="46A8C3BE" w14:textId="686CB92F">
      <w:pPr>
        <w:pStyle w:val="P1-StandPara"/>
        <w:tabs>
          <w:tab w:val="left" w:pos="720"/>
          <w:tab w:val="right" w:leader="dot" w:pos="9504"/>
        </w:tabs>
        <w:spacing w:before="120" w:after="120"/>
        <w:ind w:firstLine="0"/>
        <w:jc w:val="center"/>
        <w:rPr>
          <w:rFonts w:ascii="Aptos" w:hAnsi="Aptos"/>
          <w:sz w:val="24"/>
          <w:szCs w:val="24"/>
        </w:rPr>
      </w:pPr>
      <w:r w:rsidRPr="790073F1">
        <w:rPr>
          <w:rFonts w:ascii="Aptos" w:hAnsi="Aptos"/>
          <w:sz w:val="24"/>
          <w:szCs w:val="24"/>
        </w:rPr>
        <w:t xml:space="preserve">NIH Information Collection Web Interface and Forms to Support Genomic Data Sharing </w:t>
      </w:r>
      <w:r w:rsidRPr="790073F1" w:rsidR="163E884A">
        <w:rPr>
          <w:rFonts w:ascii="Aptos" w:hAnsi="Aptos"/>
          <w:sz w:val="24"/>
          <w:szCs w:val="24"/>
        </w:rPr>
        <w:t xml:space="preserve">and NIH Controlled-Access Data Repository Requirements </w:t>
      </w:r>
      <w:r w:rsidRPr="790073F1">
        <w:rPr>
          <w:rFonts w:ascii="Aptos" w:hAnsi="Aptos"/>
          <w:sz w:val="24"/>
          <w:szCs w:val="24"/>
        </w:rPr>
        <w:t>(OD)</w:t>
      </w:r>
    </w:p>
    <w:p w:rsidR="00712FC4" w:rsidRPr="001921C2" w:rsidP="00712FC4" w14:paraId="2EADF0F7" w14:textId="21A2C638">
      <w:pPr>
        <w:pStyle w:val="P1-StandPara"/>
        <w:tabs>
          <w:tab w:val="left" w:pos="720"/>
          <w:tab w:val="right" w:leader="dot" w:pos="9504"/>
        </w:tabs>
        <w:spacing w:before="120" w:after="120"/>
        <w:ind w:firstLine="0"/>
        <w:jc w:val="center"/>
        <w:rPr>
          <w:rFonts w:ascii="Aptos" w:hAnsi="Aptos"/>
          <w:sz w:val="24"/>
          <w:szCs w:val="24"/>
        </w:rPr>
      </w:pPr>
      <w:r w:rsidRPr="001921C2">
        <w:rPr>
          <w:rFonts w:ascii="Aptos" w:hAnsi="Aptos"/>
          <w:sz w:val="24"/>
          <w:szCs w:val="24"/>
        </w:rPr>
        <w:t xml:space="preserve">OMB# 0925-0670 and expiration date, </w:t>
      </w:r>
      <w:r w:rsidRPr="001921C2" w:rsidR="001404A8">
        <w:rPr>
          <w:rFonts w:ascii="Aptos" w:hAnsi="Aptos"/>
          <w:sz w:val="24"/>
          <w:szCs w:val="24"/>
        </w:rPr>
        <w:t>03/</w:t>
      </w:r>
      <w:r w:rsidRPr="001921C2" w:rsidR="009278A0">
        <w:rPr>
          <w:rFonts w:ascii="Aptos" w:hAnsi="Aptos"/>
          <w:sz w:val="24"/>
          <w:szCs w:val="24"/>
        </w:rPr>
        <w:t>31</w:t>
      </w:r>
      <w:r w:rsidRPr="001921C2" w:rsidR="00132608">
        <w:rPr>
          <w:rFonts w:ascii="Aptos" w:hAnsi="Aptos"/>
          <w:sz w:val="24"/>
          <w:szCs w:val="24"/>
        </w:rPr>
        <w:t>/2026</w:t>
      </w:r>
    </w:p>
    <w:p w:rsidR="00712FC4" w:rsidRPr="001921C2" w:rsidP="00712FC4" w14:paraId="6201F19F" w14:textId="77777777">
      <w:pPr>
        <w:pStyle w:val="P1-StandPara"/>
        <w:tabs>
          <w:tab w:val="left" w:pos="720"/>
          <w:tab w:val="right" w:leader="dot" w:pos="9504"/>
        </w:tabs>
        <w:spacing w:before="120" w:after="120"/>
        <w:ind w:firstLine="0"/>
        <w:rPr>
          <w:rFonts w:ascii="Aptos" w:hAnsi="Aptos"/>
          <w:sz w:val="24"/>
          <w:szCs w:val="24"/>
        </w:rPr>
      </w:pPr>
    </w:p>
    <w:p w:rsidR="00712FC4" w:rsidRPr="001921C2" w:rsidP="00E42C50" w14:paraId="13F6B3D3" w14:textId="404D5A03">
      <w:pPr>
        <w:pStyle w:val="P1-StandPara"/>
        <w:tabs>
          <w:tab w:val="left" w:pos="720"/>
          <w:tab w:val="right" w:leader="dot" w:pos="9504"/>
        </w:tabs>
        <w:spacing w:line="240" w:lineRule="auto"/>
        <w:ind w:firstLine="0"/>
        <w:rPr>
          <w:rFonts w:ascii="Aptos" w:hAnsi="Aptos"/>
          <w:color w:val="FF0000"/>
          <w:sz w:val="24"/>
          <w:szCs w:val="24"/>
        </w:rPr>
      </w:pPr>
      <w:r w:rsidRPr="790073F1">
        <w:rPr>
          <w:rFonts w:ascii="Aptos" w:hAnsi="Aptos"/>
          <w:sz w:val="24"/>
          <w:szCs w:val="24"/>
        </w:rPr>
        <w:t xml:space="preserve"> Date: </w:t>
      </w:r>
      <w:r w:rsidRPr="790073F1" w:rsidR="007C547F">
        <w:rPr>
          <w:rFonts w:ascii="Aptos" w:hAnsi="Aptos"/>
          <w:sz w:val="24"/>
          <w:szCs w:val="24"/>
        </w:rPr>
        <w:t xml:space="preserve">February </w:t>
      </w:r>
      <w:r w:rsidRPr="790073F1" w:rsidR="290F1D80">
        <w:rPr>
          <w:rFonts w:ascii="Aptos" w:hAnsi="Aptos"/>
          <w:sz w:val="24"/>
          <w:szCs w:val="24"/>
        </w:rPr>
        <w:t>20</w:t>
      </w:r>
      <w:r w:rsidRPr="790073F1" w:rsidR="00B663CB">
        <w:rPr>
          <w:rFonts w:ascii="Aptos" w:hAnsi="Aptos"/>
          <w:sz w:val="24"/>
          <w:szCs w:val="24"/>
        </w:rPr>
        <w:t>, 202</w:t>
      </w:r>
      <w:r w:rsidRPr="790073F1" w:rsidR="007C547F">
        <w:rPr>
          <w:rFonts w:ascii="Aptos" w:hAnsi="Aptos"/>
          <w:sz w:val="24"/>
          <w:szCs w:val="24"/>
        </w:rPr>
        <w:t>6</w:t>
      </w:r>
    </w:p>
    <w:p w:rsidR="00E42C50" w:rsidRPr="001921C2" w:rsidP="00712FC4" w14:paraId="31785FFB" w14:textId="77777777">
      <w:pPr>
        <w:pStyle w:val="P1-StandPara"/>
        <w:tabs>
          <w:tab w:val="left" w:pos="720"/>
          <w:tab w:val="right" w:leader="dot" w:pos="9504"/>
        </w:tabs>
        <w:spacing w:before="120" w:line="240" w:lineRule="auto"/>
        <w:ind w:firstLine="0"/>
        <w:rPr>
          <w:rFonts w:ascii="Aptos" w:hAnsi="Aptos"/>
          <w:sz w:val="24"/>
          <w:szCs w:val="24"/>
        </w:rPr>
      </w:pPr>
    </w:p>
    <w:p w:rsidR="00712FC4" w:rsidRPr="001921C2" w:rsidP="00712FC4" w14:paraId="7A5D5441" w14:textId="77777777">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Check off which applies:</w:t>
      </w:r>
    </w:p>
    <w:p w:rsidR="00B371E9" w:rsidP="00FC0F77" w14:paraId="6CDF321C" w14:textId="77777777">
      <w:pPr>
        <w:pStyle w:val="ListParagraph"/>
        <w:numPr>
          <w:ilvl w:val="0"/>
          <w:numId w:val="1"/>
        </w:numPr>
        <w:spacing w:after="0" w:line="240" w:lineRule="auto"/>
        <w:rPr>
          <w:rFonts w:ascii="Aptos" w:hAnsi="Aptos" w:cs="Times New Roman"/>
          <w:sz w:val="24"/>
          <w:szCs w:val="24"/>
        </w:rPr>
      </w:pPr>
      <w:r w:rsidRPr="001921C2">
        <w:rPr>
          <w:rFonts w:ascii="Aptos" w:hAnsi="Aptos" w:cs="Times New Roman"/>
          <w:sz w:val="24"/>
          <w:szCs w:val="24"/>
        </w:rPr>
        <w:t xml:space="preserve">New </w:t>
      </w:r>
    </w:p>
    <w:p w:rsidR="00712FC4" w:rsidRPr="00F03F72" w:rsidP="00F03F72" w14:paraId="78AB01F6" w14:textId="0D861DAA">
      <w:pPr>
        <w:spacing w:after="0" w:line="240" w:lineRule="auto"/>
        <w:ind w:left="360"/>
        <w:rPr>
          <w:rFonts w:ascii="Aptos" w:hAnsi="Aptos" w:cs="Times New Roman"/>
          <w:sz w:val="24"/>
          <w:szCs w:val="24"/>
        </w:rPr>
      </w:pPr>
      <w:r>
        <w:rPr>
          <w:rFonts w:ascii="Aptos" w:hAnsi="Aptos" w:cs="Times New Roman"/>
          <w:sz w:val="24"/>
          <w:szCs w:val="24"/>
        </w:rPr>
        <w:t>X</w:t>
      </w:r>
      <w:r w:rsidR="004059B0">
        <w:rPr>
          <w:rFonts w:ascii="Aptos" w:hAnsi="Aptos" w:cs="Times New Roman"/>
          <w:sz w:val="24"/>
          <w:szCs w:val="24"/>
        </w:rPr>
        <w:tab/>
      </w:r>
      <w:r w:rsidRPr="00F03F72">
        <w:rPr>
          <w:rFonts w:ascii="Aptos" w:hAnsi="Aptos" w:cs="Times New Roman"/>
          <w:sz w:val="24"/>
          <w:szCs w:val="24"/>
        </w:rPr>
        <w:t>Revision</w:t>
      </w:r>
      <w:r w:rsidRPr="00F03F72">
        <w:rPr>
          <w:rFonts w:ascii="Aptos" w:hAnsi="Aptos" w:cs="Times New Roman"/>
          <w:sz w:val="24"/>
          <w:szCs w:val="24"/>
        </w:rPr>
        <w:tab/>
      </w:r>
      <w:r w:rsidRPr="00F03F72">
        <w:rPr>
          <w:rFonts w:ascii="Aptos" w:hAnsi="Aptos" w:cs="Times New Roman"/>
          <w:sz w:val="24"/>
          <w:szCs w:val="24"/>
        </w:rPr>
        <w:tab/>
      </w:r>
      <w:r w:rsidRPr="00F03F72">
        <w:rPr>
          <w:rFonts w:ascii="Aptos" w:hAnsi="Aptos" w:cs="Times New Roman"/>
          <w:sz w:val="24"/>
          <w:szCs w:val="24"/>
        </w:rPr>
        <w:tab/>
      </w:r>
    </w:p>
    <w:p w:rsidR="00712FC4" w:rsidRPr="001921C2" w:rsidP="00712FC4" w14:paraId="537743EF" w14:textId="312F7736">
      <w:pPr>
        <w:numPr>
          <w:ilvl w:val="0"/>
          <w:numId w:val="1"/>
        </w:numPr>
        <w:spacing w:after="0" w:line="240" w:lineRule="auto"/>
        <w:rPr>
          <w:rFonts w:ascii="Aptos" w:hAnsi="Aptos" w:cs="Times New Roman"/>
          <w:sz w:val="24"/>
          <w:szCs w:val="24"/>
        </w:rPr>
      </w:pPr>
      <w:r w:rsidRPr="001921C2">
        <w:rPr>
          <w:rFonts w:ascii="Aptos" w:hAnsi="Aptos" w:cs="Times New Roman"/>
          <w:sz w:val="24"/>
          <w:szCs w:val="24"/>
        </w:rPr>
        <w:t>Reinstatement with Change</w:t>
      </w:r>
    </w:p>
    <w:p w:rsidR="003D7B18" w:rsidRPr="001921C2" w:rsidP="003D7B18" w14:paraId="4A24F512" w14:textId="77777777">
      <w:pPr>
        <w:numPr>
          <w:ilvl w:val="0"/>
          <w:numId w:val="1"/>
        </w:numPr>
        <w:spacing w:after="0" w:line="240" w:lineRule="auto"/>
        <w:rPr>
          <w:rFonts w:ascii="Aptos" w:hAnsi="Aptos" w:cs="Times New Roman"/>
          <w:sz w:val="24"/>
          <w:szCs w:val="24"/>
        </w:rPr>
      </w:pPr>
      <w:r w:rsidRPr="001921C2">
        <w:rPr>
          <w:rFonts w:ascii="Aptos" w:hAnsi="Aptos" w:cs="Times New Roman"/>
          <w:sz w:val="24"/>
          <w:szCs w:val="24"/>
        </w:rPr>
        <w:t>Reinstatement without Change</w:t>
      </w:r>
    </w:p>
    <w:p w:rsidR="00712FC4" w:rsidRPr="001921C2" w:rsidP="003D7B18" w14:paraId="49FF07D7" w14:textId="3E230DFA">
      <w:pPr>
        <w:numPr>
          <w:ilvl w:val="0"/>
          <w:numId w:val="1"/>
        </w:numPr>
        <w:spacing w:after="0" w:line="240" w:lineRule="auto"/>
        <w:rPr>
          <w:rFonts w:ascii="Aptos" w:hAnsi="Aptos" w:cs="Times New Roman"/>
          <w:sz w:val="24"/>
          <w:szCs w:val="24"/>
        </w:rPr>
      </w:pPr>
      <w:r w:rsidRPr="001921C2">
        <w:rPr>
          <w:rFonts w:ascii="Aptos" w:hAnsi="Aptos" w:cs="Times New Roman"/>
          <w:sz w:val="24"/>
          <w:szCs w:val="24"/>
        </w:rPr>
        <w:t>Extension</w:t>
      </w:r>
    </w:p>
    <w:p w:rsidR="00712FC4" w:rsidRPr="001921C2" w:rsidP="00712FC4" w14:paraId="57DC99CC" w14:textId="77777777">
      <w:pPr>
        <w:numPr>
          <w:ilvl w:val="0"/>
          <w:numId w:val="1"/>
        </w:numPr>
        <w:spacing w:after="0" w:line="240" w:lineRule="auto"/>
        <w:rPr>
          <w:rFonts w:ascii="Aptos" w:hAnsi="Aptos" w:cs="Times New Roman"/>
          <w:sz w:val="24"/>
          <w:szCs w:val="24"/>
        </w:rPr>
      </w:pPr>
      <w:r w:rsidRPr="001921C2">
        <w:rPr>
          <w:rFonts w:ascii="Aptos" w:hAnsi="Aptos" w:cs="Times New Roman"/>
          <w:sz w:val="24"/>
          <w:szCs w:val="24"/>
        </w:rPr>
        <w:t>Emergency</w:t>
      </w:r>
    </w:p>
    <w:p w:rsidR="00712FC4" w:rsidRPr="001921C2" w:rsidP="00712FC4" w14:paraId="45050705" w14:textId="77777777">
      <w:pPr>
        <w:numPr>
          <w:ilvl w:val="0"/>
          <w:numId w:val="1"/>
        </w:numPr>
        <w:spacing w:after="0" w:line="240" w:lineRule="auto"/>
        <w:rPr>
          <w:rFonts w:ascii="Aptos" w:hAnsi="Aptos" w:cs="Times New Roman"/>
          <w:sz w:val="24"/>
          <w:szCs w:val="24"/>
        </w:rPr>
      </w:pPr>
      <w:r w:rsidRPr="001921C2">
        <w:rPr>
          <w:rFonts w:ascii="Aptos" w:hAnsi="Aptos" w:cs="Times New Roman"/>
          <w:sz w:val="24"/>
          <w:szCs w:val="24"/>
        </w:rPr>
        <w:t>Existing</w:t>
      </w:r>
    </w:p>
    <w:p w:rsidR="00712FC4" w:rsidRPr="001921C2" w:rsidP="00712FC4" w14:paraId="6CEB1179" w14:textId="77777777">
      <w:pPr>
        <w:pStyle w:val="P1-StandPara"/>
        <w:tabs>
          <w:tab w:val="left" w:pos="720"/>
          <w:tab w:val="right" w:leader="dot" w:pos="9504"/>
        </w:tabs>
        <w:spacing w:before="120" w:after="120"/>
        <w:rPr>
          <w:rFonts w:ascii="Aptos" w:hAnsi="Aptos"/>
          <w:sz w:val="24"/>
          <w:szCs w:val="24"/>
        </w:rPr>
      </w:pPr>
      <w:r w:rsidRPr="001921C2">
        <w:rPr>
          <w:rFonts w:ascii="Aptos" w:hAnsi="Aptos"/>
          <w:sz w:val="24"/>
          <w:szCs w:val="24"/>
        </w:rPr>
        <w:t xml:space="preserve">                        </w:t>
      </w:r>
    </w:p>
    <w:p w:rsidR="00712FC4" w:rsidRPr="001921C2" w:rsidP="00712FC4" w14:paraId="4F7278EB" w14:textId="556EEE5F">
      <w:pPr>
        <w:pStyle w:val="P1-StandPara"/>
        <w:tabs>
          <w:tab w:val="left" w:pos="720"/>
          <w:tab w:val="right" w:leader="dot" w:pos="9504"/>
        </w:tabs>
        <w:spacing w:before="120" w:after="120" w:line="240" w:lineRule="auto"/>
        <w:ind w:firstLine="0"/>
        <w:rPr>
          <w:rFonts w:ascii="Aptos" w:hAnsi="Aptos"/>
          <w:sz w:val="24"/>
          <w:szCs w:val="24"/>
        </w:rPr>
      </w:pPr>
    </w:p>
    <w:p w:rsidR="00EE3E14" w:rsidRPr="001921C2" w:rsidP="00712FC4" w14:paraId="1BBB8DED" w14:textId="77777777">
      <w:pPr>
        <w:pStyle w:val="P1-StandPara"/>
        <w:tabs>
          <w:tab w:val="left" w:pos="720"/>
          <w:tab w:val="right" w:leader="dot" w:pos="9504"/>
        </w:tabs>
        <w:spacing w:before="120" w:after="120" w:line="240" w:lineRule="auto"/>
        <w:ind w:firstLine="0"/>
        <w:rPr>
          <w:rFonts w:ascii="Aptos" w:hAnsi="Aptos"/>
          <w:sz w:val="24"/>
          <w:szCs w:val="24"/>
        </w:rPr>
      </w:pPr>
    </w:p>
    <w:p w:rsidR="00712FC4" w:rsidRPr="001921C2" w:rsidP="00712FC4" w14:paraId="7595BEB6" w14:textId="13D81F37">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 xml:space="preserve">Name: </w:t>
      </w:r>
      <w:r w:rsidR="008E216D">
        <w:rPr>
          <w:rFonts w:ascii="Aptos" w:hAnsi="Aptos"/>
          <w:sz w:val="24"/>
          <w:szCs w:val="24"/>
        </w:rPr>
        <w:t>Jon Lorsch</w:t>
      </w:r>
      <w:r w:rsidRPr="001921C2" w:rsidR="00EE3E14">
        <w:rPr>
          <w:rFonts w:ascii="Aptos" w:hAnsi="Aptos"/>
          <w:sz w:val="24"/>
          <w:szCs w:val="24"/>
        </w:rPr>
        <w:t>, Ph.D.</w:t>
      </w:r>
    </w:p>
    <w:p w:rsidR="001C6545" w:rsidRPr="001921C2" w:rsidP="001C6545" w14:paraId="0EFE66B6" w14:textId="25F70FCC">
      <w:pPr>
        <w:pStyle w:val="P1-StandPara"/>
        <w:tabs>
          <w:tab w:val="left" w:pos="720"/>
          <w:tab w:val="right" w:leader="dot" w:pos="9504"/>
        </w:tabs>
        <w:spacing w:before="120" w:line="240" w:lineRule="auto"/>
        <w:ind w:firstLine="0"/>
        <w:rPr>
          <w:rFonts w:ascii="Aptos" w:hAnsi="Aptos"/>
          <w:sz w:val="24"/>
          <w:szCs w:val="24"/>
        </w:rPr>
      </w:pPr>
      <w:r>
        <w:rPr>
          <w:rFonts w:ascii="Aptos" w:hAnsi="Aptos"/>
          <w:sz w:val="24"/>
          <w:szCs w:val="24"/>
        </w:rPr>
        <w:t>Deputy Director for Extramural Research</w:t>
      </w:r>
    </w:p>
    <w:p w:rsidR="00EE3E14" w:rsidRPr="001921C2" w:rsidP="001C6545" w14:paraId="3C9C1C9E" w14:textId="05BDC822">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 xml:space="preserve">Office of Extramural Research, </w:t>
      </w:r>
      <w:r w:rsidRPr="001921C2">
        <w:rPr>
          <w:rFonts w:ascii="Aptos" w:hAnsi="Aptos"/>
          <w:sz w:val="24"/>
          <w:szCs w:val="24"/>
        </w:rPr>
        <w:t>NIH</w:t>
      </w:r>
    </w:p>
    <w:p w:rsidR="00712FC4" w:rsidRPr="001921C2" w:rsidP="00712FC4" w14:paraId="0CC2492D" w14:textId="1E48459C">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 xml:space="preserve">Address: 6705 Rockledge Dr., Suite </w:t>
      </w:r>
      <w:r w:rsidRPr="00C117BD" w:rsidR="00C117BD">
        <w:rPr>
          <w:rFonts w:ascii="Aptos" w:hAnsi="Aptos"/>
          <w:sz w:val="24"/>
          <w:szCs w:val="24"/>
        </w:rPr>
        <w:t>800-C</w:t>
      </w:r>
      <w:r w:rsidRPr="001921C2">
        <w:rPr>
          <w:rFonts w:ascii="Aptos" w:hAnsi="Aptos"/>
          <w:sz w:val="24"/>
          <w:szCs w:val="24"/>
        </w:rPr>
        <w:t>, Bethesda, MD 20892</w:t>
      </w:r>
    </w:p>
    <w:p w:rsidR="00712FC4" w:rsidRPr="001921C2" w:rsidP="00712FC4" w14:paraId="147DFCF8" w14:textId="5CB381EA">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 xml:space="preserve">Telephone: </w:t>
      </w:r>
      <w:r w:rsidRPr="001921C2" w:rsidR="001C6545">
        <w:rPr>
          <w:rFonts w:ascii="Aptos" w:hAnsi="Aptos"/>
          <w:sz w:val="24"/>
          <w:szCs w:val="24"/>
        </w:rPr>
        <w:t>301-594-7783</w:t>
      </w:r>
    </w:p>
    <w:p w:rsidR="00712FC4" w:rsidRPr="001921C2" w:rsidP="00712FC4" w14:paraId="04F00A95" w14:textId="1225D73C">
      <w:pPr>
        <w:pStyle w:val="P1-StandPara"/>
        <w:tabs>
          <w:tab w:val="left" w:pos="720"/>
          <w:tab w:val="right" w:leader="dot" w:pos="9504"/>
        </w:tabs>
        <w:spacing w:before="120" w:line="240" w:lineRule="auto"/>
        <w:ind w:firstLine="0"/>
        <w:rPr>
          <w:rFonts w:ascii="Aptos" w:hAnsi="Aptos"/>
          <w:sz w:val="24"/>
          <w:szCs w:val="24"/>
        </w:rPr>
      </w:pPr>
      <w:r w:rsidRPr="001921C2">
        <w:rPr>
          <w:rFonts w:ascii="Aptos" w:hAnsi="Aptos"/>
          <w:sz w:val="24"/>
          <w:szCs w:val="24"/>
        </w:rPr>
        <w:t xml:space="preserve">Email: </w:t>
      </w:r>
      <w:r w:rsidR="009F0E5E">
        <w:rPr>
          <w:rFonts w:ascii="Aptos" w:hAnsi="Aptos"/>
          <w:sz w:val="24"/>
          <w:szCs w:val="24"/>
        </w:rPr>
        <w:t>GDS@</w:t>
      </w:r>
      <w:r w:rsidR="009C6925">
        <w:rPr>
          <w:rFonts w:ascii="Aptos" w:hAnsi="Aptos"/>
          <w:sz w:val="24"/>
          <w:szCs w:val="24"/>
        </w:rPr>
        <w:t>nih.gov</w:t>
      </w:r>
    </w:p>
    <w:p w:rsidR="00712FC4" w:rsidRPr="001921C2" w:rsidP="00E9482B" w14:paraId="0CE655C5" w14:textId="77777777">
      <w:pPr>
        <w:rPr>
          <w:rFonts w:ascii="Aptos" w:hAnsi="Aptos" w:cs="Times New Roman"/>
          <w:sz w:val="24"/>
          <w:szCs w:val="24"/>
        </w:rPr>
      </w:pPr>
    </w:p>
    <w:p w:rsidR="007E3D11" w:rsidRPr="001921C2" w:rsidP="00712FC4" w14:paraId="78AE596A" w14:textId="5AE393C9">
      <w:pPr>
        <w:rPr>
          <w:rFonts w:ascii="Aptos" w:hAnsi="Aptos" w:cs="Times New Roman"/>
          <w:sz w:val="24"/>
          <w:szCs w:val="24"/>
        </w:rPr>
      </w:pPr>
      <w:r w:rsidRPr="001921C2">
        <w:rPr>
          <w:rFonts w:ascii="Aptos" w:hAnsi="Aptos" w:cs="Times New Roman"/>
          <w:sz w:val="24"/>
          <w:szCs w:val="24"/>
        </w:rPr>
        <w:br w:type="page"/>
      </w:r>
    </w:p>
    <w:p w:rsidR="003E6990" w:rsidRPr="001921C2" w:rsidP="003E6990" w14:paraId="4C6D69D1" w14:textId="1C8160F4">
      <w:pPr>
        <w:pStyle w:val="P1-StandPara"/>
        <w:tabs>
          <w:tab w:val="left" w:pos="720"/>
        </w:tabs>
        <w:ind w:firstLine="0"/>
        <w:rPr>
          <w:rFonts w:ascii="Aptos" w:hAnsi="Aptos"/>
          <w:b/>
          <w:szCs w:val="22"/>
          <w:u w:val="single"/>
        </w:rPr>
      </w:pPr>
      <w:r w:rsidRPr="001921C2">
        <w:rPr>
          <w:rFonts w:ascii="Aptos" w:hAnsi="Aptos"/>
          <w:b/>
          <w:szCs w:val="22"/>
          <w:u w:val="single"/>
        </w:rPr>
        <w:t>Table of Contents</w:t>
      </w:r>
    </w:p>
    <w:p w:rsidR="003E6990" w:rsidRPr="001921C2" w:rsidP="003E6990" w14:paraId="466EB97C" w14:textId="77777777">
      <w:pPr>
        <w:pStyle w:val="P1-StandPara"/>
        <w:tabs>
          <w:tab w:val="left" w:pos="720"/>
        </w:tabs>
        <w:ind w:firstLine="0"/>
        <w:rPr>
          <w:rFonts w:ascii="Aptos" w:hAnsi="Aptos"/>
          <w:szCs w:val="22"/>
        </w:rPr>
      </w:pPr>
      <w:r w:rsidRPr="001921C2">
        <w:rPr>
          <w:rFonts w:ascii="Aptos" w:hAnsi="Aptos"/>
          <w:szCs w:val="22"/>
        </w:rPr>
        <w:t>A.</w:t>
      </w:r>
      <w:r w:rsidRPr="001921C2">
        <w:rPr>
          <w:rFonts w:ascii="Aptos" w:hAnsi="Aptos"/>
          <w:szCs w:val="22"/>
        </w:rPr>
        <w:tab/>
        <w:t>ABSTRACT</w:t>
      </w:r>
      <w:r w:rsidRPr="001921C2">
        <w:rPr>
          <w:rFonts w:ascii="Aptos" w:hAnsi="Aptos"/>
          <w:szCs w:val="22"/>
        </w:rPr>
        <w:tab/>
      </w:r>
    </w:p>
    <w:p w:rsidR="003E6990" w:rsidRPr="001921C2" w:rsidP="003E6990" w14:paraId="20CEA024" w14:textId="77777777">
      <w:pPr>
        <w:pStyle w:val="P1-StandPara"/>
        <w:ind w:firstLine="0"/>
        <w:rPr>
          <w:rFonts w:ascii="Aptos" w:hAnsi="Aptos"/>
          <w:szCs w:val="22"/>
        </w:rPr>
      </w:pPr>
      <w:r w:rsidRPr="001921C2">
        <w:rPr>
          <w:rFonts w:ascii="Aptos" w:hAnsi="Aptos"/>
          <w:szCs w:val="22"/>
        </w:rPr>
        <w:t>A.1</w:t>
      </w:r>
      <w:r w:rsidRPr="001921C2">
        <w:rPr>
          <w:rFonts w:ascii="Aptos" w:hAnsi="Aptos"/>
          <w:szCs w:val="22"/>
        </w:rPr>
        <w:tab/>
        <w:t>Circumstances Making the Collection of Information Necessary</w:t>
      </w:r>
      <w:r w:rsidRPr="001921C2">
        <w:rPr>
          <w:rFonts w:ascii="Aptos" w:hAnsi="Aptos"/>
          <w:szCs w:val="22"/>
        </w:rPr>
        <w:tab/>
      </w:r>
    </w:p>
    <w:p w:rsidR="003E6990" w:rsidRPr="001921C2" w:rsidP="003E6990" w14:paraId="31E2539B" w14:textId="38BE2C9C">
      <w:pPr>
        <w:pStyle w:val="P1-StandPara"/>
        <w:ind w:firstLine="0"/>
        <w:rPr>
          <w:rFonts w:ascii="Aptos" w:hAnsi="Aptos"/>
          <w:szCs w:val="22"/>
        </w:rPr>
      </w:pPr>
      <w:r w:rsidRPr="001921C2">
        <w:rPr>
          <w:rFonts w:ascii="Aptos" w:hAnsi="Aptos"/>
          <w:szCs w:val="22"/>
        </w:rPr>
        <w:t>A.2.</w:t>
      </w:r>
      <w:r w:rsidRPr="001921C2">
        <w:rPr>
          <w:rFonts w:ascii="Aptos" w:hAnsi="Aptos"/>
          <w:szCs w:val="22"/>
        </w:rPr>
        <w:tab/>
        <w:t xml:space="preserve">Purpose and Use of the Information </w:t>
      </w:r>
      <w:r w:rsidR="00526B04">
        <w:rPr>
          <w:rFonts w:ascii="Aptos" w:hAnsi="Aptos"/>
          <w:szCs w:val="22"/>
        </w:rPr>
        <w:t>Collection</w:t>
      </w:r>
      <w:r w:rsidRPr="001921C2">
        <w:rPr>
          <w:rFonts w:ascii="Aptos" w:hAnsi="Aptos"/>
          <w:szCs w:val="22"/>
        </w:rPr>
        <w:tab/>
      </w:r>
    </w:p>
    <w:p w:rsidR="003E6990" w:rsidRPr="001921C2" w:rsidP="003E6990" w14:paraId="52AE2292" w14:textId="77777777">
      <w:pPr>
        <w:pStyle w:val="P1-StandPara"/>
        <w:ind w:firstLine="0"/>
        <w:rPr>
          <w:rFonts w:ascii="Aptos" w:hAnsi="Aptos"/>
          <w:szCs w:val="22"/>
        </w:rPr>
      </w:pPr>
      <w:r w:rsidRPr="001921C2">
        <w:rPr>
          <w:rFonts w:ascii="Aptos" w:hAnsi="Aptos"/>
          <w:szCs w:val="22"/>
        </w:rPr>
        <w:t>A.3</w:t>
      </w:r>
      <w:r w:rsidRPr="001921C2">
        <w:rPr>
          <w:rFonts w:ascii="Aptos" w:hAnsi="Aptos"/>
          <w:szCs w:val="22"/>
        </w:rPr>
        <w:tab/>
        <w:t>Use of Information Technology and Burden Reduction</w:t>
      </w:r>
      <w:r w:rsidRPr="001921C2">
        <w:rPr>
          <w:rFonts w:ascii="Aptos" w:hAnsi="Aptos"/>
          <w:szCs w:val="22"/>
        </w:rPr>
        <w:tab/>
      </w:r>
    </w:p>
    <w:p w:rsidR="003E6990" w:rsidRPr="001921C2" w:rsidP="003E6990" w14:paraId="7D711CE4" w14:textId="77777777">
      <w:pPr>
        <w:pStyle w:val="P1-StandPara"/>
        <w:ind w:firstLine="0"/>
        <w:rPr>
          <w:rFonts w:ascii="Aptos" w:hAnsi="Aptos"/>
          <w:szCs w:val="22"/>
        </w:rPr>
      </w:pPr>
      <w:r w:rsidRPr="001921C2">
        <w:rPr>
          <w:rFonts w:ascii="Aptos" w:hAnsi="Aptos"/>
          <w:szCs w:val="22"/>
        </w:rPr>
        <w:t>A.4</w:t>
      </w:r>
      <w:r w:rsidRPr="001921C2">
        <w:rPr>
          <w:rFonts w:ascii="Aptos" w:hAnsi="Aptos"/>
          <w:szCs w:val="22"/>
        </w:rPr>
        <w:tab/>
        <w:t>Efforts to Identify Duplication and Use of Similar Information</w:t>
      </w:r>
      <w:r w:rsidRPr="001921C2">
        <w:rPr>
          <w:rFonts w:ascii="Aptos" w:hAnsi="Aptos"/>
          <w:szCs w:val="22"/>
        </w:rPr>
        <w:tab/>
      </w:r>
    </w:p>
    <w:p w:rsidR="003E6990" w:rsidRPr="001921C2" w:rsidP="003E6990" w14:paraId="776E5F92" w14:textId="77777777">
      <w:pPr>
        <w:pStyle w:val="P1-StandPara"/>
        <w:ind w:firstLine="0"/>
        <w:rPr>
          <w:rFonts w:ascii="Aptos" w:hAnsi="Aptos"/>
          <w:szCs w:val="22"/>
        </w:rPr>
      </w:pPr>
      <w:r w:rsidRPr="001921C2">
        <w:rPr>
          <w:rFonts w:ascii="Aptos" w:hAnsi="Aptos"/>
          <w:szCs w:val="22"/>
        </w:rPr>
        <w:t>A.5</w:t>
      </w:r>
      <w:r w:rsidRPr="001921C2">
        <w:rPr>
          <w:rFonts w:ascii="Aptos" w:hAnsi="Aptos"/>
          <w:szCs w:val="22"/>
        </w:rPr>
        <w:tab/>
        <w:t>Impact on Small Businesses or Other Small Entities</w:t>
      </w:r>
      <w:r w:rsidRPr="001921C2">
        <w:rPr>
          <w:rFonts w:ascii="Aptos" w:hAnsi="Aptos"/>
          <w:szCs w:val="22"/>
        </w:rPr>
        <w:tab/>
      </w:r>
    </w:p>
    <w:p w:rsidR="003E6990" w:rsidRPr="001921C2" w:rsidP="003E6990" w14:paraId="605550E9" w14:textId="77777777">
      <w:pPr>
        <w:pStyle w:val="P1-StandPara"/>
        <w:ind w:firstLine="0"/>
        <w:rPr>
          <w:rFonts w:ascii="Aptos" w:hAnsi="Aptos"/>
          <w:szCs w:val="22"/>
        </w:rPr>
      </w:pPr>
      <w:r w:rsidRPr="001921C2">
        <w:rPr>
          <w:rFonts w:ascii="Aptos" w:hAnsi="Aptos"/>
          <w:szCs w:val="22"/>
        </w:rPr>
        <w:t>A.6</w:t>
      </w:r>
      <w:r w:rsidRPr="001921C2">
        <w:rPr>
          <w:rFonts w:ascii="Aptos" w:hAnsi="Aptos"/>
          <w:szCs w:val="22"/>
        </w:rPr>
        <w:tab/>
        <w:t>Consequences of Collecting the Information Less Frequently</w:t>
      </w:r>
      <w:r w:rsidRPr="001921C2">
        <w:rPr>
          <w:rFonts w:ascii="Aptos" w:hAnsi="Aptos"/>
          <w:szCs w:val="22"/>
        </w:rPr>
        <w:tab/>
      </w:r>
    </w:p>
    <w:p w:rsidR="003E6990" w:rsidRPr="001921C2" w:rsidP="003E6990" w14:paraId="440DD1A3" w14:textId="77777777">
      <w:pPr>
        <w:pStyle w:val="P1-StandPara"/>
        <w:ind w:firstLine="0"/>
        <w:rPr>
          <w:rFonts w:ascii="Aptos" w:hAnsi="Aptos"/>
          <w:szCs w:val="22"/>
        </w:rPr>
      </w:pPr>
      <w:r w:rsidRPr="001921C2">
        <w:rPr>
          <w:rFonts w:ascii="Aptos" w:hAnsi="Aptos"/>
          <w:szCs w:val="22"/>
        </w:rPr>
        <w:t>A.7</w:t>
      </w:r>
      <w:r w:rsidRPr="001921C2">
        <w:rPr>
          <w:rFonts w:ascii="Aptos" w:hAnsi="Aptos"/>
          <w:szCs w:val="22"/>
        </w:rPr>
        <w:tab/>
        <w:t>Special Circumstances Relating to the Guidelines of 5 CFR 1320.5</w:t>
      </w:r>
      <w:r w:rsidRPr="001921C2">
        <w:rPr>
          <w:rFonts w:ascii="Aptos" w:hAnsi="Aptos"/>
          <w:szCs w:val="22"/>
        </w:rPr>
        <w:tab/>
      </w:r>
    </w:p>
    <w:p w:rsidR="003E6990" w:rsidRPr="001921C2" w:rsidP="003E6990" w14:paraId="51A30326" w14:textId="57CAAAC9">
      <w:pPr>
        <w:pStyle w:val="P1-StandPara"/>
        <w:ind w:firstLine="0"/>
        <w:rPr>
          <w:rFonts w:ascii="Aptos" w:hAnsi="Aptos"/>
          <w:szCs w:val="22"/>
        </w:rPr>
      </w:pPr>
      <w:r w:rsidRPr="001921C2">
        <w:rPr>
          <w:rFonts w:ascii="Aptos" w:hAnsi="Aptos"/>
          <w:szCs w:val="22"/>
        </w:rPr>
        <w:t>A.8.1</w:t>
      </w:r>
      <w:r w:rsidRPr="001921C2">
        <w:rPr>
          <w:rFonts w:ascii="Aptos" w:hAnsi="Aptos"/>
          <w:szCs w:val="22"/>
        </w:rPr>
        <w:tab/>
        <w:t>Comments in Response to the Federal Register Notice</w:t>
      </w:r>
    </w:p>
    <w:p w:rsidR="003E6990" w:rsidRPr="001921C2" w:rsidP="003E6990" w14:paraId="61302FA2" w14:textId="5F9BD26A">
      <w:pPr>
        <w:pStyle w:val="P1-StandPara"/>
        <w:ind w:firstLine="0"/>
        <w:rPr>
          <w:rFonts w:ascii="Aptos" w:hAnsi="Aptos"/>
          <w:szCs w:val="22"/>
        </w:rPr>
      </w:pPr>
      <w:r w:rsidRPr="001921C2">
        <w:rPr>
          <w:rFonts w:ascii="Aptos" w:hAnsi="Aptos"/>
          <w:szCs w:val="22"/>
        </w:rPr>
        <w:t>A.8.2</w:t>
      </w:r>
      <w:r w:rsidRPr="001921C2">
        <w:rPr>
          <w:rFonts w:ascii="Aptos" w:hAnsi="Aptos"/>
          <w:szCs w:val="22"/>
        </w:rPr>
        <w:tab/>
        <w:t>Efforts to Consult Outside Agency</w:t>
      </w:r>
      <w:r w:rsidRPr="001921C2">
        <w:rPr>
          <w:rFonts w:ascii="Aptos" w:hAnsi="Aptos"/>
          <w:szCs w:val="22"/>
        </w:rPr>
        <w:tab/>
      </w:r>
    </w:p>
    <w:p w:rsidR="003E6990" w:rsidRPr="001921C2" w:rsidP="003E6990" w14:paraId="10A03664" w14:textId="77777777">
      <w:pPr>
        <w:pStyle w:val="P1-StandPara"/>
        <w:ind w:firstLine="0"/>
        <w:rPr>
          <w:rFonts w:ascii="Aptos" w:hAnsi="Aptos"/>
          <w:szCs w:val="22"/>
        </w:rPr>
      </w:pPr>
      <w:r w:rsidRPr="001921C2">
        <w:rPr>
          <w:rFonts w:ascii="Aptos" w:hAnsi="Aptos"/>
          <w:szCs w:val="22"/>
        </w:rPr>
        <w:t>A.9</w:t>
      </w:r>
      <w:r w:rsidRPr="001921C2">
        <w:rPr>
          <w:rFonts w:ascii="Aptos" w:hAnsi="Aptos"/>
          <w:szCs w:val="22"/>
        </w:rPr>
        <w:tab/>
        <w:t>Explanation of Any Payment of Gift to Respondents</w:t>
      </w:r>
      <w:r w:rsidRPr="001921C2">
        <w:rPr>
          <w:rFonts w:ascii="Aptos" w:hAnsi="Aptos"/>
          <w:szCs w:val="22"/>
        </w:rPr>
        <w:tab/>
      </w:r>
    </w:p>
    <w:p w:rsidR="003E6990" w:rsidRPr="001921C2" w:rsidP="003E6990" w14:paraId="6D535A50" w14:textId="77777777">
      <w:pPr>
        <w:pStyle w:val="P1-StandPara"/>
        <w:ind w:firstLine="0"/>
        <w:rPr>
          <w:rFonts w:ascii="Aptos" w:hAnsi="Aptos"/>
          <w:szCs w:val="22"/>
        </w:rPr>
      </w:pPr>
      <w:r w:rsidRPr="001921C2">
        <w:rPr>
          <w:rFonts w:ascii="Aptos" w:hAnsi="Aptos"/>
          <w:szCs w:val="22"/>
        </w:rPr>
        <w:t>A.10</w:t>
      </w:r>
      <w:r w:rsidRPr="001921C2">
        <w:rPr>
          <w:rFonts w:ascii="Aptos" w:hAnsi="Aptos"/>
          <w:szCs w:val="22"/>
        </w:rPr>
        <w:tab/>
        <w:t>Assurance of Confidentiality Provided to Respondents</w:t>
      </w:r>
      <w:r w:rsidRPr="001921C2">
        <w:rPr>
          <w:rFonts w:ascii="Aptos" w:hAnsi="Aptos"/>
          <w:szCs w:val="22"/>
        </w:rPr>
        <w:tab/>
      </w:r>
    </w:p>
    <w:p w:rsidR="003E6990" w:rsidRPr="001921C2" w:rsidP="003E6990" w14:paraId="31BCB3E9" w14:textId="77777777">
      <w:pPr>
        <w:pStyle w:val="P1-StandPara"/>
        <w:ind w:firstLine="0"/>
        <w:rPr>
          <w:rFonts w:ascii="Aptos" w:hAnsi="Aptos"/>
          <w:szCs w:val="22"/>
        </w:rPr>
      </w:pPr>
      <w:r w:rsidRPr="001921C2">
        <w:rPr>
          <w:rFonts w:ascii="Aptos" w:hAnsi="Aptos"/>
          <w:szCs w:val="22"/>
        </w:rPr>
        <w:t>A.11</w:t>
      </w:r>
      <w:r w:rsidRPr="001921C2">
        <w:rPr>
          <w:rFonts w:ascii="Aptos" w:hAnsi="Aptos"/>
          <w:szCs w:val="22"/>
        </w:rPr>
        <w:tab/>
        <w:t>Justification for Sensitive Questions</w:t>
      </w:r>
      <w:r w:rsidRPr="001921C2">
        <w:rPr>
          <w:rFonts w:ascii="Aptos" w:hAnsi="Aptos"/>
          <w:szCs w:val="22"/>
        </w:rPr>
        <w:tab/>
      </w:r>
    </w:p>
    <w:p w:rsidR="003E6990" w:rsidRPr="001921C2" w:rsidP="003E6990" w14:paraId="5EAC381C" w14:textId="77777777">
      <w:pPr>
        <w:pStyle w:val="P1-StandPara"/>
        <w:ind w:firstLine="0"/>
        <w:rPr>
          <w:rFonts w:ascii="Aptos" w:hAnsi="Aptos"/>
          <w:szCs w:val="22"/>
        </w:rPr>
      </w:pPr>
      <w:r w:rsidRPr="001921C2">
        <w:rPr>
          <w:rFonts w:ascii="Aptos" w:hAnsi="Aptos"/>
          <w:szCs w:val="22"/>
        </w:rPr>
        <w:t>A.12</w:t>
      </w:r>
      <w:r w:rsidRPr="001921C2">
        <w:rPr>
          <w:rFonts w:ascii="Aptos" w:hAnsi="Aptos"/>
          <w:szCs w:val="22"/>
        </w:rPr>
        <w:tab/>
        <w:t xml:space="preserve">Estimated Annualized Burden Hours </w:t>
      </w:r>
    </w:p>
    <w:p w:rsidR="0072770B" w:rsidRPr="001921C2" w:rsidP="003E6990" w14:paraId="5AA4D0BE" w14:textId="5CBFC3B2">
      <w:pPr>
        <w:pStyle w:val="P1-StandPara"/>
        <w:ind w:firstLine="0"/>
        <w:rPr>
          <w:rFonts w:ascii="Aptos" w:hAnsi="Aptos"/>
          <w:szCs w:val="22"/>
        </w:rPr>
      </w:pPr>
      <w:r w:rsidRPr="001921C2">
        <w:rPr>
          <w:rFonts w:ascii="Aptos" w:hAnsi="Aptos"/>
          <w:szCs w:val="22"/>
        </w:rPr>
        <w:t>A12-1</w:t>
      </w:r>
      <w:r w:rsidRPr="001921C2">
        <w:rPr>
          <w:rFonts w:ascii="Aptos" w:hAnsi="Aptos"/>
          <w:szCs w:val="22"/>
        </w:rPr>
        <w:tab/>
        <w:t>Estimated Annua</w:t>
      </w:r>
      <w:r w:rsidRPr="001921C2">
        <w:rPr>
          <w:rFonts w:ascii="Aptos" w:hAnsi="Aptos"/>
          <w:szCs w:val="22"/>
        </w:rPr>
        <w:t xml:space="preserve">lized Burden Hours </w:t>
      </w:r>
      <w:r w:rsidRPr="001921C2" w:rsidR="00ED0843">
        <w:rPr>
          <w:rFonts w:ascii="Aptos" w:hAnsi="Aptos"/>
          <w:szCs w:val="22"/>
        </w:rPr>
        <w:t>(</w:t>
      </w:r>
      <w:r w:rsidR="003E73A9">
        <w:rPr>
          <w:rFonts w:ascii="Aptos" w:hAnsi="Aptos"/>
          <w:szCs w:val="22"/>
        </w:rPr>
        <w:t>D</w:t>
      </w:r>
      <w:r w:rsidRPr="001921C2" w:rsidR="00ED0843">
        <w:rPr>
          <w:rFonts w:ascii="Aptos" w:hAnsi="Aptos"/>
          <w:szCs w:val="22"/>
        </w:rPr>
        <w:t xml:space="preserve">ata </w:t>
      </w:r>
      <w:r w:rsidR="003E73A9">
        <w:rPr>
          <w:rFonts w:ascii="Aptos" w:hAnsi="Aptos"/>
          <w:szCs w:val="22"/>
        </w:rPr>
        <w:t>T</w:t>
      </w:r>
      <w:r w:rsidRPr="001921C2" w:rsidR="00ED0843">
        <w:rPr>
          <w:rFonts w:ascii="Aptos" w:hAnsi="Aptos"/>
          <w:szCs w:val="22"/>
        </w:rPr>
        <w:t>able)</w:t>
      </w:r>
    </w:p>
    <w:p w:rsidR="003E6990" w:rsidRPr="001921C2" w:rsidP="003E6990" w14:paraId="2F4ECD6F" w14:textId="33FD543B">
      <w:pPr>
        <w:pStyle w:val="P1-StandPara"/>
        <w:ind w:firstLine="0"/>
        <w:rPr>
          <w:rFonts w:ascii="Aptos" w:hAnsi="Aptos"/>
          <w:szCs w:val="22"/>
        </w:rPr>
      </w:pPr>
      <w:r w:rsidRPr="001921C2">
        <w:rPr>
          <w:rFonts w:ascii="Aptos" w:hAnsi="Aptos"/>
          <w:szCs w:val="22"/>
        </w:rPr>
        <w:t>A12-2</w:t>
      </w:r>
      <w:r w:rsidRPr="001921C2">
        <w:rPr>
          <w:rFonts w:ascii="Aptos" w:hAnsi="Aptos"/>
          <w:szCs w:val="22"/>
        </w:rPr>
        <w:tab/>
        <w:t>Annualized Cost to Respondents</w:t>
      </w:r>
      <w:r w:rsidRPr="001921C2">
        <w:rPr>
          <w:rFonts w:ascii="Aptos" w:hAnsi="Aptos"/>
          <w:szCs w:val="22"/>
        </w:rPr>
        <w:tab/>
      </w:r>
    </w:p>
    <w:p w:rsidR="003E6990" w:rsidRPr="001921C2" w:rsidP="003E6990" w14:paraId="7D2BE25A" w14:textId="2BEA6802">
      <w:pPr>
        <w:pStyle w:val="P1-StandPara"/>
        <w:ind w:firstLine="0"/>
        <w:rPr>
          <w:rFonts w:ascii="Aptos" w:hAnsi="Aptos"/>
          <w:szCs w:val="22"/>
        </w:rPr>
      </w:pPr>
      <w:r w:rsidRPr="001921C2">
        <w:rPr>
          <w:rFonts w:ascii="Aptos" w:hAnsi="Aptos"/>
          <w:szCs w:val="22"/>
        </w:rPr>
        <w:t>A.13</w:t>
      </w:r>
      <w:r w:rsidRPr="001921C2">
        <w:rPr>
          <w:rFonts w:ascii="Aptos" w:hAnsi="Aptos"/>
          <w:szCs w:val="22"/>
        </w:rPr>
        <w:tab/>
        <w:t>Estimate of Other Total Annual Cost Burden to Respondents or Record keepers</w:t>
      </w:r>
      <w:r w:rsidRPr="001921C2">
        <w:rPr>
          <w:rFonts w:ascii="Aptos" w:hAnsi="Aptos"/>
          <w:szCs w:val="22"/>
        </w:rPr>
        <w:tab/>
      </w:r>
    </w:p>
    <w:p w:rsidR="003E6990" w:rsidRPr="001921C2" w:rsidP="003E6990" w14:paraId="17979E65" w14:textId="04D87E47">
      <w:pPr>
        <w:pStyle w:val="P1-StandPara"/>
        <w:ind w:firstLine="0"/>
        <w:rPr>
          <w:rFonts w:ascii="Aptos" w:hAnsi="Aptos"/>
          <w:szCs w:val="22"/>
        </w:rPr>
      </w:pPr>
      <w:r w:rsidRPr="001921C2">
        <w:rPr>
          <w:rFonts w:ascii="Aptos" w:hAnsi="Aptos"/>
          <w:szCs w:val="22"/>
        </w:rPr>
        <w:t>A.14</w:t>
      </w:r>
      <w:r w:rsidRPr="001921C2">
        <w:rPr>
          <w:rFonts w:ascii="Aptos" w:hAnsi="Aptos"/>
          <w:szCs w:val="22"/>
        </w:rPr>
        <w:tab/>
        <w:t>Annualized</w:t>
      </w:r>
      <w:r w:rsidRPr="001921C2" w:rsidR="0072770B">
        <w:rPr>
          <w:rFonts w:ascii="Aptos" w:hAnsi="Aptos"/>
          <w:szCs w:val="22"/>
        </w:rPr>
        <w:t xml:space="preserve"> Cost to the Federal Government</w:t>
      </w:r>
    </w:p>
    <w:p w:rsidR="003E6990" w:rsidRPr="001921C2" w:rsidP="003E6990" w14:paraId="2EA43A5F" w14:textId="77777777">
      <w:pPr>
        <w:pStyle w:val="P1-StandPara"/>
        <w:ind w:firstLine="0"/>
        <w:rPr>
          <w:rFonts w:ascii="Aptos" w:hAnsi="Aptos"/>
          <w:szCs w:val="22"/>
        </w:rPr>
      </w:pPr>
      <w:r w:rsidRPr="001921C2">
        <w:rPr>
          <w:rFonts w:ascii="Aptos" w:hAnsi="Aptos"/>
          <w:szCs w:val="22"/>
        </w:rPr>
        <w:t>A.15</w:t>
      </w:r>
      <w:r w:rsidRPr="001921C2">
        <w:rPr>
          <w:rFonts w:ascii="Aptos" w:hAnsi="Aptos"/>
          <w:szCs w:val="22"/>
        </w:rPr>
        <w:tab/>
        <w:t>Explanation for Program Changes or Adjustments</w:t>
      </w:r>
      <w:r w:rsidRPr="001921C2">
        <w:rPr>
          <w:rFonts w:ascii="Aptos" w:hAnsi="Aptos"/>
          <w:szCs w:val="22"/>
        </w:rPr>
        <w:tab/>
      </w:r>
    </w:p>
    <w:p w:rsidR="003E6990" w:rsidRPr="001921C2" w:rsidP="003E6990" w14:paraId="19AE9C43" w14:textId="216BD3E1">
      <w:pPr>
        <w:pStyle w:val="P1-StandPara"/>
        <w:ind w:firstLine="0"/>
        <w:rPr>
          <w:rFonts w:ascii="Aptos" w:hAnsi="Aptos"/>
          <w:szCs w:val="22"/>
        </w:rPr>
      </w:pPr>
      <w:r w:rsidRPr="001921C2">
        <w:rPr>
          <w:rFonts w:ascii="Aptos" w:hAnsi="Aptos"/>
          <w:szCs w:val="22"/>
        </w:rPr>
        <w:t>A.1</w:t>
      </w:r>
      <w:r w:rsidR="00110944">
        <w:rPr>
          <w:rFonts w:ascii="Aptos" w:hAnsi="Aptos"/>
          <w:szCs w:val="22"/>
        </w:rPr>
        <w:t>6</w:t>
      </w:r>
      <w:r w:rsidRPr="001921C2">
        <w:rPr>
          <w:rFonts w:ascii="Aptos" w:hAnsi="Aptos"/>
          <w:szCs w:val="22"/>
        </w:rPr>
        <w:tab/>
        <w:t>Reason(s) Display of OMB Expiration Date is Inappropriate</w:t>
      </w:r>
      <w:r w:rsidRPr="001921C2">
        <w:rPr>
          <w:rFonts w:ascii="Aptos" w:hAnsi="Aptos"/>
          <w:szCs w:val="22"/>
        </w:rPr>
        <w:tab/>
      </w:r>
    </w:p>
    <w:p w:rsidR="003E6990" w:rsidRPr="001921C2" w:rsidP="003E6990" w14:paraId="5AAD7BA6" w14:textId="1A4883AE">
      <w:pPr>
        <w:pStyle w:val="P1-StandPara"/>
        <w:ind w:firstLine="0"/>
        <w:rPr>
          <w:rFonts w:ascii="Aptos" w:hAnsi="Aptos"/>
          <w:szCs w:val="22"/>
        </w:rPr>
      </w:pPr>
      <w:r w:rsidRPr="001921C2">
        <w:rPr>
          <w:rFonts w:ascii="Aptos" w:hAnsi="Aptos"/>
          <w:szCs w:val="22"/>
        </w:rPr>
        <w:t>A.1</w:t>
      </w:r>
      <w:r w:rsidR="00110944">
        <w:rPr>
          <w:rFonts w:ascii="Aptos" w:hAnsi="Aptos"/>
          <w:szCs w:val="22"/>
        </w:rPr>
        <w:t>7</w:t>
      </w:r>
      <w:r w:rsidRPr="001921C2">
        <w:rPr>
          <w:rFonts w:ascii="Aptos" w:hAnsi="Aptos"/>
          <w:szCs w:val="22"/>
        </w:rPr>
        <w:tab/>
        <w:t>Exceptions to Certification for Paperwork Reduction Act Submissions</w:t>
      </w:r>
      <w:r w:rsidRPr="001921C2">
        <w:rPr>
          <w:rFonts w:ascii="Aptos" w:hAnsi="Aptos"/>
          <w:szCs w:val="22"/>
        </w:rPr>
        <w:tab/>
      </w:r>
    </w:p>
    <w:p w:rsidR="00EC6EAC" w:rsidRPr="001921C2" w:rsidP="00712FC4" w14:paraId="295336EE" w14:textId="479B0A51">
      <w:pPr>
        <w:pStyle w:val="P1-StandPara"/>
        <w:tabs>
          <w:tab w:val="left" w:pos="720"/>
          <w:tab w:val="right" w:leader="dot" w:pos="9504"/>
        </w:tabs>
        <w:spacing w:before="120" w:after="120" w:line="240" w:lineRule="auto"/>
        <w:ind w:firstLine="0"/>
        <w:rPr>
          <w:rFonts w:ascii="Aptos" w:hAnsi="Aptos"/>
          <w:b/>
          <w:sz w:val="24"/>
          <w:szCs w:val="24"/>
          <w:u w:val="single"/>
        </w:rPr>
      </w:pPr>
      <w:r w:rsidRPr="001921C2">
        <w:rPr>
          <w:rFonts w:ascii="Aptos" w:hAnsi="Aptos"/>
          <w:b/>
          <w:sz w:val="24"/>
          <w:szCs w:val="24"/>
          <w:u w:val="single"/>
        </w:rPr>
        <w:t xml:space="preserve">Attachments </w:t>
      </w:r>
    </w:p>
    <w:p w:rsidR="00B6681A" w:rsidRPr="001921C2" w:rsidP="00712FC4" w14:paraId="294C4FD5" w14:textId="32EE55B9">
      <w:pPr>
        <w:pStyle w:val="P1-StandPara"/>
        <w:tabs>
          <w:tab w:val="left" w:pos="720"/>
          <w:tab w:val="right" w:leader="dot" w:pos="9504"/>
        </w:tabs>
        <w:spacing w:before="120" w:after="120" w:line="240" w:lineRule="auto"/>
        <w:ind w:firstLine="0"/>
        <w:rPr>
          <w:rFonts w:ascii="Aptos" w:hAnsi="Aptos"/>
          <w:sz w:val="24"/>
          <w:szCs w:val="24"/>
        </w:rPr>
      </w:pPr>
      <w:r w:rsidRPr="001921C2" w:rsidR="00FF5B1D">
        <w:rPr>
          <w:rFonts w:ascii="Aptos" w:hAnsi="Aptos"/>
          <w:sz w:val="24"/>
          <w:szCs w:val="24"/>
        </w:rPr>
        <w:t xml:space="preserve">Attachment </w:t>
      </w:r>
      <w:r w:rsidR="00241DC0">
        <w:rPr>
          <w:rFonts w:ascii="Aptos" w:hAnsi="Aptos"/>
          <w:sz w:val="24"/>
          <w:szCs w:val="24"/>
        </w:rPr>
        <w:t>1</w:t>
      </w:r>
      <w:r w:rsidRPr="001921C2" w:rsidR="00FF5B1D">
        <w:rPr>
          <w:rFonts w:ascii="Aptos" w:hAnsi="Aptos"/>
          <w:sz w:val="24"/>
          <w:szCs w:val="24"/>
        </w:rPr>
        <w:t xml:space="preserve"> </w:t>
      </w:r>
      <w:r w:rsidRPr="001921C2" w:rsidR="00DF4403">
        <w:rPr>
          <w:rFonts w:ascii="Aptos" w:hAnsi="Aptos"/>
          <w:sz w:val="24"/>
          <w:szCs w:val="24"/>
        </w:rPr>
        <w:t>–</w:t>
      </w:r>
      <w:r w:rsidR="00B8618F">
        <w:rPr>
          <w:rFonts w:ascii="Aptos" w:hAnsi="Aptos"/>
          <w:sz w:val="24"/>
          <w:szCs w:val="24"/>
        </w:rPr>
        <w:t xml:space="preserve"> NIH </w:t>
      </w:r>
      <w:r w:rsidRPr="001B5AC3" w:rsidR="00650889">
        <w:rPr>
          <w:rFonts w:ascii="Aptos" w:hAnsi="Aptos"/>
          <w:sz w:val="24"/>
          <w:szCs w:val="24"/>
        </w:rPr>
        <w:t>Study Registration Information (SRI)</w:t>
      </w:r>
    </w:p>
    <w:p w:rsidR="00EC6EAC" w:rsidRPr="001921C2" w:rsidP="001B5AC3" w14:paraId="413B23E4" w14:textId="446FC52E">
      <w:pPr>
        <w:pStyle w:val="P1-StandPara"/>
        <w:tabs>
          <w:tab w:val="left" w:pos="720"/>
          <w:tab w:val="right" w:leader="dot" w:pos="9504"/>
        </w:tabs>
        <w:spacing w:before="120" w:after="120" w:line="240" w:lineRule="auto"/>
        <w:ind w:firstLine="0"/>
        <w:rPr>
          <w:rFonts w:ascii="Aptos" w:hAnsi="Aptos"/>
          <w:sz w:val="24"/>
          <w:szCs w:val="24"/>
        </w:rPr>
      </w:pPr>
      <w:r w:rsidRPr="001921C2">
        <w:rPr>
          <w:rFonts w:ascii="Aptos" w:hAnsi="Aptos"/>
          <w:sz w:val="24"/>
          <w:szCs w:val="24"/>
        </w:rPr>
        <w:t xml:space="preserve">Attachment </w:t>
      </w:r>
      <w:r w:rsidR="00241DC0">
        <w:rPr>
          <w:rFonts w:ascii="Aptos" w:hAnsi="Aptos"/>
          <w:sz w:val="24"/>
          <w:szCs w:val="24"/>
        </w:rPr>
        <w:t>2</w:t>
      </w:r>
      <w:r w:rsidRPr="001921C2" w:rsidR="007A7FA4">
        <w:rPr>
          <w:rFonts w:ascii="Aptos" w:hAnsi="Aptos"/>
          <w:sz w:val="24"/>
          <w:szCs w:val="24"/>
        </w:rPr>
        <w:t xml:space="preserve"> </w:t>
      </w:r>
      <w:r w:rsidRPr="001921C2">
        <w:rPr>
          <w:rFonts w:ascii="Aptos" w:hAnsi="Aptos"/>
          <w:sz w:val="24"/>
          <w:szCs w:val="24"/>
        </w:rPr>
        <w:t xml:space="preserve">– </w:t>
      </w:r>
      <w:r w:rsidRPr="001921C2" w:rsidR="00650889">
        <w:rPr>
          <w:rFonts w:ascii="Aptos" w:hAnsi="Aptos"/>
          <w:sz w:val="24"/>
          <w:szCs w:val="24"/>
        </w:rPr>
        <w:t>Data Submission Certification</w:t>
      </w:r>
    </w:p>
    <w:p w:rsidR="00EA199F" w:rsidP="00712FC4" w14:paraId="43C8799C" w14:textId="2929A5F5">
      <w:pPr>
        <w:pStyle w:val="P1-StandPara"/>
        <w:tabs>
          <w:tab w:val="left" w:pos="720"/>
          <w:tab w:val="right" w:leader="dot" w:pos="9504"/>
        </w:tabs>
        <w:spacing w:before="120" w:after="120" w:line="240" w:lineRule="auto"/>
        <w:ind w:firstLine="0"/>
        <w:rPr>
          <w:rFonts w:ascii="Aptos" w:hAnsi="Aptos"/>
          <w:sz w:val="24"/>
          <w:szCs w:val="24"/>
        </w:rPr>
      </w:pPr>
      <w:r w:rsidRPr="001921C2">
        <w:rPr>
          <w:rFonts w:ascii="Aptos" w:hAnsi="Aptos"/>
          <w:sz w:val="24"/>
          <w:szCs w:val="24"/>
        </w:rPr>
        <w:t xml:space="preserve">Attachment </w:t>
      </w:r>
      <w:r w:rsidR="00241DC0">
        <w:rPr>
          <w:rFonts w:ascii="Aptos" w:hAnsi="Aptos"/>
          <w:sz w:val="24"/>
          <w:szCs w:val="24"/>
        </w:rPr>
        <w:t>3</w:t>
      </w:r>
      <w:r w:rsidRPr="001921C2">
        <w:rPr>
          <w:rFonts w:ascii="Aptos" w:hAnsi="Aptos"/>
          <w:sz w:val="24"/>
          <w:szCs w:val="24"/>
        </w:rPr>
        <w:t xml:space="preserve"> – </w:t>
      </w:r>
      <w:r w:rsidR="00141459">
        <w:rPr>
          <w:rFonts w:ascii="Aptos" w:hAnsi="Aptos"/>
          <w:sz w:val="24"/>
          <w:szCs w:val="24"/>
        </w:rPr>
        <w:t>Institutional Certification</w:t>
      </w:r>
    </w:p>
    <w:p w:rsidR="003E219D" w:rsidP="00712FC4" w14:paraId="6F1C54E5" w14:textId="76D8062E">
      <w:pPr>
        <w:pStyle w:val="P1-StandPara"/>
        <w:tabs>
          <w:tab w:val="left" w:pos="720"/>
          <w:tab w:val="right" w:leader="dot" w:pos="9504"/>
        </w:tabs>
        <w:spacing w:before="120" w:after="120" w:line="240" w:lineRule="auto"/>
        <w:ind w:firstLine="0"/>
        <w:rPr>
          <w:rFonts w:ascii="Aptos" w:hAnsi="Aptos"/>
          <w:sz w:val="24"/>
          <w:szCs w:val="24"/>
        </w:rPr>
      </w:pPr>
      <w:r>
        <w:rPr>
          <w:rFonts w:ascii="Aptos" w:hAnsi="Aptos"/>
          <w:sz w:val="24"/>
          <w:szCs w:val="24"/>
        </w:rPr>
        <w:t>Attachment 4 –</w:t>
      </w:r>
      <w:r w:rsidR="00991D52">
        <w:rPr>
          <w:rFonts w:ascii="Aptos" w:hAnsi="Aptos"/>
          <w:sz w:val="24"/>
          <w:szCs w:val="24"/>
        </w:rPr>
        <w:t xml:space="preserve"> </w:t>
      </w:r>
      <w:r w:rsidR="008304E6">
        <w:rPr>
          <w:rFonts w:ascii="Aptos" w:hAnsi="Aptos"/>
          <w:sz w:val="24"/>
          <w:szCs w:val="24"/>
        </w:rPr>
        <w:t>Legacy System – Registration and Data Submission</w:t>
      </w:r>
    </w:p>
    <w:p w:rsidR="00ED0CB6" w:rsidP="00712FC4" w14:paraId="4EAE28B3" w14:textId="6D62A943">
      <w:pPr>
        <w:pStyle w:val="P1-StandPara"/>
        <w:tabs>
          <w:tab w:val="left" w:pos="720"/>
          <w:tab w:val="right" w:leader="dot" w:pos="9504"/>
        </w:tabs>
        <w:spacing w:before="120" w:after="120" w:line="240" w:lineRule="auto"/>
        <w:ind w:firstLine="0"/>
        <w:rPr>
          <w:rFonts w:ascii="Aptos" w:hAnsi="Aptos"/>
          <w:sz w:val="24"/>
          <w:szCs w:val="24"/>
        </w:rPr>
      </w:pPr>
      <w:r>
        <w:rPr>
          <w:rFonts w:ascii="Aptos" w:hAnsi="Aptos"/>
          <w:sz w:val="24"/>
          <w:szCs w:val="24"/>
        </w:rPr>
        <w:t xml:space="preserve">Attachment 5 – Legacy System – </w:t>
      </w:r>
      <w:r w:rsidR="00B81374">
        <w:rPr>
          <w:rFonts w:ascii="Aptos" w:hAnsi="Aptos"/>
          <w:sz w:val="24"/>
          <w:szCs w:val="24"/>
        </w:rPr>
        <w:t>Authorized Access</w:t>
      </w:r>
    </w:p>
    <w:p w:rsidR="00ED0CB6" w:rsidP="00712FC4" w14:paraId="7F9DBDEA" w14:textId="117AC3AB">
      <w:pPr>
        <w:pStyle w:val="P1-StandPara"/>
        <w:tabs>
          <w:tab w:val="left" w:pos="720"/>
          <w:tab w:val="right" w:leader="dot" w:pos="9504"/>
        </w:tabs>
        <w:spacing w:before="120" w:after="120" w:line="240" w:lineRule="auto"/>
        <w:ind w:firstLine="0"/>
        <w:rPr>
          <w:rFonts w:ascii="Aptos" w:hAnsi="Aptos"/>
          <w:sz w:val="24"/>
          <w:szCs w:val="24"/>
        </w:rPr>
      </w:pPr>
      <w:r>
        <w:rPr>
          <w:rFonts w:ascii="Aptos" w:hAnsi="Aptos"/>
          <w:sz w:val="24"/>
          <w:szCs w:val="24"/>
        </w:rPr>
        <w:t>Attachment 6 – New System – Registration and Data Submission</w:t>
      </w:r>
    </w:p>
    <w:p w:rsidR="00B81374" w:rsidRPr="001921C2" w:rsidP="00712FC4" w14:paraId="2E5A77B1" w14:textId="55E7463F">
      <w:pPr>
        <w:pStyle w:val="P1-StandPara"/>
        <w:tabs>
          <w:tab w:val="left" w:pos="720"/>
          <w:tab w:val="right" w:leader="dot" w:pos="9504"/>
        </w:tabs>
        <w:spacing w:before="120" w:after="120" w:line="240" w:lineRule="auto"/>
        <w:ind w:firstLine="0"/>
        <w:rPr>
          <w:rFonts w:ascii="Aptos" w:hAnsi="Aptos"/>
          <w:sz w:val="24"/>
          <w:szCs w:val="24"/>
        </w:rPr>
      </w:pPr>
      <w:r>
        <w:rPr>
          <w:rFonts w:ascii="Aptos" w:hAnsi="Aptos"/>
          <w:sz w:val="24"/>
          <w:szCs w:val="24"/>
        </w:rPr>
        <w:t>Attachment 7 – New System – Authorized Access</w:t>
      </w:r>
    </w:p>
    <w:p w:rsidR="00DE46AC" w:rsidRPr="001921C2" w:rsidP="00712FC4" w14:paraId="7132277A" w14:textId="1DE14FBA">
      <w:pPr>
        <w:pStyle w:val="P1-StandPara"/>
        <w:tabs>
          <w:tab w:val="left" w:pos="720"/>
          <w:tab w:val="right" w:leader="dot" w:pos="9504"/>
        </w:tabs>
        <w:spacing w:before="120" w:after="120" w:line="240" w:lineRule="auto"/>
        <w:ind w:firstLine="0"/>
        <w:rPr>
          <w:rFonts w:ascii="Aptos" w:hAnsi="Aptos"/>
          <w:sz w:val="24"/>
          <w:szCs w:val="24"/>
        </w:rPr>
      </w:pPr>
      <w:r w:rsidRPr="001921C2">
        <w:rPr>
          <w:rFonts w:ascii="Aptos" w:hAnsi="Aptos"/>
          <w:sz w:val="24"/>
          <w:szCs w:val="24"/>
        </w:rPr>
        <w:t xml:space="preserve">Attachment </w:t>
      </w:r>
      <w:r w:rsidR="00580A94">
        <w:rPr>
          <w:rFonts w:ascii="Aptos" w:hAnsi="Aptos"/>
          <w:sz w:val="24"/>
          <w:szCs w:val="24"/>
        </w:rPr>
        <w:t>8</w:t>
      </w:r>
      <w:r w:rsidRPr="001921C2" w:rsidR="00EA199F">
        <w:rPr>
          <w:rFonts w:ascii="Aptos" w:hAnsi="Aptos"/>
          <w:sz w:val="24"/>
          <w:szCs w:val="24"/>
        </w:rPr>
        <w:t xml:space="preserve"> </w:t>
      </w:r>
      <w:r w:rsidRPr="001921C2">
        <w:rPr>
          <w:rFonts w:ascii="Aptos" w:hAnsi="Aptos"/>
          <w:sz w:val="24"/>
          <w:szCs w:val="24"/>
        </w:rPr>
        <w:t>– Privacy Impact Assessment</w:t>
      </w:r>
    </w:p>
    <w:p w:rsidR="00F32406" w:rsidRPr="001921C2" w14:paraId="26F6181E" w14:textId="77777777">
      <w:pPr>
        <w:rPr>
          <w:rFonts w:ascii="Aptos" w:eastAsia="Times New Roman" w:hAnsi="Aptos" w:cs="Times New Roman"/>
          <w:b/>
          <w:sz w:val="24"/>
          <w:szCs w:val="24"/>
        </w:rPr>
      </w:pPr>
      <w:r w:rsidRPr="001921C2">
        <w:rPr>
          <w:rFonts w:ascii="Aptos" w:hAnsi="Aptos"/>
          <w:b/>
          <w:sz w:val="24"/>
          <w:szCs w:val="24"/>
        </w:rPr>
        <w:br w:type="page"/>
      </w:r>
    </w:p>
    <w:p w:rsidR="00712FC4" w:rsidRPr="001921C2" w:rsidP="00712FC4" w14:paraId="79D63F61" w14:textId="4B9B7C23">
      <w:pPr>
        <w:pStyle w:val="P1-StandPara"/>
        <w:tabs>
          <w:tab w:val="left" w:pos="720"/>
          <w:tab w:val="right" w:leader="dot" w:pos="9504"/>
        </w:tabs>
        <w:spacing w:before="120" w:after="120" w:line="240" w:lineRule="auto"/>
        <w:ind w:firstLine="0"/>
        <w:rPr>
          <w:rFonts w:ascii="Aptos" w:hAnsi="Aptos"/>
          <w:sz w:val="24"/>
          <w:szCs w:val="24"/>
        </w:rPr>
      </w:pPr>
      <w:r w:rsidRPr="001921C2">
        <w:rPr>
          <w:rFonts w:ascii="Aptos" w:hAnsi="Aptos"/>
          <w:b/>
          <w:sz w:val="24"/>
          <w:szCs w:val="24"/>
        </w:rPr>
        <w:t xml:space="preserve">A. </w:t>
      </w:r>
      <w:r w:rsidRPr="001921C2" w:rsidR="00E42C50">
        <w:rPr>
          <w:rFonts w:ascii="Aptos" w:hAnsi="Aptos"/>
          <w:b/>
          <w:sz w:val="24"/>
          <w:szCs w:val="24"/>
        </w:rPr>
        <w:t>ABSTRACT</w:t>
      </w:r>
    </w:p>
    <w:p w:rsidR="007B0FD6" w:rsidRPr="001921C2" w:rsidP="007E3D11" w14:paraId="7E98FD81" w14:textId="61077C4E">
      <w:pPr>
        <w:rPr>
          <w:rFonts w:ascii="Aptos" w:hAnsi="Aptos" w:cs="Times New Roman"/>
          <w:sz w:val="24"/>
          <w:szCs w:val="24"/>
        </w:rPr>
      </w:pPr>
      <w:r w:rsidRPr="0005361E">
        <w:rPr>
          <w:rFonts w:ascii="Aptos" w:hAnsi="Aptos" w:cs="Times New Roman"/>
          <w:sz w:val="24"/>
          <w:szCs w:val="24"/>
          <w:highlight w:val="yellow"/>
        </w:rPr>
        <w:t xml:space="preserve">This application is for a revision to an existing Office of Management and Budget (OMB) approved collection of information, 0925-0670, to continue supporting </w:t>
      </w:r>
      <w:r w:rsidRPr="0005361E" w:rsidR="00E6396A">
        <w:rPr>
          <w:rFonts w:ascii="Aptos" w:hAnsi="Aptos" w:cs="Times New Roman"/>
          <w:sz w:val="24"/>
          <w:szCs w:val="24"/>
          <w:highlight w:val="yellow"/>
        </w:rPr>
        <w:t>the National Institute of Health’s (</w:t>
      </w:r>
      <w:r w:rsidRPr="0005361E">
        <w:rPr>
          <w:rFonts w:ascii="Aptos" w:hAnsi="Aptos" w:cs="Times New Roman"/>
          <w:sz w:val="24"/>
          <w:szCs w:val="24"/>
          <w:highlight w:val="yellow"/>
        </w:rPr>
        <w:t>NIH’s</w:t>
      </w:r>
      <w:r w:rsidRPr="0005361E" w:rsidR="00E6396A">
        <w:rPr>
          <w:rFonts w:ascii="Aptos" w:hAnsi="Aptos" w:cs="Times New Roman"/>
          <w:sz w:val="24"/>
          <w:szCs w:val="24"/>
          <w:highlight w:val="yellow"/>
        </w:rPr>
        <w:t>)</w:t>
      </w:r>
      <w:r w:rsidRPr="0005361E">
        <w:rPr>
          <w:rFonts w:ascii="Aptos" w:hAnsi="Aptos" w:cs="Times New Roman"/>
          <w:sz w:val="24"/>
          <w:szCs w:val="24"/>
          <w:highlight w:val="yellow"/>
        </w:rPr>
        <w:t xml:space="preserve"> goals for </w:t>
      </w:r>
      <w:r w:rsidRPr="0005361E">
        <w:rPr>
          <w:rFonts w:ascii="Aptos" w:hAnsi="Aptos" w:cs="Times New Roman"/>
          <w:sz w:val="24"/>
          <w:szCs w:val="24"/>
          <w:highlight w:val="yellow"/>
        </w:rPr>
        <w:t>sharing of</w:t>
      </w:r>
      <w:r w:rsidRPr="0005361E">
        <w:rPr>
          <w:rFonts w:ascii="Aptos" w:hAnsi="Aptos" w:cs="Times New Roman"/>
          <w:sz w:val="24"/>
          <w:szCs w:val="24"/>
          <w:highlight w:val="yellow"/>
        </w:rPr>
        <w:t xml:space="preserve"> </w:t>
      </w:r>
      <w:r w:rsidRPr="0005361E" w:rsidR="00196F9E">
        <w:rPr>
          <w:rFonts w:ascii="Aptos" w:hAnsi="Aptos" w:cs="Times New Roman"/>
          <w:sz w:val="24"/>
          <w:szCs w:val="24"/>
          <w:highlight w:val="yellow"/>
        </w:rPr>
        <w:t xml:space="preserve">controlled-access genomic and associated </w:t>
      </w:r>
      <w:r w:rsidRPr="0005361E">
        <w:rPr>
          <w:rFonts w:ascii="Aptos" w:hAnsi="Aptos" w:cs="Times New Roman"/>
          <w:sz w:val="24"/>
          <w:szCs w:val="24"/>
          <w:highlight w:val="yellow"/>
        </w:rPr>
        <w:t>data and HHS goals of enhancing data sharing</w:t>
      </w:r>
      <w:r w:rsidRPr="0005361E" w:rsidR="0005361E">
        <w:rPr>
          <w:rFonts w:ascii="Aptos" w:hAnsi="Aptos" w:cs="Times New Roman"/>
          <w:sz w:val="24"/>
          <w:szCs w:val="24"/>
          <w:highlight w:val="yellow"/>
        </w:rPr>
        <w:t>.</w:t>
      </w:r>
      <w:r>
        <w:rPr>
          <w:rFonts w:ascii="Aptos" w:hAnsi="Aptos" w:cs="Times New Roman"/>
          <w:sz w:val="24"/>
          <w:szCs w:val="24"/>
        </w:rPr>
        <w:t xml:space="preserve"> </w:t>
      </w:r>
      <w:r w:rsidRPr="001921C2">
        <w:rPr>
          <w:rFonts w:ascii="Aptos" w:hAnsi="Aptos" w:cs="Times New Roman"/>
          <w:sz w:val="24"/>
          <w:szCs w:val="24"/>
        </w:rPr>
        <w:t xml:space="preserve">The </w:t>
      </w:r>
      <w:r w:rsidRPr="001921C2" w:rsidR="00253CEA">
        <w:rPr>
          <w:rFonts w:ascii="Aptos" w:hAnsi="Aptos" w:cs="Times New Roman"/>
          <w:sz w:val="24"/>
          <w:szCs w:val="24"/>
        </w:rPr>
        <w:t xml:space="preserve">updates to </w:t>
      </w:r>
      <w:r w:rsidRPr="001921C2">
        <w:rPr>
          <w:rFonts w:ascii="Aptos" w:hAnsi="Aptos" w:cs="Times New Roman"/>
          <w:sz w:val="24"/>
          <w:szCs w:val="24"/>
        </w:rPr>
        <w:t xml:space="preserve">online forms </w:t>
      </w:r>
      <w:r w:rsidRPr="001921C2" w:rsidR="0091004F">
        <w:rPr>
          <w:rFonts w:ascii="Aptos" w:hAnsi="Aptos" w:cs="Times New Roman"/>
          <w:sz w:val="24"/>
          <w:szCs w:val="24"/>
        </w:rPr>
        <w:t>and web</w:t>
      </w:r>
      <w:r w:rsidRPr="001921C2" w:rsidR="001C0378">
        <w:rPr>
          <w:rFonts w:ascii="Aptos" w:hAnsi="Aptos" w:cs="Times New Roman"/>
          <w:sz w:val="24"/>
          <w:szCs w:val="24"/>
        </w:rPr>
        <w:t xml:space="preserve"> </w:t>
      </w:r>
      <w:r w:rsidRPr="001921C2" w:rsidR="00DF4E02">
        <w:rPr>
          <w:rFonts w:ascii="Aptos" w:hAnsi="Aptos" w:cs="Times New Roman"/>
          <w:sz w:val="24"/>
          <w:szCs w:val="24"/>
        </w:rPr>
        <w:t>interfaces</w:t>
      </w:r>
      <w:r w:rsidRPr="001921C2" w:rsidR="001C0378">
        <w:rPr>
          <w:rFonts w:ascii="Aptos" w:hAnsi="Aptos" w:cs="Times New Roman"/>
          <w:sz w:val="24"/>
          <w:szCs w:val="24"/>
        </w:rPr>
        <w:t xml:space="preserve"> </w:t>
      </w:r>
      <w:r w:rsidRPr="001921C2">
        <w:rPr>
          <w:rFonts w:ascii="Aptos" w:hAnsi="Aptos" w:cs="Times New Roman"/>
          <w:sz w:val="24"/>
          <w:szCs w:val="24"/>
        </w:rPr>
        <w:t xml:space="preserve">described in this document </w:t>
      </w:r>
      <w:r w:rsidR="003E76C9">
        <w:rPr>
          <w:rFonts w:ascii="Aptos" w:hAnsi="Aptos" w:cs="Times New Roman"/>
          <w:sz w:val="24"/>
          <w:szCs w:val="24"/>
        </w:rPr>
        <w:t xml:space="preserve">support </w:t>
      </w:r>
      <w:r w:rsidR="00E34F01">
        <w:rPr>
          <w:rFonts w:ascii="Aptos" w:hAnsi="Aptos" w:cs="Times New Roman"/>
          <w:sz w:val="24"/>
          <w:szCs w:val="24"/>
        </w:rPr>
        <w:t xml:space="preserve">enhanced </w:t>
      </w:r>
      <w:r w:rsidR="003E76C9">
        <w:rPr>
          <w:rFonts w:ascii="Aptos" w:hAnsi="Aptos" w:cs="Times New Roman"/>
          <w:sz w:val="24"/>
          <w:szCs w:val="24"/>
        </w:rPr>
        <w:t>data security procedures</w:t>
      </w:r>
      <w:r w:rsidR="006412D8">
        <w:rPr>
          <w:rFonts w:ascii="Aptos" w:hAnsi="Aptos" w:cs="Times New Roman"/>
          <w:sz w:val="24"/>
          <w:szCs w:val="24"/>
        </w:rPr>
        <w:t>, the modernization of</w:t>
      </w:r>
      <w:r w:rsidR="004B0618">
        <w:rPr>
          <w:rFonts w:ascii="Aptos" w:hAnsi="Aptos" w:cs="Times New Roman"/>
          <w:sz w:val="24"/>
          <w:szCs w:val="24"/>
        </w:rPr>
        <w:t xml:space="preserve"> the </w:t>
      </w:r>
      <w:r w:rsidR="004B0618">
        <w:rPr>
          <w:rFonts w:ascii="Aptos" w:hAnsi="Aptos" w:cs="Times New Roman"/>
          <w:sz w:val="24"/>
          <w:szCs w:val="24"/>
        </w:rPr>
        <w:t>dbGaP</w:t>
      </w:r>
      <w:r w:rsidR="004B0618">
        <w:rPr>
          <w:rFonts w:ascii="Aptos" w:hAnsi="Aptos" w:cs="Times New Roman"/>
          <w:sz w:val="24"/>
          <w:szCs w:val="24"/>
        </w:rPr>
        <w:t xml:space="preserve"> Authorized Access System, and </w:t>
      </w:r>
      <w:r w:rsidR="009C1B40">
        <w:rPr>
          <w:rFonts w:ascii="Aptos" w:hAnsi="Aptos" w:cs="Times New Roman"/>
          <w:sz w:val="24"/>
          <w:szCs w:val="24"/>
        </w:rPr>
        <w:t>the streamlining of the registration/submission system</w:t>
      </w:r>
      <w:r w:rsidRPr="001921C2">
        <w:rPr>
          <w:rFonts w:ascii="Aptos" w:hAnsi="Aptos" w:cs="Times New Roman"/>
          <w:sz w:val="24"/>
          <w:szCs w:val="24"/>
        </w:rPr>
        <w:t xml:space="preserve">. </w:t>
      </w:r>
    </w:p>
    <w:p w:rsidR="00CD5238" w:rsidP="007E3D11" w14:paraId="032369C7" w14:textId="77777777">
      <w:pPr>
        <w:rPr>
          <w:rFonts w:ascii="Aptos" w:hAnsi="Aptos" w:cs="Times New Roman"/>
          <w:sz w:val="24"/>
          <w:szCs w:val="24"/>
        </w:rPr>
      </w:pPr>
      <w:r w:rsidRPr="00574708">
        <w:rPr>
          <w:rFonts w:ascii="Aptos" w:hAnsi="Aptos" w:cs="Times New Roman"/>
          <w:sz w:val="24"/>
          <w:szCs w:val="24"/>
        </w:rPr>
        <w:t>Sharing research data is integral to the mission of the NIH as it advances understanding of factors that influence health and disease, while also providing opportunities to accelerate research through the power of combining large, information-rich datasets. To promote robust sharing of human and non-human genomic data from a wide range of large-scale genomic research, and to provide appropriate protections for research involving human data, the NIH issued the Genomic Data Sharing (GDS) Policy</w:t>
      </w:r>
      <w:r w:rsidR="00DA7CA8">
        <w:rPr>
          <w:rFonts w:ascii="Aptos" w:hAnsi="Aptos" w:cs="Times New Roman"/>
          <w:sz w:val="24"/>
          <w:szCs w:val="24"/>
        </w:rPr>
        <w:t xml:space="preserve"> (</w:t>
      </w:r>
      <w:hyperlink r:id="rId9" w:history="1">
        <w:r w:rsidRPr="00CD5238" w:rsidR="008C339E">
          <w:rPr>
            <w:rStyle w:val="Hyperlink"/>
            <w:rFonts w:ascii="Aptos" w:hAnsi="Aptos" w:cs="Times New Roman"/>
            <w:sz w:val="24"/>
            <w:szCs w:val="24"/>
          </w:rPr>
          <w:t>NOT-OD-14-124</w:t>
        </w:r>
      </w:hyperlink>
      <w:r>
        <w:rPr>
          <w:rFonts w:ascii="Aptos" w:hAnsi="Aptos" w:cs="Times New Roman"/>
          <w:sz w:val="24"/>
          <w:szCs w:val="24"/>
        </w:rPr>
        <w:t>)</w:t>
      </w:r>
      <w:r w:rsidRPr="00574708">
        <w:rPr>
          <w:rFonts w:ascii="Aptos" w:hAnsi="Aptos" w:cs="Times New Roman"/>
          <w:sz w:val="24"/>
          <w:szCs w:val="24"/>
        </w:rPr>
        <w:t>.  The NIH GDS Policy applies to NIH-funded research that generates large-scale human or non-human genomic data as well as the use of these data for subsequent research.</w:t>
      </w:r>
    </w:p>
    <w:p w:rsidR="008F6DF2" w:rsidP="007E3D11" w14:paraId="501F1B1D" w14:textId="2EF94FB2">
      <w:pPr>
        <w:rPr>
          <w:rFonts w:ascii="Aptos" w:hAnsi="Aptos" w:cs="Times New Roman"/>
          <w:sz w:val="24"/>
          <w:szCs w:val="24"/>
        </w:rPr>
      </w:pPr>
      <w:r w:rsidRPr="002A2990">
        <w:rPr>
          <w:rFonts w:ascii="Aptos" w:hAnsi="Aptos" w:cs="Times New Roman"/>
          <w:sz w:val="24"/>
          <w:szCs w:val="24"/>
          <w:highlight w:val="yellow"/>
        </w:rPr>
        <w:t>The NIH GDS Policy expects l</w:t>
      </w:r>
      <w:r w:rsidRPr="002A2990" w:rsidR="001B609A">
        <w:rPr>
          <w:rFonts w:ascii="Aptos" w:hAnsi="Aptos" w:cs="Times New Roman"/>
          <w:sz w:val="24"/>
          <w:szCs w:val="24"/>
          <w:highlight w:val="yellow"/>
        </w:rPr>
        <w:t xml:space="preserve">arge-scale human genomic </w:t>
      </w:r>
      <w:r w:rsidRPr="002A2990" w:rsidR="00006BCB">
        <w:rPr>
          <w:rFonts w:ascii="Aptos" w:hAnsi="Aptos" w:cs="Times New Roman"/>
          <w:sz w:val="24"/>
          <w:szCs w:val="24"/>
          <w:highlight w:val="yellow"/>
        </w:rPr>
        <w:t xml:space="preserve">and associated </w:t>
      </w:r>
      <w:r w:rsidRPr="002A2990" w:rsidR="001B609A">
        <w:rPr>
          <w:rFonts w:ascii="Aptos" w:hAnsi="Aptos" w:cs="Times New Roman"/>
          <w:sz w:val="24"/>
          <w:szCs w:val="24"/>
          <w:highlight w:val="yellow"/>
        </w:rPr>
        <w:t>data generated using NIH</w:t>
      </w:r>
      <w:r w:rsidRPr="002A2990">
        <w:rPr>
          <w:rFonts w:ascii="Aptos" w:hAnsi="Aptos" w:cs="Times New Roman"/>
          <w:sz w:val="24"/>
          <w:szCs w:val="24"/>
          <w:highlight w:val="yellow"/>
        </w:rPr>
        <w:t xml:space="preserve"> funds to be submitted to a</w:t>
      </w:r>
      <w:r w:rsidRPr="002A2990" w:rsidR="00571644">
        <w:rPr>
          <w:rFonts w:ascii="Aptos" w:hAnsi="Aptos" w:cs="Times New Roman"/>
          <w:sz w:val="24"/>
          <w:szCs w:val="24"/>
          <w:highlight w:val="yellow"/>
        </w:rPr>
        <w:t>n</w:t>
      </w:r>
      <w:r w:rsidRPr="002A2990">
        <w:rPr>
          <w:rFonts w:ascii="Aptos" w:hAnsi="Aptos" w:cs="Times New Roman"/>
          <w:sz w:val="24"/>
          <w:szCs w:val="24"/>
          <w:highlight w:val="yellow"/>
        </w:rPr>
        <w:t xml:space="preserve"> NIH-designated repository</w:t>
      </w:r>
      <w:r w:rsidRPr="002A2990" w:rsidR="003B6B48">
        <w:rPr>
          <w:rFonts w:ascii="Aptos" w:hAnsi="Aptos" w:cs="Times New Roman"/>
          <w:sz w:val="24"/>
          <w:szCs w:val="24"/>
          <w:highlight w:val="yellow"/>
        </w:rPr>
        <w:t xml:space="preserve">, </w:t>
      </w:r>
      <w:r w:rsidRPr="002A2990" w:rsidR="003C6BFE">
        <w:rPr>
          <w:rFonts w:ascii="Aptos" w:hAnsi="Aptos" w:cs="Times New Roman"/>
          <w:sz w:val="24"/>
          <w:szCs w:val="24"/>
          <w:highlight w:val="yellow"/>
        </w:rPr>
        <w:t>which is a</w:t>
      </w:r>
      <w:r w:rsidRPr="002A2990" w:rsidR="00571644">
        <w:rPr>
          <w:rFonts w:ascii="Aptos" w:hAnsi="Aptos" w:cs="Times New Roman"/>
          <w:sz w:val="24"/>
          <w:szCs w:val="24"/>
          <w:highlight w:val="yellow"/>
        </w:rPr>
        <w:t>n</w:t>
      </w:r>
      <w:r w:rsidRPr="002A2990" w:rsidR="003C6BFE">
        <w:rPr>
          <w:rFonts w:ascii="Aptos" w:hAnsi="Aptos" w:cs="Times New Roman"/>
          <w:sz w:val="24"/>
          <w:szCs w:val="24"/>
          <w:highlight w:val="yellow"/>
        </w:rPr>
        <w:t xml:space="preserve"> NIH </w:t>
      </w:r>
      <w:r w:rsidRPr="002A2990" w:rsidR="007552E5">
        <w:rPr>
          <w:rFonts w:ascii="Aptos" w:hAnsi="Aptos" w:cs="Times New Roman"/>
          <w:sz w:val="24"/>
          <w:szCs w:val="24"/>
          <w:highlight w:val="yellow"/>
        </w:rPr>
        <w:t>Controlled-Access Data Repository (</w:t>
      </w:r>
      <w:hyperlink r:id="rId10" w:history="1">
        <w:r w:rsidRPr="002A2990" w:rsidR="007552E5">
          <w:rPr>
            <w:rStyle w:val="Hyperlink"/>
            <w:rFonts w:ascii="Aptos" w:hAnsi="Aptos" w:cs="Times New Roman"/>
            <w:sz w:val="24"/>
            <w:szCs w:val="24"/>
            <w:highlight w:val="yellow"/>
          </w:rPr>
          <w:t>CADR</w:t>
        </w:r>
      </w:hyperlink>
      <w:r w:rsidRPr="002A2990" w:rsidR="007552E5">
        <w:rPr>
          <w:rFonts w:ascii="Aptos" w:hAnsi="Aptos" w:cs="Times New Roman"/>
          <w:sz w:val="24"/>
          <w:szCs w:val="24"/>
          <w:highlight w:val="yellow"/>
        </w:rPr>
        <w:t>)</w:t>
      </w:r>
      <w:r w:rsidRPr="002A2990" w:rsidR="008A5AA8">
        <w:rPr>
          <w:rFonts w:ascii="Aptos" w:hAnsi="Aptos" w:cs="Times New Roman"/>
          <w:sz w:val="24"/>
          <w:szCs w:val="24"/>
          <w:highlight w:val="yellow"/>
        </w:rPr>
        <w:t>.</w:t>
      </w:r>
      <w:r w:rsidR="008A5AA8">
        <w:rPr>
          <w:rFonts w:ascii="Aptos" w:hAnsi="Aptos" w:cs="Times New Roman"/>
          <w:sz w:val="24"/>
          <w:szCs w:val="24"/>
        </w:rPr>
        <w:t xml:space="preserve"> As a part of that submission</w:t>
      </w:r>
      <w:r w:rsidR="00295351">
        <w:rPr>
          <w:rFonts w:ascii="Aptos" w:hAnsi="Aptos" w:cs="Times New Roman"/>
          <w:sz w:val="24"/>
          <w:szCs w:val="24"/>
        </w:rPr>
        <w:t>,</w:t>
      </w:r>
      <w:r w:rsidR="007552E5">
        <w:rPr>
          <w:rFonts w:ascii="Aptos" w:hAnsi="Aptos" w:cs="Times New Roman"/>
          <w:sz w:val="24"/>
          <w:szCs w:val="24"/>
        </w:rPr>
        <w:t xml:space="preserve"> the submitting institution </w:t>
      </w:r>
      <w:r w:rsidR="00920F6F">
        <w:rPr>
          <w:rFonts w:ascii="Aptos" w:hAnsi="Aptos" w:cs="Times New Roman"/>
          <w:sz w:val="24"/>
          <w:szCs w:val="24"/>
        </w:rPr>
        <w:t>certifies</w:t>
      </w:r>
      <w:r w:rsidR="007552E5">
        <w:rPr>
          <w:rFonts w:ascii="Aptos" w:hAnsi="Aptos" w:cs="Times New Roman"/>
          <w:sz w:val="24"/>
          <w:szCs w:val="24"/>
        </w:rPr>
        <w:t xml:space="preserve"> to NIH that the data are appropriate to share</w:t>
      </w:r>
      <w:r w:rsidR="00C2386B">
        <w:rPr>
          <w:rFonts w:ascii="Aptos" w:hAnsi="Aptos" w:cs="Times New Roman"/>
          <w:sz w:val="24"/>
          <w:szCs w:val="24"/>
        </w:rPr>
        <w:t xml:space="preserve"> through the completion and submission of </w:t>
      </w:r>
      <w:r w:rsidR="00A83DA0">
        <w:rPr>
          <w:rFonts w:ascii="Aptos" w:hAnsi="Aptos" w:cs="Times New Roman"/>
          <w:sz w:val="24"/>
          <w:szCs w:val="24"/>
        </w:rPr>
        <w:t>data submission form</w:t>
      </w:r>
      <w:r w:rsidR="00C2386B">
        <w:rPr>
          <w:rFonts w:ascii="Aptos" w:hAnsi="Aptos" w:cs="Times New Roman"/>
          <w:sz w:val="24"/>
          <w:szCs w:val="24"/>
        </w:rPr>
        <w:t>.</w:t>
      </w:r>
      <w:r w:rsidR="007E11A0">
        <w:rPr>
          <w:rFonts w:ascii="Aptos" w:hAnsi="Aptos" w:cs="Times New Roman"/>
          <w:sz w:val="24"/>
          <w:szCs w:val="24"/>
        </w:rPr>
        <w:t xml:space="preserve"> </w:t>
      </w:r>
      <w:r w:rsidR="00B207A3">
        <w:rPr>
          <w:rFonts w:ascii="Aptos" w:hAnsi="Aptos" w:cs="Times New Roman"/>
          <w:sz w:val="24"/>
          <w:szCs w:val="24"/>
        </w:rPr>
        <w:t xml:space="preserve">The data are then made available for secondary research use to qualified </w:t>
      </w:r>
      <w:r w:rsidR="003E30EF">
        <w:rPr>
          <w:rFonts w:ascii="Aptos" w:hAnsi="Aptos" w:cs="Times New Roman"/>
          <w:sz w:val="24"/>
          <w:szCs w:val="24"/>
        </w:rPr>
        <w:t>Principal Investigators</w:t>
      </w:r>
      <w:r w:rsidR="00B207A3">
        <w:rPr>
          <w:rFonts w:ascii="Aptos" w:hAnsi="Aptos" w:cs="Times New Roman"/>
          <w:sz w:val="24"/>
          <w:szCs w:val="24"/>
        </w:rPr>
        <w:t xml:space="preserve"> and their institutions</w:t>
      </w:r>
      <w:r w:rsidR="00217126">
        <w:rPr>
          <w:rFonts w:ascii="Aptos" w:hAnsi="Aptos" w:cs="Times New Roman"/>
          <w:sz w:val="24"/>
          <w:szCs w:val="24"/>
        </w:rPr>
        <w:t xml:space="preserve"> after </w:t>
      </w:r>
      <w:r w:rsidR="005711ED">
        <w:rPr>
          <w:rFonts w:ascii="Aptos" w:hAnsi="Aptos" w:cs="Times New Roman"/>
          <w:sz w:val="24"/>
          <w:szCs w:val="24"/>
        </w:rPr>
        <w:t>submission of</w:t>
      </w:r>
      <w:r w:rsidR="00217126">
        <w:rPr>
          <w:rFonts w:ascii="Aptos" w:hAnsi="Aptos" w:cs="Times New Roman"/>
          <w:sz w:val="24"/>
          <w:szCs w:val="24"/>
        </w:rPr>
        <w:t xml:space="preserve"> a Data Access Request (D</w:t>
      </w:r>
      <w:r w:rsidR="00D35FF7">
        <w:rPr>
          <w:rFonts w:ascii="Aptos" w:hAnsi="Aptos" w:cs="Times New Roman"/>
          <w:sz w:val="24"/>
          <w:szCs w:val="24"/>
        </w:rPr>
        <w:t>AR)</w:t>
      </w:r>
      <w:r w:rsidR="00A501FF">
        <w:rPr>
          <w:rFonts w:ascii="Aptos" w:hAnsi="Aptos" w:cs="Times New Roman"/>
          <w:sz w:val="24"/>
          <w:szCs w:val="24"/>
        </w:rPr>
        <w:t xml:space="preserve"> </w:t>
      </w:r>
      <w:r w:rsidR="00B176EA">
        <w:rPr>
          <w:rFonts w:ascii="Aptos" w:hAnsi="Aptos" w:cs="Times New Roman"/>
          <w:sz w:val="24"/>
          <w:szCs w:val="24"/>
        </w:rPr>
        <w:t>to</w:t>
      </w:r>
      <w:r w:rsidR="00A501FF">
        <w:rPr>
          <w:rFonts w:ascii="Aptos" w:hAnsi="Aptos" w:cs="Times New Roman"/>
          <w:sz w:val="24"/>
          <w:szCs w:val="24"/>
        </w:rPr>
        <w:t xml:space="preserve"> </w:t>
      </w:r>
      <w:r w:rsidR="00F679FB">
        <w:rPr>
          <w:rFonts w:ascii="Aptos" w:hAnsi="Aptos" w:cs="Times New Roman"/>
          <w:sz w:val="24"/>
          <w:szCs w:val="24"/>
        </w:rPr>
        <w:t>the</w:t>
      </w:r>
      <w:r w:rsidR="00273020">
        <w:rPr>
          <w:rFonts w:ascii="Aptos" w:hAnsi="Aptos" w:cs="Times New Roman"/>
          <w:sz w:val="24"/>
          <w:szCs w:val="24"/>
        </w:rPr>
        <w:t xml:space="preserve"> </w:t>
      </w:r>
      <w:r w:rsidR="00A501FF">
        <w:rPr>
          <w:rFonts w:ascii="Aptos" w:hAnsi="Aptos" w:cs="Times New Roman"/>
          <w:sz w:val="24"/>
          <w:szCs w:val="24"/>
        </w:rPr>
        <w:t>NIH Data Access Committee (DAC)</w:t>
      </w:r>
      <w:r w:rsidR="00B176EA">
        <w:rPr>
          <w:rFonts w:ascii="Aptos" w:hAnsi="Aptos" w:cs="Times New Roman"/>
          <w:sz w:val="24"/>
          <w:szCs w:val="24"/>
        </w:rPr>
        <w:t xml:space="preserve"> for review and approval</w:t>
      </w:r>
      <w:r w:rsidR="00253963">
        <w:rPr>
          <w:rFonts w:ascii="Aptos" w:hAnsi="Aptos" w:cs="Times New Roman"/>
          <w:sz w:val="24"/>
          <w:szCs w:val="24"/>
        </w:rPr>
        <w:t xml:space="preserve">. </w:t>
      </w:r>
    </w:p>
    <w:p w:rsidR="008E0B52" w:rsidRPr="001921C2" w:rsidP="007E3D11" w14:paraId="25601E4F" w14:textId="0D5FA65E">
      <w:pPr>
        <w:rPr>
          <w:rFonts w:ascii="Aptos" w:hAnsi="Aptos" w:cs="Times New Roman"/>
          <w:sz w:val="24"/>
          <w:szCs w:val="24"/>
        </w:rPr>
      </w:pPr>
      <w:r>
        <w:rPr>
          <w:rFonts w:ascii="Aptos" w:hAnsi="Aptos" w:cs="Times New Roman"/>
          <w:sz w:val="24"/>
          <w:szCs w:val="24"/>
        </w:rPr>
        <w:t xml:space="preserve">The </w:t>
      </w:r>
      <w:r w:rsidR="005B03CC">
        <w:rPr>
          <w:rFonts w:ascii="Aptos" w:hAnsi="Aptos" w:cs="Times New Roman"/>
          <w:sz w:val="24"/>
          <w:szCs w:val="24"/>
        </w:rPr>
        <w:t>database of Genotypes and Phenotypes (</w:t>
      </w:r>
      <w:r w:rsidR="005B03CC">
        <w:rPr>
          <w:rFonts w:ascii="Aptos" w:hAnsi="Aptos" w:cs="Times New Roman"/>
          <w:sz w:val="24"/>
          <w:szCs w:val="24"/>
        </w:rPr>
        <w:t>dbGaP</w:t>
      </w:r>
      <w:r w:rsidR="005B03CC">
        <w:rPr>
          <w:rFonts w:ascii="Aptos" w:hAnsi="Aptos" w:cs="Times New Roman"/>
          <w:sz w:val="24"/>
          <w:szCs w:val="24"/>
        </w:rPr>
        <w:t xml:space="preserve">), </w:t>
      </w:r>
      <w:r w:rsidR="006962F7">
        <w:rPr>
          <w:rFonts w:ascii="Aptos" w:hAnsi="Aptos" w:cs="Times New Roman"/>
          <w:sz w:val="24"/>
          <w:szCs w:val="24"/>
        </w:rPr>
        <w:t>administered</w:t>
      </w:r>
      <w:r w:rsidR="00B022CB">
        <w:rPr>
          <w:rFonts w:ascii="Aptos" w:hAnsi="Aptos" w:cs="Times New Roman"/>
          <w:sz w:val="24"/>
          <w:szCs w:val="24"/>
        </w:rPr>
        <w:t xml:space="preserve"> by the National Library of Medicine</w:t>
      </w:r>
      <w:r w:rsidR="00D85B03">
        <w:rPr>
          <w:rFonts w:ascii="Aptos" w:hAnsi="Aptos" w:cs="Times New Roman"/>
          <w:sz w:val="24"/>
          <w:szCs w:val="24"/>
        </w:rPr>
        <w:t xml:space="preserve"> (NLM)</w:t>
      </w:r>
      <w:r w:rsidR="00B022CB">
        <w:rPr>
          <w:rFonts w:ascii="Aptos" w:hAnsi="Aptos" w:cs="Times New Roman"/>
          <w:sz w:val="24"/>
          <w:szCs w:val="24"/>
        </w:rPr>
        <w:t>, the National Center for Biotechnology Information</w:t>
      </w:r>
      <w:r w:rsidR="00D85B03">
        <w:rPr>
          <w:rFonts w:ascii="Aptos" w:hAnsi="Aptos" w:cs="Times New Roman"/>
          <w:sz w:val="24"/>
          <w:szCs w:val="24"/>
        </w:rPr>
        <w:t xml:space="preserve"> (NCBI)</w:t>
      </w:r>
      <w:r w:rsidR="006962F7">
        <w:rPr>
          <w:rFonts w:ascii="Aptos" w:hAnsi="Aptos" w:cs="Times New Roman"/>
          <w:sz w:val="24"/>
          <w:szCs w:val="24"/>
        </w:rPr>
        <w:t>,</w:t>
      </w:r>
      <w:r w:rsidR="00D85B03">
        <w:rPr>
          <w:rFonts w:ascii="Aptos" w:hAnsi="Aptos" w:cs="Times New Roman"/>
          <w:sz w:val="24"/>
          <w:szCs w:val="24"/>
        </w:rPr>
        <w:t xml:space="preserve"> is responsible for the </w:t>
      </w:r>
      <w:r>
        <w:rPr>
          <w:rFonts w:ascii="Aptos" w:hAnsi="Aptos" w:cs="Times New Roman"/>
          <w:sz w:val="24"/>
          <w:szCs w:val="24"/>
        </w:rPr>
        <w:t>management of data registration</w:t>
      </w:r>
      <w:r w:rsidR="00616F74">
        <w:rPr>
          <w:rFonts w:ascii="Aptos" w:hAnsi="Aptos" w:cs="Times New Roman"/>
          <w:sz w:val="24"/>
          <w:szCs w:val="24"/>
        </w:rPr>
        <w:t xml:space="preserve"> and submis</w:t>
      </w:r>
      <w:r>
        <w:rPr>
          <w:rFonts w:ascii="Aptos" w:hAnsi="Aptos" w:cs="Times New Roman"/>
          <w:sz w:val="24"/>
          <w:szCs w:val="24"/>
        </w:rPr>
        <w:t>sion</w:t>
      </w:r>
      <w:r w:rsidR="00192001">
        <w:rPr>
          <w:rFonts w:ascii="Aptos" w:hAnsi="Aptos" w:cs="Times New Roman"/>
          <w:sz w:val="24"/>
          <w:szCs w:val="24"/>
        </w:rPr>
        <w:t xml:space="preserve"> as a NIH-designated repository</w:t>
      </w:r>
      <w:r>
        <w:rPr>
          <w:rFonts w:ascii="Aptos" w:hAnsi="Aptos" w:cs="Times New Roman"/>
          <w:sz w:val="24"/>
          <w:szCs w:val="24"/>
        </w:rPr>
        <w:t xml:space="preserve">, </w:t>
      </w:r>
      <w:r w:rsidR="00616F74">
        <w:rPr>
          <w:rFonts w:ascii="Aptos" w:hAnsi="Aptos" w:cs="Times New Roman"/>
          <w:sz w:val="24"/>
          <w:szCs w:val="24"/>
        </w:rPr>
        <w:t>as well as for providing access to these data</w:t>
      </w:r>
      <w:r w:rsidR="00EE6CDD">
        <w:rPr>
          <w:rFonts w:ascii="Aptos" w:hAnsi="Aptos" w:cs="Times New Roman"/>
          <w:sz w:val="24"/>
          <w:szCs w:val="24"/>
        </w:rPr>
        <w:t xml:space="preserve"> through the Authorized Access System</w:t>
      </w:r>
      <w:r w:rsidR="00616F74">
        <w:rPr>
          <w:rFonts w:ascii="Aptos" w:hAnsi="Aptos" w:cs="Times New Roman"/>
          <w:sz w:val="24"/>
          <w:szCs w:val="24"/>
        </w:rPr>
        <w:t xml:space="preserve">. </w:t>
      </w:r>
      <w:r w:rsidRPr="002A2990" w:rsidR="00EE6CDD">
        <w:rPr>
          <w:rFonts w:ascii="Aptos" w:hAnsi="Aptos" w:cs="Times New Roman"/>
          <w:sz w:val="24"/>
          <w:szCs w:val="24"/>
          <w:highlight w:val="yellow"/>
        </w:rPr>
        <w:t>As</w:t>
      </w:r>
      <w:r w:rsidRPr="002A2990" w:rsidR="0023062D">
        <w:rPr>
          <w:rFonts w:ascii="Aptos" w:hAnsi="Aptos" w:cs="Times New Roman"/>
          <w:sz w:val="24"/>
          <w:szCs w:val="24"/>
          <w:highlight w:val="yellow"/>
        </w:rPr>
        <w:t xml:space="preserve"> the NIH controlled-access data landscape has grown</w:t>
      </w:r>
      <w:r w:rsidRPr="002A2990" w:rsidR="00E20D53">
        <w:rPr>
          <w:rFonts w:ascii="Aptos" w:hAnsi="Aptos" w:cs="Times New Roman"/>
          <w:sz w:val="24"/>
          <w:szCs w:val="24"/>
          <w:highlight w:val="yellow"/>
        </w:rPr>
        <w:t xml:space="preserve"> to include </w:t>
      </w:r>
      <w:r w:rsidRPr="002A2990" w:rsidR="009B6D6E">
        <w:rPr>
          <w:rFonts w:ascii="Aptos" w:hAnsi="Aptos" w:cs="Times New Roman"/>
          <w:sz w:val="24"/>
          <w:szCs w:val="24"/>
          <w:highlight w:val="yellow"/>
        </w:rPr>
        <w:t>not just human genomic and associated data</w:t>
      </w:r>
      <w:r w:rsidRPr="002A2990" w:rsidR="0023062D">
        <w:rPr>
          <w:rFonts w:ascii="Aptos" w:hAnsi="Aptos" w:cs="Times New Roman"/>
          <w:sz w:val="24"/>
          <w:szCs w:val="24"/>
          <w:highlight w:val="yellow"/>
        </w:rPr>
        <w:t xml:space="preserve">, </w:t>
      </w:r>
      <w:r w:rsidRPr="002A2990" w:rsidR="006402FF">
        <w:rPr>
          <w:rFonts w:ascii="Aptos" w:hAnsi="Aptos" w:cs="Times New Roman"/>
          <w:sz w:val="24"/>
          <w:szCs w:val="24"/>
          <w:highlight w:val="yellow"/>
        </w:rPr>
        <w:t>and in order to meet the security and operational standards described in the NIH Guide Notice, “Required Security and Operational Standards for NIH Controlled-Access Data Repositories,” (</w:t>
      </w:r>
      <w:hyperlink r:id="rId11" w:history="1">
        <w:r w:rsidRPr="002A2990" w:rsidR="006402FF">
          <w:rPr>
            <w:rStyle w:val="Hyperlink"/>
            <w:rFonts w:ascii="Aptos" w:hAnsi="Aptos" w:cs="Times New Roman"/>
            <w:sz w:val="24"/>
            <w:szCs w:val="24"/>
            <w:highlight w:val="yellow"/>
          </w:rPr>
          <w:t>NOT-OD-25-159</w:t>
        </w:r>
      </w:hyperlink>
      <w:r w:rsidRPr="002A2990" w:rsidR="006402FF">
        <w:rPr>
          <w:rFonts w:ascii="Aptos" w:hAnsi="Aptos" w:cs="Times New Roman"/>
          <w:sz w:val="24"/>
          <w:szCs w:val="24"/>
          <w:highlight w:val="yellow"/>
        </w:rPr>
        <w:t xml:space="preserve">), some non-genomic NIH CADRs </w:t>
      </w:r>
      <w:r w:rsidRPr="002A2990" w:rsidR="005F3077">
        <w:rPr>
          <w:rFonts w:ascii="Aptos" w:hAnsi="Aptos" w:cs="Times New Roman"/>
          <w:sz w:val="24"/>
          <w:szCs w:val="24"/>
          <w:highlight w:val="yellow"/>
        </w:rPr>
        <w:t xml:space="preserve">have leveraged </w:t>
      </w:r>
      <w:r w:rsidRPr="002A2990" w:rsidR="00F97DB8">
        <w:rPr>
          <w:rFonts w:ascii="Aptos" w:hAnsi="Aptos" w:cs="Times New Roman"/>
          <w:sz w:val="24"/>
          <w:szCs w:val="24"/>
          <w:highlight w:val="yellow"/>
        </w:rPr>
        <w:t xml:space="preserve">the </w:t>
      </w:r>
      <w:r w:rsidRPr="002A2990" w:rsidR="00F43B67">
        <w:rPr>
          <w:rFonts w:ascii="Aptos" w:hAnsi="Aptos" w:cs="Times New Roman"/>
          <w:sz w:val="24"/>
          <w:szCs w:val="24"/>
          <w:highlight w:val="yellow"/>
        </w:rPr>
        <w:t xml:space="preserve">compliant </w:t>
      </w:r>
      <w:r w:rsidRPr="002A2990" w:rsidR="00F97DB8">
        <w:rPr>
          <w:rFonts w:ascii="Aptos" w:hAnsi="Aptos" w:cs="Times New Roman"/>
          <w:sz w:val="24"/>
          <w:szCs w:val="24"/>
          <w:highlight w:val="yellow"/>
        </w:rPr>
        <w:t>dbGaP</w:t>
      </w:r>
      <w:r w:rsidRPr="002A2990" w:rsidR="00F97DB8">
        <w:rPr>
          <w:rFonts w:ascii="Aptos" w:hAnsi="Aptos" w:cs="Times New Roman"/>
          <w:sz w:val="24"/>
          <w:szCs w:val="24"/>
          <w:highlight w:val="yellow"/>
        </w:rPr>
        <w:t xml:space="preserve"> </w:t>
      </w:r>
      <w:r w:rsidRPr="002A2990" w:rsidR="001E77C5">
        <w:rPr>
          <w:rFonts w:ascii="Aptos" w:hAnsi="Aptos" w:cs="Times New Roman"/>
          <w:sz w:val="24"/>
          <w:szCs w:val="24"/>
          <w:highlight w:val="yellow"/>
        </w:rPr>
        <w:t xml:space="preserve">registration and submission system </w:t>
      </w:r>
      <w:r w:rsidRPr="002A2990" w:rsidR="006A31EA">
        <w:rPr>
          <w:rFonts w:ascii="Aptos" w:hAnsi="Aptos" w:cs="Times New Roman"/>
          <w:sz w:val="24"/>
          <w:szCs w:val="24"/>
          <w:highlight w:val="yellow"/>
        </w:rPr>
        <w:t xml:space="preserve">and then subsequently, the </w:t>
      </w:r>
      <w:r w:rsidRPr="002A2990" w:rsidR="00F97DB8">
        <w:rPr>
          <w:rFonts w:ascii="Aptos" w:hAnsi="Aptos" w:cs="Times New Roman"/>
          <w:sz w:val="24"/>
          <w:szCs w:val="24"/>
          <w:highlight w:val="yellow"/>
        </w:rPr>
        <w:t>Authorized Access System to grant access to controlled-access data</w:t>
      </w:r>
      <w:r w:rsidRPr="002A2990" w:rsidR="00552A6A">
        <w:rPr>
          <w:rFonts w:ascii="Aptos" w:hAnsi="Aptos" w:cs="Times New Roman"/>
          <w:sz w:val="24"/>
          <w:szCs w:val="24"/>
          <w:highlight w:val="yellow"/>
        </w:rPr>
        <w:t xml:space="preserve"> </w:t>
      </w:r>
      <w:r w:rsidRPr="002A2990" w:rsidR="002E7164">
        <w:rPr>
          <w:rFonts w:ascii="Aptos" w:hAnsi="Aptos" w:cs="Times New Roman"/>
          <w:sz w:val="24"/>
          <w:szCs w:val="24"/>
          <w:highlight w:val="yellow"/>
        </w:rPr>
        <w:t>in accordance with</w:t>
      </w:r>
      <w:r w:rsidRPr="002A2990" w:rsidR="00A85A1D">
        <w:rPr>
          <w:rFonts w:ascii="Aptos" w:hAnsi="Aptos" w:cs="Times New Roman"/>
          <w:sz w:val="24"/>
          <w:szCs w:val="24"/>
          <w:highlight w:val="yellow"/>
        </w:rPr>
        <w:t xml:space="preserve"> </w:t>
      </w:r>
      <w:r w:rsidRPr="002A2990" w:rsidR="00F43B67">
        <w:rPr>
          <w:rFonts w:ascii="Aptos" w:hAnsi="Aptos" w:cs="Times New Roman"/>
          <w:sz w:val="24"/>
          <w:szCs w:val="24"/>
          <w:highlight w:val="yellow"/>
        </w:rPr>
        <w:t xml:space="preserve">the NIH CADR </w:t>
      </w:r>
      <w:r w:rsidRPr="002A2990" w:rsidR="004C7E98">
        <w:rPr>
          <w:rFonts w:ascii="Aptos" w:hAnsi="Aptos" w:cs="Times New Roman"/>
          <w:sz w:val="24"/>
          <w:szCs w:val="24"/>
          <w:highlight w:val="yellow"/>
        </w:rPr>
        <w:t>standards.</w:t>
      </w:r>
      <w:r w:rsidRPr="0AC3F085" w:rsidR="007E3D11">
        <w:rPr>
          <w:rFonts w:ascii="Aptos" w:hAnsi="Aptos" w:cs="Times New Roman"/>
          <w:sz w:val="24"/>
          <w:szCs w:val="24"/>
        </w:rPr>
        <w:t xml:space="preserve"> </w:t>
      </w:r>
    </w:p>
    <w:p w:rsidR="00CF1354" w:rsidRPr="001921C2" w:rsidP="00CF1354" w14:paraId="4C057ED0" w14:textId="44652CAC">
      <w:pPr>
        <w:pStyle w:val="P1-StandPara"/>
        <w:tabs>
          <w:tab w:val="left" w:pos="720"/>
          <w:tab w:val="right" w:leader="dot" w:pos="9504"/>
        </w:tabs>
        <w:spacing w:after="200" w:line="276" w:lineRule="auto"/>
        <w:ind w:firstLine="0"/>
        <w:rPr>
          <w:rFonts w:ascii="Aptos" w:hAnsi="Aptos"/>
          <w:b/>
          <w:sz w:val="24"/>
          <w:szCs w:val="24"/>
        </w:rPr>
      </w:pPr>
      <w:r w:rsidRPr="001921C2">
        <w:rPr>
          <w:rFonts w:ascii="Aptos" w:hAnsi="Aptos"/>
          <w:b/>
          <w:sz w:val="24"/>
          <w:szCs w:val="24"/>
        </w:rPr>
        <w:t>A.1</w:t>
      </w:r>
      <w:r w:rsidRPr="001921C2">
        <w:rPr>
          <w:rFonts w:ascii="Aptos" w:hAnsi="Aptos"/>
          <w:b/>
          <w:sz w:val="24"/>
          <w:szCs w:val="24"/>
        </w:rPr>
        <w:tab/>
        <w:t>Circumstances Making the Collection of Information Necessary</w:t>
      </w:r>
    </w:p>
    <w:p w:rsidR="00CF1354" w:rsidRPr="001921C2" w:rsidP="00CF1354" w14:paraId="09DED765" w14:textId="0AEDB7F4">
      <w:pPr>
        <w:autoSpaceDE w:val="0"/>
        <w:autoSpaceDN w:val="0"/>
        <w:adjustRightInd w:val="0"/>
        <w:rPr>
          <w:rFonts w:ascii="Aptos" w:hAnsi="Aptos" w:cs="Times New Roman"/>
          <w:bCs/>
          <w:color w:val="000000"/>
          <w:sz w:val="24"/>
          <w:szCs w:val="24"/>
        </w:rPr>
      </w:pPr>
      <w:r w:rsidRPr="001921C2">
        <w:rPr>
          <w:rFonts w:ascii="Aptos" w:hAnsi="Aptos" w:cs="Times New Roman"/>
          <w:sz w:val="24"/>
          <w:szCs w:val="24"/>
        </w:rPr>
        <w:t xml:space="preserve">The information </w:t>
      </w:r>
      <w:r w:rsidR="00193152">
        <w:rPr>
          <w:rFonts w:ascii="Aptos" w:hAnsi="Aptos" w:cs="Times New Roman"/>
          <w:sz w:val="24"/>
          <w:szCs w:val="24"/>
        </w:rPr>
        <w:t xml:space="preserve">collection </w:t>
      </w:r>
      <w:r w:rsidRPr="001921C2">
        <w:rPr>
          <w:rFonts w:ascii="Aptos" w:hAnsi="Aptos" w:cs="Times New Roman"/>
          <w:sz w:val="24"/>
          <w:szCs w:val="24"/>
        </w:rPr>
        <w:t xml:space="preserve">activities set forth herein </w:t>
      </w:r>
      <w:r w:rsidRPr="001921C2" w:rsidR="00022423">
        <w:rPr>
          <w:rFonts w:ascii="Aptos" w:hAnsi="Aptos" w:cs="Times New Roman"/>
          <w:sz w:val="24"/>
          <w:szCs w:val="24"/>
        </w:rPr>
        <w:t>will</w:t>
      </w:r>
      <w:r w:rsidRPr="001921C2">
        <w:rPr>
          <w:rFonts w:ascii="Aptos" w:hAnsi="Aptos" w:cs="Times New Roman"/>
          <w:sz w:val="24"/>
          <w:szCs w:val="24"/>
        </w:rPr>
        <w:t xml:space="preserve"> be conducted under the authorities granted in Section 301 of the Public Health Service Act, 42 USC 241</w:t>
      </w:r>
      <w:r w:rsidR="000A0074">
        <w:rPr>
          <w:rFonts w:ascii="Aptos" w:hAnsi="Aptos" w:cs="Times New Roman"/>
          <w:sz w:val="24"/>
          <w:szCs w:val="24"/>
        </w:rPr>
        <w:t>. F</w:t>
      </w:r>
      <w:r w:rsidR="00193152">
        <w:rPr>
          <w:rFonts w:ascii="Aptos" w:hAnsi="Aptos" w:cs="Times New Roman"/>
          <w:sz w:val="24"/>
          <w:szCs w:val="24"/>
        </w:rPr>
        <w:t xml:space="preserve">urther, </w:t>
      </w:r>
      <w:r w:rsidR="00193152">
        <w:rPr>
          <w:rFonts w:ascii="Aptos" w:hAnsi="Aptos" w:cs="Times New Roman"/>
          <w:sz w:val="24"/>
          <w:szCs w:val="24"/>
        </w:rPr>
        <w:t>these information collection activities</w:t>
      </w:r>
      <w:r w:rsidR="000A0074">
        <w:rPr>
          <w:rFonts w:ascii="Aptos" w:hAnsi="Aptos" w:cs="Times New Roman"/>
          <w:sz w:val="24"/>
          <w:szCs w:val="24"/>
        </w:rPr>
        <w:t xml:space="preserve"> would be conducted</w:t>
      </w:r>
      <w:r w:rsidRPr="001921C2">
        <w:rPr>
          <w:rFonts w:ascii="Aptos" w:hAnsi="Aptos" w:cs="Times New Roman"/>
          <w:sz w:val="24"/>
          <w:szCs w:val="24"/>
        </w:rPr>
        <w:t xml:space="preserve"> in accordance with the policies and procedures set forth in the NIH GDS Policy</w:t>
      </w:r>
      <w:r w:rsidR="0000088B">
        <w:rPr>
          <w:rFonts w:ascii="Aptos" w:hAnsi="Aptos" w:cs="Times New Roman"/>
          <w:sz w:val="24"/>
          <w:szCs w:val="24"/>
        </w:rPr>
        <w:t xml:space="preserve"> and </w:t>
      </w:r>
      <w:r w:rsidR="009E0405">
        <w:rPr>
          <w:rFonts w:ascii="Aptos" w:hAnsi="Aptos" w:cs="Times New Roman"/>
          <w:sz w:val="24"/>
          <w:szCs w:val="24"/>
        </w:rPr>
        <w:t xml:space="preserve">the </w:t>
      </w:r>
      <w:r w:rsidRPr="0089011A" w:rsidR="0089011A">
        <w:rPr>
          <w:rFonts w:ascii="Aptos" w:hAnsi="Aptos" w:cs="Times New Roman"/>
          <w:sz w:val="24"/>
          <w:szCs w:val="24"/>
        </w:rPr>
        <w:t>Required Security and Operational Standards for NIH Controlled-Access Data Repositories</w:t>
      </w:r>
      <w:r w:rsidR="0089011A">
        <w:rPr>
          <w:rFonts w:ascii="Aptos" w:hAnsi="Aptos" w:cs="Times New Roman"/>
          <w:sz w:val="24"/>
          <w:szCs w:val="24"/>
        </w:rPr>
        <w:t>.</w:t>
      </w:r>
    </w:p>
    <w:p w:rsidR="00235F4F" w:rsidRPr="002A2990" w:rsidP="00CF1354" w14:paraId="43FF72C3" w14:textId="6D218D4A">
      <w:pPr>
        <w:rPr>
          <w:rFonts w:ascii="Aptos" w:hAnsi="Aptos" w:cs="Times New Roman"/>
          <w:sz w:val="24"/>
          <w:szCs w:val="24"/>
          <w:highlight w:val="yellow"/>
        </w:rPr>
      </w:pPr>
      <w:r>
        <w:rPr>
          <w:rFonts w:ascii="Aptos" w:hAnsi="Aptos" w:cs="Times New Roman"/>
          <w:sz w:val="24"/>
          <w:szCs w:val="24"/>
        </w:rPr>
        <w:t xml:space="preserve">The </w:t>
      </w:r>
      <w:r w:rsidRPr="00B23105" w:rsidR="00D63DE0">
        <w:rPr>
          <w:rFonts w:ascii="Aptos" w:hAnsi="Aptos" w:cs="Times New Roman"/>
          <w:sz w:val="24"/>
          <w:szCs w:val="24"/>
        </w:rPr>
        <w:t xml:space="preserve">NIH </w:t>
      </w:r>
      <w:r w:rsidRPr="00B23105" w:rsidR="00CF1354">
        <w:rPr>
          <w:rFonts w:ascii="Aptos" w:hAnsi="Aptos" w:cs="Times New Roman"/>
          <w:sz w:val="24"/>
          <w:szCs w:val="24"/>
        </w:rPr>
        <w:t>GDS Policy</w:t>
      </w:r>
      <w:r w:rsidRPr="00B23105">
        <w:rPr>
          <w:rFonts w:ascii="Aptos" w:hAnsi="Aptos" w:cs="Times New Roman"/>
          <w:sz w:val="24"/>
          <w:szCs w:val="24"/>
        </w:rPr>
        <w:t xml:space="preserve"> expects</w:t>
      </w:r>
      <w:r w:rsidRPr="00B23105" w:rsidR="00AB4D70">
        <w:rPr>
          <w:rFonts w:ascii="Aptos" w:hAnsi="Aptos" w:cs="Times New Roman"/>
          <w:sz w:val="24"/>
          <w:szCs w:val="24"/>
        </w:rPr>
        <w:t xml:space="preserve"> large-scale human genomic data generated with NIH funds to be </w:t>
      </w:r>
      <w:r w:rsidRPr="00B23105" w:rsidR="004374D5">
        <w:rPr>
          <w:rFonts w:ascii="Aptos" w:hAnsi="Aptos" w:cs="Times New Roman"/>
          <w:sz w:val="24"/>
          <w:szCs w:val="24"/>
        </w:rPr>
        <w:t>submitted to NIH. As a part of the submission process</w:t>
      </w:r>
      <w:r w:rsidRPr="00B23105" w:rsidR="00063EA4">
        <w:rPr>
          <w:rFonts w:ascii="Aptos" w:hAnsi="Aptos" w:cs="Times New Roman"/>
          <w:sz w:val="24"/>
          <w:szCs w:val="24"/>
        </w:rPr>
        <w:t xml:space="preserve">, the </w:t>
      </w:r>
      <w:r w:rsidRPr="00B23105" w:rsidR="00A304D3">
        <w:rPr>
          <w:rFonts w:ascii="Aptos" w:hAnsi="Aptos" w:cs="Times New Roman"/>
          <w:sz w:val="24"/>
          <w:szCs w:val="24"/>
        </w:rPr>
        <w:t xml:space="preserve">associated NIH-funded study is </w:t>
      </w:r>
      <w:r w:rsidRPr="00B23105" w:rsidR="00AB4D70">
        <w:rPr>
          <w:rFonts w:ascii="Aptos" w:hAnsi="Aptos" w:cs="Times New Roman"/>
          <w:sz w:val="24"/>
          <w:szCs w:val="24"/>
        </w:rPr>
        <w:t xml:space="preserve">registered in </w:t>
      </w:r>
      <w:r w:rsidRPr="00B23105" w:rsidR="00AB4D70">
        <w:rPr>
          <w:rFonts w:ascii="Aptos" w:hAnsi="Aptos" w:cs="Times New Roman"/>
          <w:sz w:val="24"/>
          <w:szCs w:val="24"/>
        </w:rPr>
        <w:t>dbGaP</w:t>
      </w:r>
      <w:r w:rsidRPr="00B23105" w:rsidR="00A304D3">
        <w:rPr>
          <w:rFonts w:ascii="Aptos" w:hAnsi="Aptos" w:cs="Times New Roman"/>
          <w:sz w:val="24"/>
          <w:szCs w:val="24"/>
        </w:rPr>
        <w:t xml:space="preserve">. This registration is expected </w:t>
      </w:r>
      <w:r w:rsidRPr="00B23105" w:rsidR="00ED1385">
        <w:rPr>
          <w:rFonts w:ascii="Aptos" w:hAnsi="Aptos" w:cs="Times New Roman"/>
          <w:sz w:val="24"/>
          <w:szCs w:val="24"/>
        </w:rPr>
        <w:t xml:space="preserve">even when the </w:t>
      </w:r>
      <w:r w:rsidRPr="00B23105" w:rsidR="00A304D3">
        <w:rPr>
          <w:rFonts w:ascii="Aptos" w:hAnsi="Aptos" w:cs="Times New Roman"/>
          <w:sz w:val="24"/>
          <w:szCs w:val="24"/>
        </w:rPr>
        <w:t>associated NIH-funded study</w:t>
      </w:r>
      <w:r w:rsidRPr="00B23105" w:rsidR="00ED1385">
        <w:rPr>
          <w:rFonts w:ascii="Aptos" w:hAnsi="Aptos" w:cs="Times New Roman"/>
          <w:sz w:val="24"/>
          <w:szCs w:val="24"/>
        </w:rPr>
        <w:t xml:space="preserve"> cannot be submitted to NIH</w:t>
      </w:r>
      <w:r w:rsidRPr="00B23105" w:rsidR="004E025D">
        <w:rPr>
          <w:rFonts w:ascii="Aptos" w:hAnsi="Aptos" w:cs="Times New Roman"/>
          <w:sz w:val="24"/>
          <w:szCs w:val="24"/>
        </w:rPr>
        <w:t xml:space="preserve"> due </w:t>
      </w:r>
      <w:r w:rsidRPr="00B23105" w:rsidR="00D7726C">
        <w:rPr>
          <w:rFonts w:ascii="Aptos" w:hAnsi="Aptos" w:cs="Times New Roman"/>
          <w:sz w:val="24"/>
          <w:szCs w:val="24"/>
        </w:rPr>
        <w:t xml:space="preserve">to </w:t>
      </w:r>
      <w:r w:rsidRPr="00B23105" w:rsidR="004E025D">
        <w:rPr>
          <w:rFonts w:ascii="Aptos" w:hAnsi="Aptos" w:cs="Times New Roman"/>
          <w:sz w:val="24"/>
          <w:szCs w:val="24"/>
        </w:rPr>
        <w:t>limitations on sharing</w:t>
      </w:r>
      <w:r w:rsidRPr="00B23105" w:rsidR="00ED1385">
        <w:rPr>
          <w:rFonts w:ascii="Aptos" w:hAnsi="Aptos" w:cs="Times New Roman"/>
          <w:sz w:val="24"/>
          <w:szCs w:val="24"/>
        </w:rPr>
        <w:t>.</w:t>
      </w:r>
      <w:r w:rsidRPr="00B23105" w:rsidR="00084835">
        <w:rPr>
          <w:rFonts w:ascii="Aptos" w:hAnsi="Aptos" w:cs="Times New Roman"/>
          <w:sz w:val="24"/>
          <w:szCs w:val="24"/>
        </w:rPr>
        <w:t xml:space="preserve"> </w:t>
      </w:r>
      <w:r w:rsidRPr="00B23105" w:rsidR="00B3482B">
        <w:rPr>
          <w:rFonts w:ascii="Aptos" w:hAnsi="Aptos" w:cs="Times New Roman"/>
          <w:sz w:val="24"/>
          <w:szCs w:val="24"/>
        </w:rPr>
        <w:t xml:space="preserve">In this way, </w:t>
      </w:r>
      <w:r w:rsidRPr="00B23105" w:rsidR="00B14A85">
        <w:rPr>
          <w:rFonts w:ascii="Aptos" w:hAnsi="Aptos" w:cs="Times New Roman"/>
          <w:sz w:val="24"/>
          <w:szCs w:val="24"/>
        </w:rPr>
        <w:t xml:space="preserve">the </w:t>
      </w:r>
      <w:r w:rsidRPr="00B23105" w:rsidR="00B3482B">
        <w:rPr>
          <w:rFonts w:ascii="Aptos" w:hAnsi="Aptos" w:cs="Times New Roman"/>
          <w:sz w:val="24"/>
          <w:szCs w:val="24"/>
        </w:rPr>
        <w:t>dbGaP</w:t>
      </w:r>
      <w:r w:rsidRPr="00B23105" w:rsidR="00B3482B">
        <w:rPr>
          <w:rFonts w:ascii="Aptos" w:hAnsi="Aptos" w:cs="Times New Roman"/>
          <w:sz w:val="24"/>
          <w:szCs w:val="24"/>
        </w:rPr>
        <w:t xml:space="preserve"> </w:t>
      </w:r>
      <w:r w:rsidRPr="00B23105" w:rsidR="00B14A85">
        <w:rPr>
          <w:rFonts w:ascii="Aptos" w:hAnsi="Aptos" w:cs="Times New Roman"/>
          <w:sz w:val="24"/>
          <w:szCs w:val="24"/>
        </w:rPr>
        <w:t xml:space="preserve">registration system </w:t>
      </w:r>
      <w:r w:rsidRPr="00B23105" w:rsidR="00B3482B">
        <w:rPr>
          <w:rFonts w:ascii="Aptos" w:hAnsi="Aptos" w:cs="Times New Roman"/>
          <w:sz w:val="24"/>
          <w:szCs w:val="24"/>
        </w:rPr>
        <w:t>s</w:t>
      </w:r>
      <w:r w:rsidRPr="00B23105" w:rsidR="0039500A">
        <w:rPr>
          <w:rFonts w:ascii="Aptos" w:hAnsi="Aptos" w:cs="Times New Roman"/>
          <w:sz w:val="24"/>
          <w:szCs w:val="24"/>
        </w:rPr>
        <w:t>upports transparency and findability of large-scale human genomic data</w:t>
      </w:r>
      <w:r w:rsidRPr="00B23105" w:rsidR="00B14A85">
        <w:rPr>
          <w:rFonts w:ascii="Aptos" w:hAnsi="Aptos" w:cs="Times New Roman"/>
          <w:sz w:val="24"/>
          <w:szCs w:val="24"/>
        </w:rPr>
        <w:t xml:space="preserve"> </w:t>
      </w:r>
      <w:r w:rsidRPr="00B23105" w:rsidR="004B01D8">
        <w:rPr>
          <w:rFonts w:ascii="Aptos" w:hAnsi="Aptos" w:cs="Times New Roman"/>
          <w:sz w:val="24"/>
          <w:szCs w:val="24"/>
        </w:rPr>
        <w:t>studies subject to the NIH GDS Policy</w:t>
      </w:r>
      <w:r w:rsidR="00B23105">
        <w:rPr>
          <w:rFonts w:ascii="Aptos" w:hAnsi="Aptos" w:cs="Times New Roman"/>
          <w:sz w:val="24"/>
          <w:szCs w:val="24"/>
        </w:rPr>
        <w:t>.</w:t>
      </w:r>
      <w:r w:rsidRPr="002A2990" w:rsidR="00B14A85">
        <w:rPr>
          <w:rFonts w:ascii="Aptos" w:hAnsi="Aptos" w:cs="Times New Roman"/>
          <w:sz w:val="24"/>
          <w:szCs w:val="24"/>
          <w:highlight w:val="yellow"/>
        </w:rPr>
        <w:t xml:space="preserve"> </w:t>
      </w:r>
    </w:p>
    <w:p w:rsidR="00A336F5" w:rsidP="00CF1354" w14:paraId="0A20BB8B" w14:textId="68D7FEAF">
      <w:pPr>
        <w:rPr>
          <w:rFonts w:ascii="Aptos" w:hAnsi="Aptos" w:cs="Times New Roman"/>
          <w:sz w:val="24"/>
          <w:szCs w:val="24"/>
        </w:rPr>
      </w:pPr>
      <w:r w:rsidRPr="790073F1">
        <w:rPr>
          <w:rFonts w:ascii="Aptos" w:hAnsi="Aptos" w:cs="Times New Roman"/>
          <w:sz w:val="24"/>
          <w:szCs w:val="24"/>
          <w:highlight w:val="yellow"/>
        </w:rPr>
        <w:t xml:space="preserve">The </w:t>
      </w:r>
      <w:r w:rsidRPr="790073F1">
        <w:rPr>
          <w:rFonts w:ascii="Aptos" w:hAnsi="Aptos" w:cs="Times New Roman"/>
          <w:sz w:val="24"/>
          <w:szCs w:val="24"/>
          <w:highlight w:val="yellow"/>
        </w:rPr>
        <w:t>dbGaP</w:t>
      </w:r>
      <w:r w:rsidRPr="790073F1" w:rsidR="00E81C8A">
        <w:rPr>
          <w:rFonts w:ascii="Aptos" w:hAnsi="Aptos" w:cs="Times New Roman"/>
          <w:sz w:val="24"/>
          <w:szCs w:val="24"/>
          <w:highlight w:val="yellow"/>
        </w:rPr>
        <w:t xml:space="preserve"> NIH-designated repository and its Authorized Access system are an NIH CADR and in scope of the NIH Guide notice (</w:t>
      </w:r>
      <w:hyperlink r:id="rId11">
        <w:r w:rsidRPr="790073F1" w:rsidR="00E81C8A">
          <w:rPr>
            <w:rStyle w:val="Hyperlink"/>
            <w:rFonts w:ascii="Aptos" w:hAnsi="Aptos" w:cs="Times New Roman"/>
            <w:sz w:val="24"/>
            <w:szCs w:val="24"/>
            <w:highlight w:val="yellow"/>
          </w:rPr>
          <w:t>NOT-OD-25-159</w:t>
        </w:r>
      </w:hyperlink>
      <w:r w:rsidRPr="790073F1" w:rsidR="00E81C8A">
        <w:rPr>
          <w:rFonts w:ascii="Aptos" w:hAnsi="Aptos" w:cs="Times New Roman"/>
          <w:sz w:val="24"/>
          <w:szCs w:val="24"/>
          <w:highlight w:val="yellow"/>
        </w:rPr>
        <w:t xml:space="preserve">) that establishes standards for </w:t>
      </w:r>
      <w:r w:rsidRPr="790073F1" w:rsidR="0047306D">
        <w:rPr>
          <w:rFonts w:ascii="Aptos" w:hAnsi="Aptos" w:cs="Times New Roman"/>
          <w:sz w:val="24"/>
          <w:szCs w:val="24"/>
          <w:highlight w:val="yellow"/>
        </w:rPr>
        <w:t xml:space="preserve">security, data oversight and access processes. </w:t>
      </w:r>
      <w:r w:rsidRPr="790073F1" w:rsidR="00C13909">
        <w:rPr>
          <w:rFonts w:ascii="Aptos" w:hAnsi="Aptos" w:cs="Times New Roman"/>
          <w:sz w:val="24"/>
          <w:szCs w:val="24"/>
          <w:highlight w:val="yellow"/>
        </w:rPr>
        <w:t xml:space="preserve">Because of this, non-genomic NIH CADRs have leveraged </w:t>
      </w:r>
      <w:r w:rsidRPr="790073F1" w:rsidR="00C13909">
        <w:rPr>
          <w:rFonts w:ascii="Aptos" w:hAnsi="Aptos" w:cs="Times New Roman"/>
          <w:sz w:val="24"/>
          <w:szCs w:val="24"/>
          <w:highlight w:val="yellow"/>
        </w:rPr>
        <w:t>dbGaP’s</w:t>
      </w:r>
      <w:r w:rsidRPr="790073F1" w:rsidR="00C13909">
        <w:rPr>
          <w:rFonts w:ascii="Aptos" w:hAnsi="Aptos" w:cs="Times New Roman"/>
          <w:sz w:val="24"/>
          <w:szCs w:val="24"/>
          <w:highlight w:val="yellow"/>
        </w:rPr>
        <w:t xml:space="preserve"> registration</w:t>
      </w:r>
      <w:r w:rsidRPr="790073F1" w:rsidR="00B6334B">
        <w:rPr>
          <w:rFonts w:ascii="Aptos" w:hAnsi="Aptos" w:cs="Times New Roman"/>
          <w:sz w:val="24"/>
          <w:szCs w:val="24"/>
          <w:highlight w:val="yellow"/>
        </w:rPr>
        <w:t xml:space="preserve"> </w:t>
      </w:r>
      <w:r w:rsidRPr="790073F1" w:rsidR="007307D4">
        <w:rPr>
          <w:rFonts w:ascii="Aptos" w:hAnsi="Aptos" w:cs="Times New Roman"/>
          <w:sz w:val="24"/>
          <w:szCs w:val="24"/>
          <w:highlight w:val="yellow"/>
        </w:rPr>
        <w:t>system</w:t>
      </w:r>
      <w:r w:rsidRPr="790073F1" w:rsidR="4BB8CE8C">
        <w:rPr>
          <w:rFonts w:ascii="Aptos" w:hAnsi="Aptos" w:cs="Times New Roman"/>
          <w:sz w:val="24"/>
          <w:szCs w:val="24"/>
          <w:highlight w:val="yellow"/>
        </w:rPr>
        <w:t xml:space="preserve"> </w:t>
      </w:r>
      <w:r w:rsidRPr="790073F1" w:rsidR="007307D4">
        <w:rPr>
          <w:rFonts w:ascii="Aptos" w:hAnsi="Aptos" w:cs="Times New Roman"/>
          <w:sz w:val="24"/>
          <w:szCs w:val="24"/>
          <w:highlight w:val="yellow"/>
        </w:rPr>
        <w:t>and its</w:t>
      </w:r>
      <w:r w:rsidRPr="790073F1" w:rsidR="00B6334B">
        <w:rPr>
          <w:rFonts w:ascii="Aptos" w:hAnsi="Aptos" w:cs="Times New Roman"/>
          <w:sz w:val="24"/>
          <w:szCs w:val="24"/>
          <w:highlight w:val="yellow"/>
        </w:rPr>
        <w:t xml:space="preserve"> Authorized Access system to meet requirements in NOT-OD-25-159. As a result, </w:t>
      </w:r>
      <w:r w:rsidRPr="790073F1" w:rsidR="00B6334B">
        <w:rPr>
          <w:rFonts w:ascii="Aptos" w:hAnsi="Aptos" w:cs="Times New Roman"/>
          <w:sz w:val="24"/>
          <w:szCs w:val="24"/>
          <w:highlight w:val="yellow"/>
        </w:rPr>
        <w:t>dbGaP</w:t>
      </w:r>
      <w:r w:rsidRPr="790073F1" w:rsidR="00B6334B">
        <w:rPr>
          <w:rFonts w:ascii="Aptos" w:hAnsi="Aptos" w:cs="Times New Roman"/>
          <w:sz w:val="24"/>
          <w:szCs w:val="24"/>
          <w:highlight w:val="yellow"/>
        </w:rPr>
        <w:t xml:space="preserve"> </w:t>
      </w:r>
      <w:r w:rsidRPr="790073F1" w:rsidR="007307D4">
        <w:rPr>
          <w:rFonts w:ascii="Aptos" w:hAnsi="Aptos" w:cs="Times New Roman"/>
          <w:sz w:val="24"/>
          <w:szCs w:val="24"/>
          <w:highlight w:val="yellow"/>
        </w:rPr>
        <w:t xml:space="preserve">provides services to these non-genomic NIH CADRs whose </w:t>
      </w:r>
      <w:r w:rsidRPr="790073F1" w:rsidR="00DC27D2">
        <w:rPr>
          <w:rFonts w:ascii="Aptos" w:hAnsi="Aptos" w:cs="Times New Roman"/>
          <w:sz w:val="24"/>
          <w:szCs w:val="24"/>
          <w:highlight w:val="yellow"/>
        </w:rPr>
        <w:t xml:space="preserve">data are registered in </w:t>
      </w:r>
      <w:r w:rsidRPr="790073F1" w:rsidR="00DC27D2">
        <w:rPr>
          <w:rFonts w:ascii="Aptos" w:hAnsi="Aptos" w:cs="Times New Roman"/>
          <w:sz w:val="24"/>
          <w:szCs w:val="24"/>
          <w:highlight w:val="yellow"/>
        </w:rPr>
        <w:t>dbGaP</w:t>
      </w:r>
      <w:r w:rsidRPr="790073F1" w:rsidR="00DC27D2">
        <w:rPr>
          <w:rFonts w:ascii="Aptos" w:hAnsi="Aptos" w:cs="Times New Roman"/>
          <w:sz w:val="24"/>
          <w:szCs w:val="24"/>
          <w:highlight w:val="yellow"/>
        </w:rPr>
        <w:t xml:space="preserve">, </w:t>
      </w:r>
      <w:r w:rsidRPr="790073F1" w:rsidR="40C670F3">
        <w:rPr>
          <w:rFonts w:ascii="Aptos" w:hAnsi="Aptos" w:cs="Times New Roman"/>
          <w:sz w:val="24"/>
          <w:szCs w:val="24"/>
          <w:highlight w:val="yellow"/>
        </w:rPr>
        <w:t xml:space="preserve">but </w:t>
      </w:r>
      <w:r w:rsidRPr="790073F1" w:rsidR="00DC27D2">
        <w:rPr>
          <w:rFonts w:ascii="Aptos" w:hAnsi="Aptos" w:cs="Times New Roman"/>
          <w:sz w:val="24"/>
          <w:szCs w:val="24"/>
          <w:highlight w:val="yellow"/>
        </w:rPr>
        <w:t>stored at the non-genomic NIH CADR</w:t>
      </w:r>
      <w:r w:rsidRPr="790073F1" w:rsidR="00FA04F5">
        <w:rPr>
          <w:rFonts w:ascii="Aptos" w:hAnsi="Aptos" w:cs="Times New Roman"/>
          <w:sz w:val="24"/>
          <w:szCs w:val="24"/>
          <w:highlight w:val="yellow"/>
        </w:rPr>
        <w:t xml:space="preserve">, but </w:t>
      </w:r>
      <w:r w:rsidRPr="790073F1" w:rsidR="00204D69">
        <w:rPr>
          <w:rFonts w:ascii="Aptos" w:hAnsi="Aptos" w:cs="Times New Roman"/>
          <w:sz w:val="24"/>
          <w:szCs w:val="24"/>
          <w:highlight w:val="yellow"/>
        </w:rPr>
        <w:t>access granted though</w:t>
      </w:r>
      <w:r w:rsidRPr="790073F1" w:rsidR="00FA04F5">
        <w:rPr>
          <w:rFonts w:ascii="Aptos" w:hAnsi="Aptos" w:cs="Times New Roman"/>
          <w:sz w:val="24"/>
          <w:szCs w:val="24"/>
          <w:highlight w:val="yellow"/>
        </w:rPr>
        <w:t xml:space="preserve"> the </w:t>
      </w:r>
      <w:r w:rsidRPr="790073F1" w:rsidR="00FA04F5">
        <w:rPr>
          <w:rFonts w:ascii="Aptos" w:hAnsi="Aptos" w:cs="Times New Roman"/>
          <w:sz w:val="24"/>
          <w:szCs w:val="24"/>
          <w:highlight w:val="yellow"/>
        </w:rPr>
        <w:t>dbGaP</w:t>
      </w:r>
      <w:r w:rsidRPr="790073F1" w:rsidR="00FA04F5">
        <w:rPr>
          <w:rFonts w:ascii="Aptos" w:hAnsi="Aptos" w:cs="Times New Roman"/>
          <w:sz w:val="24"/>
          <w:szCs w:val="24"/>
          <w:highlight w:val="yellow"/>
        </w:rPr>
        <w:t xml:space="preserve"> Authorized Access syst</w:t>
      </w:r>
      <w:r w:rsidRPr="790073F1">
        <w:rPr>
          <w:rFonts w:ascii="Aptos" w:hAnsi="Aptos" w:cs="Times New Roman"/>
          <w:sz w:val="24"/>
          <w:szCs w:val="24"/>
          <w:highlight w:val="yellow"/>
        </w:rPr>
        <w:t>em.</w:t>
      </w:r>
      <w:r w:rsidRPr="790073F1" w:rsidR="007307D4">
        <w:rPr>
          <w:rFonts w:ascii="Aptos" w:hAnsi="Aptos" w:cs="Times New Roman"/>
          <w:sz w:val="24"/>
          <w:szCs w:val="24"/>
        </w:rPr>
        <w:t xml:space="preserve"> </w:t>
      </w:r>
    </w:p>
    <w:p w:rsidR="000D4C61" w:rsidRPr="001921C2" w:rsidP="00CF1354" w14:paraId="68A17BA4" w14:textId="7A41DA60">
      <w:pPr>
        <w:rPr>
          <w:rFonts w:ascii="Aptos" w:hAnsi="Aptos" w:cs="Times New Roman"/>
          <w:sz w:val="24"/>
          <w:szCs w:val="24"/>
        </w:rPr>
      </w:pPr>
      <w:r w:rsidRPr="790073F1">
        <w:rPr>
          <w:rFonts w:ascii="Aptos" w:hAnsi="Aptos" w:cs="Times New Roman"/>
          <w:sz w:val="24"/>
          <w:szCs w:val="24"/>
        </w:rPr>
        <w:t xml:space="preserve"> </w:t>
      </w:r>
      <w:r w:rsidRPr="790073F1" w:rsidR="38909ACB">
        <w:rPr>
          <w:rFonts w:ascii="Aptos" w:hAnsi="Aptos" w:cs="Times New Roman"/>
          <w:sz w:val="24"/>
          <w:szCs w:val="24"/>
          <w:highlight w:val="yellow"/>
        </w:rPr>
        <w:t xml:space="preserve">As part of the registration process, </w:t>
      </w:r>
      <w:r w:rsidRPr="790073F1" w:rsidR="4EE997C5">
        <w:rPr>
          <w:rFonts w:ascii="Aptos" w:hAnsi="Aptos" w:cs="Times New Roman"/>
          <w:sz w:val="24"/>
          <w:szCs w:val="24"/>
          <w:highlight w:val="yellow"/>
        </w:rPr>
        <w:t>Submitting I</w:t>
      </w:r>
      <w:r w:rsidRPr="790073F1" w:rsidR="38909ACB">
        <w:rPr>
          <w:rFonts w:ascii="Aptos" w:hAnsi="Aptos" w:cs="Times New Roman"/>
          <w:sz w:val="24"/>
          <w:szCs w:val="24"/>
          <w:highlight w:val="yellow"/>
        </w:rPr>
        <w:t xml:space="preserve">nvestigators must </w:t>
      </w:r>
      <w:r w:rsidRPr="790073F1" w:rsidR="60352ED0">
        <w:rPr>
          <w:rFonts w:ascii="Aptos" w:hAnsi="Aptos" w:cs="Times New Roman"/>
          <w:sz w:val="24"/>
          <w:szCs w:val="24"/>
          <w:highlight w:val="yellow"/>
        </w:rPr>
        <w:t xml:space="preserve">complete information in the </w:t>
      </w:r>
      <w:r w:rsidRPr="790073F1" w:rsidR="0BF0DDC4">
        <w:rPr>
          <w:rFonts w:ascii="Aptos" w:hAnsi="Aptos"/>
          <w:sz w:val="24"/>
          <w:szCs w:val="24"/>
          <w:highlight w:val="yellow"/>
        </w:rPr>
        <w:t>NIH Study Registration Information (SRI) Form</w:t>
      </w:r>
      <w:r w:rsidRPr="790073F1" w:rsidR="251E8EBC">
        <w:rPr>
          <w:rFonts w:ascii="Aptos" w:hAnsi="Aptos"/>
          <w:sz w:val="24"/>
          <w:szCs w:val="24"/>
          <w:highlight w:val="yellow"/>
        </w:rPr>
        <w:t xml:space="preserve"> (Attachment 1)</w:t>
      </w:r>
      <w:r w:rsidRPr="790073F1" w:rsidR="0930C88B">
        <w:rPr>
          <w:rFonts w:ascii="Aptos" w:hAnsi="Aptos"/>
          <w:sz w:val="24"/>
          <w:szCs w:val="24"/>
          <w:highlight w:val="yellow"/>
        </w:rPr>
        <w:t xml:space="preserve"> for the </w:t>
      </w:r>
      <w:r w:rsidRPr="790073F1" w:rsidR="2329014A">
        <w:rPr>
          <w:rFonts w:ascii="Aptos" w:hAnsi="Aptos"/>
          <w:sz w:val="24"/>
          <w:szCs w:val="24"/>
          <w:highlight w:val="yellow"/>
        </w:rPr>
        <w:t>L</w:t>
      </w:r>
      <w:r w:rsidRPr="790073F1" w:rsidR="0930C88B">
        <w:rPr>
          <w:rFonts w:ascii="Aptos" w:hAnsi="Aptos"/>
          <w:sz w:val="24"/>
          <w:szCs w:val="24"/>
          <w:highlight w:val="yellow"/>
        </w:rPr>
        <w:t xml:space="preserve">egacy </w:t>
      </w:r>
      <w:r w:rsidRPr="790073F1" w:rsidR="2329014A">
        <w:rPr>
          <w:rFonts w:ascii="Aptos" w:hAnsi="Aptos"/>
          <w:sz w:val="24"/>
          <w:szCs w:val="24"/>
          <w:highlight w:val="yellow"/>
        </w:rPr>
        <w:t>R</w:t>
      </w:r>
      <w:r w:rsidRPr="790073F1" w:rsidR="7F100122">
        <w:rPr>
          <w:rFonts w:ascii="Aptos" w:hAnsi="Aptos"/>
          <w:sz w:val="24"/>
          <w:szCs w:val="24"/>
          <w:highlight w:val="yellow"/>
        </w:rPr>
        <w:t xml:space="preserve">egistration </w:t>
      </w:r>
      <w:r w:rsidRPr="790073F1" w:rsidR="0107783A">
        <w:rPr>
          <w:rFonts w:ascii="Aptos" w:hAnsi="Aptos"/>
          <w:sz w:val="24"/>
          <w:szCs w:val="24"/>
          <w:highlight w:val="yellow"/>
        </w:rPr>
        <w:t xml:space="preserve">and Submission </w:t>
      </w:r>
      <w:r w:rsidRPr="790073F1" w:rsidR="2329014A">
        <w:rPr>
          <w:rFonts w:ascii="Aptos" w:hAnsi="Aptos"/>
          <w:sz w:val="24"/>
          <w:szCs w:val="24"/>
          <w:highlight w:val="yellow"/>
        </w:rPr>
        <w:t>S</w:t>
      </w:r>
      <w:r w:rsidRPr="790073F1" w:rsidR="0930C88B">
        <w:rPr>
          <w:rFonts w:ascii="Aptos" w:hAnsi="Aptos"/>
          <w:sz w:val="24"/>
          <w:szCs w:val="24"/>
          <w:highlight w:val="yellow"/>
        </w:rPr>
        <w:t>ystem</w:t>
      </w:r>
      <w:r w:rsidRPr="790073F1" w:rsidR="441853EE">
        <w:rPr>
          <w:rFonts w:ascii="Aptos" w:hAnsi="Aptos"/>
          <w:sz w:val="24"/>
          <w:szCs w:val="24"/>
          <w:highlight w:val="yellow"/>
        </w:rPr>
        <w:t xml:space="preserve"> (Attachment 4)</w:t>
      </w:r>
      <w:r w:rsidRPr="790073F1" w:rsidR="2AD4333D">
        <w:rPr>
          <w:rFonts w:ascii="Aptos" w:hAnsi="Aptos"/>
          <w:sz w:val="24"/>
          <w:szCs w:val="24"/>
          <w:highlight w:val="yellow"/>
        </w:rPr>
        <w:t>.</w:t>
      </w:r>
      <w:r w:rsidRPr="790073F1" w:rsidR="4AADF277">
        <w:rPr>
          <w:rFonts w:ascii="Aptos" w:hAnsi="Aptos"/>
          <w:sz w:val="24"/>
          <w:szCs w:val="24"/>
          <w:highlight w:val="yellow"/>
        </w:rPr>
        <w:t xml:space="preserve"> </w:t>
      </w:r>
      <w:r w:rsidRPr="790073F1" w:rsidR="2329014A">
        <w:rPr>
          <w:rFonts w:ascii="Aptos" w:hAnsi="Aptos"/>
          <w:sz w:val="24"/>
          <w:szCs w:val="24"/>
          <w:highlight w:val="yellow"/>
        </w:rPr>
        <w:t>The Legacy Reg</w:t>
      </w:r>
      <w:r w:rsidRPr="790073F1" w:rsidR="10B0C0B6">
        <w:rPr>
          <w:rFonts w:ascii="Aptos" w:hAnsi="Aptos"/>
          <w:sz w:val="24"/>
          <w:szCs w:val="24"/>
          <w:highlight w:val="yellow"/>
        </w:rPr>
        <w:t>istration</w:t>
      </w:r>
      <w:r w:rsidRPr="790073F1" w:rsidR="748A18A0">
        <w:rPr>
          <w:rFonts w:ascii="Aptos" w:hAnsi="Aptos"/>
          <w:sz w:val="24"/>
          <w:szCs w:val="24"/>
          <w:highlight w:val="yellow"/>
        </w:rPr>
        <w:t xml:space="preserve"> </w:t>
      </w:r>
      <w:r w:rsidRPr="790073F1" w:rsidR="10B0C0B6">
        <w:rPr>
          <w:rFonts w:ascii="Aptos" w:hAnsi="Aptos"/>
          <w:sz w:val="24"/>
          <w:szCs w:val="24"/>
          <w:highlight w:val="yellow"/>
        </w:rPr>
        <w:t>also has an option for some of the fields to be populated in its online system</w:t>
      </w:r>
      <w:r w:rsidRPr="790073F1" w:rsidR="1D6208DC">
        <w:rPr>
          <w:rFonts w:ascii="Aptos" w:hAnsi="Aptos"/>
          <w:sz w:val="24"/>
          <w:szCs w:val="24"/>
          <w:highlight w:val="yellow"/>
        </w:rPr>
        <w:t xml:space="preserve">. However, not all fields of the SRI Form are incorporated </w:t>
      </w:r>
      <w:r w:rsidRPr="790073F1" w:rsidR="5FC6676D">
        <w:rPr>
          <w:rFonts w:ascii="Aptos" w:hAnsi="Aptos"/>
          <w:sz w:val="24"/>
          <w:szCs w:val="24"/>
          <w:highlight w:val="yellow"/>
        </w:rPr>
        <w:t>into</w:t>
      </w:r>
      <w:r w:rsidRPr="790073F1" w:rsidR="1D6208DC">
        <w:rPr>
          <w:rFonts w:ascii="Aptos" w:hAnsi="Aptos"/>
          <w:sz w:val="24"/>
          <w:szCs w:val="24"/>
          <w:highlight w:val="yellow"/>
        </w:rPr>
        <w:t xml:space="preserve"> the Legacy Registration System, so the PI still must complete the SRI Form. </w:t>
      </w:r>
      <w:r w:rsidRPr="790073F1" w:rsidR="5FC6676D">
        <w:rPr>
          <w:rFonts w:ascii="Aptos" w:hAnsi="Aptos"/>
          <w:sz w:val="24"/>
          <w:szCs w:val="24"/>
          <w:highlight w:val="yellow"/>
        </w:rPr>
        <w:t xml:space="preserve">In the New Registration System, </w:t>
      </w:r>
      <w:r w:rsidRPr="790073F1" w:rsidR="4F774B01">
        <w:rPr>
          <w:rFonts w:ascii="Aptos" w:hAnsi="Aptos"/>
          <w:sz w:val="24"/>
          <w:szCs w:val="24"/>
          <w:highlight w:val="yellow"/>
        </w:rPr>
        <w:t>the SRI</w:t>
      </w:r>
      <w:r w:rsidRPr="790073F1" w:rsidR="1AC4B8F1">
        <w:rPr>
          <w:rFonts w:ascii="Aptos" w:hAnsi="Aptos"/>
          <w:sz w:val="24"/>
          <w:szCs w:val="24"/>
          <w:highlight w:val="yellow"/>
        </w:rPr>
        <w:t xml:space="preserve"> Form</w:t>
      </w:r>
      <w:r w:rsidRPr="790073F1" w:rsidR="4F774B01">
        <w:rPr>
          <w:rFonts w:ascii="Aptos" w:hAnsi="Aptos"/>
          <w:sz w:val="24"/>
          <w:szCs w:val="24"/>
          <w:highlight w:val="yellow"/>
        </w:rPr>
        <w:t xml:space="preserve"> is a</w:t>
      </w:r>
      <w:r w:rsidRPr="790073F1" w:rsidR="3EA64830">
        <w:rPr>
          <w:rFonts w:ascii="Aptos" w:hAnsi="Aptos"/>
          <w:sz w:val="24"/>
          <w:szCs w:val="24"/>
          <w:highlight w:val="yellow"/>
        </w:rPr>
        <w:t xml:space="preserve">n online form </w:t>
      </w:r>
      <w:r w:rsidRPr="790073F1" w:rsidR="4F774B01">
        <w:rPr>
          <w:rFonts w:ascii="Aptos" w:hAnsi="Aptos"/>
          <w:sz w:val="24"/>
          <w:szCs w:val="24"/>
          <w:highlight w:val="yellow"/>
        </w:rPr>
        <w:t>that allow</w:t>
      </w:r>
      <w:r w:rsidRPr="790073F1" w:rsidR="66868DCA">
        <w:rPr>
          <w:rFonts w:ascii="Aptos" w:hAnsi="Aptos"/>
          <w:sz w:val="24"/>
          <w:szCs w:val="24"/>
          <w:highlight w:val="yellow"/>
        </w:rPr>
        <w:t>s</w:t>
      </w:r>
      <w:r w:rsidRPr="790073F1" w:rsidR="4F774B01">
        <w:rPr>
          <w:rFonts w:ascii="Aptos" w:hAnsi="Aptos"/>
          <w:sz w:val="24"/>
          <w:szCs w:val="24"/>
          <w:highlight w:val="yellow"/>
        </w:rPr>
        <w:t xml:space="preserve"> the Submitting PI to enter the information themselves</w:t>
      </w:r>
      <w:r w:rsidRPr="790073F1" w:rsidR="1AC4B8F1">
        <w:rPr>
          <w:rFonts w:ascii="Aptos" w:hAnsi="Aptos"/>
          <w:sz w:val="24"/>
          <w:szCs w:val="24"/>
          <w:highlight w:val="yellow"/>
        </w:rPr>
        <w:t xml:space="preserve"> (Attachment 6)</w:t>
      </w:r>
      <w:r w:rsidRPr="790073F1" w:rsidR="5DFB821D">
        <w:rPr>
          <w:rFonts w:ascii="Aptos" w:hAnsi="Aptos"/>
          <w:sz w:val="24"/>
          <w:szCs w:val="24"/>
          <w:highlight w:val="yellow"/>
        </w:rPr>
        <w:t>.</w:t>
      </w:r>
      <w:r w:rsidRPr="790073F1" w:rsidR="38909ACB">
        <w:rPr>
          <w:rFonts w:ascii="Aptos" w:hAnsi="Aptos" w:cs="Times New Roman"/>
          <w:sz w:val="24"/>
          <w:szCs w:val="24"/>
        </w:rPr>
        <w:t xml:space="preserve"> </w:t>
      </w:r>
      <w:r w:rsidRPr="790073F1" w:rsidR="1E2FDDEF">
        <w:rPr>
          <w:rFonts w:ascii="Aptos" w:hAnsi="Aptos" w:cs="Times New Roman"/>
          <w:sz w:val="24"/>
          <w:szCs w:val="24"/>
          <w:highlight w:val="yellow"/>
        </w:rPr>
        <w:t>Data submission is through the Submission Portal that is unchanged in the Legacy Registration System (Attachment 4) and the New Registration System (Attachment 6).</w:t>
      </w:r>
      <w:r w:rsidRPr="790073F1" w:rsidR="1E2FDDEF">
        <w:rPr>
          <w:rFonts w:ascii="Aptos" w:hAnsi="Aptos" w:cs="Times New Roman"/>
          <w:sz w:val="24"/>
          <w:szCs w:val="24"/>
        </w:rPr>
        <w:t xml:space="preserve"> </w:t>
      </w:r>
      <w:r w:rsidRPr="790073F1" w:rsidR="6C54151B">
        <w:rPr>
          <w:rFonts w:ascii="Aptos" w:hAnsi="Aptos" w:cs="Times New Roman"/>
          <w:sz w:val="24"/>
          <w:szCs w:val="24"/>
        </w:rPr>
        <w:t xml:space="preserve">Separately, the </w:t>
      </w:r>
      <w:r w:rsidRPr="790073F1" w:rsidR="4EE997C5">
        <w:rPr>
          <w:rFonts w:ascii="Aptos" w:hAnsi="Aptos" w:cs="Times New Roman"/>
          <w:sz w:val="24"/>
          <w:szCs w:val="24"/>
        </w:rPr>
        <w:t>Submitting I</w:t>
      </w:r>
      <w:r w:rsidRPr="790073F1" w:rsidR="6C54151B">
        <w:rPr>
          <w:rFonts w:ascii="Aptos" w:hAnsi="Aptos" w:cs="Times New Roman"/>
          <w:sz w:val="24"/>
          <w:szCs w:val="24"/>
        </w:rPr>
        <w:t xml:space="preserve">nvestigator </w:t>
      </w:r>
      <w:r w:rsidRPr="790073F1" w:rsidR="294FA597">
        <w:rPr>
          <w:rFonts w:ascii="Aptos" w:hAnsi="Aptos" w:cs="Times New Roman"/>
          <w:sz w:val="24"/>
          <w:szCs w:val="24"/>
        </w:rPr>
        <w:t xml:space="preserve">must also provide </w:t>
      </w:r>
      <w:r w:rsidRPr="790073F1" w:rsidR="38909ACB">
        <w:rPr>
          <w:rFonts w:ascii="Aptos" w:hAnsi="Aptos" w:cs="Times New Roman"/>
          <w:sz w:val="24"/>
          <w:szCs w:val="24"/>
        </w:rPr>
        <w:t xml:space="preserve">institutional assurance of </w:t>
      </w:r>
      <w:r w:rsidRPr="790073F1" w:rsidR="5EE2CF5A">
        <w:rPr>
          <w:rFonts w:ascii="Aptos" w:hAnsi="Aptos" w:cs="Times New Roman"/>
          <w:sz w:val="24"/>
          <w:szCs w:val="24"/>
        </w:rPr>
        <w:t>data</w:t>
      </w:r>
      <w:r w:rsidRPr="790073F1" w:rsidR="38909ACB">
        <w:rPr>
          <w:rFonts w:ascii="Aptos" w:hAnsi="Aptos" w:cs="Times New Roman"/>
          <w:sz w:val="24"/>
          <w:szCs w:val="24"/>
        </w:rPr>
        <w:t xml:space="preserve"> submission (</w:t>
      </w:r>
      <w:r w:rsidRPr="790073F1" w:rsidR="6AA69938">
        <w:rPr>
          <w:rFonts w:ascii="Aptos" w:hAnsi="Aptos" w:cs="Times New Roman"/>
          <w:sz w:val="24"/>
          <w:szCs w:val="24"/>
        </w:rPr>
        <w:t>e.g</w:t>
      </w:r>
      <w:r w:rsidRPr="790073F1" w:rsidR="38909ACB">
        <w:rPr>
          <w:rFonts w:ascii="Aptos" w:hAnsi="Aptos" w:cs="Times New Roman"/>
          <w:sz w:val="24"/>
          <w:szCs w:val="24"/>
        </w:rPr>
        <w:t>., an Institutional Certification</w:t>
      </w:r>
      <w:r w:rsidRPr="790073F1" w:rsidR="6AA69938">
        <w:rPr>
          <w:rFonts w:ascii="Aptos" w:hAnsi="Aptos" w:cs="Times New Roman"/>
          <w:sz w:val="24"/>
          <w:szCs w:val="24"/>
        </w:rPr>
        <w:t>,</w:t>
      </w:r>
      <w:r w:rsidRPr="790073F1" w:rsidR="774FD941">
        <w:rPr>
          <w:rFonts w:ascii="Aptos" w:hAnsi="Aptos" w:cs="Times New Roman"/>
          <w:sz w:val="24"/>
          <w:szCs w:val="24"/>
        </w:rPr>
        <w:t xml:space="preserve"> Data Submission Certification</w:t>
      </w:r>
      <w:r w:rsidRPr="790073F1" w:rsidR="38909ACB">
        <w:rPr>
          <w:rFonts w:ascii="Aptos" w:hAnsi="Aptos" w:cs="Times New Roman"/>
          <w:sz w:val="24"/>
          <w:szCs w:val="24"/>
        </w:rPr>
        <w:t>)</w:t>
      </w:r>
      <w:r w:rsidRPr="790073F1" w:rsidR="6A53A6F1">
        <w:rPr>
          <w:rFonts w:ascii="Aptos" w:hAnsi="Aptos" w:cs="Times New Roman"/>
          <w:sz w:val="24"/>
          <w:szCs w:val="24"/>
        </w:rPr>
        <w:t xml:space="preserve"> </w:t>
      </w:r>
      <w:r w:rsidRPr="790073F1" w:rsidR="6C54151B">
        <w:rPr>
          <w:rFonts w:ascii="Aptos" w:hAnsi="Aptos" w:cs="Times New Roman"/>
          <w:sz w:val="24"/>
          <w:szCs w:val="24"/>
        </w:rPr>
        <w:t>that data are appropriate to share with NIH tak</w:t>
      </w:r>
      <w:r w:rsidRPr="790073F1" w:rsidR="003F1EBE">
        <w:rPr>
          <w:rFonts w:ascii="Aptos" w:hAnsi="Aptos" w:cs="Times New Roman"/>
          <w:sz w:val="24"/>
          <w:szCs w:val="24"/>
        </w:rPr>
        <w:t>ing</w:t>
      </w:r>
      <w:r w:rsidRPr="790073F1" w:rsidR="6C54151B">
        <w:rPr>
          <w:rFonts w:ascii="Aptos" w:hAnsi="Aptos" w:cs="Times New Roman"/>
          <w:sz w:val="24"/>
          <w:szCs w:val="24"/>
        </w:rPr>
        <w:t xml:space="preserve"> into consideration the risks of sharing the data</w:t>
      </w:r>
      <w:r w:rsidRPr="790073F1" w:rsidR="414249D9">
        <w:rPr>
          <w:rFonts w:ascii="Aptos" w:hAnsi="Aptos" w:cs="Times New Roman"/>
          <w:sz w:val="24"/>
          <w:szCs w:val="24"/>
        </w:rPr>
        <w:t xml:space="preserve"> as well as any limitation on use (e.g., Data Use Limitations, DULs).</w:t>
      </w:r>
      <w:r w:rsidRPr="790073F1" w:rsidR="38909ACB">
        <w:rPr>
          <w:rFonts w:ascii="Aptos" w:hAnsi="Aptos" w:cs="Times New Roman"/>
          <w:sz w:val="24"/>
          <w:szCs w:val="24"/>
        </w:rPr>
        <w:t xml:space="preserve"> </w:t>
      </w:r>
      <w:r w:rsidRPr="790073F1" w:rsidR="5AB4D171">
        <w:rPr>
          <w:rFonts w:ascii="Aptos" w:hAnsi="Aptos" w:cs="Times New Roman"/>
          <w:sz w:val="24"/>
          <w:szCs w:val="24"/>
        </w:rPr>
        <w:t xml:space="preserve">NIH </w:t>
      </w:r>
      <w:r w:rsidRPr="790073F1" w:rsidR="0F2C7605">
        <w:rPr>
          <w:rFonts w:ascii="Aptos" w:hAnsi="Aptos" w:cs="Times New Roman"/>
          <w:sz w:val="24"/>
          <w:szCs w:val="24"/>
        </w:rPr>
        <w:t xml:space="preserve">staff then enter information from the data submission </w:t>
      </w:r>
      <w:r w:rsidRPr="790073F1" w:rsidR="4C0D392E">
        <w:rPr>
          <w:rFonts w:ascii="Aptos" w:hAnsi="Aptos" w:cs="Times New Roman"/>
          <w:sz w:val="24"/>
          <w:szCs w:val="24"/>
        </w:rPr>
        <w:t>form into</w:t>
      </w:r>
      <w:r w:rsidRPr="790073F1" w:rsidR="0F2C7605">
        <w:rPr>
          <w:rFonts w:ascii="Aptos" w:hAnsi="Aptos" w:cs="Times New Roman"/>
          <w:sz w:val="24"/>
          <w:szCs w:val="24"/>
        </w:rPr>
        <w:t xml:space="preserve"> the </w:t>
      </w:r>
      <w:r w:rsidRPr="790073F1" w:rsidR="0F2C7605">
        <w:rPr>
          <w:rFonts w:ascii="Aptos" w:hAnsi="Aptos" w:cs="Times New Roman"/>
          <w:sz w:val="24"/>
          <w:szCs w:val="24"/>
        </w:rPr>
        <w:t>dbGaP</w:t>
      </w:r>
      <w:r w:rsidRPr="790073F1" w:rsidR="0F2C7605">
        <w:rPr>
          <w:rFonts w:ascii="Aptos" w:hAnsi="Aptos" w:cs="Times New Roman"/>
          <w:sz w:val="24"/>
          <w:szCs w:val="24"/>
        </w:rPr>
        <w:t xml:space="preserve"> registration </w:t>
      </w:r>
      <w:r w:rsidRPr="790073F1" w:rsidR="465D5EF8">
        <w:rPr>
          <w:rFonts w:ascii="Aptos" w:hAnsi="Aptos" w:cs="Times New Roman"/>
          <w:sz w:val="24"/>
          <w:szCs w:val="24"/>
        </w:rPr>
        <w:t xml:space="preserve">(legacy and new system) </w:t>
      </w:r>
      <w:r w:rsidRPr="790073F1" w:rsidR="0F2C7605">
        <w:rPr>
          <w:rFonts w:ascii="Aptos" w:hAnsi="Aptos" w:cs="Times New Roman"/>
          <w:sz w:val="24"/>
          <w:szCs w:val="24"/>
        </w:rPr>
        <w:t xml:space="preserve">which is transmitted to the </w:t>
      </w:r>
      <w:r w:rsidRPr="790073F1" w:rsidR="0F2C7605">
        <w:rPr>
          <w:rFonts w:ascii="Aptos" w:hAnsi="Aptos" w:cs="Times New Roman"/>
          <w:sz w:val="24"/>
          <w:szCs w:val="24"/>
        </w:rPr>
        <w:t>dbGaP</w:t>
      </w:r>
      <w:r w:rsidRPr="790073F1" w:rsidR="0F2C7605">
        <w:rPr>
          <w:rFonts w:ascii="Aptos" w:hAnsi="Aptos" w:cs="Times New Roman"/>
          <w:sz w:val="24"/>
          <w:szCs w:val="24"/>
        </w:rPr>
        <w:t xml:space="preserve"> Authorized Access system </w:t>
      </w:r>
      <w:r w:rsidRPr="790073F1" w:rsidR="65CF3A56">
        <w:rPr>
          <w:rFonts w:ascii="Aptos" w:hAnsi="Aptos" w:cs="Times New Roman"/>
          <w:sz w:val="24"/>
          <w:szCs w:val="24"/>
        </w:rPr>
        <w:t xml:space="preserve">(legacy and new system) </w:t>
      </w:r>
      <w:r w:rsidRPr="790073F1" w:rsidR="0F2C7605">
        <w:rPr>
          <w:rFonts w:ascii="Aptos" w:hAnsi="Aptos" w:cs="Times New Roman"/>
          <w:sz w:val="24"/>
          <w:szCs w:val="24"/>
        </w:rPr>
        <w:t xml:space="preserve">so that the data are shared according </w:t>
      </w:r>
      <w:r w:rsidRPr="790073F1" w:rsidR="4EE997C5">
        <w:rPr>
          <w:rFonts w:ascii="Aptos" w:hAnsi="Aptos" w:cs="Times New Roman"/>
          <w:sz w:val="24"/>
          <w:szCs w:val="24"/>
        </w:rPr>
        <w:t xml:space="preserve">to the limitations indicated by the Submitting Investigator and their institution. </w:t>
      </w:r>
    </w:p>
    <w:p w:rsidR="00CF1354" w:rsidRPr="001921C2" w:rsidP="00CF1354" w14:paraId="2006CD0F" w14:textId="099645A6">
      <w:pPr>
        <w:rPr>
          <w:rFonts w:ascii="Aptos" w:hAnsi="Aptos" w:cs="Times New Roman"/>
          <w:sz w:val="24"/>
          <w:szCs w:val="24"/>
        </w:rPr>
      </w:pPr>
      <w:r>
        <w:rPr>
          <w:rFonts w:ascii="Aptos" w:hAnsi="Aptos" w:cs="Times New Roman"/>
          <w:sz w:val="24"/>
          <w:szCs w:val="24"/>
        </w:rPr>
        <w:t>Principal Investigators (PIs)</w:t>
      </w:r>
      <w:r w:rsidRPr="001921C2" w:rsidR="00590521">
        <w:rPr>
          <w:rFonts w:ascii="Aptos" w:hAnsi="Aptos" w:cs="Times New Roman"/>
          <w:sz w:val="24"/>
          <w:szCs w:val="24"/>
        </w:rPr>
        <w:t xml:space="preserve"> </w:t>
      </w:r>
      <w:r w:rsidRPr="001921C2">
        <w:rPr>
          <w:rFonts w:ascii="Aptos" w:hAnsi="Aptos" w:cs="Times New Roman"/>
          <w:sz w:val="24"/>
          <w:szCs w:val="24"/>
        </w:rPr>
        <w:t>interested in using controlled</w:t>
      </w:r>
      <w:r w:rsidRPr="001921C2" w:rsidR="00D85EAC">
        <w:rPr>
          <w:rFonts w:ascii="Aptos" w:hAnsi="Aptos" w:cs="Times New Roman"/>
          <w:sz w:val="24"/>
          <w:szCs w:val="24"/>
        </w:rPr>
        <w:t>-</w:t>
      </w:r>
      <w:r w:rsidRPr="001921C2">
        <w:rPr>
          <w:rFonts w:ascii="Aptos" w:hAnsi="Aptos" w:cs="Times New Roman"/>
          <w:sz w:val="24"/>
          <w:szCs w:val="24"/>
        </w:rPr>
        <w:t xml:space="preserve">access human </w:t>
      </w:r>
      <w:r w:rsidR="0089543B">
        <w:rPr>
          <w:rFonts w:ascii="Aptos" w:hAnsi="Aptos" w:cs="Times New Roman"/>
          <w:sz w:val="24"/>
          <w:szCs w:val="24"/>
        </w:rPr>
        <w:t xml:space="preserve">and associated data or other controlled </w:t>
      </w:r>
      <w:r w:rsidRPr="001921C2">
        <w:rPr>
          <w:rFonts w:ascii="Aptos" w:hAnsi="Aptos" w:cs="Times New Roman"/>
          <w:sz w:val="24"/>
          <w:szCs w:val="24"/>
        </w:rPr>
        <w:t>data for secondary research must</w:t>
      </w:r>
      <w:r w:rsidRPr="001921C2" w:rsidR="00DB548E">
        <w:rPr>
          <w:rFonts w:ascii="Aptos" w:hAnsi="Aptos" w:cs="Times New Roman"/>
          <w:sz w:val="24"/>
          <w:szCs w:val="24"/>
        </w:rPr>
        <w:t xml:space="preserve"> first</w:t>
      </w:r>
      <w:r w:rsidRPr="001921C2">
        <w:rPr>
          <w:rFonts w:ascii="Aptos" w:hAnsi="Aptos" w:cs="Times New Roman"/>
          <w:sz w:val="24"/>
          <w:szCs w:val="24"/>
        </w:rPr>
        <w:t xml:space="preserve"> apply </w:t>
      </w:r>
      <w:r w:rsidRPr="001921C2" w:rsidR="00BE5828">
        <w:rPr>
          <w:rFonts w:ascii="Aptos" w:hAnsi="Aptos" w:cs="Times New Roman"/>
          <w:sz w:val="24"/>
          <w:szCs w:val="24"/>
        </w:rPr>
        <w:t xml:space="preserve">for access </w:t>
      </w:r>
      <w:r w:rsidRPr="001921C2">
        <w:rPr>
          <w:rFonts w:ascii="Aptos" w:hAnsi="Aptos" w:cs="Times New Roman"/>
          <w:sz w:val="24"/>
          <w:szCs w:val="24"/>
        </w:rPr>
        <w:t>through</w:t>
      </w:r>
      <w:r w:rsidRPr="001921C2" w:rsidR="00943D07">
        <w:rPr>
          <w:rFonts w:ascii="Aptos" w:hAnsi="Aptos" w:cs="Times New Roman"/>
          <w:sz w:val="24"/>
          <w:szCs w:val="24"/>
        </w:rPr>
        <w:t xml:space="preserve"> the</w:t>
      </w:r>
      <w:r w:rsidRPr="001921C2">
        <w:rPr>
          <w:rFonts w:ascii="Aptos" w:hAnsi="Aptos" w:cs="Times New Roman"/>
          <w:sz w:val="24"/>
          <w:szCs w:val="24"/>
        </w:rPr>
        <w:t xml:space="preserve"> </w:t>
      </w:r>
      <w:r w:rsidRPr="001921C2">
        <w:rPr>
          <w:rFonts w:ascii="Aptos" w:hAnsi="Aptos" w:cs="Times New Roman"/>
          <w:sz w:val="24"/>
          <w:szCs w:val="24"/>
        </w:rPr>
        <w:t>dbGaP</w:t>
      </w:r>
      <w:r w:rsidRPr="001921C2" w:rsidR="00943D07">
        <w:rPr>
          <w:rFonts w:ascii="Aptos" w:hAnsi="Aptos" w:cs="Times New Roman"/>
          <w:sz w:val="24"/>
          <w:szCs w:val="24"/>
        </w:rPr>
        <w:t xml:space="preserve"> Authorized Access </w:t>
      </w:r>
      <w:r w:rsidR="00EE4595">
        <w:rPr>
          <w:rFonts w:ascii="Aptos" w:hAnsi="Aptos" w:cs="Times New Roman"/>
          <w:sz w:val="24"/>
          <w:szCs w:val="24"/>
        </w:rPr>
        <w:t>by submitting a</w:t>
      </w:r>
      <w:r w:rsidR="00E03C8A">
        <w:rPr>
          <w:rFonts w:ascii="Aptos" w:hAnsi="Aptos" w:cs="Times New Roman"/>
          <w:sz w:val="24"/>
          <w:szCs w:val="24"/>
        </w:rPr>
        <w:t>n initial</w:t>
      </w:r>
      <w:r w:rsidR="00EE4595">
        <w:rPr>
          <w:rFonts w:ascii="Aptos" w:hAnsi="Aptos" w:cs="Times New Roman"/>
          <w:sz w:val="24"/>
          <w:szCs w:val="24"/>
        </w:rPr>
        <w:t xml:space="preserve"> Data Access Request (DAR)</w:t>
      </w:r>
      <w:r w:rsidR="00247050">
        <w:rPr>
          <w:rFonts w:ascii="Aptos" w:hAnsi="Aptos" w:cs="Times New Roman"/>
          <w:sz w:val="24"/>
          <w:szCs w:val="24"/>
        </w:rPr>
        <w:t xml:space="preserve"> application</w:t>
      </w:r>
      <w:r w:rsidR="00E73917">
        <w:rPr>
          <w:rFonts w:ascii="Aptos" w:hAnsi="Aptos" w:cs="Times New Roman"/>
          <w:sz w:val="24"/>
          <w:szCs w:val="24"/>
        </w:rPr>
        <w:t xml:space="preserve">. The DAR </w:t>
      </w:r>
      <w:r w:rsidR="00E03C8A">
        <w:rPr>
          <w:rFonts w:ascii="Aptos" w:hAnsi="Aptos" w:cs="Times New Roman"/>
          <w:sz w:val="24"/>
          <w:szCs w:val="24"/>
        </w:rPr>
        <w:t xml:space="preserve">application </w:t>
      </w:r>
      <w:r w:rsidR="00E73917">
        <w:rPr>
          <w:rFonts w:ascii="Aptos" w:hAnsi="Aptos" w:cs="Times New Roman"/>
          <w:sz w:val="24"/>
          <w:szCs w:val="24"/>
        </w:rPr>
        <w:t>is reviewed by the NIH Data Access Committee (DAC)</w:t>
      </w:r>
      <w:r w:rsidR="00F65A08">
        <w:rPr>
          <w:rFonts w:ascii="Aptos" w:hAnsi="Aptos" w:cs="Times New Roman"/>
          <w:sz w:val="24"/>
          <w:szCs w:val="24"/>
        </w:rPr>
        <w:t>,</w:t>
      </w:r>
      <w:r w:rsidR="00E73917">
        <w:rPr>
          <w:rFonts w:ascii="Aptos" w:hAnsi="Aptos" w:cs="Times New Roman"/>
          <w:sz w:val="24"/>
          <w:szCs w:val="24"/>
        </w:rPr>
        <w:t xml:space="preserve"> composed of federal employee</w:t>
      </w:r>
      <w:r w:rsidR="00B838A2">
        <w:rPr>
          <w:rFonts w:ascii="Aptos" w:hAnsi="Aptos" w:cs="Times New Roman"/>
          <w:sz w:val="24"/>
          <w:szCs w:val="24"/>
        </w:rPr>
        <w:t>s</w:t>
      </w:r>
      <w:r w:rsidR="00F65A08">
        <w:rPr>
          <w:rFonts w:ascii="Aptos" w:hAnsi="Aptos" w:cs="Times New Roman"/>
          <w:sz w:val="24"/>
          <w:szCs w:val="24"/>
        </w:rPr>
        <w:t xml:space="preserve"> with the appropriate expertise, who grant </w:t>
      </w:r>
      <w:r w:rsidR="00AB63C1">
        <w:rPr>
          <w:rFonts w:ascii="Aptos" w:hAnsi="Aptos" w:cs="Times New Roman"/>
          <w:sz w:val="24"/>
          <w:szCs w:val="24"/>
        </w:rPr>
        <w:t xml:space="preserve">investigator access to the data. </w:t>
      </w:r>
      <w:r w:rsidRPr="001921C2" w:rsidR="001024CE">
        <w:rPr>
          <w:rFonts w:ascii="Aptos" w:hAnsi="Aptos" w:cs="Times New Roman"/>
          <w:sz w:val="24"/>
          <w:szCs w:val="24"/>
        </w:rPr>
        <w:t xml:space="preserve">system </w:t>
      </w:r>
      <w:r w:rsidRPr="001921C2">
        <w:rPr>
          <w:rFonts w:ascii="Aptos" w:hAnsi="Aptos" w:cs="Times New Roman"/>
          <w:sz w:val="24"/>
          <w:szCs w:val="24"/>
        </w:rPr>
        <w:t xml:space="preserve">As part of the </w:t>
      </w:r>
      <w:r w:rsidR="00AB63C1">
        <w:rPr>
          <w:rFonts w:ascii="Aptos" w:hAnsi="Aptos" w:cs="Times New Roman"/>
          <w:sz w:val="24"/>
          <w:szCs w:val="24"/>
        </w:rPr>
        <w:t>DAR</w:t>
      </w:r>
      <w:r w:rsidRPr="001921C2" w:rsidR="00AB63C1">
        <w:rPr>
          <w:rFonts w:ascii="Aptos" w:hAnsi="Aptos" w:cs="Times New Roman"/>
          <w:sz w:val="24"/>
          <w:szCs w:val="24"/>
        </w:rPr>
        <w:t xml:space="preserve"> </w:t>
      </w:r>
      <w:r w:rsidRPr="001921C2">
        <w:rPr>
          <w:rFonts w:ascii="Aptos" w:hAnsi="Aptos" w:cs="Times New Roman"/>
          <w:sz w:val="24"/>
          <w:szCs w:val="24"/>
        </w:rPr>
        <w:t xml:space="preserve">process, </w:t>
      </w:r>
      <w:r>
        <w:rPr>
          <w:rFonts w:ascii="Aptos" w:hAnsi="Aptos" w:cs="Times New Roman"/>
          <w:sz w:val="24"/>
          <w:szCs w:val="24"/>
        </w:rPr>
        <w:t>PIs</w:t>
      </w:r>
      <w:r w:rsidRPr="001921C2" w:rsidR="007164F7">
        <w:rPr>
          <w:rFonts w:ascii="Aptos" w:hAnsi="Aptos" w:cs="Times New Roman"/>
          <w:sz w:val="24"/>
          <w:szCs w:val="24"/>
        </w:rPr>
        <w:t xml:space="preserve"> </w:t>
      </w:r>
      <w:r w:rsidRPr="001921C2">
        <w:rPr>
          <w:rFonts w:ascii="Aptos" w:hAnsi="Aptos" w:cs="Times New Roman"/>
          <w:sz w:val="24"/>
          <w:szCs w:val="24"/>
        </w:rPr>
        <w:t>and their institution</w:t>
      </w:r>
      <w:r w:rsidRPr="001921C2" w:rsidR="00B75C6B">
        <w:rPr>
          <w:rFonts w:ascii="Aptos" w:hAnsi="Aptos" w:cs="Times New Roman"/>
          <w:sz w:val="24"/>
          <w:szCs w:val="24"/>
        </w:rPr>
        <w:t>s</w:t>
      </w:r>
      <w:r w:rsidR="00AD6C33">
        <w:rPr>
          <w:rFonts w:ascii="Aptos" w:hAnsi="Aptos" w:cs="Times New Roman"/>
          <w:sz w:val="24"/>
          <w:szCs w:val="24"/>
        </w:rPr>
        <w:t xml:space="preserve"> (through </w:t>
      </w:r>
      <w:r w:rsidR="00AD6C33">
        <w:rPr>
          <w:rFonts w:ascii="Aptos" w:hAnsi="Aptos" w:cs="Times New Roman"/>
          <w:sz w:val="24"/>
          <w:szCs w:val="24"/>
        </w:rPr>
        <w:t>the Institutional Signing Official (SO)</w:t>
      </w:r>
      <w:r w:rsidR="001D452A">
        <w:rPr>
          <w:rFonts w:ascii="Aptos" w:hAnsi="Aptos" w:cs="Times New Roman"/>
          <w:sz w:val="24"/>
          <w:szCs w:val="24"/>
        </w:rPr>
        <w:t>)</w:t>
      </w:r>
      <w:r w:rsidRPr="001921C2">
        <w:rPr>
          <w:rFonts w:ascii="Aptos" w:hAnsi="Aptos" w:cs="Times New Roman"/>
          <w:sz w:val="24"/>
          <w:szCs w:val="24"/>
        </w:rPr>
        <w:t xml:space="preserve"> provide</w:t>
      </w:r>
      <w:r w:rsidR="00C54F0A">
        <w:rPr>
          <w:rFonts w:ascii="Aptos" w:hAnsi="Aptos" w:cs="Times New Roman"/>
          <w:sz w:val="24"/>
          <w:szCs w:val="24"/>
        </w:rPr>
        <w:t xml:space="preserve"> information about the </w:t>
      </w:r>
      <w:r>
        <w:rPr>
          <w:rFonts w:ascii="Aptos" w:hAnsi="Aptos" w:cs="Times New Roman"/>
          <w:sz w:val="24"/>
          <w:szCs w:val="24"/>
        </w:rPr>
        <w:t>PI</w:t>
      </w:r>
      <w:r w:rsidR="00C54F0A">
        <w:rPr>
          <w:rFonts w:ascii="Aptos" w:hAnsi="Aptos" w:cs="Times New Roman"/>
          <w:sz w:val="24"/>
          <w:szCs w:val="24"/>
        </w:rPr>
        <w:t xml:space="preserve"> and their institution,</w:t>
      </w:r>
      <w:r w:rsidR="007164F7">
        <w:rPr>
          <w:rFonts w:ascii="Aptos" w:hAnsi="Aptos" w:cs="Times New Roman"/>
          <w:sz w:val="24"/>
          <w:szCs w:val="24"/>
        </w:rPr>
        <w:t xml:space="preserve"> </w:t>
      </w:r>
      <w:r w:rsidR="00065124">
        <w:rPr>
          <w:rFonts w:ascii="Aptos" w:hAnsi="Aptos" w:cs="Times New Roman"/>
          <w:sz w:val="24"/>
          <w:szCs w:val="24"/>
        </w:rPr>
        <w:t>internal or external collaborators</w:t>
      </w:r>
      <w:r w:rsidR="001F5B63">
        <w:rPr>
          <w:rFonts w:ascii="Aptos" w:hAnsi="Aptos" w:cs="Times New Roman"/>
          <w:sz w:val="24"/>
          <w:szCs w:val="24"/>
        </w:rPr>
        <w:t>,</w:t>
      </w:r>
      <w:r w:rsidR="000F708F">
        <w:rPr>
          <w:rFonts w:ascii="Aptos" w:hAnsi="Aptos" w:cs="Times New Roman"/>
          <w:sz w:val="24"/>
          <w:szCs w:val="24"/>
        </w:rPr>
        <w:t xml:space="preserve"> Information Technology (IT) Director</w:t>
      </w:r>
      <w:r w:rsidR="00065124">
        <w:rPr>
          <w:rFonts w:ascii="Aptos" w:hAnsi="Aptos" w:cs="Times New Roman"/>
          <w:sz w:val="24"/>
          <w:szCs w:val="24"/>
        </w:rPr>
        <w:t xml:space="preserve">, </w:t>
      </w:r>
      <w:r w:rsidR="007164F7">
        <w:rPr>
          <w:rFonts w:ascii="Aptos" w:hAnsi="Aptos" w:cs="Times New Roman"/>
          <w:sz w:val="24"/>
          <w:szCs w:val="24"/>
        </w:rPr>
        <w:t>information about</w:t>
      </w:r>
      <w:r w:rsidRPr="001921C2">
        <w:rPr>
          <w:rFonts w:ascii="Aptos" w:hAnsi="Aptos" w:cs="Times New Roman"/>
          <w:sz w:val="24"/>
          <w:szCs w:val="24"/>
        </w:rPr>
        <w:t xml:space="preserve"> </w:t>
      </w:r>
      <w:r w:rsidRPr="001921C2" w:rsidR="00CD30A6">
        <w:rPr>
          <w:rFonts w:ascii="Aptos" w:hAnsi="Aptos" w:cs="Times New Roman"/>
          <w:sz w:val="24"/>
          <w:szCs w:val="24"/>
        </w:rPr>
        <w:t>the</w:t>
      </w:r>
      <w:r w:rsidRPr="001921C2" w:rsidR="00D97AD9">
        <w:rPr>
          <w:rFonts w:ascii="Aptos" w:hAnsi="Aptos" w:cs="Times New Roman"/>
          <w:sz w:val="24"/>
          <w:szCs w:val="24"/>
        </w:rPr>
        <w:t xml:space="preserve"> </w:t>
      </w:r>
      <w:r w:rsidRPr="001921C2">
        <w:rPr>
          <w:rFonts w:ascii="Aptos" w:hAnsi="Aptos" w:cs="Times New Roman"/>
          <w:sz w:val="24"/>
          <w:szCs w:val="24"/>
        </w:rPr>
        <w:t>proposed research use of the data</w:t>
      </w:r>
      <w:r w:rsidR="001E5519">
        <w:rPr>
          <w:rFonts w:ascii="Aptos" w:hAnsi="Aptos" w:cs="Times New Roman"/>
          <w:sz w:val="24"/>
          <w:szCs w:val="24"/>
        </w:rPr>
        <w:t>, select data of interest,</w:t>
      </w:r>
      <w:r w:rsidR="00447CB1">
        <w:rPr>
          <w:rFonts w:ascii="Aptos" w:hAnsi="Aptos" w:cs="Times New Roman"/>
          <w:sz w:val="24"/>
          <w:szCs w:val="24"/>
        </w:rPr>
        <w:t xml:space="preserve"> </w:t>
      </w:r>
      <w:r w:rsidR="001E5519">
        <w:rPr>
          <w:rFonts w:ascii="Aptos" w:hAnsi="Aptos" w:cs="Times New Roman"/>
          <w:sz w:val="24"/>
          <w:szCs w:val="24"/>
        </w:rPr>
        <w:t xml:space="preserve">attest to </w:t>
      </w:r>
      <w:r w:rsidR="00550F9C">
        <w:rPr>
          <w:rFonts w:ascii="Aptos" w:hAnsi="Aptos" w:cs="Times New Roman"/>
          <w:sz w:val="24"/>
          <w:szCs w:val="24"/>
        </w:rPr>
        <w:t xml:space="preserve">secure the data according to the </w:t>
      </w:r>
      <w:hyperlink r:id="rId12" w:history="1">
        <w:r w:rsidRPr="000C48DA" w:rsidR="00550F9C">
          <w:rPr>
            <w:rStyle w:val="Hyperlink"/>
            <w:rFonts w:ascii="Aptos" w:hAnsi="Aptos" w:cs="Times New Roman"/>
            <w:sz w:val="24"/>
            <w:szCs w:val="24"/>
          </w:rPr>
          <w:t>NIH Security Best Practices for Users of Controlled-Access Data</w:t>
        </w:r>
      </w:hyperlink>
      <w:r w:rsidR="001F5B63">
        <w:rPr>
          <w:rFonts w:ascii="Aptos" w:hAnsi="Aptos" w:cs="Times New Roman"/>
          <w:sz w:val="24"/>
          <w:szCs w:val="24"/>
        </w:rPr>
        <w:t>,</w:t>
      </w:r>
      <w:r w:rsidRPr="001921C2" w:rsidR="002D4823">
        <w:rPr>
          <w:rFonts w:ascii="Aptos" w:hAnsi="Aptos" w:cs="Times New Roman"/>
          <w:sz w:val="24"/>
          <w:szCs w:val="24"/>
        </w:rPr>
        <w:t xml:space="preserve"> and</w:t>
      </w:r>
      <w:r w:rsidRPr="001921C2" w:rsidR="00D200C7">
        <w:rPr>
          <w:rFonts w:ascii="Aptos" w:hAnsi="Aptos" w:cs="Times New Roman"/>
          <w:sz w:val="24"/>
          <w:szCs w:val="24"/>
        </w:rPr>
        <w:t xml:space="preserve"> </w:t>
      </w:r>
      <w:r w:rsidRPr="001921C2" w:rsidR="00B302D0">
        <w:rPr>
          <w:rFonts w:ascii="Aptos" w:hAnsi="Aptos" w:cs="Times New Roman"/>
          <w:sz w:val="24"/>
          <w:szCs w:val="24"/>
        </w:rPr>
        <w:t xml:space="preserve">agree to </w:t>
      </w:r>
      <w:r w:rsidRPr="001921C2" w:rsidR="009927D4">
        <w:rPr>
          <w:rFonts w:ascii="Aptos" w:hAnsi="Aptos" w:cs="Times New Roman"/>
          <w:sz w:val="24"/>
          <w:szCs w:val="24"/>
        </w:rPr>
        <w:t>the</w:t>
      </w:r>
      <w:r w:rsidRPr="001921C2" w:rsidR="00C70A94">
        <w:rPr>
          <w:rFonts w:ascii="Aptos" w:hAnsi="Aptos" w:cs="Times New Roman"/>
          <w:sz w:val="24"/>
          <w:szCs w:val="24"/>
        </w:rPr>
        <w:t xml:space="preserve"> </w:t>
      </w:r>
      <w:r w:rsidRPr="001921C2" w:rsidR="00B302D0">
        <w:rPr>
          <w:rFonts w:ascii="Aptos" w:hAnsi="Aptos" w:cs="Times New Roman"/>
          <w:sz w:val="24"/>
          <w:szCs w:val="24"/>
        </w:rPr>
        <w:t xml:space="preserve">terms of access delineated in the </w:t>
      </w:r>
      <w:r w:rsidR="001E5519">
        <w:rPr>
          <w:rFonts w:ascii="Aptos" w:hAnsi="Aptos" w:cs="Times New Roman"/>
          <w:sz w:val="24"/>
          <w:szCs w:val="24"/>
        </w:rPr>
        <w:t>Data Use Certification or similar agreement</w:t>
      </w:r>
      <w:r w:rsidR="00924FD8">
        <w:rPr>
          <w:rFonts w:ascii="Aptos" w:hAnsi="Aptos" w:cs="Times New Roman"/>
          <w:sz w:val="24"/>
          <w:szCs w:val="24"/>
        </w:rPr>
        <w:t>s</w:t>
      </w:r>
      <w:r w:rsidR="001F5B63">
        <w:rPr>
          <w:rFonts w:ascii="Aptos" w:hAnsi="Aptos" w:cs="Times New Roman"/>
          <w:sz w:val="24"/>
          <w:szCs w:val="24"/>
        </w:rPr>
        <w:t>.</w:t>
      </w:r>
      <w:r w:rsidR="0049752D">
        <w:rPr>
          <w:rFonts w:ascii="Aptos" w:hAnsi="Aptos" w:cs="Times New Roman"/>
          <w:sz w:val="24"/>
          <w:szCs w:val="24"/>
        </w:rPr>
        <w:t xml:space="preserve"> Access is for 1 year and it is expected the PI submit a progress report in the form of a Renewal or Close-out. This is expected in the </w:t>
      </w:r>
      <w:r w:rsidR="003C48E6">
        <w:rPr>
          <w:rFonts w:ascii="Aptos" w:hAnsi="Aptos" w:cs="Times New Roman"/>
          <w:sz w:val="24"/>
          <w:szCs w:val="24"/>
        </w:rPr>
        <w:t xml:space="preserve">Legacy </w:t>
      </w:r>
      <w:r w:rsidR="003C48E6">
        <w:rPr>
          <w:rFonts w:ascii="Aptos" w:hAnsi="Aptos" w:cs="Times New Roman"/>
          <w:sz w:val="24"/>
          <w:szCs w:val="24"/>
        </w:rPr>
        <w:t>dbGaP</w:t>
      </w:r>
      <w:r w:rsidR="003C48E6">
        <w:rPr>
          <w:rFonts w:ascii="Aptos" w:hAnsi="Aptos" w:cs="Times New Roman"/>
          <w:sz w:val="24"/>
          <w:szCs w:val="24"/>
        </w:rPr>
        <w:t xml:space="preserve"> Authorized Access System </w:t>
      </w:r>
      <w:r w:rsidR="006D19AA">
        <w:rPr>
          <w:rFonts w:ascii="Aptos" w:hAnsi="Aptos" w:cs="Times New Roman"/>
          <w:sz w:val="24"/>
          <w:szCs w:val="24"/>
        </w:rPr>
        <w:t xml:space="preserve">(Attachment 5) </w:t>
      </w:r>
      <w:r w:rsidR="003C48E6">
        <w:rPr>
          <w:rFonts w:ascii="Aptos" w:hAnsi="Aptos" w:cs="Times New Roman"/>
          <w:sz w:val="24"/>
          <w:szCs w:val="24"/>
        </w:rPr>
        <w:t xml:space="preserve">and the New </w:t>
      </w:r>
      <w:r w:rsidR="003C48E6">
        <w:rPr>
          <w:rFonts w:ascii="Aptos" w:hAnsi="Aptos" w:cs="Times New Roman"/>
          <w:sz w:val="24"/>
          <w:szCs w:val="24"/>
        </w:rPr>
        <w:t>dbGaP</w:t>
      </w:r>
      <w:r w:rsidR="003C48E6">
        <w:rPr>
          <w:rFonts w:ascii="Aptos" w:hAnsi="Aptos" w:cs="Times New Roman"/>
          <w:sz w:val="24"/>
          <w:szCs w:val="24"/>
        </w:rPr>
        <w:t xml:space="preserve"> Authorized Access System</w:t>
      </w:r>
      <w:r w:rsidR="00E62536">
        <w:rPr>
          <w:rFonts w:ascii="Aptos" w:hAnsi="Aptos" w:cs="Times New Roman"/>
          <w:sz w:val="24"/>
          <w:szCs w:val="24"/>
        </w:rPr>
        <w:t xml:space="preserve"> (Attachment 7)</w:t>
      </w:r>
      <w:r w:rsidR="003C48E6">
        <w:rPr>
          <w:rFonts w:ascii="Aptos" w:hAnsi="Aptos" w:cs="Times New Roman"/>
          <w:sz w:val="24"/>
          <w:szCs w:val="24"/>
        </w:rPr>
        <w:t>.</w:t>
      </w:r>
      <w:r w:rsidRPr="003C48E6" w:rsidR="003C48E6">
        <w:rPr>
          <w:rFonts w:ascii="Aptos" w:hAnsi="Aptos" w:cs="Times New Roman"/>
          <w:sz w:val="24"/>
          <w:szCs w:val="24"/>
        </w:rPr>
        <w:t xml:space="preserve"> </w:t>
      </w:r>
    </w:p>
    <w:p w:rsidR="00CF1354" w:rsidRPr="001921C2" w:rsidP="00CF1354" w14:paraId="44E9B864" w14:textId="77777777">
      <w:pPr>
        <w:pStyle w:val="Heading2"/>
        <w:tabs>
          <w:tab w:val="left" w:pos="720"/>
          <w:tab w:val="clear" w:pos="1152"/>
        </w:tabs>
        <w:spacing w:after="200" w:line="276" w:lineRule="auto"/>
        <w:ind w:left="1260" w:hanging="1260"/>
        <w:rPr>
          <w:rFonts w:ascii="Aptos" w:hAnsi="Aptos"/>
          <w:sz w:val="24"/>
          <w:szCs w:val="24"/>
        </w:rPr>
      </w:pPr>
      <w:r w:rsidRPr="001921C2">
        <w:rPr>
          <w:rFonts w:ascii="Aptos" w:hAnsi="Aptos"/>
          <w:sz w:val="24"/>
          <w:szCs w:val="24"/>
        </w:rPr>
        <w:t>A.2</w:t>
      </w:r>
      <w:r w:rsidRPr="001921C2">
        <w:rPr>
          <w:rFonts w:ascii="Aptos" w:hAnsi="Aptos"/>
          <w:sz w:val="24"/>
          <w:szCs w:val="24"/>
        </w:rPr>
        <w:tab/>
        <w:t>Purpose and Use of the Information Collection</w:t>
      </w:r>
    </w:p>
    <w:p w:rsidR="00021EF8" w:rsidRPr="002A2990" w:rsidP="00021EF8" w14:paraId="06ED766F" w14:textId="5FD6B807">
      <w:pPr>
        <w:rPr>
          <w:rFonts w:ascii="Aptos" w:hAnsi="Aptos" w:cs="Times New Roman"/>
          <w:sz w:val="24"/>
          <w:szCs w:val="24"/>
          <w:highlight w:val="yellow"/>
        </w:rPr>
      </w:pPr>
      <w:r w:rsidRPr="002A2990">
        <w:rPr>
          <w:rFonts w:ascii="Aptos" w:hAnsi="Aptos" w:cs="Times New Roman"/>
          <w:sz w:val="24"/>
          <w:szCs w:val="24"/>
          <w:highlight w:val="yellow"/>
        </w:rPr>
        <w:t xml:space="preserve">Since the last </w:t>
      </w:r>
      <w:r w:rsidR="00456AA7">
        <w:rPr>
          <w:rFonts w:ascii="Aptos" w:hAnsi="Aptos" w:cs="Times New Roman"/>
          <w:sz w:val="24"/>
          <w:szCs w:val="24"/>
          <w:highlight w:val="yellow"/>
        </w:rPr>
        <w:t>OMB approval</w:t>
      </w:r>
      <w:r w:rsidRPr="002A2990">
        <w:rPr>
          <w:rFonts w:ascii="Aptos" w:hAnsi="Aptos" w:cs="Times New Roman"/>
          <w:sz w:val="24"/>
          <w:szCs w:val="24"/>
          <w:highlight w:val="yellow"/>
        </w:rPr>
        <w:t xml:space="preserve">, </w:t>
      </w:r>
      <w:r w:rsidRPr="002A2990" w:rsidR="72884089">
        <w:rPr>
          <w:rFonts w:ascii="Aptos" w:hAnsi="Aptos" w:cs="Times New Roman"/>
          <w:sz w:val="24"/>
          <w:szCs w:val="24"/>
          <w:highlight w:val="yellow"/>
        </w:rPr>
        <w:t>N</w:t>
      </w:r>
      <w:r w:rsidRPr="002A2990" w:rsidR="00604C98">
        <w:rPr>
          <w:rFonts w:ascii="Aptos" w:hAnsi="Aptos" w:cs="Times New Roman"/>
          <w:sz w:val="24"/>
          <w:szCs w:val="24"/>
          <w:highlight w:val="yellow"/>
        </w:rPr>
        <w:t>IH</w:t>
      </w:r>
      <w:r w:rsidRPr="002A2990" w:rsidR="72884089">
        <w:rPr>
          <w:rFonts w:ascii="Aptos" w:hAnsi="Aptos" w:cs="Times New Roman"/>
          <w:sz w:val="24"/>
          <w:szCs w:val="24"/>
          <w:highlight w:val="yellow"/>
        </w:rPr>
        <w:t xml:space="preserve"> has </w:t>
      </w:r>
      <w:r w:rsidR="00CC2997">
        <w:rPr>
          <w:rFonts w:ascii="Aptos" w:hAnsi="Aptos" w:cs="Times New Roman"/>
          <w:sz w:val="24"/>
          <w:szCs w:val="24"/>
          <w:highlight w:val="yellow"/>
        </w:rPr>
        <w:t>made</w:t>
      </w:r>
      <w:r w:rsidRPr="002A2990" w:rsidR="00CC2997">
        <w:rPr>
          <w:rFonts w:ascii="Aptos" w:hAnsi="Aptos" w:cs="Times New Roman"/>
          <w:sz w:val="24"/>
          <w:szCs w:val="24"/>
          <w:highlight w:val="yellow"/>
        </w:rPr>
        <w:t xml:space="preserve"> </w:t>
      </w:r>
      <w:r w:rsidRPr="002A2990" w:rsidR="00230873">
        <w:rPr>
          <w:rFonts w:ascii="Aptos" w:hAnsi="Aptos" w:cs="Times New Roman"/>
          <w:sz w:val="24"/>
          <w:szCs w:val="24"/>
          <w:highlight w:val="yellow"/>
        </w:rPr>
        <w:t xml:space="preserve">several </w:t>
      </w:r>
      <w:r w:rsidRPr="002A2990" w:rsidR="1A15C3DD">
        <w:rPr>
          <w:rFonts w:ascii="Aptos" w:hAnsi="Aptos" w:cs="Times New Roman"/>
          <w:sz w:val="24"/>
          <w:szCs w:val="24"/>
          <w:highlight w:val="yellow"/>
        </w:rPr>
        <w:t xml:space="preserve">necessary </w:t>
      </w:r>
      <w:r w:rsidRPr="002A2990">
        <w:rPr>
          <w:rFonts w:ascii="Aptos" w:hAnsi="Aptos" w:cs="Times New Roman"/>
          <w:sz w:val="24"/>
          <w:szCs w:val="24"/>
          <w:highlight w:val="yellow"/>
        </w:rPr>
        <w:t>changes</w:t>
      </w:r>
      <w:r w:rsidRPr="002A2990" w:rsidR="7E7A9621">
        <w:rPr>
          <w:rFonts w:ascii="Aptos" w:hAnsi="Aptos" w:cs="Times New Roman"/>
          <w:sz w:val="24"/>
          <w:szCs w:val="24"/>
          <w:highlight w:val="yellow"/>
        </w:rPr>
        <w:t xml:space="preserve"> to </w:t>
      </w:r>
      <w:r w:rsidRPr="002A2990" w:rsidR="0040387E">
        <w:rPr>
          <w:rFonts w:ascii="Aptos" w:hAnsi="Aptos" w:cs="Times New Roman"/>
          <w:sz w:val="24"/>
          <w:szCs w:val="24"/>
          <w:highlight w:val="yellow"/>
        </w:rPr>
        <w:t xml:space="preserve">the forms </w:t>
      </w:r>
      <w:r w:rsidRPr="002A2990" w:rsidR="00E215AA">
        <w:rPr>
          <w:rFonts w:ascii="Aptos" w:hAnsi="Aptos" w:cs="Times New Roman"/>
          <w:sz w:val="24"/>
          <w:szCs w:val="24"/>
          <w:highlight w:val="yellow"/>
        </w:rPr>
        <w:t xml:space="preserve">and </w:t>
      </w:r>
      <w:r w:rsidRPr="002A2990" w:rsidR="009C2341">
        <w:rPr>
          <w:rFonts w:ascii="Aptos" w:hAnsi="Aptos" w:cs="Times New Roman"/>
          <w:sz w:val="24"/>
          <w:szCs w:val="24"/>
          <w:highlight w:val="yellow"/>
        </w:rPr>
        <w:t xml:space="preserve">web interfaces </w:t>
      </w:r>
      <w:r w:rsidRPr="002A2990" w:rsidR="0040387E">
        <w:rPr>
          <w:rFonts w:ascii="Aptos" w:hAnsi="Aptos" w:cs="Times New Roman"/>
          <w:sz w:val="24"/>
          <w:szCs w:val="24"/>
          <w:highlight w:val="yellow"/>
        </w:rPr>
        <w:t xml:space="preserve">required for </w:t>
      </w:r>
      <w:r w:rsidRPr="002A2990" w:rsidR="009C2341">
        <w:rPr>
          <w:rFonts w:ascii="Aptos" w:hAnsi="Aptos" w:cs="Times New Roman"/>
          <w:sz w:val="24"/>
          <w:szCs w:val="24"/>
          <w:highlight w:val="yellow"/>
        </w:rPr>
        <w:t xml:space="preserve">submitting data and </w:t>
      </w:r>
      <w:r w:rsidRPr="002A2990" w:rsidR="31704C75">
        <w:rPr>
          <w:rFonts w:ascii="Aptos" w:hAnsi="Aptos" w:cs="Times New Roman"/>
          <w:sz w:val="24"/>
          <w:szCs w:val="24"/>
          <w:highlight w:val="yellow"/>
        </w:rPr>
        <w:t xml:space="preserve">requesting </w:t>
      </w:r>
      <w:r w:rsidRPr="002A2990" w:rsidR="0040387E">
        <w:rPr>
          <w:rFonts w:ascii="Aptos" w:hAnsi="Aptos" w:cs="Times New Roman"/>
          <w:sz w:val="24"/>
          <w:szCs w:val="24"/>
          <w:highlight w:val="yellow"/>
        </w:rPr>
        <w:t>data access</w:t>
      </w:r>
      <w:r w:rsidR="00F7665C">
        <w:rPr>
          <w:rFonts w:ascii="Aptos" w:hAnsi="Aptos" w:cs="Times New Roman"/>
          <w:sz w:val="24"/>
          <w:szCs w:val="24"/>
          <w:highlight w:val="yellow"/>
        </w:rPr>
        <w:t xml:space="preserve"> to be compliant with</w:t>
      </w:r>
      <w:r w:rsidR="007C6498">
        <w:rPr>
          <w:rFonts w:ascii="Aptos" w:hAnsi="Aptos" w:cs="Times New Roman"/>
          <w:sz w:val="24"/>
          <w:szCs w:val="24"/>
          <w:highlight w:val="yellow"/>
        </w:rPr>
        <w:t xml:space="preserve"> </w:t>
      </w:r>
      <w:r w:rsidR="00691815">
        <w:rPr>
          <w:rFonts w:ascii="Aptos" w:hAnsi="Aptos" w:cs="Times New Roman"/>
          <w:sz w:val="24"/>
          <w:szCs w:val="24"/>
          <w:highlight w:val="yellow"/>
        </w:rPr>
        <w:t>national</w:t>
      </w:r>
      <w:r w:rsidR="0089628D">
        <w:rPr>
          <w:rFonts w:ascii="Aptos" w:hAnsi="Aptos" w:cs="Times New Roman"/>
          <w:sz w:val="24"/>
          <w:szCs w:val="24"/>
          <w:highlight w:val="yellow"/>
        </w:rPr>
        <w:t xml:space="preserve"> security directives, security and operational standards for NIH CADRs, and </w:t>
      </w:r>
      <w:r w:rsidR="00546EF9">
        <w:rPr>
          <w:rFonts w:ascii="Aptos" w:hAnsi="Aptos" w:cs="Times New Roman"/>
          <w:sz w:val="24"/>
          <w:szCs w:val="24"/>
          <w:highlight w:val="yellow"/>
        </w:rPr>
        <w:t xml:space="preserve">modernization of the Study Registration and Data Access Request </w:t>
      </w:r>
      <w:r w:rsidR="00044EE3">
        <w:rPr>
          <w:rFonts w:ascii="Aptos" w:hAnsi="Aptos" w:cs="Times New Roman"/>
          <w:sz w:val="24"/>
          <w:szCs w:val="24"/>
          <w:highlight w:val="yellow"/>
        </w:rPr>
        <w:t>application</w:t>
      </w:r>
      <w:r w:rsidRPr="002A2990" w:rsidR="00DD2738">
        <w:rPr>
          <w:rFonts w:ascii="Aptos" w:hAnsi="Aptos" w:cs="Times New Roman"/>
          <w:sz w:val="24"/>
          <w:szCs w:val="24"/>
          <w:highlight w:val="yellow"/>
        </w:rPr>
        <w:t>.</w:t>
      </w:r>
      <w:r w:rsidRPr="002A2990" w:rsidR="00B74CC6">
        <w:rPr>
          <w:rFonts w:ascii="Aptos" w:hAnsi="Aptos" w:cs="Times New Roman"/>
          <w:sz w:val="24"/>
          <w:szCs w:val="24"/>
          <w:highlight w:val="yellow"/>
        </w:rPr>
        <w:t xml:space="preserve"> </w:t>
      </w:r>
      <w:r w:rsidRPr="002A2990">
        <w:rPr>
          <w:rFonts w:ascii="Aptos" w:hAnsi="Aptos" w:cs="Times New Roman"/>
          <w:sz w:val="24"/>
          <w:szCs w:val="24"/>
          <w:highlight w:val="yellow"/>
        </w:rPr>
        <w:t xml:space="preserve">These changes, and how they relate to existing </w:t>
      </w: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processes, are expanded upon below.</w:t>
      </w:r>
    </w:p>
    <w:p w:rsidR="00CF1354" w:rsidRPr="002A2990" w:rsidP="00CF1354" w14:paraId="0647B98E" w14:textId="0CA288FC">
      <w:pPr>
        <w:rPr>
          <w:rFonts w:ascii="Aptos" w:hAnsi="Aptos" w:cs="Times New Roman"/>
          <w:i/>
          <w:sz w:val="24"/>
          <w:szCs w:val="24"/>
          <w:highlight w:val="yellow"/>
        </w:rPr>
      </w:pPr>
      <w:r w:rsidRPr="002A2990">
        <w:rPr>
          <w:rFonts w:ascii="Aptos" w:hAnsi="Aptos" w:cs="Times New Roman"/>
          <w:i/>
          <w:sz w:val="24"/>
          <w:szCs w:val="24"/>
          <w:highlight w:val="yellow"/>
        </w:rPr>
        <w:t>Study Registration and Data Submission</w:t>
      </w:r>
    </w:p>
    <w:p w:rsidR="00E077C2" w:rsidRPr="002A2990" w:rsidP="00E077C2" w14:paraId="283DF860" w14:textId="017678D0">
      <w:pPr>
        <w:rPr>
          <w:rFonts w:ascii="Aptos" w:hAnsi="Aptos" w:cs="Times New Roman"/>
          <w:sz w:val="24"/>
          <w:szCs w:val="24"/>
          <w:highlight w:val="yellow"/>
        </w:rPr>
      </w:pPr>
      <w:r w:rsidRPr="002A2990">
        <w:rPr>
          <w:rFonts w:ascii="Aptos" w:hAnsi="Aptos" w:cs="Times New Roman"/>
          <w:sz w:val="24"/>
          <w:szCs w:val="24"/>
          <w:highlight w:val="yellow"/>
        </w:rPr>
        <w:t xml:space="preserve">The required elements for study registration in </w:t>
      </w: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include basic study information </w:t>
      </w:r>
      <w:r w:rsidRPr="002A2990" w:rsidR="2C5528D8">
        <w:rPr>
          <w:rFonts w:ascii="Aptos" w:hAnsi="Aptos" w:cs="Times New Roman"/>
          <w:sz w:val="24"/>
          <w:szCs w:val="24"/>
          <w:highlight w:val="yellow"/>
        </w:rPr>
        <w:t>submitted by an investigator</w:t>
      </w:r>
      <w:r w:rsidRPr="002A2990">
        <w:rPr>
          <w:rFonts w:ascii="Aptos" w:hAnsi="Aptos" w:cs="Times New Roman"/>
          <w:sz w:val="24"/>
          <w:szCs w:val="24"/>
          <w:highlight w:val="yellow"/>
        </w:rPr>
        <w:t xml:space="preserve">. </w:t>
      </w:r>
      <w:r w:rsidRPr="002A2990" w:rsidR="5817CBB2">
        <w:rPr>
          <w:rFonts w:ascii="Aptos" w:hAnsi="Aptos" w:cs="Times New Roman"/>
          <w:sz w:val="24"/>
          <w:szCs w:val="24"/>
          <w:highlight w:val="yellow"/>
        </w:rPr>
        <w:t>Required b</w:t>
      </w:r>
      <w:r w:rsidRPr="002A2990">
        <w:rPr>
          <w:rFonts w:ascii="Aptos" w:hAnsi="Aptos" w:cs="Times New Roman"/>
          <w:sz w:val="24"/>
          <w:szCs w:val="24"/>
          <w:highlight w:val="yellow"/>
        </w:rPr>
        <w:t xml:space="preserve">asic study information includes </w:t>
      </w:r>
      <w:r w:rsidRPr="002A2990" w:rsidR="2FD499F0">
        <w:rPr>
          <w:rFonts w:ascii="Aptos" w:hAnsi="Aptos" w:cs="Times New Roman"/>
          <w:sz w:val="24"/>
          <w:szCs w:val="24"/>
          <w:highlight w:val="yellow"/>
        </w:rPr>
        <w:t xml:space="preserve">information about </w:t>
      </w:r>
      <w:r w:rsidRPr="002A2990" w:rsidR="1AC8BA6D">
        <w:rPr>
          <w:rFonts w:ascii="Aptos" w:hAnsi="Aptos" w:cs="Times New Roman"/>
          <w:sz w:val="24"/>
          <w:szCs w:val="24"/>
          <w:highlight w:val="yellow"/>
        </w:rPr>
        <w:t>study personnel</w:t>
      </w:r>
      <w:r w:rsidRPr="002A2990" w:rsidR="133D9B1C">
        <w:rPr>
          <w:rFonts w:ascii="Aptos" w:hAnsi="Aptos" w:cs="Times New Roman"/>
          <w:sz w:val="24"/>
          <w:szCs w:val="24"/>
          <w:highlight w:val="yellow"/>
        </w:rPr>
        <w:t xml:space="preserve"> and</w:t>
      </w:r>
      <w:r w:rsidRPr="002A2990">
        <w:rPr>
          <w:rFonts w:ascii="Aptos" w:hAnsi="Aptos" w:cs="Times New Roman"/>
          <w:sz w:val="24"/>
          <w:szCs w:val="24"/>
          <w:highlight w:val="yellow"/>
        </w:rPr>
        <w:t xml:space="preserve"> funding, a description of the study and </w:t>
      </w:r>
      <w:r w:rsidRPr="002A2990" w:rsidR="133D9B1C">
        <w:rPr>
          <w:rFonts w:ascii="Aptos" w:hAnsi="Aptos" w:cs="Times New Roman"/>
          <w:sz w:val="24"/>
          <w:szCs w:val="24"/>
          <w:highlight w:val="yellow"/>
        </w:rPr>
        <w:t xml:space="preserve">its </w:t>
      </w:r>
      <w:r w:rsidRPr="002A2990">
        <w:rPr>
          <w:rFonts w:ascii="Aptos" w:hAnsi="Aptos" w:cs="Times New Roman"/>
          <w:sz w:val="24"/>
          <w:szCs w:val="24"/>
          <w:highlight w:val="yellow"/>
        </w:rPr>
        <w:t>data, and a statement that secondary researchers can use to acknowledge the original data collection.</w:t>
      </w:r>
      <w:r w:rsidRPr="002A2990" w:rsidR="61587923">
        <w:rPr>
          <w:rFonts w:ascii="Aptos" w:hAnsi="Aptos" w:cs="Times New Roman"/>
          <w:sz w:val="24"/>
          <w:szCs w:val="24"/>
          <w:highlight w:val="yellow"/>
        </w:rPr>
        <w:t xml:space="preserve"> </w:t>
      </w:r>
      <w:r w:rsidRPr="002A2990" w:rsidR="007B18D5">
        <w:rPr>
          <w:rFonts w:ascii="Aptos" w:hAnsi="Aptos" w:cs="Times New Roman"/>
          <w:sz w:val="24"/>
          <w:szCs w:val="24"/>
          <w:highlight w:val="yellow"/>
        </w:rPr>
        <w:t xml:space="preserve">Typically, </w:t>
      </w:r>
      <w:r w:rsidRPr="002A2990" w:rsidR="4DDF8BDB">
        <w:rPr>
          <w:rFonts w:ascii="Aptos" w:hAnsi="Aptos" w:cs="Times New Roman"/>
          <w:sz w:val="24"/>
          <w:szCs w:val="24"/>
          <w:highlight w:val="yellow"/>
        </w:rPr>
        <w:t>NIH staff</w:t>
      </w:r>
      <w:r w:rsidRPr="002A2990" w:rsidR="2B4A74E7">
        <w:rPr>
          <w:rFonts w:ascii="Aptos" w:hAnsi="Aptos" w:cs="Times New Roman"/>
          <w:sz w:val="24"/>
          <w:szCs w:val="24"/>
          <w:highlight w:val="yellow"/>
        </w:rPr>
        <w:t xml:space="preserve"> </w:t>
      </w:r>
      <w:r w:rsidRPr="002A2990" w:rsidR="0A32ADA7">
        <w:rPr>
          <w:rFonts w:ascii="Aptos" w:hAnsi="Aptos" w:cs="Times New Roman"/>
          <w:sz w:val="24"/>
          <w:szCs w:val="24"/>
          <w:highlight w:val="yellow"/>
        </w:rPr>
        <w:t xml:space="preserve">must </w:t>
      </w:r>
      <w:r w:rsidRPr="002A2990" w:rsidR="55D44A90">
        <w:rPr>
          <w:rFonts w:ascii="Aptos" w:hAnsi="Aptos" w:cs="Times New Roman"/>
          <w:sz w:val="24"/>
          <w:szCs w:val="24"/>
          <w:highlight w:val="yellow"/>
        </w:rPr>
        <w:t>communicat</w:t>
      </w:r>
      <w:r w:rsidRPr="002A2990" w:rsidR="0A32ADA7">
        <w:rPr>
          <w:rFonts w:ascii="Aptos" w:hAnsi="Aptos" w:cs="Times New Roman"/>
          <w:sz w:val="24"/>
          <w:szCs w:val="24"/>
          <w:highlight w:val="yellow"/>
        </w:rPr>
        <w:t>e</w:t>
      </w:r>
      <w:r w:rsidRPr="002A2990" w:rsidR="55D44A90">
        <w:rPr>
          <w:rFonts w:ascii="Aptos" w:hAnsi="Aptos" w:cs="Times New Roman"/>
          <w:sz w:val="24"/>
          <w:szCs w:val="24"/>
          <w:highlight w:val="yellow"/>
        </w:rPr>
        <w:t xml:space="preserve"> with submitting investigators</w:t>
      </w:r>
      <w:r w:rsidRPr="002A2990" w:rsidR="61587923">
        <w:rPr>
          <w:rFonts w:ascii="Aptos" w:hAnsi="Aptos" w:cs="Times New Roman"/>
          <w:sz w:val="24"/>
          <w:szCs w:val="24"/>
          <w:highlight w:val="yellow"/>
        </w:rPr>
        <w:t xml:space="preserve"> to collect </w:t>
      </w:r>
      <w:r w:rsidRPr="002A2990" w:rsidR="649DFC4D">
        <w:rPr>
          <w:rFonts w:ascii="Aptos" w:hAnsi="Aptos" w:cs="Times New Roman"/>
          <w:sz w:val="24"/>
          <w:szCs w:val="24"/>
          <w:highlight w:val="yellow"/>
        </w:rPr>
        <w:t>this</w:t>
      </w:r>
      <w:r w:rsidRPr="002A2990" w:rsidR="61587923">
        <w:rPr>
          <w:rFonts w:ascii="Aptos" w:hAnsi="Aptos" w:cs="Times New Roman"/>
          <w:sz w:val="24"/>
          <w:szCs w:val="24"/>
          <w:highlight w:val="yellow"/>
        </w:rPr>
        <w:t xml:space="preserve"> information</w:t>
      </w:r>
      <w:r w:rsidRPr="002A2990" w:rsidR="649DFC4D">
        <w:rPr>
          <w:rFonts w:ascii="Aptos" w:hAnsi="Aptos" w:cs="Times New Roman"/>
          <w:sz w:val="24"/>
          <w:szCs w:val="24"/>
          <w:highlight w:val="yellow"/>
        </w:rPr>
        <w:t xml:space="preserve"> for recording via </w:t>
      </w:r>
      <w:r w:rsidRPr="002A2990" w:rsidR="649DFC4D">
        <w:rPr>
          <w:rFonts w:ascii="Aptos" w:hAnsi="Aptos" w:cs="Times New Roman"/>
          <w:sz w:val="24"/>
          <w:szCs w:val="24"/>
          <w:highlight w:val="yellow"/>
        </w:rPr>
        <w:t>dbGaP</w:t>
      </w:r>
      <w:r w:rsidRPr="002A2990" w:rsidR="55D44A90">
        <w:rPr>
          <w:rFonts w:ascii="Aptos" w:hAnsi="Aptos" w:cs="Times New Roman"/>
          <w:sz w:val="24"/>
          <w:szCs w:val="24"/>
          <w:highlight w:val="yellow"/>
        </w:rPr>
        <w:t>. To standardize and stre</w:t>
      </w:r>
      <w:r w:rsidRPr="002A2990" w:rsidR="5D491E40">
        <w:rPr>
          <w:rFonts w:ascii="Aptos" w:hAnsi="Aptos" w:cs="Times New Roman"/>
          <w:sz w:val="24"/>
          <w:szCs w:val="24"/>
          <w:highlight w:val="yellow"/>
        </w:rPr>
        <w:t>a</w:t>
      </w:r>
      <w:r w:rsidRPr="002A2990" w:rsidR="55D44A90">
        <w:rPr>
          <w:rFonts w:ascii="Aptos" w:hAnsi="Aptos" w:cs="Times New Roman"/>
          <w:sz w:val="24"/>
          <w:szCs w:val="24"/>
          <w:highlight w:val="yellow"/>
        </w:rPr>
        <w:t>mline the collec</w:t>
      </w:r>
      <w:r w:rsidRPr="002A2990" w:rsidR="46D5CE5D">
        <w:rPr>
          <w:rFonts w:ascii="Aptos" w:hAnsi="Aptos" w:cs="Times New Roman"/>
          <w:sz w:val="24"/>
          <w:szCs w:val="24"/>
          <w:highlight w:val="yellow"/>
        </w:rPr>
        <w:t>tion of this information</w:t>
      </w:r>
      <w:r w:rsidRPr="002A2990" w:rsidR="34DD42CB">
        <w:rPr>
          <w:rFonts w:ascii="Aptos" w:hAnsi="Aptos" w:cs="Times New Roman"/>
          <w:sz w:val="24"/>
          <w:szCs w:val="24"/>
          <w:highlight w:val="yellow"/>
        </w:rPr>
        <w:t xml:space="preserve"> across NIH I</w:t>
      </w:r>
      <w:r w:rsidR="00804D30">
        <w:rPr>
          <w:rFonts w:ascii="Aptos" w:hAnsi="Aptos" w:cs="Times New Roman"/>
          <w:sz w:val="24"/>
          <w:szCs w:val="24"/>
          <w:highlight w:val="yellow"/>
        </w:rPr>
        <w:t xml:space="preserve">nstitute, </w:t>
      </w:r>
      <w:r w:rsidRPr="002A2990" w:rsidR="34DD42CB">
        <w:rPr>
          <w:rFonts w:ascii="Aptos" w:hAnsi="Aptos" w:cs="Times New Roman"/>
          <w:sz w:val="24"/>
          <w:szCs w:val="24"/>
          <w:highlight w:val="yellow"/>
        </w:rPr>
        <w:t>C</w:t>
      </w:r>
      <w:r w:rsidR="00804D30">
        <w:rPr>
          <w:rFonts w:ascii="Aptos" w:hAnsi="Aptos" w:cs="Times New Roman"/>
          <w:sz w:val="24"/>
          <w:szCs w:val="24"/>
          <w:highlight w:val="yellow"/>
        </w:rPr>
        <w:t xml:space="preserve">enter, and </w:t>
      </w:r>
      <w:r w:rsidRPr="002A2990" w:rsidR="34DD42CB">
        <w:rPr>
          <w:rFonts w:ascii="Aptos" w:hAnsi="Aptos" w:cs="Times New Roman"/>
          <w:sz w:val="24"/>
          <w:szCs w:val="24"/>
          <w:highlight w:val="yellow"/>
        </w:rPr>
        <w:t>O</w:t>
      </w:r>
      <w:r w:rsidR="00804D30">
        <w:rPr>
          <w:rFonts w:ascii="Aptos" w:hAnsi="Aptos" w:cs="Times New Roman"/>
          <w:sz w:val="24"/>
          <w:szCs w:val="24"/>
          <w:highlight w:val="yellow"/>
        </w:rPr>
        <w:t>ffice</w:t>
      </w:r>
      <w:r w:rsidRPr="002A2990" w:rsidR="34DD42CB">
        <w:rPr>
          <w:rFonts w:ascii="Aptos" w:hAnsi="Aptos" w:cs="Times New Roman"/>
          <w:sz w:val="24"/>
          <w:szCs w:val="24"/>
          <w:highlight w:val="yellow"/>
        </w:rPr>
        <w:t>s</w:t>
      </w:r>
      <w:r w:rsidR="00804D30">
        <w:rPr>
          <w:rFonts w:ascii="Aptos" w:hAnsi="Aptos" w:cs="Times New Roman"/>
          <w:sz w:val="24"/>
          <w:szCs w:val="24"/>
          <w:highlight w:val="yellow"/>
        </w:rPr>
        <w:t xml:space="preserve"> (ICOs)</w:t>
      </w:r>
      <w:r w:rsidRPr="002A2990" w:rsidR="46D5CE5D">
        <w:rPr>
          <w:rFonts w:ascii="Aptos" w:hAnsi="Aptos" w:cs="Times New Roman"/>
          <w:sz w:val="24"/>
          <w:szCs w:val="24"/>
          <w:highlight w:val="yellow"/>
        </w:rPr>
        <w:t xml:space="preserve">, NIH has developed a Study Registration Information </w:t>
      </w:r>
      <w:r w:rsidRPr="002A2990" w:rsidR="00ED01D2">
        <w:rPr>
          <w:rFonts w:ascii="Aptos" w:hAnsi="Aptos" w:cs="Times New Roman"/>
          <w:sz w:val="24"/>
          <w:szCs w:val="24"/>
          <w:highlight w:val="yellow"/>
        </w:rPr>
        <w:t xml:space="preserve">(SRI) </w:t>
      </w:r>
      <w:r w:rsidRPr="002A2990" w:rsidR="46D5CE5D">
        <w:rPr>
          <w:rFonts w:ascii="Aptos" w:hAnsi="Aptos" w:cs="Times New Roman"/>
          <w:sz w:val="24"/>
          <w:szCs w:val="24"/>
          <w:highlight w:val="yellow"/>
        </w:rPr>
        <w:t xml:space="preserve">Form </w:t>
      </w:r>
      <w:r w:rsidR="00DA20FD">
        <w:rPr>
          <w:rFonts w:ascii="Aptos" w:hAnsi="Aptos" w:cs="Times New Roman"/>
          <w:sz w:val="24"/>
          <w:szCs w:val="24"/>
          <w:highlight w:val="yellow"/>
        </w:rPr>
        <w:t>(Attachment 1)</w:t>
      </w:r>
      <w:r w:rsidR="00E24233">
        <w:rPr>
          <w:rFonts w:ascii="Aptos" w:hAnsi="Aptos" w:cs="Times New Roman"/>
          <w:sz w:val="24"/>
          <w:szCs w:val="24"/>
          <w:highlight w:val="yellow"/>
        </w:rPr>
        <w:t xml:space="preserve"> </w:t>
      </w:r>
      <w:r w:rsidRPr="002A2990" w:rsidR="46D5CE5D">
        <w:rPr>
          <w:rFonts w:ascii="Aptos" w:hAnsi="Aptos" w:cs="Times New Roman"/>
          <w:sz w:val="24"/>
          <w:szCs w:val="24"/>
          <w:highlight w:val="yellow"/>
        </w:rPr>
        <w:t>that can be completed by investigators</w:t>
      </w:r>
      <w:r w:rsidRPr="002A2990" w:rsidR="70E84886">
        <w:rPr>
          <w:rFonts w:ascii="Aptos" w:hAnsi="Aptos" w:cs="Times New Roman"/>
          <w:sz w:val="24"/>
          <w:szCs w:val="24"/>
          <w:highlight w:val="yellow"/>
        </w:rPr>
        <w:t xml:space="preserve">. </w:t>
      </w:r>
      <w:r w:rsidR="005F0E05">
        <w:rPr>
          <w:rFonts w:ascii="Aptos" w:hAnsi="Aptos" w:cs="Times New Roman"/>
          <w:sz w:val="24"/>
          <w:szCs w:val="24"/>
          <w:highlight w:val="yellow"/>
        </w:rPr>
        <w:t xml:space="preserve">The </w:t>
      </w:r>
      <w:r w:rsidR="005F0E05">
        <w:rPr>
          <w:rFonts w:ascii="Aptos" w:hAnsi="Aptos" w:cs="Times New Roman"/>
          <w:sz w:val="24"/>
          <w:szCs w:val="24"/>
          <w:highlight w:val="yellow"/>
        </w:rPr>
        <w:t>dbGaP</w:t>
      </w:r>
      <w:r w:rsidR="005F0E05">
        <w:rPr>
          <w:rFonts w:ascii="Aptos" w:hAnsi="Aptos" w:cs="Times New Roman"/>
          <w:sz w:val="24"/>
          <w:szCs w:val="24"/>
          <w:highlight w:val="yellow"/>
        </w:rPr>
        <w:t xml:space="preserve"> </w:t>
      </w:r>
      <w:r w:rsidR="00257679">
        <w:rPr>
          <w:rFonts w:ascii="Aptos" w:hAnsi="Aptos" w:cs="Times New Roman"/>
          <w:sz w:val="24"/>
          <w:szCs w:val="24"/>
          <w:highlight w:val="yellow"/>
        </w:rPr>
        <w:t xml:space="preserve">Legacy </w:t>
      </w:r>
      <w:r w:rsidR="003E10E2">
        <w:rPr>
          <w:rFonts w:ascii="Aptos" w:hAnsi="Aptos" w:cs="Times New Roman"/>
          <w:sz w:val="24"/>
          <w:szCs w:val="24"/>
          <w:highlight w:val="yellow"/>
        </w:rPr>
        <w:t>R</w:t>
      </w:r>
      <w:r w:rsidR="00257679">
        <w:rPr>
          <w:rFonts w:ascii="Aptos" w:hAnsi="Aptos" w:cs="Times New Roman"/>
          <w:sz w:val="24"/>
          <w:szCs w:val="24"/>
          <w:highlight w:val="yellow"/>
        </w:rPr>
        <w:t>egistration system</w:t>
      </w:r>
      <w:r w:rsidR="009F0409">
        <w:rPr>
          <w:rFonts w:ascii="Aptos" w:hAnsi="Aptos" w:cs="Times New Roman"/>
          <w:sz w:val="24"/>
          <w:szCs w:val="24"/>
          <w:highlight w:val="yellow"/>
        </w:rPr>
        <w:t xml:space="preserve"> has been updated to </w:t>
      </w:r>
      <w:r w:rsidR="003827BA">
        <w:rPr>
          <w:rFonts w:ascii="Aptos" w:hAnsi="Aptos" w:cs="Times New Roman"/>
          <w:sz w:val="24"/>
          <w:szCs w:val="24"/>
          <w:highlight w:val="yellow"/>
        </w:rPr>
        <w:t xml:space="preserve">match the </w:t>
      </w:r>
      <w:r w:rsidR="00044EE3">
        <w:rPr>
          <w:rFonts w:ascii="Aptos" w:hAnsi="Aptos" w:cs="Times New Roman"/>
          <w:sz w:val="24"/>
          <w:szCs w:val="24"/>
          <w:highlight w:val="yellow"/>
        </w:rPr>
        <w:t xml:space="preserve">datatype </w:t>
      </w:r>
      <w:r w:rsidR="003827BA">
        <w:rPr>
          <w:rFonts w:ascii="Aptos" w:hAnsi="Aptos" w:cs="Times New Roman"/>
          <w:sz w:val="24"/>
          <w:szCs w:val="24"/>
          <w:highlight w:val="yellow"/>
        </w:rPr>
        <w:t>fields in the SRI form</w:t>
      </w:r>
      <w:r w:rsidR="00B91D75">
        <w:rPr>
          <w:rFonts w:ascii="Aptos" w:hAnsi="Aptos" w:cs="Times New Roman"/>
          <w:sz w:val="24"/>
          <w:szCs w:val="24"/>
          <w:highlight w:val="yellow"/>
        </w:rPr>
        <w:t xml:space="preserve"> (Attachment </w:t>
      </w:r>
      <w:r w:rsidR="00790042">
        <w:rPr>
          <w:rFonts w:ascii="Aptos" w:hAnsi="Aptos" w:cs="Times New Roman"/>
          <w:sz w:val="24"/>
          <w:szCs w:val="24"/>
          <w:highlight w:val="yellow"/>
        </w:rPr>
        <w:t>4 – slides 3 and 4)</w:t>
      </w:r>
      <w:r w:rsidR="00D73F4D">
        <w:rPr>
          <w:rFonts w:ascii="Aptos" w:hAnsi="Aptos" w:cs="Times New Roman"/>
          <w:sz w:val="24"/>
          <w:szCs w:val="24"/>
          <w:highlight w:val="yellow"/>
        </w:rPr>
        <w:t>.</w:t>
      </w:r>
      <w:r w:rsidRPr="002A2990" w:rsidR="2B4A74E7">
        <w:rPr>
          <w:rFonts w:ascii="Aptos" w:hAnsi="Aptos" w:cs="Times New Roman"/>
          <w:sz w:val="24"/>
          <w:szCs w:val="24"/>
          <w:highlight w:val="yellow"/>
        </w:rPr>
        <w:t xml:space="preserve"> </w:t>
      </w:r>
      <w:r w:rsidRPr="002A2990">
        <w:rPr>
          <w:rFonts w:ascii="Aptos" w:hAnsi="Aptos" w:cs="Times New Roman"/>
          <w:sz w:val="24"/>
          <w:szCs w:val="24"/>
          <w:highlight w:val="yellow"/>
        </w:rPr>
        <w:t xml:space="preserve"> </w:t>
      </w:r>
      <w:r w:rsidR="00AF1413">
        <w:rPr>
          <w:rFonts w:ascii="Aptos" w:hAnsi="Aptos" w:cs="Times New Roman"/>
          <w:sz w:val="24"/>
          <w:szCs w:val="24"/>
          <w:highlight w:val="yellow"/>
        </w:rPr>
        <w:t>T</w:t>
      </w:r>
      <w:r w:rsidR="007E4FD3">
        <w:rPr>
          <w:rFonts w:ascii="Aptos" w:hAnsi="Aptos" w:cs="Times New Roman"/>
          <w:sz w:val="24"/>
          <w:szCs w:val="24"/>
          <w:highlight w:val="yellow"/>
        </w:rPr>
        <w:t xml:space="preserve">he new </w:t>
      </w:r>
      <w:r w:rsidR="007E4FD3">
        <w:rPr>
          <w:rFonts w:ascii="Aptos" w:hAnsi="Aptos" w:cs="Times New Roman"/>
          <w:sz w:val="24"/>
          <w:szCs w:val="24"/>
          <w:highlight w:val="yellow"/>
        </w:rPr>
        <w:t>dbGaP</w:t>
      </w:r>
      <w:r w:rsidR="007E4FD3">
        <w:rPr>
          <w:rFonts w:ascii="Aptos" w:hAnsi="Aptos" w:cs="Times New Roman"/>
          <w:sz w:val="24"/>
          <w:szCs w:val="24"/>
          <w:highlight w:val="yellow"/>
        </w:rPr>
        <w:t xml:space="preserve"> registration</w:t>
      </w:r>
      <w:r w:rsidR="00687B27">
        <w:rPr>
          <w:rFonts w:ascii="Aptos" w:hAnsi="Aptos" w:cs="Times New Roman"/>
          <w:sz w:val="24"/>
          <w:szCs w:val="24"/>
          <w:highlight w:val="yellow"/>
        </w:rPr>
        <w:t xml:space="preserve"> system has integrated the SRI </w:t>
      </w:r>
      <w:r w:rsidR="00B16F7A">
        <w:rPr>
          <w:rFonts w:ascii="Aptos" w:hAnsi="Aptos" w:cs="Times New Roman"/>
          <w:sz w:val="24"/>
          <w:szCs w:val="24"/>
          <w:highlight w:val="yellow"/>
        </w:rPr>
        <w:t>F</w:t>
      </w:r>
      <w:r w:rsidR="00687B27">
        <w:rPr>
          <w:rFonts w:ascii="Aptos" w:hAnsi="Aptos" w:cs="Times New Roman"/>
          <w:sz w:val="24"/>
          <w:szCs w:val="24"/>
          <w:highlight w:val="yellow"/>
        </w:rPr>
        <w:t>orm as a</w:t>
      </w:r>
      <w:r w:rsidR="00B16F7A">
        <w:rPr>
          <w:rFonts w:ascii="Aptos" w:hAnsi="Aptos" w:cs="Times New Roman"/>
          <w:sz w:val="24"/>
          <w:szCs w:val="24"/>
          <w:highlight w:val="yellow"/>
        </w:rPr>
        <w:t xml:space="preserve"> digital</w:t>
      </w:r>
      <w:r w:rsidR="00687B27">
        <w:rPr>
          <w:rFonts w:ascii="Aptos" w:hAnsi="Aptos" w:cs="Times New Roman"/>
          <w:sz w:val="24"/>
          <w:szCs w:val="24"/>
          <w:highlight w:val="yellow"/>
        </w:rPr>
        <w:t xml:space="preserve"> form in the registration system that allows the Submitting Investigator to register the study</w:t>
      </w:r>
      <w:r w:rsidR="0089683A">
        <w:rPr>
          <w:rFonts w:ascii="Aptos" w:hAnsi="Aptos" w:cs="Times New Roman"/>
          <w:sz w:val="24"/>
          <w:szCs w:val="24"/>
          <w:highlight w:val="yellow"/>
        </w:rPr>
        <w:t xml:space="preserve"> </w:t>
      </w:r>
      <w:r w:rsidR="000D161A">
        <w:rPr>
          <w:rFonts w:ascii="Aptos" w:hAnsi="Aptos" w:cs="Times New Roman"/>
          <w:sz w:val="24"/>
          <w:szCs w:val="24"/>
          <w:highlight w:val="yellow"/>
        </w:rPr>
        <w:t>(Attachment 6)</w:t>
      </w:r>
      <w:r w:rsidR="0089683A">
        <w:rPr>
          <w:rFonts w:ascii="Aptos" w:hAnsi="Aptos" w:cs="Times New Roman"/>
          <w:sz w:val="24"/>
          <w:szCs w:val="24"/>
          <w:highlight w:val="yellow"/>
        </w:rPr>
        <w:t>.</w:t>
      </w:r>
    </w:p>
    <w:p w:rsidR="00E077C2" w:rsidRPr="001921C2" w:rsidP="00E077C2" w14:paraId="32D53881" w14:textId="7E88B734">
      <w:pPr>
        <w:rPr>
          <w:rFonts w:ascii="Aptos" w:hAnsi="Aptos"/>
        </w:rPr>
      </w:pPr>
      <w:r w:rsidRPr="002A2990">
        <w:rPr>
          <w:rFonts w:ascii="Aptos" w:hAnsi="Aptos" w:cs="Times New Roman"/>
          <w:sz w:val="24"/>
          <w:szCs w:val="24"/>
          <w:highlight w:val="yellow"/>
        </w:rPr>
        <w:t>Besides basic study information</w:t>
      </w:r>
      <w:r w:rsidRPr="002A2990" w:rsidR="006006CC">
        <w:rPr>
          <w:rFonts w:ascii="Aptos" w:hAnsi="Aptos" w:cs="Times New Roman"/>
          <w:sz w:val="24"/>
          <w:szCs w:val="24"/>
          <w:highlight w:val="yellow"/>
        </w:rPr>
        <w:t xml:space="preserve">, the required elements for study registration in </w:t>
      </w:r>
      <w:r w:rsidRPr="002A2990" w:rsidR="006006CC">
        <w:rPr>
          <w:rFonts w:ascii="Aptos" w:hAnsi="Aptos" w:cs="Times New Roman"/>
          <w:sz w:val="24"/>
          <w:szCs w:val="24"/>
          <w:highlight w:val="yellow"/>
        </w:rPr>
        <w:t>dbGaP</w:t>
      </w:r>
      <w:r w:rsidRPr="002A2990" w:rsidR="006006CC">
        <w:rPr>
          <w:rFonts w:ascii="Aptos" w:hAnsi="Aptos" w:cs="Times New Roman"/>
          <w:sz w:val="24"/>
          <w:szCs w:val="24"/>
          <w:highlight w:val="yellow"/>
        </w:rPr>
        <w:t xml:space="preserve"> also include </w:t>
      </w:r>
      <w:r w:rsidRPr="002A2990">
        <w:rPr>
          <w:rFonts w:ascii="Aptos" w:hAnsi="Aptos" w:cs="Times New Roman"/>
          <w:sz w:val="24"/>
          <w:szCs w:val="24"/>
          <w:highlight w:val="yellow"/>
        </w:rPr>
        <w:t xml:space="preserve">the appropriate certification submitted by an investigator </w:t>
      </w:r>
      <w:r w:rsidRPr="002A2990" w:rsidR="007A3790">
        <w:rPr>
          <w:rFonts w:ascii="Aptos" w:hAnsi="Aptos" w:cs="Times New Roman"/>
          <w:sz w:val="24"/>
          <w:szCs w:val="24"/>
          <w:highlight w:val="yellow"/>
        </w:rPr>
        <w:t>and approved by the Institutional Official</w:t>
      </w:r>
      <w:r w:rsidRPr="002A2990" w:rsidR="00FE5462">
        <w:rPr>
          <w:rFonts w:ascii="Aptos" w:hAnsi="Aptos" w:cs="Times New Roman"/>
          <w:sz w:val="24"/>
          <w:szCs w:val="24"/>
          <w:highlight w:val="yellow"/>
        </w:rPr>
        <w:t xml:space="preserve"> certifying to NIH how the data are to be shared</w:t>
      </w:r>
      <w:r w:rsidRPr="002A2990" w:rsidR="007A3790">
        <w:rPr>
          <w:rFonts w:ascii="Aptos" w:hAnsi="Aptos" w:cs="Times New Roman"/>
          <w:sz w:val="24"/>
          <w:szCs w:val="24"/>
          <w:highlight w:val="yellow"/>
        </w:rPr>
        <w:t>.</w:t>
      </w:r>
      <w:r w:rsidRPr="002A2990" w:rsidR="00351F71">
        <w:rPr>
          <w:rFonts w:ascii="Aptos" w:hAnsi="Aptos" w:cs="Times New Roman"/>
          <w:sz w:val="24"/>
          <w:szCs w:val="24"/>
          <w:highlight w:val="yellow"/>
        </w:rPr>
        <w:t xml:space="preserve"> For studies involving data subject to the NIH GDS Policy, this certification is </w:t>
      </w:r>
      <w:r w:rsidRPr="002A2990" w:rsidR="002F5B83">
        <w:rPr>
          <w:rFonts w:ascii="Aptos" w:hAnsi="Aptos" w:cs="Times New Roman"/>
          <w:sz w:val="24"/>
          <w:szCs w:val="24"/>
          <w:highlight w:val="yellow"/>
        </w:rPr>
        <w:t>an Institutional Certification.</w:t>
      </w:r>
      <w:r w:rsidR="00886218">
        <w:rPr>
          <w:rFonts w:ascii="Aptos" w:hAnsi="Aptos" w:cs="Times New Roman"/>
          <w:sz w:val="24"/>
          <w:szCs w:val="24"/>
          <w:highlight w:val="yellow"/>
        </w:rPr>
        <w:t xml:space="preserve"> Depending on when </w:t>
      </w:r>
      <w:r w:rsidRPr="00BF5C5A" w:rsidR="00BF5C5A">
        <w:rPr>
          <w:rFonts w:ascii="Aptos" w:hAnsi="Aptos" w:cs="Times New Roman"/>
          <w:sz w:val="24"/>
          <w:szCs w:val="24"/>
          <w:highlight w:val="yellow"/>
        </w:rPr>
        <w:t>genomic data from cell lines or clinical specimens</w:t>
      </w:r>
      <w:r w:rsidR="00BF5C5A">
        <w:rPr>
          <w:rFonts w:ascii="Aptos" w:hAnsi="Aptos" w:cs="Times New Roman"/>
          <w:sz w:val="24"/>
          <w:szCs w:val="24"/>
          <w:highlight w:val="yellow"/>
        </w:rPr>
        <w:t xml:space="preserve"> were </w:t>
      </w:r>
      <w:r w:rsidR="00886218">
        <w:rPr>
          <w:rFonts w:ascii="Aptos" w:hAnsi="Aptos" w:cs="Times New Roman"/>
          <w:sz w:val="24"/>
          <w:szCs w:val="24"/>
          <w:highlight w:val="yellow"/>
        </w:rPr>
        <w:t>created or collected dictates which Institutional Certification is submitted (pre-2015 With or Without Consent</w:t>
      </w:r>
      <w:r w:rsidR="007D69FB">
        <w:rPr>
          <w:rFonts w:ascii="Aptos" w:hAnsi="Aptos" w:cs="Times New Roman"/>
          <w:sz w:val="24"/>
          <w:szCs w:val="24"/>
          <w:highlight w:val="yellow"/>
        </w:rPr>
        <w:t>; post-2015</w:t>
      </w:r>
      <w:r w:rsidR="004F00FE">
        <w:rPr>
          <w:rFonts w:ascii="Aptos" w:hAnsi="Aptos" w:cs="Times New Roman"/>
          <w:sz w:val="24"/>
          <w:szCs w:val="24"/>
          <w:highlight w:val="yellow"/>
        </w:rPr>
        <w:t xml:space="preserve">; or if an institution is waiting on a determination, a Provisional Institutional </w:t>
      </w:r>
      <w:r w:rsidR="00780952">
        <w:rPr>
          <w:rFonts w:ascii="Aptos" w:hAnsi="Aptos" w:cs="Times New Roman"/>
          <w:sz w:val="24"/>
          <w:szCs w:val="24"/>
          <w:highlight w:val="yellow"/>
        </w:rPr>
        <w:t>Certification) (Attachment 3).</w:t>
      </w:r>
      <w:r w:rsidRPr="002A2990" w:rsidR="002F5B83">
        <w:rPr>
          <w:rFonts w:ascii="Aptos" w:hAnsi="Aptos" w:cs="Times New Roman"/>
          <w:sz w:val="24"/>
          <w:szCs w:val="24"/>
          <w:highlight w:val="yellow"/>
        </w:rPr>
        <w:t xml:space="preserve"> </w:t>
      </w:r>
      <w:r w:rsidRPr="002A2990" w:rsidR="00C14974">
        <w:rPr>
          <w:rFonts w:ascii="Aptos" w:hAnsi="Aptos" w:cs="Times New Roman"/>
          <w:sz w:val="24"/>
          <w:szCs w:val="24"/>
          <w:highlight w:val="yellow"/>
        </w:rPr>
        <w:t xml:space="preserve">NIH </w:t>
      </w:r>
      <w:r w:rsidRPr="002A2990" w:rsidR="0049631E">
        <w:rPr>
          <w:rFonts w:ascii="Aptos" w:hAnsi="Aptos" w:cs="Times New Roman"/>
          <w:sz w:val="24"/>
          <w:szCs w:val="24"/>
          <w:highlight w:val="yellow"/>
        </w:rPr>
        <w:t>h</w:t>
      </w:r>
      <w:r w:rsidRPr="002A2990" w:rsidR="00C14974">
        <w:rPr>
          <w:rFonts w:ascii="Aptos" w:hAnsi="Aptos" w:cs="Times New Roman"/>
          <w:sz w:val="24"/>
          <w:szCs w:val="24"/>
          <w:highlight w:val="yellow"/>
        </w:rPr>
        <w:t>as developed a similar form</w:t>
      </w:r>
      <w:r w:rsidRPr="002A2990" w:rsidR="00704710">
        <w:rPr>
          <w:rFonts w:ascii="Aptos" w:hAnsi="Aptos" w:cs="Times New Roman"/>
          <w:sz w:val="24"/>
          <w:szCs w:val="24"/>
          <w:highlight w:val="yellow"/>
        </w:rPr>
        <w:t xml:space="preserve"> </w:t>
      </w:r>
      <w:r w:rsidRPr="002A2990" w:rsidR="005B2A14">
        <w:rPr>
          <w:rFonts w:ascii="Aptos" w:hAnsi="Aptos" w:cs="Times New Roman"/>
          <w:sz w:val="24"/>
          <w:szCs w:val="24"/>
          <w:highlight w:val="yellow"/>
        </w:rPr>
        <w:t xml:space="preserve">for those NIH </w:t>
      </w:r>
      <w:r w:rsidR="00AB3156">
        <w:rPr>
          <w:rFonts w:ascii="Aptos" w:hAnsi="Aptos" w:cs="Times New Roman"/>
          <w:sz w:val="24"/>
          <w:szCs w:val="24"/>
          <w:highlight w:val="yellow"/>
        </w:rPr>
        <w:t>ICOs</w:t>
      </w:r>
      <w:r w:rsidR="002060F6">
        <w:rPr>
          <w:rFonts w:ascii="Aptos" w:hAnsi="Aptos" w:cs="Times New Roman"/>
          <w:sz w:val="24"/>
          <w:szCs w:val="24"/>
          <w:highlight w:val="yellow"/>
        </w:rPr>
        <w:t xml:space="preserve"> </w:t>
      </w:r>
      <w:r w:rsidRPr="002A2990" w:rsidR="005B2A14">
        <w:rPr>
          <w:rFonts w:ascii="Aptos" w:hAnsi="Aptos" w:cs="Times New Roman"/>
          <w:sz w:val="24"/>
          <w:szCs w:val="24"/>
          <w:highlight w:val="yellow"/>
        </w:rPr>
        <w:t xml:space="preserve">that leverage the </w:t>
      </w:r>
      <w:r w:rsidRPr="002A2990" w:rsidR="005B2A14">
        <w:rPr>
          <w:rFonts w:ascii="Aptos" w:hAnsi="Aptos" w:cs="Times New Roman"/>
          <w:sz w:val="24"/>
          <w:szCs w:val="24"/>
          <w:highlight w:val="yellow"/>
        </w:rPr>
        <w:t>dbGaP</w:t>
      </w:r>
      <w:r w:rsidRPr="002A2990" w:rsidR="005B2A14">
        <w:rPr>
          <w:rFonts w:ascii="Aptos" w:hAnsi="Aptos" w:cs="Times New Roman"/>
          <w:sz w:val="24"/>
          <w:szCs w:val="24"/>
          <w:highlight w:val="yellow"/>
        </w:rPr>
        <w:t xml:space="preserve"> Authorized Access System to provide access to controlled data</w:t>
      </w:r>
      <w:r w:rsidRPr="002A2990" w:rsidR="0049631E">
        <w:rPr>
          <w:rFonts w:ascii="Aptos" w:hAnsi="Aptos" w:cs="Times New Roman"/>
          <w:sz w:val="24"/>
          <w:szCs w:val="24"/>
          <w:highlight w:val="yellow"/>
        </w:rPr>
        <w:t xml:space="preserve"> that is not subject to the GDS Policy</w:t>
      </w:r>
      <w:r w:rsidR="009F08F4">
        <w:rPr>
          <w:rFonts w:ascii="Aptos" w:hAnsi="Aptos" w:cs="Times New Roman"/>
          <w:sz w:val="24"/>
          <w:szCs w:val="24"/>
          <w:highlight w:val="yellow"/>
        </w:rPr>
        <w:t xml:space="preserve">. </w:t>
      </w:r>
      <w:r w:rsidRPr="00790042" w:rsidR="00AF0389">
        <w:rPr>
          <w:rFonts w:ascii="Aptos" w:hAnsi="Aptos" w:cs="Times New Roman"/>
          <w:sz w:val="24"/>
          <w:szCs w:val="24"/>
          <w:highlight w:val="yellow"/>
        </w:rPr>
        <w:t>The</w:t>
      </w:r>
      <w:r w:rsidRPr="00790042" w:rsidR="00291758">
        <w:rPr>
          <w:rFonts w:ascii="Aptos" w:hAnsi="Aptos" w:cs="Times New Roman"/>
          <w:sz w:val="24"/>
          <w:szCs w:val="24"/>
          <w:highlight w:val="yellow"/>
        </w:rPr>
        <w:t xml:space="preserve"> form</w:t>
      </w:r>
      <w:r w:rsidRPr="00790042" w:rsidR="00280A00">
        <w:rPr>
          <w:rFonts w:ascii="Aptos" w:hAnsi="Aptos" w:cs="Times New Roman"/>
          <w:sz w:val="24"/>
          <w:szCs w:val="24"/>
          <w:highlight w:val="yellow"/>
        </w:rPr>
        <w:t xml:space="preserve"> is the Data Submission Certification documented in Attachment </w:t>
      </w:r>
      <w:r w:rsidRPr="00790042" w:rsidR="00790042">
        <w:rPr>
          <w:rFonts w:ascii="Aptos" w:hAnsi="Aptos" w:cs="Times New Roman"/>
          <w:sz w:val="24"/>
          <w:szCs w:val="24"/>
          <w:highlight w:val="yellow"/>
        </w:rPr>
        <w:t>2</w:t>
      </w:r>
      <w:r w:rsidRPr="00790042" w:rsidR="00280A00">
        <w:rPr>
          <w:rFonts w:ascii="Aptos" w:hAnsi="Aptos" w:cs="Times New Roman"/>
          <w:sz w:val="24"/>
          <w:szCs w:val="24"/>
          <w:highlight w:val="yellow"/>
        </w:rPr>
        <w:t>.</w:t>
      </w:r>
      <w:r w:rsidR="0026475B">
        <w:rPr>
          <w:rFonts w:ascii="Aptos" w:hAnsi="Aptos" w:cs="Times New Roman"/>
          <w:sz w:val="24"/>
          <w:szCs w:val="24"/>
        </w:rPr>
        <w:t xml:space="preserve"> </w:t>
      </w:r>
      <w:r w:rsidRPr="001921C2">
        <w:rPr>
          <w:rFonts w:ascii="Aptos" w:hAnsi="Aptos"/>
        </w:rPr>
        <w:t xml:space="preserve"> </w:t>
      </w:r>
    </w:p>
    <w:p w:rsidR="00CF1354" w:rsidRPr="001921C2" w:rsidP="00CF1354" w14:paraId="08A637DC" w14:textId="693BF661">
      <w:pPr>
        <w:rPr>
          <w:rFonts w:ascii="Aptos" w:hAnsi="Aptos" w:cs="Times New Roman"/>
          <w:sz w:val="24"/>
          <w:szCs w:val="24"/>
        </w:rPr>
      </w:pPr>
      <w:r w:rsidRPr="002A2990">
        <w:rPr>
          <w:rFonts w:ascii="Aptos" w:hAnsi="Aptos" w:cs="Times New Roman"/>
          <w:sz w:val="24"/>
          <w:szCs w:val="24"/>
          <w:highlight w:val="yellow"/>
        </w:rPr>
        <w:t xml:space="preserve">Through </w:t>
      </w:r>
      <w:r w:rsidRPr="002A2990" w:rsidR="00783B37">
        <w:rPr>
          <w:rFonts w:ascii="Aptos" w:hAnsi="Aptos" w:cs="Times New Roman"/>
          <w:sz w:val="24"/>
          <w:szCs w:val="24"/>
          <w:highlight w:val="yellow"/>
        </w:rPr>
        <w:t xml:space="preserve">either </w:t>
      </w:r>
      <w:r w:rsidRPr="002A2990">
        <w:rPr>
          <w:rFonts w:ascii="Aptos" w:hAnsi="Aptos" w:cs="Times New Roman"/>
          <w:sz w:val="24"/>
          <w:szCs w:val="24"/>
          <w:highlight w:val="yellow"/>
        </w:rPr>
        <w:t>the Institutional Certification</w:t>
      </w:r>
      <w:r w:rsidRPr="002A2990" w:rsidR="00BE5828">
        <w:rPr>
          <w:rFonts w:ascii="Aptos" w:hAnsi="Aptos" w:cs="Times New Roman"/>
          <w:sz w:val="24"/>
          <w:szCs w:val="24"/>
          <w:highlight w:val="yellow"/>
        </w:rPr>
        <w:t xml:space="preserve"> </w:t>
      </w:r>
      <w:r w:rsidRPr="002A2990" w:rsidR="00043CDA">
        <w:rPr>
          <w:rFonts w:ascii="Aptos" w:hAnsi="Aptos" w:cs="Times New Roman"/>
          <w:sz w:val="24"/>
          <w:szCs w:val="24"/>
          <w:highlight w:val="yellow"/>
        </w:rPr>
        <w:t>or Data Submission Certification</w:t>
      </w:r>
      <w:r w:rsidRPr="002A2990">
        <w:rPr>
          <w:rFonts w:ascii="Aptos" w:hAnsi="Aptos" w:cs="Times New Roman"/>
          <w:sz w:val="24"/>
          <w:szCs w:val="24"/>
          <w:highlight w:val="yellow"/>
        </w:rPr>
        <w:t>, the institution assures that study data submission is consistent with all applicable laws, regulations, and institutional policies; outlines data use limitations, if any</w:t>
      </w:r>
      <w:r w:rsidRPr="002A2990" w:rsidR="00794887">
        <w:rPr>
          <w:rFonts w:ascii="Aptos" w:hAnsi="Aptos" w:cs="Times New Roman"/>
          <w:sz w:val="24"/>
          <w:szCs w:val="24"/>
          <w:highlight w:val="yellow"/>
        </w:rPr>
        <w:t>;</w:t>
      </w:r>
      <w:r w:rsidRPr="002A2990">
        <w:rPr>
          <w:rFonts w:ascii="Aptos" w:hAnsi="Aptos" w:cs="Times New Roman"/>
          <w:sz w:val="24"/>
          <w:szCs w:val="24"/>
          <w:highlight w:val="yellow"/>
        </w:rPr>
        <w:t xml:space="preserve"> certifies that the identities of research participants will not be disclosed to </w:t>
      </w: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and </w:t>
      </w:r>
      <w:r w:rsidRPr="002A2990" w:rsidR="00C24103">
        <w:rPr>
          <w:rFonts w:ascii="Aptos" w:hAnsi="Aptos" w:cs="Times New Roman"/>
          <w:sz w:val="24"/>
          <w:szCs w:val="24"/>
          <w:highlight w:val="yellow"/>
        </w:rPr>
        <w:t>assures t</w:t>
      </w:r>
      <w:r w:rsidRPr="002A2990" w:rsidR="00735F21">
        <w:rPr>
          <w:rFonts w:ascii="Aptos" w:hAnsi="Aptos" w:cs="Times New Roman"/>
          <w:sz w:val="24"/>
          <w:szCs w:val="24"/>
          <w:highlight w:val="yellow"/>
        </w:rPr>
        <w:t xml:space="preserve">hat different offices or components of an institution with appropriate roles and expertise (such as an Institutional Review Board (IRB), Privacy Board, Human Research Protection Program (HRPP), or equivalent body) has reviewed </w:t>
      </w:r>
      <w:r w:rsidRPr="002A2990" w:rsidR="00BF2F6A">
        <w:rPr>
          <w:rFonts w:ascii="Aptos" w:hAnsi="Aptos" w:cs="Times New Roman"/>
          <w:sz w:val="24"/>
          <w:szCs w:val="24"/>
          <w:highlight w:val="yellow"/>
        </w:rPr>
        <w:t>and approved</w:t>
      </w:r>
      <w:r w:rsidRPr="002A2990" w:rsidR="0047417B">
        <w:rPr>
          <w:rFonts w:ascii="Aptos" w:hAnsi="Aptos" w:cs="Times New Roman"/>
          <w:sz w:val="24"/>
          <w:szCs w:val="24"/>
          <w:highlight w:val="yellow"/>
        </w:rPr>
        <w:t xml:space="preserve"> the appropriateness </w:t>
      </w:r>
      <w:r w:rsidRPr="002A2990" w:rsidR="008D5535">
        <w:rPr>
          <w:rFonts w:ascii="Aptos" w:hAnsi="Aptos" w:cs="Times New Roman"/>
          <w:sz w:val="24"/>
          <w:szCs w:val="24"/>
          <w:highlight w:val="yellow"/>
        </w:rPr>
        <w:t xml:space="preserve">of </w:t>
      </w:r>
      <w:r w:rsidRPr="002A2990" w:rsidR="00735F21">
        <w:rPr>
          <w:rFonts w:ascii="Aptos" w:hAnsi="Aptos" w:cs="Times New Roman"/>
          <w:sz w:val="24"/>
          <w:szCs w:val="24"/>
          <w:highlight w:val="yellow"/>
        </w:rPr>
        <w:t xml:space="preserve">the investigator’s proposal for data submission </w:t>
      </w:r>
      <w:r w:rsidRPr="002A2990" w:rsidR="008E383A">
        <w:rPr>
          <w:rFonts w:ascii="Aptos" w:hAnsi="Aptos" w:cs="Times New Roman"/>
          <w:sz w:val="24"/>
          <w:szCs w:val="24"/>
          <w:highlight w:val="yellow"/>
        </w:rPr>
        <w:t>to NIH</w:t>
      </w:r>
      <w:r w:rsidRPr="002A2990">
        <w:rPr>
          <w:rFonts w:ascii="Aptos" w:hAnsi="Aptos" w:cs="Times New Roman"/>
          <w:sz w:val="24"/>
          <w:szCs w:val="24"/>
          <w:highlight w:val="yellow"/>
        </w:rPr>
        <w:t>.</w:t>
      </w:r>
      <w:r w:rsidRPr="001921C2" w:rsidR="004C2607">
        <w:rPr>
          <w:rFonts w:ascii="Aptos" w:hAnsi="Aptos" w:cs="Times New Roman"/>
          <w:sz w:val="24"/>
          <w:szCs w:val="24"/>
        </w:rPr>
        <w:t xml:space="preserve"> </w:t>
      </w:r>
    </w:p>
    <w:p w:rsidR="00CF1354" w:rsidRPr="001921C2" w:rsidP="004C2607" w14:paraId="6BB99A08" w14:textId="77777777">
      <w:pPr>
        <w:rPr>
          <w:rFonts w:ascii="Aptos" w:hAnsi="Aptos" w:cs="Times New Roman"/>
          <w:i/>
          <w:sz w:val="24"/>
          <w:szCs w:val="24"/>
        </w:rPr>
      </w:pPr>
      <w:r w:rsidRPr="001921C2">
        <w:rPr>
          <w:rFonts w:ascii="Aptos" w:hAnsi="Aptos" w:cs="Times New Roman"/>
          <w:i/>
          <w:sz w:val="24"/>
          <w:szCs w:val="24"/>
        </w:rPr>
        <w:t xml:space="preserve">Data Access </w:t>
      </w:r>
    </w:p>
    <w:p w:rsidR="00D916DB" w:rsidRPr="00195C3F" w:rsidP="00195C3F" w14:paraId="73C8E729" w14:textId="7DC7C2B2">
      <w:pPr>
        <w:rPr>
          <w:rFonts w:ascii="Aptos" w:hAnsi="Aptos" w:cs="Times New Roman"/>
          <w:sz w:val="24"/>
          <w:szCs w:val="24"/>
        </w:rPr>
      </w:pPr>
      <w:r w:rsidRPr="00195C3F">
        <w:rPr>
          <w:rFonts w:ascii="Aptos" w:hAnsi="Aptos" w:cs="Times New Roman"/>
          <w:sz w:val="24"/>
          <w:szCs w:val="24"/>
        </w:rPr>
        <w:t>To request</w:t>
      </w:r>
      <w:r w:rsidRPr="00195C3F" w:rsidR="00DE6871">
        <w:rPr>
          <w:rFonts w:ascii="Aptos" w:hAnsi="Aptos" w:cs="Times New Roman"/>
          <w:sz w:val="24"/>
          <w:szCs w:val="24"/>
        </w:rPr>
        <w:t xml:space="preserve"> access to</w:t>
      </w:r>
      <w:r w:rsidRPr="00195C3F" w:rsidR="00DD46F0">
        <w:rPr>
          <w:rFonts w:ascii="Aptos" w:hAnsi="Aptos" w:cs="Times New Roman"/>
          <w:sz w:val="24"/>
          <w:szCs w:val="24"/>
        </w:rPr>
        <w:t xml:space="preserve"> </w:t>
      </w:r>
      <w:r w:rsidRPr="00195C3F" w:rsidR="00942CA0">
        <w:rPr>
          <w:rFonts w:ascii="Aptos" w:hAnsi="Aptos" w:cs="Times New Roman"/>
          <w:sz w:val="24"/>
          <w:szCs w:val="24"/>
        </w:rPr>
        <w:t xml:space="preserve">controlled-access </w:t>
      </w:r>
      <w:r w:rsidRPr="00195C3F" w:rsidR="00942CA0">
        <w:rPr>
          <w:rFonts w:ascii="Aptos" w:hAnsi="Aptos" w:cs="Times New Roman"/>
          <w:sz w:val="24"/>
          <w:szCs w:val="24"/>
        </w:rPr>
        <w:t>dbGaP</w:t>
      </w:r>
      <w:r w:rsidRPr="00195C3F" w:rsidR="00942CA0">
        <w:rPr>
          <w:rFonts w:ascii="Aptos" w:hAnsi="Aptos" w:cs="Times New Roman"/>
          <w:sz w:val="24"/>
          <w:szCs w:val="24"/>
        </w:rPr>
        <w:t xml:space="preserve"> data</w:t>
      </w:r>
      <w:r w:rsidRPr="00195C3F" w:rsidR="00DE6871">
        <w:rPr>
          <w:rFonts w:ascii="Aptos" w:hAnsi="Aptos" w:cs="Times New Roman"/>
          <w:sz w:val="24"/>
          <w:szCs w:val="24"/>
        </w:rPr>
        <w:t xml:space="preserve">, </w:t>
      </w:r>
      <w:r w:rsidR="00E6712D">
        <w:rPr>
          <w:rFonts w:ascii="Aptos" w:hAnsi="Aptos" w:cs="Times New Roman"/>
          <w:sz w:val="24"/>
          <w:szCs w:val="24"/>
        </w:rPr>
        <w:t>PIs</w:t>
      </w:r>
      <w:r w:rsidRPr="00195C3F" w:rsidR="00942CA0">
        <w:rPr>
          <w:rFonts w:ascii="Aptos" w:hAnsi="Aptos" w:cs="Times New Roman"/>
          <w:sz w:val="24"/>
          <w:szCs w:val="24"/>
        </w:rPr>
        <w:t xml:space="preserve"> must submit a</w:t>
      </w:r>
      <w:r w:rsidRPr="00195C3F" w:rsidR="004C2607">
        <w:rPr>
          <w:rFonts w:ascii="Aptos" w:hAnsi="Aptos" w:cs="Times New Roman"/>
          <w:sz w:val="24"/>
          <w:szCs w:val="24"/>
        </w:rPr>
        <w:t xml:space="preserve"> data access request (DAR) </w:t>
      </w:r>
      <w:r w:rsidRPr="00195C3F" w:rsidR="00CF1354">
        <w:rPr>
          <w:rFonts w:ascii="Aptos" w:hAnsi="Aptos" w:cs="Times New Roman"/>
          <w:sz w:val="24"/>
          <w:szCs w:val="24"/>
        </w:rPr>
        <w:t>application to</w:t>
      </w:r>
      <w:r w:rsidRPr="00195C3F" w:rsidR="00935BA4">
        <w:rPr>
          <w:rFonts w:ascii="Aptos" w:hAnsi="Aptos" w:cs="Times New Roman"/>
          <w:sz w:val="24"/>
          <w:szCs w:val="24"/>
        </w:rPr>
        <w:t xml:space="preserve"> the relevant NIH DAC.</w:t>
      </w:r>
      <w:r w:rsidRPr="00195C3F" w:rsidR="00B44105">
        <w:rPr>
          <w:rFonts w:ascii="Aptos" w:hAnsi="Aptos" w:cs="Times New Roman"/>
          <w:sz w:val="24"/>
          <w:szCs w:val="24"/>
        </w:rPr>
        <w:t xml:space="preserve"> </w:t>
      </w:r>
      <w:r w:rsidRPr="00195C3F" w:rsidR="00EB55E5">
        <w:rPr>
          <w:rFonts w:ascii="Aptos" w:hAnsi="Aptos" w:cs="Times New Roman"/>
          <w:sz w:val="24"/>
          <w:szCs w:val="24"/>
          <w:highlight w:val="yellow"/>
        </w:rPr>
        <w:t xml:space="preserve">The Legacy </w:t>
      </w:r>
      <w:r w:rsidRPr="00195C3F" w:rsidR="00EB55E5">
        <w:rPr>
          <w:rFonts w:ascii="Aptos" w:hAnsi="Aptos" w:cs="Times New Roman"/>
          <w:sz w:val="24"/>
          <w:szCs w:val="24"/>
          <w:highlight w:val="yellow"/>
        </w:rPr>
        <w:t>dbGaP</w:t>
      </w:r>
      <w:r w:rsidRPr="00195C3F" w:rsidR="00EB55E5">
        <w:rPr>
          <w:rFonts w:ascii="Aptos" w:hAnsi="Aptos" w:cs="Times New Roman"/>
          <w:sz w:val="24"/>
          <w:szCs w:val="24"/>
          <w:highlight w:val="yellow"/>
        </w:rPr>
        <w:t xml:space="preserve"> Authorized Access System made updates to the new DAR application web interfaces to comply with national security directives</w:t>
      </w:r>
      <w:r w:rsidRPr="00195C3F" w:rsidR="00CF758E">
        <w:rPr>
          <w:rFonts w:ascii="Aptos" w:hAnsi="Aptos" w:cs="Times New Roman"/>
          <w:sz w:val="24"/>
          <w:szCs w:val="24"/>
          <w:highlight w:val="yellow"/>
        </w:rPr>
        <w:t xml:space="preserve">, </w:t>
      </w:r>
      <w:r w:rsidRPr="00195C3F" w:rsidR="00EB55E5">
        <w:rPr>
          <w:rFonts w:ascii="Aptos" w:hAnsi="Aptos" w:cs="Times New Roman"/>
          <w:sz w:val="24"/>
          <w:szCs w:val="24"/>
          <w:highlight w:val="yellow"/>
        </w:rPr>
        <w:t>security and operational standards published in the NIH Guide notice NOT-OD-25-159</w:t>
      </w:r>
      <w:r w:rsidRPr="00195C3F" w:rsidR="00CF758E">
        <w:rPr>
          <w:rFonts w:ascii="Aptos" w:hAnsi="Aptos" w:cs="Times New Roman"/>
          <w:sz w:val="24"/>
          <w:szCs w:val="24"/>
          <w:highlight w:val="yellow"/>
        </w:rPr>
        <w:t xml:space="preserve">, and awareness for PIs and SOs </w:t>
      </w:r>
      <w:r w:rsidRPr="00620C79" w:rsidR="00CF758E">
        <w:rPr>
          <w:rFonts w:ascii="Aptos" w:hAnsi="Aptos" w:cs="Times New Roman"/>
          <w:sz w:val="24"/>
          <w:szCs w:val="24"/>
          <w:highlight w:val="yellow"/>
        </w:rPr>
        <w:t xml:space="preserve">that the information provided on the DAR application may be used for the evaluation of </w:t>
      </w:r>
      <w:r w:rsidRPr="00620C79" w:rsidR="00CF758E">
        <w:rPr>
          <w:rFonts w:ascii="Aptos" w:hAnsi="Aptos" w:cs="Times New Roman"/>
          <w:sz w:val="24"/>
          <w:szCs w:val="24"/>
          <w:highlight w:val="yellow"/>
        </w:rPr>
        <w:t>dbGaP</w:t>
      </w:r>
      <w:r w:rsidRPr="00620C79" w:rsidR="00CF758E">
        <w:rPr>
          <w:rFonts w:ascii="Aptos" w:hAnsi="Aptos" w:cs="Times New Roman"/>
          <w:sz w:val="24"/>
          <w:szCs w:val="24"/>
          <w:highlight w:val="yellow"/>
        </w:rPr>
        <w:t xml:space="preserve"> operation, usage, and impact</w:t>
      </w:r>
      <w:r w:rsidR="00620C79">
        <w:rPr>
          <w:rFonts w:ascii="Aptos" w:hAnsi="Aptos" w:cs="Times New Roman"/>
          <w:sz w:val="24"/>
          <w:szCs w:val="24"/>
          <w:highlight w:val="yellow"/>
        </w:rPr>
        <w:t xml:space="preserve"> (Attachment 5)</w:t>
      </w:r>
      <w:r w:rsidRPr="00620C79" w:rsidR="00CF758E">
        <w:rPr>
          <w:rFonts w:ascii="Aptos" w:hAnsi="Aptos" w:cs="Times New Roman"/>
          <w:sz w:val="24"/>
          <w:szCs w:val="24"/>
          <w:highlight w:val="yellow"/>
        </w:rPr>
        <w:t>.</w:t>
      </w:r>
      <w:r w:rsidRPr="00195C3F" w:rsidR="00D52393">
        <w:rPr>
          <w:rFonts w:ascii="Aptos" w:hAnsi="Aptos" w:cs="Times New Roman"/>
          <w:sz w:val="24"/>
          <w:szCs w:val="24"/>
        </w:rPr>
        <w:t xml:space="preserve"> </w:t>
      </w:r>
      <w:r w:rsidRPr="00195C3F" w:rsidR="0070305E">
        <w:rPr>
          <w:rFonts w:ascii="Aptos" w:hAnsi="Aptos" w:cs="Times New Roman"/>
          <w:sz w:val="24"/>
          <w:szCs w:val="24"/>
          <w:highlight w:val="yellow"/>
        </w:rPr>
        <w:t xml:space="preserve">These updates were implemented on January 17, 2025, as a part of an OMB </w:t>
      </w:r>
      <w:r w:rsidRPr="00195C3F" w:rsidR="0070305E">
        <w:rPr>
          <w:rFonts w:ascii="Aptos" w:hAnsi="Aptos" w:cs="Times New Roman"/>
          <w:sz w:val="24"/>
          <w:szCs w:val="24"/>
          <w:highlight w:val="yellow"/>
        </w:rPr>
        <w:t>nonsubstantive</w:t>
      </w:r>
      <w:r w:rsidRPr="00195C3F" w:rsidR="0070305E">
        <w:rPr>
          <w:rFonts w:ascii="Aptos" w:hAnsi="Aptos" w:cs="Times New Roman"/>
          <w:sz w:val="24"/>
          <w:szCs w:val="24"/>
          <w:highlight w:val="yellow"/>
        </w:rPr>
        <w:t xml:space="preserve"> change to a currently approved collection review. The screenshots of the </w:t>
      </w:r>
      <w:r w:rsidRPr="00195C3F" w:rsidR="00BB2794">
        <w:rPr>
          <w:rFonts w:ascii="Aptos" w:hAnsi="Aptos" w:cs="Times New Roman"/>
          <w:sz w:val="24"/>
          <w:szCs w:val="24"/>
          <w:highlight w:val="yellow"/>
        </w:rPr>
        <w:t xml:space="preserve">Legacy </w:t>
      </w:r>
      <w:r w:rsidRPr="00195C3F" w:rsidR="00BB2794">
        <w:rPr>
          <w:rFonts w:ascii="Aptos" w:hAnsi="Aptos" w:cs="Times New Roman"/>
          <w:sz w:val="24"/>
          <w:szCs w:val="24"/>
          <w:highlight w:val="yellow"/>
        </w:rPr>
        <w:t>dbGaP</w:t>
      </w:r>
      <w:r w:rsidRPr="00195C3F" w:rsidR="00BB2794">
        <w:rPr>
          <w:rFonts w:ascii="Aptos" w:hAnsi="Aptos" w:cs="Times New Roman"/>
          <w:sz w:val="24"/>
          <w:szCs w:val="24"/>
          <w:highlight w:val="yellow"/>
        </w:rPr>
        <w:t xml:space="preserve"> Authorized Access System </w:t>
      </w:r>
      <w:r w:rsidRPr="00195C3F" w:rsidR="0070305E">
        <w:rPr>
          <w:rFonts w:ascii="Aptos" w:hAnsi="Aptos" w:cs="Times New Roman"/>
          <w:sz w:val="24"/>
          <w:szCs w:val="24"/>
          <w:highlight w:val="yellow"/>
        </w:rPr>
        <w:t xml:space="preserve">indicate the </w:t>
      </w:r>
      <w:r w:rsidRPr="00195C3F" w:rsidR="0070305E">
        <w:rPr>
          <w:rFonts w:ascii="Aptos" w:hAnsi="Aptos" w:cs="Times New Roman"/>
          <w:sz w:val="24"/>
          <w:szCs w:val="24"/>
          <w:highlight w:val="yellow"/>
        </w:rPr>
        <w:t>nonsubstantive</w:t>
      </w:r>
      <w:r w:rsidRPr="00195C3F" w:rsidR="0070305E">
        <w:rPr>
          <w:rFonts w:ascii="Aptos" w:hAnsi="Aptos" w:cs="Times New Roman"/>
          <w:sz w:val="24"/>
          <w:szCs w:val="24"/>
          <w:highlight w:val="yellow"/>
        </w:rPr>
        <w:t xml:space="preserve"> changes and other updates made since the last OMB review</w:t>
      </w:r>
      <w:r w:rsidR="00EA063C">
        <w:rPr>
          <w:rFonts w:ascii="Aptos" w:hAnsi="Aptos" w:cs="Times New Roman"/>
          <w:sz w:val="24"/>
          <w:szCs w:val="24"/>
          <w:highlight w:val="yellow"/>
        </w:rPr>
        <w:t xml:space="preserve"> (Attachment 5</w:t>
      </w:r>
      <w:r w:rsidR="00620C79">
        <w:rPr>
          <w:rFonts w:ascii="Aptos" w:hAnsi="Aptos" w:cs="Times New Roman"/>
          <w:sz w:val="24"/>
          <w:szCs w:val="24"/>
          <w:highlight w:val="yellow"/>
        </w:rPr>
        <w:t xml:space="preserve"> </w:t>
      </w:r>
      <w:r w:rsidR="00CE3713">
        <w:rPr>
          <w:rFonts w:ascii="Aptos" w:hAnsi="Aptos" w:cs="Times New Roman"/>
          <w:sz w:val="24"/>
          <w:szCs w:val="24"/>
          <w:highlight w:val="yellow"/>
        </w:rPr>
        <w:t>–</w:t>
      </w:r>
      <w:r w:rsidR="00620C79">
        <w:rPr>
          <w:rFonts w:ascii="Aptos" w:hAnsi="Aptos" w:cs="Times New Roman"/>
          <w:sz w:val="24"/>
          <w:szCs w:val="24"/>
          <w:highlight w:val="yellow"/>
        </w:rPr>
        <w:t xml:space="preserve"> slide</w:t>
      </w:r>
      <w:r w:rsidR="00CE3713">
        <w:rPr>
          <w:rFonts w:ascii="Aptos" w:hAnsi="Aptos" w:cs="Times New Roman"/>
          <w:sz w:val="24"/>
          <w:szCs w:val="24"/>
          <w:highlight w:val="yellow"/>
        </w:rPr>
        <w:t xml:space="preserve"> 5</w:t>
      </w:r>
      <w:r w:rsidR="00EA063C">
        <w:rPr>
          <w:rFonts w:ascii="Aptos" w:hAnsi="Aptos" w:cs="Times New Roman"/>
          <w:sz w:val="24"/>
          <w:szCs w:val="24"/>
          <w:highlight w:val="yellow"/>
        </w:rPr>
        <w:t>)</w:t>
      </w:r>
      <w:r w:rsidRPr="00195C3F" w:rsidR="0070305E">
        <w:rPr>
          <w:rFonts w:ascii="Aptos" w:hAnsi="Aptos" w:cs="Times New Roman"/>
          <w:sz w:val="24"/>
          <w:szCs w:val="24"/>
          <w:highlight w:val="yellow"/>
        </w:rPr>
        <w:t xml:space="preserve">. </w:t>
      </w:r>
      <w:r w:rsidR="00C300E7">
        <w:rPr>
          <w:rFonts w:ascii="Aptos" w:hAnsi="Aptos" w:cs="Times New Roman"/>
          <w:sz w:val="24"/>
          <w:szCs w:val="24"/>
          <w:highlight w:val="yellow"/>
        </w:rPr>
        <w:t xml:space="preserve">An online option was also created to allow PIs to transfer their </w:t>
      </w:r>
      <w:r w:rsidR="00687C8B">
        <w:rPr>
          <w:rFonts w:ascii="Aptos" w:hAnsi="Aptos" w:cs="Times New Roman"/>
          <w:sz w:val="24"/>
          <w:szCs w:val="24"/>
          <w:highlight w:val="yellow"/>
        </w:rPr>
        <w:t xml:space="preserve">DAR to another PI (e.g., an internal collaborator) at the same institution upon </w:t>
      </w:r>
      <w:r w:rsidR="00265D67">
        <w:rPr>
          <w:rFonts w:ascii="Aptos" w:hAnsi="Aptos" w:cs="Times New Roman"/>
          <w:sz w:val="24"/>
          <w:szCs w:val="24"/>
          <w:highlight w:val="yellow"/>
        </w:rPr>
        <w:t xml:space="preserve">their leaving (Attachment 5 – slide </w:t>
      </w:r>
      <w:r w:rsidR="00265D67">
        <w:rPr>
          <w:rFonts w:ascii="Aptos" w:hAnsi="Aptos" w:cs="Times New Roman"/>
          <w:sz w:val="24"/>
          <w:szCs w:val="24"/>
          <w:highlight w:val="yellow"/>
        </w:rPr>
        <w:t>39)</w:t>
      </w:r>
      <w:r w:rsidRPr="00195C3F" w:rsidR="0070305E">
        <w:rPr>
          <w:rFonts w:ascii="Aptos" w:hAnsi="Aptos" w:cs="Times New Roman"/>
          <w:sz w:val="24"/>
          <w:szCs w:val="24"/>
          <w:highlight w:val="yellow"/>
        </w:rPr>
        <w:t>The</w:t>
      </w:r>
      <w:r w:rsidRPr="00195C3F" w:rsidR="0070305E">
        <w:rPr>
          <w:rFonts w:ascii="Aptos" w:hAnsi="Aptos" w:cs="Times New Roman"/>
          <w:sz w:val="24"/>
          <w:szCs w:val="24"/>
          <w:highlight w:val="yellow"/>
        </w:rPr>
        <w:t xml:space="preserve"> </w:t>
      </w:r>
      <w:r w:rsidRPr="00195C3F" w:rsidR="00103975">
        <w:rPr>
          <w:rFonts w:ascii="Aptos" w:hAnsi="Aptos" w:cs="Times New Roman"/>
          <w:sz w:val="24"/>
          <w:szCs w:val="24"/>
          <w:highlight w:val="yellow"/>
        </w:rPr>
        <w:t xml:space="preserve">Legacy </w:t>
      </w:r>
      <w:r w:rsidRPr="00195C3F" w:rsidR="00103975">
        <w:rPr>
          <w:rFonts w:ascii="Aptos" w:hAnsi="Aptos" w:cs="Times New Roman"/>
          <w:sz w:val="24"/>
          <w:szCs w:val="24"/>
          <w:highlight w:val="yellow"/>
        </w:rPr>
        <w:t>dbGaP</w:t>
      </w:r>
      <w:r w:rsidRPr="00195C3F" w:rsidR="00103975">
        <w:rPr>
          <w:rFonts w:ascii="Aptos" w:hAnsi="Aptos" w:cs="Times New Roman"/>
          <w:sz w:val="24"/>
          <w:szCs w:val="24"/>
          <w:highlight w:val="yellow"/>
        </w:rPr>
        <w:t xml:space="preserve"> Authorized Access System </w:t>
      </w:r>
      <w:r w:rsidRPr="00195C3F" w:rsidR="0070305E">
        <w:rPr>
          <w:rFonts w:ascii="Aptos" w:hAnsi="Aptos" w:cs="Times New Roman"/>
          <w:sz w:val="24"/>
          <w:szCs w:val="24"/>
          <w:highlight w:val="yellow"/>
        </w:rPr>
        <w:t xml:space="preserve">will operate for 6 months concurrently with the </w:t>
      </w:r>
      <w:r w:rsidRPr="00195C3F" w:rsidR="00F05B0D">
        <w:rPr>
          <w:rFonts w:ascii="Aptos" w:hAnsi="Aptos" w:cs="Times New Roman"/>
          <w:sz w:val="24"/>
          <w:szCs w:val="24"/>
          <w:highlight w:val="yellow"/>
        </w:rPr>
        <w:t xml:space="preserve">New </w:t>
      </w:r>
      <w:r w:rsidRPr="00195C3F" w:rsidR="00F05B0D">
        <w:rPr>
          <w:rFonts w:ascii="Aptos" w:hAnsi="Aptos" w:cs="Times New Roman"/>
          <w:sz w:val="24"/>
          <w:szCs w:val="24"/>
          <w:highlight w:val="yellow"/>
        </w:rPr>
        <w:t>dbGaP</w:t>
      </w:r>
      <w:r w:rsidRPr="00195C3F" w:rsidR="00F05B0D">
        <w:rPr>
          <w:rFonts w:ascii="Aptos" w:hAnsi="Aptos" w:cs="Times New Roman"/>
          <w:sz w:val="24"/>
          <w:szCs w:val="24"/>
          <w:highlight w:val="yellow"/>
        </w:rPr>
        <w:t xml:space="preserve"> Authorized Access System</w:t>
      </w:r>
      <w:r w:rsidRPr="00195C3F" w:rsidR="0070305E">
        <w:rPr>
          <w:rFonts w:ascii="Aptos" w:hAnsi="Aptos" w:cs="Times New Roman"/>
          <w:sz w:val="24"/>
          <w:szCs w:val="24"/>
          <w:highlight w:val="yellow"/>
        </w:rPr>
        <w:t xml:space="preserve">. The </w:t>
      </w:r>
      <w:r w:rsidRPr="00195C3F" w:rsidR="009D1D63">
        <w:rPr>
          <w:rFonts w:ascii="Aptos" w:hAnsi="Aptos" w:cs="Times New Roman"/>
          <w:sz w:val="24"/>
          <w:szCs w:val="24"/>
          <w:highlight w:val="yellow"/>
        </w:rPr>
        <w:t xml:space="preserve">New </w:t>
      </w:r>
      <w:r w:rsidRPr="00195C3F" w:rsidR="009D1D63">
        <w:rPr>
          <w:rFonts w:ascii="Aptos" w:hAnsi="Aptos" w:cs="Times New Roman"/>
          <w:sz w:val="24"/>
          <w:szCs w:val="24"/>
          <w:highlight w:val="yellow"/>
        </w:rPr>
        <w:t>dbGaP</w:t>
      </w:r>
      <w:r w:rsidRPr="00195C3F" w:rsidR="009D1D63">
        <w:rPr>
          <w:rFonts w:ascii="Aptos" w:hAnsi="Aptos" w:cs="Times New Roman"/>
          <w:sz w:val="24"/>
          <w:szCs w:val="24"/>
          <w:highlight w:val="yellow"/>
        </w:rPr>
        <w:t xml:space="preserve"> Authorized Access System </w:t>
      </w:r>
      <w:r w:rsidRPr="00195C3F" w:rsidR="0070305E">
        <w:rPr>
          <w:rFonts w:ascii="Aptos" w:hAnsi="Aptos" w:cs="Times New Roman"/>
          <w:sz w:val="24"/>
          <w:szCs w:val="24"/>
          <w:highlight w:val="yellow"/>
        </w:rPr>
        <w:t xml:space="preserve">is an entirely new data access interface informed by national security directives, operational and security standards, and improvements to the DAR application to decrease administrative burden while strengthening institutional </w:t>
      </w:r>
      <w:r w:rsidRPr="00195C3F" w:rsidR="006C4DDB">
        <w:rPr>
          <w:rFonts w:ascii="Aptos" w:hAnsi="Aptos" w:cs="Times New Roman"/>
          <w:sz w:val="24"/>
          <w:szCs w:val="24"/>
          <w:highlight w:val="yellow"/>
        </w:rPr>
        <w:t>oversight and</w:t>
      </w:r>
      <w:r w:rsidRPr="00195C3F" w:rsidR="0070305E">
        <w:rPr>
          <w:rFonts w:ascii="Aptos" w:hAnsi="Aptos" w:cs="Times New Roman"/>
          <w:sz w:val="24"/>
          <w:szCs w:val="24"/>
          <w:highlight w:val="yellow"/>
        </w:rPr>
        <w:t xml:space="preserve"> modernizing the look and feel of the DAR application. These improvements were made for </w:t>
      </w:r>
      <w:r w:rsidR="006C4DDB">
        <w:rPr>
          <w:rFonts w:ascii="Aptos" w:hAnsi="Aptos" w:cs="Times New Roman"/>
          <w:sz w:val="24"/>
          <w:szCs w:val="24"/>
          <w:highlight w:val="yellow"/>
        </w:rPr>
        <w:t>initial</w:t>
      </w:r>
      <w:r w:rsidRPr="00195C3F" w:rsidR="0070305E">
        <w:rPr>
          <w:rFonts w:ascii="Aptos" w:hAnsi="Aptos" w:cs="Times New Roman"/>
          <w:sz w:val="24"/>
          <w:szCs w:val="24"/>
          <w:highlight w:val="yellow"/>
        </w:rPr>
        <w:t xml:space="preserve"> DAR applications, DAR application Renewals (Renewals), and DAR application Close-outs (Close-outs) for the PI and SO</w:t>
      </w:r>
      <w:r w:rsidR="00CE3713">
        <w:rPr>
          <w:rFonts w:ascii="Aptos" w:hAnsi="Aptos" w:cs="Times New Roman"/>
          <w:sz w:val="24"/>
          <w:szCs w:val="24"/>
          <w:highlight w:val="yellow"/>
        </w:rPr>
        <w:t xml:space="preserve"> (Attachment 7)</w:t>
      </w:r>
      <w:r w:rsidRPr="00195C3F" w:rsidR="0070305E">
        <w:rPr>
          <w:rFonts w:ascii="Aptos" w:hAnsi="Aptos" w:cs="Times New Roman"/>
          <w:sz w:val="24"/>
          <w:szCs w:val="24"/>
          <w:highlight w:val="yellow"/>
        </w:rPr>
        <w:t>.</w:t>
      </w:r>
      <w:r w:rsidRPr="00195C3F" w:rsidR="00C930A5">
        <w:rPr>
          <w:rFonts w:ascii="Aptos" w:hAnsi="Aptos" w:cs="Times New Roman"/>
          <w:sz w:val="24"/>
          <w:szCs w:val="24"/>
          <w:highlight w:val="yellow"/>
        </w:rPr>
        <w:t xml:space="preserve"> </w:t>
      </w:r>
    </w:p>
    <w:p w:rsidR="004256F5" w:rsidRPr="002A2990" w:rsidP="008119AB" w14:paraId="0FB8E61B"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Searchable d</w:t>
      </w:r>
      <w:r w:rsidRPr="002A2990" w:rsidR="002D4FA6">
        <w:rPr>
          <w:rFonts w:ascii="Aptos" w:hAnsi="Aptos" w:cs="Times New Roman"/>
          <w:sz w:val="24"/>
          <w:szCs w:val="24"/>
          <w:highlight w:val="yellow"/>
        </w:rPr>
        <w:t xml:space="preserve">ata fields in the DAR application </w:t>
      </w:r>
      <w:r w:rsidRPr="002A2990" w:rsidR="004B7538">
        <w:rPr>
          <w:rFonts w:ascii="Aptos" w:hAnsi="Aptos" w:cs="Times New Roman"/>
          <w:sz w:val="24"/>
          <w:szCs w:val="24"/>
          <w:highlight w:val="yellow"/>
        </w:rPr>
        <w:t>such as the Institutional Signing Officials (SOs) on file in the institution</w:t>
      </w:r>
      <w:r w:rsidRPr="002A2990">
        <w:rPr>
          <w:rFonts w:ascii="Aptos" w:hAnsi="Aptos" w:cs="Times New Roman"/>
          <w:sz w:val="24"/>
          <w:szCs w:val="24"/>
          <w:highlight w:val="yellow"/>
        </w:rPr>
        <w:t xml:space="preserve"> or the Information Technology (IT) Director</w:t>
      </w:r>
    </w:p>
    <w:p w:rsidR="00B27242" w:rsidRPr="002A2990" w:rsidP="008119AB" w14:paraId="192C05C1"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 xml:space="preserve">External collaborators no longer </w:t>
      </w:r>
      <w:r w:rsidRPr="002A2990">
        <w:rPr>
          <w:rFonts w:ascii="Aptos" w:hAnsi="Aptos" w:cs="Times New Roman"/>
          <w:sz w:val="24"/>
          <w:szCs w:val="24"/>
          <w:highlight w:val="yellow"/>
        </w:rPr>
        <w:t>have to</w:t>
      </w:r>
      <w:r w:rsidRPr="002A2990">
        <w:rPr>
          <w:rFonts w:ascii="Aptos" w:hAnsi="Aptos" w:cs="Times New Roman"/>
          <w:sz w:val="24"/>
          <w:szCs w:val="24"/>
          <w:highlight w:val="yellow"/>
        </w:rPr>
        <w:t xml:space="preserve"> submit separate, identical DAR application requests. External collaborators can now be added to the same DAR application as the Principal Investigator</w:t>
      </w:r>
      <w:r w:rsidRPr="002A2990" w:rsidR="006134AF">
        <w:rPr>
          <w:rFonts w:ascii="Aptos" w:hAnsi="Aptos" w:cs="Times New Roman"/>
          <w:sz w:val="24"/>
          <w:szCs w:val="24"/>
          <w:highlight w:val="yellow"/>
        </w:rPr>
        <w:t xml:space="preserve"> and be allowed to sign off on the same DAR application as the Principal Investigato</w:t>
      </w:r>
      <w:r w:rsidRPr="002A2990">
        <w:rPr>
          <w:rFonts w:ascii="Aptos" w:hAnsi="Aptos" w:cs="Times New Roman"/>
          <w:sz w:val="24"/>
          <w:szCs w:val="24"/>
          <w:highlight w:val="yellow"/>
        </w:rPr>
        <w:t>r</w:t>
      </w:r>
      <w:r w:rsidRPr="002A2990" w:rsidR="00F6252D">
        <w:rPr>
          <w:rFonts w:ascii="Aptos" w:hAnsi="Aptos" w:cs="Times New Roman"/>
          <w:sz w:val="24"/>
          <w:szCs w:val="24"/>
          <w:highlight w:val="yellow"/>
        </w:rPr>
        <w:t>.</w:t>
      </w:r>
    </w:p>
    <w:p w:rsidR="0030646F" w:rsidRPr="002A2990" w:rsidP="008119AB" w14:paraId="5F36F9B3"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 xml:space="preserve">Option to do a simple renewal </w:t>
      </w:r>
      <w:r w:rsidRPr="002A2990" w:rsidR="005D1BBB">
        <w:rPr>
          <w:rFonts w:ascii="Aptos" w:hAnsi="Aptos" w:cs="Times New Roman"/>
          <w:sz w:val="24"/>
          <w:szCs w:val="24"/>
          <w:highlight w:val="yellow"/>
        </w:rPr>
        <w:t>to decrease administrative burden</w:t>
      </w:r>
      <w:r w:rsidRPr="002A2990" w:rsidR="009B0825">
        <w:rPr>
          <w:rFonts w:ascii="Aptos" w:hAnsi="Aptos" w:cs="Times New Roman"/>
          <w:sz w:val="24"/>
          <w:szCs w:val="24"/>
          <w:highlight w:val="yellow"/>
        </w:rPr>
        <w:t xml:space="preserve"> on the PI </w:t>
      </w:r>
      <w:r w:rsidRPr="002A2990">
        <w:rPr>
          <w:rFonts w:ascii="Aptos" w:hAnsi="Aptos" w:cs="Times New Roman"/>
          <w:sz w:val="24"/>
          <w:szCs w:val="24"/>
          <w:highlight w:val="yellow"/>
        </w:rPr>
        <w:t>when submitting a Renewal without any changes to the project</w:t>
      </w:r>
      <w:r w:rsidRPr="002A2990" w:rsidR="00012AFD">
        <w:rPr>
          <w:rFonts w:ascii="Aptos" w:hAnsi="Aptos" w:cs="Times New Roman"/>
          <w:sz w:val="24"/>
          <w:szCs w:val="24"/>
          <w:highlight w:val="yellow"/>
        </w:rPr>
        <w:t xml:space="preserve">. </w:t>
      </w:r>
    </w:p>
    <w:p w:rsidR="00685B29" w:rsidRPr="002A2990" w:rsidP="008119AB" w14:paraId="581A23B7"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In the Renewal, a searchable function to add publications</w:t>
      </w:r>
      <w:r w:rsidRPr="002A2990" w:rsidR="00D408EB">
        <w:rPr>
          <w:rFonts w:ascii="Aptos" w:hAnsi="Aptos" w:cs="Times New Roman"/>
          <w:sz w:val="24"/>
          <w:szCs w:val="24"/>
          <w:highlight w:val="yellow"/>
        </w:rPr>
        <w:t xml:space="preserve"> resulting from approved datasets and a checkbox to select which datasets are represented in the publication.</w:t>
      </w:r>
      <w:r w:rsidRPr="002A2990" w:rsidR="00C97389">
        <w:rPr>
          <w:rFonts w:ascii="Aptos" w:hAnsi="Aptos" w:cs="Times New Roman"/>
          <w:sz w:val="24"/>
          <w:szCs w:val="24"/>
          <w:highlight w:val="yellow"/>
        </w:rPr>
        <w:t xml:space="preserve"> </w:t>
      </w:r>
    </w:p>
    <w:p w:rsidR="008A0D20" w:rsidRPr="002A2990" w:rsidP="008119AB" w14:paraId="2CF0C91D"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Enhanced options for PI to transfer projects to another PI at the same institutio</w:t>
      </w:r>
      <w:r w:rsidRPr="002A2990" w:rsidR="00180F4B">
        <w:rPr>
          <w:rFonts w:ascii="Aptos" w:hAnsi="Aptos" w:cs="Times New Roman"/>
          <w:sz w:val="24"/>
          <w:szCs w:val="24"/>
          <w:highlight w:val="yellow"/>
        </w:rPr>
        <w:t xml:space="preserve">n such that the PI can change the project SO, if necessary, and </w:t>
      </w:r>
      <w:r w:rsidRPr="002A2990" w:rsidR="0072169B">
        <w:rPr>
          <w:rFonts w:ascii="Aptos" w:hAnsi="Aptos" w:cs="Times New Roman"/>
          <w:sz w:val="24"/>
          <w:szCs w:val="24"/>
          <w:highlight w:val="yellow"/>
        </w:rPr>
        <w:t xml:space="preserve">search at their institution for </w:t>
      </w:r>
      <w:r w:rsidRPr="002A2990" w:rsidR="00F75610">
        <w:rPr>
          <w:rFonts w:ascii="Aptos" w:hAnsi="Aptos" w:cs="Times New Roman"/>
          <w:sz w:val="24"/>
          <w:szCs w:val="24"/>
          <w:highlight w:val="yellow"/>
        </w:rPr>
        <w:t xml:space="preserve">the </w:t>
      </w:r>
      <w:r w:rsidRPr="002A2990" w:rsidR="00B360E9">
        <w:rPr>
          <w:rFonts w:ascii="Aptos" w:hAnsi="Aptos" w:cs="Times New Roman"/>
          <w:sz w:val="24"/>
          <w:szCs w:val="24"/>
          <w:highlight w:val="yellow"/>
        </w:rPr>
        <w:t>new</w:t>
      </w:r>
      <w:r w:rsidRPr="002A2990" w:rsidR="008973D4">
        <w:rPr>
          <w:rFonts w:ascii="Aptos" w:hAnsi="Aptos" w:cs="Times New Roman"/>
          <w:sz w:val="24"/>
          <w:szCs w:val="24"/>
          <w:highlight w:val="yellow"/>
        </w:rPr>
        <w:t xml:space="preserve"> </w:t>
      </w:r>
      <w:r w:rsidRPr="002A2990" w:rsidR="00F75610">
        <w:rPr>
          <w:rFonts w:ascii="Aptos" w:hAnsi="Aptos" w:cs="Times New Roman"/>
          <w:sz w:val="24"/>
          <w:szCs w:val="24"/>
          <w:highlight w:val="yellow"/>
        </w:rPr>
        <w:t xml:space="preserve">PI to </w:t>
      </w:r>
      <w:r w:rsidRPr="002A2990" w:rsidR="008973D4">
        <w:rPr>
          <w:rFonts w:ascii="Aptos" w:hAnsi="Aptos" w:cs="Times New Roman"/>
          <w:sz w:val="24"/>
          <w:szCs w:val="24"/>
          <w:highlight w:val="yellow"/>
        </w:rPr>
        <w:t>transfer the data</w:t>
      </w:r>
      <w:r w:rsidRPr="002A2990" w:rsidR="00F75610">
        <w:rPr>
          <w:rFonts w:ascii="Aptos" w:hAnsi="Aptos" w:cs="Times New Roman"/>
          <w:sz w:val="24"/>
          <w:szCs w:val="24"/>
          <w:highlight w:val="yellow"/>
        </w:rPr>
        <w:t>.</w:t>
      </w:r>
    </w:p>
    <w:p w:rsidR="002A07B7" w:rsidRPr="002A2990" w:rsidP="008119AB" w14:paraId="7EDD9486" w14:textId="77777777">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 xml:space="preserve">Now </w:t>
      </w:r>
      <w:r w:rsidRPr="002A2990" w:rsidR="009F5719">
        <w:rPr>
          <w:rFonts w:ascii="Aptos" w:hAnsi="Aptos" w:cs="Times New Roman"/>
          <w:sz w:val="24"/>
          <w:szCs w:val="24"/>
          <w:highlight w:val="yellow"/>
        </w:rPr>
        <w:t xml:space="preserve">SOs have the option to </w:t>
      </w:r>
      <w:r w:rsidRPr="002A2990" w:rsidR="00903308">
        <w:rPr>
          <w:rFonts w:ascii="Aptos" w:hAnsi="Aptos" w:cs="Times New Roman"/>
          <w:sz w:val="24"/>
          <w:szCs w:val="24"/>
          <w:highlight w:val="yellow"/>
        </w:rPr>
        <w:t>return the PI transfer request back to the PI</w:t>
      </w:r>
      <w:r w:rsidRPr="002A2990" w:rsidR="0033362C">
        <w:rPr>
          <w:rFonts w:ascii="Aptos" w:hAnsi="Aptos" w:cs="Times New Roman"/>
          <w:sz w:val="24"/>
          <w:szCs w:val="24"/>
          <w:highlight w:val="yellow"/>
        </w:rPr>
        <w:t xml:space="preserve"> where previously staff at </w:t>
      </w:r>
      <w:r w:rsidRPr="002A2990" w:rsidR="0033362C">
        <w:rPr>
          <w:rFonts w:ascii="Aptos" w:hAnsi="Aptos" w:cs="Times New Roman"/>
          <w:sz w:val="24"/>
          <w:szCs w:val="24"/>
          <w:highlight w:val="yellow"/>
        </w:rPr>
        <w:t>dbGaP</w:t>
      </w:r>
      <w:r w:rsidRPr="002A2990" w:rsidR="0033362C">
        <w:rPr>
          <w:rFonts w:ascii="Aptos" w:hAnsi="Aptos" w:cs="Times New Roman"/>
          <w:sz w:val="24"/>
          <w:szCs w:val="24"/>
          <w:highlight w:val="yellow"/>
        </w:rPr>
        <w:t xml:space="preserve"> would have to</w:t>
      </w:r>
      <w:r w:rsidRPr="002A2990" w:rsidR="0070412F">
        <w:rPr>
          <w:rFonts w:ascii="Aptos" w:hAnsi="Aptos" w:cs="Times New Roman"/>
          <w:sz w:val="24"/>
          <w:szCs w:val="24"/>
          <w:highlight w:val="yellow"/>
        </w:rPr>
        <w:t xml:space="preserve"> provide technical support</w:t>
      </w:r>
      <w:r w:rsidRPr="002A2990" w:rsidR="00B60FE3">
        <w:rPr>
          <w:rFonts w:ascii="Aptos" w:hAnsi="Aptos" w:cs="Times New Roman"/>
          <w:sz w:val="24"/>
          <w:szCs w:val="24"/>
          <w:highlight w:val="yellow"/>
        </w:rPr>
        <w:t xml:space="preserve"> to do so.</w:t>
      </w:r>
    </w:p>
    <w:p w:rsidR="00F55488" w:rsidRPr="002A2990" w:rsidP="008119AB" w14:paraId="214D9756" w14:textId="77AAF96C">
      <w:pPr>
        <w:pStyle w:val="ListParagraph"/>
        <w:numPr>
          <w:ilvl w:val="0"/>
          <w:numId w:val="4"/>
        </w:numPr>
        <w:rPr>
          <w:rFonts w:ascii="Aptos" w:hAnsi="Aptos" w:cs="Times New Roman"/>
          <w:sz w:val="24"/>
          <w:szCs w:val="24"/>
          <w:highlight w:val="yellow"/>
        </w:rPr>
      </w:pPr>
      <w:r w:rsidRPr="002A2990">
        <w:rPr>
          <w:rFonts w:ascii="Aptos" w:hAnsi="Aptos" w:cs="Times New Roman"/>
          <w:sz w:val="24"/>
          <w:szCs w:val="24"/>
          <w:highlight w:val="yellow"/>
        </w:rPr>
        <w:t xml:space="preserve">SOs now </w:t>
      </w:r>
      <w:r w:rsidRPr="002A2990">
        <w:rPr>
          <w:rFonts w:ascii="Aptos" w:hAnsi="Aptos" w:cs="Times New Roman"/>
          <w:sz w:val="24"/>
          <w:szCs w:val="24"/>
          <w:highlight w:val="yellow"/>
        </w:rPr>
        <w:t>have the ability to</w:t>
      </w:r>
      <w:r w:rsidRPr="002A2990">
        <w:rPr>
          <w:rFonts w:ascii="Aptos" w:hAnsi="Aptos" w:cs="Times New Roman"/>
          <w:sz w:val="24"/>
          <w:szCs w:val="24"/>
          <w:highlight w:val="yellow"/>
        </w:rPr>
        <w:t xml:space="preserve"> transfer </w:t>
      </w: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applications to another SO at their organization</w:t>
      </w:r>
      <w:r w:rsidRPr="002A2990" w:rsidR="002475E7">
        <w:rPr>
          <w:rFonts w:ascii="Aptos" w:hAnsi="Aptos" w:cs="Times New Roman"/>
          <w:sz w:val="24"/>
          <w:szCs w:val="24"/>
          <w:highlight w:val="yellow"/>
        </w:rPr>
        <w:t xml:space="preserve">. </w:t>
      </w:r>
      <w:r w:rsidRPr="002A2990" w:rsidR="00334E85">
        <w:rPr>
          <w:rFonts w:ascii="Aptos" w:hAnsi="Aptos" w:cs="Times New Roman"/>
          <w:sz w:val="24"/>
          <w:szCs w:val="24"/>
          <w:highlight w:val="yellow"/>
        </w:rPr>
        <w:t xml:space="preserve">This option did not exist in the </w:t>
      </w:r>
      <w:r w:rsidR="00E37FD8">
        <w:rPr>
          <w:rFonts w:ascii="Aptos" w:hAnsi="Aptos" w:cs="Times New Roman"/>
          <w:sz w:val="24"/>
          <w:szCs w:val="24"/>
          <w:highlight w:val="yellow"/>
        </w:rPr>
        <w:t>L</w:t>
      </w:r>
      <w:r w:rsidRPr="002A2990" w:rsidR="00334E85">
        <w:rPr>
          <w:rFonts w:ascii="Aptos" w:hAnsi="Aptos" w:cs="Times New Roman"/>
          <w:sz w:val="24"/>
          <w:szCs w:val="24"/>
          <w:highlight w:val="yellow"/>
        </w:rPr>
        <w:t xml:space="preserve">egacy </w:t>
      </w:r>
      <w:r w:rsidRPr="002A2990" w:rsidR="00CD7554">
        <w:rPr>
          <w:rFonts w:ascii="Aptos" w:hAnsi="Aptos" w:cs="Times New Roman"/>
          <w:sz w:val="24"/>
          <w:szCs w:val="24"/>
          <w:highlight w:val="yellow"/>
        </w:rPr>
        <w:t>Authorized Access</w:t>
      </w:r>
      <w:r w:rsidR="00E37FD8">
        <w:rPr>
          <w:rFonts w:ascii="Aptos" w:hAnsi="Aptos" w:cs="Times New Roman"/>
          <w:sz w:val="24"/>
          <w:szCs w:val="24"/>
          <w:highlight w:val="yellow"/>
        </w:rPr>
        <w:t xml:space="preserve"> System</w:t>
      </w:r>
      <w:r w:rsidRPr="002A2990">
        <w:rPr>
          <w:rFonts w:ascii="Aptos" w:hAnsi="Aptos" w:cs="Times New Roman"/>
          <w:sz w:val="24"/>
          <w:szCs w:val="24"/>
          <w:highlight w:val="yellow"/>
        </w:rPr>
        <w:t>.</w:t>
      </w:r>
    </w:p>
    <w:p w:rsidR="00F55488" w:rsidP="008119AB" w14:paraId="5A7071AC" w14:textId="77777777">
      <w:pPr>
        <w:pStyle w:val="ListParagraph"/>
        <w:numPr>
          <w:ilvl w:val="0"/>
          <w:numId w:val="4"/>
        </w:numPr>
        <w:rPr>
          <w:rFonts w:ascii="Aptos" w:hAnsi="Aptos" w:cs="Times New Roman"/>
          <w:sz w:val="24"/>
          <w:szCs w:val="24"/>
        </w:rPr>
      </w:pPr>
      <w:r w:rsidRPr="002A2990">
        <w:rPr>
          <w:rFonts w:ascii="Aptos" w:hAnsi="Aptos" w:cs="Times New Roman"/>
          <w:sz w:val="24"/>
          <w:szCs w:val="24"/>
          <w:highlight w:val="yellow"/>
        </w:rPr>
        <w:t xml:space="preserve">SOs now </w:t>
      </w:r>
      <w:r w:rsidRPr="002A2990">
        <w:rPr>
          <w:rFonts w:ascii="Aptos" w:hAnsi="Aptos" w:cs="Times New Roman"/>
          <w:sz w:val="24"/>
          <w:szCs w:val="24"/>
          <w:highlight w:val="yellow"/>
        </w:rPr>
        <w:t>have the ability to</w:t>
      </w:r>
      <w:r w:rsidRPr="002A2990">
        <w:rPr>
          <w:rFonts w:ascii="Aptos" w:hAnsi="Aptos" w:cs="Times New Roman"/>
          <w:sz w:val="24"/>
          <w:szCs w:val="24"/>
          <w:highlight w:val="yellow"/>
        </w:rPr>
        <w:t xml:space="preserve"> transfer DAR applications to another PI at their institution without the PI initiating the transfer.</w:t>
      </w:r>
    </w:p>
    <w:p w:rsidR="00AC41BD" w:rsidP="008119AB" w14:paraId="42978E40" w14:textId="2278F9D6">
      <w:pPr>
        <w:pStyle w:val="ListParagraph"/>
        <w:numPr>
          <w:ilvl w:val="0"/>
          <w:numId w:val="4"/>
        </w:numPr>
        <w:rPr>
          <w:rFonts w:ascii="Aptos" w:hAnsi="Aptos" w:cs="Times New Roman"/>
          <w:sz w:val="24"/>
          <w:szCs w:val="24"/>
        </w:rPr>
      </w:pPr>
      <w:r w:rsidRPr="001266B0">
        <w:rPr>
          <w:rFonts w:ascii="Aptos" w:hAnsi="Aptos" w:cs="Times New Roman"/>
          <w:sz w:val="24"/>
          <w:szCs w:val="24"/>
          <w:highlight w:val="yellow"/>
        </w:rPr>
        <w:t>Statement that the information provided on the DAR application</w:t>
      </w:r>
      <w:r w:rsidRPr="001266B0" w:rsidR="00E833E8">
        <w:rPr>
          <w:rFonts w:ascii="Aptos" w:hAnsi="Aptos" w:cs="Times New Roman"/>
          <w:sz w:val="24"/>
          <w:szCs w:val="24"/>
          <w:highlight w:val="yellow"/>
        </w:rPr>
        <w:t xml:space="preserve"> </w:t>
      </w:r>
      <w:r w:rsidRPr="001266B0" w:rsidR="00CF758E">
        <w:rPr>
          <w:rFonts w:ascii="Aptos" w:hAnsi="Aptos" w:cs="Times New Roman"/>
          <w:sz w:val="24"/>
          <w:szCs w:val="24"/>
          <w:highlight w:val="yellow"/>
        </w:rPr>
        <w:t xml:space="preserve">may be used for the evaluation of </w:t>
      </w:r>
      <w:r w:rsidRPr="001266B0" w:rsidR="00CF758E">
        <w:rPr>
          <w:rFonts w:ascii="Aptos" w:hAnsi="Aptos" w:cs="Times New Roman"/>
          <w:sz w:val="24"/>
          <w:szCs w:val="24"/>
          <w:highlight w:val="yellow"/>
        </w:rPr>
        <w:t>dbGaP</w:t>
      </w:r>
      <w:r w:rsidRPr="001266B0" w:rsidR="00CF758E">
        <w:rPr>
          <w:rFonts w:ascii="Aptos" w:hAnsi="Aptos" w:cs="Times New Roman"/>
          <w:sz w:val="24"/>
          <w:szCs w:val="24"/>
          <w:highlight w:val="yellow"/>
        </w:rPr>
        <w:t xml:space="preserve"> operation, usage, and impact</w:t>
      </w:r>
      <w:r w:rsidR="00CF758E">
        <w:rPr>
          <w:rFonts w:ascii="Aptos" w:hAnsi="Aptos" w:cs="Times New Roman"/>
          <w:sz w:val="24"/>
          <w:szCs w:val="24"/>
        </w:rPr>
        <w:t>.</w:t>
      </w:r>
    </w:p>
    <w:p w:rsidR="00532977" w:rsidRPr="002A2990" w:rsidP="000A251F" w14:paraId="197AD7D6" w14:textId="60DB7B5D">
      <w:pPr>
        <w:rPr>
          <w:rFonts w:ascii="Aptos" w:hAnsi="Aptos" w:cs="Times New Roman"/>
          <w:sz w:val="24"/>
          <w:szCs w:val="24"/>
        </w:rPr>
      </w:pPr>
      <w:r>
        <w:rPr>
          <w:rFonts w:ascii="Aptos" w:hAnsi="Aptos" w:cs="Times New Roman"/>
          <w:sz w:val="24"/>
          <w:szCs w:val="24"/>
        </w:rPr>
        <w:t>DAR applications</w:t>
      </w:r>
      <w:r w:rsidR="00D52393">
        <w:rPr>
          <w:rFonts w:ascii="Aptos" w:hAnsi="Aptos" w:cs="Times New Roman"/>
          <w:sz w:val="24"/>
          <w:szCs w:val="24"/>
        </w:rPr>
        <w:t xml:space="preserve"> </w:t>
      </w:r>
      <w:r w:rsidRPr="002A2990" w:rsidR="00B44105">
        <w:rPr>
          <w:rFonts w:ascii="Aptos" w:hAnsi="Aptos" w:cs="Times New Roman"/>
          <w:sz w:val="24"/>
          <w:szCs w:val="24"/>
        </w:rPr>
        <w:t>include</w:t>
      </w:r>
      <w:r w:rsidRPr="002A2990" w:rsidR="00CF1354">
        <w:rPr>
          <w:rFonts w:ascii="Aptos" w:hAnsi="Aptos" w:cs="Times New Roman"/>
          <w:sz w:val="24"/>
          <w:szCs w:val="24"/>
        </w:rPr>
        <w:t xml:space="preserve"> information about the </w:t>
      </w:r>
      <w:r w:rsidR="00127A4C">
        <w:rPr>
          <w:rFonts w:ascii="Aptos" w:hAnsi="Aptos" w:cs="Times New Roman"/>
          <w:sz w:val="24"/>
          <w:szCs w:val="24"/>
        </w:rPr>
        <w:t>PI’s</w:t>
      </w:r>
      <w:r w:rsidRPr="002A2990" w:rsidR="00CF1354">
        <w:rPr>
          <w:rFonts w:ascii="Aptos" w:hAnsi="Aptos" w:cs="Times New Roman"/>
          <w:sz w:val="24"/>
          <w:szCs w:val="24"/>
        </w:rPr>
        <w:t xml:space="preserve"> credentials; the proposed use</w:t>
      </w:r>
      <w:r w:rsidRPr="002A2990" w:rsidR="0006226F">
        <w:rPr>
          <w:rFonts w:ascii="Aptos" w:hAnsi="Aptos" w:cs="Times New Roman"/>
          <w:sz w:val="24"/>
          <w:szCs w:val="24"/>
        </w:rPr>
        <w:t>(s)</w:t>
      </w:r>
      <w:r w:rsidRPr="002A2990" w:rsidR="00CF1354">
        <w:rPr>
          <w:rFonts w:ascii="Aptos" w:hAnsi="Aptos" w:cs="Times New Roman"/>
          <w:sz w:val="24"/>
          <w:szCs w:val="24"/>
        </w:rPr>
        <w:t xml:space="preserve"> of the data; an agreement to c</w:t>
      </w:r>
      <w:r w:rsidRPr="002A2990" w:rsidR="005B605A">
        <w:rPr>
          <w:rFonts w:ascii="Aptos" w:hAnsi="Aptos" w:cs="Times New Roman"/>
          <w:sz w:val="24"/>
          <w:szCs w:val="24"/>
        </w:rPr>
        <w:t xml:space="preserve">omply with </w:t>
      </w:r>
      <w:r w:rsidR="00E50621">
        <w:rPr>
          <w:rFonts w:ascii="Aptos" w:hAnsi="Aptos" w:cs="Times New Roman"/>
          <w:sz w:val="24"/>
          <w:szCs w:val="24"/>
        </w:rPr>
        <w:t xml:space="preserve">the terms of the agreement and attest to secure data according to the </w:t>
      </w:r>
      <w:r w:rsidRPr="002A2990" w:rsidR="001F0E1C">
        <w:rPr>
          <w:rFonts w:ascii="Aptos" w:hAnsi="Aptos" w:cs="Times New Roman"/>
          <w:sz w:val="24"/>
          <w:szCs w:val="24"/>
        </w:rPr>
        <w:t>NIH Security Best Practices</w:t>
      </w:r>
      <w:r w:rsidRPr="002A2990" w:rsidR="008E383A">
        <w:rPr>
          <w:rFonts w:ascii="Aptos" w:hAnsi="Aptos" w:cs="Times New Roman"/>
          <w:sz w:val="24"/>
          <w:szCs w:val="24"/>
        </w:rPr>
        <w:t xml:space="preserve"> for Users of Controlled-Access Data</w:t>
      </w:r>
      <w:r w:rsidRPr="002A2990" w:rsidR="00C322AE">
        <w:rPr>
          <w:rFonts w:ascii="Aptos" w:hAnsi="Aptos" w:cs="Times New Roman"/>
          <w:sz w:val="24"/>
          <w:szCs w:val="24"/>
        </w:rPr>
        <w:t>;</w:t>
      </w:r>
      <w:r w:rsidRPr="002A2990" w:rsidR="00CF1354">
        <w:rPr>
          <w:rFonts w:ascii="Aptos" w:hAnsi="Aptos" w:cs="Times New Roman"/>
          <w:sz w:val="24"/>
          <w:szCs w:val="24"/>
        </w:rPr>
        <w:t xml:space="preserve"> certification that </w:t>
      </w:r>
      <w:r w:rsidRPr="002A2990" w:rsidR="00E66F02">
        <w:rPr>
          <w:rFonts w:ascii="Aptos" w:hAnsi="Aptos" w:cs="Times New Roman"/>
          <w:sz w:val="24"/>
          <w:szCs w:val="24"/>
        </w:rPr>
        <w:t xml:space="preserve">the requested </w:t>
      </w:r>
      <w:r w:rsidRPr="002A2990" w:rsidR="00CF1354">
        <w:rPr>
          <w:rFonts w:ascii="Aptos" w:hAnsi="Aptos" w:cs="Times New Roman"/>
          <w:sz w:val="24"/>
          <w:szCs w:val="24"/>
        </w:rPr>
        <w:t xml:space="preserve">data will not be sold, distributed, re-identified, or used by unauthorized users </w:t>
      </w:r>
      <w:r w:rsidRPr="002A2990" w:rsidR="00E66F02">
        <w:rPr>
          <w:rFonts w:ascii="Aptos" w:hAnsi="Aptos" w:cs="Times New Roman"/>
          <w:sz w:val="24"/>
          <w:szCs w:val="24"/>
        </w:rPr>
        <w:t>(including</w:t>
      </w:r>
      <w:r w:rsidRPr="002A2990" w:rsidR="00CF1354">
        <w:rPr>
          <w:rFonts w:ascii="Aptos" w:hAnsi="Aptos" w:cs="Times New Roman"/>
          <w:sz w:val="24"/>
          <w:szCs w:val="24"/>
        </w:rPr>
        <w:t xml:space="preserve"> collaborators not named in the DAR</w:t>
      </w:r>
      <w:r w:rsidRPr="002A2990" w:rsidR="00E66F02">
        <w:rPr>
          <w:rFonts w:ascii="Aptos" w:hAnsi="Aptos" w:cs="Times New Roman"/>
          <w:sz w:val="24"/>
          <w:szCs w:val="24"/>
        </w:rPr>
        <w:t>)</w:t>
      </w:r>
      <w:r w:rsidRPr="002A2990" w:rsidR="00CF1354">
        <w:rPr>
          <w:rFonts w:ascii="Aptos" w:hAnsi="Aptos" w:cs="Times New Roman"/>
          <w:sz w:val="24"/>
          <w:szCs w:val="24"/>
        </w:rPr>
        <w:t xml:space="preserve">. </w:t>
      </w:r>
      <w:r w:rsidRPr="002A2990" w:rsidR="00D34D81">
        <w:rPr>
          <w:rFonts w:ascii="Aptos" w:hAnsi="Aptos" w:cs="Times New Roman"/>
          <w:sz w:val="24"/>
          <w:szCs w:val="24"/>
        </w:rPr>
        <w:t xml:space="preserve">Before the </w:t>
      </w:r>
      <w:r w:rsidRPr="002A2990" w:rsidR="00664804">
        <w:rPr>
          <w:rFonts w:ascii="Aptos" w:hAnsi="Aptos" w:cs="Times New Roman"/>
          <w:sz w:val="24"/>
          <w:szCs w:val="24"/>
        </w:rPr>
        <w:t xml:space="preserve">NIH </w:t>
      </w:r>
      <w:r w:rsidRPr="002A2990" w:rsidR="00D34D81">
        <w:rPr>
          <w:rFonts w:ascii="Aptos" w:hAnsi="Aptos" w:cs="Times New Roman"/>
          <w:sz w:val="24"/>
          <w:szCs w:val="24"/>
        </w:rPr>
        <w:t xml:space="preserve">DAC can approve a </w:t>
      </w:r>
      <w:r w:rsidR="009C0555">
        <w:rPr>
          <w:rFonts w:ascii="Aptos" w:hAnsi="Aptos" w:cs="Times New Roman"/>
          <w:sz w:val="24"/>
          <w:szCs w:val="24"/>
        </w:rPr>
        <w:t>PI’s</w:t>
      </w:r>
      <w:r w:rsidRPr="002A2990" w:rsidR="009C0555">
        <w:rPr>
          <w:rFonts w:ascii="Aptos" w:hAnsi="Aptos" w:cs="Times New Roman"/>
          <w:sz w:val="24"/>
          <w:szCs w:val="24"/>
        </w:rPr>
        <w:t xml:space="preserve"> </w:t>
      </w:r>
      <w:r w:rsidRPr="002A2990" w:rsidR="00D34D81">
        <w:rPr>
          <w:rFonts w:ascii="Aptos" w:hAnsi="Aptos" w:cs="Times New Roman"/>
          <w:sz w:val="24"/>
          <w:szCs w:val="24"/>
        </w:rPr>
        <w:t>DAR</w:t>
      </w:r>
      <w:r w:rsidR="009C0555">
        <w:rPr>
          <w:rFonts w:ascii="Aptos" w:hAnsi="Aptos" w:cs="Times New Roman"/>
          <w:sz w:val="24"/>
          <w:szCs w:val="24"/>
        </w:rPr>
        <w:t xml:space="preserve"> application</w:t>
      </w:r>
      <w:r w:rsidRPr="002A2990" w:rsidR="00D34D81">
        <w:rPr>
          <w:rFonts w:ascii="Aptos" w:hAnsi="Aptos" w:cs="Times New Roman"/>
          <w:sz w:val="24"/>
          <w:szCs w:val="24"/>
        </w:rPr>
        <w:t>, it</w:t>
      </w:r>
      <w:r w:rsidRPr="002A2990" w:rsidR="0053472A">
        <w:rPr>
          <w:rFonts w:ascii="Aptos" w:hAnsi="Aptos" w:cs="Times New Roman"/>
          <w:sz w:val="24"/>
          <w:szCs w:val="24"/>
        </w:rPr>
        <w:t xml:space="preserve"> must </w:t>
      </w:r>
      <w:r w:rsidRPr="002A2990" w:rsidR="00D34D81">
        <w:rPr>
          <w:rFonts w:ascii="Aptos" w:hAnsi="Aptos" w:cs="Times New Roman"/>
          <w:sz w:val="24"/>
          <w:szCs w:val="24"/>
        </w:rPr>
        <w:t xml:space="preserve">also </w:t>
      </w:r>
      <w:r w:rsidRPr="002A2990" w:rsidR="0053472A">
        <w:rPr>
          <w:rFonts w:ascii="Aptos" w:hAnsi="Aptos" w:cs="Times New Roman"/>
          <w:sz w:val="24"/>
          <w:szCs w:val="24"/>
        </w:rPr>
        <w:t xml:space="preserve">be </w:t>
      </w:r>
      <w:r w:rsidRPr="002A2990" w:rsidR="00C53C4E">
        <w:rPr>
          <w:rFonts w:ascii="Aptos" w:hAnsi="Aptos" w:cs="Times New Roman"/>
          <w:sz w:val="24"/>
          <w:szCs w:val="24"/>
        </w:rPr>
        <w:t xml:space="preserve">approved by the Institutional Signing Official (SO) at the </w:t>
      </w:r>
      <w:r w:rsidR="009C0555">
        <w:rPr>
          <w:rFonts w:ascii="Aptos" w:hAnsi="Aptos" w:cs="Times New Roman"/>
          <w:sz w:val="24"/>
          <w:szCs w:val="24"/>
        </w:rPr>
        <w:t>PI’s</w:t>
      </w:r>
      <w:r w:rsidRPr="002A2990" w:rsidR="009C0555">
        <w:rPr>
          <w:rFonts w:ascii="Aptos" w:hAnsi="Aptos" w:cs="Times New Roman"/>
          <w:sz w:val="24"/>
          <w:szCs w:val="24"/>
        </w:rPr>
        <w:t xml:space="preserve"> </w:t>
      </w:r>
      <w:r w:rsidRPr="002A2990" w:rsidR="00C53C4E">
        <w:rPr>
          <w:rFonts w:ascii="Aptos" w:hAnsi="Aptos" w:cs="Times New Roman"/>
          <w:sz w:val="24"/>
          <w:szCs w:val="24"/>
        </w:rPr>
        <w:t xml:space="preserve">institution, </w:t>
      </w:r>
      <w:r w:rsidRPr="002A2990" w:rsidR="00635325">
        <w:rPr>
          <w:rFonts w:ascii="Aptos" w:hAnsi="Aptos" w:cs="Times New Roman"/>
          <w:sz w:val="24"/>
          <w:szCs w:val="24"/>
        </w:rPr>
        <w:t>wh</w:t>
      </w:r>
      <w:r w:rsidRPr="002A2990" w:rsidR="00F1139C">
        <w:rPr>
          <w:rFonts w:ascii="Aptos" w:hAnsi="Aptos" w:cs="Times New Roman"/>
          <w:sz w:val="24"/>
          <w:szCs w:val="24"/>
        </w:rPr>
        <w:t xml:space="preserve">o </w:t>
      </w:r>
      <w:r w:rsidRPr="002A2990" w:rsidR="00664804">
        <w:rPr>
          <w:rFonts w:ascii="Aptos" w:hAnsi="Aptos" w:cs="Times New Roman"/>
          <w:sz w:val="24"/>
          <w:szCs w:val="24"/>
        </w:rPr>
        <w:t xml:space="preserve">is </w:t>
      </w:r>
      <w:r w:rsidRPr="002A2990" w:rsidR="00F1139C">
        <w:rPr>
          <w:rFonts w:ascii="Aptos" w:hAnsi="Aptos" w:cs="Times New Roman"/>
          <w:sz w:val="24"/>
          <w:szCs w:val="24"/>
        </w:rPr>
        <w:t xml:space="preserve">legally </w:t>
      </w:r>
      <w:r w:rsidRPr="002A2990" w:rsidR="00664804">
        <w:rPr>
          <w:rFonts w:ascii="Aptos" w:hAnsi="Aptos" w:cs="Times New Roman"/>
          <w:sz w:val="24"/>
          <w:szCs w:val="24"/>
        </w:rPr>
        <w:t>authorized to enter into an agreement</w:t>
      </w:r>
      <w:r w:rsidRPr="002A2990" w:rsidR="00256FC8">
        <w:rPr>
          <w:rFonts w:ascii="Aptos" w:hAnsi="Aptos" w:cs="Times New Roman"/>
          <w:sz w:val="24"/>
          <w:szCs w:val="24"/>
        </w:rPr>
        <w:t xml:space="preserve"> on behalf of the institution.</w:t>
      </w:r>
      <w:r w:rsidRPr="002A2990" w:rsidR="00F1139C">
        <w:rPr>
          <w:rFonts w:ascii="Aptos" w:hAnsi="Aptos" w:cs="Times New Roman"/>
          <w:sz w:val="24"/>
          <w:szCs w:val="24"/>
        </w:rPr>
        <w:t xml:space="preserve"> </w:t>
      </w:r>
      <w:r w:rsidR="00973245">
        <w:rPr>
          <w:rFonts w:ascii="Aptos" w:hAnsi="Aptos" w:cs="Times New Roman"/>
          <w:sz w:val="24"/>
          <w:szCs w:val="24"/>
        </w:rPr>
        <w:t xml:space="preserve">This workflow is consistent between the Legacy Authorized </w:t>
      </w:r>
      <w:r w:rsidR="00B3174E">
        <w:rPr>
          <w:rFonts w:ascii="Aptos" w:hAnsi="Aptos" w:cs="Times New Roman"/>
          <w:sz w:val="24"/>
          <w:szCs w:val="24"/>
        </w:rPr>
        <w:t xml:space="preserve">Access System </w:t>
      </w:r>
      <w:r w:rsidR="00870147">
        <w:rPr>
          <w:rFonts w:ascii="Aptos" w:hAnsi="Aptos" w:cs="Times New Roman"/>
          <w:sz w:val="24"/>
          <w:szCs w:val="24"/>
        </w:rPr>
        <w:t xml:space="preserve">(Attachment 5) </w:t>
      </w:r>
      <w:r w:rsidR="00B3174E">
        <w:rPr>
          <w:rFonts w:ascii="Aptos" w:hAnsi="Aptos" w:cs="Times New Roman"/>
          <w:sz w:val="24"/>
          <w:szCs w:val="24"/>
        </w:rPr>
        <w:t xml:space="preserve">and the New Authorized Access System </w:t>
      </w:r>
      <w:r w:rsidR="00870147">
        <w:rPr>
          <w:rFonts w:ascii="Aptos" w:hAnsi="Aptos" w:cs="Times New Roman"/>
          <w:sz w:val="24"/>
          <w:szCs w:val="24"/>
        </w:rPr>
        <w:t xml:space="preserve">(Attachment 7). </w:t>
      </w:r>
    </w:p>
    <w:p w:rsidR="00EC176B" w:rsidP="00CF1354" w14:paraId="2F2D4571" w14:textId="09F20630">
      <w:pPr>
        <w:rPr>
          <w:rFonts w:ascii="Aptos" w:hAnsi="Aptos" w:cs="Times New Roman"/>
          <w:sz w:val="24"/>
          <w:szCs w:val="24"/>
        </w:rPr>
      </w:pPr>
      <w:r>
        <w:rPr>
          <w:rFonts w:ascii="Aptos" w:hAnsi="Aptos" w:cs="Times New Roman"/>
          <w:sz w:val="24"/>
          <w:szCs w:val="24"/>
        </w:rPr>
        <w:t>Investigators</w:t>
      </w:r>
      <w:r w:rsidRPr="001921C2">
        <w:rPr>
          <w:rFonts w:ascii="Aptos" w:hAnsi="Aptos" w:cs="Times New Roman"/>
          <w:sz w:val="24"/>
          <w:szCs w:val="24"/>
        </w:rPr>
        <w:t xml:space="preserve"> </w:t>
      </w:r>
      <w:r w:rsidRPr="001921C2" w:rsidR="00E3496A">
        <w:rPr>
          <w:rFonts w:ascii="Aptos" w:hAnsi="Aptos" w:cs="Times New Roman"/>
          <w:sz w:val="24"/>
          <w:szCs w:val="24"/>
        </w:rPr>
        <w:t xml:space="preserve">whose DARs are approved must submit annual </w:t>
      </w:r>
      <w:r w:rsidRPr="001921C2" w:rsidR="002D388A">
        <w:rPr>
          <w:rFonts w:ascii="Aptos" w:hAnsi="Aptos" w:cs="Times New Roman"/>
          <w:sz w:val="24"/>
          <w:szCs w:val="24"/>
        </w:rPr>
        <w:t>r</w:t>
      </w:r>
      <w:r w:rsidRPr="001921C2" w:rsidR="00CF1354">
        <w:rPr>
          <w:rFonts w:ascii="Aptos" w:hAnsi="Aptos" w:cs="Times New Roman"/>
          <w:sz w:val="24"/>
          <w:szCs w:val="24"/>
        </w:rPr>
        <w:t xml:space="preserve">equests to renew </w:t>
      </w:r>
      <w:r w:rsidRPr="001921C2" w:rsidR="002D388A">
        <w:rPr>
          <w:rFonts w:ascii="Aptos" w:hAnsi="Aptos" w:cs="Times New Roman"/>
          <w:sz w:val="24"/>
          <w:szCs w:val="24"/>
        </w:rPr>
        <w:t xml:space="preserve">their </w:t>
      </w:r>
      <w:r w:rsidRPr="001921C2" w:rsidR="00CF1354">
        <w:rPr>
          <w:rFonts w:ascii="Aptos" w:hAnsi="Aptos" w:cs="Times New Roman"/>
          <w:sz w:val="24"/>
          <w:szCs w:val="24"/>
        </w:rPr>
        <w:t>data access</w:t>
      </w:r>
      <w:r w:rsidRPr="001921C2" w:rsidR="002D388A">
        <w:rPr>
          <w:rFonts w:ascii="Aptos" w:hAnsi="Aptos" w:cs="Times New Roman"/>
          <w:sz w:val="24"/>
          <w:szCs w:val="24"/>
        </w:rPr>
        <w:t xml:space="preserve">; if they no longer need </w:t>
      </w:r>
      <w:r w:rsidRPr="001921C2" w:rsidR="00DD4571">
        <w:rPr>
          <w:rFonts w:ascii="Aptos" w:hAnsi="Aptos" w:cs="Times New Roman"/>
          <w:sz w:val="24"/>
          <w:szCs w:val="24"/>
        </w:rPr>
        <w:t xml:space="preserve">access to the </w:t>
      </w:r>
      <w:r w:rsidRPr="001921C2" w:rsidR="00DD4571">
        <w:rPr>
          <w:rFonts w:ascii="Aptos" w:hAnsi="Aptos" w:cs="Times New Roman"/>
          <w:sz w:val="24"/>
          <w:szCs w:val="24"/>
        </w:rPr>
        <w:t>dbGa</w:t>
      </w:r>
      <w:r w:rsidRPr="001921C2" w:rsidR="002819C4">
        <w:rPr>
          <w:rFonts w:ascii="Aptos" w:hAnsi="Aptos" w:cs="Times New Roman"/>
          <w:sz w:val="24"/>
          <w:szCs w:val="24"/>
        </w:rPr>
        <w:t>P</w:t>
      </w:r>
      <w:r w:rsidRPr="001921C2" w:rsidR="002819C4">
        <w:rPr>
          <w:rFonts w:ascii="Aptos" w:hAnsi="Aptos" w:cs="Times New Roman"/>
          <w:sz w:val="24"/>
          <w:szCs w:val="24"/>
        </w:rPr>
        <w:t xml:space="preserve"> data,</w:t>
      </w:r>
      <w:r w:rsidRPr="001921C2" w:rsidR="0028132D">
        <w:rPr>
          <w:rFonts w:ascii="Aptos" w:hAnsi="Aptos" w:cs="Times New Roman"/>
          <w:sz w:val="24"/>
          <w:szCs w:val="24"/>
        </w:rPr>
        <w:t xml:space="preserve"> </w:t>
      </w:r>
      <w:r w:rsidRPr="001921C2" w:rsidR="00EB6633">
        <w:rPr>
          <w:rFonts w:ascii="Aptos" w:hAnsi="Aptos" w:cs="Times New Roman"/>
          <w:sz w:val="24"/>
          <w:szCs w:val="24"/>
        </w:rPr>
        <w:t xml:space="preserve">requesters </w:t>
      </w:r>
      <w:r w:rsidRPr="001921C2" w:rsidR="003D19D4">
        <w:rPr>
          <w:rFonts w:ascii="Aptos" w:hAnsi="Aptos" w:cs="Times New Roman"/>
          <w:sz w:val="24"/>
          <w:szCs w:val="24"/>
        </w:rPr>
        <w:t>must instead submit</w:t>
      </w:r>
      <w:r w:rsidRPr="001921C2" w:rsidR="00AE2512">
        <w:rPr>
          <w:rFonts w:ascii="Aptos" w:hAnsi="Aptos" w:cs="Times New Roman"/>
          <w:sz w:val="24"/>
          <w:szCs w:val="24"/>
        </w:rPr>
        <w:t xml:space="preserve"> </w:t>
      </w:r>
      <w:r>
        <w:rPr>
          <w:rFonts w:ascii="Aptos" w:hAnsi="Aptos" w:cs="Times New Roman"/>
          <w:sz w:val="24"/>
          <w:szCs w:val="24"/>
        </w:rPr>
        <w:t>a close out</w:t>
      </w:r>
      <w:r w:rsidRPr="001921C2" w:rsidR="00665C94">
        <w:rPr>
          <w:rFonts w:ascii="Aptos" w:hAnsi="Aptos" w:cs="Times New Roman"/>
          <w:sz w:val="24"/>
          <w:szCs w:val="24"/>
        </w:rPr>
        <w:t xml:space="preserve">. </w:t>
      </w:r>
      <w:r w:rsidRPr="001921C2" w:rsidR="00BC32F5">
        <w:rPr>
          <w:rFonts w:ascii="Aptos" w:hAnsi="Aptos" w:cs="Times New Roman"/>
          <w:sz w:val="24"/>
          <w:szCs w:val="24"/>
        </w:rPr>
        <w:t>These Renewal</w:t>
      </w:r>
      <w:r w:rsidR="00EE72E5">
        <w:rPr>
          <w:rFonts w:ascii="Aptos" w:hAnsi="Aptos" w:cs="Times New Roman"/>
          <w:sz w:val="24"/>
          <w:szCs w:val="24"/>
        </w:rPr>
        <w:t>s</w:t>
      </w:r>
      <w:r w:rsidRPr="001921C2" w:rsidR="00BC32F5">
        <w:rPr>
          <w:rFonts w:ascii="Aptos" w:hAnsi="Aptos" w:cs="Times New Roman"/>
          <w:sz w:val="24"/>
          <w:szCs w:val="24"/>
        </w:rPr>
        <w:t xml:space="preserve"> and Close</w:t>
      </w:r>
      <w:r w:rsidR="00BC32F5">
        <w:rPr>
          <w:rFonts w:ascii="Aptos" w:hAnsi="Aptos" w:cs="Times New Roman"/>
          <w:sz w:val="24"/>
          <w:szCs w:val="24"/>
        </w:rPr>
        <w:t>-</w:t>
      </w:r>
      <w:r w:rsidRPr="001921C2" w:rsidR="00BC32F5">
        <w:rPr>
          <w:rFonts w:ascii="Aptos" w:hAnsi="Aptos" w:cs="Times New Roman"/>
          <w:sz w:val="24"/>
          <w:szCs w:val="24"/>
        </w:rPr>
        <w:t>out</w:t>
      </w:r>
      <w:r w:rsidR="00EE72E5">
        <w:rPr>
          <w:rFonts w:ascii="Aptos" w:hAnsi="Aptos" w:cs="Times New Roman"/>
          <w:sz w:val="24"/>
          <w:szCs w:val="24"/>
        </w:rPr>
        <w:t>s</w:t>
      </w:r>
      <w:r w:rsidRPr="001921C2" w:rsidR="00BC32F5">
        <w:rPr>
          <w:rFonts w:ascii="Aptos" w:hAnsi="Aptos" w:cs="Times New Roman"/>
          <w:sz w:val="24"/>
          <w:szCs w:val="24"/>
        </w:rPr>
        <w:t xml:space="preserve"> ask for information about publications, presentations, or intellectual property based on the research conducted with the accessed data</w:t>
      </w:r>
      <w:r w:rsidR="00BC32F5">
        <w:rPr>
          <w:rFonts w:ascii="Aptos" w:hAnsi="Aptos" w:cs="Times New Roman"/>
          <w:sz w:val="24"/>
          <w:szCs w:val="24"/>
        </w:rPr>
        <w:t>,</w:t>
      </w:r>
      <w:r w:rsidRPr="001921C2" w:rsidR="00BC32F5">
        <w:rPr>
          <w:rFonts w:ascii="Aptos" w:hAnsi="Aptos" w:cs="Times New Roman"/>
          <w:sz w:val="24"/>
          <w:szCs w:val="24"/>
        </w:rPr>
        <w:t xml:space="preserve"> as well as any data security issues or potential data management incidents. </w:t>
      </w:r>
    </w:p>
    <w:p w:rsidR="00CF1354" w:rsidRPr="001921C2" w:rsidP="00CF1354" w14:paraId="48B25A02" w14:textId="77777777">
      <w:pPr>
        <w:rPr>
          <w:rFonts w:ascii="Aptos" w:hAnsi="Aptos" w:cs="Times New Roman"/>
          <w:b/>
          <w:sz w:val="24"/>
          <w:szCs w:val="24"/>
        </w:rPr>
      </w:pPr>
      <w:r w:rsidRPr="001921C2">
        <w:rPr>
          <w:rFonts w:ascii="Aptos" w:hAnsi="Aptos" w:cs="Times New Roman"/>
          <w:b/>
          <w:sz w:val="24"/>
          <w:szCs w:val="24"/>
        </w:rPr>
        <w:t>A.3</w:t>
      </w:r>
      <w:r w:rsidRPr="001921C2">
        <w:rPr>
          <w:rFonts w:ascii="Aptos" w:hAnsi="Aptos" w:cs="Times New Roman"/>
          <w:b/>
          <w:sz w:val="24"/>
          <w:szCs w:val="24"/>
        </w:rPr>
        <w:tab/>
        <w:t>Use of Information Technology and Burden Reduction</w:t>
      </w:r>
    </w:p>
    <w:p w:rsidR="00CF1354" w:rsidRPr="001921C2" w:rsidP="00CF1354" w14:paraId="7D33CBF9" w14:textId="5D62E7EB">
      <w:pPr>
        <w:rPr>
          <w:rFonts w:ascii="Aptos" w:hAnsi="Aptos" w:cs="Times New Roman"/>
          <w:sz w:val="24"/>
          <w:szCs w:val="24"/>
        </w:rPr>
      </w:pPr>
      <w:r w:rsidRPr="001921C2">
        <w:rPr>
          <w:rFonts w:ascii="Aptos" w:hAnsi="Aptos" w:cs="Times New Roman"/>
          <w:sz w:val="24"/>
          <w:szCs w:val="24"/>
        </w:rPr>
        <w:t xml:space="preserve">NCBI </w:t>
      </w:r>
      <w:r w:rsidRPr="001921C2" w:rsidR="00AF0FA7">
        <w:rPr>
          <w:rFonts w:ascii="Aptos" w:hAnsi="Aptos" w:cs="Times New Roman"/>
          <w:sz w:val="24"/>
          <w:szCs w:val="24"/>
        </w:rPr>
        <w:t>developed</w:t>
      </w:r>
      <w:r w:rsidRPr="001921C2">
        <w:rPr>
          <w:rFonts w:ascii="Aptos" w:hAnsi="Aptos" w:cs="Times New Roman"/>
          <w:sz w:val="24"/>
          <w:szCs w:val="24"/>
        </w:rPr>
        <w:t xml:space="preserve"> an online </w:t>
      </w:r>
      <w:r w:rsidRPr="001921C2" w:rsidR="00AF0FA7">
        <w:rPr>
          <w:rFonts w:ascii="Aptos" w:hAnsi="Aptos" w:cs="Times New Roman"/>
          <w:sz w:val="24"/>
          <w:szCs w:val="24"/>
        </w:rPr>
        <w:t>dbGaP</w:t>
      </w:r>
      <w:r w:rsidRPr="001921C2" w:rsidR="00AF0FA7">
        <w:rPr>
          <w:rFonts w:ascii="Aptos" w:hAnsi="Aptos" w:cs="Times New Roman"/>
          <w:sz w:val="24"/>
          <w:szCs w:val="24"/>
        </w:rPr>
        <w:t xml:space="preserve"> system</w:t>
      </w:r>
      <w:r w:rsidRPr="001921C2">
        <w:rPr>
          <w:rFonts w:ascii="Aptos" w:hAnsi="Aptos" w:cs="Times New Roman"/>
          <w:sz w:val="24"/>
          <w:szCs w:val="24"/>
        </w:rPr>
        <w:t xml:space="preserve"> to register studies, submit data, and request access to data. The online system allows </w:t>
      </w:r>
      <w:r w:rsidR="00870147">
        <w:rPr>
          <w:rFonts w:ascii="Aptos" w:hAnsi="Aptos" w:cs="Times New Roman"/>
          <w:sz w:val="24"/>
          <w:szCs w:val="24"/>
        </w:rPr>
        <w:t>PIs</w:t>
      </w:r>
      <w:r w:rsidRPr="001921C2">
        <w:rPr>
          <w:rFonts w:ascii="Aptos" w:hAnsi="Aptos" w:cs="Times New Roman"/>
          <w:sz w:val="24"/>
          <w:szCs w:val="24"/>
        </w:rPr>
        <w:t xml:space="preserve"> to submit the required information directly to </w:t>
      </w:r>
      <w:r w:rsidRPr="001921C2">
        <w:rPr>
          <w:rFonts w:ascii="Aptos" w:hAnsi="Aptos" w:cs="Times New Roman"/>
          <w:sz w:val="24"/>
          <w:szCs w:val="24"/>
        </w:rPr>
        <w:t>dbGaP</w:t>
      </w:r>
      <w:r w:rsidRPr="001921C2">
        <w:rPr>
          <w:rFonts w:ascii="Aptos" w:hAnsi="Aptos" w:cs="Times New Roman"/>
          <w:sz w:val="24"/>
          <w:szCs w:val="24"/>
        </w:rPr>
        <w:t xml:space="preserve">, thereby minimizing burden not only for </w:t>
      </w:r>
      <w:r w:rsidR="00870147">
        <w:rPr>
          <w:rFonts w:ascii="Aptos" w:hAnsi="Aptos" w:cs="Times New Roman"/>
          <w:sz w:val="24"/>
          <w:szCs w:val="24"/>
        </w:rPr>
        <w:t>PIs</w:t>
      </w:r>
      <w:r w:rsidRPr="001921C2">
        <w:rPr>
          <w:rFonts w:ascii="Aptos" w:hAnsi="Aptos" w:cs="Times New Roman"/>
          <w:sz w:val="24"/>
          <w:szCs w:val="24"/>
        </w:rPr>
        <w:t xml:space="preserve"> and institutions, but also for NIH staff. The online system uses time-saving features, such as the use of pull-down and scrolling menus to fill data fields, “find as you type” (or “type ahead”) functionality, and text fields that allow investigators</w:t>
      </w:r>
      <w:r w:rsidRPr="001921C2" w:rsidR="00AF0FA7">
        <w:rPr>
          <w:rFonts w:ascii="Aptos" w:hAnsi="Aptos" w:cs="Times New Roman"/>
          <w:sz w:val="24"/>
          <w:szCs w:val="24"/>
        </w:rPr>
        <w:t xml:space="preserve"> and requesters</w:t>
      </w:r>
      <w:r w:rsidRPr="001921C2">
        <w:rPr>
          <w:rFonts w:ascii="Aptos" w:hAnsi="Aptos" w:cs="Times New Roman"/>
          <w:sz w:val="24"/>
          <w:szCs w:val="24"/>
        </w:rPr>
        <w:t xml:space="preserve"> to cut and paste information from other sources. Where possible, data fields are automatically filled with information from other data sources, such as </w:t>
      </w:r>
      <w:r w:rsidRPr="001921C2">
        <w:rPr>
          <w:rFonts w:ascii="Aptos" w:hAnsi="Aptos" w:cs="Times New Roman"/>
          <w:sz w:val="24"/>
          <w:szCs w:val="24"/>
        </w:rPr>
        <w:t>eRA</w:t>
      </w:r>
      <w:r w:rsidRPr="001921C2">
        <w:rPr>
          <w:rFonts w:ascii="Aptos" w:hAnsi="Aptos" w:cs="Times New Roman"/>
          <w:sz w:val="24"/>
          <w:szCs w:val="24"/>
        </w:rPr>
        <w:t xml:space="preserve"> Commons, which provides the </w:t>
      </w:r>
      <w:r w:rsidR="00870147">
        <w:rPr>
          <w:rFonts w:ascii="Aptos" w:hAnsi="Aptos" w:cs="Times New Roman"/>
          <w:sz w:val="24"/>
          <w:szCs w:val="24"/>
        </w:rPr>
        <w:t xml:space="preserve">PI’s </w:t>
      </w:r>
      <w:r w:rsidRPr="001921C2" w:rsidR="00BB2A2D">
        <w:rPr>
          <w:rFonts w:ascii="Aptos" w:hAnsi="Aptos" w:cs="Times New Roman"/>
          <w:sz w:val="24"/>
          <w:szCs w:val="24"/>
        </w:rPr>
        <w:t xml:space="preserve">name, institution, and </w:t>
      </w:r>
      <w:r w:rsidR="00870147">
        <w:rPr>
          <w:rFonts w:ascii="Aptos" w:hAnsi="Aptos" w:cs="Times New Roman"/>
          <w:sz w:val="24"/>
          <w:szCs w:val="24"/>
        </w:rPr>
        <w:t>SO</w:t>
      </w:r>
      <w:r w:rsidRPr="001921C2">
        <w:rPr>
          <w:rFonts w:ascii="Aptos" w:hAnsi="Aptos" w:cs="Times New Roman"/>
          <w:sz w:val="24"/>
          <w:szCs w:val="24"/>
        </w:rPr>
        <w:t xml:space="preserve">. Also, information from one online form can be used to pre-fill data fields on subsequent forms. </w:t>
      </w:r>
      <w:r w:rsidR="004E563F">
        <w:rPr>
          <w:rFonts w:ascii="Aptos" w:hAnsi="Aptos" w:cs="Times New Roman"/>
          <w:sz w:val="24"/>
          <w:szCs w:val="24"/>
        </w:rPr>
        <w:t xml:space="preserve"> </w:t>
      </w:r>
      <w:r w:rsidR="004E563F">
        <w:rPr>
          <w:rFonts w:ascii="Aptos" w:hAnsi="Aptos" w:cs="Times New Roman"/>
          <w:sz w:val="24"/>
          <w:szCs w:val="24"/>
        </w:rPr>
        <w:t>I</w:t>
      </w:r>
      <w:r w:rsidRPr="001921C2" w:rsidR="004E563F">
        <w:rPr>
          <w:rFonts w:ascii="Aptos" w:hAnsi="Aptos" w:cs="Times New Roman"/>
          <w:sz w:val="24"/>
          <w:szCs w:val="24"/>
        </w:rPr>
        <w:t>nformation</w:t>
      </w:r>
      <w:r w:rsidRPr="001921C2">
        <w:rPr>
          <w:rFonts w:ascii="Aptos" w:hAnsi="Aptos" w:cs="Times New Roman"/>
          <w:sz w:val="24"/>
          <w:szCs w:val="24"/>
        </w:rPr>
        <w:t xml:space="preserve"> in a DAR</w:t>
      </w:r>
      <w:r w:rsidR="00457D9B">
        <w:rPr>
          <w:rFonts w:ascii="Aptos" w:hAnsi="Aptos" w:cs="Times New Roman"/>
          <w:sz w:val="24"/>
          <w:szCs w:val="24"/>
        </w:rPr>
        <w:t xml:space="preserve"> application</w:t>
      </w:r>
      <w:r w:rsidRPr="001921C2">
        <w:rPr>
          <w:rFonts w:ascii="Aptos" w:hAnsi="Aptos" w:cs="Times New Roman"/>
          <w:sz w:val="24"/>
          <w:szCs w:val="24"/>
        </w:rPr>
        <w:t xml:space="preserve"> will be used to pre-fi</w:t>
      </w:r>
      <w:r w:rsidRPr="001921C2" w:rsidR="00AF790D">
        <w:rPr>
          <w:rFonts w:ascii="Aptos" w:hAnsi="Aptos" w:cs="Times New Roman"/>
          <w:sz w:val="24"/>
          <w:szCs w:val="24"/>
        </w:rPr>
        <w:t>ll many of the data fields on th</w:t>
      </w:r>
      <w:r w:rsidRPr="001921C2">
        <w:rPr>
          <w:rFonts w:ascii="Aptos" w:hAnsi="Aptos" w:cs="Times New Roman"/>
          <w:sz w:val="24"/>
          <w:szCs w:val="24"/>
        </w:rPr>
        <w:t xml:space="preserve">e </w:t>
      </w:r>
      <w:r w:rsidRPr="001921C2" w:rsidR="00AF790D">
        <w:rPr>
          <w:rFonts w:ascii="Aptos" w:hAnsi="Aptos" w:cs="Times New Roman"/>
          <w:sz w:val="24"/>
          <w:szCs w:val="24"/>
        </w:rPr>
        <w:t>R</w:t>
      </w:r>
      <w:r w:rsidRPr="001921C2">
        <w:rPr>
          <w:rFonts w:ascii="Aptos" w:hAnsi="Aptos" w:cs="Times New Roman"/>
          <w:sz w:val="24"/>
          <w:szCs w:val="24"/>
        </w:rPr>
        <w:t xml:space="preserve">enewal and </w:t>
      </w:r>
      <w:r w:rsidRPr="001921C2" w:rsidR="00AF790D">
        <w:rPr>
          <w:rFonts w:ascii="Aptos" w:hAnsi="Aptos" w:cs="Times New Roman"/>
          <w:sz w:val="24"/>
          <w:szCs w:val="24"/>
        </w:rPr>
        <w:t>C</w:t>
      </w:r>
      <w:r w:rsidRPr="001921C2">
        <w:rPr>
          <w:rFonts w:ascii="Aptos" w:hAnsi="Aptos" w:cs="Times New Roman"/>
          <w:sz w:val="24"/>
          <w:szCs w:val="24"/>
        </w:rPr>
        <w:t>lose-out forms. In addition, the data submission system has been designed to allow investigators to submit their data in any format based.</w:t>
      </w:r>
    </w:p>
    <w:p w:rsidR="00400EA7" w:rsidRPr="001921C2" w:rsidP="00CF1354" w14:paraId="48D98A3D" w14:textId="7462A8C1">
      <w:pPr>
        <w:rPr>
          <w:rFonts w:ascii="Aptos" w:hAnsi="Aptos" w:cs="Times New Roman"/>
          <w:sz w:val="24"/>
          <w:szCs w:val="24"/>
        </w:rPr>
      </w:pPr>
      <w:r w:rsidRPr="001921C2">
        <w:rPr>
          <w:rFonts w:ascii="Aptos" w:hAnsi="Aptos" w:cs="Times New Roman"/>
          <w:sz w:val="24"/>
          <w:szCs w:val="24"/>
        </w:rPr>
        <w:t xml:space="preserve">A Privacy Impact Assessment has been completed for the online </w:t>
      </w:r>
      <w:r w:rsidRPr="001921C2">
        <w:rPr>
          <w:rFonts w:ascii="Aptos" w:hAnsi="Aptos" w:cs="Times New Roman"/>
          <w:sz w:val="24"/>
          <w:szCs w:val="24"/>
        </w:rPr>
        <w:t>dbGaP</w:t>
      </w:r>
      <w:r w:rsidRPr="001921C2">
        <w:rPr>
          <w:rFonts w:ascii="Aptos" w:hAnsi="Aptos" w:cs="Times New Roman"/>
          <w:sz w:val="24"/>
          <w:szCs w:val="24"/>
        </w:rPr>
        <w:t xml:space="preserve"> system to register studies, submit </w:t>
      </w:r>
      <w:r w:rsidRPr="001921C2">
        <w:rPr>
          <w:rFonts w:ascii="Aptos" w:hAnsi="Aptos" w:cs="Times New Roman"/>
          <w:sz w:val="24"/>
          <w:szCs w:val="24"/>
        </w:rPr>
        <w:t>data</w:t>
      </w:r>
      <w:r w:rsidRPr="001921C2">
        <w:rPr>
          <w:rFonts w:ascii="Aptos" w:hAnsi="Aptos" w:cs="Times New Roman"/>
          <w:sz w:val="24"/>
          <w:szCs w:val="24"/>
        </w:rPr>
        <w:t xml:space="preserve">, and request access to </w:t>
      </w:r>
      <w:r w:rsidRPr="00A92CDB">
        <w:rPr>
          <w:rFonts w:ascii="Aptos" w:hAnsi="Aptos" w:cs="Times New Roman"/>
          <w:sz w:val="24"/>
          <w:szCs w:val="24"/>
        </w:rPr>
        <w:t xml:space="preserve">data (Attachment </w:t>
      </w:r>
      <w:r w:rsidR="00B27D8C">
        <w:rPr>
          <w:rFonts w:ascii="Aptos" w:hAnsi="Aptos" w:cs="Times New Roman"/>
          <w:sz w:val="24"/>
          <w:szCs w:val="24"/>
        </w:rPr>
        <w:t>8</w:t>
      </w:r>
      <w:r w:rsidRPr="00A92CDB">
        <w:rPr>
          <w:rFonts w:ascii="Aptos" w:hAnsi="Aptos" w:cs="Times New Roman"/>
          <w:sz w:val="24"/>
          <w:szCs w:val="24"/>
        </w:rPr>
        <w:t>).</w:t>
      </w:r>
    </w:p>
    <w:p w:rsidR="00CF1354" w:rsidRPr="001921C2" w:rsidP="00CF1354" w14:paraId="47251A13" w14:textId="77777777">
      <w:pPr>
        <w:rPr>
          <w:rFonts w:ascii="Aptos" w:hAnsi="Aptos" w:cs="Times New Roman"/>
          <w:sz w:val="24"/>
          <w:szCs w:val="24"/>
        </w:rPr>
      </w:pPr>
      <w:r w:rsidRPr="001921C2">
        <w:rPr>
          <w:rFonts w:ascii="Aptos" w:hAnsi="Aptos" w:cs="Times New Roman"/>
          <w:b/>
          <w:sz w:val="24"/>
          <w:szCs w:val="24"/>
        </w:rPr>
        <w:t>A.4</w:t>
      </w:r>
      <w:r w:rsidRPr="001921C2">
        <w:rPr>
          <w:rFonts w:ascii="Aptos" w:hAnsi="Aptos" w:cs="Times New Roman"/>
          <w:b/>
          <w:sz w:val="24"/>
          <w:szCs w:val="24"/>
        </w:rPr>
        <w:tab/>
        <w:t>Efforts to Identify Duplication and Use of Similar Information</w:t>
      </w:r>
    </w:p>
    <w:p w:rsidR="00CF1354" w:rsidRPr="001921C2" w:rsidP="00CF1354" w14:paraId="7566263D" w14:textId="406C8986">
      <w:pPr>
        <w:rPr>
          <w:rFonts w:ascii="Aptos" w:hAnsi="Aptos" w:cs="Times New Roman"/>
          <w:sz w:val="24"/>
          <w:szCs w:val="24"/>
        </w:rPr>
      </w:pPr>
      <w:r w:rsidRPr="002A2990">
        <w:rPr>
          <w:rFonts w:ascii="Aptos" w:hAnsi="Aptos" w:cs="Times New Roman"/>
          <w:sz w:val="24"/>
          <w:szCs w:val="24"/>
          <w:highlight w:val="yellow"/>
        </w:rPr>
        <w:t xml:space="preserve">Currently, no comparable </w:t>
      </w:r>
      <w:r w:rsidRPr="002A2990" w:rsidR="00B61092">
        <w:rPr>
          <w:rFonts w:ascii="Aptos" w:hAnsi="Aptos" w:cs="Times New Roman"/>
          <w:sz w:val="24"/>
          <w:szCs w:val="24"/>
          <w:highlight w:val="yellow"/>
        </w:rPr>
        <w:t>NIH CADR</w:t>
      </w:r>
      <w:r w:rsidRPr="002A2990" w:rsidR="00DF510E">
        <w:rPr>
          <w:rFonts w:ascii="Aptos" w:hAnsi="Aptos" w:cs="Times New Roman"/>
          <w:sz w:val="24"/>
          <w:szCs w:val="24"/>
          <w:highlight w:val="yellow"/>
        </w:rPr>
        <w:t xml:space="preserve"> e</w:t>
      </w:r>
      <w:r w:rsidRPr="002A2990" w:rsidR="004A7B4F">
        <w:rPr>
          <w:rFonts w:ascii="Aptos" w:hAnsi="Aptos" w:cs="Times New Roman"/>
          <w:sz w:val="24"/>
          <w:szCs w:val="24"/>
          <w:highlight w:val="yellow"/>
        </w:rPr>
        <w:t xml:space="preserve">xists that registers and provides access to studies subject to the NIH GDS Policy and </w:t>
      </w:r>
      <w:r w:rsidRPr="002A2990" w:rsidR="0077293D">
        <w:rPr>
          <w:rFonts w:ascii="Aptos" w:hAnsi="Aptos" w:cs="Times New Roman"/>
          <w:sz w:val="24"/>
          <w:szCs w:val="24"/>
          <w:highlight w:val="yellow"/>
        </w:rPr>
        <w:t>controlled data from NIH CADRs whose studies are not subject to the NIH GDS Policy</w:t>
      </w:r>
      <w:r w:rsidRPr="002A2990" w:rsidR="00BB6DED">
        <w:rPr>
          <w:rFonts w:ascii="Aptos" w:hAnsi="Aptos" w:cs="Times New Roman"/>
          <w:sz w:val="24"/>
          <w:szCs w:val="24"/>
          <w:highlight w:val="yellow"/>
        </w:rPr>
        <w:t>.</w:t>
      </w:r>
      <w:r w:rsidRPr="002A2990" w:rsidR="00FA0595">
        <w:rPr>
          <w:rFonts w:ascii="Aptos" w:hAnsi="Aptos" w:cs="Times New Roman"/>
          <w:sz w:val="24"/>
          <w:szCs w:val="24"/>
          <w:highlight w:val="yellow"/>
        </w:rPr>
        <w:t xml:space="preserve"> </w:t>
      </w:r>
      <w:r w:rsidRPr="002A2990" w:rsidR="002E636F">
        <w:rPr>
          <w:rFonts w:ascii="Aptos" w:hAnsi="Aptos" w:cs="Times New Roman"/>
          <w:sz w:val="24"/>
          <w:szCs w:val="24"/>
          <w:highlight w:val="yellow"/>
        </w:rPr>
        <w:t xml:space="preserve">Because </w:t>
      </w:r>
      <w:r w:rsidRPr="002A2990" w:rsidR="002E636F">
        <w:rPr>
          <w:rFonts w:ascii="Aptos" w:hAnsi="Aptos" w:cs="Times New Roman"/>
          <w:sz w:val="24"/>
          <w:szCs w:val="24"/>
          <w:highlight w:val="yellow"/>
        </w:rPr>
        <w:t>dbGaP</w:t>
      </w:r>
      <w:r w:rsidRPr="002A2990" w:rsidR="002E636F">
        <w:rPr>
          <w:rFonts w:ascii="Aptos" w:hAnsi="Aptos" w:cs="Times New Roman"/>
          <w:sz w:val="24"/>
          <w:szCs w:val="24"/>
          <w:highlight w:val="yellow"/>
        </w:rPr>
        <w:t xml:space="preserve"> accepts submission from </w:t>
      </w:r>
      <w:r w:rsidRPr="002A2990" w:rsidR="0054426B">
        <w:rPr>
          <w:rFonts w:ascii="Aptos" w:hAnsi="Aptos" w:cs="Times New Roman"/>
          <w:sz w:val="24"/>
          <w:szCs w:val="24"/>
          <w:highlight w:val="yellow"/>
        </w:rPr>
        <w:t>data whose studies are not subject to the NIH GDS Policy</w:t>
      </w:r>
      <w:r w:rsidRPr="002A2990" w:rsidR="00583634">
        <w:rPr>
          <w:rFonts w:ascii="Aptos" w:hAnsi="Aptos" w:cs="Times New Roman"/>
          <w:sz w:val="24"/>
          <w:szCs w:val="24"/>
          <w:highlight w:val="yellow"/>
        </w:rPr>
        <w:t>, a</w:t>
      </w:r>
      <w:r w:rsidRPr="002A2990" w:rsidR="00F7382B">
        <w:rPr>
          <w:rFonts w:ascii="Aptos" w:hAnsi="Aptos" w:cs="Times New Roman"/>
          <w:sz w:val="24"/>
          <w:szCs w:val="24"/>
          <w:highlight w:val="yellow"/>
        </w:rPr>
        <w:t xml:space="preserve"> data submission form was developed (the Data Submission Certification)</w:t>
      </w:r>
      <w:r w:rsidRPr="002A2990" w:rsidR="006E572D">
        <w:rPr>
          <w:rFonts w:ascii="Aptos" w:hAnsi="Aptos" w:cs="Times New Roman"/>
          <w:sz w:val="24"/>
          <w:szCs w:val="24"/>
          <w:highlight w:val="yellow"/>
        </w:rPr>
        <w:t>,</w:t>
      </w:r>
      <w:r w:rsidRPr="002A2990" w:rsidR="00467B62">
        <w:rPr>
          <w:rFonts w:ascii="Aptos" w:hAnsi="Aptos" w:cs="Times New Roman"/>
          <w:sz w:val="24"/>
          <w:szCs w:val="24"/>
          <w:highlight w:val="yellow"/>
        </w:rPr>
        <w:t xml:space="preserve"> </w:t>
      </w:r>
      <w:r w:rsidRPr="002A2990" w:rsidR="00A40805">
        <w:rPr>
          <w:rFonts w:ascii="Aptos" w:hAnsi="Aptos" w:cs="Times New Roman"/>
          <w:sz w:val="24"/>
          <w:szCs w:val="24"/>
          <w:highlight w:val="yellow"/>
        </w:rPr>
        <w:t>to accommodate those submissions</w:t>
      </w:r>
      <w:r w:rsidRPr="002A2990" w:rsidR="001A24FA">
        <w:rPr>
          <w:rFonts w:ascii="Aptos" w:hAnsi="Aptos" w:cs="Times New Roman"/>
          <w:sz w:val="24"/>
          <w:szCs w:val="24"/>
          <w:highlight w:val="yellow"/>
        </w:rPr>
        <w:t xml:space="preserve"> (Attachment </w:t>
      </w:r>
      <w:r w:rsidR="00B27D8C">
        <w:rPr>
          <w:rFonts w:ascii="Aptos" w:hAnsi="Aptos" w:cs="Times New Roman"/>
          <w:sz w:val="24"/>
          <w:szCs w:val="24"/>
          <w:highlight w:val="yellow"/>
        </w:rPr>
        <w:t>2</w:t>
      </w:r>
      <w:r w:rsidRPr="002A2990" w:rsidR="001A24FA">
        <w:rPr>
          <w:rFonts w:ascii="Aptos" w:hAnsi="Aptos" w:cs="Times New Roman"/>
          <w:sz w:val="24"/>
          <w:szCs w:val="24"/>
          <w:highlight w:val="yellow"/>
        </w:rPr>
        <w:t>)</w:t>
      </w:r>
    </w:p>
    <w:p w:rsidR="00CF1354" w:rsidRPr="001921C2" w:rsidP="00CF1354" w14:paraId="6AD5DC1B" w14:textId="77777777">
      <w:pPr>
        <w:rPr>
          <w:rFonts w:ascii="Aptos" w:hAnsi="Aptos" w:cs="Times New Roman"/>
          <w:sz w:val="24"/>
          <w:szCs w:val="24"/>
        </w:rPr>
      </w:pPr>
      <w:r w:rsidRPr="001921C2">
        <w:rPr>
          <w:rFonts w:ascii="Aptos" w:hAnsi="Aptos" w:cs="Times New Roman"/>
          <w:b/>
          <w:sz w:val="24"/>
          <w:szCs w:val="24"/>
        </w:rPr>
        <w:t>A.5</w:t>
      </w:r>
      <w:r w:rsidRPr="001921C2">
        <w:rPr>
          <w:rFonts w:ascii="Aptos" w:hAnsi="Aptos" w:cs="Times New Roman"/>
          <w:sz w:val="24"/>
          <w:szCs w:val="24"/>
        </w:rPr>
        <w:tab/>
      </w:r>
      <w:r w:rsidRPr="001921C2">
        <w:rPr>
          <w:rFonts w:ascii="Aptos" w:hAnsi="Aptos" w:cs="Times New Roman"/>
          <w:b/>
          <w:sz w:val="24"/>
          <w:szCs w:val="24"/>
        </w:rPr>
        <w:t>Impact on Small Businesses or Other Small Entities</w:t>
      </w:r>
    </w:p>
    <w:p w:rsidR="00CF1354" w:rsidRPr="001921C2" w:rsidP="00CF1354" w14:paraId="2969F205" w14:textId="77777777">
      <w:pPr>
        <w:rPr>
          <w:rFonts w:ascii="Aptos" w:hAnsi="Aptos" w:cs="Times New Roman"/>
          <w:sz w:val="24"/>
          <w:szCs w:val="24"/>
        </w:rPr>
      </w:pPr>
      <w:r w:rsidRPr="001921C2">
        <w:rPr>
          <w:rFonts w:ascii="Aptos" w:hAnsi="Aptos" w:cs="Times New Roman"/>
          <w:sz w:val="24"/>
          <w:szCs w:val="24"/>
        </w:rPr>
        <w:t>The information collection does not have a differential effect on small businesses.</w:t>
      </w:r>
    </w:p>
    <w:p w:rsidR="00A71A53" w:rsidRPr="001921C2" w:rsidP="00A71A53" w14:paraId="6076672E" w14:textId="77777777">
      <w:pPr>
        <w:rPr>
          <w:rFonts w:ascii="Aptos" w:hAnsi="Aptos" w:cs="Times New Roman"/>
          <w:b/>
          <w:sz w:val="24"/>
          <w:szCs w:val="24"/>
        </w:rPr>
      </w:pPr>
      <w:r w:rsidRPr="001921C2">
        <w:rPr>
          <w:rFonts w:ascii="Aptos" w:hAnsi="Aptos" w:cs="Times New Roman"/>
          <w:b/>
          <w:sz w:val="24"/>
          <w:szCs w:val="24"/>
        </w:rPr>
        <w:t>A.6</w:t>
      </w:r>
      <w:r w:rsidRPr="001921C2">
        <w:rPr>
          <w:rFonts w:ascii="Aptos" w:hAnsi="Aptos" w:cs="Times New Roman"/>
          <w:sz w:val="24"/>
          <w:szCs w:val="24"/>
        </w:rPr>
        <w:tab/>
      </w:r>
      <w:r w:rsidRPr="001921C2">
        <w:rPr>
          <w:rFonts w:ascii="Aptos" w:hAnsi="Aptos" w:cs="Times New Roman"/>
          <w:b/>
          <w:sz w:val="24"/>
          <w:szCs w:val="24"/>
        </w:rPr>
        <w:t>Consequences of Collecting the Information Less Frequently</w:t>
      </w:r>
    </w:p>
    <w:p w:rsidR="00A71A53" w:rsidRPr="001921C2" w:rsidP="00A71A53" w14:paraId="396146D9" w14:textId="1C525420">
      <w:pPr>
        <w:rPr>
          <w:rFonts w:ascii="Aptos" w:hAnsi="Aptos" w:cs="Times New Roman"/>
          <w:sz w:val="24"/>
          <w:szCs w:val="24"/>
        </w:rPr>
      </w:pPr>
      <w:r w:rsidRPr="001921C2">
        <w:rPr>
          <w:rFonts w:ascii="Aptos" w:hAnsi="Aptos" w:cs="Times New Roman"/>
          <w:sz w:val="24"/>
          <w:szCs w:val="24"/>
        </w:rPr>
        <w:t xml:space="preserve">Delaying </w:t>
      </w:r>
      <w:r w:rsidR="00305667">
        <w:rPr>
          <w:rFonts w:ascii="Aptos" w:hAnsi="Aptos" w:cs="Times New Roman"/>
          <w:sz w:val="24"/>
          <w:szCs w:val="24"/>
        </w:rPr>
        <w:t xml:space="preserve">information </w:t>
      </w:r>
      <w:r w:rsidRPr="001921C2">
        <w:rPr>
          <w:rFonts w:ascii="Aptos" w:hAnsi="Aptos" w:cs="Times New Roman"/>
          <w:sz w:val="24"/>
          <w:szCs w:val="24"/>
        </w:rPr>
        <w:t xml:space="preserve">submission to </w:t>
      </w:r>
      <w:r w:rsidRPr="001921C2">
        <w:rPr>
          <w:rFonts w:ascii="Aptos" w:hAnsi="Aptos" w:cs="Times New Roman"/>
          <w:sz w:val="24"/>
          <w:szCs w:val="24"/>
        </w:rPr>
        <w:t>dbGaP</w:t>
      </w:r>
      <w:r w:rsidRPr="001921C2">
        <w:rPr>
          <w:rFonts w:ascii="Aptos" w:hAnsi="Aptos" w:cs="Times New Roman"/>
          <w:sz w:val="24"/>
          <w:szCs w:val="24"/>
        </w:rPr>
        <w:t xml:space="preserve"> would impede secondary research studies </w:t>
      </w:r>
      <w:r w:rsidR="00BA61DB">
        <w:rPr>
          <w:rFonts w:ascii="Aptos" w:hAnsi="Aptos" w:cs="Times New Roman"/>
          <w:sz w:val="24"/>
          <w:szCs w:val="24"/>
        </w:rPr>
        <w:t>using</w:t>
      </w:r>
      <w:r w:rsidRPr="001921C2" w:rsidR="00BA61DB">
        <w:rPr>
          <w:rFonts w:ascii="Aptos" w:hAnsi="Aptos" w:cs="Times New Roman"/>
          <w:sz w:val="24"/>
          <w:szCs w:val="24"/>
        </w:rPr>
        <w:t xml:space="preserve"> </w:t>
      </w:r>
      <w:r w:rsidRPr="001921C2">
        <w:rPr>
          <w:rFonts w:ascii="Aptos" w:hAnsi="Aptos" w:cs="Times New Roman"/>
          <w:sz w:val="24"/>
          <w:szCs w:val="24"/>
        </w:rPr>
        <w:t xml:space="preserve">data in </w:t>
      </w:r>
      <w:r w:rsidRPr="001921C2">
        <w:rPr>
          <w:rFonts w:ascii="Aptos" w:hAnsi="Aptos" w:cs="Times New Roman"/>
          <w:sz w:val="24"/>
          <w:szCs w:val="24"/>
        </w:rPr>
        <w:t>dbGaP</w:t>
      </w:r>
      <w:r w:rsidRPr="001921C2">
        <w:rPr>
          <w:rFonts w:ascii="Aptos" w:hAnsi="Aptos" w:cs="Times New Roman"/>
          <w:sz w:val="24"/>
          <w:szCs w:val="24"/>
        </w:rPr>
        <w:t xml:space="preserve"> and lessen the value of NIH’s investment.</w:t>
      </w:r>
      <w:r w:rsidRPr="001921C2" w:rsidR="009F2207">
        <w:rPr>
          <w:rFonts w:ascii="Aptos" w:hAnsi="Aptos" w:cs="Times New Roman"/>
          <w:sz w:val="24"/>
          <w:szCs w:val="24"/>
        </w:rPr>
        <w:t xml:space="preserve"> It would also </w:t>
      </w:r>
      <w:r w:rsidRPr="001921C2" w:rsidR="00ED6D63">
        <w:rPr>
          <w:rFonts w:ascii="Aptos" w:hAnsi="Aptos" w:cs="Times New Roman"/>
          <w:sz w:val="24"/>
          <w:szCs w:val="24"/>
        </w:rPr>
        <w:t xml:space="preserve">limit NIH’s ability to ensure that controlled-access data </w:t>
      </w:r>
      <w:r w:rsidR="00BA61DB">
        <w:rPr>
          <w:rFonts w:ascii="Aptos" w:hAnsi="Aptos" w:cs="Times New Roman"/>
          <w:sz w:val="24"/>
          <w:szCs w:val="24"/>
        </w:rPr>
        <w:t>are</w:t>
      </w:r>
      <w:r w:rsidRPr="001921C2" w:rsidR="00BA61DB">
        <w:rPr>
          <w:rFonts w:ascii="Aptos" w:hAnsi="Aptos" w:cs="Times New Roman"/>
          <w:sz w:val="24"/>
          <w:szCs w:val="24"/>
        </w:rPr>
        <w:t xml:space="preserve"> </w:t>
      </w:r>
      <w:r w:rsidRPr="001921C2" w:rsidR="00ED6D63">
        <w:rPr>
          <w:rFonts w:ascii="Aptos" w:hAnsi="Aptos" w:cs="Times New Roman"/>
          <w:sz w:val="24"/>
          <w:szCs w:val="24"/>
        </w:rPr>
        <w:t xml:space="preserve">secured with </w:t>
      </w:r>
      <w:r w:rsidRPr="001921C2" w:rsidR="119B9167">
        <w:rPr>
          <w:rFonts w:ascii="Aptos" w:hAnsi="Aptos" w:cs="Times New Roman"/>
          <w:sz w:val="24"/>
          <w:szCs w:val="24"/>
        </w:rPr>
        <w:t xml:space="preserve">the </w:t>
      </w:r>
      <w:r w:rsidRPr="001921C2" w:rsidR="00A032D7">
        <w:rPr>
          <w:rFonts w:ascii="Aptos" w:hAnsi="Aptos" w:cs="Times New Roman"/>
          <w:sz w:val="24"/>
          <w:szCs w:val="24"/>
        </w:rPr>
        <w:t>controls commensurate with the</w:t>
      </w:r>
      <w:r w:rsidR="00BA61DB">
        <w:rPr>
          <w:rFonts w:ascii="Aptos" w:hAnsi="Aptos" w:cs="Times New Roman"/>
          <w:sz w:val="24"/>
          <w:szCs w:val="24"/>
        </w:rPr>
        <w:t>ir</w:t>
      </w:r>
      <w:r w:rsidRPr="001921C2" w:rsidR="00A032D7">
        <w:rPr>
          <w:rFonts w:ascii="Aptos" w:hAnsi="Aptos" w:cs="Times New Roman"/>
          <w:sz w:val="24"/>
          <w:szCs w:val="24"/>
        </w:rPr>
        <w:t xml:space="preserve"> sensitivity</w:t>
      </w:r>
      <w:r w:rsidRPr="001921C2" w:rsidR="00FF1654">
        <w:rPr>
          <w:rFonts w:ascii="Aptos" w:hAnsi="Aptos" w:cs="Times New Roman"/>
          <w:sz w:val="24"/>
          <w:szCs w:val="24"/>
        </w:rPr>
        <w:t>, jeopardizing the security of controlled-access data.</w:t>
      </w:r>
    </w:p>
    <w:p w:rsidR="00A71A53" w:rsidRPr="001921C2" w:rsidP="00A71A53" w14:paraId="63E7C554" w14:textId="5827558E">
      <w:pPr>
        <w:rPr>
          <w:rFonts w:ascii="Aptos" w:hAnsi="Aptos" w:cs="Times New Roman"/>
          <w:sz w:val="24"/>
          <w:szCs w:val="24"/>
        </w:rPr>
      </w:pPr>
      <w:r>
        <w:rPr>
          <w:rFonts w:ascii="Aptos" w:hAnsi="Aptos" w:cs="Times New Roman"/>
          <w:sz w:val="24"/>
          <w:szCs w:val="24"/>
        </w:rPr>
        <w:t>Each year f</w:t>
      </w:r>
      <w:r w:rsidRPr="001921C2">
        <w:rPr>
          <w:rFonts w:ascii="Aptos" w:hAnsi="Aptos" w:cs="Times New Roman"/>
          <w:sz w:val="24"/>
          <w:szCs w:val="24"/>
        </w:rPr>
        <w:t xml:space="preserve">ollowing the initial request and approval to use controlled-access data, requesters must provide updates on their research progress and </w:t>
      </w:r>
      <w:r w:rsidR="00D756DA">
        <w:rPr>
          <w:rFonts w:ascii="Aptos" w:hAnsi="Aptos" w:cs="Times New Roman"/>
          <w:sz w:val="24"/>
          <w:szCs w:val="24"/>
        </w:rPr>
        <w:t>either close out or request</w:t>
      </w:r>
      <w:r w:rsidR="00C2796B">
        <w:rPr>
          <w:rFonts w:ascii="Aptos" w:hAnsi="Aptos" w:cs="Times New Roman"/>
          <w:sz w:val="24"/>
          <w:szCs w:val="24"/>
        </w:rPr>
        <w:t xml:space="preserve"> to</w:t>
      </w:r>
      <w:r w:rsidR="00D756DA">
        <w:rPr>
          <w:rFonts w:ascii="Aptos" w:hAnsi="Aptos" w:cs="Times New Roman"/>
          <w:sz w:val="24"/>
          <w:szCs w:val="24"/>
        </w:rPr>
        <w:t xml:space="preserve"> </w:t>
      </w:r>
      <w:r w:rsidRPr="001921C2">
        <w:rPr>
          <w:rFonts w:ascii="Aptos" w:hAnsi="Aptos" w:cs="Times New Roman"/>
          <w:sz w:val="24"/>
          <w:szCs w:val="24"/>
        </w:rPr>
        <w:t>renew access to the dataset(s) for another year. The</w:t>
      </w:r>
      <w:r w:rsidR="00C631C6">
        <w:rPr>
          <w:rFonts w:ascii="Aptos" w:hAnsi="Aptos" w:cs="Times New Roman"/>
          <w:sz w:val="24"/>
          <w:szCs w:val="24"/>
        </w:rPr>
        <w:t>re are two major</w:t>
      </w:r>
      <w:r w:rsidRPr="001921C2">
        <w:rPr>
          <w:rFonts w:ascii="Aptos" w:hAnsi="Aptos" w:cs="Times New Roman"/>
          <w:sz w:val="24"/>
          <w:szCs w:val="24"/>
        </w:rPr>
        <w:t xml:space="preserve"> consequence</w:t>
      </w:r>
      <w:r w:rsidR="00C631C6">
        <w:rPr>
          <w:rFonts w:ascii="Aptos" w:hAnsi="Aptos" w:cs="Times New Roman"/>
          <w:sz w:val="24"/>
          <w:szCs w:val="24"/>
        </w:rPr>
        <w:t>s to NIH when requesters do</w:t>
      </w:r>
      <w:r w:rsidRPr="001921C2">
        <w:rPr>
          <w:rFonts w:ascii="Aptos" w:hAnsi="Aptos" w:cs="Times New Roman"/>
          <w:sz w:val="24"/>
          <w:szCs w:val="24"/>
        </w:rPr>
        <w:t xml:space="preserve"> not submit the required information annually</w:t>
      </w:r>
      <w:r w:rsidR="00C631C6">
        <w:rPr>
          <w:rFonts w:ascii="Aptos" w:hAnsi="Aptos" w:cs="Times New Roman"/>
          <w:sz w:val="24"/>
          <w:szCs w:val="24"/>
        </w:rPr>
        <w:t>:</w:t>
      </w:r>
      <w:r w:rsidRPr="001921C2">
        <w:rPr>
          <w:rFonts w:ascii="Aptos" w:hAnsi="Aptos" w:cs="Times New Roman"/>
          <w:sz w:val="24"/>
          <w:szCs w:val="24"/>
        </w:rPr>
        <w:t xml:space="preserve"> a reduc</w:t>
      </w:r>
      <w:r w:rsidR="00C631C6">
        <w:rPr>
          <w:rFonts w:ascii="Aptos" w:hAnsi="Aptos" w:cs="Times New Roman"/>
          <w:sz w:val="24"/>
          <w:szCs w:val="24"/>
        </w:rPr>
        <w:t>ed</w:t>
      </w:r>
      <w:r w:rsidRPr="001921C2">
        <w:rPr>
          <w:rFonts w:ascii="Aptos" w:hAnsi="Aptos" w:cs="Times New Roman"/>
          <w:sz w:val="24"/>
          <w:szCs w:val="24"/>
        </w:rPr>
        <w:t xml:space="preserve"> </w:t>
      </w:r>
      <w:r w:rsidRPr="001921C2" w:rsidR="00BE5828">
        <w:rPr>
          <w:rFonts w:ascii="Aptos" w:hAnsi="Aptos" w:cs="Times New Roman"/>
          <w:sz w:val="24"/>
          <w:szCs w:val="24"/>
        </w:rPr>
        <w:t xml:space="preserve">ability to provide </w:t>
      </w:r>
      <w:r w:rsidRPr="001921C2">
        <w:rPr>
          <w:rFonts w:ascii="Aptos" w:hAnsi="Aptos" w:cs="Times New Roman"/>
          <w:sz w:val="24"/>
          <w:szCs w:val="24"/>
        </w:rPr>
        <w:t xml:space="preserve">oversight, and reduced knowledge of how the data </w:t>
      </w:r>
      <w:r w:rsidRPr="001921C2">
        <w:rPr>
          <w:rFonts w:ascii="Aptos" w:hAnsi="Aptos" w:cs="Times New Roman"/>
          <w:sz w:val="24"/>
          <w:szCs w:val="24"/>
        </w:rPr>
        <w:t>are</w:t>
      </w:r>
      <w:r w:rsidRPr="001921C2">
        <w:rPr>
          <w:rFonts w:ascii="Aptos" w:hAnsi="Aptos" w:cs="Times New Roman"/>
          <w:sz w:val="24"/>
          <w:szCs w:val="24"/>
        </w:rPr>
        <w:t xml:space="preserve"> being used</w:t>
      </w:r>
      <w:r w:rsidR="00C61D6B">
        <w:rPr>
          <w:rFonts w:ascii="Aptos" w:hAnsi="Aptos" w:cs="Times New Roman"/>
          <w:sz w:val="24"/>
          <w:szCs w:val="24"/>
        </w:rPr>
        <w:t>. Either consequence</w:t>
      </w:r>
      <w:r w:rsidR="0067542A">
        <w:rPr>
          <w:rFonts w:ascii="Aptos" w:hAnsi="Aptos" w:cs="Times New Roman"/>
          <w:sz w:val="24"/>
          <w:szCs w:val="24"/>
        </w:rPr>
        <w:t xml:space="preserve"> could lead</w:t>
      </w:r>
      <w:r w:rsidRPr="001921C2">
        <w:rPr>
          <w:rFonts w:ascii="Aptos" w:hAnsi="Aptos" w:cs="Times New Roman"/>
          <w:sz w:val="24"/>
          <w:szCs w:val="24"/>
        </w:rPr>
        <w:t xml:space="preserve"> to an increased rate of data management incidents.</w:t>
      </w:r>
    </w:p>
    <w:p w:rsidR="00060901" w:rsidRPr="001921C2" w:rsidP="00060901" w14:paraId="504380B5" w14:textId="77777777">
      <w:pPr>
        <w:tabs>
          <w:tab w:val="left" w:pos="5760"/>
        </w:tabs>
        <w:ind w:left="720" w:hanging="720"/>
        <w:rPr>
          <w:rFonts w:ascii="Aptos" w:hAnsi="Aptos" w:cs="Times New Roman"/>
          <w:b/>
          <w:sz w:val="24"/>
          <w:szCs w:val="24"/>
        </w:rPr>
      </w:pPr>
      <w:r w:rsidRPr="001921C2">
        <w:rPr>
          <w:rFonts w:ascii="Aptos" w:hAnsi="Aptos" w:cs="Times New Roman"/>
          <w:b/>
          <w:sz w:val="24"/>
          <w:szCs w:val="24"/>
        </w:rPr>
        <w:t>A.7</w:t>
      </w:r>
      <w:r w:rsidRPr="001921C2">
        <w:rPr>
          <w:rFonts w:ascii="Aptos" w:hAnsi="Aptos" w:cs="Times New Roman"/>
          <w:sz w:val="24"/>
          <w:szCs w:val="24"/>
        </w:rPr>
        <w:tab/>
      </w:r>
      <w:r w:rsidRPr="001921C2">
        <w:rPr>
          <w:rFonts w:ascii="Aptos" w:hAnsi="Aptos" w:cs="Times New Roman"/>
          <w:b/>
          <w:sz w:val="24"/>
          <w:szCs w:val="24"/>
        </w:rPr>
        <w:t xml:space="preserve">Special Circumstances Relating to the Guidelines of 5 </w:t>
      </w:r>
      <w:smartTag w:uri="urn:schemas-microsoft-com:office:smarttags" w:element="stockticker">
        <w:r w:rsidRPr="001921C2">
          <w:rPr>
            <w:rFonts w:ascii="Aptos" w:hAnsi="Aptos" w:cs="Times New Roman"/>
            <w:b/>
            <w:sz w:val="24"/>
            <w:szCs w:val="24"/>
          </w:rPr>
          <w:t>CFR</w:t>
        </w:r>
      </w:smartTag>
      <w:r w:rsidRPr="001921C2">
        <w:rPr>
          <w:rFonts w:ascii="Aptos" w:hAnsi="Aptos" w:cs="Times New Roman"/>
          <w:b/>
          <w:sz w:val="24"/>
          <w:szCs w:val="24"/>
        </w:rPr>
        <w:t xml:space="preserve"> 1320.5</w:t>
      </w:r>
    </w:p>
    <w:p w:rsidR="00060901" w:rsidRPr="001921C2" w:rsidP="00060901" w14:paraId="032C2992" w14:textId="364A4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cs="Times New Roman"/>
          <w:b/>
          <w:sz w:val="24"/>
          <w:szCs w:val="24"/>
        </w:rPr>
      </w:pPr>
      <w:r w:rsidRPr="001921C2">
        <w:rPr>
          <w:rFonts w:ascii="Aptos" w:hAnsi="Aptos" w:cs="Times New Roman"/>
          <w:sz w:val="24"/>
          <w:szCs w:val="24"/>
        </w:rPr>
        <w:t xml:space="preserve">This collection fully complies with 5 CFR 1320.5.  </w:t>
      </w:r>
    </w:p>
    <w:p w:rsidR="00A71A53" w:rsidRPr="001921C2" w:rsidP="00A71A53" w14:paraId="4D8A00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ptos" w:hAnsi="Aptos" w:cs="Times New Roman"/>
          <w:sz w:val="24"/>
          <w:szCs w:val="24"/>
        </w:rPr>
      </w:pPr>
      <w:r w:rsidRPr="001921C2">
        <w:rPr>
          <w:rFonts w:ascii="Aptos" w:hAnsi="Aptos" w:cs="Times New Roman"/>
          <w:b/>
          <w:sz w:val="24"/>
          <w:szCs w:val="24"/>
        </w:rPr>
        <w:t>A.8.1</w:t>
      </w:r>
      <w:r w:rsidRPr="001921C2">
        <w:rPr>
          <w:rFonts w:ascii="Aptos" w:hAnsi="Aptos" w:cs="Times New Roman"/>
          <w:sz w:val="24"/>
          <w:szCs w:val="24"/>
        </w:rPr>
        <w:tab/>
      </w:r>
      <w:r w:rsidRPr="001921C2">
        <w:rPr>
          <w:rFonts w:ascii="Aptos" w:hAnsi="Aptos" w:cs="Times New Roman"/>
          <w:b/>
          <w:sz w:val="24"/>
          <w:szCs w:val="24"/>
        </w:rPr>
        <w:t>Comments in Response to the Federal Register Notice</w:t>
      </w:r>
    </w:p>
    <w:p w:rsidR="00A71A53" w:rsidRPr="001921C2" w:rsidP="00060901" w14:paraId="424EB2A3" w14:textId="4DB81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cs="Times New Roman"/>
          <w:sz w:val="24"/>
          <w:szCs w:val="24"/>
        </w:rPr>
      </w:pPr>
      <w:r w:rsidRPr="00AA40A5">
        <w:rPr>
          <w:rFonts w:ascii="Aptos" w:hAnsi="Aptos" w:cs="Times New Roman"/>
          <w:sz w:val="24"/>
          <w:szCs w:val="24"/>
        </w:rPr>
        <w:t xml:space="preserve">In accordance with 5 CFR 1320.8(d), the proposed information collection was published in the </w:t>
      </w:r>
      <w:r w:rsidRPr="00AA40A5">
        <w:rPr>
          <w:rFonts w:ascii="Aptos" w:hAnsi="Aptos" w:cs="Times New Roman"/>
          <w:i/>
          <w:sz w:val="24"/>
          <w:szCs w:val="24"/>
        </w:rPr>
        <w:t>Federal Register</w:t>
      </w:r>
      <w:r w:rsidRPr="00AA40A5">
        <w:rPr>
          <w:rFonts w:ascii="Aptos" w:hAnsi="Aptos" w:cs="Times New Roman"/>
          <w:sz w:val="24"/>
          <w:szCs w:val="24"/>
        </w:rPr>
        <w:t xml:space="preserve"> (FR) on </w:t>
      </w:r>
      <w:r w:rsidR="00943539">
        <w:rPr>
          <w:rFonts w:ascii="Aptos" w:hAnsi="Aptos" w:cs="Times New Roman"/>
          <w:sz w:val="24"/>
          <w:szCs w:val="24"/>
        </w:rPr>
        <w:t>July 8, 2025</w:t>
      </w:r>
      <w:r w:rsidRPr="00AA40A5">
        <w:rPr>
          <w:rFonts w:ascii="Aptos" w:hAnsi="Aptos" w:cs="Times New Roman"/>
          <w:sz w:val="24"/>
          <w:szCs w:val="24"/>
        </w:rPr>
        <w:t>, (</w:t>
      </w:r>
      <w:r w:rsidRPr="00943539" w:rsidR="00943539">
        <w:rPr>
          <w:rFonts w:ascii="Aptos" w:hAnsi="Aptos" w:cs="Times New Roman"/>
          <w:sz w:val="24"/>
          <w:szCs w:val="24"/>
        </w:rPr>
        <w:t>90 FR 30073</w:t>
      </w:r>
      <w:r w:rsidRPr="00AA40A5">
        <w:rPr>
          <w:rFonts w:ascii="Aptos" w:hAnsi="Aptos" w:cs="Times New Roman"/>
          <w:sz w:val="24"/>
          <w:szCs w:val="24"/>
        </w:rPr>
        <w:t>) and allowed 60 days for public comment.</w:t>
      </w:r>
      <w:r w:rsidR="00943539">
        <w:rPr>
          <w:rFonts w:ascii="Aptos" w:hAnsi="Aptos" w:cs="Times New Roman"/>
          <w:sz w:val="24"/>
          <w:szCs w:val="24"/>
        </w:rPr>
        <w:t xml:space="preserve"> No comments were received</w:t>
      </w:r>
      <w:r w:rsidR="00196F9E">
        <w:rPr>
          <w:rFonts w:ascii="Aptos" w:hAnsi="Aptos" w:cs="Times New Roman"/>
          <w:sz w:val="24"/>
          <w:szCs w:val="24"/>
        </w:rPr>
        <w:t>.</w:t>
      </w:r>
      <w:r w:rsidRPr="001921C2">
        <w:rPr>
          <w:rFonts w:ascii="Aptos" w:hAnsi="Aptos" w:cs="Times New Roman"/>
          <w:sz w:val="24"/>
          <w:szCs w:val="24"/>
        </w:rPr>
        <w:t xml:space="preserve"> </w:t>
      </w:r>
    </w:p>
    <w:p w:rsidR="00A71A53" w:rsidRPr="001921C2" w:rsidP="00A71A53" w14:paraId="6027E716" w14:textId="77777777">
      <w:pPr>
        <w:spacing w:after="200" w:line="276" w:lineRule="auto"/>
        <w:ind w:left="720" w:hanging="720"/>
        <w:rPr>
          <w:rFonts w:ascii="Aptos" w:eastAsia="Calibri" w:hAnsi="Aptos" w:cs="Times New Roman"/>
          <w:sz w:val="24"/>
          <w:szCs w:val="24"/>
        </w:rPr>
      </w:pPr>
      <w:r w:rsidRPr="001921C2">
        <w:rPr>
          <w:rFonts w:ascii="Aptos" w:eastAsia="Calibri" w:hAnsi="Aptos" w:cs="Times New Roman"/>
          <w:b/>
          <w:sz w:val="24"/>
          <w:szCs w:val="24"/>
        </w:rPr>
        <w:t>A.8.2</w:t>
      </w:r>
      <w:r w:rsidRPr="001921C2">
        <w:rPr>
          <w:rFonts w:ascii="Aptos" w:eastAsia="Calibri" w:hAnsi="Aptos" w:cs="Times New Roman"/>
          <w:sz w:val="24"/>
          <w:szCs w:val="24"/>
        </w:rPr>
        <w:tab/>
      </w:r>
      <w:r w:rsidRPr="001921C2">
        <w:rPr>
          <w:rFonts w:ascii="Aptos" w:eastAsia="Calibri" w:hAnsi="Aptos" w:cs="Times New Roman"/>
          <w:b/>
          <w:sz w:val="24"/>
          <w:szCs w:val="24"/>
        </w:rPr>
        <w:t>Efforts to Consult Outside Agency</w:t>
      </w:r>
    </w:p>
    <w:p w:rsidR="00EE06CE" w:rsidRPr="001921C2" w:rsidP="00A71A53" w14:paraId="2A3F49C3" w14:textId="6F6B161E">
      <w:pPr>
        <w:rPr>
          <w:rFonts w:ascii="Aptos" w:eastAsia="Calibri" w:hAnsi="Aptos" w:cs="Times New Roman"/>
          <w:sz w:val="24"/>
          <w:szCs w:val="24"/>
        </w:rPr>
      </w:pPr>
      <w:r w:rsidRPr="001921C2">
        <w:rPr>
          <w:rFonts w:ascii="Aptos" w:eastAsia="Calibri" w:hAnsi="Aptos" w:cs="Times New Roman"/>
          <w:sz w:val="24"/>
          <w:szCs w:val="24"/>
        </w:rPr>
        <w:t xml:space="preserve">Not applicable </w:t>
      </w:r>
      <w:r w:rsidRPr="001921C2">
        <w:rPr>
          <w:rFonts w:ascii="Aptos" w:eastAsia="Calibri" w:hAnsi="Aptos" w:cs="Times New Roman"/>
          <w:sz w:val="24"/>
          <w:szCs w:val="24"/>
        </w:rPr>
        <w:t>at this time</w:t>
      </w:r>
      <w:r w:rsidRPr="001921C2">
        <w:rPr>
          <w:rFonts w:ascii="Aptos" w:eastAsia="Calibri" w:hAnsi="Aptos" w:cs="Times New Roman"/>
          <w:sz w:val="24"/>
          <w:szCs w:val="24"/>
        </w:rPr>
        <w:t>.</w:t>
      </w:r>
    </w:p>
    <w:p w:rsidR="00E52124" w:rsidRPr="001921C2" w:rsidP="00E52124" w14:paraId="0B2C35E9" w14:textId="77777777">
      <w:pPr>
        <w:rPr>
          <w:rFonts w:ascii="Aptos" w:hAnsi="Aptos" w:cs="Times New Roman"/>
          <w:b/>
          <w:sz w:val="24"/>
          <w:szCs w:val="24"/>
        </w:rPr>
      </w:pPr>
      <w:r w:rsidRPr="001921C2">
        <w:rPr>
          <w:rFonts w:ascii="Aptos" w:hAnsi="Aptos" w:cs="Times New Roman"/>
          <w:b/>
          <w:sz w:val="24"/>
          <w:szCs w:val="24"/>
        </w:rPr>
        <w:t>A.9</w:t>
      </w:r>
      <w:r w:rsidRPr="001921C2">
        <w:rPr>
          <w:rFonts w:ascii="Aptos" w:hAnsi="Aptos" w:cs="Times New Roman"/>
          <w:b/>
          <w:sz w:val="24"/>
          <w:szCs w:val="24"/>
        </w:rPr>
        <w:tab/>
        <w:t>Explanation of Any Payment of Gift to Respondents</w:t>
      </w:r>
    </w:p>
    <w:p w:rsidR="00E52124" w:rsidRPr="001921C2" w:rsidP="00E52124" w14:paraId="3A1CD90D" w14:textId="0E269A11">
      <w:pPr>
        <w:rPr>
          <w:rFonts w:ascii="Aptos" w:hAnsi="Aptos" w:cs="Times New Roman"/>
          <w:sz w:val="24"/>
          <w:szCs w:val="24"/>
        </w:rPr>
      </w:pPr>
      <w:r w:rsidRPr="001921C2">
        <w:rPr>
          <w:rFonts w:ascii="Aptos" w:hAnsi="Aptos" w:cs="Times New Roman"/>
          <w:sz w:val="24"/>
          <w:szCs w:val="24"/>
        </w:rPr>
        <w:t xml:space="preserve">No gifts or payments are to be offered in </w:t>
      </w:r>
      <w:r w:rsidR="00581D6C">
        <w:rPr>
          <w:rFonts w:ascii="Aptos" w:hAnsi="Aptos" w:cs="Times New Roman"/>
          <w:sz w:val="24"/>
          <w:szCs w:val="24"/>
        </w:rPr>
        <w:t>relation</w:t>
      </w:r>
      <w:r w:rsidRPr="001921C2" w:rsidR="00581D6C">
        <w:rPr>
          <w:rFonts w:ascii="Aptos" w:hAnsi="Aptos" w:cs="Times New Roman"/>
          <w:sz w:val="24"/>
          <w:szCs w:val="24"/>
        </w:rPr>
        <w:t xml:space="preserve"> </w:t>
      </w:r>
      <w:r w:rsidRPr="001921C2">
        <w:rPr>
          <w:rFonts w:ascii="Aptos" w:hAnsi="Aptos" w:cs="Times New Roman"/>
          <w:sz w:val="24"/>
          <w:szCs w:val="24"/>
        </w:rPr>
        <w:t xml:space="preserve">to this information collection. </w:t>
      </w:r>
    </w:p>
    <w:p w:rsidR="00E52124" w:rsidRPr="001921C2" w:rsidP="00E52124" w14:paraId="7FBFA468" w14:textId="77777777">
      <w:pPr>
        <w:rPr>
          <w:rFonts w:ascii="Aptos" w:hAnsi="Aptos" w:cs="Times New Roman"/>
          <w:b/>
          <w:sz w:val="24"/>
          <w:szCs w:val="24"/>
        </w:rPr>
      </w:pPr>
      <w:r w:rsidRPr="001921C2">
        <w:rPr>
          <w:rFonts w:ascii="Aptos" w:hAnsi="Aptos" w:cs="Times New Roman"/>
          <w:b/>
          <w:sz w:val="24"/>
          <w:szCs w:val="24"/>
        </w:rPr>
        <w:t>A.10</w:t>
      </w:r>
      <w:r w:rsidRPr="001921C2">
        <w:rPr>
          <w:rFonts w:ascii="Aptos" w:hAnsi="Aptos" w:cs="Times New Roman"/>
          <w:b/>
          <w:sz w:val="24"/>
          <w:szCs w:val="24"/>
        </w:rPr>
        <w:tab/>
        <w:t>Assurance of Confidentiality Provided to Respondents</w:t>
      </w:r>
    </w:p>
    <w:p w:rsidR="00E52124" w:rsidRPr="001921C2" w:rsidP="00E52124" w14:paraId="76131E11" w14:textId="560E99A5">
      <w:pPr>
        <w:rPr>
          <w:rFonts w:ascii="Aptos" w:hAnsi="Aptos" w:cs="Times New Roman"/>
          <w:sz w:val="24"/>
          <w:szCs w:val="24"/>
        </w:rPr>
      </w:pPr>
      <w:r w:rsidRPr="001921C2">
        <w:rPr>
          <w:rFonts w:ascii="Aptos" w:hAnsi="Aptos" w:cs="Times New Roman"/>
          <w:sz w:val="24"/>
          <w:szCs w:val="24"/>
        </w:rPr>
        <w:t xml:space="preserve">The names and institutional affiliations of the respondents (both data submitters and data requesters) will be posted publicly on the </w:t>
      </w:r>
      <w:r w:rsidRPr="001921C2">
        <w:rPr>
          <w:rFonts w:ascii="Aptos" w:hAnsi="Aptos" w:cs="Times New Roman"/>
          <w:sz w:val="24"/>
          <w:szCs w:val="24"/>
        </w:rPr>
        <w:t>dbGaP</w:t>
      </w:r>
      <w:r w:rsidRPr="001921C2">
        <w:rPr>
          <w:rFonts w:ascii="Aptos" w:hAnsi="Aptos" w:cs="Times New Roman"/>
          <w:sz w:val="24"/>
          <w:szCs w:val="24"/>
        </w:rPr>
        <w:t xml:space="preserve"> website, and thus there is no assurance of confidentiality afforded to the respondents. However, </w:t>
      </w:r>
      <w:r w:rsidR="008D395F">
        <w:rPr>
          <w:rFonts w:ascii="Aptos" w:hAnsi="Aptos" w:cs="Times New Roman"/>
          <w:sz w:val="24"/>
          <w:szCs w:val="24"/>
        </w:rPr>
        <w:t>NIH requests</w:t>
      </w:r>
      <w:r w:rsidRPr="001921C2">
        <w:rPr>
          <w:rFonts w:ascii="Aptos" w:hAnsi="Aptos" w:cs="Times New Roman"/>
          <w:sz w:val="24"/>
          <w:szCs w:val="24"/>
        </w:rPr>
        <w:t xml:space="preserve"> no </w:t>
      </w:r>
      <w:r w:rsidR="008D395F">
        <w:rPr>
          <w:rFonts w:ascii="Aptos" w:hAnsi="Aptos" w:cs="Times New Roman"/>
          <w:sz w:val="24"/>
          <w:szCs w:val="24"/>
        </w:rPr>
        <w:t xml:space="preserve">additional </w:t>
      </w:r>
      <w:r w:rsidRPr="001921C2">
        <w:rPr>
          <w:rFonts w:ascii="Aptos" w:hAnsi="Aptos" w:cs="Times New Roman"/>
          <w:sz w:val="24"/>
          <w:szCs w:val="24"/>
        </w:rPr>
        <w:t xml:space="preserve">personal information beyond </w:t>
      </w:r>
      <w:r w:rsidR="00035F9F">
        <w:rPr>
          <w:rFonts w:ascii="Aptos" w:hAnsi="Aptos" w:cs="Times New Roman"/>
          <w:sz w:val="24"/>
          <w:szCs w:val="24"/>
        </w:rPr>
        <w:t>respondents</w:t>
      </w:r>
      <w:r w:rsidR="006463A0">
        <w:rPr>
          <w:rFonts w:ascii="Aptos" w:hAnsi="Aptos" w:cs="Times New Roman"/>
          <w:sz w:val="24"/>
          <w:szCs w:val="24"/>
        </w:rPr>
        <w:t>’</w:t>
      </w:r>
      <w:r w:rsidRPr="001921C2" w:rsidR="006463A0">
        <w:rPr>
          <w:rFonts w:ascii="Aptos" w:hAnsi="Aptos" w:cs="Times New Roman"/>
          <w:sz w:val="24"/>
          <w:szCs w:val="24"/>
        </w:rPr>
        <w:t xml:space="preserve"> </w:t>
      </w:r>
      <w:r w:rsidRPr="001921C2">
        <w:rPr>
          <w:rFonts w:ascii="Aptos" w:hAnsi="Aptos" w:cs="Times New Roman"/>
          <w:sz w:val="24"/>
          <w:szCs w:val="24"/>
        </w:rPr>
        <w:t>name</w:t>
      </w:r>
      <w:r w:rsidR="006463A0">
        <w:rPr>
          <w:rFonts w:ascii="Aptos" w:hAnsi="Aptos" w:cs="Times New Roman"/>
          <w:sz w:val="24"/>
          <w:szCs w:val="24"/>
        </w:rPr>
        <w:t>s</w:t>
      </w:r>
      <w:r w:rsidRPr="001921C2">
        <w:rPr>
          <w:rFonts w:ascii="Aptos" w:hAnsi="Aptos" w:cs="Times New Roman"/>
          <w:sz w:val="24"/>
          <w:szCs w:val="24"/>
        </w:rPr>
        <w:t xml:space="preserve"> and institutional affiliation</w:t>
      </w:r>
      <w:r w:rsidR="006463A0">
        <w:rPr>
          <w:rFonts w:ascii="Aptos" w:hAnsi="Aptos" w:cs="Times New Roman"/>
          <w:sz w:val="24"/>
          <w:szCs w:val="24"/>
        </w:rPr>
        <w:t>s</w:t>
      </w:r>
      <w:r w:rsidRPr="001921C2">
        <w:rPr>
          <w:rFonts w:ascii="Aptos" w:hAnsi="Aptos" w:cs="Times New Roman"/>
          <w:sz w:val="24"/>
          <w:szCs w:val="24"/>
        </w:rPr>
        <w:t xml:space="preserve">. </w:t>
      </w:r>
      <w:r w:rsidR="00B21CF8">
        <w:rPr>
          <w:rFonts w:ascii="Aptos" w:hAnsi="Aptos" w:cs="Times New Roman"/>
          <w:sz w:val="24"/>
          <w:szCs w:val="24"/>
        </w:rPr>
        <w:t xml:space="preserve">Further, </w:t>
      </w:r>
      <w:r w:rsidR="00577D6B">
        <w:rPr>
          <w:rFonts w:ascii="Aptos" w:hAnsi="Aptos" w:cs="Times New Roman"/>
          <w:sz w:val="24"/>
          <w:szCs w:val="24"/>
        </w:rPr>
        <w:t xml:space="preserve">most </w:t>
      </w:r>
      <w:r w:rsidR="00B21CF8">
        <w:rPr>
          <w:rFonts w:ascii="Aptos" w:hAnsi="Aptos" w:cs="Times New Roman"/>
          <w:sz w:val="24"/>
          <w:szCs w:val="24"/>
        </w:rPr>
        <w:t>dbGaP</w:t>
      </w:r>
      <w:r w:rsidR="00B21CF8">
        <w:rPr>
          <w:rFonts w:ascii="Aptos" w:hAnsi="Aptos" w:cs="Times New Roman"/>
          <w:sz w:val="24"/>
          <w:szCs w:val="24"/>
        </w:rPr>
        <w:t xml:space="preserve"> data s</w:t>
      </w:r>
      <w:r w:rsidRPr="001921C2">
        <w:rPr>
          <w:rFonts w:ascii="Aptos" w:hAnsi="Aptos" w:cs="Times New Roman"/>
          <w:sz w:val="24"/>
          <w:szCs w:val="24"/>
        </w:rPr>
        <w:t xml:space="preserve">ubmitters </w:t>
      </w:r>
      <w:r w:rsidR="00577D6B">
        <w:rPr>
          <w:rFonts w:ascii="Aptos" w:hAnsi="Aptos" w:cs="Times New Roman"/>
          <w:sz w:val="24"/>
          <w:szCs w:val="24"/>
        </w:rPr>
        <w:t xml:space="preserve">and many </w:t>
      </w:r>
      <w:r w:rsidR="00927D8A">
        <w:rPr>
          <w:rFonts w:ascii="Aptos" w:hAnsi="Aptos" w:cs="Times New Roman"/>
          <w:sz w:val="24"/>
          <w:szCs w:val="24"/>
        </w:rPr>
        <w:t>dbGaP</w:t>
      </w:r>
      <w:r w:rsidR="00927D8A">
        <w:rPr>
          <w:rFonts w:ascii="Aptos" w:hAnsi="Aptos" w:cs="Times New Roman"/>
          <w:sz w:val="24"/>
          <w:szCs w:val="24"/>
        </w:rPr>
        <w:t xml:space="preserve"> data requesters </w:t>
      </w:r>
      <w:r w:rsidRPr="001921C2">
        <w:rPr>
          <w:rFonts w:ascii="Aptos" w:hAnsi="Aptos" w:cs="Times New Roman"/>
          <w:sz w:val="24"/>
          <w:szCs w:val="24"/>
        </w:rPr>
        <w:t>are NIH-funded investigators whose names and institutional affiliations are already a matter of public record</w:t>
      </w:r>
      <w:r w:rsidR="0028251B">
        <w:rPr>
          <w:rFonts w:ascii="Aptos" w:hAnsi="Aptos" w:cs="Times New Roman"/>
          <w:sz w:val="24"/>
          <w:szCs w:val="24"/>
        </w:rPr>
        <w:t>.</w:t>
      </w:r>
      <w:r w:rsidRPr="001921C2">
        <w:rPr>
          <w:rFonts w:ascii="Aptos" w:hAnsi="Aptos" w:cs="Times New Roman"/>
          <w:sz w:val="24"/>
          <w:szCs w:val="24"/>
        </w:rPr>
        <w:t xml:space="preserve"> (</w:t>
      </w:r>
      <w:r w:rsidR="0028251B">
        <w:rPr>
          <w:rFonts w:ascii="Aptos" w:hAnsi="Aptos" w:cs="Times New Roman"/>
          <w:sz w:val="24"/>
          <w:szCs w:val="24"/>
        </w:rPr>
        <w:t>S</w:t>
      </w:r>
      <w:r w:rsidRPr="001921C2">
        <w:rPr>
          <w:rFonts w:ascii="Aptos" w:hAnsi="Aptos" w:cs="Times New Roman"/>
          <w:sz w:val="24"/>
          <w:szCs w:val="24"/>
        </w:rPr>
        <w:t xml:space="preserve">ee </w:t>
      </w:r>
      <w:hyperlink r:id="rId13" w:history="1">
        <w:r w:rsidRPr="001921C2">
          <w:rPr>
            <w:rStyle w:val="Hyperlink"/>
            <w:rFonts w:ascii="Aptos" w:hAnsi="Aptos" w:cs="Times New Roman"/>
            <w:sz w:val="24"/>
            <w:szCs w:val="24"/>
          </w:rPr>
          <w:t>http://projectreporter.nih.gov/reporter.cfm</w:t>
        </w:r>
      </w:hyperlink>
      <w:r w:rsidRPr="009A7DDD" w:rsidR="0028251B">
        <w:rPr>
          <w:rStyle w:val="Hyperlink"/>
          <w:rFonts w:ascii="Aptos" w:hAnsi="Aptos" w:cs="Times New Roman"/>
          <w:color w:val="auto"/>
          <w:sz w:val="24"/>
          <w:szCs w:val="24"/>
          <w:u w:val="none"/>
        </w:rPr>
        <w:t>.</w:t>
      </w:r>
      <w:r w:rsidRPr="001921C2">
        <w:rPr>
          <w:rFonts w:ascii="Aptos" w:hAnsi="Aptos" w:cs="Times New Roman"/>
          <w:sz w:val="24"/>
          <w:szCs w:val="24"/>
        </w:rPr>
        <w:t xml:space="preserve">) Making </w:t>
      </w:r>
      <w:r w:rsidR="0028251B">
        <w:rPr>
          <w:rFonts w:ascii="Aptos" w:hAnsi="Aptos" w:cs="Times New Roman"/>
          <w:sz w:val="24"/>
          <w:szCs w:val="24"/>
        </w:rPr>
        <w:t xml:space="preserve">these details about </w:t>
      </w:r>
      <w:r w:rsidR="00E426A9">
        <w:rPr>
          <w:rFonts w:ascii="Aptos" w:hAnsi="Aptos" w:cs="Times New Roman"/>
          <w:sz w:val="24"/>
          <w:szCs w:val="24"/>
        </w:rPr>
        <w:t>Submitting Investigators and PIs who seek access to data</w:t>
      </w:r>
      <w:r w:rsidRPr="001921C2" w:rsidR="00B81F49">
        <w:rPr>
          <w:rFonts w:ascii="Aptos" w:hAnsi="Aptos" w:cs="Times New Roman"/>
          <w:sz w:val="24"/>
          <w:szCs w:val="24"/>
        </w:rPr>
        <w:t xml:space="preserve"> </w:t>
      </w:r>
      <w:r w:rsidRPr="001921C2">
        <w:rPr>
          <w:rFonts w:ascii="Aptos" w:hAnsi="Aptos" w:cs="Times New Roman"/>
          <w:sz w:val="24"/>
          <w:szCs w:val="24"/>
        </w:rPr>
        <w:t>publicly available is an important ethical underpinning of the NIH GDS Policy</w:t>
      </w:r>
      <w:r w:rsidR="0057614F">
        <w:rPr>
          <w:rFonts w:ascii="Aptos" w:hAnsi="Aptos" w:cs="Times New Roman"/>
          <w:sz w:val="24"/>
          <w:szCs w:val="24"/>
        </w:rPr>
        <w:t>.</w:t>
      </w:r>
      <w:r w:rsidR="00164591">
        <w:rPr>
          <w:rFonts w:ascii="Aptos" w:hAnsi="Aptos" w:cs="Times New Roman"/>
          <w:sz w:val="24"/>
          <w:szCs w:val="24"/>
        </w:rPr>
        <w:t xml:space="preserve"> </w:t>
      </w:r>
      <w:r w:rsidR="00B52697">
        <w:rPr>
          <w:rFonts w:ascii="Aptos" w:hAnsi="Aptos" w:cs="Times New Roman"/>
          <w:sz w:val="24"/>
          <w:szCs w:val="24"/>
        </w:rPr>
        <w:t>Doing so</w:t>
      </w:r>
      <w:r w:rsidRPr="001921C2">
        <w:rPr>
          <w:rFonts w:ascii="Aptos" w:hAnsi="Aptos" w:cs="Times New Roman"/>
          <w:sz w:val="24"/>
          <w:szCs w:val="24"/>
        </w:rPr>
        <w:t xml:space="preserve"> allows NIH to </w:t>
      </w:r>
      <w:r w:rsidR="003E537D">
        <w:rPr>
          <w:rFonts w:ascii="Aptos" w:hAnsi="Aptos" w:cs="Times New Roman"/>
          <w:sz w:val="24"/>
          <w:szCs w:val="24"/>
        </w:rPr>
        <w:t>transparently</w:t>
      </w:r>
      <w:r w:rsidR="00164591">
        <w:rPr>
          <w:rFonts w:ascii="Aptos" w:hAnsi="Aptos" w:cs="Times New Roman"/>
          <w:sz w:val="24"/>
          <w:szCs w:val="24"/>
        </w:rPr>
        <w:t xml:space="preserve"> inform</w:t>
      </w:r>
      <w:r w:rsidRPr="001921C2">
        <w:rPr>
          <w:rFonts w:ascii="Aptos" w:hAnsi="Aptos" w:cs="Times New Roman"/>
          <w:sz w:val="24"/>
          <w:szCs w:val="24"/>
        </w:rPr>
        <w:t xml:space="preserve"> research participants, the scientific community, and the </w:t>
      </w:r>
      <w:r w:rsidRPr="001921C2">
        <w:rPr>
          <w:rFonts w:ascii="Aptos" w:hAnsi="Aptos" w:cs="Times New Roman"/>
          <w:sz w:val="24"/>
          <w:szCs w:val="24"/>
        </w:rPr>
        <w:t>general public</w:t>
      </w:r>
      <w:r w:rsidRPr="001921C2">
        <w:rPr>
          <w:rFonts w:ascii="Aptos" w:hAnsi="Aptos" w:cs="Times New Roman"/>
          <w:sz w:val="24"/>
          <w:szCs w:val="24"/>
        </w:rPr>
        <w:t xml:space="preserve"> </w:t>
      </w:r>
      <w:r w:rsidR="0057614F">
        <w:rPr>
          <w:rFonts w:ascii="Aptos" w:hAnsi="Aptos" w:cs="Times New Roman"/>
          <w:sz w:val="24"/>
          <w:szCs w:val="24"/>
        </w:rPr>
        <w:t>of</w:t>
      </w:r>
      <w:r w:rsidRPr="001921C2" w:rsidR="0057614F">
        <w:rPr>
          <w:rFonts w:ascii="Aptos" w:hAnsi="Aptos" w:cs="Times New Roman"/>
          <w:sz w:val="24"/>
          <w:szCs w:val="24"/>
        </w:rPr>
        <w:t xml:space="preserve"> </w:t>
      </w:r>
      <w:r w:rsidRPr="001921C2">
        <w:rPr>
          <w:rFonts w:ascii="Aptos" w:hAnsi="Aptos" w:cs="Times New Roman"/>
          <w:sz w:val="24"/>
          <w:szCs w:val="24"/>
        </w:rPr>
        <w:t xml:space="preserve">how genomic </w:t>
      </w:r>
      <w:r w:rsidR="00EF5074">
        <w:rPr>
          <w:rFonts w:ascii="Aptos" w:hAnsi="Aptos" w:cs="Times New Roman"/>
          <w:sz w:val="24"/>
          <w:szCs w:val="24"/>
        </w:rPr>
        <w:t xml:space="preserve">and associated </w:t>
      </w:r>
      <w:r w:rsidRPr="001921C2">
        <w:rPr>
          <w:rFonts w:ascii="Aptos" w:hAnsi="Aptos" w:cs="Times New Roman"/>
          <w:sz w:val="24"/>
          <w:szCs w:val="24"/>
        </w:rPr>
        <w:t>data are being shared, with whom, and for what research purpose</w:t>
      </w:r>
      <w:r w:rsidR="00E03EBC">
        <w:rPr>
          <w:rFonts w:ascii="Aptos" w:hAnsi="Aptos" w:cs="Times New Roman"/>
          <w:sz w:val="24"/>
          <w:szCs w:val="24"/>
        </w:rPr>
        <w:t>s</w:t>
      </w:r>
      <w:r w:rsidR="00734F5A">
        <w:rPr>
          <w:rFonts w:ascii="Aptos" w:hAnsi="Aptos" w:cs="Times New Roman"/>
          <w:sz w:val="24"/>
          <w:szCs w:val="24"/>
        </w:rPr>
        <w:t>—</w:t>
      </w:r>
      <w:r w:rsidRPr="001921C2">
        <w:rPr>
          <w:rFonts w:ascii="Aptos" w:hAnsi="Aptos" w:cs="Times New Roman"/>
          <w:sz w:val="24"/>
          <w:szCs w:val="24"/>
        </w:rPr>
        <w:t xml:space="preserve">in addition to helping to foster future research collaborations. </w:t>
      </w:r>
    </w:p>
    <w:p w:rsidR="00E52124" w:rsidP="00E52124" w14:paraId="56756EC8" w14:textId="0531236F">
      <w:pPr>
        <w:rPr>
          <w:rFonts w:ascii="Aptos" w:hAnsi="Aptos" w:cs="Times New Roman"/>
          <w:sz w:val="24"/>
          <w:szCs w:val="24"/>
        </w:rPr>
      </w:pPr>
      <w:r w:rsidRPr="002A2990">
        <w:rPr>
          <w:rFonts w:ascii="Aptos" w:hAnsi="Aptos" w:cs="Times New Roman"/>
          <w:sz w:val="24"/>
          <w:szCs w:val="24"/>
        </w:rPr>
        <w:t>This</w:t>
      </w:r>
      <w:r>
        <w:rPr>
          <w:rFonts w:ascii="Aptos" w:hAnsi="Aptos" w:cs="Times New Roman"/>
          <w:sz w:val="24"/>
          <w:szCs w:val="24"/>
        </w:rPr>
        <w:t xml:space="preserve"> data collection is covered by the following Privacy Act System of Records:</w:t>
      </w:r>
    </w:p>
    <w:p w:rsidR="00AD0CAF" w:rsidP="00AD0CAF" w14:paraId="57CD5375" w14:textId="3E22E070">
      <w:pPr>
        <w:pStyle w:val="ListParagraph"/>
        <w:numPr>
          <w:ilvl w:val="0"/>
          <w:numId w:val="5"/>
        </w:numPr>
        <w:rPr>
          <w:rFonts w:ascii="Aptos" w:hAnsi="Aptos" w:cs="Times New Roman"/>
          <w:sz w:val="24"/>
          <w:szCs w:val="24"/>
        </w:rPr>
      </w:pPr>
      <w:r>
        <w:rPr>
          <w:rFonts w:ascii="Aptos" w:hAnsi="Aptos" w:cs="Times New Roman"/>
          <w:sz w:val="24"/>
          <w:szCs w:val="24"/>
        </w:rPr>
        <w:t xml:space="preserve">09-90-0777, Facility and Resource Access Control </w:t>
      </w:r>
      <w:r>
        <w:rPr>
          <w:rFonts w:ascii="Aptos" w:hAnsi="Aptos" w:cs="Times New Roman"/>
          <w:sz w:val="24"/>
          <w:szCs w:val="24"/>
        </w:rPr>
        <w:t>Records</w:t>
      </w:r>
      <w:r w:rsidR="0031749D">
        <w:rPr>
          <w:rFonts w:ascii="Aptos" w:hAnsi="Aptos" w:cs="Times New Roman"/>
          <w:sz w:val="24"/>
          <w:szCs w:val="24"/>
        </w:rPr>
        <w:t>;</w:t>
      </w:r>
    </w:p>
    <w:p w:rsidR="00C27E25" w:rsidRPr="002A2990" w:rsidP="002A2990" w14:paraId="33B19339" w14:textId="0F4F76FE">
      <w:pPr>
        <w:pStyle w:val="ListParagraph"/>
        <w:numPr>
          <w:ilvl w:val="0"/>
          <w:numId w:val="5"/>
        </w:numPr>
        <w:rPr>
          <w:rFonts w:ascii="Aptos" w:hAnsi="Aptos" w:cs="Times New Roman"/>
          <w:sz w:val="24"/>
          <w:szCs w:val="24"/>
        </w:rPr>
      </w:pPr>
      <w:r>
        <w:rPr>
          <w:rFonts w:ascii="Aptos" w:hAnsi="Aptos" w:cs="Times New Roman"/>
          <w:sz w:val="24"/>
          <w:szCs w:val="24"/>
        </w:rPr>
        <w:t>09-2</w:t>
      </w:r>
      <w:r w:rsidR="00BA0879">
        <w:rPr>
          <w:rFonts w:ascii="Aptos" w:hAnsi="Aptos" w:cs="Times New Roman"/>
          <w:sz w:val="24"/>
          <w:szCs w:val="24"/>
        </w:rPr>
        <w:t>5-0200, 09-25-0</w:t>
      </w:r>
      <w:r w:rsidR="004009C4">
        <w:rPr>
          <w:rFonts w:ascii="Aptos" w:hAnsi="Aptos" w:cs="Times New Roman"/>
          <w:sz w:val="24"/>
          <w:szCs w:val="24"/>
        </w:rPr>
        <w:t>200 Clinical, Basic, and Population-based Research Studies of the National Institutes of Health (NIH)</w:t>
      </w:r>
      <w:r w:rsidR="0031749D">
        <w:rPr>
          <w:rFonts w:ascii="Aptos" w:hAnsi="Aptos" w:cs="Times New Roman"/>
          <w:sz w:val="24"/>
          <w:szCs w:val="24"/>
        </w:rPr>
        <w:t>.</w:t>
      </w:r>
    </w:p>
    <w:p w:rsidR="002B32F9" w:rsidRPr="001921C2" w:rsidP="002B32F9" w14:paraId="36212B1B" w14:textId="77777777">
      <w:pPr>
        <w:rPr>
          <w:rFonts w:ascii="Aptos" w:hAnsi="Aptos" w:cs="Times New Roman"/>
          <w:b/>
          <w:sz w:val="24"/>
          <w:szCs w:val="24"/>
        </w:rPr>
      </w:pPr>
      <w:r w:rsidRPr="001921C2">
        <w:rPr>
          <w:rFonts w:ascii="Aptos" w:hAnsi="Aptos" w:cs="Times New Roman"/>
          <w:b/>
          <w:sz w:val="24"/>
          <w:szCs w:val="24"/>
        </w:rPr>
        <w:t>A.11</w:t>
      </w:r>
      <w:r w:rsidRPr="001921C2">
        <w:rPr>
          <w:rFonts w:ascii="Aptos" w:hAnsi="Aptos" w:cs="Times New Roman"/>
          <w:b/>
          <w:sz w:val="24"/>
          <w:szCs w:val="24"/>
        </w:rPr>
        <w:tab/>
        <w:t>Justification for Sensitive Questions</w:t>
      </w:r>
    </w:p>
    <w:p w:rsidR="002B32F9" w:rsidRPr="001921C2" w:rsidP="002B32F9" w14:paraId="317F7271" w14:textId="77777777">
      <w:pPr>
        <w:rPr>
          <w:rFonts w:ascii="Aptos" w:hAnsi="Aptos" w:cs="Times New Roman"/>
          <w:sz w:val="24"/>
          <w:szCs w:val="24"/>
        </w:rPr>
      </w:pPr>
      <w:r w:rsidRPr="001921C2">
        <w:rPr>
          <w:rFonts w:ascii="Aptos" w:hAnsi="Aptos" w:cs="Times New Roman"/>
          <w:sz w:val="24"/>
          <w:szCs w:val="24"/>
        </w:rPr>
        <w:t>No questions of a sensitive nature are included in this data collection.</w:t>
      </w:r>
    </w:p>
    <w:p w:rsidR="00562D19" w:rsidRPr="001921C2" w:rsidP="00562D19" w14:paraId="04A00A4C" w14:textId="77777777">
      <w:pPr>
        <w:rPr>
          <w:rFonts w:ascii="Aptos" w:hAnsi="Aptos" w:cs="Times New Roman"/>
          <w:b/>
          <w:sz w:val="24"/>
          <w:szCs w:val="24"/>
        </w:rPr>
      </w:pPr>
      <w:r w:rsidRPr="001921C2">
        <w:rPr>
          <w:rFonts w:ascii="Aptos" w:hAnsi="Aptos" w:cs="Times New Roman"/>
          <w:b/>
          <w:sz w:val="24"/>
          <w:szCs w:val="24"/>
        </w:rPr>
        <w:t>A.12.1</w:t>
      </w:r>
      <w:r w:rsidRPr="001921C2">
        <w:rPr>
          <w:rFonts w:ascii="Aptos" w:hAnsi="Aptos" w:cs="Times New Roman"/>
          <w:b/>
          <w:sz w:val="24"/>
          <w:szCs w:val="24"/>
        </w:rPr>
        <w:tab/>
        <w:t>Estimated Annualized Burden Hours</w:t>
      </w:r>
    </w:p>
    <w:p w:rsidR="00E92C30" w:rsidP="00562D19" w14:paraId="775DDBB6" w14:textId="7F29621E">
      <w:pPr>
        <w:rPr>
          <w:rFonts w:ascii="Aptos" w:hAnsi="Aptos" w:cs="Times New Roman"/>
          <w:sz w:val="24"/>
          <w:szCs w:val="24"/>
        </w:rPr>
      </w:pPr>
      <w:r w:rsidRPr="001921C2">
        <w:rPr>
          <w:rFonts w:ascii="Aptos" w:hAnsi="Aptos" w:cs="Times New Roman"/>
          <w:sz w:val="24"/>
          <w:szCs w:val="24"/>
        </w:rPr>
        <w:t xml:space="preserve">The burden associated with this information collection is calculated in </w:t>
      </w:r>
      <w:r w:rsidR="00C06CD7">
        <w:rPr>
          <w:rFonts w:ascii="Aptos" w:hAnsi="Aptos" w:cs="Times New Roman"/>
          <w:sz w:val="24"/>
          <w:szCs w:val="24"/>
        </w:rPr>
        <w:t>two</w:t>
      </w:r>
      <w:r w:rsidRPr="001921C2" w:rsidR="00C06CD7">
        <w:rPr>
          <w:rFonts w:ascii="Aptos" w:hAnsi="Aptos" w:cs="Times New Roman"/>
          <w:sz w:val="24"/>
          <w:szCs w:val="24"/>
        </w:rPr>
        <w:t xml:space="preserve"> </w:t>
      </w:r>
      <w:r w:rsidRPr="001921C2">
        <w:rPr>
          <w:rFonts w:ascii="Aptos" w:hAnsi="Aptos" w:cs="Times New Roman"/>
          <w:sz w:val="24"/>
          <w:szCs w:val="24"/>
        </w:rPr>
        <w:t xml:space="preserve">parts: the burden associated with registering genomic studies and submitting data to </w:t>
      </w:r>
      <w:r w:rsidRPr="001921C2">
        <w:rPr>
          <w:rFonts w:ascii="Aptos" w:hAnsi="Aptos" w:cs="Times New Roman"/>
          <w:sz w:val="24"/>
          <w:szCs w:val="24"/>
        </w:rPr>
        <w:t>dbGaP</w:t>
      </w:r>
      <w:r w:rsidRPr="001921C2" w:rsidR="002A1AAF">
        <w:rPr>
          <w:rFonts w:ascii="Aptos" w:hAnsi="Aptos" w:cs="Times New Roman"/>
          <w:sz w:val="24"/>
          <w:szCs w:val="24"/>
        </w:rPr>
        <w:t xml:space="preserve"> </w:t>
      </w:r>
      <w:r w:rsidRPr="001921C2" w:rsidR="2BEC7812">
        <w:rPr>
          <w:rFonts w:ascii="Aptos" w:hAnsi="Aptos" w:cs="Times New Roman"/>
          <w:sz w:val="24"/>
          <w:szCs w:val="24"/>
        </w:rPr>
        <w:t>and other controlled access repositories</w:t>
      </w:r>
      <w:r w:rsidRPr="001921C2" w:rsidR="3674084F">
        <w:rPr>
          <w:rFonts w:ascii="Aptos" w:hAnsi="Aptos" w:cs="Times New Roman"/>
          <w:sz w:val="24"/>
          <w:szCs w:val="24"/>
        </w:rPr>
        <w:t xml:space="preserve"> maintaining data outside the scope of the GDS Policy</w:t>
      </w:r>
      <w:r w:rsidRPr="001921C2">
        <w:rPr>
          <w:rFonts w:ascii="Aptos" w:hAnsi="Aptos" w:cs="Times New Roman"/>
          <w:sz w:val="24"/>
          <w:szCs w:val="24"/>
        </w:rPr>
        <w:t xml:space="preserve">; </w:t>
      </w:r>
      <w:r w:rsidR="00C06CD7">
        <w:rPr>
          <w:rFonts w:ascii="Aptos" w:hAnsi="Aptos" w:cs="Times New Roman"/>
          <w:sz w:val="24"/>
          <w:szCs w:val="24"/>
        </w:rPr>
        <w:t xml:space="preserve">and </w:t>
      </w:r>
      <w:r w:rsidRPr="001921C2">
        <w:rPr>
          <w:rFonts w:ascii="Aptos" w:hAnsi="Aptos" w:cs="Times New Roman"/>
          <w:sz w:val="24"/>
          <w:szCs w:val="24"/>
        </w:rPr>
        <w:t xml:space="preserve">the burden associated with </w:t>
      </w:r>
      <w:r w:rsidRPr="001921C2" w:rsidR="00B05515">
        <w:rPr>
          <w:rFonts w:ascii="Aptos" w:hAnsi="Aptos" w:cs="Times New Roman"/>
          <w:sz w:val="24"/>
          <w:szCs w:val="24"/>
        </w:rPr>
        <w:t xml:space="preserve">requesting </w:t>
      </w:r>
      <w:r w:rsidRPr="001921C2">
        <w:rPr>
          <w:rFonts w:ascii="Aptos" w:hAnsi="Aptos" w:cs="Times New Roman"/>
          <w:sz w:val="24"/>
          <w:szCs w:val="24"/>
        </w:rPr>
        <w:t xml:space="preserve">for controlled-access data in </w:t>
      </w:r>
      <w:r w:rsidRPr="001921C2">
        <w:rPr>
          <w:rFonts w:ascii="Aptos" w:hAnsi="Aptos" w:cs="Times New Roman"/>
          <w:sz w:val="24"/>
          <w:szCs w:val="24"/>
        </w:rPr>
        <w:t>dbGaP</w:t>
      </w:r>
      <w:r w:rsidRPr="001921C2">
        <w:rPr>
          <w:rFonts w:ascii="Aptos" w:hAnsi="Aptos" w:cs="Times New Roman"/>
          <w:sz w:val="24"/>
          <w:szCs w:val="24"/>
        </w:rPr>
        <w:t xml:space="preserve">. Respondents are (1) </w:t>
      </w:r>
      <w:r w:rsidR="009250A3">
        <w:rPr>
          <w:rFonts w:ascii="Aptos" w:hAnsi="Aptos" w:cs="Times New Roman"/>
          <w:sz w:val="24"/>
          <w:szCs w:val="24"/>
        </w:rPr>
        <w:t xml:space="preserve">Submitting Investigators who register and submit data to </w:t>
      </w:r>
      <w:r w:rsidR="009250A3">
        <w:rPr>
          <w:rFonts w:ascii="Aptos" w:hAnsi="Aptos" w:cs="Times New Roman"/>
          <w:sz w:val="24"/>
          <w:szCs w:val="24"/>
        </w:rPr>
        <w:t>dbGaP</w:t>
      </w:r>
      <w:r w:rsidRPr="001921C2">
        <w:rPr>
          <w:rFonts w:ascii="Aptos" w:hAnsi="Aptos" w:cs="Times New Roman"/>
          <w:sz w:val="24"/>
          <w:szCs w:val="24"/>
        </w:rPr>
        <w:t xml:space="preserve">; (2) Institutional </w:t>
      </w:r>
      <w:r w:rsidR="009250A3">
        <w:rPr>
          <w:rFonts w:ascii="Aptos" w:hAnsi="Aptos" w:cs="Times New Roman"/>
          <w:sz w:val="24"/>
          <w:szCs w:val="24"/>
        </w:rPr>
        <w:t xml:space="preserve">Signing </w:t>
      </w:r>
      <w:r w:rsidRPr="001921C2">
        <w:rPr>
          <w:rFonts w:ascii="Aptos" w:hAnsi="Aptos" w:cs="Times New Roman"/>
          <w:sz w:val="24"/>
          <w:szCs w:val="24"/>
        </w:rPr>
        <w:t>Officials</w:t>
      </w:r>
      <w:r w:rsidR="009250A3">
        <w:rPr>
          <w:rFonts w:ascii="Aptos" w:hAnsi="Aptos" w:cs="Times New Roman"/>
          <w:sz w:val="24"/>
          <w:szCs w:val="24"/>
        </w:rPr>
        <w:t xml:space="preserve"> who certify data submission through the data submission form</w:t>
      </w:r>
      <w:r w:rsidRPr="001921C2">
        <w:rPr>
          <w:rFonts w:ascii="Aptos" w:hAnsi="Aptos" w:cs="Times New Roman"/>
          <w:sz w:val="24"/>
          <w:szCs w:val="24"/>
        </w:rPr>
        <w:t xml:space="preserve">; (3) </w:t>
      </w:r>
      <w:r w:rsidR="008A5A73">
        <w:rPr>
          <w:rFonts w:ascii="Aptos" w:hAnsi="Aptos" w:cs="Times New Roman"/>
          <w:sz w:val="24"/>
          <w:szCs w:val="24"/>
        </w:rPr>
        <w:t xml:space="preserve">Principal Investigators who request access to data in </w:t>
      </w:r>
      <w:r w:rsidR="008A5A73">
        <w:rPr>
          <w:rFonts w:ascii="Aptos" w:hAnsi="Aptos" w:cs="Times New Roman"/>
          <w:sz w:val="24"/>
          <w:szCs w:val="24"/>
        </w:rPr>
        <w:t>dbGaP</w:t>
      </w:r>
      <w:r w:rsidR="006F3926">
        <w:rPr>
          <w:rFonts w:ascii="Aptos" w:hAnsi="Aptos" w:cs="Times New Roman"/>
          <w:sz w:val="24"/>
          <w:szCs w:val="24"/>
        </w:rPr>
        <w:t>,</w:t>
      </w:r>
      <w:r w:rsidRPr="001921C2" w:rsidR="00C37280">
        <w:rPr>
          <w:rFonts w:ascii="Aptos" w:hAnsi="Aptos" w:cs="Times New Roman"/>
          <w:sz w:val="24"/>
          <w:szCs w:val="24"/>
        </w:rPr>
        <w:t xml:space="preserve"> </w:t>
      </w:r>
      <w:r w:rsidRPr="001921C2" w:rsidR="005C3AE2">
        <w:rPr>
          <w:rFonts w:ascii="Aptos" w:hAnsi="Aptos" w:cs="Times New Roman"/>
          <w:sz w:val="24"/>
          <w:szCs w:val="24"/>
        </w:rPr>
        <w:t>and (4) I</w:t>
      </w:r>
      <w:r w:rsidRPr="001921C2">
        <w:rPr>
          <w:rFonts w:ascii="Aptos" w:hAnsi="Aptos" w:cs="Times New Roman"/>
          <w:sz w:val="24"/>
          <w:szCs w:val="24"/>
        </w:rPr>
        <w:t xml:space="preserve">nstitutional Signing Officials </w:t>
      </w:r>
      <w:r w:rsidR="008A5A73">
        <w:rPr>
          <w:rFonts w:ascii="Aptos" w:hAnsi="Aptos" w:cs="Times New Roman"/>
          <w:sz w:val="24"/>
          <w:szCs w:val="24"/>
        </w:rPr>
        <w:t>who</w:t>
      </w:r>
      <w:r w:rsidR="00EF46D1">
        <w:rPr>
          <w:rFonts w:ascii="Aptos" w:hAnsi="Aptos" w:cs="Times New Roman"/>
          <w:sz w:val="24"/>
          <w:szCs w:val="24"/>
        </w:rPr>
        <w:t>, as a representative of the institution, authorizes that the institution</w:t>
      </w:r>
      <w:r w:rsidR="00AE7849">
        <w:rPr>
          <w:rFonts w:ascii="Aptos" w:hAnsi="Aptos" w:cs="Times New Roman"/>
          <w:sz w:val="24"/>
          <w:szCs w:val="24"/>
        </w:rPr>
        <w:t xml:space="preserve"> will abide by the terms of access in the Data Use Certification or similar agreement</w:t>
      </w:r>
      <w:r w:rsidRPr="001921C2">
        <w:rPr>
          <w:rFonts w:ascii="Aptos" w:hAnsi="Aptos" w:cs="Times New Roman"/>
          <w:sz w:val="24"/>
          <w:szCs w:val="24"/>
        </w:rPr>
        <w:t>.</w:t>
      </w:r>
    </w:p>
    <w:p w:rsidR="00092332" w:rsidRPr="001921C2" w:rsidP="00562D19" w14:paraId="4581ABEB" w14:textId="6636E368">
      <w:pPr>
        <w:rPr>
          <w:rFonts w:ascii="Aptos" w:hAnsi="Aptos" w:cs="Times New Roman"/>
          <w:sz w:val="24"/>
          <w:szCs w:val="24"/>
        </w:rPr>
      </w:pPr>
      <w:r w:rsidRPr="001921C2">
        <w:rPr>
          <w:rFonts w:ascii="Aptos" w:hAnsi="Aptos" w:cs="Times New Roman"/>
          <w:sz w:val="24"/>
          <w:szCs w:val="24"/>
        </w:rPr>
        <w:t>Table A. 12-1 shows the estimated burden hours for Study Registration and Data Submission</w:t>
      </w:r>
      <w:r w:rsidR="006F3926">
        <w:rPr>
          <w:rFonts w:ascii="Aptos" w:hAnsi="Aptos" w:cs="Times New Roman"/>
          <w:sz w:val="24"/>
          <w:szCs w:val="24"/>
        </w:rPr>
        <w:t xml:space="preserve"> and</w:t>
      </w:r>
      <w:r w:rsidRPr="001921C2">
        <w:rPr>
          <w:rFonts w:ascii="Aptos" w:hAnsi="Aptos" w:cs="Times New Roman"/>
          <w:sz w:val="24"/>
          <w:szCs w:val="24"/>
        </w:rPr>
        <w:t xml:space="preserve"> Data Access Requests.</w:t>
      </w:r>
    </w:p>
    <w:p w:rsidR="00562D19" w:rsidRPr="001921C2" w:rsidP="00562D19" w14:paraId="74BA05C8" w14:textId="77777777">
      <w:pPr>
        <w:rPr>
          <w:rFonts w:ascii="Aptos" w:hAnsi="Aptos" w:cs="Times New Roman"/>
          <w:i/>
          <w:sz w:val="24"/>
          <w:szCs w:val="24"/>
          <w:u w:val="single"/>
        </w:rPr>
      </w:pPr>
      <w:r w:rsidRPr="001921C2">
        <w:rPr>
          <w:rFonts w:ascii="Aptos" w:hAnsi="Aptos" w:cs="Times New Roman"/>
          <w:i/>
          <w:sz w:val="24"/>
          <w:szCs w:val="24"/>
          <w:u w:val="single"/>
        </w:rPr>
        <w:t>Study Registration and Data Submission</w:t>
      </w:r>
    </w:p>
    <w:p w:rsidR="0042150F" w:rsidP="00562D19" w14:paraId="567CD7BC" w14:textId="6580DFAB">
      <w:pPr>
        <w:rPr>
          <w:rFonts w:ascii="Aptos" w:hAnsi="Aptos" w:cs="Times New Roman"/>
          <w:sz w:val="24"/>
          <w:szCs w:val="24"/>
        </w:rPr>
      </w:pPr>
      <w:r w:rsidRPr="00A31F82">
        <w:rPr>
          <w:rFonts w:ascii="Aptos" w:hAnsi="Aptos" w:cs="Times New Roman"/>
          <w:sz w:val="24"/>
          <w:szCs w:val="24"/>
          <w:highlight w:val="yellow"/>
        </w:rPr>
        <w:t xml:space="preserve">The burden associated with registering studies and submitting data to </w:t>
      </w:r>
      <w:r w:rsidRPr="00A31F82">
        <w:rPr>
          <w:rFonts w:ascii="Aptos" w:hAnsi="Aptos" w:cs="Times New Roman"/>
          <w:sz w:val="24"/>
          <w:szCs w:val="24"/>
          <w:highlight w:val="yellow"/>
        </w:rPr>
        <w:t>dbGaP</w:t>
      </w:r>
      <w:r w:rsidRPr="00A31F82">
        <w:rPr>
          <w:rFonts w:ascii="Aptos" w:hAnsi="Aptos" w:cs="Times New Roman"/>
          <w:sz w:val="24"/>
          <w:szCs w:val="24"/>
          <w:highlight w:val="yellow"/>
        </w:rPr>
        <w:t xml:space="preserve"> involves the time and effort necessary for the </w:t>
      </w:r>
      <w:r w:rsidRPr="00A31F82" w:rsidR="00934091">
        <w:rPr>
          <w:rFonts w:ascii="Aptos" w:hAnsi="Aptos" w:cs="Times New Roman"/>
          <w:sz w:val="24"/>
          <w:szCs w:val="24"/>
          <w:highlight w:val="yellow"/>
        </w:rPr>
        <w:t xml:space="preserve">Submitting Investigator </w:t>
      </w:r>
      <w:r w:rsidRPr="00A31F82">
        <w:rPr>
          <w:rFonts w:ascii="Aptos" w:hAnsi="Aptos" w:cs="Times New Roman"/>
          <w:sz w:val="24"/>
          <w:szCs w:val="24"/>
          <w:highlight w:val="yellow"/>
        </w:rPr>
        <w:t xml:space="preserve">to complete the </w:t>
      </w:r>
      <w:r w:rsidRPr="00A31F82" w:rsidR="00C73ADA">
        <w:rPr>
          <w:rFonts w:ascii="Aptos" w:hAnsi="Aptos" w:cs="Times New Roman"/>
          <w:sz w:val="24"/>
          <w:szCs w:val="24"/>
          <w:highlight w:val="yellow"/>
        </w:rPr>
        <w:t xml:space="preserve">SRI </w:t>
      </w:r>
      <w:r w:rsidRPr="00A31F82" w:rsidR="005A4943">
        <w:rPr>
          <w:rFonts w:ascii="Aptos" w:hAnsi="Aptos" w:cs="Times New Roman"/>
          <w:sz w:val="24"/>
          <w:szCs w:val="24"/>
          <w:highlight w:val="yellow"/>
        </w:rPr>
        <w:t>F</w:t>
      </w:r>
      <w:r w:rsidRPr="00A31F82" w:rsidR="00C73ADA">
        <w:rPr>
          <w:rFonts w:ascii="Aptos" w:hAnsi="Aptos" w:cs="Times New Roman"/>
          <w:sz w:val="24"/>
          <w:szCs w:val="24"/>
          <w:highlight w:val="yellow"/>
        </w:rPr>
        <w:t xml:space="preserve">orm (Legacy </w:t>
      </w:r>
      <w:r w:rsidRPr="00A31F82" w:rsidR="00C73ADA">
        <w:rPr>
          <w:rFonts w:ascii="Aptos" w:hAnsi="Aptos" w:cs="Times New Roman"/>
          <w:sz w:val="24"/>
          <w:szCs w:val="24"/>
          <w:highlight w:val="yellow"/>
        </w:rPr>
        <w:t>Registration System</w:t>
      </w:r>
      <w:r w:rsidRPr="00A31F82" w:rsidR="00837599">
        <w:rPr>
          <w:rFonts w:ascii="Aptos" w:hAnsi="Aptos" w:cs="Times New Roman"/>
          <w:sz w:val="24"/>
          <w:szCs w:val="24"/>
          <w:highlight w:val="yellow"/>
        </w:rPr>
        <w:t xml:space="preserve"> – Attachment 4</w:t>
      </w:r>
      <w:r w:rsidRPr="00A31F82" w:rsidR="00C73ADA">
        <w:rPr>
          <w:rFonts w:ascii="Aptos" w:hAnsi="Aptos" w:cs="Times New Roman"/>
          <w:sz w:val="24"/>
          <w:szCs w:val="24"/>
          <w:highlight w:val="yellow"/>
        </w:rPr>
        <w:t>)</w:t>
      </w:r>
      <w:r w:rsidRPr="00A31F82" w:rsidR="00075459">
        <w:rPr>
          <w:rFonts w:ascii="Aptos" w:hAnsi="Aptos" w:cs="Times New Roman"/>
          <w:sz w:val="24"/>
          <w:szCs w:val="24"/>
          <w:highlight w:val="yellow"/>
        </w:rPr>
        <w:t xml:space="preserve"> or </w:t>
      </w:r>
      <w:r w:rsidRPr="00A31F82" w:rsidR="00681DBE">
        <w:rPr>
          <w:rFonts w:ascii="Aptos" w:hAnsi="Aptos" w:cs="Times New Roman"/>
          <w:sz w:val="24"/>
          <w:szCs w:val="24"/>
          <w:highlight w:val="yellow"/>
        </w:rPr>
        <w:t>to complete</w:t>
      </w:r>
      <w:r w:rsidRPr="00A31F82" w:rsidR="00075459">
        <w:rPr>
          <w:rFonts w:ascii="Aptos" w:hAnsi="Aptos" w:cs="Times New Roman"/>
          <w:sz w:val="24"/>
          <w:szCs w:val="24"/>
          <w:highlight w:val="yellow"/>
        </w:rPr>
        <w:t xml:space="preserve"> the </w:t>
      </w:r>
      <w:r w:rsidRPr="00A31F82" w:rsidR="005A4943">
        <w:rPr>
          <w:rFonts w:ascii="Aptos" w:hAnsi="Aptos" w:cs="Times New Roman"/>
          <w:sz w:val="24"/>
          <w:szCs w:val="24"/>
          <w:highlight w:val="yellow"/>
        </w:rPr>
        <w:t>online</w:t>
      </w:r>
      <w:r w:rsidRPr="00A31F82" w:rsidR="00DA3264">
        <w:rPr>
          <w:rFonts w:ascii="Aptos" w:hAnsi="Aptos" w:cs="Times New Roman"/>
          <w:sz w:val="24"/>
          <w:szCs w:val="24"/>
          <w:highlight w:val="yellow"/>
        </w:rPr>
        <w:t xml:space="preserve"> SRI </w:t>
      </w:r>
      <w:r w:rsidRPr="00A31F82" w:rsidR="005A4943">
        <w:rPr>
          <w:rFonts w:ascii="Aptos" w:hAnsi="Aptos" w:cs="Times New Roman"/>
          <w:sz w:val="24"/>
          <w:szCs w:val="24"/>
          <w:highlight w:val="yellow"/>
        </w:rPr>
        <w:t>F</w:t>
      </w:r>
      <w:r w:rsidRPr="00A31F82" w:rsidR="00DA3264">
        <w:rPr>
          <w:rFonts w:ascii="Aptos" w:hAnsi="Aptos" w:cs="Times New Roman"/>
          <w:sz w:val="24"/>
          <w:szCs w:val="24"/>
          <w:highlight w:val="yellow"/>
        </w:rPr>
        <w:t>orm integrated into the New Registration System</w:t>
      </w:r>
      <w:r w:rsidRPr="00A31F82" w:rsidR="00C41C38">
        <w:rPr>
          <w:rFonts w:ascii="Aptos" w:hAnsi="Aptos" w:cs="Times New Roman"/>
          <w:sz w:val="24"/>
          <w:szCs w:val="24"/>
          <w:highlight w:val="yellow"/>
        </w:rPr>
        <w:t xml:space="preserve"> and submit data</w:t>
      </w:r>
      <w:r w:rsidR="00997A71">
        <w:rPr>
          <w:rFonts w:ascii="Aptos" w:hAnsi="Aptos" w:cs="Times New Roman"/>
          <w:sz w:val="24"/>
          <w:szCs w:val="24"/>
          <w:highlight w:val="yellow"/>
        </w:rPr>
        <w:t xml:space="preserve"> (Attachment 6)</w:t>
      </w:r>
      <w:r w:rsidRPr="00A31F82" w:rsidR="00037C1C">
        <w:rPr>
          <w:rFonts w:ascii="Aptos" w:hAnsi="Aptos" w:cs="Times New Roman"/>
          <w:sz w:val="24"/>
          <w:szCs w:val="24"/>
          <w:highlight w:val="yellow"/>
        </w:rPr>
        <w:t>.</w:t>
      </w:r>
      <w:r w:rsidR="00934091">
        <w:rPr>
          <w:rFonts w:ascii="Aptos" w:hAnsi="Aptos" w:cs="Times New Roman"/>
          <w:sz w:val="24"/>
          <w:szCs w:val="24"/>
        </w:rPr>
        <w:t xml:space="preserve"> </w:t>
      </w:r>
      <w:r w:rsidRPr="001921C2" w:rsidR="002A1AAF">
        <w:rPr>
          <w:rFonts w:ascii="Aptos" w:hAnsi="Aptos" w:cs="Times New Roman"/>
          <w:sz w:val="24"/>
          <w:szCs w:val="24"/>
        </w:rPr>
        <w:t xml:space="preserve"> </w:t>
      </w:r>
      <w:r w:rsidRPr="002C4DA8">
        <w:rPr>
          <w:rFonts w:ascii="Aptos" w:hAnsi="Aptos" w:cs="Times New Roman"/>
          <w:sz w:val="24"/>
          <w:szCs w:val="24"/>
          <w:highlight w:val="yellow"/>
        </w:rPr>
        <w:t xml:space="preserve">The burden for the </w:t>
      </w:r>
      <w:r w:rsidRPr="002C4DA8" w:rsidR="00797CAC">
        <w:rPr>
          <w:rFonts w:ascii="Aptos" w:hAnsi="Aptos" w:cs="Times New Roman"/>
          <w:sz w:val="24"/>
          <w:szCs w:val="24"/>
          <w:highlight w:val="yellow"/>
        </w:rPr>
        <w:t>Institutional Signing Official</w:t>
      </w:r>
      <w:r w:rsidRPr="002C4DA8">
        <w:rPr>
          <w:rFonts w:ascii="Aptos" w:hAnsi="Aptos" w:cs="Times New Roman"/>
          <w:sz w:val="24"/>
          <w:szCs w:val="24"/>
          <w:highlight w:val="yellow"/>
        </w:rPr>
        <w:t xml:space="preserve"> </w:t>
      </w:r>
      <w:r w:rsidRPr="002C4DA8" w:rsidR="00910D62">
        <w:rPr>
          <w:rFonts w:ascii="Aptos" w:hAnsi="Aptos" w:cs="Times New Roman"/>
          <w:sz w:val="24"/>
          <w:szCs w:val="24"/>
          <w:highlight w:val="yellow"/>
        </w:rPr>
        <w:t>(SO)</w:t>
      </w:r>
      <w:r w:rsidRPr="002C4DA8" w:rsidR="002A2990">
        <w:rPr>
          <w:rFonts w:ascii="Aptos" w:hAnsi="Aptos" w:cs="Times New Roman"/>
          <w:sz w:val="24"/>
          <w:szCs w:val="24"/>
          <w:highlight w:val="yellow"/>
        </w:rPr>
        <w:t xml:space="preserve"> </w:t>
      </w:r>
      <w:r w:rsidRPr="002C4DA8">
        <w:rPr>
          <w:rFonts w:ascii="Aptos" w:hAnsi="Aptos" w:cs="Times New Roman"/>
          <w:sz w:val="24"/>
          <w:szCs w:val="24"/>
          <w:highlight w:val="yellow"/>
        </w:rPr>
        <w:t xml:space="preserve">includes the time and effort to review and </w:t>
      </w:r>
      <w:r w:rsidRPr="002C4DA8" w:rsidR="00327E9C">
        <w:rPr>
          <w:rFonts w:ascii="Aptos" w:hAnsi="Aptos" w:cs="Times New Roman"/>
          <w:sz w:val="24"/>
          <w:szCs w:val="24"/>
          <w:highlight w:val="yellow"/>
        </w:rPr>
        <w:t>complete the data submission form</w:t>
      </w:r>
      <w:r w:rsidRPr="002C4DA8" w:rsidR="00C41C38">
        <w:rPr>
          <w:rFonts w:ascii="Aptos" w:hAnsi="Aptos" w:cs="Times New Roman"/>
          <w:sz w:val="24"/>
          <w:szCs w:val="24"/>
          <w:highlight w:val="yellow"/>
        </w:rPr>
        <w:t xml:space="preserve"> (e.g., Institutional Signing Official; Data Submission Certification</w:t>
      </w:r>
      <w:r w:rsidRPr="002C4DA8" w:rsidR="002403A4">
        <w:rPr>
          <w:rFonts w:ascii="Aptos" w:hAnsi="Aptos" w:cs="Times New Roman"/>
          <w:sz w:val="24"/>
          <w:szCs w:val="24"/>
          <w:highlight w:val="yellow"/>
        </w:rPr>
        <w:t>)</w:t>
      </w:r>
      <w:r w:rsidRPr="002C4DA8" w:rsidR="00327E9C">
        <w:rPr>
          <w:rFonts w:ascii="Aptos" w:hAnsi="Aptos" w:cs="Times New Roman"/>
          <w:sz w:val="24"/>
          <w:szCs w:val="24"/>
          <w:highlight w:val="yellow"/>
        </w:rPr>
        <w:t>.</w:t>
      </w:r>
      <w:r w:rsidR="00910D62">
        <w:rPr>
          <w:rFonts w:ascii="Aptos" w:hAnsi="Aptos" w:cs="Times New Roman"/>
          <w:sz w:val="24"/>
          <w:szCs w:val="24"/>
        </w:rPr>
        <w:t xml:space="preserve"> </w:t>
      </w:r>
      <w:r w:rsidRPr="00910D62" w:rsidR="00910D62">
        <w:rPr>
          <w:rFonts w:ascii="Aptos" w:hAnsi="Aptos" w:cs="Times New Roman"/>
          <w:sz w:val="24"/>
          <w:szCs w:val="24"/>
        </w:rPr>
        <w:t xml:space="preserve">NIH does not expect the number of registrations to increase significantly in the next three years. Based on prior experience, most </w:t>
      </w:r>
      <w:r w:rsidR="00E00560">
        <w:rPr>
          <w:rFonts w:ascii="Aptos" w:hAnsi="Aptos" w:cs="Times New Roman"/>
          <w:sz w:val="24"/>
          <w:szCs w:val="24"/>
        </w:rPr>
        <w:t>Submitting Investigators</w:t>
      </w:r>
      <w:r w:rsidRPr="00910D62" w:rsidR="00910D62">
        <w:rPr>
          <w:rFonts w:ascii="Aptos" w:hAnsi="Aptos" w:cs="Times New Roman"/>
          <w:sz w:val="24"/>
          <w:szCs w:val="24"/>
        </w:rPr>
        <w:t xml:space="preserve"> do not make changes to their initial registration </w:t>
      </w:r>
      <w:r w:rsidRPr="00910D62" w:rsidR="002A2990">
        <w:rPr>
          <w:rFonts w:ascii="Aptos" w:hAnsi="Aptos" w:cs="Times New Roman"/>
          <w:sz w:val="24"/>
          <w:szCs w:val="24"/>
        </w:rPr>
        <w:t>information but</w:t>
      </w:r>
      <w:r w:rsidRPr="00910D62" w:rsidR="00910D62">
        <w:rPr>
          <w:rFonts w:ascii="Aptos" w:hAnsi="Aptos" w:cs="Times New Roman"/>
          <w:sz w:val="24"/>
          <w:szCs w:val="24"/>
        </w:rPr>
        <w:t xml:space="preserve"> may add additional datasets. Since </w:t>
      </w:r>
      <w:r w:rsidRPr="00910D62" w:rsidR="00910D62">
        <w:rPr>
          <w:rFonts w:ascii="Aptos" w:hAnsi="Aptos" w:cs="Times New Roman"/>
          <w:sz w:val="24"/>
          <w:szCs w:val="24"/>
        </w:rPr>
        <w:t>dbGaP</w:t>
      </w:r>
      <w:r w:rsidRPr="00910D62" w:rsidR="00910D62">
        <w:rPr>
          <w:rFonts w:ascii="Aptos" w:hAnsi="Aptos" w:cs="Times New Roman"/>
          <w:sz w:val="24"/>
          <w:szCs w:val="24"/>
        </w:rPr>
        <w:t xml:space="preserve"> accepts various data formats, additional datasets submitted after the initial registration for the same project do not require any </w:t>
      </w:r>
      <w:r w:rsidRPr="00910D62" w:rsidR="00E00560">
        <w:rPr>
          <w:rFonts w:ascii="Aptos" w:hAnsi="Aptos" w:cs="Times New Roman"/>
          <w:sz w:val="24"/>
          <w:szCs w:val="24"/>
        </w:rPr>
        <w:t>reformatting and</w:t>
      </w:r>
      <w:r w:rsidRPr="00910D62" w:rsidR="00910D62">
        <w:rPr>
          <w:rFonts w:ascii="Aptos" w:hAnsi="Aptos" w:cs="Times New Roman"/>
          <w:sz w:val="24"/>
          <w:szCs w:val="24"/>
        </w:rPr>
        <w:t xml:space="preserve"> thus does not add additional burden to the registration process. </w:t>
      </w:r>
      <w:r w:rsidRPr="00476112" w:rsidR="00910D62">
        <w:rPr>
          <w:rFonts w:ascii="Aptos" w:hAnsi="Aptos" w:cs="Times New Roman"/>
          <w:sz w:val="24"/>
          <w:szCs w:val="24"/>
          <w:highlight w:val="yellow"/>
        </w:rPr>
        <w:t>Therefore, the average frequency of response per investigator is estimated to be one</w:t>
      </w:r>
      <w:r w:rsidRPr="00476112" w:rsidR="00E00560">
        <w:rPr>
          <w:rFonts w:ascii="Aptos" w:hAnsi="Aptos" w:cs="Times New Roman"/>
          <w:sz w:val="24"/>
          <w:szCs w:val="24"/>
          <w:highlight w:val="yellow"/>
        </w:rPr>
        <w:t>.</w:t>
      </w:r>
    </w:p>
    <w:p w:rsidR="00A8552B" w:rsidP="0042150F" w14:paraId="62DFFC64" w14:textId="15717218">
      <w:pPr>
        <w:rPr>
          <w:rFonts w:ascii="Aptos" w:hAnsi="Aptos" w:cs="Times New Roman"/>
          <w:sz w:val="24"/>
          <w:szCs w:val="24"/>
        </w:rPr>
      </w:pPr>
      <w:r w:rsidRPr="00E92C30">
        <w:rPr>
          <w:rFonts w:ascii="Aptos" w:hAnsi="Aptos" w:cs="Times New Roman"/>
          <w:sz w:val="24"/>
          <w:szCs w:val="24"/>
        </w:rPr>
        <w:t>To estimate the annual number of regist</w:t>
      </w:r>
      <w:r>
        <w:rPr>
          <w:rFonts w:ascii="Aptos" w:hAnsi="Aptos" w:cs="Times New Roman"/>
          <w:sz w:val="24"/>
          <w:szCs w:val="24"/>
        </w:rPr>
        <w:t>rations from studies subject to the NIH GDS Policy</w:t>
      </w:r>
      <w:r w:rsidRPr="00E92C30">
        <w:rPr>
          <w:rFonts w:ascii="Aptos" w:hAnsi="Aptos" w:cs="Times New Roman"/>
          <w:sz w:val="24"/>
          <w:szCs w:val="24"/>
        </w:rPr>
        <w:t xml:space="preserve">, NIH averaged the number of study registrations and data submissions received by </w:t>
      </w:r>
      <w:r>
        <w:rPr>
          <w:rFonts w:ascii="Aptos" w:hAnsi="Aptos" w:cs="Times New Roman"/>
          <w:sz w:val="24"/>
          <w:szCs w:val="24"/>
        </w:rPr>
        <w:t xml:space="preserve">the </w:t>
      </w:r>
      <w:r>
        <w:rPr>
          <w:rFonts w:ascii="Aptos" w:hAnsi="Aptos" w:cs="Times New Roman"/>
          <w:sz w:val="24"/>
          <w:szCs w:val="24"/>
        </w:rPr>
        <w:t>dbGaP</w:t>
      </w:r>
      <w:r>
        <w:rPr>
          <w:rFonts w:ascii="Aptos" w:hAnsi="Aptos" w:cs="Times New Roman"/>
          <w:sz w:val="24"/>
          <w:szCs w:val="24"/>
        </w:rPr>
        <w:t xml:space="preserve"> Registration System </w:t>
      </w:r>
      <w:r w:rsidRPr="00E92C30">
        <w:rPr>
          <w:rFonts w:ascii="Aptos" w:hAnsi="Aptos" w:cs="Times New Roman"/>
          <w:sz w:val="24"/>
          <w:szCs w:val="24"/>
        </w:rPr>
        <w:t>in 20</w:t>
      </w:r>
      <w:r>
        <w:rPr>
          <w:rFonts w:ascii="Aptos" w:hAnsi="Aptos" w:cs="Times New Roman"/>
          <w:sz w:val="24"/>
          <w:szCs w:val="24"/>
        </w:rPr>
        <w:t>25</w:t>
      </w:r>
      <w:r w:rsidRPr="00E92C30">
        <w:rPr>
          <w:rFonts w:ascii="Aptos" w:hAnsi="Aptos" w:cs="Times New Roman"/>
          <w:sz w:val="24"/>
          <w:szCs w:val="24"/>
        </w:rPr>
        <w:t xml:space="preserve">, and the number of registrations anticipated for </w:t>
      </w:r>
      <w:r>
        <w:rPr>
          <w:rFonts w:ascii="Aptos" w:hAnsi="Aptos" w:cs="Times New Roman"/>
          <w:sz w:val="24"/>
          <w:szCs w:val="24"/>
        </w:rPr>
        <w:t>20</w:t>
      </w:r>
      <w:r w:rsidR="00606980">
        <w:rPr>
          <w:rFonts w:ascii="Aptos" w:hAnsi="Aptos" w:cs="Times New Roman"/>
          <w:sz w:val="24"/>
          <w:szCs w:val="24"/>
        </w:rPr>
        <w:t>26</w:t>
      </w:r>
      <w:r w:rsidRPr="00E92C30">
        <w:rPr>
          <w:rFonts w:ascii="Aptos" w:hAnsi="Aptos" w:cs="Times New Roman"/>
          <w:sz w:val="24"/>
          <w:szCs w:val="24"/>
        </w:rPr>
        <w:t xml:space="preserve">, based on NIH funding allocated for genomic data research grants that will fall under the NIH GDS Policy.  Based on this calculation, NIH estimates </w:t>
      </w:r>
      <w:r>
        <w:rPr>
          <w:rFonts w:ascii="Aptos" w:hAnsi="Aptos" w:cs="Times New Roman"/>
          <w:sz w:val="24"/>
          <w:szCs w:val="24"/>
        </w:rPr>
        <w:t>2,176</w:t>
      </w:r>
      <w:r w:rsidRPr="00E92C30">
        <w:rPr>
          <w:rFonts w:ascii="Aptos" w:hAnsi="Aptos" w:cs="Times New Roman"/>
          <w:sz w:val="24"/>
          <w:szCs w:val="24"/>
        </w:rPr>
        <w:t xml:space="preserve"> respondents per year</w:t>
      </w:r>
      <w:r>
        <w:rPr>
          <w:rFonts w:ascii="Aptos" w:hAnsi="Aptos" w:cs="Times New Roman"/>
          <w:sz w:val="24"/>
          <w:szCs w:val="24"/>
        </w:rPr>
        <w:t xml:space="preserve">. </w:t>
      </w:r>
      <w:r w:rsidRPr="006722AD">
        <w:rPr>
          <w:rFonts w:ascii="Aptos" w:hAnsi="Aptos" w:cs="Times New Roman"/>
          <w:sz w:val="24"/>
          <w:szCs w:val="24"/>
          <w:highlight w:val="yellow"/>
        </w:rPr>
        <w:t xml:space="preserve">However, since the Legacy and New </w:t>
      </w:r>
      <w:r w:rsidRPr="006722AD">
        <w:rPr>
          <w:rFonts w:ascii="Aptos" w:hAnsi="Aptos" w:cs="Times New Roman"/>
          <w:sz w:val="24"/>
          <w:szCs w:val="24"/>
          <w:highlight w:val="yellow"/>
        </w:rPr>
        <w:t>dbGaP</w:t>
      </w:r>
      <w:r w:rsidRPr="006722AD">
        <w:rPr>
          <w:rFonts w:ascii="Aptos" w:hAnsi="Aptos" w:cs="Times New Roman"/>
          <w:sz w:val="24"/>
          <w:szCs w:val="24"/>
          <w:highlight w:val="yellow"/>
        </w:rPr>
        <w:t xml:space="preserve"> Registration Systems will run concurrently for 6 months, </w:t>
      </w:r>
      <w:r w:rsidRPr="006722AD" w:rsidR="00CC13CE">
        <w:rPr>
          <w:rFonts w:ascii="Aptos" w:hAnsi="Aptos" w:cs="Times New Roman"/>
          <w:sz w:val="24"/>
          <w:szCs w:val="24"/>
          <w:highlight w:val="yellow"/>
        </w:rPr>
        <w:t xml:space="preserve">assuming equal distribution of use of the systems, </w:t>
      </w:r>
      <w:r w:rsidRPr="006722AD">
        <w:rPr>
          <w:rFonts w:ascii="Aptos" w:hAnsi="Aptos" w:cs="Times New Roman"/>
          <w:sz w:val="24"/>
          <w:szCs w:val="24"/>
          <w:highlight w:val="yellow"/>
        </w:rPr>
        <w:t>the estimated number of respondents were divided equally among the registration systems (272 Submitting Investigators and 272 Institutional Signing Officials</w:t>
      </w:r>
      <w:r w:rsidRPr="006722AD" w:rsidR="00E357FD">
        <w:rPr>
          <w:rFonts w:ascii="Aptos" w:hAnsi="Aptos" w:cs="Times New Roman"/>
          <w:sz w:val="24"/>
          <w:szCs w:val="24"/>
          <w:highlight w:val="yellow"/>
        </w:rPr>
        <w:t xml:space="preserve"> that sign the Institutional Certification</w:t>
      </w:r>
      <w:r w:rsidRPr="006722AD">
        <w:rPr>
          <w:rFonts w:ascii="Aptos" w:hAnsi="Aptos" w:cs="Times New Roman"/>
          <w:sz w:val="24"/>
          <w:szCs w:val="24"/>
          <w:highlight w:val="yellow"/>
        </w:rPr>
        <w:t xml:space="preserve">) for the first six months then for the remaining six months 544 Submitting Investigators and </w:t>
      </w:r>
      <w:r w:rsidRPr="006722AD" w:rsidR="004678E8">
        <w:rPr>
          <w:rFonts w:ascii="Aptos" w:hAnsi="Aptos" w:cs="Times New Roman"/>
          <w:sz w:val="24"/>
          <w:szCs w:val="24"/>
          <w:highlight w:val="yellow"/>
        </w:rPr>
        <w:t>544</w:t>
      </w:r>
      <w:r w:rsidRPr="006722AD">
        <w:rPr>
          <w:rFonts w:ascii="Aptos" w:hAnsi="Aptos" w:cs="Times New Roman"/>
          <w:sz w:val="24"/>
          <w:szCs w:val="24"/>
          <w:highlight w:val="yellow"/>
        </w:rPr>
        <w:t xml:space="preserve"> Institutional Signing Officials </w:t>
      </w:r>
      <w:r w:rsidRPr="006722AD" w:rsidR="00004002">
        <w:rPr>
          <w:rFonts w:ascii="Aptos" w:hAnsi="Aptos" w:cs="Times New Roman"/>
          <w:sz w:val="24"/>
          <w:szCs w:val="24"/>
          <w:highlight w:val="yellow"/>
        </w:rPr>
        <w:t xml:space="preserve">that sign the Institutional Certification </w:t>
      </w:r>
      <w:r w:rsidRPr="006722AD">
        <w:rPr>
          <w:rFonts w:ascii="Aptos" w:hAnsi="Aptos" w:cs="Times New Roman"/>
          <w:sz w:val="24"/>
          <w:szCs w:val="24"/>
          <w:highlight w:val="yellow"/>
        </w:rPr>
        <w:t>were allocated to the New Registration System.</w:t>
      </w:r>
      <w:r w:rsidRPr="001921C2">
        <w:rPr>
          <w:rFonts w:ascii="Aptos" w:hAnsi="Aptos" w:cs="Times New Roman"/>
          <w:sz w:val="24"/>
          <w:szCs w:val="24"/>
        </w:rPr>
        <w:t xml:space="preserve"> </w:t>
      </w:r>
      <w:r w:rsidR="00513A17">
        <w:rPr>
          <w:rFonts w:ascii="Aptos" w:hAnsi="Aptos" w:cs="Times New Roman"/>
          <w:sz w:val="24"/>
          <w:szCs w:val="24"/>
        </w:rPr>
        <w:t>Based on these calculation</w:t>
      </w:r>
      <w:r w:rsidR="00921E37">
        <w:rPr>
          <w:rFonts w:ascii="Aptos" w:hAnsi="Aptos" w:cs="Times New Roman"/>
          <w:sz w:val="24"/>
          <w:szCs w:val="24"/>
        </w:rPr>
        <w:t xml:space="preserve">s, </w:t>
      </w:r>
      <w:r w:rsidR="00D90F5F">
        <w:rPr>
          <w:rFonts w:ascii="Aptos" w:hAnsi="Aptos" w:cs="Times New Roman"/>
          <w:sz w:val="24"/>
          <w:szCs w:val="24"/>
        </w:rPr>
        <w:t xml:space="preserve">the Legacy Registration would expect 272 Submitting Investigators for the SRI </w:t>
      </w:r>
      <w:r w:rsidR="00650297">
        <w:rPr>
          <w:rFonts w:ascii="Aptos" w:hAnsi="Aptos" w:cs="Times New Roman"/>
          <w:sz w:val="24"/>
          <w:szCs w:val="24"/>
        </w:rPr>
        <w:t>F</w:t>
      </w:r>
      <w:r w:rsidR="00D90F5F">
        <w:rPr>
          <w:rFonts w:ascii="Aptos" w:hAnsi="Aptos" w:cs="Times New Roman"/>
          <w:sz w:val="24"/>
          <w:szCs w:val="24"/>
        </w:rPr>
        <w:t xml:space="preserve">orm and 272 SOs for the Institutional Certification. </w:t>
      </w:r>
      <w:r w:rsidRPr="006722AD" w:rsidR="00D90F5F">
        <w:rPr>
          <w:rFonts w:ascii="Aptos" w:hAnsi="Aptos" w:cs="Times New Roman"/>
          <w:sz w:val="24"/>
          <w:szCs w:val="24"/>
          <w:highlight w:val="yellow"/>
        </w:rPr>
        <w:t>Based on these cal</w:t>
      </w:r>
      <w:r w:rsidRPr="006722AD">
        <w:rPr>
          <w:rFonts w:ascii="Aptos" w:hAnsi="Aptos" w:cs="Times New Roman"/>
          <w:sz w:val="24"/>
          <w:szCs w:val="24"/>
          <w:highlight w:val="yellow"/>
        </w:rPr>
        <w:t xml:space="preserve">culations, the New Registration System would expect 816 Submitting Investigators for the </w:t>
      </w:r>
      <w:r w:rsidRPr="006722AD" w:rsidR="0065734A">
        <w:rPr>
          <w:rFonts w:ascii="Aptos" w:hAnsi="Aptos" w:cs="Times New Roman"/>
          <w:sz w:val="24"/>
          <w:szCs w:val="24"/>
          <w:highlight w:val="yellow"/>
        </w:rPr>
        <w:t>online</w:t>
      </w:r>
      <w:r w:rsidRPr="006722AD">
        <w:rPr>
          <w:rFonts w:ascii="Aptos" w:hAnsi="Aptos" w:cs="Times New Roman"/>
          <w:sz w:val="24"/>
          <w:szCs w:val="24"/>
          <w:highlight w:val="yellow"/>
        </w:rPr>
        <w:t xml:space="preserve"> SRI </w:t>
      </w:r>
      <w:r w:rsidRPr="006722AD" w:rsidR="0065734A">
        <w:rPr>
          <w:rFonts w:ascii="Aptos" w:hAnsi="Aptos" w:cs="Times New Roman"/>
          <w:sz w:val="24"/>
          <w:szCs w:val="24"/>
          <w:highlight w:val="yellow"/>
        </w:rPr>
        <w:t>F</w:t>
      </w:r>
      <w:r w:rsidRPr="006722AD">
        <w:rPr>
          <w:rFonts w:ascii="Aptos" w:hAnsi="Aptos" w:cs="Times New Roman"/>
          <w:sz w:val="24"/>
          <w:szCs w:val="24"/>
          <w:highlight w:val="yellow"/>
        </w:rPr>
        <w:t>orm and 816 Submitting Investigators for the Institutional Certification.</w:t>
      </w:r>
    </w:p>
    <w:p w:rsidR="0042150F" w:rsidP="0042150F" w14:paraId="077895AB" w14:textId="7C855CA0">
      <w:pPr>
        <w:rPr>
          <w:rFonts w:ascii="Aptos" w:hAnsi="Aptos" w:cs="Times New Roman"/>
          <w:sz w:val="24"/>
          <w:szCs w:val="24"/>
        </w:rPr>
      </w:pPr>
      <w:r w:rsidRPr="006722AD">
        <w:rPr>
          <w:rFonts w:ascii="Aptos" w:hAnsi="Aptos" w:cs="Times New Roman"/>
          <w:sz w:val="24"/>
          <w:szCs w:val="24"/>
          <w:highlight w:val="yellow"/>
        </w:rPr>
        <w:t xml:space="preserve">Since the </w:t>
      </w:r>
      <w:r w:rsidRPr="006722AD">
        <w:rPr>
          <w:rFonts w:ascii="Aptos" w:hAnsi="Aptos" w:cs="Times New Roman"/>
          <w:sz w:val="24"/>
          <w:szCs w:val="24"/>
          <w:highlight w:val="yellow"/>
        </w:rPr>
        <w:t>dbGaP</w:t>
      </w:r>
      <w:r w:rsidRPr="006722AD">
        <w:rPr>
          <w:rFonts w:ascii="Aptos" w:hAnsi="Aptos" w:cs="Times New Roman"/>
          <w:sz w:val="24"/>
          <w:szCs w:val="24"/>
          <w:highlight w:val="yellow"/>
        </w:rPr>
        <w:t xml:space="preserve"> Registration System services NIH CADRs that </w:t>
      </w:r>
      <w:r w:rsidRPr="006722AD" w:rsidR="00046FD9">
        <w:rPr>
          <w:rFonts w:ascii="Aptos" w:hAnsi="Aptos" w:cs="Times New Roman"/>
          <w:sz w:val="24"/>
          <w:szCs w:val="24"/>
          <w:highlight w:val="yellow"/>
        </w:rPr>
        <w:t xml:space="preserve">share data from studies not subject to the </w:t>
      </w:r>
      <w:r w:rsidRPr="006722AD" w:rsidR="0065734A">
        <w:rPr>
          <w:rFonts w:ascii="Aptos" w:hAnsi="Aptos" w:cs="Times New Roman"/>
          <w:sz w:val="24"/>
          <w:szCs w:val="24"/>
          <w:highlight w:val="yellow"/>
        </w:rPr>
        <w:t xml:space="preserve">NIH </w:t>
      </w:r>
      <w:r w:rsidRPr="006722AD" w:rsidR="00046FD9">
        <w:rPr>
          <w:rFonts w:ascii="Aptos" w:hAnsi="Aptos" w:cs="Times New Roman"/>
          <w:sz w:val="24"/>
          <w:szCs w:val="24"/>
          <w:highlight w:val="yellow"/>
        </w:rPr>
        <w:t>GDS Policy, NIH estimated the number of those studies registered and submitted in a year by determining how many of those studies were released in 202</w:t>
      </w:r>
      <w:r w:rsidRPr="006722AD" w:rsidR="00552077">
        <w:rPr>
          <w:rFonts w:ascii="Aptos" w:hAnsi="Aptos" w:cs="Times New Roman"/>
          <w:sz w:val="24"/>
          <w:szCs w:val="24"/>
          <w:highlight w:val="yellow"/>
        </w:rPr>
        <w:t>5</w:t>
      </w:r>
      <w:r w:rsidRPr="006722AD" w:rsidR="00DE311C">
        <w:rPr>
          <w:rFonts w:ascii="Aptos" w:hAnsi="Aptos" w:cs="Times New Roman"/>
          <w:sz w:val="24"/>
          <w:szCs w:val="24"/>
          <w:highlight w:val="yellow"/>
        </w:rPr>
        <w:t xml:space="preserve"> from these NIH CADRs</w:t>
      </w:r>
      <w:r w:rsidRPr="006722AD" w:rsidR="00246513">
        <w:rPr>
          <w:rFonts w:ascii="Aptos" w:hAnsi="Aptos" w:cs="Times New Roman"/>
          <w:sz w:val="24"/>
          <w:szCs w:val="24"/>
          <w:highlight w:val="yellow"/>
        </w:rPr>
        <w:t>. NIH</w:t>
      </w:r>
      <w:r w:rsidRPr="006722AD" w:rsidR="00AD2350">
        <w:rPr>
          <w:rFonts w:ascii="Aptos" w:hAnsi="Aptos" w:cs="Times New Roman"/>
          <w:sz w:val="24"/>
          <w:szCs w:val="24"/>
          <w:highlight w:val="yellow"/>
        </w:rPr>
        <w:t xml:space="preserve"> estimated </w:t>
      </w:r>
      <w:r w:rsidRPr="006722AD" w:rsidR="002A740A">
        <w:rPr>
          <w:rFonts w:ascii="Aptos" w:hAnsi="Aptos" w:cs="Times New Roman"/>
          <w:sz w:val="24"/>
          <w:szCs w:val="24"/>
          <w:highlight w:val="yellow"/>
        </w:rPr>
        <w:t>86</w:t>
      </w:r>
      <w:r w:rsidRPr="006722AD" w:rsidR="00F463B4">
        <w:rPr>
          <w:rFonts w:ascii="Aptos" w:hAnsi="Aptos" w:cs="Times New Roman"/>
          <w:sz w:val="24"/>
          <w:szCs w:val="24"/>
          <w:highlight w:val="yellow"/>
        </w:rPr>
        <w:t xml:space="preserve"> respondents</w:t>
      </w:r>
      <w:r w:rsidRPr="006722AD" w:rsidR="00100387">
        <w:rPr>
          <w:rFonts w:ascii="Aptos" w:hAnsi="Aptos" w:cs="Times New Roman"/>
          <w:sz w:val="24"/>
          <w:szCs w:val="24"/>
          <w:highlight w:val="yellow"/>
        </w:rPr>
        <w:t xml:space="preserve">. However, since the Legacy and New </w:t>
      </w:r>
      <w:r w:rsidRPr="006722AD" w:rsidR="00100387">
        <w:rPr>
          <w:rFonts w:ascii="Aptos" w:hAnsi="Aptos" w:cs="Times New Roman"/>
          <w:sz w:val="24"/>
          <w:szCs w:val="24"/>
          <w:highlight w:val="yellow"/>
        </w:rPr>
        <w:t>dbGaP</w:t>
      </w:r>
      <w:r w:rsidRPr="006722AD" w:rsidR="00100387">
        <w:rPr>
          <w:rFonts w:ascii="Aptos" w:hAnsi="Aptos" w:cs="Times New Roman"/>
          <w:sz w:val="24"/>
          <w:szCs w:val="24"/>
          <w:highlight w:val="yellow"/>
        </w:rPr>
        <w:t xml:space="preserve"> Registration Systems will run concurrently for 6 months, the estimated number of respondents were divided equally among the registration systems (</w:t>
      </w:r>
      <w:r w:rsidRPr="006722AD" w:rsidR="00BF0D85">
        <w:rPr>
          <w:rFonts w:ascii="Aptos" w:hAnsi="Aptos" w:cs="Times New Roman"/>
          <w:sz w:val="24"/>
          <w:szCs w:val="24"/>
          <w:highlight w:val="yellow"/>
        </w:rPr>
        <w:t>11</w:t>
      </w:r>
      <w:r w:rsidRPr="006722AD" w:rsidR="0088735D">
        <w:rPr>
          <w:rFonts w:ascii="Aptos" w:hAnsi="Aptos" w:cs="Times New Roman"/>
          <w:sz w:val="24"/>
          <w:szCs w:val="24"/>
          <w:highlight w:val="yellow"/>
        </w:rPr>
        <w:t xml:space="preserve"> Submitting Investigators and </w:t>
      </w:r>
      <w:r w:rsidRPr="006722AD" w:rsidR="00BF0D85">
        <w:rPr>
          <w:rFonts w:ascii="Aptos" w:hAnsi="Aptos" w:cs="Times New Roman"/>
          <w:sz w:val="24"/>
          <w:szCs w:val="24"/>
          <w:highlight w:val="yellow"/>
        </w:rPr>
        <w:t>11</w:t>
      </w:r>
      <w:r w:rsidRPr="006722AD" w:rsidR="0088735D">
        <w:rPr>
          <w:rFonts w:ascii="Aptos" w:hAnsi="Aptos" w:cs="Times New Roman"/>
          <w:sz w:val="24"/>
          <w:szCs w:val="24"/>
          <w:highlight w:val="yellow"/>
        </w:rPr>
        <w:t xml:space="preserve"> </w:t>
      </w:r>
      <w:r w:rsidRPr="006722AD" w:rsidR="00B12B3A">
        <w:rPr>
          <w:rFonts w:ascii="Aptos" w:hAnsi="Aptos" w:cs="Times New Roman"/>
          <w:sz w:val="24"/>
          <w:szCs w:val="24"/>
          <w:highlight w:val="yellow"/>
        </w:rPr>
        <w:t>SOs</w:t>
      </w:r>
      <w:r w:rsidRPr="006722AD" w:rsidR="0088735D">
        <w:rPr>
          <w:rFonts w:ascii="Aptos" w:hAnsi="Aptos" w:cs="Times New Roman"/>
          <w:sz w:val="24"/>
          <w:szCs w:val="24"/>
          <w:highlight w:val="yellow"/>
        </w:rPr>
        <w:t xml:space="preserve">) for the first six months, then for the remaining six months </w:t>
      </w:r>
      <w:r w:rsidRPr="006722AD" w:rsidR="00033BB6">
        <w:rPr>
          <w:rFonts w:ascii="Aptos" w:hAnsi="Aptos" w:cs="Times New Roman"/>
          <w:sz w:val="24"/>
          <w:szCs w:val="24"/>
          <w:highlight w:val="yellow"/>
        </w:rPr>
        <w:t>22</w:t>
      </w:r>
      <w:r w:rsidRPr="006722AD" w:rsidR="00F636F6">
        <w:rPr>
          <w:rFonts w:ascii="Aptos" w:hAnsi="Aptos" w:cs="Times New Roman"/>
          <w:sz w:val="24"/>
          <w:szCs w:val="24"/>
          <w:highlight w:val="yellow"/>
        </w:rPr>
        <w:t xml:space="preserve"> Submitting Investigators and </w:t>
      </w:r>
      <w:r w:rsidRPr="006722AD" w:rsidR="006673C4">
        <w:rPr>
          <w:rFonts w:ascii="Aptos" w:hAnsi="Aptos" w:cs="Times New Roman"/>
          <w:sz w:val="24"/>
          <w:szCs w:val="24"/>
          <w:highlight w:val="yellow"/>
        </w:rPr>
        <w:t>22</w:t>
      </w:r>
      <w:r w:rsidRPr="006722AD" w:rsidR="00F636F6">
        <w:rPr>
          <w:rFonts w:ascii="Aptos" w:hAnsi="Aptos" w:cs="Times New Roman"/>
          <w:sz w:val="24"/>
          <w:szCs w:val="24"/>
          <w:highlight w:val="yellow"/>
        </w:rPr>
        <w:t xml:space="preserve"> Institutional Signing Official).</w:t>
      </w:r>
      <w:r w:rsidR="00F636F6">
        <w:rPr>
          <w:rFonts w:ascii="Aptos" w:hAnsi="Aptos" w:cs="Times New Roman"/>
          <w:sz w:val="24"/>
          <w:szCs w:val="24"/>
        </w:rPr>
        <w:t xml:space="preserve"> </w:t>
      </w:r>
      <w:r w:rsidR="000D6CF1">
        <w:rPr>
          <w:rFonts w:ascii="Aptos" w:hAnsi="Aptos" w:cs="Times New Roman"/>
          <w:sz w:val="24"/>
          <w:szCs w:val="24"/>
        </w:rPr>
        <w:t>Based on these calculations, th</w:t>
      </w:r>
      <w:r w:rsidR="005529DD">
        <w:rPr>
          <w:rFonts w:ascii="Aptos" w:hAnsi="Aptos" w:cs="Times New Roman"/>
          <w:sz w:val="24"/>
          <w:szCs w:val="24"/>
        </w:rPr>
        <w:t xml:space="preserve">e total number of Submitting Investigators for the Legacy System </w:t>
      </w:r>
      <w:r w:rsidR="00CE206F">
        <w:rPr>
          <w:rFonts w:ascii="Aptos" w:hAnsi="Aptos" w:cs="Times New Roman"/>
          <w:sz w:val="24"/>
          <w:szCs w:val="24"/>
        </w:rPr>
        <w:t xml:space="preserve">resulted in 283 Submitting Investigators for the SRI </w:t>
      </w:r>
      <w:r w:rsidR="003A33B8">
        <w:rPr>
          <w:rFonts w:ascii="Aptos" w:hAnsi="Aptos" w:cs="Times New Roman"/>
          <w:sz w:val="24"/>
          <w:szCs w:val="24"/>
        </w:rPr>
        <w:t xml:space="preserve">Form and 11 </w:t>
      </w:r>
      <w:r w:rsidR="00B24E01">
        <w:rPr>
          <w:rFonts w:ascii="Aptos" w:hAnsi="Aptos" w:cs="Times New Roman"/>
          <w:sz w:val="24"/>
          <w:szCs w:val="24"/>
        </w:rPr>
        <w:t>Institutional Signing Officials</w:t>
      </w:r>
      <w:r w:rsidR="003A33B8">
        <w:rPr>
          <w:rFonts w:ascii="Aptos" w:hAnsi="Aptos" w:cs="Times New Roman"/>
          <w:sz w:val="24"/>
          <w:szCs w:val="24"/>
        </w:rPr>
        <w:t xml:space="preserve"> for the Data Submission Certification. </w:t>
      </w:r>
      <w:r w:rsidRPr="006722AD" w:rsidR="004B01DE">
        <w:rPr>
          <w:rFonts w:ascii="Aptos" w:hAnsi="Aptos" w:cs="Times New Roman"/>
          <w:sz w:val="24"/>
          <w:szCs w:val="24"/>
          <w:highlight w:val="yellow"/>
        </w:rPr>
        <w:t xml:space="preserve">Based on these calculations, the total number of Submitting Investigators for the New System resulted in </w:t>
      </w:r>
      <w:r w:rsidRPr="006722AD" w:rsidR="008F64EF">
        <w:rPr>
          <w:rFonts w:ascii="Aptos" w:hAnsi="Aptos" w:cs="Times New Roman"/>
          <w:sz w:val="24"/>
          <w:szCs w:val="24"/>
          <w:highlight w:val="yellow"/>
        </w:rPr>
        <w:t>8</w:t>
      </w:r>
      <w:r w:rsidRPr="006722AD" w:rsidR="00010203">
        <w:rPr>
          <w:rFonts w:ascii="Aptos" w:hAnsi="Aptos" w:cs="Times New Roman"/>
          <w:sz w:val="24"/>
          <w:szCs w:val="24"/>
          <w:highlight w:val="yellow"/>
        </w:rPr>
        <w:t>49</w:t>
      </w:r>
      <w:r w:rsidRPr="006722AD" w:rsidR="008F64EF">
        <w:rPr>
          <w:rFonts w:ascii="Aptos" w:hAnsi="Aptos" w:cs="Times New Roman"/>
          <w:sz w:val="24"/>
          <w:szCs w:val="24"/>
          <w:highlight w:val="yellow"/>
        </w:rPr>
        <w:t xml:space="preserve"> Submitting Investigators for the digital SRI form and </w:t>
      </w:r>
      <w:r w:rsidRPr="006722AD" w:rsidR="00150130">
        <w:rPr>
          <w:rFonts w:ascii="Aptos" w:hAnsi="Aptos" w:cs="Times New Roman"/>
          <w:sz w:val="24"/>
          <w:szCs w:val="24"/>
          <w:highlight w:val="yellow"/>
        </w:rPr>
        <w:t xml:space="preserve">33 </w:t>
      </w:r>
      <w:r w:rsidRPr="006722AD" w:rsidR="00B24E01">
        <w:rPr>
          <w:rFonts w:ascii="Aptos" w:hAnsi="Aptos" w:cs="Times New Roman"/>
          <w:sz w:val="24"/>
          <w:szCs w:val="24"/>
          <w:highlight w:val="yellow"/>
        </w:rPr>
        <w:t>Institutional Signing Officials</w:t>
      </w:r>
      <w:r w:rsidRPr="006722AD" w:rsidR="00150130">
        <w:rPr>
          <w:rFonts w:ascii="Aptos" w:hAnsi="Aptos" w:cs="Times New Roman"/>
          <w:sz w:val="24"/>
          <w:szCs w:val="24"/>
          <w:highlight w:val="yellow"/>
        </w:rPr>
        <w:t xml:space="preserve"> for the Data Submission form</w:t>
      </w:r>
      <w:r w:rsidRPr="006722AD" w:rsidR="00E94F1E">
        <w:rPr>
          <w:rFonts w:ascii="Aptos" w:hAnsi="Aptos" w:cs="Times New Roman"/>
          <w:sz w:val="24"/>
          <w:szCs w:val="24"/>
          <w:highlight w:val="yellow"/>
        </w:rPr>
        <w:t>.</w:t>
      </w:r>
    </w:p>
    <w:p w:rsidR="00562D19" w:rsidP="00562D19" w14:paraId="1F7CCDC2" w14:textId="0E0B1BC6">
      <w:pPr>
        <w:rPr>
          <w:rFonts w:ascii="Aptos" w:hAnsi="Aptos" w:cs="Times New Roman"/>
          <w:sz w:val="24"/>
          <w:szCs w:val="24"/>
        </w:rPr>
      </w:pPr>
      <w:r w:rsidRPr="00817E2D">
        <w:rPr>
          <w:rFonts w:ascii="Aptos" w:hAnsi="Aptos" w:cs="Times New Roman"/>
          <w:sz w:val="24"/>
          <w:szCs w:val="24"/>
        </w:rPr>
        <w:t xml:space="preserve">Table 12-1 provides the estimated burden hours for registration and data submission. Based on a simulation of the registration and submission processes using </w:t>
      </w:r>
      <w:r w:rsidR="00DD2E29">
        <w:rPr>
          <w:rFonts w:ascii="Aptos" w:hAnsi="Aptos" w:cs="Times New Roman"/>
          <w:sz w:val="24"/>
          <w:szCs w:val="24"/>
        </w:rPr>
        <w:t>the SRI Form</w:t>
      </w:r>
      <w:r w:rsidR="00E6035F">
        <w:rPr>
          <w:rFonts w:ascii="Aptos" w:hAnsi="Aptos" w:cs="Times New Roman"/>
          <w:sz w:val="24"/>
          <w:szCs w:val="24"/>
        </w:rPr>
        <w:t xml:space="preserve"> </w:t>
      </w:r>
      <w:r w:rsidRPr="006722AD" w:rsidR="00E6035F">
        <w:rPr>
          <w:rFonts w:ascii="Aptos" w:hAnsi="Aptos" w:cs="Times New Roman"/>
          <w:sz w:val="24"/>
          <w:szCs w:val="24"/>
          <w:highlight w:val="yellow"/>
        </w:rPr>
        <w:t xml:space="preserve">and </w:t>
      </w:r>
      <w:r w:rsidRPr="006722AD">
        <w:rPr>
          <w:rFonts w:ascii="Aptos" w:hAnsi="Aptos" w:cs="Times New Roman"/>
          <w:sz w:val="24"/>
          <w:szCs w:val="24"/>
          <w:highlight w:val="yellow"/>
        </w:rPr>
        <w:t xml:space="preserve">the </w:t>
      </w:r>
      <w:r w:rsidRPr="006722AD" w:rsidR="00DD2E29">
        <w:rPr>
          <w:rFonts w:ascii="Aptos" w:hAnsi="Aptos" w:cs="Times New Roman"/>
          <w:sz w:val="24"/>
          <w:szCs w:val="24"/>
          <w:highlight w:val="yellow"/>
        </w:rPr>
        <w:t xml:space="preserve">SRI </w:t>
      </w:r>
      <w:r w:rsidRPr="006722AD">
        <w:rPr>
          <w:rFonts w:ascii="Aptos" w:hAnsi="Aptos" w:cs="Times New Roman"/>
          <w:sz w:val="24"/>
          <w:szCs w:val="24"/>
          <w:highlight w:val="yellow"/>
        </w:rPr>
        <w:t>online form, NIH estimates that it will take a</w:t>
      </w:r>
      <w:r w:rsidRPr="006722AD" w:rsidR="00011435">
        <w:rPr>
          <w:rFonts w:ascii="Aptos" w:hAnsi="Aptos" w:cs="Times New Roman"/>
          <w:sz w:val="24"/>
          <w:szCs w:val="24"/>
          <w:highlight w:val="yellow"/>
        </w:rPr>
        <w:t xml:space="preserve"> Submitting Investigator</w:t>
      </w:r>
      <w:r w:rsidRPr="006722AD">
        <w:rPr>
          <w:rFonts w:ascii="Aptos" w:hAnsi="Aptos" w:cs="Times New Roman"/>
          <w:sz w:val="24"/>
          <w:szCs w:val="24"/>
          <w:highlight w:val="yellow"/>
        </w:rPr>
        <w:t xml:space="preserve">, on average, 1 hour to enter the study information and upload the study data, and that it will take </w:t>
      </w:r>
      <w:r w:rsidRPr="006722AD" w:rsidR="00011435">
        <w:rPr>
          <w:rFonts w:ascii="Aptos" w:hAnsi="Aptos" w:cs="Times New Roman"/>
          <w:sz w:val="24"/>
          <w:szCs w:val="24"/>
          <w:highlight w:val="yellow"/>
        </w:rPr>
        <w:t>a</w:t>
      </w:r>
      <w:r w:rsidRPr="006722AD" w:rsidR="00532268">
        <w:rPr>
          <w:rFonts w:ascii="Aptos" w:hAnsi="Aptos" w:cs="Times New Roman"/>
          <w:sz w:val="24"/>
          <w:szCs w:val="24"/>
          <w:highlight w:val="yellow"/>
        </w:rPr>
        <w:t>n</w:t>
      </w:r>
      <w:r w:rsidRPr="006722AD" w:rsidR="00011435">
        <w:rPr>
          <w:rFonts w:ascii="Aptos" w:hAnsi="Aptos" w:cs="Times New Roman"/>
          <w:sz w:val="24"/>
          <w:szCs w:val="24"/>
          <w:highlight w:val="yellow"/>
        </w:rPr>
        <w:t xml:space="preserve"> SO</w:t>
      </w:r>
      <w:r w:rsidRPr="006722AD">
        <w:rPr>
          <w:rFonts w:ascii="Aptos" w:hAnsi="Aptos" w:cs="Times New Roman"/>
          <w:sz w:val="24"/>
          <w:szCs w:val="24"/>
          <w:highlight w:val="yellow"/>
        </w:rPr>
        <w:t>, on average, 30/60 hours to certify the information</w:t>
      </w:r>
      <w:r w:rsidRPr="00817E2D">
        <w:rPr>
          <w:rFonts w:ascii="Aptos" w:hAnsi="Aptos" w:cs="Times New Roman"/>
          <w:sz w:val="24"/>
          <w:szCs w:val="24"/>
        </w:rPr>
        <w:t>.</w:t>
      </w:r>
      <w:r w:rsidR="001B0639">
        <w:rPr>
          <w:rFonts w:ascii="Aptos" w:hAnsi="Aptos" w:cs="Times New Roman"/>
          <w:sz w:val="24"/>
          <w:szCs w:val="24"/>
        </w:rPr>
        <w:t xml:space="preserve"> </w:t>
      </w:r>
      <w:r w:rsidRPr="001B0639" w:rsidR="001B0639">
        <w:rPr>
          <w:rFonts w:ascii="Aptos" w:hAnsi="Aptos" w:cs="Times New Roman"/>
          <w:sz w:val="24"/>
          <w:szCs w:val="24"/>
        </w:rPr>
        <w:t xml:space="preserve">Multiplying the frequency of response (1) by the total number of </w:t>
      </w:r>
      <w:r w:rsidR="00532268">
        <w:rPr>
          <w:rFonts w:ascii="Aptos" w:hAnsi="Aptos" w:cs="Times New Roman"/>
          <w:sz w:val="24"/>
          <w:szCs w:val="24"/>
        </w:rPr>
        <w:t>Submitting Investigators</w:t>
      </w:r>
      <w:r w:rsidRPr="001B0639" w:rsidR="001B0639">
        <w:rPr>
          <w:rFonts w:ascii="Aptos" w:hAnsi="Aptos" w:cs="Times New Roman"/>
          <w:sz w:val="24"/>
          <w:szCs w:val="24"/>
        </w:rPr>
        <w:t xml:space="preserve"> by the time it takes a </w:t>
      </w:r>
      <w:r w:rsidRPr="00262608" w:rsidR="00262608">
        <w:rPr>
          <w:rFonts w:ascii="Aptos" w:hAnsi="Aptos" w:cs="Times New Roman"/>
          <w:sz w:val="24"/>
          <w:szCs w:val="24"/>
        </w:rPr>
        <w:t>Submitting Investigator</w:t>
      </w:r>
      <w:r w:rsidRPr="001B0639" w:rsidR="001B0639">
        <w:rPr>
          <w:rFonts w:ascii="Aptos" w:hAnsi="Aptos" w:cs="Times New Roman"/>
          <w:sz w:val="24"/>
          <w:szCs w:val="24"/>
        </w:rPr>
        <w:t xml:space="preserve"> to register a study and submit data (1 hour), yields a total annual hour burden for </w:t>
      </w:r>
      <w:r w:rsidR="00532268">
        <w:rPr>
          <w:rFonts w:ascii="Aptos" w:hAnsi="Aptos" w:cs="Times New Roman"/>
          <w:sz w:val="24"/>
          <w:szCs w:val="24"/>
        </w:rPr>
        <w:t>Submitting Investigators for the Legacy System</w:t>
      </w:r>
      <w:r w:rsidRPr="001B0639" w:rsidR="001B0639">
        <w:rPr>
          <w:rFonts w:ascii="Aptos" w:hAnsi="Aptos" w:cs="Times New Roman"/>
          <w:sz w:val="24"/>
          <w:szCs w:val="24"/>
        </w:rPr>
        <w:t xml:space="preserve"> of </w:t>
      </w:r>
      <w:r w:rsidR="00085D3A">
        <w:rPr>
          <w:rFonts w:ascii="Aptos" w:hAnsi="Aptos" w:cs="Times New Roman"/>
          <w:sz w:val="24"/>
          <w:szCs w:val="24"/>
        </w:rPr>
        <w:t>283</w:t>
      </w:r>
      <w:r w:rsidRPr="001B0639" w:rsidR="001B0639">
        <w:rPr>
          <w:rFonts w:ascii="Aptos" w:hAnsi="Aptos" w:cs="Times New Roman"/>
          <w:sz w:val="24"/>
          <w:szCs w:val="24"/>
        </w:rPr>
        <w:t xml:space="preserve"> hours</w:t>
      </w:r>
      <w:r w:rsidR="00085D3A">
        <w:rPr>
          <w:rFonts w:ascii="Aptos" w:hAnsi="Aptos" w:cs="Times New Roman"/>
          <w:sz w:val="24"/>
          <w:szCs w:val="24"/>
        </w:rPr>
        <w:t xml:space="preserve"> </w:t>
      </w:r>
      <w:r w:rsidRPr="000F2E0C" w:rsidR="00085D3A">
        <w:rPr>
          <w:rFonts w:ascii="Aptos" w:hAnsi="Aptos" w:cs="Times New Roman"/>
          <w:sz w:val="24"/>
          <w:szCs w:val="24"/>
          <w:highlight w:val="yellow"/>
        </w:rPr>
        <w:t xml:space="preserve">and for the New System, </w:t>
      </w:r>
      <w:r w:rsidRPr="000F2E0C" w:rsidR="00377E19">
        <w:rPr>
          <w:rFonts w:ascii="Aptos" w:hAnsi="Aptos" w:cs="Times New Roman"/>
          <w:sz w:val="24"/>
          <w:szCs w:val="24"/>
          <w:highlight w:val="yellow"/>
        </w:rPr>
        <w:t>849 hours</w:t>
      </w:r>
      <w:r w:rsidRPr="000F2E0C" w:rsidR="001B0639">
        <w:rPr>
          <w:rFonts w:ascii="Aptos" w:hAnsi="Aptos" w:cs="Times New Roman"/>
          <w:sz w:val="24"/>
          <w:szCs w:val="24"/>
          <w:highlight w:val="yellow"/>
        </w:rPr>
        <w:t>.</w:t>
      </w:r>
      <w:r w:rsidRPr="001B0639" w:rsidR="001B0639">
        <w:rPr>
          <w:rFonts w:ascii="Aptos" w:hAnsi="Aptos" w:cs="Times New Roman"/>
          <w:sz w:val="24"/>
          <w:szCs w:val="24"/>
        </w:rPr>
        <w:t xml:space="preserve"> The same formula was used to derive the total annual burden for </w:t>
      </w:r>
      <w:r w:rsidR="00F5290B">
        <w:rPr>
          <w:rFonts w:ascii="Aptos" w:hAnsi="Aptos" w:cs="Times New Roman"/>
          <w:sz w:val="24"/>
          <w:szCs w:val="24"/>
        </w:rPr>
        <w:t>SOs</w:t>
      </w:r>
      <w:r w:rsidRPr="001B0639" w:rsidR="001B0639">
        <w:rPr>
          <w:rFonts w:ascii="Aptos" w:hAnsi="Aptos" w:cs="Times New Roman"/>
          <w:sz w:val="24"/>
          <w:szCs w:val="24"/>
        </w:rPr>
        <w:t xml:space="preserve"> (i.e., the frequency was multiplied by the number of </w:t>
      </w:r>
      <w:r w:rsidR="00F5290B">
        <w:rPr>
          <w:rFonts w:ascii="Aptos" w:hAnsi="Aptos" w:cs="Times New Roman"/>
          <w:sz w:val="24"/>
          <w:szCs w:val="24"/>
        </w:rPr>
        <w:t>SOs</w:t>
      </w:r>
      <w:r w:rsidRPr="001B0639" w:rsidR="001B0639">
        <w:rPr>
          <w:rFonts w:ascii="Aptos" w:hAnsi="Aptos" w:cs="Times New Roman"/>
          <w:sz w:val="24"/>
          <w:szCs w:val="24"/>
        </w:rPr>
        <w:t xml:space="preserve"> by the time it takes an </w:t>
      </w:r>
      <w:r w:rsidR="00F5290B">
        <w:rPr>
          <w:rFonts w:ascii="Aptos" w:hAnsi="Aptos" w:cs="Times New Roman"/>
          <w:sz w:val="24"/>
          <w:szCs w:val="24"/>
        </w:rPr>
        <w:t>SO</w:t>
      </w:r>
      <w:r w:rsidRPr="001B0639" w:rsidR="001B0639">
        <w:rPr>
          <w:rFonts w:ascii="Aptos" w:hAnsi="Aptos" w:cs="Times New Roman"/>
          <w:sz w:val="24"/>
          <w:szCs w:val="24"/>
        </w:rPr>
        <w:t xml:space="preserve"> to carry out the certification process). The total </w:t>
      </w:r>
      <w:r w:rsidRPr="001B0639" w:rsidR="00195C3F">
        <w:rPr>
          <w:rFonts w:ascii="Aptos" w:hAnsi="Aptos" w:cs="Times New Roman"/>
          <w:sz w:val="24"/>
          <w:szCs w:val="24"/>
        </w:rPr>
        <w:t>annual</w:t>
      </w:r>
      <w:r w:rsidRPr="001B0639" w:rsidR="001B0639">
        <w:rPr>
          <w:rFonts w:ascii="Aptos" w:hAnsi="Aptos" w:cs="Times New Roman"/>
          <w:sz w:val="24"/>
          <w:szCs w:val="24"/>
        </w:rPr>
        <w:t xml:space="preserve"> burden for </w:t>
      </w:r>
      <w:r w:rsidR="00F5290B">
        <w:rPr>
          <w:rFonts w:ascii="Aptos" w:hAnsi="Aptos" w:cs="Times New Roman"/>
          <w:sz w:val="24"/>
          <w:szCs w:val="24"/>
        </w:rPr>
        <w:t>SOs to certify the Institutional Certification in the Legacy Syste</w:t>
      </w:r>
      <w:r w:rsidR="007C6440">
        <w:rPr>
          <w:rFonts w:ascii="Aptos" w:hAnsi="Aptos" w:cs="Times New Roman"/>
          <w:sz w:val="24"/>
          <w:szCs w:val="24"/>
        </w:rPr>
        <w:t>m</w:t>
      </w:r>
      <w:r w:rsidRPr="001B0639" w:rsidR="001B0639">
        <w:rPr>
          <w:rFonts w:ascii="Aptos" w:hAnsi="Aptos" w:cs="Times New Roman"/>
          <w:sz w:val="24"/>
          <w:szCs w:val="24"/>
        </w:rPr>
        <w:t xml:space="preserve"> is </w:t>
      </w:r>
      <w:r w:rsidR="007C6440">
        <w:rPr>
          <w:rFonts w:ascii="Aptos" w:hAnsi="Aptos" w:cs="Times New Roman"/>
          <w:sz w:val="24"/>
          <w:szCs w:val="24"/>
        </w:rPr>
        <w:t>136</w:t>
      </w:r>
      <w:r w:rsidRPr="001B0639" w:rsidR="001B0639">
        <w:rPr>
          <w:rFonts w:ascii="Aptos" w:hAnsi="Aptos" w:cs="Times New Roman"/>
          <w:sz w:val="24"/>
          <w:szCs w:val="24"/>
        </w:rPr>
        <w:t xml:space="preserve"> hours</w:t>
      </w:r>
      <w:r w:rsidR="007C6440">
        <w:rPr>
          <w:rFonts w:ascii="Aptos" w:hAnsi="Aptos" w:cs="Times New Roman"/>
          <w:sz w:val="24"/>
          <w:szCs w:val="24"/>
        </w:rPr>
        <w:t xml:space="preserve">, and </w:t>
      </w:r>
      <w:r w:rsidR="00B141A8">
        <w:rPr>
          <w:rFonts w:ascii="Aptos" w:hAnsi="Aptos" w:cs="Times New Roman"/>
          <w:sz w:val="24"/>
          <w:szCs w:val="24"/>
        </w:rPr>
        <w:t xml:space="preserve">for SOs to certify the Data Submission Certification in the Legacy System is </w:t>
      </w:r>
      <w:r w:rsidRPr="72194E9D" w:rsidR="2DF7B9ED">
        <w:rPr>
          <w:rFonts w:ascii="Aptos" w:hAnsi="Aptos" w:cs="Times New Roman"/>
          <w:sz w:val="24"/>
          <w:szCs w:val="24"/>
        </w:rPr>
        <w:t>6</w:t>
      </w:r>
      <w:r w:rsidR="00B141A8">
        <w:rPr>
          <w:rFonts w:ascii="Aptos" w:hAnsi="Aptos" w:cs="Times New Roman"/>
          <w:sz w:val="24"/>
          <w:szCs w:val="24"/>
        </w:rPr>
        <w:t xml:space="preserve"> hours</w:t>
      </w:r>
      <w:r w:rsidRPr="001B0639" w:rsidR="001B0639">
        <w:rPr>
          <w:rFonts w:ascii="Aptos" w:hAnsi="Aptos" w:cs="Times New Roman"/>
          <w:sz w:val="24"/>
          <w:szCs w:val="24"/>
        </w:rPr>
        <w:t xml:space="preserve">. </w:t>
      </w:r>
      <w:r w:rsidRPr="000F2E0C" w:rsidR="00493928">
        <w:rPr>
          <w:rFonts w:ascii="Aptos" w:hAnsi="Aptos" w:cs="Times New Roman"/>
          <w:sz w:val="24"/>
          <w:szCs w:val="24"/>
          <w:highlight w:val="yellow"/>
        </w:rPr>
        <w:t xml:space="preserve">The total annual hour burden for SOs to certify the Institutional Certification in the New System is </w:t>
      </w:r>
      <w:r w:rsidRPr="000F2E0C" w:rsidR="00206EFF">
        <w:rPr>
          <w:rFonts w:ascii="Aptos" w:hAnsi="Aptos" w:cs="Times New Roman"/>
          <w:sz w:val="24"/>
          <w:szCs w:val="24"/>
          <w:highlight w:val="yellow"/>
        </w:rPr>
        <w:t>849 hours</w:t>
      </w:r>
      <w:r w:rsidRPr="000F2E0C" w:rsidR="00DF7EE6">
        <w:rPr>
          <w:rFonts w:ascii="Aptos" w:hAnsi="Aptos" w:cs="Times New Roman"/>
          <w:sz w:val="24"/>
          <w:szCs w:val="24"/>
          <w:highlight w:val="yellow"/>
        </w:rPr>
        <w:t xml:space="preserve">, and for SOs to certify the Data Submission Certification in the New System is </w:t>
      </w:r>
      <w:r w:rsidRPr="000F2E0C" w:rsidR="004234E2">
        <w:rPr>
          <w:rFonts w:ascii="Aptos" w:hAnsi="Aptos" w:cs="Times New Roman"/>
          <w:sz w:val="24"/>
          <w:szCs w:val="24"/>
          <w:highlight w:val="yellow"/>
        </w:rPr>
        <w:t>408 hours.</w:t>
      </w:r>
      <w:r w:rsidR="004234E2">
        <w:rPr>
          <w:rFonts w:ascii="Aptos" w:hAnsi="Aptos" w:cs="Times New Roman"/>
          <w:sz w:val="24"/>
          <w:szCs w:val="24"/>
        </w:rPr>
        <w:t xml:space="preserve"> </w:t>
      </w:r>
      <w:r w:rsidRPr="001B0639" w:rsidR="001B0639">
        <w:rPr>
          <w:rFonts w:ascii="Aptos" w:hAnsi="Aptos" w:cs="Times New Roman"/>
          <w:sz w:val="24"/>
          <w:szCs w:val="24"/>
        </w:rPr>
        <w:t xml:space="preserve">The total annual burden for </w:t>
      </w:r>
      <w:r w:rsidR="001A78A7">
        <w:rPr>
          <w:rFonts w:ascii="Aptos" w:hAnsi="Aptos" w:cs="Times New Roman"/>
          <w:sz w:val="24"/>
          <w:szCs w:val="24"/>
        </w:rPr>
        <w:t xml:space="preserve">the Legacy System is </w:t>
      </w:r>
      <w:r w:rsidRPr="72194E9D" w:rsidR="001A78A7">
        <w:rPr>
          <w:rFonts w:ascii="Aptos" w:hAnsi="Aptos" w:cs="Times New Roman"/>
          <w:sz w:val="24"/>
          <w:szCs w:val="24"/>
        </w:rPr>
        <w:t>42</w:t>
      </w:r>
      <w:r w:rsidRPr="72194E9D" w:rsidR="701CFCB4">
        <w:rPr>
          <w:rFonts w:ascii="Aptos" w:hAnsi="Aptos" w:cs="Times New Roman"/>
          <w:sz w:val="24"/>
          <w:szCs w:val="24"/>
        </w:rPr>
        <w:t>5</w:t>
      </w:r>
      <w:r w:rsidR="001A78A7">
        <w:rPr>
          <w:rFonts w:ascii="Aptos" w:hAnsi="Aptos" w:cs="Times New Roman"/>
          <w:sz w:val="24"/>
          <w:szCs w:val="24"/>
        </w:rPr>
        <w:t xml:space="preserve"> hours and for </w:t>
      </w:r>
      <w:r w:rsidRPr="000F2E0C" w:rsidR="001A78A7">
        <w:rPr>
          <w:rFonts w:ascii="Aptos" w:hAnsi="Aptos" w:cs="Times New Roman"/>
          <w:sz w:val="24"/>
          <w:szCs w:val="24"/>
          <w:highlight w:val="yellow"/>
        </w:rPr>
        <w:t xml:space="preserve">the New </w:t>
      </w:r>
      <w:r w:rsidRPr="000F2E0C" w:rsidR="001A78A7">
        <w:rPr>
          <w:rFonts w:ascii="Aptos" w:hAnsi="Aptos" w:cs="Times New Roman"/>
          <w:sz w:val="24"/>
          <w:szCs w:val="24"/>
          <w:highlight w:val="yellow"/>
        </w:rPr>
        <w:t>System</w:t>
      </w:r>
      <w:r w:rsidRPr="000F2E0C" w:rsidR="001A78A7">
        <w:rPr>
          <w:rFonts w:ascii="Aptos" w:hAnsi="Aptos" w:cs="Times New Roman"/>
          <w:sz w:val="24"/>
          <w:szCs w:val="24"/>
          <w:highlight w:val="yellow"/>
        </w:rPr>
        <w:t xml:space="preserve"> is </w:t>
      </w:r>
      <w:r w:rsidRPr="000F2E0C" w:rsidR="003754AD">
        <w:rPr>
          <w:rFonts w:ascii="Aptos" w:hAnsi="Aptos" w:cs="Times New Roman"/>
          <w:sz w:val="24"/>
          <w:szCs w:val="24"/>
          <w:highlight w:val="yellow"/>
        </w:rPr>
        <w:t>127</w:t>
      </w:r>
      <w:r w:rsidR="00093D48">
        <w:rPr>
          <w:rFonts w:ascii="Aptos" w:hAnsi="Aptos" w:cs="Times New Roman"/>
          <w:sz w:val="24"/>
          <w:szCs w:val="24"/>
          <w:highlight w:val="yellow"/>
        </w:rPr>
        <w:t xml:space="preserve">4 </w:t>
      </w:r>
      <w:r w:rsidRPr="000F2E0C" w:rsidR="001B0639">
        <w:rPr>
          <w:rFonts w:ascii="Aptos" w:hAnsi="Aptos" w:cs="Times New Roman"/>
          <w:sz w:val="24"/>
          <w:szCs w:val="24"/>
          <w:highlight w:val="yellow"/>
        </w:rPr>
        <w:t>hours.</w:t>
      </w:r>
    </w:p>
    <w:p w:rsidR="0031749D" w:rsidP="0031749D" w14:paraId="7F5ACD57" w14:textId="50472DDC">
      <w:pPr>
        <w:rPr>
          <w:rFonts w:ascii="Aptos" w:hAnsi="Aptos" w:cs="Times New Roman"/>
          <w:i/>
          <w:sz w:val="24"/>
          <w:szCs w:val="24"/>
          <w:u w:val="single"/>
        </w:rPr>
      </w:pPr>
      <w:r>
        <w:rPr>
          <w:rFonts w:ascii="Aptos" w:hAnsi="Aptos" w:cs="Times New Roman"/>
          <w:i/>
          <w:sz w:val="24"/>
          <w:szCs w:val="24"/>
          <w:u w:val="single"/>
        </w:rPr>
        <w:t>Data Access</w:t>
      </w:r>
    </w:p>
    <w:p w:rsidR="005E1DE0" w:rsidP="005E1DE0" w14:paraId="7065ABC2" w14:textId="4A538997">
      <w:pPr>
        <w:rPr>
          <w:rFonts w:ascii="Aptos" w:hAnsi="Aptos" w:cs="Times New Roman"/>
          <w:iCs/>
          <w:sz w:val="24"/>
          <w:szCs w:val="24"/>
        </w:rPr>
      </w:pPr>
      <w:r w:rsidRPr="005E1DE0">
        <w:rPr>
          <w:rFonts w:ascii="Aptos" w:hAnsi="Aptos" w:cs="Times New Roman"/>
          <w:iCs/>
          <w:sz w:val="24"/>
          <w:szCs w:val="24"/>
        </w:rPr>
        <w:t xml:space="preserve">On an annual basis, the </w:t>
      </w:r>
      <w:r>
        <w:rPr>
          <w:rFonts w:ascii="Aptos" w:hAnsi="Aptos" w:cs="Times New Roman"/>
          <w:iCs/>
          <w:sz w:val="24"/>
          <w:szCs w:val="24"/>
        </w:rPr>
        <w:t>P</w:t>
      </w:r>
      <w:r w:rsidR="00880E9A">
        <w:rPr>
          <w:rFonts w:ascii="Aptos" w:hAnsi="Aptos" w:cs="Times New Roman"/>
          <w:iCs/>
          <w:sz w:val="24"/>
          <w:szCs w:val="24"/>
        </w:rPr>
        <w:t>I</w:t>
      </w:r>
      <w:r w:rsidRPr="005E1DE0">
        <w:rPr>
          <w:rFonts w:ascii="Aptos" w:hAnsi="Aptos" w:cs="Times New Roman"/>
          <w:iCs/>
          <w:sz w:val="24"/>
          <w:szCs w:val="24"/>
        </w:rPr>
        <w:t xml:space="preserve"> completes only one of the three forms for a given project (i.e., initial</w:t>
      </w:r>
      <w:r w:rsidR="00580A03">
        <w:rPr>
          <w:rFonts w:ascii="Aptos" w:hAnsi="Aptos" w:cs="Times New Roman"/>
          <w:iCs/>
          <w:sz w:val="24"/>
          <w:szCs w:val="24"/>
        </w:rPr>
        <w:t xml:space="preserve"> DAR application</w:t>
      </w:r>
      <w:r w:rsidRPr="005E1DE0">
        <w:rPr>
          <w:rFonts w:ascii="Aptos" w:hAnsi="Aptos" w:cs="Times New Roman"/>
          <w:iCs/>
          <w:sz w:val="24"/>
          <w:szCs w:val="24"/>
        </w:rPr>
        <w:t xml:space="preserve">, Renewal, or Close-out). </w:t>
      </w:r>
      <w:r w:rsidRPr="005E1DE0">
        <w:rPr>
          <w:rFonts w:ascii="Aptos" w:hAnsi="Aptos" w:cs="Times New Roman"/>
          <w:iCs/>
          <w:sz w:val="24"/>
          <w:szCs w:val="24"/>
        </w:rPr>
        <w:t>In order to</w:t>
      </w:r>
      <w:r w:rsidRPr="005E1DE0">
        <w:rPr>
          <w:rFonts w:ascii="Aptos" w:hAnsi="Aptos" w:cs="Times New Roman"/>
          <w:iCs/>
          <w:sz w:val="24"/>
          <w:szCs w:val="24"/>
        </w:rPr>
        <w:t xml:space="preserve"> request data, a </w:t>
      </w:r>
      <w:r w:rsidR="007F391B">
        <w:rPr>
          <w:rFonts w:ascii="Aptos" w:hAnsi="Aptos" w:cs="Times New Roman"/>
          <w:iCs/>
          <w:sz w:val="24"/>
          <w:szCs w:val="24"/>
        </w:rPr>
        <w:t>PI</w:t>
      </w:r>
      <w:r w:rsidRPr="005E1DE0">
        <w:rPr>
          <w:rFonts w:ascii="Aptos" w:hAnsi="Aptos" w:cs="Times New Roman"/>
          <w:iCs/>
          <w:sz w:val="24"/>
          <w:szCs w:val="24"/>
        </w:rPr>
        <w:t xml:space="preserve"> must complete a</w:t>
      </w:r>
      <w:r w:rsidR="004C117A">
        <w:rPr>
          <w:rFonts w:ascii="Aptos" w:hAnsi="Aptos" w:cs="Times New Roman"/>
          <w:iCs/>
          <w:sz w:val="24"/>
          <w:szCs w:val="24"/>
        </w:rPr>
        <w:t>n initial</w:t>
      </w:r>
      <w:r w:rsidRPr="005E1DE0">
        <w:rPr>
          <w:rFonts w:ascii="Aptos" w:hAnsi="Aptos" w:cs="Times New Roman"/>
          <w:iCs/>
          <w:sz w:val="24"/>
          <w:szCs w:val="24"/>
        </w:rPr>
        <w:t xml:space="preserve"> DAR</w:t>
      </w:r>
      <w:r w:rsidR="0034469B">
        <w:rPr>
          <w:rFonts w:ascii="Aptos" w:hAnsi="Aptos" w:cs="Times New Roman"/>
          <w:iCs/>
          <w:sz w:val="24"/>
          <w:szCs w:val="24"/>
        </w:rPr>
        <w:t xml:space="preserve"> </w:t>
      </w:r>
      <w:r w:rsidR="00E660F6">
        <w:rPr>
          <w:rFonts w:ascii="Aptos" w:hAnsi="Aptos" w:cs="Times New Roman"/>
          <w:iCs/>
          <w:sz w:val="24"/>
          <w:szCs w:val="24"/>
        </w:rPr>
        <w:t>application</w:t>
      </w:r>
      <w:r w:rsidRPr="005E1DE0">
        <w:rPr>
          <w:rFonts w:ascii="Aptos" w:hAnsi="Aptos" w:cs="Times New Roman"/>
          <w:iCs/>
          <w:sz w:val="24"/>
          <w:szCs w:val="24"/>
        </w:rPr>
        <w:t>. This step also requires the Institutional Signing Official</w:t>
      </w:r>
      <w:r w:rsidR="00E660F6">
        <w:rPr>
          <w:rFonts w:ascii="Aptos" w:hAnsi="Aptos" w:cs="Times New Roman"/>
          <w:iCs/>
          <w:sz w:val="24"/>
          <w:szCs w:val="24"/>
        </w:rPr>
        <w:t xml:space="preserve"> (SO)</w:t>
      </w:r>
      <w:r w:rsidRPr="005E1DE0">
        <w:rPr>
          <w:rFonts w:ascii="Aptos" w:hAnsi="Aptos" w:cs="Times New Roman"/>
          <w:iCs/>
          <w:sz w:val="24"/>
          <w:szCs w:val="24"/>
        </w:rPr>
        <w:t xml:space="preserve"> to review the </w:t>
      </w:r>
      <w:r w:rsidR="004C117A">
        <w:rPr>
          <w:rFonts w:ascii="Aptos" w:hAnsi="Aptos" w:cs="Times New Roman"/>
          <w:iCs/>
          <w:sz w:val="24"/>
          <w:szCs w:val="24"/>
        </w:rPr>
        <w:t xml:space="preserve">initial </w:t>
      </w:r>
      <w:r w:rsidRPr="005E1DE0">
        <w:rPr>
          <w:rFonts w:ascii="Aptos" w:hAnsi="Aptos" w:cs="Times New Roman"/>
          <w:iCs/>
          <w:sz w:val="24"/>
          <w:szCs w:val="24"/>
        </w:rPr>
        <w:t>DAR</w:t>
      </w:r>
      <w:r w:rsidR="00E660F6">
        <w:rPr>
          <w:rFonts w:ascii="Aptos" w:hAnsi="Aptos" w:cs="Times New Roman"/>
          <w:iCs/>
          <w:sz w:val="24"/>
          <w:szCs w:val="24"/>
        </w:rPr>
        <w:t xml:space="preserve"> application</w:t>
      </w:r>
      <w:r w:rsidRPr="005E1DE0">
        <w:rPr>
          <w:rFonts w:ascii="Aptos" w:hAnsi="Aptos" w:cs="Times New Roman"/>
          <w:iCs/>
          <w:sz w:val="24"/>
          <w:szCs w:val="24"/>
        </w:rPr>
        <w:t xml:space="preserve">, and both the </w:t>
      </w:r>
      <w:r w:rsidR="00E660F6">
        <w:rPr>
          <w:rFonts w:ascii="Aptos" w:hAnsi="Aptos" w:cs="Times New Roman"/>
          <w:iCs/>
          <w:sz w:val="24"/>
          <w:szCs w:val="24"/>
        </w:rPr>
        <w:t>PI</w:t>
      </w:r>
      <w:r w:rsidRPr="005E1DE0">
        <w:rPr>
          <w:rFonts w:ascii="Aptos" w:hAnsi="Aptos" w:cs="Times New Roman"/>
          <w:iCs/>
          <w:sz w:val="24"/>
          <w:szCs w:val="24"/>
        </w:rPr>
        <w:t xml:space="preserve"> and </w:t>
      </w:r>
      <w:r w:rsidR="00E660F6">
        <w:rPr>
          <w:rFonts w:ascii="Aptos" w:hAnsi="Aptos" w:cs="Times New Roman"/>
          <w:iCs/>
          <w:sz w:val="24"/>
          <w:szCs w:val="24"/>
        </w:rPr>
        <w:t>SO co-sign the Data Use Certification or similar agreem</w:t>
      </w:r>
      <w:r w:rsidR="00DD3EC6">
        <w:rPr>
          <w:rFonts w:ascii="Aptos" w:hAnsi="Aptos" w:cs="Times New Roman"/>
          <w:iCs/>
          <w:sz w:val="24"/>
          <w:szCs w:val="24"/>
        </w:rPr>
        <w:t xml:space="preserve">ent </w:t>
      </w:r>
      <w:r w:rsidR="003120E2">
        <w:rPr>
          <w:rFonts w:ascii="Aptos" w:hAnsi="Aptos" w:cs="Times New Roman"/>
          <w:iCs/>
          <w:sz w:val="24"/>
          <w:szCs w:val="24"/>
        </w:rPr>
        <w:t>to use the data according to the terms of access for secondary research use</w:t>
      </w:r>
      <w:r w:rsidRPr="005E1DE0">
        <w:rPr>
          <w:rFonts w:ascii="Aptos" w:hAnsi="Aptos" w:cs="Times New Roman"/>
          <w:iCs/>
          <w:sz w:val="24"/>
          <w:szCs w:val="24"/>
        </w:rPr>
        <w:t>. Upon approval of t</w:t>
      </w:r>
      <w:r w:rsidR="003243A3">
        <w:rPr>
          <w:rFonts w:ascii="Aptos" w:hAnsi="Aptos" w:cs="Times New Roman"/>
          <w:iCs/>
          <w:sz w:val="24"/>
          <w:szCs w:val="24"/>
        </w:rPr>
        <w:t>he initial DAR application</w:t>
      </w:r>
      <w:r w:rsidRPr="005E1DE0">
        <w:rPr>
          <w:rFonts w:ascii="Aptos" w:hAnsi="Aptos" w:cs="Times New Roman"/>
          <w:iCs/>
          <w:sz w:val="24"/>
          <w:szCs w:val="24"/>
        </w:rPr>
        <w:t xml:space="preserve">, </w:t>
      </w:r>
      <w:r w:rsidR="003243A3">
        <w:rPr>
          <w:rFonts w:ascii="Aptos" w:hAnsi="Aptos" w:cs="Times New Roman"/>
          <w:iCs/>
          <w:sz w:val="24"/>
          <w:szCs w:val="24"/>
        </w:rPr>
        <w:t>PIs</w:t>
      </w:r>
      <w:r w:rsidRPr="005E1DE0">
        <w:rPr>
          <w:rFonts w:ascii="Aptos" w:hAnsi="Aptos" w:cs="Times New Roman"/>
          <w:iCs/>
          <w:sz w:val="24"/>
          <w:szCs w:val="24"/>
        </w:rPr>
        <w:t xml:space="preserve"> are granted access to the data for one year. At the end of the year, </w:t>
      </w:r>
      <w:r w:rsidR="003243A3">
        <w:rPr>
          <w:rFonts w:ascii="Aptos" w:hAnsi="Aptos" w:cs="Times New Roman"/>
          <w:iCs/>
          <w:sz w:val="24"/>
          <w:szCs w:val="24"/>
        </w:rPr>
        <w:t>PIs</w:t>
      </w:r>
      <w:r w:rsidRPr="005E1DE0">
        <w:rPr>
          <w:rFonts w:ascii="Aptos" w:hAnsi="Aptos" w:cs="Times New Roman"/>
          <w:iCs/>
          <w:sz w:val="24"/>
          <w:szCs w:val="24"/>
        </w:rPr>
        <w:t xml:space="preserve"> who wish to continue to use the data must complete a Renewal to extend the access period for another year. Information from the </w:t>
      </w:r>
      <w:r w:rsidR="001700BF">
        <w:rPr>
          <w:rFonts w:ascii="Aptos" w:hAnsi="Aptos" w:cs="Times New Roman"/>
          <w:iCs/>
          <w:sz w:val="24"/>
          <w:szCs w:val="24"/>
        </w:rPr>
        <w:t xml:space="preserve">initial </w:t>
      </w:r>
      <w:r w:rsidRPr="005E1DE0">
        <w:rPr>
          <w:rFonts w:ascii="Aptos" w:hAnsi="Aptos" w:cs="Times New Roman"/>
          <w:iCs/>
          <w:sz w:val="24"/>
          <w:szCs w:val="24"/>
        </w:rPr>
        <w:t xml:space="preserve">DAR </w:t>
      </w:r>
      <w:r w:rsidR="001700BF">
        <w:rPr>
          <w:rFonts w:ascii="Aptos" w:hAnsi="Aptos" w:cs="Times New Roman"/>
          <w:iCs/>
          <w:sz w:val="24"/>
          <w:szCs w:val="24"/>
        </w:rPr>
        <w:t xml:space="preserve">application </w:t>
      </w:r>
      <w:r w:rsidRPr="005E1DE0">
        <w:rPr>
          <w:rFonts w:ascii="Aptos" w:hAnsi="Aptos" w:cs="Times New Roman"/>
          <w:iCs/>
          <w:sz w:val="24"/>
          <w:szCs w:val="24"/>
        </w:rPr>
        <w:t xml:space="preserve">is automatically incorporated into the </w:t>
      </w:r>
      <w:r w:rsidR="003243A3">
        <w:rPr>
          <w:rFonts w:ascii="Aptos" w:hAnsi="Aptos" w:cs="Times New Roman"/>
          <w:iCs/>
          <w:sz w:val="24"/>
          <w:szCs w:val="24"/>
        </w:rPr>
        <w:t>PI’s</w:t>
      </w:r>
      <w:r w:rsidRPr="005E1DE0">
        <w:rPr>
          <w:rFonts w:ascii="Aptos" w:hAnsi="Aptos" w:cs="Times New Roman"/>
          <w:iCs/>
          <w:sz w:val="24"/>
          <w:szCs w:val="24"/>
        </w:rPr>
        <w:t xml:space="preserve"> Renewal, and the </w:t>
      </w:r>
      <w:r w:rsidR="001700BF">
        <w:rPr>
          <w:rFonts w:ascii="Aptos" w:hAnsi="Aptos" w:cs="Times New Roman"/>
          <w:iCs/>
          <w:sz w:val="24"/>
          <w:szCs w:val="24"/>
        </w:rPr>
        <w:t>PI</w:t>
      </w:r>
      <w:r w:rsidRPr="005E1DE0">
        <w:rPr>
          <w:rFonts w:ascii="Aptos" w:hAnsi="Aptos" w:cs="Times New Roman"/>
          <w:iCs/>
          <w:sz w:val="24"/>
          <w:szCs w:val="24"/>
        </w:rPr>
        <w:t xml:space="preserve"> provides additional information such as a description of research progress, publications, presentations, </w:t>
      </w:r>
      <w:r w:rsidR="00A25BCF">
        <w:rPr>
          <w:rFonts w:ascii="Aptos" w:hAnsi="Aptos" w:cs="Times New Roman"/>
          <w:iCs/>
          <w:sz w:val="24"/>
          <w:szCs w:val="24"/>
        </w:rPr>
        <w:t xml:space="preserve">if applicable, reporting of any data management incidents (DMIs), </w:t>
      </w:r>
      <w:r w:rsidRPr="005E1DE0">
        <w:rPr>
          <w:rFonts w:ascii="Aptos" w:hAnsi="Aptos" w:cs="Times New Roman"/>
          <w:iCs/>
          <w:sz w:val="24"/>
          <w:szCs w:val="24"/>
        </w:rPr>
        <w:t xml:space="preserve">and intellectual property that are based on the secondary use of </w:t>
      </w:r>
      <w:r w:rsidR="007B0A3B">
        <w:rPr>
          <w:rFonts w:ascii="Aptos" w:hAnsi="Aptos" w:cs="Times New Roman"/>
          <w:iCs/>
          <w:sz w:val="24"/>
          <w:szCs w:val="24"/>
        </w:rPr>
        <w:t xml:space="preserve">the </w:t>
      </w:r>
      <w:r w:rsidRPr="005E1DE0">
        <w:rPr>
          <w:rFonts w:ascii="Aptos" w:hAnsi="Aptos" w:cs="Times New Roman"/>
          <w:iCs/>
          <w:sz w:val="24"/>
          <w:szCs w:val="24"/>
        </w:rPr>
        <w:t>data.</w:t>
      </w:r>
      <w:r w:rsidR="00827308">
        <w:rPr>
          <w:rFonts w:ascii="Aptos" w:hAnsi="Aptos" w:cs="Times New Roman"/>
          <w:iCs/>
          <w:sz w:val="24"/>
          <w:szCs w:val="24"/>
        </w:rPr>
        <w:t xml:space="preserve"> </w:t>
      </w:r>
      <w:r w:rsidRPr="005E1DE0" w:rsidR="00827308">
        <w:rPr>
          <w:rFonts w:ascii="Aptos" w:hAnsi="Aptos" w:cs="Times New Roman"/>
          <w:iCs/>
          <w:sz w:val="24"/>
          <w:szCs w:val="24"/>
        </w:rPr>
        <w:t xml:space="preserve">This step also requires the </w:t>
      </w:r>
      <w:r w:rsidR="00827308">
        <w:rPr>
          <w:rFonts w:ascii="Aptos" w:hAnsi="Aptos" w:cs="Times New Roman"/>
          <w:iCs/>
          <w:sz w:val="24"/>
          <w:szCs w:val="24"/>
        </w:rPr>
        <w:t>SO</w:t>
      </w:r>
      <w:r w:rsidRPr="005E1DE0" w:rsidR="00827308">
        <w:rPr>
          <w:rFonts w:ascii="Aptos" w:hAnsi="Aptos" w:cs="Times New Roman"/>
          <w:iCs/>
          <w:sz w:val="24"/>
          <w:szCs w:val="24"/>
        </w:rPr>
        <w:t xml:space="preserve"> to review the </w:t>
      </w:r>
      <w:r w:rsidR="0025387C">
        <w:rPr>
          <w:rFonts w:ascii="Aptos" w:hAnsi="Aptos" w:cs="Times New Roman"/>
          <w:iCs/>
          <w:sz w:val="24"/>
          <w:szCs w:val="24"/>
        </w:rPr>
        <w:t>Renewal</w:t>
      </w:r>
      <w:r w:rsidRPr="005E1DE0" w:rsidR="00827308">
        <w:rPr>
          <w:rFonts w:ascii="Aptos" w:hAnsi="Aptos" w:cs="Times New Roman"/>
          <w:iCs/>
          <w:sz w:val="24"/>
          <w:szCs w:val="24"/>
        </w:rPr>
        <w:t xml:space="preserve">, and both the </w:t>
      </w:r>
      <w:r w:rsidR="00827308">
        <w:rPr>
          <w:rFonts w:ascii="Aptos" w:hAnsi="Aptos" w:cs="Times New Roman"/>
          <w:iCs/>
          <w:sz w:val="24"/>
          <w:szCs w:val="24"/>
        </w:rPr>
        <w:t>PI</w:t>
      </w:r>
      <w:r w:rsidRPr="005E1DE0" w:rsidR="00827308">
        <w:rPr>
          <w:rFonts w:ascii="Aptos" w:hAnsi="Aptos" w:cs="Times New Roman"/>
          <w:iCs/>
          <w:sz w:val="24"/>
          <w:szCs w:val="24"/>
        </w:rPr>
        <w:t xml:space="preserve"> and </w:t>
      </w:r>
      <w:r w:rsidR="00827308">
        <w:rPr>
          <w:rFonts w:ascii="Aptos" w:hAnsi="Aptos" w:cs="Times New Roman"/>
          <w:iCs/>
          <w:sz w:val="24"/>
          <w:szCs w:val="24"/>
        </w:rPr>
        <w:t>SO co-sign the Data Use Certification or similar agreement to use the data</w:t>
      </w:r>
      <w:r w:rsidR="00874068">
        <w:rPr>
          <w:rFonts w:ascii="Aptos" w:hAnsi="Aptos" w:cs="Times New Roman"/>
          <w:iCs/>
          <w:sz w:val="24"/>
          <w:szCs w:val="24"/>
        </w:rPr>
        <w:t xml:space="preserve"> according to the terms of access</w:t>
      </w:r>
      <w:r w:rsidR="00827308">
        <w:rPr>
          <w:rFonts w:ascii="Aptos" w:hAnsi="Aptos" w:cs="Times New Roman"/>
          <w:iCs/>
          <w:sz w:val="24"/>
          <w:szCs w:val="24"/>
        </w:rPr>
        <w:t xml:space="preserve"> for secondary research use</w:t>
      </w:r>
      <w:r w:rsidR="00B1630C">
        <w:rPr>
          <w:rFonts w:ascii="Aptos" w:hAnsi="Aptos" w:cs="Times New Roman"/>
          <w:iCs/>
          <w:sz w:val="24"/>
          <w:szCs w:val="24"/>
        </w:rPr>
        <w:t>.</w:t>
      </w:r>
    </w:p>
    <w:p w:rsidR="00E11FCF" w:rsidRPr="00E11FCF" w:rsidP="00E11FCF" w14:paraId="70B6A830" w14:textId="07CD8BCB">
      <w:pPr>
        <w:rPr>
          <w:rFonts w:ascii="Aptos" w:hAnsi="Aptos" w:cs="Times New Roman"/>
          <w:iCs/>
          <w:sz w:val="24"/>
          <w:szCs w:val="24"/>
        </w:rPr>
      </w:pPr>
      <w:r>
        <w:rPr>
          <w:rFonts w:ascii="Aptos" w:hAnsi="Aptos" w:cs="Times New Roman"/>
          <w:iCs/>
          <w:sz w:val="24"/>
          <w:szCs w:val="24"/>
        </w:rPr>
        <w:t>PIs</w:t>
      </w:r>
      <w:r w:rsidRPr="00E11FCF">
        <w:rPr>
          <w:rFonts w:ascii="Aptos" w:hAnsi="Aptos" w:cs="Times New Roman"/>
          <w:iCs/>
          <w:sz w:val="24"/>
          <w:szCs w:val="24"/>
        </w:rPr>
        <w:t xml:space="preserve"> who do not wish to renew their access complete a Close-out. Information from the </w:t>
      </w:r>
      <w:r>
        <w:rPr>
          <w:rFonts w:ascii="Aptos" w:hAnsi="Aptos" w:cs="Times New Roman"/>
          <w:iCs/>
          <w:sz w:val="24"/>
          <w:szCs w:val="24"/>
        </w:rPr>
        <w:t>initia</w:t>
      </w:r>
      <w:r w:rsidRPr="00E11FCF">
        <w:rPr>
          <w:rFonts w:ascii="Aptos" w:hAnsi="Aptos" w:cs="Times New Roman"/>
          <w:iCs/>
          <w:sz w:val="24"/>
          <w:szCs w:val="24"/>
        </w:rPr>
        <w:t>l DAR</w:t>
      </w:r>
      <w:r>
        <w:rPr>
          <w:rFonts w:ascii="Aptos" w:hAnsi="Aptos" w:cs="Times New Roman"/>
          <w:iCs/>
          <w:sz w:val="24"/>
          <w:szCs w:val="24"/>
        </w:rPr>
        <w:t xml:space="preserve"> application</w:t>
      </w:r>
      <w:r w:rsidRPr="00E11FCF">
        <w:rPr>
          <w:rFonts w:ascii="Aptos" w:hAnsi="Aptos" w:cs="Times New Roman"/>
          <w:iCs/>
          <w:sz w:val="24"/>
          <w:szCs w:val="24"/>
        </w:rPr>
        <w:t xml:space="preserve"> or Renewal is automatically incorporated into the Close-out, and the </w:t>
      </w:r>
      <w:r>
        <w:rPr>
          <w:rFonts w:ascii="Aptos" w:hAnsi="Aptos" w:cs="Times New Roman"/>
          <w:iCs/>
          <w:sz w:val="24"/>
          <w:szCs w:val="24"/>
        </w:rPr>
        <w:t>PI</w:t>
      </w:r>
      <w:r w:rsidRPr="00E11FCF">
        <w:rPr>
          <w:rFonts w:ascii="Aptos" w:hAnsi="Aptos" w:cs="Times New Roman"/>
          <w:iCs/>
          <w:sz w:val="24"/>
          <w:szCs w:val="24"/>
        </w:rPr>
        <w:t xml:space="preserve"> provides additional information such </w:t>
      </w:r>
      <w:r w:rsidRPr="005E1DE0" w:rsidR="00A25BCF">
        <w:rPr>
          <w:rFonts w:ascii="Aptos" w:hAnsi="Aptos" w:cs="Times New Roman"/>
          <w:iCs/>
          <w:sz w:val="24"/>
          <w:szCs w:val="24"/>
        </w:rPr>
        <w:t xml:space="preserve">as a description of research </w:t>
      </w:r>
      <w:r w:rsidR="00A25BCF">
        <w:rPr>
          <w:rFonts w:ascii="Aptos" w:hAnsi="Aptos" w:cs="Times New Roman"/>
          <w:iCs/>
          <w:sz w:val="24"/>
          <w:szCs w:val="24"/>
        </w:rPr>
        <w:t>conducted over the project period</w:t>
      </w:r>
      <w:r w:rsidRPr="005E1DE0" w:rsidR="00A25BCF">
        <w:rPr>
          <w:rFonts w:ascii="Aptos" w:hAnsi="Aptos" w:cs="Times New Roman"/>
          <w:iCs/>
          <w:sz w:val="24"/>
          <w:szCs w:val="24"/>
        </w:rPr>
        <w:t xml:space="preserve">, publications, presentations, </w:t>
      </w:r>
      <w:r w:rsidR="00A25BCF">
        <w:rPr>
          <w:rFonts w:ascii="Aptos" w:hAnsi="Aptos" w:cs="Times New Roman"/>
          <w:iCs/>
          <w:sz w:val="24"/>
          <w:szCs w:val="24"/>
        </w:rPr>
        <w:t xml:space="preserve">if applicable, reporting of any data management incidents (DMIs), </w:t>
      </w:r>
      <w:r w:rsidR="00140544">
        <w:rPr>
          <w:rFonts w:ascii="Aptos" w:hAnsi="Aptos" w:cs="Times New Roman"/>
          <w:iCs/>
          <w:sz w:val="24"/>
          <w:szCs w:val="24"/>
        </w:rPr>
        <w:t xml:space="preserve">report on </w:t>
      </w:r>
      <w:r w:rsidRPr="005E1DE0" w:rsidR="00A25BCF">
        <w:rPr>
          <w:rFonts w:ascii="Aptos" w:hAnsi="Aptos" w:cs="Times New Roman"/>
          <w:iCs/>
          <w:sz w:val="24"/>
          <w:szCs w:val="24"/>
        </w:rPr>
        <w:t xml:space="preserve">intellectual property that are based on the secondary use of </w:t>
      </w:r>
      <w:r w:rsidR="00A25BCF">
        <w:rPr>
          <w:rFonts w:ascii="Aptos" w:hAnsi="Aptos" w:cs="Times New Roman"/>
          <w:iCs/>
          <w:sz w:val="24"/>
          <w:szCs w:val="24"/>
        </w:rPr>
        <w:t>the</w:t>
      </w:r>
      <w:r w:rsidRPr="19B73765" w:rsidR="39CED792">
        <w:rPr>
          <w:rFonts w:ascii="Aptos" w:hAnsi="Aptos" w:cs="Times New Roman"/>
          <w:sz w:val="24"/>
          <w:szCs w:val="24"/>
        </w:rPr>
        <w:t xml:space="preserve"> data</w:t>
      </w:r>
      <w:r w:rsidR="00140544">
        <w:rPr>
          <w:rFonts w:ascii="Aptos" w:hAnsi="Aptos" w:cs="Times New Roman"/>
          <w:iCs/>
          <w:sz w:val="24"/>
          <w:szCs w:val="24"/>
        </w:rPr>
        <w:t xml:space="preserve">, and </w:t>
      </w:r>
      <w:r w:rsidR="00A91FE3">
        <w:rPr>
          <w:rFonts w:ascii="Aptos" w:hAnsi="Aptos" w:cs="Times New Roman"/>
          <w:iCs/>
          <w:sz w:val="24"/>
          <w:szCs w:val="24"/>
        </w:rPr>
        <w:t>attest that the data have been deleted according to the NIH Security Best Practices for Users of Controlled-Access Data</w:t>
      </w:r>
      <w:r w:rsidRPr="00E11FCF">
        <w:rPr>
          <w:rFonts w:ascii="Aptos" w:hAnsi="Aptos" w:cs="Times New Roman"/>
          <w:iCs/>
          <w:sz w:val="24"/>
          <w:szCs w:val="24"/>
        </w:rPr>
        <w:t>.</w:t>
      </w:r>
      <w:r w:rsidR="00A91FE3">
        <w:rPr>
          <w:rFonts w:ascii="Aptos" w:hAnsi="Aptos" w:cs="Times New Roman"/>
          <w:iCs/>
          <w:sz w:val="24"/>
          <w:szCs w:val="24"/>
        </w:rPr>
        <w:t xml:space="preserve"> PIs</w:t>
      </w:r>
      <w:r w:rsidR="00005DD2">
        <w:rPr>
          <w:rFonts w:ascii="Aptos" w:hAnsi="Aptos" w:cs="Times New Roman"/>
          <w:iCs/>
          <w:sz w:val="24"/>
          <w:szCs w:val="24"/>
        </w:rPr>
        <w:t xml:space="preserve"> co-sign the Close-out with </w:t>
      </w:r>
      <w:r w:rsidR="00005DD2">
        <w:rPr>
          <w:rFonts w:ascii="Aptos" w:hAnsi="Aptos" w:cs="Times New Roman"/>
          <w:iCs/>
          <w:sz w:val="24"/>
          <w:szCs w:val="24"/>
        </w:rPr>
        <w:t xml:space="preserve">their SO, who reviews the Close-out, that the reporting and action to delete data has been completed. </w:t>
      </w:r>
    </w:p>
    <w:p w:rsidR="00080A2F" w:rsidRPr="00080A2F" w:rsidP="00080A2F" w14:paraId="5E3A630D" w14:textId="0783FCA3">
      <w:pPr>
        <w:rPr>
          <w:rFonts w:ascii="Aptos" w:hAnsi="Aptos" w:cs="Times New Roman"/>
          <w:iCs/>
          <w:sz w:val="24"/>
          <w:szCs w:val="24"/>
        </w:rPr>
      </w:pPr>
      <w:r w:rsidRPr="00080A2F">
        <w:rPr>
          <w:rFonts w:ascii="Aptos" w:hAnsi="Aptos" w:cs="Times New Roman"/>
          <w:iCs/>
          <w:sz w:val="24"/>
          <w:szCs w:val="24"/>
        </w:rPr>
        <w:t>The annual time burden estimates are calculated separately for the initial DAR</w:t>
      </w:r>
      <w:r w:rsidR="000361FF">
        <w:rPr>
          <w:rFonts w:ascii="Aptos" w:hAnsi="Aptos" w:cs="Times New Roman"/>
          <w:iCs/>
          <w:sz w:val="24"/>
          <w:szCs w:val="24"/>
        </w:rPr>
        <w:t xml:space="preserve"> application</w:t>
      </w:r>
      <w:r w:rsidRPr="00080A2F">
        <w:rPr>
          <w:rFonts w:ascii="Aptos" w:hAnsi="Aptos" w:cs="Times New Roman"/>
          <w:iCs/>
          <w:sz w:val="24"/>
          <w:szCs w:val="24"/>
        </w:rPr>
        <w:t xml:space="preserve"> and Renewal</w:t>
      </w:r>
      <w:r w:rsidR="000361FF">
        <w:rPr>
          <w:rFonts w:ascii="Aptos" w:hAnsi="Aptos" w:cs="Times New Roman"/>
          <w:iCs/>
          <w:sz w:val="24"/>
          <w:szCs w:val="24"/>
        </w:rPr>
        <w:t xml:space="preserve"> or </w:t>
      </w:r>
      <w:r w:rsidRPr="00080A2F">
        <w:rPr>
          <w:rFonts w:ascii="Aptos" w:hAnsi="Aptos" w:cs="Times New Roman"/>
          <w:iCs/>
          <w:sz w:val="24"/>
          <w:szCs w:val="24"/>
        </w:rPr>
        <w:t xml:space="preserve">Close-out. To estimate the number of respondents and the number of requests made per year, NIH totaled the number of respondents and DARs that were submitted over a two-year period and divided by two, for an average of </w:t>
      </w:r>
      <w:r w:rsidR="00E22A01">
        <w:rPr>
          <w:rFonts w:ascii="Aptos" w:hAnsi="Aptos" w:cs="Times New Roman"/>
          <w:iCs/>
          <w:sz w:val="24"/>
          <w:szCs w:val="24"/>
        </w:rPr>
        <w:t>2</w:t>
      </w:r>
      <w:r w:rsidR="003F179A">
        <w:rPr>
          <w:rFonts w:ascii="Aptos" w:hAnsi="Aptos" w:cs="Times New Roman"/>
          <w:iCs/>
          <w:sz w:val="24"/>
          <w:szCs w:val="24"/>
        </w:rPr>
        <w:t>246</w:t>
      </w:r>
      <w:r w:rsidRPr="00080A2F">
        <w:rPr>
          <w:rFonts w:ascii="Aptos" w:hAnsi="Aptos" w:cs="Times New Roman"/>
          <w:iCs/>
          <w:sz w:val="24"/>
          <w:szCs w:val="24"/>
        </w:rPr>
        <w:t xml:space="preserve"> respondents (</w:t>
      </w:r>
      <w:r w:rsidR="00987882">
        <w:rPr>
          <w:rFonts w:ascii="Aptos" w:hAnsi="Aptos" w:cs="Times New Roman"/>
          <w:iCs/>
          <w:sz w:val="24"/>
          <w:szCs w:val="24"/>
        </w:rPr>
        <w:t>1</w:t>
      </w:r>
      <w:r w:rsidR="00164DEA">
        <w:rPr>
          <w:rFonts w:ascii="Aptos" w:hAnsi="Aptos" w:cs="Times New Roman"/>
          <w:iCs/>
          <w:sz w:val="24"/>
          <w:szCs w:val="24"/>
        </w:rPr>
        <w:t>123</w:t>
      </w:r>
      <w:r w:rsidRPr="00080A2F">
        <w:rPr>
          <w:rFonts w:ascii="Aptos" w:hAnsi="Aptos" w:cs="Times New Roman"/>
          <w:iCs/>
          <w:sz w:val="24"/>
          <w:szCs w:val="24"/>
        </w:rPr>
        <w:t xml:space="preserve"> </w:t>
      </w:r>
      <w:r w:rsidR="00C520D7">
        <w:rPr>
          <w:rFonts w:ascii="Aptos" w:hAnsi="Aptos" w:cs="Times New Roman"/>
          <w:iCs/>
          <w:sz w:val="24"/>
          <w:szCs w:val="24"/>
        </w:rPr>
        <w:t>PIs</w:t>
      </w:r>
      <w:r w:rsidRPr="00080A2F">
        <w:rPr>
          <w:rFonts w:ascii="Aptos" w:hAnsi="Aptos" w:cs="Times New Roman"/>
          <w:iCs/>
          <w:sz w:val="24"/>
          <w:szCs w:val="24"/>
        </w:rPr>
        <w:t xml:space="preserve"> and </w:t>
      </w:r>
      <w:r w:rsidR="00987882">
        <w:rPr>
          <w:rFonts w:ascii="Aptos" w:hAnsi="Aptos" w:cs="Times New Roman"/>
          <w:iCs/>
          <w:sz w:val="24"/>
          <w:szCs w:val="24"/>
        </w:rPr>
        <w:t>1</w:t>
      </w:r>
      <w:r w:rsidR="00164DEA">
        <w:rPr>
          <w:rFonts w:ascii="Aptos" w:hAnsi="Aptos" w:cs="Times New Roman"/>
          <w:iCs/>
          <w:sz w:val="24"/>
          <w:szCs w:val="24"/>
        </w:rPr>
        <w:t>123</w:t>
      </w:r>
      <w:r w:rsidRPr="00080A2F">
        <w:rPr>
          <w:rFonts w:ascii="Aptos" w:hAnsi="Aptos" w:cs="Times New Roman"/>
          <w:iCs/>
          <w:sz w:val="24"/>
          <w:szCs w:val="24"/>
        </w:rPr>
        <w:t xml:space="preserve"> </w:t>
      </w:r>
      <w:r w:rsidR="00C520D7">
        <w:rPr>
          <w:rFonts w:ascii="Aptos" w:hAnsi="Aptos" w:cs="Times New Roman"/>
          <w:iCs/>
          <w:sz w:val="24"/>
          <w:szCs w:val="24"/>
        </w:rPr>
        <w:t>SOs</w:t>
      </w:r>
      <w:r w:rsidRPr="00080A2F">
        <w:rPr>
          <w:rFonts w:ascii="Aptos" w:hAnsi="Aptos" w:cs="Times New Roman"/>
          <w:iCs/>
          <w:sz w:val="24"/>
          <w:szCs w:val="24"/>
        </w:rPr>
        <w:t xml:space="preserve">) and </w:t>
      </w:r>
      <w:r w:rsidR="00DB0F12">
        <w:rPr>
          <w:rFonts w:ascii="Aptos" w:hAnsi="Aptos" w:cs="Times New Roman"/>
          <w:iCs/>
          <w:sz w:val="24"/>
          <w:szCs w:val="24"/>
        </w:rPr>
        <w:t>4</w:t>
      </w:r>
      <w:r w:rsidR="00A255D0">
        <w:rPr>
          <w:rFonts w:ascii="Aptos" w:hAnsi="Aptos" w:cs="Times New Roman"/>
          <w:iCs/>
          <w:sz w:val="24"/>
          <w:szCs w:val="24"/>
        </w:rPr>
        <w:t>430</w:t>
      </w:r>
      <w:r w:rsidRPr="00080A2F">
        <w:rPr>
          <w:rFonts w:ascii="Aptos" w:hAnsi="Aptos" w:cs="Times New Roman"/>
          <w:iCs/>
          <w:sz w:val="24"/>
          <w:szCs w:val="24"/>
        </w:rPr>
        <w:t xml:space="preserve"> DARs per year.</w:t>
      </w:r>
      <w:r w:rsidR="002F6616">
        <w:rPr>
          <w:rFonts w:ascii="Aptos" w:hAnsi="Aptos" w:cs="Times New Roman"/>
          <w:iCs/>
          <w:sz w:val="24"/>
          <w:szCs w:val="24"/>
        </w:rPr>
        <w:t xml:space="preserve"> </w:t>
      </w:r>
      <w:r w:rsidRPr="19B73765" w:rsidR="002F6616">
        <w:rPr>
          <w:rFonts w:ascii="Aptos" w:hAnsi="Aptos" w:cs="Times New Roman"/>
          <w:sz w:val="24"/>
          <w:szCs w:val="24"/>
          <w:highlight w:val="yellow"/>
        </w:rPr>
        <w:t>Since the Legacy and New</w:t>
      </w:r>
      <w:r w:rsidRPr="19B73765" w:rsidR="00983A71">
        <w:rPr>
          <w:rFonts w:ascii="Aptos" w:hAnsi="Aptos" w:cs="Times New Roman"/>
          <w:sz w:val="24"/>
          <w:szCs w:val="24"/>
          <w:highlight w:val="yellow"/>
        </w:rPr>
        <w:t xml:space="preserve"> Authorized Access Systems will run concurrently for six months, assuming equal distribution for those months</w:t>
      </w:r>
      <w:r w:rsidRPr="19B73765" w:rsidR="00A878E5">
        <w:rPr>
          <w:rFonts w:ascii="Aptos" w:hAnsi="Aptos" w:cs="Times New Roman"/>
          <w:sz w:val="24"/>
          <w:szCs w:val="24"/>
          <w:highlight w:val="yellow"/>
        </w:rPr>
        <w:t>,</w:t>
      </w:r>
      <w:r w:rsidR="00A878E5">
        <w:rPr>
          <w:rFonts w:ascii="Aptos" w:hAnsi="Aptos" w:cs="Times New Roman"/>
          <w:iCs/>
          <w:sz w:val="24"/>
          <w:szCs w:val="24"/>
        </w:rPr>
        <w:t xml:space="preserve"> the Legacy Authorized Access System</w:t>
      </w:r>
      <w:r w:rsidR="00686594">
        <w:rPr>
          <w:rFonts w:ascii="Aptos" w:hAnsi="Aptos" w:cs="Times New Roman"/>
          <w:iCs/>
          <w:sz w:val="24"/>
          <w:szCs w:val="24"/>
        </w:rPr>
        <w:t xml:space="preserve"> average number of respondents is </w:t>
      </w:r>
      <w:r w:rsidR="001F6D33">
        <w:rPr>
          <w:rFonts w:ascii="Aptos" w:hAnsi="Aptos" w:cs="Times New Roman"/>
          <w:iCs/>
          <w:sz w:val="24"/>
          <w:szCs w:val="24"/>
        </w:rPr>
        <w:t>562 respondents</w:t>
      </w:r>
      <w:r w:rsidR="00BF54DF">
        <w:rPr>
          <w:rFonts w:ascii="Aptos" w:hAnsi="Aptos" w:cs="Times New Roman"/>
          <w:iCs/>
          <w:sz w:val="24"/>
          <w:szCs w:val="24"/>
        </w:rPr>
        <w:t xml:space="preserve"> (281 PIs and 281 SOs)</w:t>
      </w:r>
      <w:r w:rsidR="00EF47F5">
        <w:rPr>
          <w:rFonts w:ascii="Aptos" w:hAnsi="Aptos" w:cs="Times New Roman"/>
          <w:iCs/>
          <w:sz w:val="24"/>
          <w:szCs w:val="24"/>
        </w:rPr>
        <w:t>.</w:t>
      </w:r>
      <w:r w:rsidR="00C11CF6">
        <w:rPr>
          <w:rFonts w:ascii="Aptos" w:hAnsi="Aptos" w:cs="Times New Roman"/>
          <w:iCs/>
          <w:sz w:val="24"/>
          <w:szCs w:val="24"/>
        </w:rPr>
        <w:t xml:space="preserve"> </w:t>
      </w:r>
      <w:r w:rsidRPr="0028707B" w:rsidR="00C11CF6">
        <w:rPr>
          <w:rFonts w:ascii="Aptos" w:hAnsi="Aptos" w:cs="Times New Roman"/>
          <w:iCs/>
          <w:sz w:val="24"/>
          <w:szCs w:val="24"/>
          <w:highlight w:val="yellow"/>
        </w:rPr>
        <w:t xml:space="preserve">The New Authorized Access System average number of respondents is </w:t>
      </w:r>
      <w:r w:rsidRPr="0028707B" w:rsidR="00087CEB">
        <w:rPr>
          <w:rFonts w:ascii="Aptos" w:hAnsi="Aptos" w:cs="Times New Roman"/>
          <w:iCs/>
          <w:sz w:val="24"/>
          <w:szCs w:val="24"/>
          <w:highlight w:val="yellow"/>
        </w:rPr>
        <w:t>168</w:t>
      </w:r>
      <w:r w:rsidRPr="0028707B" w:rsidR="0016498F">
        <w:rPr>
          <w:rFonts w:ascii="Aptos" w:hAnsi="Aptos" w:cs="Times New Roman"/>
          <w:iCs/>
          <w:sz w:val="24"/>
          <w:szCs w:val="24"/>
          <w:highlight w:val="yellow"/>
        </w:rPr>
        <w:t>4</w:t>
      </w:r>
      <w:r w:rsidRPr="0028707B" w:rsidR="008208AA">
        <w:rPr>
          <w:rFonts w:ascii="Aptos" w:hAnsi="Aptos" w:cs="Times New Roman"/>
          <w:iCs/>
          <w:sz w:val="24"/>
          <w:szCs w:val="24"/>
          <w:highlight w:val="yellow"/>
        </w:rPr>
        <w:t xml:space="preserve"> (842 PIs and 842 SOs)</w:t>
      </w:r>
    </w:p>
    <w:p w:rsidR="00080A2F" w:rsidP="00080A2F" w14:paraId="00F6C37E" w14:textId="7804300C">
      <w:pPr>
        <w:rPr>
          <w:rFonts w:ascii="Aptos" w:hAnsi="Aptos" w:cs="Times New Roman"/>
          <w:iCs/>
          <w:sz w:val="24"/>
          <w:szCs w:val="24"/>
        </w:rPr>
      </w:pPr>
      <w:r w:rsidRPr="00080A2F">
        <w:rPr>
          <w:rFonts w:ascii="Aptos" w:hAnsi="Aptos" w:cs="Times New Roman"/>
          <w:iCs/>
          <w:sz w:val="24"/>
          <w:szCs w:val="24"/>
        </w:rPr>
        <w:t xml:space="preserve">To calculate the number of annual requests per respondent, NIH divided the number of DARs per year by the number of </w:t>
      </w:r>
      <w:r w:rsidR="009C44EF">
        <w:rPr>
          <w:rFonts w:ascii="Aptos" w:hAnsi="Aptos" w:cs="Times New Roman"/>
          <w:iCs/>
          <w:sz w:val="24"/>
          <w:szCs w:val="24"/>
        </w:rPr>
        <w:t>PIs</w:t>
      </w:r>
      <w:r w:rsidRPr="00080A2F" w:rsidR="00987882">
        <w:rPr>
          <w:rFonts w:ascii="Aptos" w:hAnsi="Aptos" w:cs="Times New Roman"/>
          <w:iCs/>
          <w:sz w:val="24"/>
          <w:szCs w:val="24"/>
        </w:rPr>
        <w:t xml:space="preserve"> and</w:t>
      </w:r>
      <w:r w:rsidRPr="00080A2F">
        <w:rPr>
          <w:rFonts w:ascii="Aptos" w:hAnsi="Aptos" w:cs="Times New Roman"/>
          <w:iCs/>
          <w:sz w:val="24"/>
          <w:szCs w:val="24"/>
        </w:rPr>
        <w:t xml:space="preserve"> estimated </w:t>
      </w:r>
      <w:r w:rsidRPr="00F41988" w:rsidR="007662C0">
        <w:rPr>
          <w:rFonts w:ascii="Aptos" w:hAnsi="Aptos" w:cs="Times New Roman"/>
          <w:iCs/>
          <w:sz w:val="24"/>
          <w:szCs w:val="24"/>
          <w:highlight w:val="yellow"/>
        </w:rPr>
        <w:t>four</w:t>
      </w:r>
      <w:r w:rsidRPr="00F41988">
        <w:rPr>
          <w:rFonts w:ascii="Aptos" w:hAnsi="Aptos" w:cs="Times New Roman"/>
          <w:iCs/>
          <w:sz w:val="24"/>
          <w:szCs w:val="24"/>
          <w:highlight w:val="yellow"/>
        </w:rPr>
        <w:t xml:space="preserve"> DARs</w:t>
      </w:r>
      <w:r w:rsidRPr="00080A2F">
        <w:rPr>
          <w:rFonts w:ascii="Aptos" w:hAnsi="Aptos" w:cs="Times New Roman"/>
          <w:iCs/>
          <w:sz w:val="24"/>
          <w:szCs w:val="24"/>
        </w:rPr>
        <w:t xml:space="preserve"> per year.  Since each DAR is either renewed or closed out at the end of the one-year access period, the Renewal</w:t>
      </w:r>
      <w:r w:rsidR="008D7E2D">
        <w:rPr>
          <w:rFonts w:ascii="Aptos" w:hAnsi="Aptos" w:cs="Times New Roman"/>
          <w:iCs/>
          <w:sz w:val="24"/>
          <w:szCs w:val="24"/>
        </w:rPr>
        <w:t xml:space="preserve"> or </w:t>
      </w:r>
      <w:r w:rsidRPr="00080A2F">
        <w:rPr>
          <w:rFonts w:ascii="Aptos" w:hAnsi="Aptos" w:cs="Times New Roman"/>
          <w:iCs/>
          <w:sz w:val="24"/>
          <w:szCs w:val="24"/>
        </w:rPr>
        <w:t xml:space="preserve">Close-out also involves </w:t>
      </w:r>
      <w:r w:rsidRPr="00F41988" w:rsidR="00D268BF">
        <w:rPr>
          <w:rFonts w:ascii="Aptos" w:hAnsi="Aptos" w:cs="Times New Roman"/>
          <w:iCs/>
          <w:sz w:val="24"/>
          <w:szCs w:val="24"/>
          <w:highlight w:val="yellow"/>
        </w:rPr>
        <w:t>four DARs</w:t>
      </w:r>
      <w:r w:rsidRPr="00080A2F" w:rsidR="00D268BF">
        <w:rPr>
          <w:rFonts w:ascii="Aptos" w:hAnsi="Aptos" w:cs="Times New Roman"/>
          <w:iCs/>
          <w:sz w:val="24"/>
          <w:szCs w:val="24"/>
        </w:rPr>
        <w:t xml:space="preserve"> per year</w:t>
      </w:r>
      <w:r w:rsidR="006D4687">
        <w:rPr>
          <w:rFonts w:ascii="Aptos" w:hAnsi="Aptos" w:cs="Times New Roman"/>
          <w:iCs/>
          <w:sz w:val="24"/>
          <w:szCs w:val="24"/>
        </w:rPr>
        <w:t>.</w:t>
      </w:r>
      <w:r w:rsidRPr="00080A2F">
        <w:rPr>
          <w:rFonts w:ascii="Aptos" w:hAnsi="Aptos" w:cs="Times New Roman"/>
          <w:iCs/>
          <w:sz w:val="24"/>
          <w:szCs w:val="24"/>
        </w:rPr>
        <w:t xml:space="preserve">  </w:t>
      </w:r>
    </w:p>
    <w:p w:rsidR="00DA28A7" w:rsidRPr="00080A2F" w:rsidP="00080A2F" w14:paraId="5BB046CF" w14:textId="73DB1C24">
      <w:pPr>
        <w:rPr>
          <w:rFonts w:ascii="Aptos" w:hAnsi="Aptos" w:cs="Times New Roman"/>
          <w:iCs/>
          <w:sz w:val="24"/>
          <w:szCs w:val="24"/>
        </w:rPr>
      </w:pPr>
      <w:r w:rsidRPr="00DA28A7">
        <w:rPr>
          <w:rFonts w:ascii="Aptos" w:hAnsi="Aptos" w:cs="Times New Roman"/>
          <w:iCs/>
          <w:sz w:val="24"/>
          <w:szCs w:val="24"/>
        </w:rPr>
        <w:t>Table 12-1 provides the estimated burden hours for completing a</w:t>
      </w:r>
      <w:r>
        <w:rPr>
          <w:rFonts w:ascii="Aptos" w:hAnsi="Aptos" w:cs="Times New Roman"/>
          <w:iCs/>
          <w:sz w:val="24"/>
          <w:szCs w:val="24"/>
        </w:rPr>
        <w:t xml:space="preserve">n initial </w:t>
      </w:r>
      <w:r w:rsidRPr="00DA28A7">
        <w:rPr>
          <w:rFonts w:ascii="Aptos" w:hAnsi="Aptos" w:cs="Times New Roman"/>
          <w:iCs/>
          <w:sz w:val="24"/>
          <w:szCs w:val="24"/>
        </w:rPr>
        <w:t>DAR</w:t>
      </w:r>
      <w:r>
        <w:rPr>
          <w:rFonts w:ascii="Aptos" w:hAnsi="Aptos" w:cs="Times New Roman"/>
          <w:iCs/>
          <w:sz w:val="24"/>
          <w:szCs w:val="24"/>
        </w:rPr>
        <w:t xml:space="preserve"> application</w:t>
      </w:r>
      <w:r w:rsidRPr="00DA28A7">
        <w:rPr>
          <w:rFonts w:ascii="Aptos" w:hAnsi="Aptos" w:cs="Times New Roman"/>
          <w:iCs/>
          <w:sz w:val="24"/>
          <w:szCs w:val="24"/>
        </w:rPr>
        <w:t xml:space="preserve">. Based on simulations, NIH estimates that it will take a </w:t>
      </w:r>
      <w:r>
        <w:rPr>
          <w:rFonts w:ascii="Aptos" w:hAnsi="Aptos" w:cs="Times New Roman"/>
          <w:iCs/>
          <w:sz w:val="24"/>
          <w:szCs w:val="24"/>
        </w:rPr>
        <w:t>PI</w:t>
      </w:r>
      <w:r w:rsidRPr="00DA28A7">
        <w:rPr>
          <w:rFonts w:ascii="Aptos" w:hAnsi="Aptos" w:cs="Times New Roman"/>
          <w:iCs/>
          <w:sz w:val="24"/>
          <w:szCs w:val="24"/>
        </w:rPr>
        <w:t xml:space="preserve"> an average of </w:t>
      </w:r>
      <w:r w:rsidR="00EF317B">
        <w:rPr>
          <w:rFonts w:ascii="Aptos" w:hAnsi="Aptos" w:cs="Times New Roman"/>
          <w:iCs/>
          <w:sz w:val="24"/>
          <w:szCs w:val="24"/>
        </w:rPr>
        <w:t>45/60</w:t>
      </w:r>
      <w:r w:rsidRPr="00DA28A7">
        <w:rPr>
          <w:rFonts w:ascii="Aptos" w:hAnsi="Aptos" w:cs="Times New Roman"/>
          <w:iCs/>
          <w:sz w:val="24"/>
          <w:szCs w:val="24"/>
        </w:rPr>
        <w:t xml:space="preserve"> hour</w:t>
      </w:r>
      <w:r w:rsidR="00EF317B">
        <w:rPr>
          <w:rFonts w:ascii="Aptos" w:hAnsi="Aptos" w:cs="Times New Roman"/>
          <w:iCs/>
          <w:sz w:val="24"/>
          <w:szCs w:val="24"/>
        </w:rPr>
        <w:t>s</w:t>
      </w:r>
      <w:r w:rsidRPr="00DA28A7">
        <w:rPr>
          <w:rFonts w:ascii="Aptos" w:hAnsi="Aptos" w:cs="Times New Roman"/>
          <w:iCs/>
          <w:sz w:val="24"/>
          <w:szCs w:val="24"/>
        </w:rPr>
        <w:t xml:space="preserve"> to complete the </w:t>
      </w:r>
      <w:r w:rsidR="00432749">
        <w:rPr>
          <w:rFonts w:ascii="Aptos" w:hAnsi="Aptos" w:cs="Times New Roman"/>
          <w:iCs/>
          <w:sz w:val="24"/>
          <w:szCs w:val="24"/>
        </w:rPr>
        <w:t xml:space="preserve">initial </w:t>
      </w:r>
      <w:r w:rsidRPr="00DA28A7">
        <w:rPr>
          <w:rFonts w:ascii="Aptos" w:hAnsi="Aptos" w:cs="Times New Roman"/>
          <w:iCs/>
          <w:sz w:val="24"/>
          <w:szCs w:val="24"/>
        </w:rPr>
        <w:t>DAR</w:t>
      </w:r>
      <w:r w:rsidR="00432749">
        <w:rPr>
          <w:rFonts w:ascii="Aptos" w:hAnsi="Aptos" w:cs="Times New Roman"/>
          <w:iCs/>
          <w:sz w:val="24"/>
          <w:szCs w:val="24"/>
        </w:rPr>
        <w:t xml:space="preserve"> applicatio</w:t>
      </w:r>
      <w:r w:rsidRPr="00DA28A7">
        <w:rPr>
          <w:rFonts w:ascii="Aptos" w:hAnsi="Aptos" w:cs="Times New Roman"/>
          <w:iCs/>
          <w:sz w:val="24"/>
          <w:szCs w:val="24"/>
        </w:rPr>
        <w:t>n</w:t>
      </w:r>
      <w:r w:rsidR="00432749">
        <w:rPr>
          <w:rFonts w:ascii="Aptos" w:hAnsi="Aptos" w:cs="Times New Roman"/>
          <w:iCs/>
          <w:sz w:val="24"/>
          <w:szCs w:val="24"/>
        </w:rPr>
        <w:t xml:space="preserve"> and</w:t>
      </w:r>
      <w:r w:rsidRPr="00DA28A7">
        <w:rPr>
          <w:rFonts w:ascii="Aptos" w:hAnsi="Aptos" w:cs="Times New Roman"/>
          <w:iCs/>
          <w:sz w:val="24"/>
          <w:szCs w:val="24"/>
        </w:rPr>
        <w:t xml:space="preserve"> </w:t>
      </w:r>
      <w:r w:rsidR="00EF317B">
        <w:rPr>
          <w:rFonts w:ascii="Aptos" w:hAnsi="Aptos" w:cs="Times New Roman"/>
          <w:iCs/>
          <w:sz w:val="24"/>
          <w:szCs w:val="24"/>
        </w:rPr>
        <w:t>30</w:t>
      </w:r>
      <w:r w:rsidRPr="00DA28A7">
        <w:rPr>
          <w:rFonts w:ascii="Aptos" w:hAnsi="Aptos" w:cs="Times New Roman"/>
          <w:iCs/>
          <w:sz w:val="24"/>
          <w:szCs w:val="24"/>
        </w:rPr>
        <w:t xml:space="preserve">/60 hours for the </w:t>
      </w:r>
      <w:r w:rsidR="00365D2F">
        <w:rPr>
          <w:rFonts w:ascii="Aptos" w:hAnsi="Aptos" w:cs="Times New Roman"/>
          <w:iCs/>
          <w:sz w:val="24"/>
          <w:szCs w:val="24"/>
        </w:rPr>
        <w:t>SO</w:t>
      </w:r>
      <w:r w:rsidRPr="00DA28A7">
        <w:rPr>
          <w:rFonts w:ascii="Aptos" w:hAnsi="Aptos" w:cs="Times New Roman"/>
          <w:iCs/>
          <w:sz w:val="24"/>
          <w:szCs w:val="24"/>
        </w:rPr>
        <w:t xml:space="preserve"> to review</w:t>
      </w:r>
      <w:r w:rsidR="003C7127">
        <w:rPr>
          <w:rFonts w:ascii="Aptos" w:hAnsi="Aptos" w:cs="Times New Roman"/>
          <w:iCs/>
          <w:sz w:val="24"/>
          <w:szCs w:val="24"/>
        </w:rPr>
        <w:t xml:space="preserve"> and certify </w:t>
      </w:r>
      <w:r w:rsidRPr="00DA28A7">
        <w:rPr>
          <w:rFonts w:ascii="Aptos" w:hAnsi="Aptos" w:cs="Times New Roman"/>
          <w:iCs/>
          <w:sz w:val="24"/>
          <w:szCs w:val="24"/>
        </w:rPr>
        <w:t xml:space="preserve">the </w:t>
      </w:r>
      <w:r w:rsidR="003C7127">
        <w:rPr>
          <w:rFonts w:ascii="Aptos" w:hAnsi="Aptos" w:cs="Times New Roman"/>
          <w:iCs/>
          <w:sz w:val="24"/>
          <w:szCs w:val="24"/>
        </w:rPr>
        <w:t xml:space="preserve">initial </w:t>
      </w:r>
      <w:r w:rsidRPr="00DA28A7">
        <w:rPr>
          <w:rFonts w:ascii="Aptos" w:hAnsi="Aptos" w:cs="Times New Roman"/>
          <w:iCs/>
          <w:sz w:val="24"/>
          <w:szCs w:val="24"/>
        </w:rPr>
        <w:t>DAR</w:t>
      </w:r>
      <w:r w:rsidR="003C7127">
        <w:rPr>
          <w:rFonts w:ascii="Aptos" w:hAnsi="Aptos" w:cs="Times New Roman"/>
          <w:iCs/>
          <w:sz w:val="24"/>
          <w:szCs w:val="24"/>
        </w:rPr>
        <w:t xml:space="preserve"> application</w:t>
      </w:r>
      <w:r w:rsidRPr="00DA28A7">
        <w:rPr>
          <w:rFonts w:ascii="Aptos" w:hAnsi="Aptos" w:cs="Times New Roman"/>
          <w:iCs/>
          <w:sz w:val="24"/>
          <w:szCs w:val="24"/>
        </w:rPr>
        <w:t>.</w:t>
      </w:r>
      <w:r w:rsidR="003C766D">
        <w:rPr>
          <w:rFonts w:ascii="Aptos" w:hAnsi="Aptos" w:cs="Times New Roman"/>
          <w:iCs/>
          <w:sz w:val="24"/>
          <w:szCs w:val="24"/>
        </w:rPr>
        <w:t xml:space="preserve"> </w:t>
      </w:r>
      <w:r w:rsidRPr="003C766D" w:rsidR="003C766D">
        <w:rPr>
          <w:rFonts w:ascii="Aptos" w:hAnsi="Aptos" w:cs="Times New Roman"/>
          <w:iCs/>
          <w:sz w:val="24"/>
          <w:szCs w:val="24"/>
        </w:rPr>
        <w:t xml:space="preserve">To derive the annual hour burden for </w:t>
      </w:r>
      <w:r w:rsidR="003C766D">
        <w:rPr>
          <w:rFonts w:ascii="Aptos" w:hAnsi="Aptos" w:cs="Times New Roman"/>
          <w:iCs/>
          <w:sz w:val="24"/>
          <w:szCs w:val="24"/>
        </w:rPr>
        <w:t>PIs</w:t>
      </w:r>
      <w:r w:rsidRPr="003C766D" w:rsidR="003C766D">
        <w:rPr>
          <w:rFonts w:ascii="Aptos" w:hAnsi="Aptos" w:cs="Times New Roman"/>
          <w:iCs/>
          <w:sz w:val="24"/>
          <w:szCs w:val="24"/>
        </w:rPr>
        <w:t>, NIH multiplied the number of DARs submitted per year (</w:t>
      </w:r>
      <w:r w:rsidR="00327D9A">
        <w:rPr>
          <w:rFonts w:ascii="Aptos" w:hAnsi="Aptos" w:cs="Times New Roman"/>
          <w:iCs/>
          <w:sz w:val="24"/>
          <w:szCs w:val="24"/>
        </w:rPr>
        <w:t>4</w:t>
      </w:r>
      <w:r w:rsidRPr="003C766D" w:rsidR="003C766D">
        <w:rPr>
          <w:rFonts w:ascii="Aptos" w:hAnsi="Aptos" w:cs="Times New Roman"/>
          <w:iCs/>
          <w:sz w:val="24"/>
          <w:szCs w:val="24"/>
        </w:rPr>
        <w:t xml:space="preserve">) by the number of </w:t>
      </w:r>
      <w:r w:rsidR="003C766D">
        <w:rPr>
          <w:rFonts w:ascii="Aptos" w:hAnsi="Aptos" w:cs="Times New Roman"/>
          <w:iCs/>
          <w:sz w:val="24"/>
          <w:szCs w:val="24"/>
        </w:rPr>
        <w:t>PIs</w:t>
      </w:r>
      <w:r w:rsidRPr="003C766D" w:rsidR="003C766D">
        <w:rPr>
          <w:rFonts w:ascii="Aptos" w:hAnsi="Aptos" w:cs="Times New Roman"/>
          <w:iCs/>
          <w:sz w:val="24"/>
          <w:szCs w:val="24"/>
        </w:rPr>
        <w:t xml:space="preserve"> by the time it takes a requester to complete a DAR (45/60 hour). The same formula was used to derive the total annual burden for </w:t>
      </w:r>
      <w:r w:rsidR="00703EC6">
        <w:rPr>
          <w:rFonts w:ascii="Aptos" w:hAnsi="Aptos" w:cs="Times New Roman"/>
          <w:iCs/>
          <w:sz w:val="24"/>
          <w:szCs w:val="24"/>
        </w:rPr>
        <w:t xml:space="preserve">SOs </w:t>
      </w:r>
      <w:r w:rsidRPr="003C766D" w:rsidR="003C766D">
        <w:rPr>
          <w:rFonts w:ascii="Aptos" w:hAnsi="Aptos" w:cs="Times New Roman"/>
          <w:iCs/>
          <w:sz w:val="24"/>
          <w:szCs w:val="24"/>
        </w:rPr>
        <w:t xml:space="preserve">(i.e., the frequency was multiplied by the number of </w:t>
      </w:r>
      <w:r w:rsidR="00703EC6">
        <w:rPr>
          <w:rFonts w:ascii="Aptos" w:hAnsi="Aptos" w:cs="Times New Roman"/>
          <w:iCs/>
          <w:sz w:val="24"/>
          <w:szCs w:val="24"/>
        </w:rPr>
        <w:t>SOs</w:t>
      </w:r>
      <w:r w:rsidRPr="003C766D" w:rsidR="003C766D">
        <w:rPr>
          <w:rFonts w:ascii="Aptos" w:hAnsi="Aptos" w:cs="Times New Roman"/>
          <w:iCs/>
          <w:sz w:val="24"/>
          <w:szCs w:val="24"/>
        </w:rPr>
        <w:t xml:space="preserve"> by the time it takes an </w:t>
      </w:r>
      <w:r w:rsidR="00703EC6">
        <w:rPr>
          <w:rFonts w:ascii="Aptos" w:hAnsi="Aptos" w:cs="Times New Roman"/>
          <w:iCs/>
          <w:sz w:val="24"/>
          <w:szCs w:val="24"/>
        </w:rPr>
        <w:t>SO</w:t>
      </w:r>
      <w:r w:rsidRPr="003C766D" w:rsidR="003C766D">
        <w:rPr>
          <w:rFonts w:ascii="Aptos" w:hAnsi="Aptos" w:cs="Times New Roman"/>
          <w:iCs/>
          <w:sz w:val="24"/>
          <w:szCs w:val="24"/>
        </w:rPr>
        <w:t xml:space="preserve"> to complete the certification process). </w:t>
      </w:r>
      <w:r w:rsidR="00E16995">
        <w:rPr>
          <w:rFonts w:ascii="Aptos" w:hAnsi="Aptos" w:cs="Times New Roman"/>
          <w:iCs/>
          <w:sz w:val="24"/>
          <w:szCs w:val="24"/>
        </w:rPr>
        <w:t xml:space="preserve">Based on these calculations, </w:t>
      </w:r>
      <w:r w:rsidR="00552865">
        <w:rPr>
          <w:rFonts w:ascii="Aptos" w:hAnsi="Aptos" w:cs="Times New Roman"/>
          <w:iCs/>
          <w:sz w:val="24"/>
          <w:szCs w:val="24"/>
        </w:rPr>
        <w:t>PIs submitting an i</w:t>
      </w:r>
      <w:r w:rsidRPr="00552865" w:rsidR="00552865">
        <w:rPr>
          <w:rFonts w:ascii="Aptos" w:hAnsi="Aptos" w:cs="Times New Roman"/>
          <w:iCs/>
          <w:sz w:val="24"/>
          <w:szCs w:val="24"/>
        </w:rPr>
        <w:t>nitial DAR Application</w:t>
      </w:r>
      <w:r w:rsidR="00552865">
        <w:rPr>
          <w:rFonts w:ascii="Aptos" w:hAnsi="Aptos" w:cs="Times New Roman"/>
          <w:iCs/>
          <w:sz w:val="24"/>
          <w:szCs w:val="24"/>
        </w:rPr>
        <w:t xml:space="preserve"> using</w:t>
      </w:r>
      <w:r w:rsidRPr="00552865" w:rsidR="00552865">
        <w:rPr>
          <w:rFonts w:ascii="Aptos" w:hAnsi="Aptos" w:cs="Times New Roman"/>
          <w:iCs/>
          <w:sz w:val="24"/>
          <w:szCs w:val="24"/>
        </w:rPr>
        <w:t xml:space="preserve"> </w:t>
      </w:r>
      <w:r w:rsidR="0025236E">
        <w:rPr>
          <w:rFonts w:ascii="Aptos" w:hAnsi="Aptos" w:cs="Times New Roman"/>
          <w:iCs/>
          <w:sz w:val="24"/>
          <w:szCs w:val="24"/>
        </w:rPr>
        <w:t xml:space="preserve">the </w:t>
      </w:r>
      <w:r w:rsidRPr="00552865" w:rsidR="00552865">
        <w:rPr>
          <w:rFonts w:ascii="Aptos" w:hAnsi="Aptos" w:cs="Times New Roman"/>
          <w:iCs/>
          <w:sz w:val="24"/>
          <w:szCs w:val="24"/>
        </w:rPr>
        <w:t xml:space="preserve">Legacy Authorized Access System </w:t>
      </w:r>
      <w:r w:rsidR="005276E6">
        <w:rPr>
          <w:rFonts w:ascii="Aptos" w:hAnsi="Aptos" w:cs="Times New Roman"/>
          <w:iCs/>
          <w:sz w:val="24"/>
          <w:szCs w:val="24"/>
        </w:rPr>
        <w:t>had an estimated 843 burden hours</w:t>
      </w:r>
      <w:r w:rsidR="00DD73D4">
        <w:rPr>
          <w:rFonts w:ascii="Aptos" w:hAnsi="Aptos" w:cs="Times New Roman"/>
          <w:iCs/>
          <w:sz w:val="24"/>
          <w:szCs w:val="24"/>
        </w:rPr>
        <w:t xml:space="preserve"> and SOs signing off on these applications had an estimated 562 bu</w:t>
      </w:r>
      <w:r w:rsidR="00D862A9">
        <w:rPr>
          <w:rFonts w:ascii="Aptos" w:hAnsi="Aptos" w:cs="Times New Roman"/>
          <w:iCs/>
          <w:sz w:val="24"/>
          <w:szCs w:val="24"/>
        </w:rPr>
        <w:t>rden hours</w:t>
      </w:r>
      <w:r w:rsidRPr="00187549" w:rsidR="005276E6">
        <w:rPr>
          <w:rFonts w:ascii="Aptos" w:hAnsi="Aptos" w:cs="Times New Roman"/>
          <w:iCs/>
          <w:sz w:val="24"/>
          <w:szCs w:val="24"/>
          <w:highlight w:val="yellow"/>
        </w:rPr>
        <w:t xml:space="preserve">. </w:t>
      </w:r>
      <w:r w:rsidRPr="00187549" w:rsidR="0025236E">
        <w:rPr>
          <w:rFonts w:ascii="Aptos" w:hAnsi="Aptos" w:cs="Times New Roman"/>
          <w:iCs/>
          <w:sz w:val="24"/>
          <w:szCs w:val="24"/>
          <w:highlight w:val="yellow"/>
        </w:rPr>
        <w:t xml:space="preserve">Based on these calculations, PIs submitting an initial DAR Application using the New Authorized Access System had an estimated </w:t>
      </w:r>
      <w:r w:rsidRPr="00187549" w:rsidR="00187549">
        <w:rPr>
          <w:rFonts w:ascii="Aptos" w:hAnsi="Aptos" w:cs="Times New Roman"/>
          <w:iCs/>
          <w:sz w:val="24"/>
          <w:szCs w:val="24"/>
          <w:highlight w:val="yellow"/>
        </w:rPr>
        <w:t>2526</w:t>
      </w:r>
      <w:r w:rsidRPr="00187549" w:rsidR="0025236E">
        <w:rPr>
          <w:rFonts w:ascii="Aptos" w:hAnsi="Aptos" w:cs="Times New Roman"/>
          <w:iCs/>
          <w:sz w:val="24"/>
          <w:szCs w:val="24"/>
          <w:highlight w:val="yellow"/>
        </w:rPr>
        <w:t xml:space="preserve"> burden hours</w:t>
      </w:r>
      <w:r w:rsidR="00187549">
        <w:rPr>
          <w:rFonts w:ascii="Aptos" w:hAnsi="Aptos" w:cs="Times New Roman"/>
          <w:iCs/>
          <w:sz w:val="24"/>
          <w:szCs w:val="24"/>
          <w:highlight w:val="yellow"/>
        </w:rPr>
        <w:t xml:space="preserve"> and SOs signing off on these application</w:t>
      </w:r>
      <w:r w:rsidR="00B43DB2">
        <w:rPr>
          <w:rFonts w:ascii="Aptos" w:hAnsi="Aptos" w:cs="Times New Roman"/>
          <w:iCs/>
          <w:sz w:val="24"/>
          <w:szCs w:val="24"/>
          <w:highlight w:val="yellow"/>
        </w:rPr>
        <w:t>s</w:t>
      </w:r>
      <w:r w:rsidR="00187549">
        <w:rPr>
          <w:rFonts w:ascii="Aptos" w:hAnsi="Aptos" w:cs="Times New Roman"/>
          <w:iCs/>
          <w:sz w:val="24"/>
          <w:szCs w:val="24"/>
          <w:highlight w:val="yellow"/>
        </w:rPr>
        <w:t xml:space="preserve"> had an estimated 1684 burden hours</w:t>
      </w:r>
      <w:r w:rsidRPr="00187549" w:rsidR="0025236E">
        <w:rPr>
          <w:rFonts w:ascii="Aptos" w:hAnsi="Aptos" w:cs="Times New Roman"/>
          <w:iCs/>
          <w:sz w:val="24"/>
          <w:szCs w:val="24"/>
          <w:highlight w:val="yellow"/>
        </w:rPr>
        <w:t>.</w:t>
      </w:r>
      <w:r w:rsidR="008B6E28">
        <w:rPr>
          <w:rFonts w:ascii="Aptos" w:hAnsi="Aptos" w:cs="Times New Roman"/>
          <w:iCs/>
          <w:sz w:val="24"/>
          <w:szCs w:val="24"/>
        </w:rPr>
        <w:t xml:space="preserve"> The total annual estimated burden hours for submitting an initial DAR Application using the Legacy Authorized Access System is 1405 hours and using the </w:t>
      </w:r>
      <w:r w:rsidRPr="009D5507" w:rsidR="009D5507">
        <w:rPr>
          <w:rFonts w:ascii="Aptos" w:hAnsi="Aptos" w:cs="Times New Roman"/>
          <w:iCs/>
          <w:sz w:val="24"/>
          <w:szCs w:val="24"/>
          <w:highlight w:val="yellow"/>
        </w:rPr>
        <w:t>New Authorized Access System is 4210 hours.</w:t>
      </w:r>
    </w:p>
    <w:p w:rsidR="00912376" w:rsidP="00912376" w14:paraId="5CE01C8B" w14:textId="06DE09D8">
      <w:pPr>
        <w:rPr>
          <w:rFonts w:ascii="Aptos" w:hAnsi="Aptos" w:cs="Times New Roman"/>
          <w:sz w:val="24"/>
          <w:szCs w:val="24"/>
        </w:rPr>
      </w:pPr>
      <w:r w:rsidRPr="00912376">
        <w:rPr>
          <w:rFonts w:ascii="Aptos" w:hAnsi="Aptos" w:cs="Times New Roman"/>
          <w:sz w:val="24"/>
          <w:szCs w:val="24"/>
        </w:rPr>
        <w:t xml:space="preserve">The burden associated with renewal and close-out involves the time and effort necessary for </w:t>
      </w:r>
      <w:r w:rsidR="0031145D">
        <w:rPr>
          <w:rFonts w:ascii="Aptos" w:hAnsi="Aptos" w:cs="Times New Roman"/>
          <w:sz w:val="24"/>
          <w:szCs w:val="24"/>
        </w:rPr>
        <w:t>the PI</w:t>
      </w:r>
      <w:r w:rsidRPr="00912376">
        <w:rPr>
          <w:rFonts w:ascii="Aptos" w:hAnsi="Aptos" w:cs="Times New Roman"/>
          <w:sz w:val="24"/>
          <w:szCs w:val="24"/>
        </w:rPr>
        <w:t xml:space="preserve"> to (1) prepare information on their research use of NIH datasets, (2) complete the Renewal or Close-out form, and (3) have the </w:t>
      </w:r>
      <w:r w:rsidR="0031145D">
        <w:rPr>
          <w:rFonts w:ascii="Aptos" w:hAnsi="Aptos" w:cs="Times New Roman"/>
          <w:sz w:val="24"/>
          <w:szCs w:val="24"/>
        </w:rPr>
        <w:t>SO</w:t>
      </w:r>
      <w:r w:rsidRPr="00912376">
        <w:rPr>
          <w:rFonts w:ascii="Aptos" w:hAnsi="Aptos" w:cs="Times New Roman"/>
          <w:sz w:val="24"/>
          <w:szCs w:val="24"/>
        </w:rPr>
        <w:t xml:space="preserve"> review and approve the form. Importantly, when </w:t>
      </w:r>
      <w:r w:rsidR="0031145D">
        <w:rPr>
          <w:rFonts w:ascii="Aptos" w:hAnsi="Aptos" w:cs="Times New Roman"/>
          <w:sz w:val="24"/>
          <w:szCs w:val="24"/>
        </w:rPr>
        <w:t>PIs</w:t>
      </w:r>
      <w:r w:rsidRPr="00912376">
        <w:rPr>
          <w:rFonts w:ascii="Aptos" w:hAnsi="Aptos" w:cs="Times New Roman"/>
          <w:sz w:val="24"/>
          <w:szCs w:val="24"/>
        </w:rPr>
        <w:t xml:space="preserve"> stop using the data, </w:t>
      </w:r>
      <w:r w:rsidR="0031145D">
        <w:rPr>
          <w:rFonts w:ascii="Aptos" w:hAnsi="Aptos" w:cs="Times New Roman"/>
          <w:sz w:val="24"/>
          <w:szCs w:val="24"/>
        </w:rPr>
        <w:t>SOs</w:t>
      </w:r>
      <w:r w:rsidRPr="00912376">
        <w:rPr>
          <w:rFonts w:ascii="Aptos" w:hAnsi="Aptos" w:cs="Times New Roman"/>
          <w:sz w:val="24"/>
          <w:szCs w:val="24"/>
        </w:rPr>
        <w:t xml:space="preserve"> verify the data has been deleted </w:t>
      </w:r>
      <w:r w:rsidR="0031145D">
        <w:rPr>
          <w:rFonts w:ascii="Aptos" w:hAnsi="Aptos" w:cs="Times New Roman"/>
          <w:sz w:val="24"/>
          <w:szCs w:val="24"/>
        </w:rPr>
        <w:t>according to the Data Use Certification or similar agreement</w:t>
      </w:r>
      <w:r w:rsidRPr="00912376">
        <w:rPr>
          <w:rFonts w:ascii="Aptos" w:hAnsi="Aptos" w:cs="Times New Roman"/>
          <w:sz w:val="24"/>
          <w:szCs w:val="24"/>
        </w:rPr>
        <w:t xml:space="preserve">. </w:t>
      </w:r>
      <w:r w:rsidR="00FB7ABC">
        <w:rPr>
          <w:rFonts w:ascii="Aptos" w:hAnsi="Aptos" w:cs="Times New Roman"/>
          <w:sz w:val="24"/>
          <w:szCs w:val="24"/>
        </w:rPr>
        <w:t>PIs</w:t>
      </w:r>
      <w:r w:rsidRPr="00912376">
        <w:rPr>
          <w:rFonts w:ascii="Aptos" w:hAnsi="Aptos" w:cs="Times New Roman"/>
          <w:sz w:val="24"/>
          <w:szCs w:val="24"/>
        </w:rPr>
        <w:t xml:space="preserve">, who are registered in </w:t>
      </w:r>
      <w:r w:rsidRPr="00912376">
        <w:rPr>
          <w:rFonts w:ascii="Aptos" w:hAnsi="Aptos" w:cs="Times New Roman"/>
          <w:sz w:val="24"/>
          <w:szCs w:val="24"/>
        </w:rPr>
        <w:t>eRA</w:t>
      </w:r>
      <w:r w:rsidRPr="00912376">
        <w:rPr>
          <w:rFonts w:ascii="Aptos" w:hAnsi="Aptos" w:cs="Times New Roman"/>
          <w:sz w:val="24"/>
          <w:szCs w:val="24"/>
        </w:rPr>
        <w:t xml:space="preserve"> Commons or those who have made previous data requests or submitted data to </w:t>
      </w:r>
      <w:r w:rsidRPr="00912376">
        <w:rPr>
          <w:rFonts w:ascii="Aptos" w:hAnsi="Aptos" w:cs="Times New Roman"/>
          <w:sz w:val="24"/>
          <w:szCs w:val="24"/>
        </w:rPr>
        <w:t>dbGaP</w:t>
      </w:r>
      <w:r w:rsidRPr="00912376">
        <w:rPr>
          <w:rFonts w:ascii="Aptos" w:hAnsi="Aptos" w:cs="Times New Roman"/>
          <w:sz w:val="24"/>
          <w:szCs w:val="24"/>
        </w:rPr>
        <w:t>, will have information from those systems automatically transferred to the Renewal or Close-out forms, significantly reducing data entry time.</w:t>
      </w:r>
    </w:p>
    <w:p w:rsidR="009B30EE" w:rsidP="00912376" w14:paraId="561E2000" w14:textId="30A54084">
      <w:pPr>
        <w:rPr>
          <w:rFonts w:ascii="Aptos" w:hAnsi="Aptos" w:cs="Times New Roman"/>
          <w:sz w:val="24"/>
          <w:szCs w:val="24"/>
        </w:rPr>
      </w:pPr>
      <w:r w:rsidRPr="009E349A">
        <w:rPr>
          <w:rFonts w:ascii="Aptos" w:hAnsi="Aptos" w:cs="Times New Roman"/>
          <w:sz w:val="24"/>
          <w:szCs w:val="24"/>
        </w:rPr>
        <w:t>Based on simulations, NIH estimate</w:t>
      </w:r>
      <w:r>
        <w:rPr>
          <w:rFonts w:ascii="Aptos" w:hAnsi="Aptos" w:cs="Times New Roman"/>
          <w:sz w:val="24"/>
          <w:szCs w:val="24"/>
        </w:rPr>
        <w:t>s</w:t>
      </w:r>
      <w:r w:rsidRPr="009E349A">
        <w:rPr>
          <w:rFonts w:ascii="Aptos" w:hAnsi="Aptos" w:cs="Times New Roman"/>
          <w:sz w:val="24"/>
          <w:szCs w:val="24"/>
        </w:rPr>
        <w:t xml:space="preserve"> that it will take an average of </w:t>
      </w:r>
      <w:r w:rsidR="00EF317B">
        <w:rPr>
          <w:rFonts w:ascii="Aptos" w:hAnsi="Aptos" w:cs="Times New Roman"/>
          <w:sz w:val="24"/>
          <w:szCs w:val="24"/>
        </w:rPr>
        <w:t>15</w:t>
      </w:r>
      <w:r w:rsidRPr="009E349A">
        <w:rPr>
          <w:rFonts w:ascii="Aptos" w:hAnsi="Aptos" w:cs="Times New Roman"/>
          <w:sz w:val="24"/>
          <w:szCs w:val="24"/>
        </w:rPr>
        <w:t xml:space="preserve">/60 hours for the </w:t>
      </w:r>
      <w:r w:rsidR="0031145D">
        <w:rPr>
          <w:rFonts w:ascii="Aptos" w:hAnsi="Aptos" w:cs="Times New Roman"/>
          <w:sz w:val="24"/>
          <w:szCs w:val="24"/>
        </w:rPr>
        <w:t xml:space="preserve">PI </w:t>
      </w:r>
      <w:r w:rsidRPr="009E349A">
        <w:rPr>
          <w:rFonts w:ascii="Aptos" w:hAnsi="Aptos" w:cs="Times New Roman"/>
          <w:sz w:val="24"/>
          <w:szCs w:val="24"/>
        </w:rPr>
        <w:t xml:space="preserve">to provide the required information </w:t>
      </w:r>
      <w:r w:rsidR="005A549B">
        <w:rPr>
          <w:rFonts w:ascii="Aptos" w:hAnsi="Aptos" w:cs="Times New Roman"/>
          <w:sz w:val="24"/>
          <w:szCs w:val="24"/>
        </w:rPr>
        <w:t xml:space="preserve">for </w:t>
      </w:r>
      <w:r w:rsidR="0013048E">
        <w:rPr>
          <w:rFonts w:ascii="Aptos" w:hAnsi="Aptos" w:cs="Times New Roman"/>
          <w:sz w:val="24"/>
          <w:szCs w:val="24"/>
        </w:rPr>
        <w:t xml:space="preserve">a </w:t>
      </w:r>
      <w:r w:rsidR="005A549B">
        <w:rPr>
          <w:rFonts w:ascii="Aptos" w:hAnsi="Aptos" w:cs="Times New Roman"/>
          <w:sz w:val="24"/>
          <w:szCs w:val="24"/>
        </w:rPr>
        <w:t>Renewal or Close-out</w:t>
      </w:r>
      <w:r w:rsidR="0013048E">
        <w:rPr>
          <w:rFonts w:ascii="Aptos" w:hAnsi="Aptos" w:cs="Times New Roman"/>
          <w:sz w:val="24"/>
          <w:szCs w:val="24"/>
        </w:rPr>
        <w:t xml:space="preserve"> </w:t>
      </w:r>
      <w:r w:rsidRPr="009E349A">
        <w:rPr>
          <w:rFonts w:ascii="Aptos" w:hAnsi="Aptos" w:cs="Times New Roman"/>
          <w:sz w:val="24"/>
          <w:szCs w:val="24"/>
        </w:rPr>
        <w:t xml:space="preserve">and </w:t>
      </w:r>
      <w:r w:rsidR="00EF317B">
        <w:rPr>
          <w:rFonts w:ascii="Aptos" w:hAnsi="Aptos" w:cs="Times New Roman"/>
          <w:sz w:val="24"/>
          <w:szCs w:val="24"/>
        </w:rPr>
        <w:t>18</w:t>
      </w:r>
      <w:r w:rsidRPr="009E349A">
        <w:rPr>
          <w:rFonts w:ascii="Aptos" w:hAnsi="Aptos" w:cs="Times New Roman"/>
          <w:sz w:val="24"/>
          <w:szCs w:val="24"/>
        </w:rPr>
        <w:t xml:space="preserve">/60 hours for the </w:t>
      </w:r>
      <w:r w:rsidR="0031145D">
        <w:rPr>
          <w:rFonts w:ascii="Aptos" w:hAnsi="Aptos" w:cs="Times New Roman"/>
          <w:sz w:val="24"/>
          <w:szCs w:val="24"/>
        </w:rPr>
        <w:t>SO</w:t>
      </w:r>
      <w:r w:rsidRPr="009E349A">
        <w:rPr>
          <w:rFonts w:ascii="Aptos" w:hAnsi="Aptos" w:cs="Times New Roman"/>
          <w:sz w:val="24"/>
          <w:szCs w:val="24"/>
        </w:rPr>
        <w:t xml:space="preserve"> to review and</w:t>
      </w:r>
      <w:r w:rsidR="0031145D">
        <w:rPr>
          <w:rFonts w:ascii="Aptos" w:hAnsi="Aptos" w:cs="Times New Roman"/>
          <w:sz w:val="24"/>
          <w:szCs w:val="24"/>
        </w:rPr>
        <w:t xml:space="preserve"> certify.</w:t>
      </w:r>
      <w:r w:rsidR="0064094A">
        <w:rPr>
          <w:rFonts w:ascii="Aptos" w:hAnsi="Aptos" w:cs="Times New Roman"/>
          <w:sz w:val="24"/>
          <w:szCs w:val="24"/>
        </w:rPr>
        <w:t xml:space="preserve"> </w:t>
      </w:r>
      <w:r w:rsidRPr="0064094A" w:rsidR="0064094A">
        <w:rPr>
          <w:rFonts w:ascii="Aptos" w:hAnsi="Aptos" w:cs="Times New Roman"/>
          <w:sz w:val="24"/>
          <w:szCs w:val="24"/>
        </w:rPr>
        <w:t xml:space="preserve">To derive the annual hour burden for </w:t>
      </w:r>
      <w:r w:rsidR="00BF3AC4">
        <w:rPr>
          <w:rFonts w:ascii="Aptos" w:hAnsi="Aptos" w:cs="Times New Roman"/>
          <w:sz w:val="24"/>
          <w:szCs w:val="24"/>
        </w:rPr>
        <w:t>PIs</w:t>
      </w:r>
      <w:r w:rsidRPr="0064094A" w:rsidR="0064094A">
        <w:rPr>
          <w:rFonts w:ascii="Aptos" w:hAnsi="Aptos" w:cs="Times New Roman"/>
          <w:sz w:val="24"/>
          <w:szCs w:val="24"/>
        </w:rPr>
        <w:t>, NIH multiplied the frequency of response (</w:t>
      </w:r>
      <w:r w:rsidR="00BF3AC4">
        <w:rPr>
          <w:rFonts w:ascii="Aptos" w:hAnsi="Aptos" w:cs="Times New Roman"/>
          <w:sz w:val="24"/>
          <w:szCs w:val="24"/>
        </w:rPr>
        <w:t>4</w:t>
      </w:r>
      <w:r w:rsidRPr="0064094A" w:rsidR="0064094A">
        <w:rPr>
          <w:rFonts w:ascii="Aptos" w:hAnsi="Aptos" w:cs="Times New Roman"/>
          <w:sz w:val="24"/>
          <w:szCs w:val="24"/>
        </w:rPr>
        <w:t>) by the number</w:t>
      </w:r>
      <w:r w:rsidR="001E5D2F">
        <w:rPr>
          <w:rFonts w:ascii="Aptos" w:hAnsi="Aptos" w:cs="Times New Roman"/>
          <w:sz w:val="24"/>
          <w:szCs w:val="24"/>
        </w:rPr>
        <w:t xml:space="preserve"> of PIs</w:t>
      </w:r>
      <w:r w:rsidRPr="0064094A" w:rsidR="0064094A">
        <w:rPr>
          <w:rFonts w:ascii="Aptos" w:hAnsi="Aptos" w:cs="Times New Roman"/>
          <w:sz w:val="24"/>
          <w:szCs w:val="24"/>
        </w:rPr>
        <w:t xml:space="preserve"> by the time it takes an </w:t>
      </w:r>
      <w:r w:rsidR="001E5D2F">
        <w:rPr>
          <w:rFonts w:ascii="Aptos" w:hAnsi="Aptos" w:cs="Times New Roman"/>
          <w:sz w:val="24"/>
          <w:szCs w:val="24"/>
        </w:rPr>
        <w:t>PI</w:t>
      </w:r>
      <w:r w:rsidRPr="0064094A" w:rsidR="0064094A">
        <w:rPr>
          <w:rFonts w:ascii="Aptos" w:hAnsi="Aptos" w:cs="Times New Roman"/>
          <w:sz w:val="24"/>
          <w:szCs w:val="24"/>
        </w:rPr>
        <w:t xml:space="preserve"> to complete a </w:t>
      </w:r>
      <w:r w:rsidR="001E5D2F">
        <w:rPr>
          <w:rFonts w:ascii="Aptos" w:hAnsi="Aptos" w:cs="Times New Roman"/>
          <w:sz w:val="24"/>
          <w:szCs w:val="24"/>
        </w:rPr>
        <w:t>R</w:t>
      </w:r>
      <w:r w:rsidRPr="0064094A" w:rsidR="0064094A">
        <w:rPr>
          <w:rFonts w:ascii="Aptos" w:hAnsi="Aptos" w:cs="Times New Roman"/>
          <w:sz w:val="24"/>
          <w:szCs w:val="24"/>
        </w:rPr>
        <w:t xml:space="preserve">enewal or </w:t>
      </w:r>
      <w:r w:rsidR="001E5D2F">
        <w:rPr>
          <w:rFonts w:ascii="Aptos" w:hAnsi="Aptos" w:cs="Times New Roman"/>
          <w:sz w:val="24"/>
          <w:szCs w:val="24"/>
        </w:rPr>
        <w:t>C</w:t>
      </w:r>
      <w:r w:rsidRPr="0064094A" w:rsidR="0064094A">
        <w:rPr>
          <w:rFonts w:ascii="Aptos" w:hAnsi="Aptos" w:cs="Times New Roman"/>
          <w:sz w:val="24"/>
          <w:szCs w:val="24"/>
        </w:rPr>
        <w:t xml:space="preserve">lose-out form (15/60 hour). The same formula was used to derive the total annual burden for </w:t>
      </w:r>
      <w:r w:rsidR="001B6D12">
        <w:rPr>
          <w:rFonts w:ascii="Aptos" w:hAnsi="Aptos" w:cs="Times New Roman"/>
          <w:sz w:val="24"/>
          <w:szCs w:val="24"/>
        </w:rPr>
        <w:t xml:space="preserve">SOs </w:t>
      </w:r>
      <w:r w:rsidRPr="0064094A" w:rsidR="0064094A">
        <w:rPr>
          <w:rFonts w:ascii="Aptos" w:hAnsi="Aptos" w:cs="Times New Roman"/>
          <w:sz w:val="24"/>
          <w:szCs w:val="24"/>
        </w:rPr>
        <w:t xml:space="preserve">(i.e., the frequency was multiplied by the number of </w:t>
      </w:r>
      <w:r w:rsidR="00031C99">
        <w:rPr>
          <w:rFonts w:ascii="Aptos" w:hAnsi="Aptos" w:cs="Times New Roman"/>
          <w:sz w:val="24"/>
          <w:szCs w:val="24"/>
        </w:rPr>
        <w:t>SOs</w:t>
      </w:r>
      <w:r w:rsidRPr="0064094A" w:rsidR="0064094A">
        <w:rPr>
          <w:rFonts w:ascii="Aptos" w:hAnsi="Aptos" w:cs="Times New Roman"/>
          <w:sz w:val="24"/>
          <w:szCs w:val="24"/>
        </w:rPr>
        <w:t xml:space="preserve"> by the time it takes an </w:t>
      </w:r>
      <w:r w:rsidR="00031C99">
        <w:rPr>
          <w:rFonts w:ascii="Aptos" w:hAnsi="Aptos" w:cs="Times New Roman"/>
          <w:sz w:val="24"/>
          <w:szCs w:val="24"/>
        </w:rPr>
        <w:t>SO</w:t>
      </w:r>
      <w:r w:rsidRPr="0064094A" w:rsidR="0064094A">
        <w:rPr>
          <w:rFonts w:ascii="Aptos" w:hAnsi="Aptos" w:cs="Times New Roman"/>
          <w:sz w:val="24"/>
          <w:szCs w:val="24"/>
        </w:rPr>
        <w:t xml:space="preserve"> to complete the certification process).</w:t>
      </w:r>
      <w:r w:rsidR="00794442">
        <w:rPr>
          <w:rFonts w:ascii="Aptos" w:hAnsi="Aptos" w:cs="Times New Roman"/>
          <w:sz w:val="24"/>
          <w:szCs w:val="24"/>
        </w:rPr>
        <w:t xml:space="preserve"> </w:t>
      </w:r>
      <w:r>
        <w:rPr>
          <w:rFonts w:ascii="Aptos" w:hAnsi="Aptos" w:cs="Times New Roman"/>
          <w:sz w:val="24"/>
          <w:szCs w:val="24"/>
        </w:rPr>
        <w:t xml:space="preserve">Based on these calculations, PIs submitting a </w:t>
      </w:r>
      <w:r w:rsidR="005B3DF0">
        <w:rPr>
          <w:rFonts w:ascii="Aptos" w:hAnsi="Aptos" w:cs="Times New Roman"/>
          <w:sz w:val="24"/>
          <w:szCs w:val="24"/>
        </w:rPr>
        <w:t>R</w:t>
      </w:r>
      <w:r>
        <w:rPr>
          <w:rFonts w:ascii="Aptos" w:hAnsi="Aptos" w:cs="Times New Roman"/>
          <w:sz w:val="24"/>
          <w:szCs w:val="24"/>
        </w:rPr>
        <w:t xml:space="preserve">enewal </w:t>
      </w:r>
      <w:r w:rsidR="005B3DF0">
        <w:rPr>
          <w:rFonts w:ascii="Aptos" w:hAnsi="Aptos" w:cs="Times New Roman"/>
          <w:sz w:val="24"/>
          <w:szCs w:val="24"/>
        </w:rPr>
        <w:t xml:space="preserve">or Close-out </w:t>
      </w:r>
      <w:r>
        <w:rPr>
          <w:rFonts w:ascii="Aptos" w:hAnsi="Aptos" w:cs="Times New Roman"/>
          <w:sz w:val="24"/>
          <w:szCs w:val="24"/>
        </w:rPr>
        <w:t xml:space="preserve">in the Legacy </w:t>
      </w:r>
      <w:r w:rsidR="00B43DB2">
        <w:rPr>
          <w:rFonts w:ascii="Aptos" w:hAnsi="Aptos" w:cs="Times New Roman"/>
          <w:sz w:val="24"/>
          <w:szCs w:val="24"/>
        </w:rPr>
        <w:t>Authorized Access System had an estimated</w:t>
      </w:r>
      <w:r w:rsidR="005B3DF0">
        <w:rPr>
          <w:rFonts w:ascii="Aptos" w:hAnsi="Aptos" w:cs="Times New Roman"/>
          <w:sz w:val="24"/>
          <w:szCs w:val="24"/>
        </w:rPr>
        <w:t xml:space="preserve"> 281 burden hours</w:t>
      </w:r>
      <w:r w:rsidR="005D03F7">
        <w:rPr>
          <w:rFonts w:ascii="Aptos" w:hAnsi="Aptos" w:cs="Times New Roman"/>
          <w:sz w:val="24"/>
          <w:szCs w:val="24"/>
        </w:rPr>
        <w:t xml:space="preserve"> and the SO signing off on the Renewal or Close-out had an estimated 337 burden hours. </w:t>
      </w:r>
      <w:r w:rsidRPr="00B538D0" w:rsidR="000E15D6">
        <w:rPr>
          <w:rFonts w:ascii="Aptos" w:hAnsi="Aptos" w:cs="Times New Roman"/>
          <w:sz w:val="24"/>
          <w:szCs w:val="24"/>
          <w:highlight w:val="yellow"/>
        </w:rPr>
        <w:t xml:space="preserve">For the New Authorized Access System, based on these calculations, PIs submitting a Renewal or Close-out had an estimated </w:t>
      </w:r>
      <w:r w:rsidRPr="00B538D0" w:rsidR="00A158E3">
        <w:rPr>
          <w:rFonts w:ascii="Aptos" w:hAnsi="Aptos" w:cs="Times New Roman"/>
          <w:sz w:val="24"/>
          <w:szCs w:val="24"/>
          <w:highlight w:val="yellow"/>
        </w:rPr>
        <w:t xml:space="preserve">842 hours and SOs signing off on a Renewal or Close-out had an estimated 1010 </w:t>
      </w:r>
      <w:r w:rsidRPr="00B538D0" w:rsidR="00B538D0">
        <w:rPr>
          <w:rFonts w:ascii="Aptos" w:hAnsi="Aptos" w:cs="Times New Roman"/>
          <w:sz w:val="24"/>
          <w:szCs w:val="24"/>
          <w:highlight w:val="yellow"/>
        </w:rPr>
        <w:t>burden hours.</w:t>
      </w:r>
      <w:r w:rsidR="00DA5E67">
        <w:rPr>
          <w:rFonts w:ascii="Aptos" w:hAnsi="Aptos" w:cs="Times New Roman"/>
          <w:sz w:val="24"/>
          <w:szCs w:val="24"/>
        </w:rPr>
        <w:t xml:space="preserve"> </w:t>
      </w:r>
      <w:r w:rsidR="009C1ED3">
        <w:rPr>
          <w:rFonts w:ascii="Aptos" w:hAnsi="Aptos" w:cs="Times New Roman"/>
          <w:sz w:val="24"/>
          <w:szCs w:val="24"/>
        </w:rPr>
        <w:t xml:space="preserve">The total annual estimated burden hours for submitting a Renewal or Close-out </w:t>
      </w:r>
      <w:r w:rsidR="00AD51B8">
        <w:rPr>
          <w:rFonts w:ascii="Aptos" w:hAnsi="Aptos" w:cs="Times New Roman"/>
          <w:sz w:val="24"/>
          <w:szCs w:val="24"/>
        </w:rPr>
        <w:t xml:space="preserve">in the Legacy Authorized Access System is 618 hours and in the New Authorized Access System is </w:t>
      </w:r>
      <w:r w:rsidR="00D51768">
        <w:rPr>
          <w:rFonts w:ascii="Aptos" w:hAnsi="Aptos" w:cs="Times New Roman"/>
          <w:sz w:val="24"/>
          <w:szCs w:val="24"/>
        </w:rPr>
        <w:t>1852 hours.</w:t>
      </w:r>
    </w:p>
    <w:p w:rsidR="0031749D" w:rsidRPr="001921C2" w:rsidP="00562D19" w14:paraId="67FD8553" w14:textId="63C66689">
      <w:pPr>
        <w:rPr>
          <w:rFonts w:ascii="Aptos" w:hAnsi="Aptos" w:cs="Times New Roman"/>
          <w:sz w:val="24"/>
          <w:szCs w:val="24"/>
        </w:rPr>
      </w:pPr>
      <w:r w:rsidRPr="00794442">
        <w:rPr>
          <w:rFonts w:ascii="Aptos" w:hAnsi="Aptos" w:cs="Times New Roman"/>
          <w:sz w:val="24"/>
          <w:szCs w:val="24"/>
        </w:rPr>
        <w:t>The total annual hour burden</w:t>
      </w:r>
      <w:r w:rsidR="00E75436">
        <w:rPr>
          <w:rFonts w:ascii="Aptos" w:hAnsi="Aptos" w:cs="Times New Roman"/>
          <w:sz w:val="24"/>
          <w:szCs w:val="24"/>
        </w:rPr>
        <w:t xml:space="preserve"> is </w:t>
      </w:r>
      <w:r w:rsidRPr="72194E9D" w:rsidR="00B80F55">
        <w:rPr>
          <w:rFonts w:ascii="Aptos" w:hAnsi="Aptos" w:cs="Times New Roman"/>
          <w:sz w:val="24"/>
          <w:szCs w:val="24"/>
        </w:rPr>
        <w:t>978</w:t>
      </w:r>
      <w:r w:rsidRPr="72194E9D" w:rsidR="156A41DC">
        <w:rPr>
          <w:rFonts w:ascii="Aptos" w:hAnsi="Aptos" w:cs="Times New Roman"/>
          <w:sz w:val="24"/>
          <w:szCs w:val="24"/>
        </w:rPr>
        <w:t>4</w:t>
      </w:r>
      <w:r w:rsidR="00B80F55">
        <w:rPr>
          <w:rFonts w:ascii="Aptos" w:hAnsi="Aptos" w:cs="Times New Roman"/>
          <w:sz w:val="24"/>
          <w:szCs w:val="24"/>
        </w:rPr>
        <w:t xml:space="preserve"> </w:t>
      </w:r>
      <w:r w:rsidRPr="00B80F55" w:rsidR="00B80F55">
        <w:rPr>
          <w:rFonts w:ascii="Aptos" w:hAnsi="Aptos" w:cs="Times New Roman"/>
          <w:sz w:val="24"/>
          <w:szCs w:val="24"/>
        </w:rPr>
        <w:t>hours for all respondents</w:t>
      </w:r>
      <w:r w:rsidR="00B80F55">
        <w:rPr>
          <w:rFonts w:ascii="Aptos" w:hAnsi="Aptos" w:cs="Times New Roman"/>
          <w:sz w:val="24"/>
          <w:szCs w:val="24"/>
        </w:rPr>
        <w:t>.</w:t>
      </w:r>
    </w:p>
    <w:p w:rsidR="00EC42F9" w:rsidRPr="001921C2" w:rsidP="00EC42F9" w14:paraId="0D299877" w14:textId="4D9060AF">
      <w:pPr>
        <w:rPr>
          <w:rFonts w:ascii="Aptos" w:hAnsi="Aptos" w:cs="Times New Roman"/>
          <w:sz w:val="24"/>
          <w:szCs w:val="24"/>
        </w:rPr>
      </w:pPr>
      <w:r w:rsidRPr="001921C2">
        <w:rPr>
          <w:rFonts w:ascii="Aptos" w:hAnsi="Aptos" w:cs="Times New Roman"/>
          <w:b/>
          <w:sz w:val="24"/>
          <w:szCs w:val="24"/>
        </w:rPr>
        <w:t xml:space="preserve">A.12-1 </w:t>
      </w:r>
      <w:bookmarkStart w:id="0" w:name="_Hlk112244857"/>
      <w:r w:rsidRPr="001921C2">
        <w:rPr>
          <w:rFonts w:ascii="Aptos" w:hAnsi="Aptos" w:cs="Times New Roman"/>
          <w:b/>
          <w:sz w:val="24"/>
          <w:szCs w:val="24"/>
        </w:rPr>
        <w:t>Estimated Annualized Burden Hours</w:t>
      </w:r>
      <w:r w:rsidR="004F6EA3">
        <w:rPr>
          <w:rFonts w:ascii="Aptos" w:hAnsi="Aptos" w:cs="Times New Roman"/>
          <w:b/>
          <w:sz w:val="24"/>
          <w:szCs w:val="24"/>
        </w:rPr>
        <w:t xml:space="preserve"> (Data Table)</w:t>
      </w:r>
    </w:p>
    <w:tbl>
      <w:tblPr>
        <w:tblStyle w:val="TableGrid"/>
        <w:tblW w:w="9340" w:type="dxa"/>
        <w:tblLook w:val="04A0"/>
      </w:tblPr>
      <w:tblGrid>
        <w:gridCol w:w="1742"/>
        <w:gridCol w:w="1695"/>
        <w:gridCol w:w="1710"/>
        <w:gridCol w:w="1590"/>
        <w:gridCol w:w="1347"/>
        <w:gridCol w:w="1256"/>
      </w:tblGrid>
      <w:tr w14:paraId="020CF282" w14:textId="77777777" w:rsidTr="002A2990">
        <w:tblPrEx>
          <w:tblW w:w="9340" w:type="dxa"/>
          <w:tblLook w:val="04A0"/>
        </w:tblPrEx>
        <w:trPr>
          <w:trHeight w:val="360"/>
        </w:trPr>
        <w:tc>
          <w:tcPr>
            <w:tcW w:w="9340" w:type="dxa"/>
            <w:gridSpan w:val="6"/>
            <w:tcBorders>
              <w:top w:val="single" w:sz="8" w:space="0" w:color="auto"/>
              <w:left w:val="single" w:sz="8" w:space="0" w:color="auto"/>
              <w:right w:val="single" w:sz="8" w:space="0" w:color="auto"/>
            </w:tcBorders>
            <w:shd w:val="clear" w:color="auto" w:fill="BFBFBF" w:themeFill="background1" w:themeFillShade="BF"/>
            <w:vAlign w:val="center"/>
            <w:hideMark/>
          </w:tcPr>
          <w:bookmarkEnd w:id="0"/>
          <w:p w:rsidR="00B02A4D" w:rsidRPr="001921C2" w:rsidP="00B73F42" w14:paraId="4144A8CF" w14:textId="77777777">
            <w:pPr>
              <w:jc w:val="center"/>
              <w:rPr>
                <w:rFonts w:ascii="Aptos" w:hAnsi="Aptos" w:cs="Times New Roman"/>
                <w:b/>
                <w:bCs/>
                <w:sz w:val="24"/>
                <w:szCs w:val="24"/>
              </w:rPr>
            </w:pPr>
            <w:r w:rsidRPr="001921C2">
              <w:rPr>
                <w:rFonts w:ascii="Aptos" w:hAnsi="Aptos" w:cs="Times New Roman"/>
                <w:b/>
                <w:bCs/>
                <w:sz w:val="24"/>
                <w:szCs w:val="24"/>
              </w:rPr>
              <w:t>A.12-1 Estimated Annualized Burden Hours</w:t>
            </w:r>
          </w:p>
        </w:tc>
      </w:tr>
      <w:tr w14:paraId="6E8BD6BD" w14:textId="77777777" w:rsidTr="1E0076AE">
        <w:tblPrEx>
          <w:tblW w:w="9340" w:type="dxa"/>
          <w:tblLook w:val="04A0"/>
        </w:tblPrEx>
        <w:trPr>
          <w:trHeight w:val="1800"/>
        </w:trPr>
        <w:tc>
          <w:tcPr>
            <w:tcW w:w="1742" w:type="dxa"/>
            <w:tcBorders>
              <w:left w:val="single" w:sz="8" w:space="0" w:color="auto"/>
              <w:bottom w:val="single" w:sz="8" w:space="0" w:color="auto"/>
            </w:tcBorders>
            <w:shd w:val="clear" w:color="auto" w:fill="D9D9D9" w:themeFill="background1" w:themeFillShade="D9"/>
            <w:vAlign w:val="center"/>
            <w:hideMark/>
          </w:tcPr>
          <w:p w:rsidR="00B02A4D" w:rsidRPr="001921C2" w:rsidP="00B73F42" w14:paraId="45C00885" w14:textId="77777777">
            <w:pPr>
              <w:jc w:val="center"/>
              <w:rPr>
                <w:rFonts w:ascii="Aptos" w:hAnsi="Aptos" w:cs="Times New Roman"/>
                <w:b/>
                <w:bCs/>
                <w:sz w:val="24"/>
                <w:szCs w:val="24"/>
              </w:rPr>
            </w:pPr>
            <w:r w:rsidRPr="001921C2">
              <w:rPr>
                <w:rFonts w:ascii="Aptos" w:hAnsi="Aptos" w:cs="Times New Roman"/>
                <w:b/>
                <w:bCs/>
                <w:sz w:val="24"/>
                <w:szCs w:val="24"/>
              </w:rPr>
              <w:t>Form Name</w:t>
            </w:r>
          </w:p>
        </w:tc>
        <w:tc>
          <w:tcPr>
            <w:tcW w:w="1695" w:type="dxa"/>
            <w:tcBorders>
              <w:bottom w:val="single" w:sz="8" w:space="0" w:color="auto"/>
            </w:tcBorders>
            <w:shd w:val="clear" w:color="auto" w:fill="D9D9D9" w:themeFill="background1" w:themeFillShade="D9"/>
            <w:vAlign w:val="center"/>
            <w:hideMark/>
          </w:tcPr>
          <w:p w:rsidR="00B02A4D" w:rsidRPr="001921C2" w:rsidP="00B73F42" w14:paraId="73139EFF" w14:textId="77777777">
            <w:pPr>
              <w:jc w:val="center"/>
              <w:rPr>
                <w:rFonts w:ascii="Aptos" w:hAnsi="Aptos" w:cs="Times New Roman"/>
                <w:b/>
                <w:bCs/>
                <w:sz w:val="24"/>
                <w:szCs w:val="24"/>
              </w:rPr>
            </w:pPr>
            <w:r w:rsidRPr="001921C2">
              <w:rPr>
                <w:rFonts w:ascii="Aptos" w:hAnsi="Aptos" w:cs="Times New Roman"/>
                <w:b/>
                <w:bCs/>
                <w:sz w:val="24"/>
                <w:szCs w:val="24"/>
              </w:rPr>
              <w:t>Type of Respondents</w:t>
            </w:r>
          </w:p>
        </w:tc>
        <w:tc>
          <w:tcPr>
            <w:tcW w:w="1710" w:type="dxa"/>
            <w:tcBorders>
              <w:bottom w:val="single" w:sz="8" w:space="0" w:color="auto"/>
            </w:tcBorders>
            <w:shd w:val="clear" w:color="auto" w:fill="D9D9D9" w:themeFill="background1" w:themeFillShade="D9"/>
            <w:vAlign w:val="center"/>
            <w:hideMark/>
          </w:tcPr>
          <w:p w:rsidR="00B02A4D" w:rsidRPr="001921C2" w:rsidP="00B73F42" w14:paraId="52C794D2" w14:textId="77777777">
            <w:pPr>
              <w:jc w:val="center"/>
              <w:rPr>
                <w:rFonts w:ascii="Aptos" w:hAnsi="Aptos" w:cs="Times New Roman"/>
                <w:b/>
                <w:bCs/>
                <w:sz w:val="24"/>
                <w:szCs w:val="24"/>
              </w:rPr>
            </w:pPr>
            <w:r w:rsidRPr="001921C2">
              <w:rPr>
                <w:rFonts w:ascii="Aptos" w:hAnsi="Aptos" w:cs="Times New Roman"/>
                <w:b/>
                <w:bCs/>
                <w:sz w:val="24"/>
                <w:szCs w:val="24"/>
              </w:rPr>
              <w:t>Number of Respondents</w:t>
            </w:r>
          </w:p>
        </w:tc>
        <w:tc>
          <w:tcPr>
            <w:tcW w:w="1590" w:type="dxa"/>
            <w:tcBorders>
              <w:bottom w:val="single" w:sz="8" w:space="0" w:color="auto"/>
            </w:tcBorders>
            <w:shd w:val="clear" w:color="auto" w:fill="D9D9D9" w:themeFill="background1" w:themeFillShade="D9"/>
            <w:vAlign w:val="center"/>
            <w:hideMark/>
          </w:tcPr>
          <w:p w:rsidR="00B02A4D" w:rsidRPr="001921C2" w:rsidP="00B73F42" w14:paraId="4DA5239D" w14:textId="77777777">
            <w:pPr>
              <w:jc w:val="center"/>
              <w:rPr>
                <w:rFonts w:ascii="Aptos" w:hAnsi="Aptos" w:cs="Times New Roman"/>
                <w:b/>
                <w:bCs/>
                <w:sz w:val="24"/>
                <w:szCs w:val="24"/>
              </w:rPr>
            </w:pPr>
            <w:r w:rsidRPr="001921C2">
              <w:rPr>
                <w:rFonts w:ascii="Aptos" w:hAnsi="Aptos" w:cs="Times New Roman"/>
                <w:b/>
                <w:bCs/>
                <w:sz w:val="24"/>
                <w:szCs w:val="24"/>
              </w:rPr>
              <w:t>Number of Responses per Respondent</w:t>
            </w:r>
          </w:p>
        </w:tc>
        <w:tc>
          <w:tcPr>
            <w:tcW w:w="1347" w:type="dxa"/>
            <w:tcBorders>
              <w:bottom w:val="single" w:sz="8" w:space="0" w:color="auto"/>
            </w:tcBorders>
            <w:shd w:val="clear" w:color="auto" w:fill="D9D9D9" w:themeFill="background1" w:themeFillShade="D9"/>
            <w:vAlign w:val="center"/>
            <w:hideMark/>
          </w:tcPr>
          <w:p w:rsidR="00B02A4D" w:rsidRPr="001921C2" w:rsidP="00B73F42" w14:paraId="53542A61" w14:textId="77777777">
            <w:pPr>
              <w:jc w:val="center"/>
              <w:rPr>
                <w:rFonts w:ascii="Aptos" w:hAnsi="Aptos" w:cs="Times New Roman"/>
                <w:b/>
                <w:bCs/>
                <w:sz w:val="24"/>
                <w:szCs w:val="24"/>
              </w:rPr>
            </w:pPr>
            <w:r w:rsidRPr="001921C2">
              <w:rPr>
                <w:rFonts w:ascii="Aptos" w:hAnsi="Aptos" w:cs="Times New Roman"/>
                <w:b/>
                <w:bCs/>
                <w:sz w:val="24"/>
                <w:szCs w:val="24"/>
              </w:rPr>
              <w:t>Average Burden Per Response (in hours)</w:t>
            </w:r>
          </w:p>
        </w:tc>
        <w:tc>
          <w:tcPr>
            <w:tcW w:w="1256" w:type="dxa"/>
            <w:tcBorders>
              <w:bottom w:val="single" w:sz="8" w:space="0" w:color="auto"/>
              <w:right w:val="single" w:sz="8" w:space="0" w:color="auto"/>
            </w:tcBorders>
            <w:shd w:val="clear" w:color="auto" w:fill="D9D9D9" w:themeFill="background1" w:themeFillShade="D9"/>
            <w:vAlign w:val="center"/>
            <w:hideMark/>
          </w:tcPr>
          <w:p w:rsidR="00B02A4D" w:rsidRPr="001921C2" w:rsidP="00B73F42" w14:paraId="5EEABE1A" w14:textId="77777777">
            <w:pPr>
              <w:jc w:val="center"/>
              <w:rPr>
                <w:rFonts w:ascii="Aptos" w:hAnsi="Aptos" w:cs="Times New Roman"/>
                <w:b/>
                <w:bCs/>
                <w:sz w:val="24"/>
                <w:szCs w:val="24"/>
              </w:rPr>
            </w:pPr>
            <w:r w:rsidRPr="001921C2">
              <w:rPr>
                <w:rFonts w:ascii="Aptos" w:hAnsi="Aptos" w:cs="Times New Roman"/>
                <w:b/>
                <w:bCs/>
                <w:sz w:val="24"/>
                <w:szCs w:val="24"/>
              </w:rPr>
              <w:t>Total Annual Burden Hours</w:t>
            </w:r>
          </w:p>
        </w:tc>
      </w:tr>
      <w:tr w14:paraId="09334E57" w14:textId="77777777" w:rsidTr="002A2990">
        <w:tblPrEx>
          <w:tblW w:w="9340" w:type="dxa"/>
          <w:tblLook w:val="04A0"/>
        </w:tblPrEx>
        <w:trPr>
          <w:trHeight w:val="360"/>
        </w:trPr>
        <w:tc>
          <w:tcPr>
            <w:tcW w:w="9340" w:type="dxa"/>
            <w:gridSpan w:val="6"/>
            <w:tcBorders>
              <w:top w:val="single" w:sz="8" w:space="0" w:color="auto"/>
              <w:left w:val="single" w:sz="8" w:space="0" w:color="auto"/>
              <w:right w:val="single" w:sz="8" w:space="0" w:color="auto"/>
            </w:tcBorders>
            <w:shd w:val="clear" w:color="auto" w:fill="D0CECE" w:themeFill="background2" w:themeFillShade="E6"/>
            <w:vAlign w:val="center"/>
          </w:tcPr>
          <w:p w:rsidR="00C3581E" w:rsidRPr="001921C2" w:rsidP="00AF3B4C" w14:paraId="07C0C431" w14:textId="77777777">
            <w:pPr>
              <w:rPr>
                <w:rFonts w:ascii="Aptos" w:hAnsi="Aptos" w:cs="Times New Roman"/>
                <w:b/>
                <w:bCs/>
                <w:sz w:val="24"/>
                <w:szCs w:val="24"/>
              </w:rPr>
            </w:pPr>
          </w:p>
        </w:tc>
      </w:tr>
      <w:tr w14:paraId="6CCF818C" w14:textId="77777777" w:rsidTr="002A2990">
        <w:tblPrEx>
          <w:tblW w:w="9340" w:type="dxa"/>
          <w:tblLook w:val="04A0"/>
        </w:tblPrEx>
        <w:trPr>
          <w:trHeight w:val="403"/>
        </w:trPr>
        <w:tc>
          <w:tcPr>
            <w:tcW w:w="9340" w:type="dxa"/>
            <w:gridSpan w:val="6"/>
            <w:tcBorders>
              <w:top w:val="single" w:sz="8" w:space="0" w:color="auto"/>
              <w:left w:val="single" w:sz="8" w:space="0" w:color="auto"/>
              <w:right w:val="single" w:sz="8" w:space="0" w:color="auto"/>
            </w:tcBorders>
            <w:vAlign w:val="center"/>
            <w:hideMark/>
          </w:tcPr>
          <w:p w:rsidR="00B02A4D" w:rsidRPr="001921C2" w:rsidP="00AF3B4C" w14:paraId="05BA1510" w14:textId="11EED554">
            <w:pPr>
              <w:rPr>
                <w:rFonts w:ascii="Aptos" w:hAnsi="Aptos" w:cs="Times New Roman"/>
                <w:b/>
                <w:bCs/>
                <w:sz w:val="24"/>
                <w:szCs w:val="24"/>
              </w:rPr>
            </w:pPr>
            <w:r w:rsidRPr="001921C2">
              <w:rPr>
                <w:rFonts w:ascii="Aptos" w:hAnsi="Aptos" w:cs="Times New Roman"/>
                <w:b/>
                <w:bCs/>
                <w:sz w:val="24"/>
                <w:szCs w:val="24"/>
              </w:rPr>
              <w:t>Study Registration</w:t>
            </w:r>
            <w:r w:rsidR="008D030E">
              <w:rPr>
                <w:rFonts w:ascii="Aptos" w:hAnsi="Aptos" w:cs="Times New Roman"/>
                <w:b/>
                <w:bCs/>
                <w:sz w:val="24"/>
                <w:szCs w:val="24"/>
              </w:rPr>
              <w:t xml:space="preserve"> and Data Submission</w:t>
            </w:r>
            <w:r w:rsidR="001626F4">
              <w:rPr>
                <w:rFonts w:ascii="Aptos" w:hAnsi="Aptos" w:cs="Times New Roman"/>
                <w:b/>
                <w:bCs/>
                <w:sz w:val="24"/>
                <w:szCs w:val="24"/>
              </w:rPr>
              <w:t xml:space="preserve"> </w:t>
            </w:r>
            <w:r w:rsidR="004402D8">
              <w:rPr>
                <w:rFonts w:ascii="Aptos" w:hAnsi="Aptos" w:cs="Times New Roman"/>
                <w:b/>
                <w:bCs/>
                <w:sz w:val="24"/>
                <w:szCs w:val="24"/>
              </w:rPr>
              <w:t>–</w:t>
            </w:r>
            <w:r w:rsidR="001626F4">
              <w:rPr>
                <w:rFonts w:ascii="Aptos" w:hAnsi="Aptos" w:cs="Times New Roman"/>
                <w:b/>
                <w:bCs/>
                <w:sz w:val="24"/>
                <w:szCs w:val="24"/>
              </w:rPr>
              <w:t xml:space="preserve"> Legacy</w:t>
            </w:r>
            <w:r w:rsidR="006A760B">
              <w:rPr>
                <w:rFonts w:ascii="Aptos" w:hAnsi="Aptos" w:cs="Times New Roman"/>
                <w:b/>
                <w:bCs/>
                <w:sz w:val="24"/>
                <w:szCs w:val="24"/>
              </w:rPr>
              <w:t xml:space="preserve"> System</w:t>
            </w:r>
          </w:p>
        </w:tc>
      </w:tr>
      <w:tr w14:paraId="3DA55E92" w14:textId="77777777" w:rsidTr="1E0076AE">
        <w:tblPrEx>
          <w:tblW w:w="9340" w:type="dxa"/>
          <w:tblLook w:val="04A0"/>
        </w:tblPrEx>
        <w:trPr>
          <w:trHeight w:val="1440"/>
        </w:trPr>
        <w:tc>
          <w:tcPr>
            <w:tcW w:w="1742" w:type="dxa"/>
            <w:tcBorders>
              <w:left w:val="single" w:sz="8" w:space="0" w:color="auto"/>
            </w:tcBorders>
            <w:vAlign w:val="center"/>
          </w:tcPr>
          <w:p w:rsidR="00793251" w:rsidRPr="00FC0F56" w:rsidP="00536307" w14:paraId="55618504" w14:textId="191DAED2">
            <w:pPr>
              <w:rPr>
                <w:rFonts w:ascii="Aptos" w:hAnsi="Aptos" w:cs="Times New Roman"/>
                <w:sz w:val="24"/>
                <w:szCs w:val="24"/>
              </w:rPr>
            </w:pPr>
            <w:r w:rsidRPr="001921C2">
              <w:rPr>
                <w:rFonts w:ascii="Aptos" w:hAnsi="Aptos" w:cs="Times New Roman"/>
                <w:sz w:val="24"/>
                <w:szCs w:val="24"/>
              </w:rPr>
              <w:t>Study Registration Information Form</w:t>
            </w:r>
            <w:r w:rsidR="007555B1">
              <w:rPr>
                <w:rFonts w:ascii="Aptos" w:hAnsi="Aptos" w:cs="Times New Roman"/>
                <w:sz w:val="24"/>
                <w:szCs w:val="24"/>
              </w:rPr>
              <w:t xml:space="preserve"> </w:t>
            </w:r>
            <w:r w:rsidR="00801DDF">
              <w:rPr>
                <w:rFonts w:ascii="Aptos" w:hAnsi="Aptos" w:cs="Times New Roman"/>
                <w:sz w:val="24"/>
                <w:szCs w:val="24"/>
              </w:rPr>
              <w:t xml:space="preserve">(Attachment 1) </w:t>
            </w:r>
            <w:r w:rsidR="007555B1">
              <w:rPr>
                <w:rFonts w:ascii="Aptos" w:hAnsi="Aptos" w:cs="Times New Roman"/>
                <w:sz w:val="24"/>
                <w:szCs w:val="24"/>
              </w:rPr>
              <w:t>and Data Submission</w:t>
            </w:r>
            <w:r w:rsidR="002206FB">
              <w:rPr>
                <w:rFonts w:ascii="Aptos" w:hAnsi="Aptos" w:cs="Times New Roman"/>
                <w:sz w:val="24"/>
                <w:szCs w:val="24"/>
              </w:rPr>
              <w:t xml:space="preserve"> (Attachment 4)</w:t>
            </w:r>
          </w:p>
        </w:tc>
        <w:tc>
          <w:tcPr>
            <w:tcW w:w="1695" w:type="dxa"/>
            <w:vAlign w:val="center"/>
          </w:tcPr>
          <w:p w:rsidR="00793251" w:rsidRPr="00FC0F56" w:rsidP="005A5CE3" w14:paraId="1938DF6B" w14:textId="7037DC2E">
            <w:pPr>
              <w:jc w:val="center"/>
              <w:rPr>
                <w:rFonts w:ascii="Aptos" w:hAnsi="Aptos" w:cs="Times New Roman"/>
                <w:sz w:val="24"/>
                <w:szCs w:val="24"/>
              </w:rPr>
            </w:pPr>
            <w:r>
              <w:rPr>
                <w:rFonts w:ascii="Aptos" w:hAnsi="Aptos" w:cs="Times New Roman"/>
                <w:sz w:val="24"/>
                <w:szCs w:val="24"/>
              </w:rPr>
              <w:t>Submitting Investigator</w:t>
            </w:r>
          </w:p>
        </w:tc>
        <w:tc>
          <w:tcPr>
            <w:tcW w:w="1710" w:type="dxa"/>
            <w:vAlign w:val="center"/>
          </w:tcPr>
          <w:p w:rsidR="00793251" w:rsidP="00793251" w14:paraId="35DFD41A" w14:textId="4AA4764A">
            <w:pPr>
              <w:jc w:val="center"/>
              <w:rPr>
                <w:rFonts w:ascii="Aptos" w:hAnsi="Aptos" w:cs="Times New Roman"/>
                <w:sz w:val="24"/>
                <w:szCs w:val="24"/>
              </w:rPr>
            </w:pPr>
            <w:r>
              <w:rPr>
                <w:rFonts w:ascii="Aptos" w:hAnsi="Aptos" w:cs="Times New Roman"/>
                <w:sz w:val="24"/>
                <w:szCs w:val="24"/>
              </w:rPr>
              <w:t>2</w:t>
            </w:r>
            <w:r w:rsidR="00640A2A">
              <w:rPr>
                <w:rFonts w:ascii="Aptos" w:hAnsi="Aptos" w:cs="Times New Roman"/>
                <w:sz w:val="24"/>
                <w:szCs w:val="24"/>
              </w:rPr>
              <w:t>83</w:t>
            </w:r>
          </w:p>
        </w:tc>
        <w:tc>
          <w:tcPr>
            <w:tcW w:w="1590" w:type="dxa"/>
            <w:vAlign w:val="center"/>
          </w:tcPr>
          <w:p w:rsidR="00793251" w:rsidP="00793251" w14:paraId="66D8C72E" w14:textId="13D65ECA">
            <w:pPr>
              <w:jc w:val="center"/>
              <w:rPr>
                <w:rFonts w:ascii="Aptos" w:hAnsi="Aptos" w:cs="Times New Roman"/>
                <w:sz w:val="24"/>
                <w:szCs w:val="24"/>
              </w:rPr>
            </w:pPr>
            <w:r>
              <w:rPr>
                <w:rFonts w:ascii="Aptos" w:hAnsi="Aptos" w:cs="Times New Roman"/>
                <w:sz w:val="24"/>
                <w:szCs w:val="24"/>
              </w:rPr>
              <w:t>1</w:t>
            </w:r>
          </w:p>
        </w:tc>
        <w:tc>
          <w:tcPr>
            <w:tcW w:w="1347" w:type="dxa"/>
            <w:vAlign w:val="center"/>
          </w:tcPr>
          <w:p w:rsidR="00793251" w:rsidP="00793251" w14:paraId="255E1278" w14:textId="72619310">
            <w:pPr>
              <w:jc w:val="center"/>
              <w:rPr>
                <w:rFonts w:ascii="Aptos" w:hAnsi="Aptos" w:cs="Times New Roman"/>
                <w:sz w:val="24"/>
                <w:szCs w:val="24"/>
              </w:rPr>
            </w:pPr>
            <w:r w:rsidRPr="001921C2">
              <w:rPr>
                <w:rFonts w:ascii="Aptos" w:hAnsi="Aptos" w:cs="Times New Roman"/>
                <w:sz w:val="24"/>
                <w:szCs w:val="24"/>
              </w:rPr>
              <w:t>1</w:t>
            </w:r>
          </w:p>
        </w:tc>
        <w:tc>
          <w:tcPr>
            <w:tcW w:w="1256" w:type="dxa"/>
            <w:tcBorders>
              <w:right w:val="single" w:sz="8" w:space="0" w:color="auto"/>
            </w:tcBorders>
            <w:vAlign w:val="center"/>
          </w:tcPr>
          <w:p w:rsidR="00793251" w:rsidRPr="001921C2" w:rsidP="00FF4510" w14:paraId="24F74882" w14:textId="76BF72A6">
            <w:pPr>
              <w:jc w:val="center"/>
              <w:rPr>
                <w:rFonts w:ascii="Aptos" w:hAnsi="Aptos" w:cs="Times New Roman"/>
                <w:sz w:val="24"/>
                <w:szCs w:val="24"/>
              </w:rPr>
            </w:pPr>
            <w:r>
              <w:rPr>
                <w:rFonts w:ascii="Aptos" w:hAnsi="Aptos" w:cs="Times New Roman"/>
                <w:sz w:val="24"/>
                <w:szCs w:val="24"/>
              </w:rPr>
              <w:t>28</w:t>
            </w:r>
            <w:r w:rsidR="005C2021">
              <w:rPr>
                <w:rFonts w:ascii="Aptos" w:hAnsi="Aptos" w:cs="Times New Roman"/>
                <w:sz w:val="24"/>
                <w:szCs w:val="24"/>
              </w:rPr>
              <w:t>3</w:t>
            </w:r>
          </w:p>
        </w:tc>
      </w:tr>
      <w:tr w14:paraId="0DE5FC1D" w14:textId="77777777" w:rsidTr="1E0076AE">
        <w:tblPrEx>
          <w:tblW w:w="9340" w:type="dxa"/>
          <w:tblLook w:val="04A0"/>
        </w:tblPrEx>
        <w:trPr>
          <w:trHeight w:val="1440"/>
        </w:trPr>
        <w:tc>
          <w:tcPr>
            <w:tcW w:w="1742" w:type="dxa"/>
            <w:tcBorders>
              <w:left w:val="single" w:sz="8" w:space="0" w:color="auto"/>
            </w:tcBorders>
            <w:vAlign w:val="center"/>
          </w:tcPr>
          <w:p w:rsidR="00B8104B" w:rsidRPr="001921C2" w:rsidP="00536307" w14:paraId="58798EBB" w14:textId="1379F9DF">
            <w:pPr>
              <w:rPr>
                <w:rFonts w:ascii="Aptos" w:hAnsi="Aptos" w:cs="Times New Roman"/>
                <w:sz w:val="24"/>
                <w:szCs w:val="24"/>
              </w:rPr>
            </w:pPr>
            <w:r w:rsidRPr="00793251">
              <w:rPr>
                <w:rFonts w:ascii="Aptos" w:hAnsi="Aptos" w:cs="Times New Roman"/>
                <w:sz w:val="24"/>
                <w:szCs w:val="24"/>
              </w:rPr>
              <w:t>Institutional Certification</w:t>
            </w:r>
            <w:r w:rsidR="00801DDF">
              <w:rPr>
                <w:rFonts w:ascii="Aptos" w:hAnsi="Aptos" w:cs="Times New Roman"/>
                <w:sz w:val="24"/>
                <w:szCs w:val="24"/>
              </w:rPr>
              <w:t xml:space="preserve"> (Attachment 3)</w:t>
            </w:r>
          </w:p>
        </w:tc>
        <w:tc>
          <w:tcPr>
            <w:tcW w:w="1695" w:type="dxa"/>
            <w:vAlign w:val="center"/>
          </w:tcPr>
          <w:p w:rsidR="00B8104B" w:rsidP="005A5CE3" w14:paraId="4A657F70" w14:textId="360CEAD7">
            <w:pPr>
              <w:jc w:val="center"/>
              <w:rPr>
                <w:rFonts w:ascii="Aptos" w:hAnsi="Aptos" w:cs="Times New Roman"/>
                <w:sz w:val="24"/>
                <w:szCs w:val="24"/>
              </w:rPr>
            </w:pPr>
            <w:r>
              <w:rPr>
                <w:rFonts w:ascii="Aptos" w:hAnsi="Aptos" w:cs="Times New Roman"/>
                <w:sz w:val="24"/>
                <w:szCs w:val="24"/>
              </w:rPr>
              <w:t>Institutional Signing Official</w:t>
            </w:r>
          </w:p>
        </w:tc>
        <w:tc>
          <w:tcPr>
            <w:tcW w:w="1710" w:type="dxa"/>
            <w:vAlign w:val="center"/>
          </w:tcPr>
          <w:p w:rsidR="00B8104B" w:rsidP="00793251" w14:paraId="32D6CDEB" w14:textId="5A8D53C9">
            <w:pPr>
              <w:jc w:val="center"/>
              <w:rPr>
                <w:rFonts w:ascii="Aptos" w:hAnsi="Aptos" w:cs="Times New Roman"/>
                <w:sz w:val="24"/>
                <w:szCs w:val="24"/>
              </w:rPr>
            </w:pPr>
            <w:r>
              <w:rPr>
                <w:rFonts w:ascii="Aptos" w:hAnsi="Aptos" w:cs="Times New Roman"/>
                <w:sz w:val="24"/>
                <w:szCs w:val="24"/>
              </w:rPr>
              <w:t>2</w:t>
            </w:r>
            <w:r w:rsidR="009C14A9">
              <w:rPr>
                <w:rFonts w:ascii="Aptos" w:hAnsi="Aptos" w:cs="Times New Roman"/>
                <w:sz w:val="24"/>
                <w:szCs w:val="24"/>
              </w:rPr>
              <w:t>72</w:t>
            </w:r>
          </w:p>
        </w:tc>
        <w:tc>
          <w:tcPr>
            <w:tcW w:w="1590" w:type="dxa"/>
            <w:vAlign w:val="center"/>
          </w:tcPr>
          <w:p w:rsidR="00B8104B" w:rsidRPr="001921C2" w:rsidP="00793251" w14:paraId="75A68F3A" w14:textId="76568669">
            <w:pPr>
              <w:jc w:val="center"/>
              <w:rPr>
                <w:rFonts w:ascii="Aptos" w:hAnsi="Aptos" w:cs="Times New Roman"/>
                <w:sz w:val="24"/>
                <w:szCs w:val="24"/>
              </w:rPr>
            </w:pPr>
            <w:r>
              <w:rPr>
                <w:rFonts w:ascii="Aptos" w:hAnsi="Aptos" w:cs="Times New Roman"/>
                <w:sz w:val="24"/>
                <w:szCs w:val="24"/>
              </w:rPr>
              <w:t>1</w:t>
            </w:r>
          </w:p>
        </w:tc>
        <w:tc>
          <w:tcPr>
            <w:tcW w:w="1347" w:type="dxa"/>
            <w:vAlign w:val="center"/>
          </w:tcPr>
          <w:p w:rsidR="00B8104B" w:rsidRPr="001921C2" w:rsidP="00793251" w14:paraId="11D1A2A1" w14:textId="215175DC">
            <w:pPr>
              <w:jc w:val="center"/>
              <w:rPr>
                <w:rFonts w:ascii="Aptos" w:hAnsi="Aptos" w:cs="Times New Roman"/>
                <w:sz w:val="24"/>
                <w:szCs w:val="24"/>
              </w:rPr>
            </w:pPr>
            <w:r>
              <w:rPr>
                <w:rFonts w:ascii="Aptos" w:hAnsi="Aptos" w:cs="Times New Roman"/>
                <w:sz w:val="24"/>
                <w:szCs w:val="24"/>
              </w:rPr>
              <w:t>30/</w:t>
            </w:r>
            <w:r w:rsidR="004402D8">
              <w:rPr>
                <w:rFonts w:ascii="Aptos" w:hAnsi="Aptos" w:cs="Times New Roman"/>
                <w:sz w:val="24"/>
                <w:szCs w:val="24"/>
              </w:rPr>
              <w:t>60</w:t>
            </w:r>
          </w:p>
        </w:tc>
        <w:tc>
          <w:tcPr>
            <w:tcW w:w="1256" w:type="dxa"/>
            <w:tcBorders>
              <w:right w:val="single" w:sz="8" w:space="0" w:color="auto"/>
            </w:tcBorders>
            <w:vAlign w:val="center"/>
          </w:tcPr>
          <w:p w:rsidR="00B8104B" w:rsidRPr="001921C2" w:rsidP="00FF4510" w14:paraId="3258A606" w14:textId="6809DA30">
            <w:pPr>
              <w:jc w:val="center"/>
              <w:rPr>
                <w:rFonts w:ascii="Aptos" w:hAnsi="Aptos" w:cs="Times New Roman"/>
                <w:sz w:val="24"/>
                <w:szCs w:val="24"/>
              </w:rPr>
            </w:pPr>
            <w:r>
              <w:rPr>
                <w:rFonts w:ascii="Aptos" w:hAnsi="Aptos" w:cs="Times New Roman"/>
                <w:sz w:val="24"/>
                <w:szCs w:val="24"/>
              </w:rPr>
              <w:t>136</w:t>
            </w:r>
          </w:p>
        </w:tc>
      </w:tr>
      <w:tr w14:paraId="6C85FE5D" w14:textId="77777777" w:rsidTr="1E0076AE">
        <w:tblPrEx>
          <w:tblW w:w="9340" w:type="dxa"/>
          <w:tblLook w:val="04A0"/>
        </w:tblPrEx>
        <w:trPr>
          <w:trHeight w:val="1440"/>
        </w:trPr>
        <w:tc>
          <w:tcPr>
            <w:tcW w:w="1742" w:type="dxa"/>
            <w:tcBorders>
              <w:left w:val="single" w:sz="8" w:space="0" w:color="auto"/>
            </w:tcBorders>
            <w:vAlign w:val="center"/>
          </w:tcPr>
          <w:p w:rsidR="00B8104B" w:rsidP="00B8104B" w14:paraId="23383DF0" w14:textId="268E4396">
            <w:pPr>
              <w:rPr>
                <w:rFonts w:ascii="Aptos" w:hAnsi="Aptos" w:cs="Times New Roman"/>
                <w:sz w:val="24"/>
                <w:szCs w:val="24"/>
              </w:rPr>
            </w:pPr>
            <w:r>
              <w:rPr>
                <w:rFonts w:ascii="Aptos" w:hAnsi="Aptos" w:cs="Times New Roman"/>
                <w:sz w:val="24"/>
                <w:szCs w:val="24"/>
              </w:rPr>
              <w:t>Data Submission Certification</w:t>
            </w:r>
            <w:r w:rsidR="00801DDF">
              <w:rPr>
                <w:rFonts w:ascii="Aptos" w:hAnsi="Aptos" w:cs="Times New Roman"/>
                <w:sz w:val="24"/>
                <w:szCs w:val="24"/>
              </w:rPr>
              <w:t xml:space="preserve"> (Attachment 2)</w:t>
            </w:r>
            <w:r>
              <w:rPr>
                <w:rFonts w:ascii="Aptos" w:hAnsi="Aptos" w:cs="Times New Roman"/>
                <w:sz w:val="24"/>
                <w:szCs w:val="24"/>
              </w:rPr>
              <w:t xml:space="preserve"> </w:t>
            </w:r>
          </w:p>
        </w:tc>
        <w:tc>
          <w:tcPr>
            <w:tcW w:w="1695" w:type="dxa"/>
            <w:vAlign w:val="center"/>
          </w:tcPr>
          <w:p w:rsidR="00B8104B" w:rsidP="00B8104B" w14:paraId="3FACD6E3" w14:textId="30A37DAF">
            <w:pPr>
              <w:jc w:val="center"/>
              <w:rPr>
                <w:rFonts w:ascii="Aptos" w:hAnsi="Aptos" w:cs="Times New Roman"/>
                <w:sz w:val="24"/>
                <w:szCs w:val="24"/>
              </w:rPr>
            </w:pPr>
            <w:r>
              <w:rPr>
                <w:rFonts w:ascii="Aptos" w:hAnsi="Aptos" w:cs="Times New Roman"/>
                <w:sz w:val="24"/>
                <w:szCs w:val="24"/>
              </w:rPr>
              <w:t>Institutional Signing Official</w:t>
            </w:r>
          </w:p>
        </w:tc>
        <w:tc>
          <w:tcPr>
            <w:tcW w:w="1710" w:type="dxa"/>
            <w:vAlign w:val="center"/>
          </w:tcPr>
          <w:p w:rsidR="00B8104B" w:rsidP="00B8104B" w14:paraId="64BC8CDE" w14:textId="7AE442E6">
            <w:pPr>
              <w:jc w:val="center"/>
              <w:rPr>
                <w:rFonts w:ascii="Aptos" w:hAnsi="Aptos" w:cs="Times New Roman"/>
                <w:sz w:val="24"/>
                <w:szCs w:val="24"/>
              </w:rPr>
            </w:pPr>
            <w:r>
              <w:rPr>
                <w:rFonts w:ascii="Aptos" w:hAnsi="Aptos" w:cs="Times New Roman"/>
                <w:sz w:val="24"/>
                <w:szCs w:val="24"/>
              </w:rPr>
              <w:t>11</w:t>
            </w:r>
          </w:p>
        </w:tc>
        <w:tc>
          <w:tcPr>
            <w:tcW w:w="1590" w:type="dxa"/>
            <w:vAlign w:val="center"/>
          </w:tcPr>
          <w:p w:rsidR="00B8104B" w:rsidRPr="001921C2" w:rsidP="00B8104B" w14:paraId="307508A6" w14:textId="0CB1A8DE">
            <w:pPr>
              <w:jc w:val="center"/>
              <w:rPr>
                <w:rFonts w:ascii="Aptos" w:hAnsi="Aptos" w:cs="Times New Roman"/>
                <w:sz w:val="24"/>
                <w:szCs w:val="24"/>
              </w:rPr>
            </w:pPr>
            <w:r>
              <w:rPr>
                <w:rFonts w:ascii="Aptos" w:hAnsi="Aptos" w:cs="Times New Roman"/>
                <w:sz w:val="24"/>
                <w:szCs w:val="24"/>
              </w:rPr>
              <w:t>1</w:t>
            </w:r>
          </w:p>
        </w:tc>
        <w:tc>
          <w:tcPr>
            <w:tcW w:w="1347" w:type="dxa"/>
            <w:vAlign w:val="center"/>
          </w:tcPr>
          <w:p w:rsidR="00B8104B" w:rsidRPr="001921C2" w:rsidP="00B8104B" w14:paraId="14D9A6A4" w14:textId="19A5E0EE">
            <w:pPr>
              <w:jc w:val="center"/>
              <w:rPr>
                <w:rFonts w:ascii="Aptos" w:hAnsi="Aptos" w:cs="Times New Roman"/>
                <w:sz w:val="24"/>
                <w:szCs w:val="24"/>
              </w:rPr>
            </w:pPr>
            <w:r>
              <w:rPr>
                <w:rFonts w:ascii="Aptos" w:hAnsi="Aptos" w:cs="Times New Roman"/>
                <w:sz w:val="24"/>
                <w:szCs w:val="24"/>
              </w:rPr>
              <w:t>30/60</w:t>
            </w:r>
          </w:p>
        </w:tc>
        <w:tc>
          <w:tcPr>
            <w:tcW w:w="1256" w:type="dxa"/>
            <w:tcBorders>
              <w:right w:val="single" w:sz="8" w:space="0" w:color="auto"/>
            </w:tcBorders>
            <w:vAlign w:val="center"/>
          </w:tcPr>
          <w:p w:rsidR="00B8104B" w:rsidRPr="001921C2" w:rsidP="00FF4510" w14:paraId="7CDAAF5A" w14:textId="0254A731">
            <w:pPr>
              <w:jc w:val="center"/>
              <w:rPr>
                <w:rFonts w:ascii="Aptos" w:hAnsi="Aptos" w:cs="Times New Roman"/>
                <w:sz w:val="24"/>
                <w:szCs w:val="24"/>
              </w:rPr>
            </w:pPr>
            <w:r w:rsidRPr="72194E9D">
              <w:rPr>
                <w:rFonts w:ascii="Aptos" w:hAnsi="Aptos" w:cs="Times New Roman"/>
                <w:sz w:val="24"/>
                <w:szCs w:val="24"/>
              </w:rPr>
              <w:t>6</w:t>
            </w:r>
          </w:p>
        </w:tc>
      </w:tr>
      <w:tr w14:paraId="47AF6B75" w14:textId="77777777" w:rsidTr="00FF4510">
        <w:tblPrEx>
          <w:tblW w:w="9340" w:type="dxa"/>
          <w:tblLook w:val="04A0"/>
        </w:tblPrEx>
        <w:trPr>
          <w:trHeight w:val="395"/>
        </w:trPr>
        <w:tc>
          <w:tcPr>
            <w:tcW w:w="9340" w:type="dxa"/>
            <w:gridSpan w:val="6"/>
            <w:tcBorders>
              <w:left w:val="single" w:sz="8" w:space="0" w:color="auto"/>
              <w:right w:val="single" w:sz="8" w:space="0" w:color="auto"/>
            </w:tcBorders>
            <w:vAlign w:val="center"/>
          </w:tcPr>
          <w:p w:rsidR="00B8104B" w:rsidRPr="00E235FF" w:rsidP="00FF4510" w14:paraId="1F02C0E9" w14:textId="21A3826F">
            <w:pPr>
              <w:rPr>
                <w:rFonts w:ascii="Aptos" w:hAnsi="Aptos" w:cs="Times New Roman"/>
                <w:b/>
                <w:bCs/>
                <w:sz w:val="24"/>
                <w:szCs w:val="24"/>
                <w:highlight w:val="yellow"/>
              </w:rPr>
            </w:pPr>
            <w:r w:rsidRPr="00E235FF">
              <w:rPr>
                <w:rFonts w:ascii="Aptos" w:hAnsi="Aptos" w:cs="Times New Roman"/>
                <w:b/>
                <w:bCs/>
                <w:sz w:val="24"/>
                <w:szCs w:val="24"/>
                <w:highlight w:val="yellow"/>
              </w:rPr>
              <w:t>Study Registration</w:t>
            </w:r>
            <w:r w:rsidRPr="00E235FF" w:rsidR="004F1C26">
              <w:rPr>
                <w:rFonts w:ascii="Aptos" w:hAnsi="Aptos" w:cs="Times New Roman"/>
                <w:b/>
                <w:bCs/>
                <w:sz w:val="24"/>
                <w:szCs w:val="24"/>
                <w:highlight w:val="yellow"/>
              </w:rPr>
              <w:t xml:space="preserve"> and Data Submission</w:t>
            </w:r>
            <w:r w:rsidRPr="00E235FF">
              <w:rPr>
                <w:rFonts w:ascii="Aptos" w:hAnsi="Aptos" w:cs="Times New Roman"/>
                <w:b/>
                <w:bCs/>
                <w:sz w:val="24"/>
                <w:szCs w:val="24"/>
                <w:highlight w:val="yellow"/>
              </w:rPr>
              <w:t xml:space="preserve"> </w:t>
            </w:r>
            <w:r w:rsidRPr="00E235FF" w:rsidR="004402D8">
              <w:rPr>
                <w:rFonts w:ascii="Aptos" w:hAnsi="Aptos" w:cs="Times New Roman"/>
                <w:b/>
                <w:bCs/>
                <w:sz w:val="24"/>
                <w:szCs w:val="24"/>
                <w:highlight w:val="yellow"/>
              </w:rPr>
              <w:t>–</w:t>
            </w:r>
            <w:r w:rsidRPr="00E235FF">
              <w:rPr>
                <w:rFonts w:ascii="Aptos" w:hAnsi="Aptos" w:cs="Times New Roman"/>
                <w:b/>
                <w:bCs/>
                <w:sz w:val="24"/>
                <w:szCs w:val="24"/>
                <w:highlight w:val="yellow"/>
              </w:rPr>
              <w:t xml:space="preserve"> New</w:t>
            </w:r>
            <w:r w:rsidRPr="00E235FF" w:rsidR="006A760B">
              <w:rPr>
                <w:rFonts w:ascii="Aptos" w:hAnsi="Aptos" w:cs="Times New Roman"/>
                <w:b/>
                <w:bCs/>
                <w:sz w:val="24"/>
                <w:szCs w:val="24"/>
                <w:highlight w:val="yellow"/>
              </w:rPr>
              <w:t xml:space="preserve"> System</w:t>
            </w:r>
          </w:p>
        </w:tc>
      </w:tr>
      <w:tr w14:paraId="7C9510DC" w14:textId="77777777" w:rsidTr="1E0076AE">
        <w:tblPrEx>
          <w:tblW w:w="9340" w:type="dxa"/>
          <w:tblLook w:val="04A0"/>
        </w:tblPrEx>
        <w:trPr>
          <w:trHeight w:val="1440"/>
        </w:trPr>
        <w:tc>
          <w:tcPr>
            <w:tcW w:w="1742" w:type="dxa"/>
            <w:tcBorders>
              <w:left w:val="single" w:sz="8" w:space="0" w:color="auto"/>
            </w:tcBorders>
            <w:vAlign w:val="center"/>
          </w:tcPr>
          <w:p w:rsidR="00B8104B" w:rsidRPr="00E235FF" w:rsidP="00B8104B" w14:paraId="1AFFB07A" w14:textId="73E86CD1">
            <w:pPr>
              <w:rPr>
                <w:rFonts w:ascii="Aptos" w:hAnsi="Aptos" w:cs="Times New Roman"/>
                <w:sz w:val="24"/>
                <w:szCs w:val="24"/>
                <w:highlight w:val="yellow"/>
              </w:rPr>
            </w:pPr>
            <w:r w:rsidRPr="00E235FF">
              <w:rPr>
                <w:rFonts w:ascii="Aptos" w:hAnsi="Aptos" w:cs="Times New Roman"/>
                <w:sz w:val="24"/>
                <w:szCs w:val="24"/>
                <w:highlight w:val="yellow"/>
              </w:rPr>
              <w:t>Study Registration Information Form (</w:t>
            </w:r>
            <w:r w:rsidR="00A4114E">
              <w:rPr>
                <w:rFonts w:ascii="Aptos" w:hAnsi="Aptos" w:cs="Times New Roman"/>
                <w:sz w:val="24"/>
                <w:szCs w:val="24"/>
                <w:highlight w:val="yellow"/>
              </w:rPr>
              <w:t>Online</w:t>
            </w:r>
            <w:r w:rsidRPr="00E235FF">
              <w:rPr>
                <w:rFonts w:ascii="Aptos" w:hAnsi="Aptos" w:cs="Times New Roman"/>
                <w:sz w:val="24"/>
                <w:szCs w:val="24"/>
                <w:highlight w:val="yellow"/>
              </w:rPr>
              <w:t>)</w:t>
            </w:r>
            <w:r w:rsidRPr="00E235FF" w:rsidR="00501F6E">
              <w:rPr>
                <w:rFonts w:ascii="Aptos" w:hAnsi="Aptos" w:cs="Times New Roman"/>
                <w:sz w:val="24"/>
                <w:szCs w:val="24"/>
                <w:highlight w:val="yellow"/>
              </w:rPr>
              <w:t xml:space="preserve"> and Data Submission</w:t>
            </w:r>
            <w:r w:rsidR="00801DDF">
              <w:rPr>
                <w:rFonts w:ascii="Aptos" w:hAnsi="Aptos" w:cs="Times New Roman"/>
                <w:sz w:val="24"/>
                <w:szCs w:val="24"/>
                <w:highlight w:val="yellow"/>
              </w:rPr>
              <w:t xml:space="preserve"> (Attachment</w:t>
            </w:r>
            <w:r w:rsidR="00BF3361">
              <w:rPr>
                <w:rFonts w:ascii="Aptos" w:hAnsi="Aptos" w:cs="Times New Roman"/>
                <w:sz w:val="24"/>
                <w:szCs w:val="24"/>
                <w:highlight w:val="yellow"/>
              </w:rPr>
              <w:t xml:space="preserve"> 6)</w:t>
            </w:r>
          </w:p>
        </w:tc>
        <w:tc>
          <w:tcPr>
            <w:tcW w:w="1695" w:type="dxa"/>
            <w:vAlign w:val="center"/>
          </w:tcPr>
          <w:p w:rsidR="00B8104B" w:rsidRPr="00E235FF" w:rsidP="00B8104B" w14:paraId="5E21EBCB" w14:textId="5106C1BA">
            <w:pPr>
              <w:jc w:val="center"/>
              <w:rPr>
                <w:rFonts w:ascii="Aptos" w:hAnsi="Aptos" w:cs="Times New Roman"/>
                <w:sz w:val="24"/>
                <w:szCs w:val="24"/>
                <w:highlight w:val="yellow"/>
              </w:rPr>
            </w:pPr>
            <w:r w:rsidRPr="00E235FF">
              <w:rPr>
                <w:rFonts w:ascii="Aptos" w:hAnsi="Aptos" w:cs="Times New Roman"/>
                <w:sz w:val="24"/>
                <w:szCs w:val="24"/>
                <w:highlight w:val="yellow"/>
              </w:rPr>
              <w:t>Submitting Investigator</w:t>
            </w:r>
          </w:p>
        </w:tc>
        <w:tc>
          <w:tcPr>
            <w:tcW w:w="1710" w:type="dxa"/>
            <w:vAlign w:val="center"/>
          </w:tcPr>
          <w:p w:rsidR="00B8104B" w:rsidRPr="00E235FF" w:rsidP="00B8104B" w14:paraId="565FC2C8" w14:textId="66341A56">
            <w:pPr>
              <w:jc w:val="center"/>
              <w:rPr>
                <w:rFonts w:ascii="Aptos" w:hAnsi="Aptos" w:cs="Times New Roman"/>
                <w:sz w:val="24"/>
                <w:szCs w:val="24"/>
                <w:highlight w:val="yellow"/>
              </w:rPr>
            </w:pPr>
            <w:r w:rsidRPr="00E235FF">
              <w:rPr>
                <w:rFonts w:ascii="Aptos" w:hAnsi="Aptos" w:cs="Times New Roman"/>
                <w:sz w:val="24"/>
                <w:szCs w:val="24"/>
                <w:highlight w:val="yellow"/>
              </w:rPr>
              <w:t>8</w:t>
            </w:r>
            <w:r w:rsidRPr="00E235FF" w:rsidR="0066386D">
              <w:rPr>
                <w:rFonts w:ascii="Aptos" w:hAnsi="Aptos" w:cs="Times New Roman"/>
                <w:sz w:val="24"/>
                <w:szCs w:val="24"/>
                <w:highlight w:val="yellow"/>
              </w:rPr>
              <w:t>49</w:t>
            </w:r>
          </w:p>
        </w:tc>
        <w:tc>
          <w:tcPr>
            <w:tcW w:w="1590" w:type="dxa"/>
            <w:vAlign w:val="center"/>
          </w:tcPr>
          <w:p w:rsidR="00B8104B" w:rsidRPr="00E235FF" w:rsidP="00B8104B" w14:paraId="32C04C0C" w14:textId="61674BE4">
            <w:pPr>
              <w:jc w:val="center"/>
              <w:rPr>
                <w:rFonts w:ascii="Aptos" w:hAnsi="Aptos" w:cs="Times New Roman"/>
                <w:sz w:val="24"/>
                <w:szCs w:val="24"/>
                <w:highlight w:val="yellow"/>
              </w:rPr>
            </w:pPr>
            <w:r w:rsidRPr="00E235FF">
              <w:rPr>
                <w:rFonts w:ascii="Aptos" w:hAnsi="Aptos" w:cs="Times New Roman"/>
                <w:sz w:val="24"/>
                <w:szCs w:val="24"/>
                <w:highlight w:val="yellow"/>
              </w:rPr>
              <w:t>1</w:t>
            </w:r>
          </w:p>
        </w:tc>
        <w:tc>
          <w:tcPr>
            <w:tcW w:w="1347" w:type="dxa"/>
            <w:vAlign w:val="center"/>
          </w:tcPr>
          <w:p w:rsidR="00B8104B" w:rsidRPr="00E235FF" w:rsidP="00B8104B" w14:paraId="16323696" w14:textId="25333B7F">
            <w:pPr>
              <w:jc w:val="center"/>
              <w:rPr>
                <w:rFonts w:ascii="Aptos" w:hAnsi="Aptos" w:cs="Times New Roman"/>
                <w:sz w:val="24"/>
                <w:szCs w:val="24"/>
                <w:highlight w:val="yellow"/>
              </w:rPr>
            </w:pPr>
            <w:r w:rsidRPr="00E235FF">
              <w:rPr>
                <w:rFonts w:ascii="Aptos" w:hAnsi="Aptos" w:cs="Times New Roman"/>
                <w:sz w:val="24"/>
                <w:szCs w:val="24"/>
                <w:highlight w:val="yellow"/>
              </w:rPr>
              <w:t>1</w:t>
            </w:r>
          </w:p>
        </w:tc>
        <w:tc>
          <w:tcPr>
            <w:tcW w:w="1256" w:type="dxa"/>
            <w:tcBorders>
              <w:right w:val="single" w:sz="8" w:space="0" w:color="auto"/>
            </w:tcBorders>
            <w:vAlign w:val="center"/>
          </w:tcPr>
          <w:p w:rsidR="00B8104B" w:rsidRPr="00E235FF" w:rsidP="00FF4510" w14:paraId="1F64E43F" w14:textId="018AB6FF">
            <w:pPr>
              <w:jc w:val="center"/>
              <w:rPr>
                <w:rFonts w:ascii="Aptos" w:hAnsi="Aptos" w:cs="Times New Roman"/>
                <w:sz w:val="24"/>
                <w:szCs w:val="24"/>
                <w:highlight w:val="yellow"/>
              </w:rPr>
            </w:pPr>
            <w:r w:rsidRPr="00E235FF">
              <w:rPr>
                <w:rFonts w:ascii="Aptos" w:hAnsi="Aptos" w:cs="Times New Roman"/>
                <w:sz w:val="24"/>
                <w:szCs w:val="24"/>
                <w:highlight w:val="yellow"/>
              </w:rPr>
              <w:t>8</w:t>
            </w:r>
            <w:r w:rsidRPr="00E235FF" w:rsidR="00231394">
              <w:rPr>
                <w:rFonts w:ascii="Aptos" w:hAnsi="Aptos" w:cs="Times New Roman"/>
                <w:sz w:val="24"/>
                <w:szCs w:val="24"/>
                <w:highlight w:val="yellow"/>
              </w:rPr>
              <w:t>49</w:t>
            </w:r>
          </w:p>
        </w:tc>
      </w:tr>
      <w:tr w14:paraId="0B7AD663" w14:textId="77777777" w:rsidTr="1E0076AE">
        <w:tblPrEx>
          <w:tblW w:w="9340" w:type="dxa"/>
          <w:tblLook w:val="04A0"/>
        </w:tblPrEx>
        <w:trPr>
          <w:trHeight w:val="1440"/>
        </w:trPr>
        <w:tc>
          <w:tcPr>
            <w:tcW w:w="1742" w:type="dxa"/>
            <w:tcBorders>
              <w:left w:val="single" w:sz="8" w:space="0" w:color="auto"/>
            </w:tcBorders>
            <w:vAlign w:val="center"/>
          </w:tcPr>
          <w:p w:rsidR="000B6CEA" w:rsidRPr="00E235FF" w:rsidP="00B8104B" w14:paraId="2B224532" w14:textId="1DD6129A">
            <w:pPr>
              <w:rPr>
                <w:rFonts w:ascii="Aptos" w:hAnsi="Aptos" w:cs="Times New Roman"/>
                <w:sz w:val="24"/>
                <w:szCs w:val="24"/>
                <w:highlight w:val="yellow"/>
              </w:rPr>
            </w:pPr>
            <w:r w:rsidRPr="00E235FF">
              <w:rPr>
                <w:rFonts w:ascii="Aptos" w:hAnsi="Aptos" w:cs="Times New Roman"/>
                <w:sz w:val="24"/>
                <w:szCs w:val="24"/>
                <w:highlight w:val="yellow"/>
              </w:rPr>
              <w:t>Institutional Certification</w:t>
            </w:r>
            <w:r w:rsidR="00BF3361">
              <w:rPr>
                <w:rFonts w:ascii="Aptos" w:hAnsi="Aptos" w:cs="Times New Roman"/>
                <w:sz w:val="24"/>
                <w:szCs w:val="24"/>
                <w:highlight w:val="yellow"/>
              </w:rPr>
              <w:t xml:space="preserve"> (Attachment 3)</w:t>
            </w:r>
            <w:r w:rsidRPr="00E235FF">
              <w:rPr>
                <w:rFonts w:ascii="Aptos" w:hAnsi="Aptos" w:cs="Times New Roman"/>
                <w:sz w:val="24"/>
                <w:szCs w:val="24"/>
                <w:highlight w:val="yellow"/>
              </w:rPr>
              <w:t xml:space="preserve"> </w:t>
            </w:r>
          </w:p>
        </w:tc>
        <w:tc>
          <w:tcPr>
            <w:tcW w:w="1695" w:type="dxa"/>
            <w:vAlign w:val="center"/>
          </w:tcPr>
          <w:p w:rsidR="000B6CEA" w:rsidRPr="00E235FF" w:rsidP="00B8104B" w14:paraId="5CC55179" w14:textId="1DB9A58F">
            <w:pPr>
              <w:jc w:val="center"/>
              <w:rPr>
                <w:rFonts w:ascii="Aptos" w:hAnsi="Aptos" w:cs="Times New Roman"/>
                <w:sz w:val="24"/>
                <w:szCs w:val="24"/>
                <w:highlight w:val="yellow"/>
              </w:rPr>
            </w:pPr>
            <w:r w:rsidRPr="00E235FF">
              <w:rPr>
                <w:rFonts w:ascii="Aptos" w:hAnsi="Aptos" w:cs="Times New Roman"/>
                <w:sz w:val="24"/>
                <w:szCs w:val="24"/>
                <w:highlight w:val="yellow"/>
              </w:rPr>
              <w:t>Institutional Signing Official</w:t>
            </w:r>
          </w:p>
        </w:tc>
        <w:tc>
          <w:tcPr>
            <w:tcW w:w="1710" w:type="dxa"/>
            <w:vAlign w:val="center"/>
          </w:tcPr>
          <w:p w:rsidR="000B6CEA" w:rsidRPr="00E235FF" w:rsidP="00B8104B" w14:paraId="18D385A5" w14:textId="42CB7D94">
            <w:pPr>
              <w:jc w:val="center"/>
              <w:rPr>
                <w:rFonts w:ascii="Aptos" w:hAnsi="Aptos" w:cs="Times New Roman"/>
                <w:sz w:val="24"/>
                <w:szCs w:val="24"/>
                <w:highlight w:val="yellow"/>
              </w:rPr>
            </w:pPr>
            <w:r w:rsidRPr="00E235FF">
              <w:rPr>
                <w:rFonts w:ascii="Aptos" w:hAnsi="Aptos" w:cs="Times New Roman"/>
                <w:sz w:val="24"/>
                <w:szCs w:val="24"/>
                <w:highlight w:val="yellow"/>
              </w:rPr>
              <w:t>8</w:t>
            </w:r>
            <w:r w:rsidRPr="00E235FF" w:rsidR="00865DC6">
              <w:rPr>
                <w:rFonts w:ascii="Aptos" w:hAnsi="Aptos" w:cs="Times New Roman"/>
                <w:sz w:val="24"/>
                <w:szCs w:val="24"/>
                <w:highlight w:val="yellow"/>
              </w:rPr>
              <w:t>16</w:t>
            </w:r>
          </w:p>
        </w:tc>
        <w:tc>
          <w:tcPr>
            <w:tcW w:w="1590" w:type="dxa"/>
            <w:vAlign w:val="center"/>
          </w:tcPr>
          <w:p w:rsidR="000B6CEA" w:rsidRPr="00E235FF" w:rsidP="00B8104B" w14:paraId="05BAD9FF" w14:textId="7C0C5E18">
            <w:pPr>
              <w:jc w:val="center"/>
              <w:rPr>
                <w:rFonts w:ascii="Aptos" w:hAnsi="Aptos" w:cs="Times New Roman"/>
                <w:sz w:val="24"/>
                <w:szCs w:val="24"/>
                <w:highlight w:val="yellow"/>
              </w:rPr>
            </w:pPr>
            <w:r w:rsidRPr="00E235FF">
              <w:rPr>
                <w:rFonts w:ascii="Aptos" w:hAnsi="Aptos" w:cs="Times New Roman"/>
                <w:sz w:val="24"/>
                <w:szCs w:val="24"/>
                <w:highlight w:val="yellow"/>
              </w:rPr>
              <w:t>1</w:t>
            </w:r>
          </w:p>
        </w:tc>
        <w:tc>
          <w:tcPr>
            <w:tcW w:w="1347" w:type="dxa"/>
            <w:vAlign w:val="center"/>
          </w:tcPr>
          <w:p w:rsidR="000B6CEA" w:rsidRPr="00E235FF" w:rsidP="00B8104B" w14:paraId="6C49B0F3" w14:textId="6CFA26F0">
            <w:pPr>
              <w:jc w:val="center"/>
              <w:rPr>
                <w:rFonts w:ascii="Aptos" w:hAnsi="Aptos" w:cs="Times New Roman"/>
                <w:sz w:val="24"/>
                <w:szCs w:val="24"/>
                <w:highlight w:val="yellow"/>
              </w:rPr>
            </w:pPr>
            <w:r w:rsidRPr="00E235FF">
              <w:rPr>
                <w:rFonts w:ascii="Aptos" w:hAnsi="Aptos" w:cs="Times New Roman"/>
                <w:sz w:val="24"/>
                <w:szCs w:val="24"/>
                <w:highlight w:val="yellow"/>
              </w:rPr>
              <w:t>30/60</w:t>
            </w:r>
          </w:p>
        </w:tc>
        <w:tc>
          <w:tcPr>
            <w:tcW w:w="1256" w:type="dxa"/>
            <w:tcBorders>
              <w:right w:val="single" w:sz="8" w:space="0" w:color="auto"/>
            </w:tcBorders>
            <w:vAlign w:val="center"/>
          </w:tcPr>
          <w:p w:rsidR="000B6CEA" w:rsidRPr="00E235FF" w:rsidP="00FF4510" w14:paraId="621645A6" w14:textId="3CE42CE6">
            <w:pPr>
              <w:jc w:val="center"/>
              <w:rPr>
                <w:rFonts w:ascii="Aptos" w:hAnsi="Aptos" w:cs="Times New Roman"/>
                <w:sz w:val="24"/>
                <w:szCs w:val="24"/>
                <w:highlight w:val="yellow"/>
              </w:rPr>
            </w:pPr>
            <w:r w:rsidRPr="00E235FF">
              <w:rPr>
                <w:rFonts w:ascii="Aptos" w:hAnsi="Aptos" w:cs="Times New Roman"/>
                <w:sz w:val="24"/>
                <w:szCs w:val="24"/>
                <w:highlight w:val="yellow"/>
              </w:rPr>
              <w:t>408</w:t>
            </w:r>
          </w:p>
        </w:tc>
      </w:tr>
      <w:tr w14:paraId="474144F3" w14:textId="77777777" w:rsidTr="1E0076AE">
        <w:tblPrEx>
          <w:tblW w:w="9340" w:type="dxa"/>
          <w:tblLook w:val="04A0"/>
        </w:tblPrEx>
        <w:trPr>
          <w:trHeight w:val="1440"/>
        </w:trPr>
        <w:tc>
          <w:tcPr>
            <w:tcW w:w="1742" w:type="dxa"/>
            <w:tcBorders>
              <w:left w:val="single" w:sz="8" w:space="0" w:color="auto"/>
            </w:tcBorders>
            <w:vAlign w:val="center"/>
          </w:tcPr>
          <w:p w:rsidR="00C81D0A" w:rsidRPr="00E235FF" w:rsidP="00C81D0A" w14:paraId="38ABFD24" w14:textId="089AB0E5">
            <w:pPr>
              <w:rPr>
                <w:rFonts w:ascii="Aptos" w:hAnsi="Aptos" w:cs="Times New Roman"/>
                <w:sz w:val="24"/>
                <w:szCs w:val="24"/>
                <w:highlight w:val="yellow"/>
              </w:rPr>
            </w:pPr>
            <w:r w:rsidRPr="00E235FF">
              <w:rPr>
                <w:rFonts w:ascii="Aptos" w:hAnsi="Aptos" w:cs="Times New Roman"/>
                <w:sz w:val="24"/>
                <w:szCs w:val="24"/>
                <w:highlight w:val="yellow"/>
              </w:rPr>
              <w:t>Data Submission Certification</w:t>
            </w:r>
            <w:r w:rsidR="00BF3361">
              <w:rPr>
                <w:rFonts w:ascii="Aptos" w:hAnsi="Aptos" w:cs="Times New Roman"/>
                <w:sz w:val="24"/>
                <w:szCs w:val="24"/>
                <w:highlight w:val="yellow"/>
              </w:rPr>
              <w:t xml:space="preserve"> (Attachment </w:t>
            </w:r>
            <w:r w:rsidR="002206FB">
              <w:rPr>
                <w:rFonts w:ascii="Aptos" w:hAnsi="Aptos" w:cs="Times New Roman"/>
                <w:sz w:val="24"/>
                <w:szCs w:val="24"/>
                <w:highlight w:val="yellow"/>
              </w:rPr>
              <w:t>2)</w:t>
            </w:r>
          </w:p>
        </w:tc>
        <w:tc>
          <w:tcPr>
            <w:tcW w:w="1695" w:type="dxa"/>
            <w:vAlign w:val="center"/>
          </w:tcPr>
          <w:p w:rsidR="00C81D0A" w:rsidRPr="00E235FF" w:rsidP="00C81D0A" w14:paraId="391B2D2A" w14:textId="138494E8">
            <w:pPr>
              <w:jc w:val="center"/>
              <w:rPr>
                <w:rFonts w:ascii="Aptos" w:hAnsi="Aptos" w:cs="Times New Roman"/>
                <w:sz w:val="24"/>
                <w:szCs w:val="24"/>
                <w:highlight w:val="yellow"/>
              </w:rPr>
            </w:pPr>
            <w:r w:rsidRPr="00E235FF">
              <w:rPr>
                <w:rFonts w:ascii="Aptos" w:hAnsi="Aptos" w:cs="Times New Roman"/>
                <w:sz w:val="24"/>
                <w:szCs w:val="24"/>
                <w:highlight w:val="yellow"/>
              </w:rPr>
              <w:t>Institutional Signing Official</w:t>
            </w:r>
          </w:p>
        </w:tc>
        <w:tc>
          <w:tcPr>
            <w:tcW w:w="1710" w:type="dxa"/>
            <w:vAlign w:val="center"/>
          </w:tcPr>
          <w:p w:rsidR="00C81D0A" w:rsidRPr="00E235FF" w:rsidP="00C81D0A" w14:paraId="62A06AFD" w14:textId="40FC93D3">
            <w:pPr>
              <w:jc w:val="center"/>
              <w:rPr>
                <w:rFonts w:ascii="Aptos" w:hAnsi="Aptos" w:cs="Times New Roman"/>
                <w:sz w:val="24"/>
                <w:szCs w:val="24"/>
                <w:highlight w:val="yellow"/>
              </w:rPr>
            </w:pPr>
            <w:r w:rsidRPr="00E235FF">
              <w:rPr>
                <w:rFonts w:ascii="Aptos" w:hAnsi="Aptos" w:cs="Times New Roman"/>
                <w:sz w:val="24"/>
                <w:szCs w:val="24"/>
                <w:highlight w:val="yellow"/>
              </w:rPr>
              <w:t>33</w:t>
            </w:r>
          </w:p>
        </w:tc>
        <w:tc>
          <w:tcPr>
            <w:tcW w:w="1590" w:type="dxa"/>
            <w:vAlign w:val="center"/>
          </w:tcPr>
          <w:p w:rsidR="00C81D0A" w:rsidRPr="00E235FF" w:rsidP="00C81D0A" w14:paraId="3F3557BB" w14:textId="5B88A11E">
            <w:pPr>
              <w:jc w:val="center"/>
              <w:rPr>
                <w:rFonts w:ascii="Aptos" w:hAnsi="Aptos" w:cs="Times New Roman"/>
                <w:sz w:val="24"/>
                <w:szCs w:val="24"/>
                <w:highlight w:val="yellow"/>
              </w:rPr>
            </w:pPr>
            <w:r w:rsidRPr="00E235FF">
              <w:rPr>
                <w:rFonts w:ascii="Aptos" w:hAnsi="Aptos" w:cs="Times New Roman"/>
                <w:sz w:val="24"/>
                <w:szCs w:val="24"/>
                <w:highlight w:val="yellow"/>
              </w:rPr>
              <w:t>1</w:t>
            </w:r>
          </w:p>
        </w:tc>
        <w:tc>
          <w:tcPr>
            <w:tcW w:w="1347" w:type="dxa"/>
            <w:vAlign w:val="center"/>
          </w:tcPr>
          <w:p w:rsidR="00C81D0A" w:rsidRPr="00E235FF" w:rsidP="00C81D0A" w14:paraId="7C738961" w14:textId="0CAA549A">
            <w:pPr>
              <w:jc w:val="center"/>
              <w:rPr>
                <w:rFonts w:ascii="Aptos" w:hAnsi="Aptos" w:cs="Times New Roman"/>
                <w:sz w:val="24"/>
                <w:szCs w:val="24"/>
                <w:highlight w:val="yellow"/>
              </w:rPr>
            </w:pPr>
            <w:r w:rsidRPr="00E235FF">
              <w:rPr>
                <w:rFonts w:ascii="Aptos" w:hAnsi="Aptos" w:cs="Times New Roman"/>
                <w:sz w:val="24"/>
                <w:szCs w:val="24"/>
                <w:highlight w:val="yellow"/>
              </w:rPr>
              <w:t>30/60</w:t>
            </w:r>
          </w:p>
        </w:tc>
        <w:tc>
          <w:tcPr>
            <w:tcW w:w="1256" w:type="dxa"/>
            <w:tcBorders>
              <w:right w:val="single" w:sz="8" w:space="0" w:color="auto"/>
            </w:tcBorders>
            <w:vAlign w:val="center"/>
            <w:hideMark/>
          </w:tcPr>
          <w:p w:rsidR="00C81D0A" w:rsidRPr="00E235FF" w:rsidP="00FF4510" w14:paraId="776A5661" w14:textId="2BAA28B6">
            <w:pPr>
              <w:jc w:val="center"/>
              <w:rPr>
                <w:rFonts w:ascii="Aptos" w:hAnsi="Aptos" w:cs="Times New Roman"/>
                <w:sz w:val="24"/>
                <w:szCs w:val="24"/>
                <w:highlight w:val="yellow"/>
              </w:rPr>
            </w:pPr>
            <w:r w:rsidRPr="72194E9D">
              <w:rPr>
                <w:rFonts w:ascii="Aptos" w:hAnsi="Aptos" w:cs="Times New Roman"/>
                <w:sz w:val="24"/>
                <w:szCs w:val="24"/>
                <w:highlight w:val="yellow"/>
              </w:rPr>
              <w:t>1</w:t>
            </w:r>
            <w:r w:rsidRPr="72194E9D" w:rsidR="6C62C649">
              <w:rPr>
                <w:rFonts w:ascii="Aptos" w:hAnsi="Aptos" w:cs="Times New Roman"/>
                <w:sz w:val="24"/>
                <w:szCs w:val="24"/>
                <w:highlight w:val="yellow"/>
              </w:rPr>
              <w:t>7</w:t>
            </w:r>
          </w:p>
        </w:tc>
      </w:tr>
      <w:tr w14:paraId="798BE961" w14:textId="77777777" w:rsidTr="002A2990">
        <w:tblPrEx>
          <w:tblW w:w="9340" w:type="dxa"/>
          <w:tblLook w:val="04A0"/>
        </w:tblPrEx>
        <w:trPr>
          <w:trHeight w:val="493"/>
        </w:trPr>
        <w:tc>
          <w:tcPr>
            <w:tcW w:w="9340" w:type="dxa"/>
            <w:gridSpan w:val="6"/>
            <w:tcBorders>
              <w:top w:val="single" w:sz="8" w:space="0" w:color="auto"/>
              <w:left w:val="single" w:sz="8" w:space="0" w:color="auto"/>
              <w:right w:val="single" w:sz="8" w:space="0" w:color="auto"/>
            </w:tcBorders>
            <w:shd w:val="clear" w:color="auto" w:fill="D9D9D9" w:themeFill="background1" w:themeFillShade="D9"/>
            <w:vAlign w:val="center"/>
          </w:tcPr>
          <w:p w:rsidR="00C81D0A" w:rsidRPr="001921C2" w:rsidP="00C81D0A" w14:paraId="0CCEEDF8" w14:textId="77777777">
            <w:pPr>
              <w:rPr>
                <w:rFonts w:ascii="Aptos" w:hAnsi="Aptos" w:cs="Times New Roman"/>
                <w:b/>
                <w:bCs/>
                <w:sz w:val="24"/>
                <w:szCs w:val="24"/>
              </w:rPr>
            </w:pPr>
          </w:p>
        </w:tc>
      </w:tr>
      <w:tr w14:paraId="12BC453C" w14:textId="422D23DF" w:rsidTr="002A2990">
        <w:tblPrEx>
          <w:tblW w:w="9340" w:type="dxa"/>
          <w:tblLook w:val="04A0"/>
        </w:tblPrEx>
        <w:trPr>
          <w:trHeight w:val="538"/>
        </w:trPr>
        <w:tc>
          <w:tcPr>
            <w:tcW w:w="9340" w:type="dxa"/>
            <w:gridSpan w:val="6"/>
            <w:tcBorders>
              <w:top w:val="single" w:sz="8" w:space="0" w:color="auto"/>
              <w:left w:val="single" w:sz="8" w:space="0" w:color="auto"/>
              <w:right w:val="single" w:sz="8" w:space="0" w:color="auto"/>
            </w:tcBorders>
            <w:vAlign w:val="center"/>
            <w:hideMark/>
          </w:tcPr>
          <w:p w:rsidR="00C81D0A" w:rsidRPr="00004328" w:rsidP="00C81D0A" w14:paraId="55B0368A" w14:textId="20982BEF">
            <w:pPr>
              <w:rPr>
                <w:rFonts w:ascii="Aptos" w:hAnsi="Aptos" w:cs="Times New Roman"/>
                <w:b/>
                <w:bCs/>
                <w:sz w:val="24"/>
                <w:szCs w:val="24"/>
                <w:vertAlign w:val="superscript"/>
              </w:rPr>
            </w:pPr>
            <w:r>
              <w:rPr>
                <w:rFonts w:ascii="Aptos" w:hAnsi="Aptos" w:cs="Times New Roman"/>
                <w:b/>
                <w:bCs/>
                <w:sz w:val="24"/>
                <w:szCs w:val="24"/>
              </w:rPr>
              <w:t>Initial DAR Application</w:t>
            </w:r>
            <w:r>
              <w:rPr>
                <w:rFonts w:ascii="Aptos" w:hAnsi="Aptos" w:cs="Times New Roman"/>
                <w:b/>
                <w:bCs/>
                <w:sz w:val="24"/>
                <w:szCs w:val="24"/>
              </w:rPr>
              <w:t xml:space="preserve"> </w:t>
            </w:r>
            <w:r w:rsidR="00580A03">
              <w:rPr>
                <w:rFonts w:ascii="Aptos" w:hAnsi="Aptos" w:cs="Times New Roman"/>
                <w:b/>
                <w:bCs/>
                <w:sz w:val="24"/>
                <w:szCs w:val="24"/>
              </w:rPr>
              <w:t>–</w:t>
            </w:r>
            <w:r>
              <w:rPr>
                <w:rFonts w:ascii="Aptos" w:hAnsi="Aptos" w:cs="Times New Roman"/>
                <w:b/>
                <w:bCs/>
                <w:sz w:val="24"/>
                <w:szCs w:val="24"/>
              </w:rPr>
              <w:t xml:space="preserve"> Legacy</w:t>
            </w:r>
            <w:r w:rsidR="006A760B">
              <w:rPr>
                <w:rFonts w:ascii="Aptos" w:hAnsi="Aptos" w:cs="Times New Roman"/>
                <w:b/>
                <w:bCs/>
                <w:sz w:val="24"/>
                <w:szCs w:val="24"/>
              </w:rPr>
              <w:t xml:space="preserve"> Authorized Access System</w:t>
            </w:r>
          </w:p>
        </w:tc>
      </w:tr>
      <w:tr w14:paraId="38332E3E" w14:textId="77777777" w:rsidTr="1E0076AE">
        <w:tblPrEx>
          <w:tblW w:w="9340" w:type="dxa"/>
          <w:tblLook w:val="04A0"/>
        </w:tblPrEx>
        <w:trPr>
          <w:trHeight w:val="1440"/>
        </w:trPr>
        <w:tc>
          <w:tcPr>
            <w:tcW w:w="1742" w:type="dxa"/>
            <w:tcBorders>
              <w:left w:val="single" w:sz="8" w:space="0" w:color="auto"/>
            </w:tcBorders>
            <w:vAlign w:val="center"/>
          </w:tcPr>
          <w:p w:rsidR="00C81D0A" w:rsidRPr="007555AE" w:rsidP="00C81D0A" w14:paraId="41DB3D74" w14:textId="686FB719">
            <w:pPr>
              <w:rPr>
                <w:rFonts w:ascii="Aptos" w:hAnsi="Aptos" w:cs="Times New Roman"/>
                <w:sz w:val="24"/>
                <w:szCs w:val="24"/>
              </w:rPr>
            </w:pPr>
            <w:r w:rsidRPr="009D1EEE">
              <w:rPr>
                <w:rFonts w:ascii="Aptos" w:hAnsi="Aptos" w:cs="Times New Roman"/>
                <w:sz w:val="24"/>
                <w:szCs w:val="24"/>
              </w:rPr>
              <w:t>dbGaP</w:t>
            </w:r>
            <w:r w:rsidRPr="009D1EEE">
              <w:rPr>
                <w:rFonts w:ascii="Aptos" w:hAnsi="Aptos" w:cs="Times New Roman"/>
                <w:sz w:val="24"/>
                <w:szCs w:val="24"/>
              </w:rPr>
              <w:t xml:space="preserve"> Authorized Access System</w:t>
            </w:r>
            <w:r w:rsidR="00166633">
              <w:rPr>
                <w:rFonts w:ascii="Aptos" w:hAnsi="Aptos" w:cs="Times New Roman"/>
                <w:sz w:val="24"/>
                <w:szCs w:val="24"/>
              </w:rPr>
              <w:t xml:space="preserve"> (</w:t>
            </w:r>
            <w:r w:rsidR="00ED7F81">
              <w:rPr>
                <w:rFonts w:ascii="Aptos" w:hAnsi="Aptos" w:cs="Times New Roman"/>
                <w:sz w:val="24"/>
                <w:szCs w:val="24"/>
              </w:rPr>
              <w:t>Attachment 5</w:t>
            </w:r>
            <w:r w:rsidR="00A8183F">
              <w:rPr>
                <w:rFonts w:ascii="Aptos" w:hAnsi="Aptos" w:cs="Times New Roman"/>
                <w:sz w:val="24"/>
                <w:szCs w:val="24"/>
              </w:rPr>
              <w:t>)</w:t>
            </w:r>
          </w:p>
        </w:tc>
        <w:tc>
          <w:tcPr>
            <w:tcW w:w="1695" w:type="dxa"/>
            <w:vAlign w:val="center"/>
          </w:tcPr>
          <w:p w:rsidR="00C81D0A" w:rsidRPr="007555AE" w:rsidP="00C81D0A" w14:paraId="12D16116" w14:textId="0CA12F83">
            <w:pPr>
              <w:rPr>
                <w:rFonts w:ascii="Aptos" w:hAnsi="Aptos" w:cs="Times New Roman"/>
                <w:sz w:val="24"/>
                <w:szCs w:val="24"/>
              </w:rPr>
            </w:pPr>
            <w:r>
              <w:rPr>
                <w:rFonts w:ascii="Aptos" w:hAnsi="Aptos" w:cs="Times New Roman"/>
                <w:sz w:val="24"/>
                <w:szCs w:val="24"/>
              </w:rPr>
              <w:t xml:space="preserve">Principal </w:t>
            </w:r>
            <w:r w:rsidR="00D73FCC">
              <w:rPr>
                <w:rFonts w:ascii="Aptos" w:hAnsi="Aptos" w:cs="Times New Roman"/>
                <w:sz w:val="24"/>
                <w:szCs w:val="24"/>
              </w:rPr>
              <w:t>I</w:t>
            </w:r>
            <w:r>
              <w:rPr>
                <w:rFonts w:ascii="Aptos" w:hAnsi="Aptos" w:cs="Times New Roman"/>
                <w:sz w:val="24"/>
                <w:szCs w:val="24"/>
              </w:rPr>
              <w:t>nvestigator</w:t>
            </w:r>
          </w:p>
        </w:tc>
        <w:tc>
          <w:tcPr>
            <w:tcW w:w="1710" w:type="dxa"/>
            <w:vAlign w:val="center"/>
          </w:tcPr>
          <w:p w:rsidR="00C81D0A" w:rsidRPr="007555AE" w:rsidP="00C81D0A" w14:paraId="05864996" w14:textId="13D16785">
            <w:pPr>
              <w:jc w:val="center"/>
              <w:rPr>
                <w:rFonts w:ascii="Aptos" w:hAnsi="Aptos" w:cs="Times New Roman"/>
                <w:sz w:val="24"/>
                <w:szCs w:val="24"/>
              </w:rPr>
            </w:pPr>
            <w:r>
              <w:rPr>
                <w:rFonts w:ascii="Aptos" w:hAnsi="Aptos" w:cs="Times New Roman"/>
                <w:sz w:val="24"/>
                <w:szCs w:val="24"/>
              </w:rPr>
              <w:t>281</w:t>
            </w:r>
          </w:p>
        </w:tc>
        <w:tc>
          <w:tcPr>
            <w:tcW w:w="1590" w:type="dxa"/>
            <w:vAlign w:val="center"/>
          </w:tcPr>
          <w:p w:rsidR="00C81D0A" w:rsidRPr="007555AE" w:rsidP="00C81D0A" w14:paraId="0BC1A2A3" w14:textId="77489233">
            <w:pPr>
              <w:jc w:val="center"/>
              <w:rPr>
                <w:rFonts w:ascii="Aptos" w:hAnsi="Aptos" w:cs="Times New Roman"/>
                <w:sz w:val="24"/>
                <w:szCs w:val="24"/>
              </w:rPr>
            </w:pPr>
            <w:r>
              <w:rPr>
                <w:rFonts w:ascii="Aptos" w:hAnsi="Aptos" w:cs="Times New Roman"/>
                <w:sz w:val="24"/>
                <w:szCs w:val="24"/>
              </w:rPr>
              <w:t>4</w:t>
            </w:r>
          </w:p>
        </w:tc>
        <w:tc>
          <w:tcPr>
            <w:tcW w:w="1347" w:type="dxa"/>
            <w:vAlign w:val="center"/>
          </w:tcPr>
          <w:p w:rsidR="00C81D0A" w:rsidRPr="007555AE" w:rsidP="00C81D0A" w14:paraId="1E8901F6" w14:textId="1E586B60">
            <w:pPr>
              <w:jc w:val="center"/>
              <w:rPr>
                <w:rFonts w:ascii="Aptos" w:hAnsi="Aptos" w:cs="Times New Roman"/>
                <w:sz w:val="24"/>
                <w:szCs w:val="24"/>
              </w:rPr>
            </w:pPr>
            <w:r>
              <w:rPr>
                <w:rFonts w:ascii="Aptos" w:hAnsi="Aptos" w:cs="Times New Roman"/>
                <w:sz w:val="24"/>
                <w:szCs w:val="24"/>
              </w:rPr>
              <w:t>45/60</w:t>
            </w:r>
          </w:p>
        </w:tc>
        <w:tc>
          <w:tcPr>
            <w:tcW w:w="1256" w:type="dxa"/>
            <w:tcBorders>
              <w:right w:val="single" w:sz="8" w:space="0" w:color="auto"/>
            </w:tcBorders>
            <w:vAlign w:val="center"/>
          </w:tcPr>
          <w:p w:rsidR="00C81D0A" w:rsidRPr="007555AE" w:rsidP="00C81D0A" w14:paraId="091CFD6F" w14:textId="1D3226DD">
            <w:pPr>
              <w:jc w:val="center"/>
              <w:rPr>
                <w:rFonts w:ascii="Aptos" w:hAnsi="Aptos" w:cs="Times New Roman"/>
                <w:sz w:val="24"/>
                <w:szCs w:val="24"/>
              </w:rPr>
            </w:pPr>
            <w:r>
              <w:rPr>
                <w:rFonts w:ascii="Aptos" w:hAnsi="Aptos" w:cs="Times New Roman"/>
                <w:sz w:val="24"/>
                <w:szCs w:val="24"/>
              </w:rPr>
              <w:t>843</w:t>
            </w:r>
          </w:p>
        </w:tc>
      </w:tr>
      <w:tr w14:paraId="154F3D22" w14:textId="77777777" w:rsidTr="1E0076AE">
        <w:tblPrEx>
          <w:tblW w:w="9340" w:type="dxa"/>
          <w:tblLook w:val="04A0"/>
        </w:tblPrEx>
        <w:trPr>
          <w:trHeight w:val="1800"/>
        </w:trPr>
        <w:tc>
          <w:tcPr>
            <w:tcW w:w="1742" w:type="dxa"/>
            <w:tcBorders>
              <w:left w:val="single" w:sz="8" w:space="0" w:color="auto"/>
            </w:tcBorders>
            <w:vAlign w:val="center"/>
          </w:tcPr>
          <w:p w:rsidR="00C81D0A" w:rsidRPr="007555AE" w:rsidP="00C81D0A" w14:paraId="02A0F95F" w14:textId="5346F2DC">
            <w:pPr>
              <w:rPr>
                <w:rFonts w:ascii="Aptos" w:hAnsi="Aptos" w:cs="Times New Roman"/>
                <w:sz w:val="24"/>
                <w:szCs w:val="24"/>
              </w:rPr>
            </w:pPr>
            <w:r w:rsidRPr="009D1EEE">
              <w:rPr>
                <w:rFonts w:ascii="Aptos" w:hAnsi="Aptos" w:cs="Times New Roman"/>
                <w:sz w:val="24"/>
                <w:szCs w:val="24"/>
              </w:rPr>
              <w:t>dbGaP</w:t>
            </w:r>
            <w:r w:rsidRPr="009D1EEE">
              <w:rPr>
                <w:rFonts w:ascii="Aptos" w:hAnsi="Aptos" w:cs="Times New Roman"/>
                <w:sz w:val="24"/>
                <w:szCs w:val="24"/>
              </w:rPr>
              <w:t xml:space="preserve"> Authorized Access System</w:t>
            </w:r>
            <w:r w:rsidR="00A8183F">
              <w:rPr>
                <w:rFonts w:ascii="Aptos" w:hAnsi="Aptos" w:cs="Times New Roman"/>
                <w:sz w:val="24"/>
                <w:szCs w:val="24"/>
              </w:rPr>
              <w:t xml:space="preserve"> (Attachment 5)</w:t>
            </w:r>
          </w:p>
        </w:tc>
        <w:tc>
          <w:tcPr>
            <w:tcW w:w="1695" w:type="dxa"/>
            <w:vAlign w:val="center"/>
          </w:tcPr>
          <w:p w:rsidR="00C81D0A" w:rsidRPr="007555AE" w:rsidP="00C81D0A" w14:paraId="748B6D3A" w14:textId="027E1104">
            <w:pPr>
              <w:rPr>
                <w:rFonts w:ascii="Aptos" w:hAnsi="Aptos" w:cs="Times New Roman"/>
                <w:sz w:val="24"/>
                <w:szCs w:val="24"/>
              </w:rPr>
            </w:pPr>
            <w:r w:rsidRPr="009D1EEE">
              <w:rPr>
                <w:rFonts w:ascii="Aptos" w:hAnsi="Aptos" w:cs="Times New Roman"/>
                <w:sz w:val="24"/>
                <w:szCs w:val="24"/>
              </w:rPr>
              <w:t xml:space="preserve">Institutional Signing Official </w:t>
            </w:r>
          </w:p>
        </w:tc>
        <w:tc>
          <w:tcPr>
            <w:tcW w:w="1710" w:type="dxa"/>
            <w:vAlign w:val="center"/>
          </w:tcPr>
          <w:p w:rsidR="00C81D0A" w:rsidRPr="007555AE" w:rsidP="00C81D0A" w14:paraId="23EA415C" w14:textId="5235F0EF">
            <w:pPr>
              <w:jc w:val="center"/>
              <w:rPr>
                <w:rFonts w:ascii="Aptos" w:hAnsi="Aptos" w:cs="Times New Roman"/>
                <w:sz w:val="24"/>
                <w:szCs w:val="24"/>
              </w:rPr>
            </w:pPr>
            <w:r>
              <w:rPr>
                <w:rFonts w:ascii="Aptos" w:hAnsi="Aptos" w:cs="Times New Roman"/>
                <w:sz w:val="24"/>
                <w:szCs w:val="24"/>
              </w:rPr>
              <w:t>281</w:t>
            </w:r>
          </w:p>
        </w:tc>
        <w:tc>
          <w:tcPr>
            <w:tcW w:w="1590" w:type="dxa"/>
            <w:vAlign w:val="center"/>
          </w:tcPr>
          <w:p w:rsidR="00C81D0A" w:rsidRPr="007555AE" w:rsidP="00C81D0A" w14:paraId="6CDA3791" w14:textId="541CF9DA">
            <w:pPr>
              <w:jc w:val="center"/>
              <w:rPr>
                <w:rFonts w:ascii="Aptos" w:hAnsi="Aptos" w:cs="Times New Roman"/>
                <w:sz w:val="24"/>
                <w:szCs w:val="24"/>
              </w:rPr>
            </w:pPr>
            <w:r>
              <w:rPr>
                <w:rFonts w:ascii="Aptos" w:hAnsi="Aptos" w:cs="Times New Roman"/>
                <w:sz w:val="24"/>
                <w:szCs w:val="24"/>
              </w:rPr>
              <w:t>4</w:t>
            </w:r>
          </w:p>
        </w:tc>
        <w:tc>
          <w:tcPr>
            <w:tcW w:w="1347" w:type="dxa"/>
            <w:vAlign w:val="center"/>
          </w:tcPr>
          <w:p w:rsidR="00C81D0A" w:rsidRPr="007555AE" w:rsidP="00C81D0A" w14:paraId="0A92AB04" w14:textId="19955E41">
            <w:pPr>
              <w:jc w:val="center"/>
              <w:rPr>
                <w:rFonts w:ascii="Aptos" w:hAnsi="Aptos" w:cs="Times New Roman"/>
                <w:sz w:val="24"/>
                <w:szCs w:val="24"/>
              </w:rPr>
            </w:pPr>
            <w:r>
              <w:rPr>
                <w:rFonts w:ascii="Aptos" w:hAnsi="Aptos" w:cs="Times New Roman"/>
                <w:sz w:val="24"/>
                <w:szCs w:val="24"/>
              </w:rPr>
              <w:t>30</w:t>
            </w:r>
            <w:r w:rsidR="006D7E1D">
              <w:rPr>
                <w:rFonts w:ascii="Aptos" w:hAnsi="Aptos" w:cs="Times New Roman"/>
                <w:sz w:val="24"/>
                <w:szCs w:val="24"/>
              </w:rPr>
              <w:t>/60</w:t>
            </w:r>
          </w:p>
        </w:tc>
        <w:tc>
          <w:tcPr>
            <w:tcW w:w="1256" w:type="dxa"/>
            <w:tcBorders>
              <w:right w:val="single" w:sz="8" w:space="0" w:color="auto"/>
            </w:tcBorders>
            <w:vAlign w:val="center"/>
          </w:tcPr>
          <w:p w:rsidR="00C81D0A" w:rsidRPr="007555AE" w:rsidP="00C81D0A" w14:paraId="37B77D50" w14:textId="077AD18C">
            <w:pPr>
              <w:jc w:val="center"/>
              <w:rPr>
                <w:rFonts w:ascii="Aptos" w:hAnsi="Aptos" w:cs="Times New Roman"/>
                <w:sz w:val="24"/>
                <w:szCs w:val="24"/>
              </w:rPr>
            </w:pPr>
            <w:r>
              <w:rPr>
                <w:rFonts w:ascii="Aptos" w:hAnsi="Aptos" w:cs="Times New Roman"/>
                <w:sz w:val="24"/>
                <w:szCs w:val="24"/>
              </w:rPr>
              <w:t>562</w:t>
            </w:r>
          </w:p>
        </w:tc>
      </w:tr>
      <w:tr w14:paraId="2FD74EC1" w14:textId="77777777" w:rsidTr="002A2990">
        <w:tblPrEx>
          <w:tblW w:w="9340" w:type="dxa"/>
          <w:tblLook w:val="04A0"/>
        </w:tblPrEx>
        <w:trPr>
          <w:trHeight w:val="512"/>
        </w:trPr>
        <w:tc>
          <w:tcPr>
            <w:tcW w:w="9340" w:type="dxa"/>
            <w:gridSpan w:val="6"/>
            <w:tcBorders>
              <w:left w:val="single" w:sz="8" w:space="0" w:color="auto"/>
              <w:right w:val="single" w:sz="8" w:space="0" w:color="auto"/>
            </w:tcBorders>
            <w:vAlign w:val="center"/>
          </w:tcPr>
          <w:p w:rsidR="00C81D0A" w:rsidRPr="002A2990" w:rsidP="00C81D0A" w14:paraId="7535E677" w14:textId="485450B4">
            <w:pPr>
              <w:rPr>
                <w:rFonts w:ascii="Aptos" w:hAnsi="Aptos" w:cs="Times New Roman"/>
                <w:b/>
                <w:sz w:val="24"/>
                <w:szCs w:val="24"/>
                <w:highlight w:val="yellow"/>
              </w:rPr>
            </w:pPr>
            <w:r>
              <w:rPr>
                <w:rFonts w:ascii="Aptos" w:hAnsi="Aptos" w:cs="Times New Roman"/>
                <w:b/>
                <w:bCs/>
                <w:sz w:val="24"/>
                <w:szCs w:val="24"/>
                <w:highlight w:val="yellow"/>
              </w:rPr>
              <w:t>Initial DAR Application</w:t>
            </w:r>
            <w:r>
              <w:rPr>
                <w:rFonts w:ascii="Aptos" w:hAnsi="Aptos" w:cs="Times New Roman"/>
                <w:b/>
                <w:bCs/>
                <w:sz w:val="24"/>
                <w:szCs w:val="24"/>
                <w:highlight w:val="yellow"/>
              </w:rPr>
              <w:t xml:space="preserve"> – New</w:t>
            </w:r>
            <w:r w:rsidR="006A760B">
              <w:rPr>
                <w:rFonts w:ascii="Aptos" w:hAnsi="Aptos" w:cs="Times New Roman"/>
                <w:b/>
                <w:bCs/>
                <w:sz w:val="24"/>
                <w:szCs w:val="24"/>
                <w:highlight w:val="yellow"/>
              </w:rPr>
              <w:t xml:space="preserve"> Authorized Access System</w:t>
            </w:r>
          </w:p>
        </w:tc>
      </w:tr>
      <w:tr w14:paraId="1DC3219B" w14:textId="77777777" w:rsidTr="1E0076AE">
        <w:tblPrEx>
          <w:tblW w:w="9340" w:type="dxa"/>
          <w:tblLook w:val="04A0"/>
        </w:tblPrEx>
        <w:trPr>
          <w:trHeight w:val="1800"/>
        </w:trPr>
        <w:tc>
          <w:tcPr>
            <w:tcW w:w="1742" w:type="dxa"/>
            <w:tcBorders>
              <w:left w:val="single" w:sz="8" w:space="0" w:color="auto"/>
            </w:tcBorders>
            <w:vAlign w:val="center"/>
          </w:tcPr>
          <w:p w:rsidR="00C81D0A" w:rsidRPr="002A2990" w:rsidP="00C81D0A" w14:paraId="67866269" w14:textId="75F960C7">
            <w:pPr>
              <w:rPr>
                <w:rFonts w:ascii="Aptos" w:hAnsi="Aptos" w:cs="Times New Roman"/>
                <w:sz w:val="24"/>
                <w:szCs w:val="24"/>
                <w:highlight w:val="yellow"/>
              </w:rPr>
            </w:pP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Authorized Access System</w:t>
            </w:r>
            <w:r w:rsidR="00A8183F">
              <w:rPr>
                <w:rFonts w:ascii="Aptos" w:hAnsi="Aptos" w:cs="Times New Roman"/>
                <w:sz w:val="24"/>
                <w:szCs w:val="24"/>
                <w:highlight w:val="yellow"/>
              </w:rPr>
              <w:t xml:space="preserve"> (Attachment 7)</w:t>
            </w:r>
          </w:p>
        </w:tc>
        <w:tc>
          <w:tcPr>
            <w:tcW w:w="1695" w:type="dxa"/>
            <w:vAlign w:val="center"/>
          </w:tcPr>
          <w:p w:rsidR="00C81D0A" w:rsidRPr="002A2990" w:rsidP="00C81D0A" w14:paraId="297A5094" w14:textId="5A1C38E0">
            <w:pPr>
              <w:rPr>
                <w:rFonts w:ascii="Aptos" w:hAnsi="Aptos" w:cs="Times New Roman"/>
                <w:sz w:val="24"/>
                <w:szCs w:val="24"/>
                <w:highlight w:val="yellow"/>
              </w:rPr>
            </w:pPr>
            <w:r>
              <w:rPr>
                <w:rFonts w:ascii="Aptos" w:hAnsi="Aptos" w:cs="Times New Roman"/>
                <w:sz w:val="24"/>
                <w:szCs w:val="24"/>
                <w:highlight w:val="yellow"/>
              </w:rPr>
              <w:t>Principal Investigator</w:t>
            </w:r>
          </w:p>
        </w:tc>
        <w:tc>
          <w:tcPr>
            <w:tcW w:w="1710" w:type="dxa"/>
            <w:vAlign w:val="center"/>
          </w:tcPr>
          <w:p w:rsidR="00C81D0A" w:rsidRPr="002A2990" w:rsidP="00C81D0A" w14:paraId="54720FF6" w14:textId="31209EF8">
            <w:pPr>
              <w:jc w:val="center"/>
              <w:rPr>
                <w:rFonts w:ascii="Aptos" w:hAnsi="Aptos" w:cs="Times New Roman"/>
                <w:sz w:val="24"/>
                <w:szCs w:val="24"/>
                <w:highlight w:val="yellow"/>
              </w:rPr>
            </w:pPr>
            <w:r>
              <w:rPr>
                <w:rFonts w:ascii="Aptos" w:hAnsi="Aptos" w:cs="Times New Roman"/>
                <w:sz w:val="24"/>
                <w:szCs w:val="24"/>
                <w:highlight w:val="yellow"/>
              </w:rPr>
              <w:t>842</w:t>
            </w:r>
          </w:p>
        </w:tc>
        <w:tc>
          <w:tcPr>
            <w:tcW w:w="1590" w:type="dxa"/>
            <w:vAlign w:val="center"/>
          </w:tcPr>
          <w:p w:rsidR="00C81D0A" w:rsidRPr="002A2990" w:rsidP="00C81D0A" w14:paraId="36DB342C" w14:textId="72A28CC1">
            <w:pPr>
              <w:jc w:val="center"/>
              <w:rPr>
                <w:rFonts w:ascii="Aptos" w:hAnsi="Aptos" w:cs="Times New Roman"/>
                <w:sz w:val="24"/>
                <w:szCs w:val="24"/>
                <w:highlight w:val="yellow"/>
              </w:rPr>
            </w:pPr>
            <w:r>
              <w:rPr>
                <w:rFonts w:ascii="Aptos" w:hAnsi="Aptos" w:cs="Times New Roman"/>
                <w:sz w:val="24"/>
                <w:szCs w:val="24"/>
                <w:highlight w:val="yellow"/>
              </w:rPr>
              <w:t>4</w:t>
            </w:r>
          </w:p>
        </w:tc>
        <w:tc>
          <w:tcPr>
            <w:tcW w:w="1347" w:type="dxa"/>
            <w:vAlign w:val="center"/>
          </w:tcPr>
          <w:p w:rsidR="00C81D0A" w:rsidRPr="002A2990" w:rsidP="00C81D0A" w14:paraId="126D53BA" w14:textId="26B4FA58">
            <w:pPr>
              <w:jc w:val="center"/>
              <w:rPr>
                <w:rFonts w:ascii="Aptos" w:hAnsi="Aptos" w:cs="Times New Roman"/>
                <w:sz w:val="24"/>
                <w:szCs w:val="24"/>
                <w:highlight w:val="yellow"/>
              </w:rPr>
            </w:pPr>
            <w:r>
              <w:rPr>
                <w:rFonts w:ascii="Aptos" w:hAnsi="Aptos" w:cs="Times New Roman"/>
                <w:sz w:val="24"/>
                <w:szCs w:val="24"/>
                <w:highlight w:val="yellow"/>
              </w:rPr>
              <w:t>45/60</w:t>
            </w:r>
          </w:p>
        </w:tc>
        <w:tc>
          <w:tcPr>
            <w:tcW w:w="1256" w:type="dxa"/>
            <w:tcBorders>
              <w:right w:val="single" w:sz="8" w:space="0" w:color="auto"/>
            </w:tcBorders>
            <w:vAlign w:val="center"/>
          </w:tcPr>
          <w:p w:rsidR="00C81D0A" w:rsidRPr="002A2990" w:rsidP="00C81D0A" w14:paraId="0731D4F3" w14:textId="4DE5DB8F">
            <w:pPr>
              <w:jc w:val="center"/>
              <w:rPr>
                <w:rFonts w:ascii="Aptos" w:hAnsi="Aptos" w:cs="Times New Roman"/>
                <w:sz w:val="24"/>
                <w:szCs w:val="24"/>
                <w:highlight w:val="yellow"/>
              </w:rPr>
            </w:pPr>
            <w:r>
              <w:rPr>
                <w:rFonts w:ascii="Aptos" w:hAnsi="Aptos" w:cs="Times New Roman"/>
                <w:sz w:val="24"/>
                <w:szCs w:val="24"/>
                <w:highlight w:val="yellow"/>
              </w:rPr>
              <w:t>2526</w:t>
            </w:r>
          </w:p>
        </w:tc>
      </w:tr>
      <w:tr w14:paraId="0C1F2918" w14:textId="77777777" w:rsidTr="1E0076AE">
        <w:tblPrEx>
          <w:tblW w:w="9340" w:type="dxa"/>
          <w:tblLook w:val="04A0"/>
        </w:tblPrEx>
        <w:trPr>
          <w:trHeight w:val="2330"/>
        </w:trPr>
        <w:tc>
          <w:tcPr>
            <w:tcW w:w="1742" w:type="dxa"/>
            <w:tcBorders>
              <w:left w:val="single" w:sz="8" w:space="0" w:color="auto"/>
            </w:tcBorders>
            <w:vAlign w:val="center"/>
          </w:tcPr>
          <w:p w:rsidR="00C81D0A" w:rsidRPr="002A2990" w:rsidP="00C81D0A" w14:paraId="35BD2765" w14:textId="01B5C414">
            <w:pPr>
              <w:rPr>
                <w:rFonts w:ascii="Aptos" w:hAnsi="Aptos" w:cs="Times New Roman"/>
                <w:sz w:val="24"/>
                <w:szCs w:val="24"/>
                <w:highlight w:val="yellow"/>
              </w:rPr>
            </w:pPr>
            <w:r w:rsidRPr="002A2990">
              <w:rPr>
                <w:rFonts w:ascii="Aptos" w:hAnsi="Aptos" w:cs="Times New Roman"/>
                <w:sz w:val="24"/>
                <w:szCs w:val="24"/>
                <w:highlight w:val="yellow"/>
              </w:rPr>
              <w:t>dbGaP</w:t>
            </w:r>
            <w:r w:rsidRPr="002A2990">
              <w:rPr>
                <w:rFonts w:ascii="Aptos" w:hAnsi="Aptos" w:cs="Times New Roman"/>
                <w:sz w:val="24"/>
                <w:szCs w:val="24"/>
                <w:highlight w:val="yellow"/>
              </w:rPr>
              <w:t xml:space="preserve"> Authorized Access System</w:t>
            </w:r>
            <w:r w:rsidR="00A8183F">
              <w:rPr>
                <w:rFonts w:ascii="Aptos" w:hAnsi="Aptos" w:cs="Times New Roman"/>
                <w:sz w:val="24"/>
                <w:szCs w:val="24"/>
                <w:highlight w:val="yellow"/>
              </w:rPr>
              <w:t xml:space="preserve"> (Attachment 7)</w:t>
            </w:r>
          </w:p>
        </w:tc>
        <w:tc>
          <w:tcPr>
            <w:tcW w:w="1695" w:type="dxa"/>
            <w:vAlign w:val="center"/>
          </w:tcPr>
          <w:p w:rsidR="00C81D0A" w:rsidRPr="002A2990" w:rsidP="00C81D0A" w14:paraId="349D0B5C" w14:textId="6F6393B7">
            <w:pPr>
              <w:rPr>
                <w:rFonts w:ascii="Aptos" w:hAnsi="Aptos" w:cs="Times New Roman"/>
                <w:sz w:val="24"/>
                <w:szCs w:val="24"/>
                <w:highlight w:val="yellow"/>
              </w:rPr>
            </w:pPr>
            <w:r w:rsidRPr="002A2990">
              <w:rPr>
                <w:rFonts w:ascii="Aptos" w:hAnsi="Aptos" w:cs="Times New Roman"/>
                <w:sz w:val="24"/>
                <w:szCs w:val="24"/>
                <w:highlight w:val="yellow"/>
              </w:rPr>
              <w:t>Institutional Signing Official</w:t>
            </w:r>
          </w:p>
        </w:tc>
        <w:tc>
          <w:tcPr>
            <w:tcW w:w="1710" w:type="dxa"/>
            <w:vAlign w:val="center"/>
          </w:tcPr>
          <w:p w:rsidR="00C81D0A" w:rsidRPr="002A2990" w:rsidP="00C81D0A" w14:paraId="07C98EB5" w14:textId="57C047A9">
            <w:pPr>
              <w:jc w:val="center"/>
              <w:rPr>
                <w:rFonts w:ascii="Aptos" w:hAnsi="Aptos" w:cs="Times New Roman"/>
                <w:sz w:val="24"/>
                <w:szCs w:val="24"/>
                <w:highlight w:val="yellow"/>
              </w:rPr>
            </w:pPr>
            <w:r>
              <w:rPr>
                <w:rFonts w:ascii="Aptos" w:hAnsi="Aptos" w:cs="Times New Roman"/>
                <w:sz w:val="24"/>
                <w:szCs w:val="24"/>
                <w:highlight w:val="yellow"/>
              </w:rPr>
              <w:t>842</w:t>
            </w:r>
          </w:p>
        </w:tc>
        <w:tc>
          <w:tcPr>
            <w:tcW w:w="1590" w:type="dxa"/>
            <w:vAlign w:val="center"/>
          </w:tcPr>
          <w:p w:rsidR="00C81D0A" w:rsidRPr="002A2990" w:rsidP="00C81D0A" w14:paraId="5A7477C4" w14:textId="2594F756">
            <w:pPr>
              <w:jc w:val="center"/>
              <w:rPr>
                <w:rFonts w:ascii="Aptos" w:hAnsi="Aptos" w:cs="Times New Roman"/>
                <w:sz w:val="24"/>
                <w:szCs w:val="24"/>
                <w:highlight w:val="yellow"/>
              </w:rPr>
            </w:pPr>
            <w:r>
              <w:rPr>
                <w:rFonts w:ascii="Aptos" w:hAnsi="Aptos" w:cs="Times New Roman"/>
                <w:sz w:val="24"/>
                <w:szCs w:val="24"/>
                <w:highlight w:val="yellow"/>
              </w:rPr>
              <w:t>4</w:t>
            </w:r>
          </w:p>
        </w:tc>
        <w:tc>
          <w:tcPr>
            <w:tcW w:w="1347" w:type="dxa"/>
            <w:vAlign w:val="center"/>
          </w:tcPr>
          <w:p w:rsidR="00C81D0A" w:rsidRPr="002A2990" w:rsidP="00C81D0A" w14:paraId="41237504" w14:textId="4E01141E">
            <w:pPr>
              <w:jc w:val="center"/>
              <w:rPr>
                <w:rFonts w:ascii="Aptos" w:hAnsi="Aptos" w:cs="Times New Roman"/>
                <w:sz w:val="24"/>
                <w:szCs w:val="24"/>
                <w:highlight w:val="yellow"/>
              </w:rPr>
            </w:pPr>
            <w:r>
              <w:rPr>
                <w:rFonts w:ascii="Aptos" w:hAnsi="Aptos" w:cs="Times New Roman"/>
                <w:sz w:val="24"/>
                <w:szCs w:val="24"/>
                <w:highlight w:val="yellow"/>
              </w:rPr>
              <w:t>30/60</w:t>
            </w:r>
          </w:p>
        </w:tc>
        <w:tc>
          <w:tcPr>
            <w:tcW w:w="1256" w:type="dxa"/>
            <w:tcBorders>
              <w:right w:val="single" w:sz="8" w:space="0" w:color="auto"/>
            </w:tcBorders>
            <w:vAlign w:val="center"/>
          </w:tcPr>
          <w:p w:rsidR="00C81D0A" w:rsidRPr="002A2990" w:rsidP="00C81D0A" w14:paraId="084CF9FE" w14:textId="45DD0A48">
            <w:pPr>
              <w:jc w:val="center"/>
              <w:rPr>
                <w:rFonts w:ascii="Aptos" w:hAnsi="Aptos" w:cs="Times New Roman"/>
                <w:sz w:val="24"/>
                <w:szCs w:val="24"/>
                <w:highlight w:val="yellow"/>
              </w:rPr>
            </w:pPr>
            <w:r>
              <w:rPr>
                <w:rFonts w:ascii="Aptos" w:hAnsi="Aptos" w:cs="Times New Roman"/>
                <w:sz w:val="24"/>
                <w:szCs w:val="24"/>
                <w:highlight w:val="yellow"/>
              </w:rPr>
              <w:t>1684</w:t>
            </w:r>
          </w:p>
        </w:tc>
      </w:tr>
      <w:tr w14:paraId="6BF84E1E" w14:textId="77777777" w:rsidTr="002A2990">
        <w:tblPrEx>
          <w:tblW w:w="9340" w:type="dxa"/>
          <w:tblLook w:val="04A0"/>
        </w:tblPrEx>
        <w:trPr>
          <w:trHeight w:val="512"/>
        </w:trPr>
        <w:tc>
          <w:tcPr>
            <w:tcW w:w="9340" w:type="dxa"/>
            <w:gridSpan w:val="6"/>
            <w:tcBorders>
              <w:left w:val="single" w:sz="8" w:space="0" w:color="auto"/>
              <w:right w:val="single" w:sz="8" w:space="0" w:color="auto"/>
            </w:tcBorders>
            <w:vAlign w:val="center"/>
          </w:tcPr>
          <w:p w:rsidR="00C81D0A" w:rsidRPr="00031453" w:rsidP="00C81D0A" w14:paraId="402F2702" w14:textId="1A8C2FC0">
            <w:pPr>
              <w:rPr>
                <w:rFonts w:ascii="Aptos" w:hAnsi="Aptos" w:cs="Times New Roman"/>
                <w:b/>
                <w:bCs/>
                <w:sz w:val="24"/>
                <w:szCs w:val="24"/>
              </w:rPr>
            </w:pPr>
            <w:r w:rsidRPr="00031453">
              <w:rPr>
                <w:rFonts w:ascii="Aptos" w:hAnsi="Aptos" w:cs="Times New Roman"/>
                <w:b/>
                <w:bCs/>
                <w:sz w:val="24"/>
                <w:szCs w:val="24"/>
              </w:rPr>
              <w:t xml:space="preserve">Renewal or Close-out </w:t>
            </w:r>
            <w:r w:rsidR="006A760B">
              <w:rPr>
                <w:rFonts w:ascii="Aptos" w:hAnsi="Aptos" w:cs="Times New Roman"/>
                <w:b/>
                <w:bCs/>
                <w:sz w:val="24"/>
                <w:szCs w:val="24"/>
              </w:rPr>
              <w:t>–</w:t>
            </w:r>
            <w:r w:rsidRPr="00031453">
              <w:rPr>
                <w:rFonts w:ascii="Aptos" w:hAnsi="Aptos" w:cs="Times New Roman"/>
                <w:b/>
                <w:bCs/>
                <w:sz w:val="24"/>
                <w:szCs w:val="24"/>
              </w:rPr>
              <w:t xml:space="preserve"> Legacy</w:t>
            </w:r>
            <w:r w:rsidR="006A760B">
              <w:rPr>
                <w:rFonts w:ascii="Aptos" w:hAnsi="Aptos" w:cs="Times New Roman"/>
                <w:b/>
                <w:bCs/>
                <w:sz w:val="24"/>
                <w:szCs w:val="24"/>
              </w:rPr>
              <w:t xml:space="preserve"> Authorized Access System</w:t>
            </w:r>
          </w:p>
        </w:tc>
      </w:tr>
      <w:tr w14:paraId="34D2B4FA" w14:textId="77777777" w:rsidTr="1E0076AE">
        <w:tblPrEx>
          <w:tblW w:w="9340" w:type="dxa"/>
          <w:tblLook w:val="04A0"/>
        </w:tblPrEx>
        <w:trPr>
          <w:trHeight w:val="1800"/>
        </w:trPr>
        <w:tc>
          <w:tcPr>
            <w:tcW w:w="1742" w:type="dxa"/>
            <w:tcBorders>
              <w:left w:val="single" w:sz="8" w:space="0" w:color="auto"/>
            </w:tcBorders>
            <w:vAlign w:val="center"/>
          </w:tcPr>
          <w:p w:rsidR="00C81D0A" w:rsidRPr="006C77BA" w:rsidP="00C770D1" w14:paraId="01F04795" w14:textId="5D935DB7">
            <w:pPr>
              <w:rPr>
                <w:rFonts w:ascii="Aptos" w:hAnsi="Aptos" w:cs="Times New Roman"/>
                <w:sz w:val="24"/>
                <w:szCs w:val="24"/>
              </w:rPr>
            </w:pPr>
            <w:r w:rsidRPr="006C77BA">
              <w:rPr>
                <w:rFonts w:ascii="Aptos" w:hAnsi="Aptos" w:cs="Times New Roman"/>
                <w:sz w:val="24"/>
                <w:szCs w:val="24"/>
              </w:rPr>
              <w:t xml:space="preserve">Renewal or Close-out </w:t>
            </w:r>
            <w:r w:rsidR="00A8183F">
              <w:rPr>
                <w:rFonts w:ascii="Aptos" w:hAnsi="Aptos" w:cs="Times New Roman"/>
                <w:sz w:val="24"/>
                <w:szCs w:val="24"/>
              </w:rPr>
              <w:t>(Attachment 5)</w:t>
            </w:r>
          </w:p>
        </w:tc>
        <w:tc>
          <w:tcPr>
            <w:tcW w:w="1695" w:type="dxa"/>
            <w:vAlign w:val="center"/>
          </w:tcPr>
          <w:p w:rsidR="00C81D0A" w:rsidRPr="006C77BA" w:rsidP="00C770D1" w14:paraId="79F6DC31" w14:textId="201E604A">
            <w:pPr>
              <w:jc w:val="center"/>
              <w:rPr>
                <w:rFonts w:ascii="Aptos" w:hAnsi="Aptos" w:cs="Times New Roman"/>
                <w:sz w:val="24"/>
                <w:szCs w:val="24"/>
              </w:rPr>
            </w:pPr>
            <w:r>
              <w:rPr>
                <w:rFonts w:ascii="Aptos" w:hAnsi="Aptos" w:cs="Times New Roman"/>
                <w:sz w:val="24"/>
                <w:szCs w:val="24"/>
              </w:rPr>
              <w:t>Principal Investigator</w:t>
            </w:r>
          </w:p>
        </w:tc>
        <w:tc>
          <w:tcPr>
            <w:tcW w:w="1710" w:type="dxa"/>
            <w:vAlign w:val="center"/>
          </w:tcPr>
          <w:p w:rsidR="00C81D0A" w:rsidRPr="009D1EEE" w:rsidP="00C81D0A" w14:paraId="0E6A456F" w14:textId="03C5A74E">
            <w:pPr>
              <w:jc w:val="center"/>
              <w:rPr>
                <w:rFonts w:ascii="Aptos" w:hAnsi="Aptos" w:cs="Times New Roman"/>
                <w:sz w:val="24"/>
                <w:szCs w:val="24"/>
              </w:rPr>
            </w:pPr>
            <w:r>
              <w:rPr>
                <w:rFonts w:ascii="Aptos" w:hAnsi="Aptos" w:cs="Times New Roman"/>
                <w:sz w:val="24"/>
                <w:szCs w:val="24"/>
              </w:rPr>
              <w:t>281</w:t>
            </w:r>
          </w:p>
        </w:tc>
        <w:tc>
          <w:tcPr>
            <w:tcW w:w="1590" w:type="dxa"/>
            <w:vAlign w:val="center"/>
          </w:tcPr>
          <w:p w:rsidR="00C81D0A" w:rsidRPr="009D1EEE" w:rsidP="00C81D0A" w14:paraId="1DF660A9" w14:textId="22BB565B">
            <w:pPr>
              <w:jc w:val="center"/>
              <w:rPr>
                <w:rFonts w:ascii="Aptos" w:hAnsi="Aptos" w:cs="Times New Roman"/>
                <w:sz w:val="24"/>
                <w:szCs w:val="24"/>
              </w:rPr>
            </w:pPr>
            <w:r>
              <w:rPr>
                <w:rFonts w:ascii="Aptos" w:hAnsi="Aptos" w:cs="Times New Roman"/>
                <w:sz w:val="24"/>
                <w:szCs w:val="24"/>
              </w:rPr>
              <w:t>4</w:t>
            </w:r>
          </w:p>
        </w:tc>
        <w:tc>
          <w:tcPr>
            <w:tcW w:w="1347" w:type="dxa"/>
            <w:vAlign w:val="center"/>
          </w:tcPr>
          <w:p w:rsidR="00C81D0A" w:rsidRPr="009D1EEE" w:rsidP="00C81D0A" w14:paraId="0FE6E2C1" w14:textId="4E998113">
            <w:pPr>
              <w:jc w:val="center"/>
              <w:rPr>
                <w:rFonts w:ascii="Aptos" w:hAnsi="Aptos" w:cs="Times New Roman"/>
                <w:sz w:val="24"/>
                <w:szCs w:val="24"/>
              </w:rPr>
            </w:pPr>
            <w:r>
              <w:rPr>
                <w:rFonts w:ascii="Aptos" w:hAnsi="Aptos" w:cs="Times New Roman"/>
                <w:sz w:val="24"/>
                <w:szCs w:val="24"/>
              </w:rPr>
              <w:t>15</w:t>
            </w:r>
            <w:r w:rsidR="005F71B4">
              <w:rPr>
                <w:rFonts w:ascii="Aptos" w:hAnsi="Aptos" w:cs="Times New Roman"/>
                <w:sz w:val="24"/>
                <w:szCs w:val="24"/>
              </w:rPr>
              <w:t>/60</w:t>
            </w:r>
          </w:p>
        </w:tc>
        <w:tc>
          <w:tcPr>
            <w:tcW w:w="1256" w:type="dxa"/>
            <w:tcBorders>
              <w:right w:val="single" w:sz="8" w:space="0" w:color="auto"/>
            </w:tcBorders>
            <w:vAlign w:val="center"/>
          </w:tcPr>
          <w:p w:rsidR="00C81D0A" w:rsidRPr="009D1EEE" w:rsidP="00C81D0A" w14:paraId="2795B1CC" w14:textId="09BA9B82">
            <w:pPr>
              <w:jc w:val="center"/>
              <w:rPr>
                <w:rFonts w:ascii="Aptos" w:hAnsi="Aptos" w:cs="Times New Roman"/>
                <w:sz w:val="24"/>
                <w:szCs w:val="24"/>
              </w:rPr>
            </w:pPr>
            <w:r>
              <w:rPr>
                <w:rFonts w:ascii="Aptos" w:hAnsi="Aptos" w:cs="Times New Roman"/>
                <w:sz w:val="24"/>
                <w:szCs w:val="24"/>
              </w:rPr>
              <w:t>281</w:t>
            </w:r>
          </w:p>
        </w:tc>
      </w:tr>
      <w:tr w14:paraId="0880F3FF" w14:textId="77777777" w:rsidTr="1E0076AE">
        <w:tblPrEx>
          <w:tblW w:w="9340" w:type="dxa"/>
          <w:tblLook w:val="04A0"/>
        </w:tblPrEx>
        <w:trPr>
          <w:trHeight w:val="1800"/>
        </w:trPr>
        <w:tc>
          <w:tcPr>
            <w:tcW w:w="1742" w:type="dxa"/>
            <w:tcBorders>
              <w:left w:val="single" w:sz="8" w:space="0" w:color="auto"/>
            </w:tcBorders>
            <w:vAlign w:val="center"/>
          </w:tcPr>
          <w:p w:rsidR="00C81D0A" w:rsidRPr="006C77BA" w:rsidP="00C770D1" w14:paraId="3422A8A5" w14:textId="01122086">
            <w:pPr>
              <w:rPr>
                <w:rFonts w:ascii="Aptos" w:hAnsi="Aptos" w:cs="Times New Roman"/>
                <w:sz w:val="24"/>
                <w:szCs w:val="24"/>
              </w:rPr>
            </w:pPr>
            <w:r w:rsidRPr="006C77BA">
              <w:rPr>
                <w:rFonts w:ascii="Aptos" w:hAnsi="Aptos" w:cs="Times New Roman"/>
                <w:sz w:val="24"/>
                <w:szCs w:val="24"/>
              </w:rPr>
              <w:t xml:space="preserve">Renewal or Close-out </w:t>
            </w:r>
            <w:r w:rsidR="00A8183F">
              <w:rPr>
                <w:rFonts w:ascii="Aptos" w:hAnsi="Aptos" w:cs="Times New Roman"/>
                <w:sz w:val="24"/>
                <w:szCs w:val="24"/>
              </w:rPr>
              <w:t>(Attachment 5)</w:t>
            </w:r>
          </w:p>
        </w:tc>
        <w:tc>
          <w:tcPr>
            <w:tcW w:w="1695" w:type="dxa"/>
            <w:vAlign w:val="center"/>
          </w:tcPr>
          <w:p w:rsidR="00C81D0A" w:rsidRPr="006C77BA" w:rsidP="00C770D1" w14:paraId="30AC7F16" w14:textId="6FD50807">
            <w:pPr>
              <w:jc w:val="center"/>
              <w:rPr>
                <w:rFonts w:ascii="Aptos" w:hAnsi="Aptos" w:cs="Times New Roman"/>
                <w:sz w:val="24"/>
                <w:szCs w:val="24"/>
              </w:rPr>
            </w:pPr>
            <w:r w:rsidRPr="006C77BA">
              <w:rPr>
                <w:rFonts w:ascii="Aptos" w:hAnsi="Aptos" w:cs="Times New Roman"/>
                <w:sz w:val="24"/>
                <w:szCs w:val="24"/>
              </w:rPr>
              <w:t>Institutional Signing Official</w:t>
            </w:r>
          </w:p>
        </w:tc>
        <w:tc>
          <w:tcPr>
            <w:tcW w:w="1710" w:type="dxa"/>
            <w:vAlign w:val="center"/>
          </w:tcPr>
          <w:p w:rsidR="00C81D0A" w:rsidRPr="009D1EEE" w:rsidP="00C81D0A" w14:paraId="64942ADC" w14:textId="19E86EE0">
            <w:pPr>
              <w:jc w:val="center"/>
              <w:rPr>
                <w:rFonts w:ascii="Aptos" w:hAnsi="Aptos" w:cs="Times New Roman"/>
                <w:sz w:val="24"/>
                <w:szCs w:val="24"/>
              </w:rPr>
            </w:pPr>
            <w:r>
              <w:rPr>
                <w:rFonts w:ascii="Aptos" w:hAnsi="Aptos" w:cs="Times New Roman"/>
                <w:sz w:val="24"/>
                <w:szCs w:val="24"/>
              </w:rPr>
              <w:t>281</w:t>
            </w:r>
          </w:p>
        </w:tc>
        <w:tc>
          <w:tcPr>
            <w:tcW w:w="1590" w:type="dxa"/>
            <w:vAlign w:val="center"/>
          </w:tcPr>
          <w:p w:rsidR="00C81D0A" w:rsidRPr="009D1EEE" w:rsidP="00C81D0A" w14:paraId="233D18C8" w14:textId="3771F2FC">
            <w:pPr>
              <w:jc w:val="center"/>
              <w:rPr>
                <w:rFonts w:ascii="Aptos" w:hAnsi="Aptos" w:cs="Times New Roman"/>
                <w:sz w:val="24"/>
                <w:szCs w:val="24"/>
              </w:rPr>
            </w:pPr>
            <w:r>
              <w:rPr>
                <w:rFonts w:ascii="Aptos" w:hAnsi="Aptos" w:cs="Times New Roman"/>
                <w:sz w:val="24"/>
                <w:szCs w:val="24"/>
              </w:rPr>
              <w:t>4</w:t>
            </w:r>
          </w:p>
        </w:tc>
        <w:tc>
          <w:tcPr>
            <w:tcW w:w="1347" w:type="dxa"/>
            <w:vAlign w:val="center"/>
          </w:tcPr>
          <w:p w:rsidR="00C81D0A" w:rsidRPr="009D1EEE" w:rsidP="00C81D0A" w14:paraId="79EC88D8" w14:textId="676B4D68">
            <w:pPr>
              <w:jc w:val="center"/>
              <w:rPr>
                <w:rFonts w:ascii="Aptos" w:hAnsi="Aptos" w:cs="Times New Roman"/>
                <w:sz w:val="24"/>
                <w:szCs w:val="24"/>
              </w:rPr>
            </w:pPr>
            <w:r>
              <w:rPr>
                <w:rFonts w:ascii="Aptos" w:hAnsi="Aptos" w:cs="Times New Roman"/>
                <w:sz w:val="24"/>
                <w:szCs w:val="24"/>
              </w:rPr>
              <w:t>1</w:t>
            </w:r>
            <w:r w:rsidR="009A55E1">
              <w:rPr>
                <w:rFonts w:ascii="Aptos" w:hAnsi="Aptos" w:cs="Times New Roman"/>
                <w:sz w:val="24"/>
                <w:szCs w:val="24"/>
              </w:rPr>
              <w:t>8</w:t>
            </w:r>
            <w:r>
              <w:rPr>
                <w:rFonts w:ascii="Aptos" w:hAnsi="Aptos" w:cs="Times New Roman"/>
                <w:sz w:val="24"/>
                <w:szCs w:val="24"/>
              </w:rPr>
              <w:t>/60</w:t>
            </w:r>
          </w:p>
        </w:tc>
        <w:tc>
          <w:tcPr>
            <w:tcW w:w="1256" w:type="dxa"/>
            <w:tcBorders>
              <w:right w:val="single" w:sz="8" w:space="0" w:color="auto"/>
            </w:tcBorders>
            <w:vAlign w:val="center"/>
          </w:tcPr>
          <w:p w:rsidR="00C81D0A" w:rsidRPr="009D1EEE" w:rsidP="00C81D0A" w14:paraId="024ABEA8" w14:textId="642790E2">
            <w:pPr>
              <w:jc w:val="center"/>
              <w:rPr>
                <w:rFonts w:ascii="Aptos" w:hAnsi="Aptos" w:cs="Times New Roman"/>
                <w:sz w:val="24"/>
                <w:szCs w:val="24"/>
              </w:rPr>
            </w:pPr>
            <w:r>
              <w:rPr>
                <w:rFonts w:ascii="Aptos" w:hAnsi="Aptos" w:cs="Times New Roman"/>
                <w:sz w:val="24"/>
                <w:szCs w:val="24"/>
              </w:rPr>
              <w:t>337</w:t>
            </w:r>
          </w:p>
        </w:tc>
      </w:tr>
      <w:tr w14:paraId="65E6DB26" w14:textId="77777777" w:rsidTr="002A2990">
        <w:tblPrEx>
          <w:tblW w:w="9340" w:type="dxa"/>
          <w:tblLook w:val="04A0"/>
        </w:tblPrEx>
        <w:trPr>
          <w:trHeight w:val="530"/>
        </w:trPr>
        <w:tc>
          <w:tcPr>
            <w:tcW w:w="9340" w:type="dxa"/>
            <w:gridSpan w:val="6"/>
            <w:tcBorders>
              <w:left w:val="single" w:sz="8" w:space="0" w:color="auto"/>
              <w:right w:val="single" w:sz="8" w:space="0" w:color="auto"/>
            </w:tcBorders>
            <w:vAlign w:val="center"/>
          </w:tcPr>
          <w:p w:rsidR="00C81D0A" w:rsidRPr="002A2990" w:rsidP="00C81D0A" w14:paraId="5C4533F3" w14:textId="61EFD7E4">
            <w:pPr>
              <w:rPr>
                <w:rFonts w:ascii="Aptos" w:hAnsi="Aptos" w:cs="Times New Roman"/>
                <w:sz w:val="24"/>
                <w:szCs w:val="24"/>
                <w:highlight w:val="yellow"/>
              </w:rPr>
            </w:pPr>
            <w:r w:rsidRPr="002A2990">
              <w:rPr>
                <w:rFonts w:ascii="Aptos" w:hAnsi="Aptos" w:cs="Times New Roman"/>
                <w:b/>
                <w:sz w:val="24"/>
                <w:szCs w:val="24"/>
                <w:highlight w:val="yellow"/>
              </w:rPr>
              <w:t>Renewal or Close-</w:t>
            </w:r>
            <w:r w:rsidRPr="00031453">
              <w:rPr>
                <w:rFonts w:ascii="Aptos" w:hAnsi="Aptos" w:cs="Times New Roman"/>
                <w:b/>
                <w:sz w:val="24"/>
                <w:szCs w:val="24"/>
                <w:highlight w:val="yellow"/>
              </w:rPr>
              <w:t xml:space="preserve">out </w:t>
            </w:r>
            <w:r w:rsidR="006A760B">
              <w:rPr>
                <w:rFonts w:ascii="Aptos" w:hAnsi="Aptos" w:cs="Times New Roman"/>
                <w:b/>
                <w:sz w:val="24"/>
                <w:szCs w:val="24"/>
                <w:highlight w:val="yellow"/>
              </w:rPr>
              <w:t>–</w:t>
            </w:r>
            <w:r w:rsidRPr="00031453">
              <w:rPr>
                <w:rFonts w:ascii="Aptos" w:hAnsi="Aptos" w:cs="Times New Roman"/>
                <w:b/>
                <w:sz w:val="24"/>
                <w:szCs w:val="24"/>
                <w:highlight w:val="yellow"/>
              </w:rPr>
              <w:t xml:space="preserve"> New</w:t>
            </w:r>
            <w:r w:rsidR="006A760B">
              <w:rPr>
                <w:rFonts w:ascii="Aptos" w:hAnsi="Aptos" w:cs="Times New Roman"/>
                <w:b/>
                <w:sz w:val="24"/>
                <w:szCs w:val="24"/>
                <w:highlight w:val="yellow"/>
              </w:rPr>
              <w:t xml:space="preserve"> Authorized Access System</w:t>
            </w:r>
          </w:p>
        </w:tc>
      </w:tr>
      <w:tr w14:paraId="07D82C53" w14:textId="77777777" w:rsidTr="1E0076AE">
        <w:tblPrEx>
          <w:tblW w:w="9340" w:type="dxa"/>
          <w:tblLook w:val="04A0"/>
        </w:tblPrEx>
        <w:trPr>
          <w:trHeight w:val="1800"/>
        </w:trPr>
        <w:tc>
          <w:tcPr>
            <w:tcW w:w="1742" w:type="dxa"/>
            <w:tcBorders>
              <w:left w:val="single" w:sz="8" w:space="0" w:color="auto"/>
            </w:tcBorders>
            <w:vAlign w:val="bottom"/>
          </w:tcPr>
          <w:p w:rsidR="00C81D0A" w:rsidRPr="002A2990" w:rsidP="00C81D0A" w14:paraId="0AA7A66A" w14:textId="42B659B8">
            <w:pPr>
              <w:rPr>
                <w:rFonts w:ascii="Aptos" w:hAnsi="Aptos" w:cs="Times New Roman"/>
                <w:sz w:val="24"/>
                <w:szCs w:val="24"/>
                <w:highlight w:val="yellow"/>
              </w:rPr>
            </w:pPr>
            <w:r w:rsidRPr="002A2990">
              <w:rPr>
                <w:rFonts w:ascii="Aptos" w:hAnsi="Aptos" w:cs="Times New Roman"/>
                <w:sz w:val="24"/>
                <w:szCs w:val="24"/>
                <w:highlight w:val="yellow"/>
              </w:rPr>
              <w:t>Project Renewal or Project Close-out form</w:t>
            </w:r>
            <w:r w:rsidR="00A8183F">
              <w:rPr>
                <w:rFonts w:ascii="Aptos" w:hAnsi="Aptos" w:cs="Times New Roman"/>
                <w:sz w:val="24"/>
                <w:szCs w:val="24"/>
                <w:highlight w:val="yellow"/>
              </w:rPr>
              <w:t xml:space="preserve"> (Attachment 7)</w:t>
            </w:r>
          </w:p>
        </w:tc>
        <w:tc>
          <w:tcPr>
            <w:tcW w:w="1695" w:type="dxa"/>
            <w:vAlign w:val="center"/>
          </w:tcPr>
          <w:p w:rsidR="00C81D0A" w:rsidRPr="002A2990" w:rsidP="00C81D0A" w14:paraId="5CA7EB2D" w14:textId="088BDD05">
            <w:pPr>
              <w:jc w:val="center"/>
              <w:rPr>
                <w:rFonts w:ascii="Aptos" w:hAnsi="Aptos" w:cs="Times New Roman"/>
                <w:sz w:val="24"/>
                <w:szCs w:val="24"/>
                <w:highlight w:val="yellow"/>
              </w:rPr>
            </w:pPr>
            <w:r>
              <w:rPr>
                <w:rFonts w:ascii="Aptos" w:hAnsi="Aptos" w:cs="Times New Roman"/>
                <w:sz w:val="24"/>
                <w:szCs w:val="24"/>
                <w:highlight w:val="yellow"/>
              </w:rPr>
              <w:t>Principal Investigator</w:t>
            </w:r>
          </w:p>
        </w:tc>
        <w:tc>
          <w:tcPr>
            <w:tcW w:w="1710" w:type="dxa"/>
            <w:vAlign w:val="center"/>
          </w:tcPr>
          <w:p w:rsidR="00C81D0A" w:rsidRPr="002A2990" w:rsidP="00C81D0A" w14:paraId="30F5FFCE" w14:textId="557327A6">
            <w:pPr>
              <w:jc w:val="center"/>
              <w:rPr>
                <w:rFonts w:ascii="Aptos" w:hAnsi="Aptos" w:cs="Times New Roman"/>
                <w:sz w:val="24"/>
                <w:szCs w:val="24"/>
                <w:highlight w:val="yellow"/>
              </w:rPr>
            </w:pPr>
            <w:r>
              <w:rPr>
                <w:rFonts w:ascii="Aptos" w:hAnsi="Aptos" w:cs="Times New Roman"/>
                <w:sz w:val="24"/>
                <w:szCs w:val="24"/>
                <w:highlight w:val="yellow"/>
              </w:rPr>
              <w:t>842</w:t>
            </w:r>
          </w:p>
        </w:tc>
        <w:tc>
          <w:tcPr>
            <w:tcW w:w="1590" w:type="dxa"/>
            <w:vAlign w:val="center"/>
          </w:tcPr>
          <w:p w:rsidR="00C81D0A" w:rsidRPr="002A2990" w:rsidP="00C81D0A" w14:paraId="68634F3C" w14:textId="697812C5">
            <w:pPr>
              <w:jc w:val="center"/>
              <w:rPr>
                <w:rFonts w:ascii="Aptos" w:hAnsi="Aptos" w:cs="Times New Roman"/>
                <w:sz w:val="24"/>
                <w:szCs w:val="24"/>
                <w:highlight w:val="yellow"/>
              </w:rPr>
            </w:pPr>
            <w:r>
              <w:rPr>
                <w:rFonts w:ascii="Aptos" w:hAnsi="Aptos" w:cs="Times New Roman"/>
                <w:sz w:val="24"/>
                <w:szCs w:val="24"/>
                <w:highlight w:val="yellow"/>
              </w:rPr>
              <w:t>4</w:t>
            </w:r>
          </w:p>
        </w:tc>
        <w:tc>
          <w:tcPr>
            <w:tcW w:w="1347" w:type="dxa"/>
            <w:vAlign w:val="center"/>
          </w:tcPr>
          <w:p w:rsidR="00C81D0A" w:rsidRPr="002A2990" w:rsidP="00C81D0A" w14:paraId="44E3A2FD" w14:textId="0EE39D38">
            <w:pPr>
              <w:jc w:val="center"/>
              <w:rPr>
                <w:rFonts w:ascii="Aptos" w:hAnsi="Aptos" w:cs="Times New Roman"/>
                <w:sz w:val="24"/>
                <w:szCs w:val="24"/>
                <w:highlight w:val="yellow"/>
              </w:rPr>
            </w:pPr>
            <w:r>
              <w:rPr>
                <w:rFonts w:ascii="Aptos" w:hAnsi="Aptos" w:cs="Times New Roman"/>
                <w:sz w:val="24"/>
                <w:szCs w:val="24"/>
                <w:highlight w:val="yellow"/>
              </w:rPr>
              <w:t>15</w:t>
            </w:r>
            <w:r w:rsidR="00552D3E">
              <w:rPr>
                <w:rFonts w:ascii="Aptos" w:hAnsi="Aptos" w:cs="Times New Roman"/>
                <w:sz w:val="24"/>
                <w:szCs w:val="24"/>
                <w:highlight w:val="yellow"/>
              </w:rPr>
              <w:t>/60</w:t>
            </w:r>
          </w:p>
        </w:tc>
        <w:tc>
          <w:tcPr>
            <w:tcW w:w="1256" w:type="dxa"/>
            <w:tcBorders>
              <w:right w:val="single" w:sz="8" w:space="0" w:color="auto"/>
            </w:tcBorders>
            <w:vAlign w:val="center"/>
          </w:tcPr>
          <w:p w:rsidR="00C81D0A" w:rsidRPr="002A2990" w:rsidP="00C81D0A" w14:paraId="6BF096DA" w14:textId="0925D934">
            <w:pPr>
              <w:jc w:val="center"/>
              <w:rPr>
                <w:rFonts w:ascii="Aptos" w:hAnsi="Aptos" w:cs="Times New Roman"/>
                <w:sz w:val="24"/>
                <w:szCs w:val="24"/>
                <w:highlight w:val="yellow"/>
              </w:rPr>
            </w:pPr>
            <w:r>
              <w:rPr>
                <w:rFonts w:ascii="Aptos" w:hAnsi="Aptos" w:cs="Times New Roman"/>
                <w:sz w:val="24"/>
                <w:szCs w:val="24"/>
                <w:highlight w:val="yellow"/>
              </w:rPr>
              <w:t>842</w:t>
            </w:r>
          </w:p>
        </w:tc>
      </w:tr>
      <w:tr w14:paraId="25B9D78B" w14:textId="77777777" w:rsidTr="1E0076AE">
        <w:tblPrEx>
          <w:tblW w:w="9340" w:type="dxa"/>
          <w:tblLook w:val="04A0"/>
        </w:tblPrEx>
        <w:trPr>
          <w:trHeight w:val="1800"/>
        </w:trPr>
        <w:tc>
          <w:tcPr>
            <w:tcW w:w="1742" w:type="dxa"/>
            <w:tcBorders>
              <w:left w:val="single" w:sz="8" w:space="0" w:color="auto"/>
            </w:tcBorders>
            <w:vAlign w:val="bottom"/>
          </w:tcPr>
          <w:p w:rsidR="00C81D0A" w:rsidRPr="002A2990" w:rsidP="00C81D0A" w14:paraId="03D80BA9" w14:textId="53649B98">
            <w:pPr>
              <w:rPr>
                <w:rFonts w:ascii="Aptos" w:hAnsi="Aptos" w:cs="Times New Roman"/>
                <w:sz w:val="24"/>
                <w:szCs w:val="24"/>
                <w:highlight w:val="yellow"/>
              </w:rPr>
            </w:pPr>
            <w:r w:rsidRPr="002A2990">
              <w:rPr>
                <w:rFonts w:ascii="Aptos" w:hAnsi="Aptos" w:cs="Times New Roman"/>
                <w:sz w:val="24"/>
                <w:szCs w:val="24"/>
                <w:highlight w:val="yellow"/>
              </w:rPr>
              <w:t>Project Renewal or Project Close-out form</w:t>
            </w:r>
            <w:r w:rsidR="00A8183F">
              <w:rPr>
                <w:rFonts w:ascii="Aptos" w:hAnsi="Aptos" w:cs="Times New Roman"/>
                <w:sz w:val="24"/>
                <w:szCs w:val="24"/>
                <w:highlight w:val="yellow"/>
              </w:rPr>
              <w:t xml:space="preserve"> (Attachment 7)</w:t>
            </w:r>
          </w:p>
        </w:tc>
        <w:tc>
          <w:tcPr>
            <w:tcW w:w="1695" w:type="dxa"/>
            <w:vAlign w:val="center"/>
          </w:tcPr>
          <w:p w:rsidR="00C81D0A" w:rsidRPr="002A2990" w:rsidP="00C81D0A" w14:paraId="1243F697" w14:textId="258AD65B">
            <w:pPr>
              <w:jc w:val="center"/>
              <w:rPr>
                <w:rFonts w:ascii="Times New Roman" w:hAnsi="Times New Roman" w:cs="Times New Roman"/>
                <w:sz w:val="24"/>
                <w:szCs w:val="24"/>
                <w:highlight w:val="yellow"/>
              </w:rPr>
            </w:pPr>
            <w:r w:rsidRPr="002A2990">
              <w:rPr>
                <w:rFonts w:ascii="Aptos" w:hAnsi="Aptos" w:cs="Times New Roman"/>
                <w:sz w:val="24"/>
                <w:szCs w:val="24"/>
                <w:highlight w:val="yellow"/>
              </w:rPr>
              <w:t>Institutional Signing Official</w:t>
            </w:r>
          </w:p>
        </w:tc>
        <w:tc>
          <w:tcPr>
            <w:tcW w:w="1710" w:type="dxa"/>
            <w:vAlign w:val="center"/>
          </w:tcPr>
          <w:p w:rsidR="00C81D0A" w:rsidRPr="002A2990" w:rsidP="00C81D0A" w14:paraId="5457A811" w14:textId="3D07CEF4">
            <w:pPr>
              <w:jc w:val="center"/>
              <w:rPr>
                <w:rFonts w:ascii="Aptos" w:hAnsi="Aptos" w:cs="Times New Roman"/>
                <w:sz w:val="24"/>
                <w:szCs w:val="24"/>
                <w:highlight w:val="yellow"/>
              </w:rPr>
            </w:pPr>
            <w:r>
              <w:rPr>
                <w:rFonts w:ascii="Aptos" w:hAnsi="Aptos" w:cs="Times New Roman"/>
                <w:sz w:val="24"/>
                <w:szCs w:val="24"/>
                <w:highlight w:val="yellow"/>
              </w:rPr>
              <w:t>842</w:t>
            </w:r>
          </w:p>
        </w:tc>
        <w:tc>
          <w:tcPr>
            <w:tcW w:w="1590" w:type="dxa"/>
            <w:vAlign w:val="center"/>
          </w:tcPr>
          <w:p w:rsidR="00C81D0A" w:rsidRPr="002A2990" w:rsidP="00C81D0A" w14:paraId="41D76A45" w14:textId="19524E04">
            <w:pPr>
              <w:jc w:val="center"/>
              <w:rPr>
                <w:rFonts w:ascii="Aptos" w:hAnsi="Aptos" w:cs="Times New Roman"/>
                <w:sz w:val="24"/>
                <w:szCs w:val="24"/>
                <w:highlight w:val="yellow"/>
              </w:rPr>
            </w:pPr>
            <w:r>
              <w:rPr>
                <w:rFonts w:ascii="Aptos" w:hAnsi="Aptos" w:cs="Times New Roman"/>
                <w:sz w:val="24"/>
                <w:szCs w:val="24"/>
                <w:highlight w:val="yellow"/>
              </w:rPr>
              <w:t>4</w:t>
            </w:r>
          </w:p>
        </w:tc>
        <w:tc>
          <w:tcPr>
            <w:tcW w:w="1347" w:type="dxa"/>
            <w:vAlign w:val="center"/>
          </w:tcPr>
          <w:p w:rsidR="00C81D0A" w:rsidRPr="002A2990" w:rsidP="00C81D0A" w14:paraId="0014A798" w14:textId="7B7EC407">
            <w:pPr>
              <w:jc w:val="center"/>
              <w:rPr>
                <w:rFonts w:ascii="Aptos" w:hAnsi="Aptos" w:cs="Times New Roman"/>
                <w:sz w:val="24"/>
                <w:szCs w:val="24"/>
                <w:highlight w:val="yellow"/>
              </w:rPr>
            </w:pPr>
            <w:r>
              <w:rPr>
                <w:rFonts w:ascii="Aptos" w:hAnsi="Aptos" w:cs="Times New Roman"/>
                <w:sz w:val="24"/>
                <w:szCs w:val="24"/>
                <w:highlight w:val="yellow"/>
              </w:rPr>
              <w:t>1</w:t>
            </w:r>
            <w:r w:rsidR="009A55E1">
              <w:rPr>
                <w:rFonts w:ascii="Aptos" w:hAnsi="Aptos" w:cs="Times New Roman"/>
                <w:sz w:val="24"/>
                <w:szCs w:val="24"/>
                <w:highlight w:val="yellow"/>
              </w:rPr>
              <w:t>8</w:t>
            </w:r>
            <w:r>
              <w:rPr>
                <w:rFonts w:ascii="Aptos" w:hAnsi="Aptos" w:cs="Times New Roman"/>
                <w:sz w:val="24"/>
                <w:szCs w:val="24"/>
                <w:highlight w:val="yellow"/>
              </w:rPr>
              <w:t>/60</w:t>
            </w:r>
          </w:p>
        </w:tc>
        <w:tc>
          <w:tcPr>
            <w:tcW w:w="1256" w:type="dxa"/>
            <w:tcBorders>
              <w:right w:val="single" w:sz="8" w:space="0" w:color="auto"/>
            </w:tcBorders>
            <w:vAlign w:val="center"/>
          </w:tcPr>
          <w:p w:rsidR="00C81D0A" w:rsidRPr="002A2990" w:rsidP="00C81D0A" w14:paraId="336E337B" w14:textId="1E827C55">
            <w:pPr>
              <w:jc w:val="center"/>
              <w:rPr>
                <w:rFonts w:ascii="Aptos" w:hAnsi="Aptos" w:cs="Times New Roman"/>
                <w:sz w:val="24"/>
                <w:szCs w:val="24"/>
                <w:highlight w:val="yellow"/>
              </w:rPr>
            </w:pPr>
            <w:r>
              <w:rPr>
                <w:rFonts w:ascii="Aptos" w:hAnsi="Aptos" w:cs="Times New Roman"/>
                <w:sz w:val="24"/>
                <w:szCs w:val="24"/>
                <w:highlight w:val="yellow"/>
              </w:rPr>
              <w:t>1010</w:t>
            </w:r>
          </w:p>
        </w:tc>
      </w:tr>
      <w:tr w14:paraId="632DA94A" w14:textId="77777777" w:rsidTr="1E0076AE">
        <w:tblPrEx>
          <w:tblW w:w="9340" w:type="dxa"/>
          <w:tblLook w:val="04A0"/>
        </w:tblPrEx>
        <w:trPr>
          <w:trHeight w:val="360"/>
        </w:trPr>
        <w:tc>
          <w:tcPr>
            <w:tcW w:w="3437" w:type="dxa"/>
            <w:gridSpan w:val="2"/>
            <w:tcBorders>
              <w:top w:val="single" w:sz="8" w:space="0" w:color="auto"/>
              <w:left w:val="single" w:sz="8" w:space="0" w:color="auto"/>
              <w:bottom w:val="single" w:sz="8" w:space="0" w:color="auto"/>
              <w:right w:val="single" w:sz="8" w:space="0" w:color="auto"/>
            </w:tcBorders>
            <w:vAlign w:val="center"/>
            <w:hideMark/>
          </w:tcPr>
          <w:p w:rsidR="00C81D0A" w:rsidRPr="00B27C07" w:rsidP="00C81D0A" w14:paraId="5F616666" w14:textId="77777777">
            <w:pPr>
              <w:rPr>
                <w:rFonts w:ascii="Aptos" w:hAnsi="Aptos" w:cs="Times New Roman"/>
                <w:b/>
                <w:sz w:val="24"/>
                <w:szCs w:val="24"/>
              </w:rPr>
            </w:pPr>
            <w:r w:rsidRPr="00B27C07">
              <w:rPr>
                <w:rFonts w:ascii="Aptos" w:hAnsi="Aptos"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vAlign w:val="center"/>
          </w:tcPr>
          <w:p w:rsidR="00C81D0A" w:rsidRPr="00B27C07" w:rsidP="00C81D0A" w14:paraId="36A23D09" w14:textId="56F603EE">
            <w:pPr>
              <w:jc w:val="center"/>
              <w:rPr>
                <w:rFonts w:ascii="Aptos" w:hAnsi="Aptos" w:cs="Times New Roman"/>
                <w:sz w:val="24"/>
                <w:szCs w:val="24"/>
              </w:rPr>
            </w:pPr>
          </w:p>
        </w:tc>
        <w:tc>
          <w:tcPr>
            <w:tcW w:w="1590" w:type="dxa"/>
            <w:tcBorders>
              <w:top w:val="single" w:sz="8" w:space="0" w:color="auto"/>
              <w:left w:val="single" w:sz="8" w:space="0" w:color="auto"/>
              <w:bottom w:val="single" w:sz="8" w:space="0" w:color="auto"/>
              <w:right w:val="single" w:sz="8" w:space="0" w:color="auto"/>
            </w:tcBorders>
            <w:vAlign w:val="center"/>
          </w:tcPr>
          <w:p w:rsidR="00C81D0A" w:rsidRPr="00B27C07" w:rsidP="00C81D0A" w14:paraId="090C54EB" w14:textId="3701B095">
            <w:pPr>
              <w:jc w:val="center"/>
              <w:rPr>
                <w:rFonts w:ascii="Aptos" w:hAnsi="Aptos" w:cs="Times New Roman"/>
                <w:sz w:val="24"/>
                <w:szCs w:val="24"/>
              </w:rPr>
            </w:pPr>
            <w:r>
              <w:rPr>
                <w:rFonts w:ascii="Aptos" w:hAnsi="Aptos" w:cs="Times New Roman"/>
                <w:sz w:val="24"/>
                <w:szCs w:val="24"/>
              </w:rPr>
              <w:t>20,232</w:t>
            </w:r>
          </w:p>
        </w:tc>
        <w:tc>
          <w:tcPr>
            <w:tcW w:w="1347" w:type="dxa"/>
            <w:tcBorders>
              <w:top w:val="single" w:sz="8" w:space="0" w:color="auto"/>
              <w:left w:val="single" w:sz="8" w:space="0" w:color="auto"/>
              <w:bottom w:val="single" w:sz="8" w:space="0" w:color="auto"/>
              <w:right w:val="single" w:sz="8" w:space="0" w:color="auto"/>
            </w:tcBorders>
            <w:vAlign w:val="center"/>
          </w:tcPr>
          <w:p w:rsidR="00C81D0A" w:rsidRPr="00B27C07" w:rsidP="00C81D0A" w14:paraId="39227C42" w14:textId="74137AD2">
            <w:pPr>
              <w:jc w:val="center"/>
              <w:rPr>
                <w:rFonts w:ascii="Aptos" w:hAnsi="Aptos" w:cs="Times New Roman"/>
                <w:sz w:val="24"/>
                <w:szCs w:val="24"/>
              </w:rPr>
            </w:pPr>
          </w:p>
        </w:tc>
        <w:tc>
          <w:tcPr>
            <w:tcW w:w="1256" w:type="dxa"/>
            <w:tcBorders>
              <w:top w:val="single" w:sz="8" w:space="0" w:color="auto"/>
              <w:left w:val="single" w:sz="8" w:space="0" w:color="auto"/>
              <w:bottom w:val="single" w:sz="8" w:space="0" w:color="auto"/>
              <w:right w:val="single" w:sz="8" w:space="0" w:color="auto"/>
            </w:tcBorders>
            <w:vAlign w:val="center"/>
            <w:hideMark/>
          </w:tcPr>
          <w:p w:rsidR="00C81D0A" w:rsidRPr="00B27C07" w:rsidP="00C81D0A" w14:paraId="7B05D55A" w14:textId="60AAE7A8">
            <w:pPr>
              <w:jc w:val="center"/>
              <w:rPr>
                <w:rFonts w:ascii="Aptos" w:hAnsi="Aptos" w:cs="Times New Roman"/>
                <w:sz w:val="24"/>
                <w:szCs w:val="24"/>
              </w:rPr>
            </w:pPr>
            <w:r w:rsidRPr="72194E9D">
              <w:rPr>
                <w:rFonts w:ascii="Aptos" w:hAnsi="Aptos" w:cs="Times New Roman"/>
                <w:sz w:val="24"/>
                <w:szCs w:val="24"/>
              </w:rPr>
              <w:t>978</w:t>
            </w:r>
            <w:r w:rsidRPr="72194E9D" w:rsidR="3052A0CB">
              <w:rPr>
                <w:rFonts w:ascii="Aptos" w:hAnsi="Aptos" w:cs="Times New Roman"/>
                <w:sz w:val="24"/>
                <w:szCs w:val="24"/>
              </w:rPr>
              <w:t>4</w:t>
            </w:r>
          </w:p>
        </w:tc>
      </w:tr>
    </w:tbl>
    <w:p w:rsidR="00EC42F9" w:rsidRPr="001921C2" w:rsidP="00EC42F9" w14:paraId="190E3317" w14:textId="77777777">
      <w:pPr>
        <w:rPr>
          <w:rFonts w:ascii="Aptos" w:hAnsi="Aptos" w:cs="Times New Roman"/>
          <w:sz w:val="24"/>
          <w:szCs w:val="24"/>
        </w:rPr>
      </w:pPr>
    </w:p>
    <w:p w:rsidR="00363775" w:rsidRPr="001921C2" w:rsidP="00363775" w14:paraId="4C5E370B" w14:textId="77777777">
      <w:pPr>
        <w:spacing w:after="0" w:line="240" w:lineRule="auto"/>
        <w:rPr>
          <w:rFonts w:ascii="Aptos" w:eastAsia="Times New Roman" w:hAnsi="Aptos" w:cs="Times New Roman"/>
          <w:b/>
          <w:smallCaps/>
          <w:color w:val="000000"/>
          <w:sz w:val="24"/>
          <w:szCs w:val="24"/>
        </w:rPr>
      </w:pPr>
      <w:r w:rsidRPr="001921C2">
        <w:rPr>
          <w:rFonts w:ascii="Aptos" w:eastAsia="Times New Roman" w:hAnsi="Aptos" w:cs="Times New Roman"/>
          <w:b/>
          <w:smallCaps/>
          <w:color w:val="000000"/>
          <w:sz w:val="24"/>
          <w:szCs w:val="24"/>
        </w:rPr>
        <w:t>A.12-2</w:t>
      </w:r>
      <w:r w:rsidRPr="001921C2">
        <w:rPr>
          <w:rFonts w:ascii="Aptos" w:eastAsia="Times New Roman" w:hAnsi="Aptos" w:cs="Times New Roman"/>
          <w:b/>
          <w:smallCaps/>
          <w:color w:val="000000"/>
          <w:sz w:val="24"/>
          <w:szCs w:val="24"/>
        </w:rPr>
        <w:tab/>
        <w:t>A</w:t>
      </w:r>
      <w:r w:rsidRPr="001921C2">
        <w:rPr>
          <w:rFonts w:ascii="Aptos" w:eastAsia="Times New Roman" w:hAnsi="Aptos" w:cs="Times New Roman"/>
          <w:b/>
          <w:color w:val="000000"/>
          <w:sz w:val="24"/>
          <w:szCs w:val="24"/>
        </w:rPr>
        <w:t>nnualized Cost to Respondents</w:t>
      </w:r>
    </w:p>
    <w:p w:rsidR="00363775" w:rsidRPr="001921C2" w:rsidP="00363775" w14:paraId="55727849" w14:textId="77777777">
      <w:pPr>
        <w:spacing w:after="0" w:line="240" w:lineRule="auto"/>
        <w:rPr>
          <w:rFonts w:ascii="Aptos" w:eastAsia="Times New Roman" w:hAnsi="Aptos" w:cs="Times New Roman"/>
          <w:smallCaps/>
          <w:color w:val="000000"/>
          <w:sz w:val="24"/>
          <w:szCs w:val="24"/>
        </w:rPr>
      </w:pPr>
    </w:p>
    <w:p w:rsidR="00363775" w:rsidP="00363775" w14:paraId="237D79D0" w14:textId="47635763">
      <w:pPr>
        <w:rPr>
          <w:rFonts w:ascii="Aptos" w:hAnsi="Aptos" w:cs="Times New Roman"/>
          <w:sz w:val="24"/>
          <w:szCs w:val="24"/>
        </w:rPr>
      </w:pPr>
      <w:r w:rsidRPr="001921C2">
        <w:rPr>
          <w:rFonts w:ascii="Aptos" w:hAnsi="Aptos" w:cs="Times New Roman"/>
          <w:sz w:val="24"/>
          <w:szCs w:val="24"/>
        </w:rPr>
        <w:t>To estimate the annual cost to respondents, NIH used statistics from the U.S. Bureau of Labor and Statistics</w:t>
      </w:r>
      <w:r w:rsidR="000069D1">
        <w:rPr>
          <w:rFonts w:ascii="Aptos" w:hAnsi="Aptos" w:cs="Times New Roman"/>
          <w:sz w:val="24"/>
          <w:szCs w:val="24"/>
        </w:rPr>
        <w:t xml:space="preserve">, </w:t>
      </w:r>
      <w:r w:rsidRPr="001921C2">
        <w:rPr>
          <w:rFonts w:ascii="Aptos" w:hAnsi="Aptos" w:cs="Times New Roman"/>
          <w:sz w:val="24"/>
          <w:szCs w:val="24"/>
        </w:rPr>
        <w:t>National Occupational Employment and Wage Estimates</w:t>
      </w:r>
      <w:r w:rsidR="00A327BB">
        <w:rPr>
          <w:rFonts w:ascii="Aptos" w:hAnsi="Aptos" w:cs="Times New Roman"/>
          <w:sz w:val="24"/>
          <w:szCs w:val="24"/>
        </w:rPr>
        <w:t>, May 202</w:t>
      </w:r>
      <w:r w:rsidR="001926CE">
        <w:rPr>
          <w:rFonts w:ascii="Aptos" w:hAnsi="Aptos" w:cs="Times New Roman"/>
          <w:sz w:val="24"/>
          <w:szCs w:val="24"/>
        </w:rPr>
        <w:t>4</w:t>
      </w:r>
      <w:r>
        <w:rPr>
          <w:rStyle w:val="FootnoteReference"/>
          <w:rFonts w:ascii="Aptos" w:hAnsi="Aptos"/>
          <w:sz w:val="24"/>
          <w:szCs w:val="24"/>
        </w:rPr>
        <w:footnoteReference w:id="3"/>
      </w:r>
      <w:r w:rsidRPr="001921C2">
        <w:rPr>
          <w:rFonts w:ascii="Aptos" w:hAnsi="Aptos" w:cs="Times New Roman"/>
          <w:sz w:val="24"/>
          <w:szCs w:val="24"/>
        </w:rPr>
        <w:t>.</w:t>
      </w:r>
      <w:r w:rsidRPr="001921C2" w:rsidR="007B651D">
        <w:rPr>
          <w:rFonts w:ascii="Aptos" w:hAnsi="Aptos" w:cs="Times New Roman"/>
          <w:sz w:val="24"/>
          <w:szCs w:val="24"/>
        </w:rPr>
        <w:t xml:space="preserve"> </w:t>
      </w:r>
      <w:r w:rsidRPr="001921C2">
        <w:rPr>
          <w:rFonts w:ascii="Aptos" w:hAnsi="Aptos" w:cs="Times New Roman"/>
          <w:sz w:val="24"/>
          <w:szCs w:val="24"/>
        </w:rPr>
        <w:t xml:space="preserve">The mean hourly wage of </w:t>
      </w:r>
      <w:r w:rsidR="00226DA0">
        <w:rPr>
          <w:rFonts w:ascii="Aptos" w:hAnsi="Aptos" w:cs="Times New Roman"/>
          <w:sz w:val="24"/>
          <w:szCs w:val="24"/>
        </w:rPr>
        <w:t>$49.01</w:t>
      </w:r>
      <w:r w:rsidRPr="001921C2" w:rsidR="00B641D1">
        <w:rPr>
          <w:rFonts w:ascii="Aptos" w:hAnsi="Aptos" w:cs="Times New Roman"/>
          <w:sz w:val="24"/>
          <w:szCs w:val="24"/>
        </w:rPr>
        <w:t xml:space="preserve"> </w:t>
      </w:r>
      <w:r w:rsidRPr="001921C2">
        <w:rPr>
          <w:rFonts w:ascii="Aptos" w:hAnsi="Aptos" w:cs="Times New Roman"/>
          <w:sz w:val="24"/>
          <w:szCs w:val="24"/>
        </w:rPr>
        <w:t>for Life Scientists was used for investigator</w:t>
      </w:r>
      <w:r w:rsidRPr="001921C2" w:rsidR="005560E7">
        <w:rPr>
          <w:rFonts w:ascii="Aptos" w:hAnsi="Aptos" w:cs="Times New Roman"/>
          <w:sz w:val="24"/>
          <w:szCs w:val="24"/>
        </w:rPr>
        <w:t>s and requeste</w:t>
      </w:r>
      <w:r w:rsidRPr="001921C2" w:rsidR="00D35616">
        <w:rPr>
          <w:rFonts w:ascii="Aptos" w:hAnsi="Aptos" w:cs="Times New Roman"/>
          <w:sz w:val="24"/>
          <w:szCs w:val="24"/>
        </w:rPr>
        <w:t>rs</w:t>
      </w:r>
      <w:r w:rsidRPr="001921C2" w:rsidR="000D583C">
        <w:rPr>
          <w:rFonts w:ascii="Aptos" w:hAnsi="Aptos" w:cs="Times New Roman"/>
          <w:sz w:val="24"/>
          <w:szCs w:val="24"/>
        </w:rPr>
        <w:t>,</w:t>
      </w:r>
      <w:r w:rsidRPr="001921C2">
        <w:rPr>
          <w:rFonts w:ascii="Aptos" w:hAnsi="Aptos" w:cs="Times New Roman"/>
          <w:sz w:val="24"/>
          <w:szCs w:val="24"/>
        </w:rPr>
        <w:t xml:space="preserve"> and the mean hourly wage of </w:t>
      </w:r>
      <w:r w:rsidR="005D78C7">
        <w:rPr>
          <w:rFonts w:ascii="Aptos" w:hAnsi="Aptos" w:cs="Times New Roman"/>
          <w:sz w:val="24"/>
          <w:szCs w:val="24"/>
        </w:rPr>
        <w:t>$59.83</w:t>
      </w:r>
      <w:r w:rsidRPr="001921C2" w:rsidR="00B641D1">
        <w:rPr>
          <w:rFonts w:ascii="Aptos" w:hAnsi="Aptos" w:cs="Times New Roman"/>
          <w:sz w:val="24"/>
          <w:szCs w:val="24"/>
        </w:rPr>
        <w:t xml:space="preserve"> </w:t>
      </w:r>
      <w:r w:rsidRPr="001921C2">
        <w:rPr>
          <w:rFonts w:ascii="Aptos" w:hAnsi="Aptos" w:cs="Times New Roman"/>
          <w:sz w:val="24"/>
          <w:szCs w:val="24"/>
        </w:rPr>
        <w:t>for Education Administrators, Postsecondary, was used for Institutional</w:t>
      </w:r>
      <w:r w:rsidRPr="001921C2" w:rsidR="005560E7">
        <w:rPr>
          <w:rFonts w:ascii="Aptos" w:hAnsi="Aptos" w:cs="Times New Roman"/>
          <w:sz w:val="24"/>
          <w:szCs w:val="24"/>
        </w:rPr>
        <w:t xml:space="preserve"> Officials</w:t>
      </w:r>
      <w:r w:rsidRPr="001921C2">
        <w:rPr>
          <w:rFonts w:ascii="Aptos" w:hAnsi="Aptos" w:cs="Times New Roman"/>
          <w:sz w:val="24"/>
          <w:szCs w:val="24"/>
        </w:rPr>
        <w:t>/</w:t>
      </w:r>
      <w:r w:rsidRPr="001921C2" w:rsidR="005560E7">
        <w:rPr>
          <w:rFonts w:ascii="Aptos" w:hAnsi="Aptos" w:cs="Times New Roman"/>
          <w:sz w:val="24"/>
          <w:szCs w:val="24"/>
        </w:rPr>
        <w:t xml:space="preserve">Institutional </w:t>
      </w:r>
      <w:r w:rsidRPr="001921C2">
        <w:rPr>
          <w:rFonts w:ascii="Aptos" w:hAnsi="Aptos" w:cs="Times New Roman"/>
          <w:sz w:val="24"/>
          <w:szCs w:val="24"/>
        </w:rPr>
        <w:t>Signing Officials.</w:t>
      </w:r>
    </w:p>
    <w:p w:rsidR="00F46D36" w:rsidRPr="00F46D36" w:rsidP="00F46D36" w14:paraId="07550C74" w14:textId="77777777">
      <w:pPr>
        <w:rPr>
          <w:rFonts w:ascii="Aptos" w:hAnsi="Aptos" w:cs="Times New Roman"/>
          <w:i/>
          <w:sz w:val="24"/>
          <w:szCs w:val="24"/>
          <w:u w:val="single"/>
        </w:rPr>
      </w:pPr>
      <w:r w:rsidRPr="00F46D36">
        <w:rPr>
          <w:rFonts w:ascii="Aptos" w:hAnsi="Aptos" w:cs="Times New Roman"/>
          <w:i/>
          <w:sz w:val="24"/>
          <w:szCs w:val="24"/>
          <w:u w:val="single"/>
        </w:rPr>
        <w:t>Study Registration and Data Submission</w:t>
      </w:r>
    </w:p>
    <w:p w:rsidR="00F46D36" w:rsidRPr="00F46D36" w:rsidP="00F46D36" w14:paraId="64CB610E" w14:textId="1EBEEE88">
      <w:pPr>
        <w:rPr>
          <w:rFonts w:ascii="Aptos" w:hAnsi="Aptos" w:cs="Times New Roman"/>
          <w:sz w:val="24"/>
          <w:szCs w:val="24"/>
        </w:rPr>
      </w:pPr>
      <w:r w:rsidRPr="00F46D36">
        <w:rPr>
          <w:rFonts w:ascii="Aptos" w:hAnsi="Aptos" w:cs="Times New Roman"/>
          <w:sz w:val="24"/>
          <w:szCs w:val="24"/>
        </w:rPr>
        <w:t xml:space="preserve">Table 12-2 provides the estimated annualized cost to register a study and submit data. </w:t>
      </w:r>
      <w:r w:rsidR="008339BA">
        <w:rPr>
          <w:rFonts w:ascii="Aptos" w:hAnsi="Aptos" w:cs="Times New Roman"/>
          <w:sz w:val="24"/>
          <w:szCs w:val="24"/>
        </w:rPr>
        <w:t xml:space="preserve">To calculate </w:t>
      </w:r>
      <w:r w:rsidR="009D66AF">
        <w:rPr>
          <w:rFonts w:ascii="Aptos" w:hAnsi="Aptos" w:cs="Times New Roman"/>
          <w:sz w:val="24"/>
          <w:szCs w:val="24"/>
        </w:rPr>
        <w:t xml:space="preserve">the estimated </w:t>
      </w:r>
      <w:r w:rsidR="008339BA">
        <w:rPr>
          <w:rFonts w:ascii="Aptos" w:hAnsi="Aptos" w:cs="Times New Roman"/>
          <w:sz w:val="24"/>
          <w:szCs w:val="24"/>
        </w:rPr>
        <w:t xml:space="preserve">‘Respondent Cost’, </w:t>
      </w:r>
      <w:r w:rsidR="0000426F">
        <w:rPr>
          <w:rFonts w:ascii="Aptos" w:hAnsi="Aptos" w:cs="Times New Roman"/>
          <w:sz w:val="24"/>
          <w:szCs w:val="24"/>
        </w:rPr>
        <w:t>The Total Annual Burden Hours for a Type of Respondent was multiplied by the Hourly Respondent Wage Rate</w:t>
      </w:r>
      <w:r w:rsidR="009D66AF">
        <w:rPr>
          <w:rFonts w:ascii="Aptos" w:hAnsi="Aptos" w:cs="Times New Roman"/>
          <w:sz w:val="24"/>
          <w:szCs w:val="24"/>
        </w:rPr>
        <w:t xml:space="preserve">. To calculate the </w:t>
      </w:r>
      <w:r w:rsidR="008A3C39">
        <w:rPr>
          <w:rFonts w:ascii="Aptos" w:hAnsi="Aptos" w:cs="Times New Roman"/>
          <w:sz w:val="24"/>
          <w:szCs w:val="24"/>
        </w:rPr>
        <w:t>estimated co</w:t>
      </w:r>
      <w:r w:rsidR="00532C2B">
        <w:rPr>
          <w:rFonts w:ascii="Aptos" w:hAnsi="Aptos" w:cs="Times New Roman"/>
          <w:sz w:val="24"/>
          <w:szCs w:val="24"/>
        </w:rPr>
        <w:t>st to register a study and submit data in the Legacy Registration System</w:t>
      </w:r>
      <w:r w:rsidR="00FD2590">
        <w:rPr>
          <w:rFonts w:ascii="Aptos" w:hAnsi="Aptos" w:cs="Times New Roman"/>
          <w:sz w:val="24"/>
          <w:szCs w:val="24"/>
        </w:rPr>
        <w:t xml:space="preserve">, the Respondent Cost of the Legacy System was </w:t>
      </w:r>
      <w:r w:rsidR="00FD2590">
        <w:rPr>
          <w:rFonts w:ascii="Aptos" w:hAnsi="Aptos" w:cs="Times New Roman"/>
          <w:sz w:val="24"/>
          <w:szCs w:val="24"/>
        </w:rPr>
        <w:t>summed</w:t>
      </w:r>
      <w:r w:rsidR="00FD2590">
        <w:rPr>
          <w:rFonts w:ascii="Aptos" w:hAnsi="Aptos" w:cs="Times New Roman"/>
          <w:sz w:val="24"/>
          <w:szCs w:val="24"/>
        </w:rPr>
        <w:t xml:space="preserve"> and</w:t>
      </w:r>
      <w:r w:rsidR="000B7415">
        <w:rPr>
          <w:rFonts w:ascii="Aptos" w:hAnsi="Aptos" w:cs="Times New Roman"/>
          <w:sz w:val="24"/>
          <w:szCs w:val="24"/>
        </w:rPr>
        <w:t xml:space="preserve"> the estimated annual cost is </w:t>
      </w:r>
      <w:r w:rsidRPr="00D151D8" w:rsidR="00D151D8">
        <w:rPr>
          <w:rFonts w:ascii="Aptos" w:hAnsi="Aptos" w:cs="Times New Roman"/>
          <w:sz w:val="24"/>
          <w:szCs w:val="24"/>
        </w:rPr>
        <w:t>$22,336</w:t>
      </w:r>
      <w:r w:rsidR="00AC5053">
        <w:rPr>
          <w:rFonts w:ascii="Aptos" w:hAnsi="Aptos" w:cs="Times New Roman"/>
          <w:sz w:val="24"/>
          <w:szCs w:val="24"/>
        </w:rPr>
        <w:t>.</w:t>
      </w:r>
      <w:r w:rsidR="00532C2B">
        <w:rPr>
          <w:rFonts w:ascii="Aptos" w:hAnsi="Aptos" w:cs="Times New Roman"/>
          <w:sz w:val="24"/>
          <w:szCs w:val="24"/>
        </w:rPr>
        <w:t xml:space="preserve"> </w:t>
      </w:r>
      <w:r w:rsidR="00C513CC">
        <w:rPr>
          <w:rFonts w:ascii="Aptos" w:hAnsi="Aptos" w:cs="Times New Roman"/>
          <w:sz w:val="24"/>
          <w:szCs w:val="24"/>
        </w:rPr>
        <w:t xml:space="preserve"> </w:t>
      </w:r>
      <w:r w:rsidR="00935E97">
        <w:rPr>
          <w:rFonts w:ascii="Aptos" w:hAnsi="Aptos" w:cs="Times New Roman"/>
          <w:sz w:val="24"/>
          <w:szCs w:val="24"/>
        </w:rPr>
        <w:t xml:space="preserve">Using this same calculation to sum the estimated annual cost for the New Registration </w:t>
      </w:r>
      <w:r w:rsidR="00935E97">
        <w:rPr>
          <w:rFonts w:ascii="Aptos" w:hAnsi="Aptos" w:cs="Times New Roman"/>
          <w:sz w:val="24"/>
          <w:szCs w:val="24"/>
        </w:rPr>
        <w:t>System</w:t>
      </w:r>
      <w:r w:rsidR="00935E97">
        <w:rPr>
          <w:rFonts w:ascii="Aptos" w:hAnsi="Aptos" w:cs="Times New Roman"/>
          <w:sz w:val="24"/>
          <w:szCs w:val="24"/>
        </w:rPr>
        <w:t xml:space="preserve"> an estimated annual cost of </w:t>
      </w:r>
      <w:r w:rsidRPr="00DD30C5" w:rsidR="00DD30C5">
        <w:rPr>
          <w:rFonts w:ascii="Aptos" w:hAnsi="Aptos" w:cs="Times New Roman"/>
          <w:sz w:val="24"/>
          <w:szCs w:val="24"/>
        </w:rPr>
        <w:t xml:space="preserve">$67,007 </w:t>
      </w:r>
      <w:r w:rsidR="00D819D8">
        <w:rPr>
          <w:rFonts w:ascii="Aptos" w:hAnsi="Aptos" w:cs="Times New Roman"/>
          <w:sz w:val="24"/>
          <w:szCs w:val="24"/>
        </w:rPr>
        <w:t>was calculated</w:t>
      </w:r>
      <w:r w:rsidR="00E9294C">
        <w:rPr>
          <w:rFonts w:ascii="Aptos" w:hAnsi="Aptos" w:cs="Times New Roman"/>
          <w:sz w:val="24"/>
          <w:szCs w:val="24"/>
        </w:rPr>
        <w:t>.</w:t>
      </w:r>
      <w:r w:rsidR="00006F53">
        <w:rPr>
          <w:rFonts w:ascii="Aptos" w:hAnsi="Aptos" w:cs="Times New Roman"/>
          <w:sz w:val="24"/>
          <w:szCs w:val="24"/>
        </w:rPr>
        <w:t xml:space="preserve"> </w:t>
      </w:r>
      <w:r w:rsidRPr="00F46D36">
        <w:rPr>
          <w:rFonts w:ascii="Aptos" w:hAnsi="Aptos" w:cs="Times New Roman"/>
          <w:sz w:val="24"/>
          <w:szCs w:val="24"/>
        </w:rPr>
        <w:t xml:space="preserve">The total </w:t>
      </w:r>
      <w:r w:rsidR="00A641C3">
        <w:rPr>
          <w:rFonts w:ascii="Aptos" w:hAnsi="Aptos" w:cs="Times New Roman"/>
          <w:sz w:val="24"/>
          <w:szCs w:val="24"/>
        </w:rPr>
        <w:t>estimated</w:t>
      </w:r>
      <w:r w:rsidRPr="00F46D36" w:rsidR="00A641C3">
        <w:rPr>
          <w:rFonts w:ascii="Aptos" w:hAnsi="Aptos" w:cs="Times New Roman"/>
          <w:sz w:val="24"/>
          <w:szCs w:val="24"/>
        </w:rPr>
        <w:t xml:space="preserve"> </w:t>
      </w:r>
      <w:r w:rsidRPr="00F46D36">
        <w:rPr>
          <w:rFonts w:ascii="Aptos" w:hAnsi="Aptos" w:cs="Times New Roman"/>
          <w:sz w:val="24"/>
          <w:szCs w:val="24"/>
        </w:rPr>
        <w:t xml:space="preserve">annual cost of study registration and data submission is </w:t>
      </w:r>
      <w:r w:rsidRPr="001E64C4" w:rsidR="001E64C4">
        <w:rPr>
          <w:rFonts w:ascii="Aptos" w:hAnsi="Aptos" w:cs="Times New Roman"/>
          <w:sz w:val="24"/>
          <w:szCs w:val="24"/>
        </w:rPr>
        <w:t>$89,343</w:t>
      </w:r>
      <w:r w:rsidRPr="00F46D36">
        <w:rPr>
          <w:rFonts w:ascii="Aptos" w:hAnsi="Aptos" w:cs="Times New Roman"/>
          <w:sz w:val="24"/>
          <w:szCs w:val="24"/>
        </w:rPr>
        <w:t>.</w:t>
      </w:r>
    </w:p>
    <w:p w:rsidR="00F46D36" w:rsidRPr="00F46D36" w:rsidP="00F46D36" w14:paraId="695748A6" w14:textId="77777777">
      <w:pPr>
        <w:rPr>
          <w:rFonts w:ascii="Aptos" w:hAnsi="Aptos" w:cs="Times New Roman"/>
          <w:i/>
          <w:sz w:val="24"/>
          <w:szCs w:val="24"/>
          <w:u w:val="single"/>
        </w:rPr>
      </w:pPr>
      <w:r w:rsidRPr="00F46D36">
        <w:rPr>
          <w:rFonts w:ascii="Aptos" w:hAnsi="Aptos" w:cs="Times New Roman"/>
          <w:i/>
          <w:sz w:val="24"/>
          <w:szCs w:val="24"/>
          <w:u w:val="single"/>
        </w:rPr>
        <w:t>Data Access</w:t>
      </w:r>
    </w:p>
    <w:p w:rsidR="00F46D36" w:rsidP="00F46D36" w14:paraId="32C7F0EF" w14:textId="0D5F97E7">
      <w:pPr>
        <w:rPr>
          <w:rFonts w:ascii="Aptos" w:hAnsi="Aptos" w:cs="Times New Roman"/>
          <w:sz w:val="24"/>
          <w:szCs w:val="24"/>
        </w:rPr>
      </w:pPr>
      <w:r w:rsidRPr="00F46D36">
        <w:rPr>
          <w:rFonts w:ascii="Aptos" w:hAnsi="Aptos" w:cs="Times New Roman"/>
          <w:sz w:val="24"/>
          <w:szCs w:val="24"/>
        </w:rPr>
        <w:t xml:space="preserve">Table 12-2 provides the estimated annual cost for respondents to complete an initial DAR </w:t>
      </w:r>
      <w:r w:rsidR="000F2F17">
        <w:rPr>
          <w:rFonts w:ascii="Aptos" w:hAnsi="Aptos" w:cs="Times New Roman"/>
          <w:sz w:val="24"/>
          <w:szCs w:val="24"/>
        </w:rPr>
        <w:t>application, a Renewal or a Close-out</w:t>
      </w:r>
      <w:r w:rsidRPr="00F46D36">
        <w:rPr>
          <w:rFonts w:ascii="Aptos" w:hAnsi="Aptos" w:cs="Times New Roman"/>
          <w:sz w:val="24"/>
          <w:szCs w:val="24"/>
        </w:rPr>
        <w:t xml:space="preserve">. </w:t>
      </w:r>
      <w:r w:rsidR="000F2F17">
        <w:rPr>
          <w:rFonts w:ascii="Aptos" w:hAnsi="Aptos" w:cs="Times New Roman"/>
          <w:sz w:val="24"/>
          <w:szCs w:val="24"/>
        </w:rPr>
        <w:t>To calculate the estimated ‘Respondent Cost’, The Total Annual Burden Hours for a Type of Respondent was multiplied by the Hourly Respondent Wage Rate.</w:t>
      </w:r>
      <w:r w:rsidR="00935E97">
        <w:rPr>
          <w:rFonts w:ascii="Aptos" w:hAnsi="Aptos" w:cs="Times New Roman"/>
          <w:sz w:val="24"/>
          <w:szCs w:val="24"/>
        </w:rPr>
        <w:t xml:space="preserve"> </w:t>
      </w:r>
      <w:r w:rsidR="00BD14B8">
        <w:rPr>
          <w:rFonts w:ascii="Aptos" w:hAnsi="Aptos" w:cs="Times New Roman"/>
          <w:sz w:val="24"/>
          <w:szCs w:val="24"/>
        </w:rPr>
        <w:t xml:space="preserve">To </w:t>
      </w:r>
      <w:r w:rsidR="00C461C9">
        <w:rPr>
          <w:rFonts w:ascii="Aptos" w:hAnsi="Aptos" w:cs="Times New Roman"/>
          <w:sz w:val="24"/>
          <w:szCs w:val="24"/>
        </w:rPr>
        <w:t>calculate</w:t>
      </w:r>
      <w:r w:rsidR="00BD14B8">
        <w:rPr>
          <w:rFonts w:ascii="Aptos" w:hAnsi="Aptos" w:cs="Times New Roman"/>
          <w:sz w:val="24"/>
          <w:szCs w:val="24"/>
        </w:rPr>
        <w:t xml:space="preserve"> the estimated cost to submit an initial DAR application in the Legacy Authorized Access System</w:t>
      </w:r>
      <w:r w:rsidR="00ED5978">
        <w:rPr>
          <w:rFonts w:ascii="Aptos" w:hAnsi="Aptos" w:cs="Times New Roman"/>
          <w:sz w:val="24"/>
          <w:szCs w:val="24"/>
        </w:rPr>
        <w:t xml:space="preserve">, the Respondent Cost of the Legacy </w:t>
      </w:r>
      <w:r w:rsidR="00345817">
        <w:rPr>
          <w:rFonts w:ascii="Aptos" w:hAnsi="Aptos" w:cs="Times New Roman"/>
          <w:sz w:val="24"/>
          <w:szCs w:val="24"/>
        </w:rPr>
        <w:t>Authorized Access System</w:t>
      </w:r>
      <w:r w:rsidR="00ED5978">
        <w:rPr>
          <w:rFonts w:ascii="Aptos" w:hAnsi="Aptos" w:cs="Times New Roman"/>
          <w:sz w:val="24"/>
          <w:szCs w:val="24"/>
        </w:rPr>
        <w:t xml:space="preserve"> was </w:t>
      </w:r>
      <w:r w:rsidR="00C00EC3">
        <w:rPr>
          <w:rFonts w:ascii="Aptos" w:hAnsi="Aptos" w:cs="Times New Roman"/>
          <w:sz w:val="24"/>
          <w:szCs w:val="24"/>
        </w:rPr>
        <w:t>summed,</w:t>
      </w:r>
      <w:r w:rsidR="00ED5978">
        <w:rPr>
          <w:rFonts w:ascii="Aptos" w:hAnsi="Aptos" w:cs="Times New Roman"/>
          <w:sz w:val="24"/>
          <w:szCs w:val="24"/>
        </w:rPr>
        <w:t xml:space="preserve"> and the estimated annual cost </w:t>
      </w:r>
      <w:r w:rsidRPr="0092182E" w:rsidR="00622784">
        <w:rPr>
          <w:rFonts w:ascii="Aptos" w:hAnsi="Aptos" w:cs="Times New Roman"/>
          <w:sz w:val="24"/>
          <w:szCs w:val="24"/>
        </w:rPr>
        <w:t>was $74,940</w:t>
      </w:r>
      <w:r w:rsidR="00803791">
        <w:rPr>
          <w:rFonts w:ascii="Aptos" w:hAnsi="Aptos" w:cs="Times New Roman"/>
          <w:sz w:val="24"/>
          <w:szCs w:val="24"/>
        </w:rPr>
        <w:t xml:space="preserve">. </w:t>
      </w:r>
      <w:r w:rsidR="002B13AB">
        <w:rPr>
          <w:rFonts w:ascii="Aptos" w:hAnsi="Aptos" w:cs="Times New Roman"/>
          <w:sz w:val="24"/>
          <w:szCs w:val="24"/>
        </w:rPr>
        <w:t xml:space="preserve">To calculate the estimated cost to submit an initial DAR application in the </w:t>
      </w:r>
      <w:r w:rsidR="00C32992">
        <w:rPr>
          <w:rFonts w:ascii="Aptos" w:hAnsi="Aptos" w:cs="Times New Roman"/>
          <w:sz w:val="24"/>
          <w:szCs w:val="24"/>
        </w:rPr>
        <w:t>New</w:t>
      </w:r>
      <w:r w:rsidR="002B13AB">
        <w:rPr>
          <w:rFonts w:ascii="Aptos" w:hAnsi="Aptos" w:cs="Times New Roman"/>
          <w:sz w:val="24"/>
          <w:szCs w:val="24"/>
        </w:rPr>
        <w:t xml:space="preserve"> Authorized Access System, the Respondent Cost of the </w:t>
      </w:r>
      <w:r w:rsidR="00C32992">
        <w:rPr>
          <w:rFonts w:ascii="Aptos" w:hAnsi="Aptos" w:cs="Times New Roman"/>
          <w:sz w:val="24"/>
          <w:szCs w:val="24"/>
        </w:rPr>
        <w:t>New</w:t>
      </w:r>
      <w:r w:rsidR="002B13AB">
        <w:rPr>
          <w:rFonts w:ascii="Aptos" w:hAnsi="Aptos" w:cs="Times New Roman"/>
          <w:sz w:val="24"/>
          <w:szCs w:val="24"/>
        </w:rPr>
        <w:t xml:space="preserve"> Authorized Access System was </w:t>
      </w:r>
      <w:r w:rsidR="00717914">
        <w:rPr>
          <w:rFonts w:ascii="Aptos" w:hAnsi="Aptos" w:cs="Times New Roman"/>
          <w:sz w:val="24"/>
          <w:szCs w:val="24"/>
        </w:rPr>
        <w:t>summed,</w:t>
      </w:r>
      <w:r w:rsidR="002B13AB">
        <w:rPr>
          <w:rFonts w:ascii="Aptos" w:hAnsi="Aptos" w:cs="Times New Roman"/>
          <w:sz w:val="24"/>
          <w:szCs w:val="24"/>
        </w:rPr>
        <w:t xml:space="preserve"> and the estimated annual cost is </w:t>
      </w:r>
      <w:r w:rsidRPr="000B20BD" w:rsidR="000B20BD">
        <w:rPr>
          <w:rFonts w:ascii="Aptos" w:hAnsi="Aptos" w:cs="Times New Roman"/>
          <w:sz w:val="24"/>
          <w:szCs w:val="24"/>
        </w:rPr>
        <w:t>$224,553</w:t>
      </w:r>
      <w:r w:rsidR="00C00EC3">
        <w:rPr>
          <w:rFonts w:ascii="Aptos" w:hAnsi="Aptos" w:cs="Times New Roman"/>
          <w:sz w:val="24"/>
          <w:szCs w:val="24"/>
        </w:rPr>
        <w:t xml:space="preserve">. </w:t>
      </w:r>
      <w:r w:rsidR="00717914">
        <w:rPr>
          <w:rFonts w:ascii="Aptos" w:hAnsi="Aptos" w:cs="Times New Roman"/>
          <w:sz w:val="24"/>
          <w:szCs w:val="24"/>
        </w:rPr>
        <w:t>To calculate the estimated cost to submit a</w:t>
      </w:r>
      <w:r w:rsidR="0068074C">
        <w:rPr>
          <w:rFonts w:ascii="Aptos" w:hAnsi="Aptos" w:cs="Times New Roman"/>
          <w:sz w:val="24"/>
          <w:szCs w:val="24"/>
        </w:rPr>
        <w:t xml:space="preserve"> Renewal or Close-out </w:t>
      </w:r>
      <w:r w:rsidR="00717914">
        <w:rPr>
          <w:rFonts w:ascii="Aptos" w:hAnsi="Aptos" w:cs="Times New Roman"/>
          <w:sz w:val="24"/>
          <w:szCs w:val="24"/>
        </w:rPr>
        <w:t>in the Legacy Authorized Access System, the Respondent Cost of the Legacy Authorized Access System was summed, and the estimated annual cost is</w:t>
      </w:r>
      <w:r w:rsidR="00B66440">
        <w:rPr>
          <w:rFonts w:ascii="Aptos" w:hAnsi="Aptos" w:cs="Times New Roman"/>
          <w:sz w:val="24"/>
          <w:szCs w:val="24"/>
        </w:rPr>
        <w:t xml:space="preserve"> </w:t>
      </w:r>
      <w:r w:rsidRPr="009458A7" w:rsidR="009458A7">
        <w:rPr>
          <w:rFonts w:ascii="Aptos" w:hAnsi="Aptos" w:cs="Times New Roman"/>
          <w:sz w:val="24"/>
          <w:szCs w:val="24"/>
        </w:rPr>
        <w:t>$33,935</w:t>
      </w:r>
      <w:r w:rsidR="00F40305">
        <w:rPr>
          <w:rFonts w:ascii="Aptos" w:hAnsi="Aptos" w:cs="Times New Roman"/>
          <w:sz w:val="24"/>
          <w:szCs w:val="24"/>
        </w:rPr>
        <w:t xml:space="preserve">. </w:t>
      </w:r>
      <w:r w:rsidR="00717914">
        <w:rPr>
          <w:rFonts w:ascii="Aptos" w:hAnsi="Aptos" w:cs="Times New Roman"/>
          <w:sz w:val="24"/>
          <w:szCs w:val="24"/>
        </w:rPr>
        <w:t xml:space="preserve"> </w:t>
      </w:r>
      <w:r w:rsidR="00F40305">
        <w:rPr>
          <w:rFonts w:ascii="Aptos" w:hAnsi="Aptos" w:cs="Times New Roman"/>
          <w:sz w:val="24"/>
          <w:szCs w:val="24"/>
        </w:rPr>
        <w:t xml:space="preserve">To calculate the estimated cost to submit a Renewal or Close-out in the New Authorized Access System, the Respondent Cost of the New Authorized Access System was summed, and the estimated annual cost is </w:t>
      </w:r>
      <w:r w:rsidRPr="00EB5541" w:rsidR="00EB5541">
        <w:rPr>
          <w:rFonts w:ascii="Aptos" w:hAnsi="Aptos" w:cs="Times New Roman"/>
          <w:sz w:val="24"/>
          <w:szCs w:val="24"/>
        </w:rPr>
        <w:t>$101,695</w:t>
      </w:r>
      <w:r w:rsidR="00A641C3">
        <w:rPr>
          <w:rFonts w:ascii="Aptos" w:hAnsi="Aptos" w:cs="Times New Roman"/>
          <w:sz w:val="24"/>
          <w:szCs w:val="24"/>
        </w:rPr>
        <w:t xml:space="preserve">. The total estimated annual cost of data access is </w:t>
      </w:r>
      <w:r w:rsidRPr="00FE3BE3" w:rsidR="00FE3BE3">
        <w:rPr>
          <w:rFonts w:ascii="Aptos" w:hAnsi="Aptos" w:cs="Times New Roman"/>
          <w:sz w:val="24"/>
          <w:szCs w:val="24"/>
        </w:rPr>
        <w:t>$435,122</w:t>
      </w:r>
    </w:p>
    <w:p w:rsidR="002A5DFF" w:rsidRPr="001921C2" w:rsidP="00F46D36" w14:paraId="0D9EAAE4" w14:textId="385EA9F1">
      <w:pPr>
        <w:rPr>
          <w:rFonts w:ascii="Aptos" w:hAnsi="Aptos" w:cs="Times New Roman"/>
          <w:sz w:val="24"/>
          <w:szCs w:val="24"/>
        </w:rPr>
      </w:pPr>
      <w:r>
        <w:rPr>
          <w:rFonts w:ascii="Aptos" w:hAnsi="Aptos" w:cs="Times New Roman"/>
          <w:sz w:val="24"/>
          <w:szCs w:val="24"/>
        </w:rPr>
        <w:t xml:space="preserve">The estimated annual cost to respondents is </w:t>
      </w:r>
      <w:r w:rsidRPr="00E82840" w:rsidR="00E82840">
        <w:rPr>
          <w:rFonts w:ascii="Aptos" w:hAnsi="Aptos" w:cs="Times New Roman"/>
          <w:sz w:val="24"/>
          <w:szCs w:val="24"/>
        </w:rPr>
        <w:t>$524,465</w:t>
      </w:r>
      <w:r w:rsidR="00A70DF4">
        <w:rPr>
          <w:rFonts w:ascii="Aptos" w:hAnsi="Aptos" w:cs="Times New Roman"/>
          <w:sz w:val="24"/>
          <w:szCs w:val="24"/>
        </w:rPr>
        <w:t>.</w:t>
      </w:r>
    </w:p>
    <w:tbl>
      <w:tblPr>
        <w:tblStyle w:val="TableGrid"/>
        <w:tblW w:w="0" w:type="auto"/>
        <w:tblLook w:val="04A0"/>
      </w:tblPr>
      <w:tblGrid>
        <w:gridCol w:w="1700"/>
        <w:gridCol w:w="2160"/>
        <w:gridCol w:w="1980"/>
        <w:gridCol w:w="1796"/>
        <w:gridCol w:w="1704"/>
      </w:tblGrid>
      <w:tr w14:paraId="0CCA0033" w14:textId="77777777" w:rsidTr="00D54BD3">
        <w:tblPrEx>
          <w:tblW w:w="0" w:type="auto"/>
          <w:tblLook w:val="04A0"/>
        </w:tblPrEx>
        <w:trPr>
          <w:trHeight w:val="360"/>
        </w:trPr>
        <w:tc>
          <w:tcPr>
            <w:tcW w:w="1700" w:type="dxa"/>
            <w:tcBorders>
              <w:top w:val="single" w:sz="8" w:space="0" w:color="auto"/>
              <w:left w:val="single" w:sz="8" w:space="0" w:color="auto"/>
              <w:right w:val="single" w:sz="8" w:space="0" w:color="auto"/>
            </w:tcBorders>
            <w:shd w:val="clear" w:color="auto" w:fill="BFBFBF" w:themeFill="background1" w:themeFillShade="BF"/>
          </w:tcPr>
          <w:p w:rsidR="005A3A52" w:rsidRPr="001921C2" w:rsidP="009A6BB0" w14:paraId="02974A96" w14:textId="77777777">
            <w:pPr>
              <w:jc w:val="center"/>
              <w:rPr>
                <w:rFonts w:ascii="Aptos" w:hAnsi="Aptos" w:cs="Times New Roman"/>
                <w:b/>
                <w:bCs/>
                <w:sz w:val="24"/>
                <w:szCs w:val="24"/>
              </w:rPr>
            </w:pPr>
          </w:p>
        </w:tc>
        <w:tc>
          <w:tcPr>
            <w:tcW w:w="7640" w:type="dxa"/>
            <w:gridSpan w:val="4"/>
            <w:tcBorders>
              <w:top w:val="single" w:sz="8" w:space="0" w:color="auto"/>
              <w:left w:val="single" w:sz="8" w:space="0" w:color="auto"/>
              <w:right w:val="single" w:sz="8" w:space="0" w:color="auto"/>
            </w:tcBorders>
            <w:shd w:val="clear" w:color="auto" w:fill="BFBFBF" w:themeFill="background1" w:themeFillShade="BF"/>
            <w:noWrap/>
            <w:vAlign w:val="center"/>
            <w:hideMark/>
          </w:tcPr>
          <w:p w:rsidR="005A3A52" w:rsidRPr="001921C2" w:rsidP="009A6BB0" w14:paraId="0D7641E1" w14:textId="0C430804">
            <w:pPr>
              <w:jc w:val="center"/>
              <w:rPr>
                <w:rFonts w:ascii="Aptos" w:hAnsi="Aptos" w:cs="Times New Roman"/>
                <w:b/>
                <w:bCs/>
                <w:sz w:val="24"/>
                <w:szCs w:val="24"/>
              </w:rPr>
            </w:pPr>
            <w:r w:rsidRPr="001921C2">
              <w:rPr>
                <w:rFonts w:ascii="Aptos" w:hAnsi="Aptos" w:cs="Times New Roman"/>
                <w:b/>
                <w:bCs/>
                <w:sz w:val="24"/>
                <w:szCs w:val="24"/>
              </w:rPr>
              <w:t>A.12-2 Annualized Cost to the Respondents</w:t>
            </w:r>
          </w:p>
        </w:tc>
      </w:tr>
      <w:tr w14:paraId="5C11FCEF" w14:textId="77777777" w:rsidTr="00D54BD3">
        <w:tblPrEx>
          <w:tblW w:w="0" w:type="auto"/>
          <w:tblLook w:val="04A0"/>
        </w:tblPrEx>
        <w:trPr>
          <w:trHeight w:val="1080"/>
        </w:trPr>
        <w:tc>
          <w:tcPr>
            <w:tcW w:w="1700" w:type="dxa"/>
            <w:tcBorders>
              <w:left w:val="single" w:sz="8" w:space="0" w:color="auto"/>
              <w:bottom w:val="single" w:sz="8" w:space="0" w:color="auto"/>
            </w:tcBorders>
            <w:shd w:val="clear" w:color="auto" w:fill="D9D9D9" w:themeFill="background1" w:themeFillShade="D9"/>
          </w:tcPr>
          <w:p w:rsidR="005A3A52" w:rsidRPr="001921C2" w:rsidP="009A6BB0" w14:paraId="77D7A76E" w14:textId="4067EB85">
            <w:pPr>
              <w:jc w:val="center"/>
              <w:rPr>
                <w:rFonts w:ascii="Aptos" w:hAnsi="Aptos" w:cs="Times New Roman"/>
                <w:b/>
                <w:bCs/>
                <w:sz w:val="24"/>
                <w:szCs w:val="24"/>
              </w:rPr>
            </w:pPr>
            <w:r>
              <w:rPr>
                <w:rFonts w:ascii="Aptos" w:hAnsi="Aptos" w:cs="Times New Roman"/>
                <w:b/>
                <w:bCs/>
                <w:sz w:val="24"/>
                <w:szCs w:val="24"/>
              </w:rPr>
              <w:t>Form Name</w:t>
            </w:r>
          </w:p>
        </w:tc>
        <w:tc>
          <w:tcPr>
            <w:tcW w:w="2160" w:type="dxa"/>
            <w:tcBorders>
              <w:left w:val="single" w:sz="8" w:space="0" w:color="auto"/>
              <w:bottom w:val="single" w:sz="8" w:space="0" w:color="auto"/>
            </w:tcBorders>
            <w:shd w:val="clear" w:color="auto" w:fill="D9D9D9" w:themeFill="background1" w:themeFillShade="D9"/>
            <w:vAlign w:val="center"/>
            <w:hideMark/>
          </w:tcPr>
          <w:p w:rsidR="005A3A52" w:rsidRPr="001921C2" w:rsidP="009A6BB0" w14:paraId="3C76657E" w14:textId="05CBD5D9">
            <w:pPr>
              <w:jc w:val="center"/>
              <w:rPr>
                <w:rFonts w:ascii="Aptos" w:hAnsi="Aptos" w:cs="Times New Roman"/>
                <w:b/>
                <w:bCs/>
                <w:sz w:val="24"/>
                <w:szCs w:val="24"/>
              </w:rPr>
            </w:pPr>
            <w:r w:rsidRPr="001921C2">
              <w:rPr>
                <w:rFonts w:ascii="Aptos" w:hAnsi="Aptos" w:cs="Times New Roman"/>
                <w:b/>
                <w:bCs/>
                <w:sz w:val="24"/>
                <w:szCs w:val="24"/>
              </w:rPr>
              <w:t>Type of Respondents</w:t>
            </w:r>
          </w:p>
        </w:tc>
        <w:tc>
          <w:tcPr>
            <w:tcW w:w="1980" w:type="dxa"/>
            <w:tcBorders>
              <w:bottom w:val="single" w:sz="8" w:space="0" w:color="auto"/>
            </w:tcBorders>
            <w:shd w:val="clear" w:color="auto" w:fill="D9D9D9" w:themeFill="background1" w:themeFillShade="D9"/>
            <w:vAlign w:val="center"/>
            <w:hideMark/>
          </w:tcPr>
          <w:p w:rsidR="005A3A52" w:rsidRPr="001921C2" w:rsidP="009A6BB0" w14:paraId="252058C2" w14:textId="77777777">
            <w:pPr>
              <w:jc w:val="center"/>
              <w:rPr>
                <w:rFonts w:ascii="Aptos" w:hAnsi="Aptos" w:cs="Times New Roman"/>
                <w:b/>
                <w:bCs/>
                <w:sz w:val="24"/>
                <w:szCs w:val="24"/>
              </w:rPr>
            </w:pPr>
            <w:r w:rsidRPr="001921C2">
              <w:rPr>
                <w:rFonts w:ascii="Aptos" w:hAnsi="Aptos" w:cs="Times New Roman"/>
                <w:b/>
                <w:bCs/>
                <w:sz w:val="24"/>
                <w:szCs w:val="24"/>
              </w:rPr>
              <w:t>Total Annual Burden Hours</w:t>
            </w:r>
          </w:p>
        </w:tc>
        <w:tc>
          <w:tcPr>
            <w:tcW w:w="1796" w:type="dxa"/>
            <w:tcBorders>
              <w:bottom w:val="single" w:sz="8" w:space="0" w:color="auto"/>
            </w:tcBorders>
            <w:shd w:val="clear" w:color="auto" w:fill="D9D9D9" w:themeFill="background1" w:themeFillShade="D9"/>
            <w:vAlign w:val="center"/>
            <w:hideMark/>
          </w:tcPr>
          <w:p w:rsidR="005A3A52" w:rsidRPr="001921C2" w:rsidP="009A6BB0" w14:paraId="64F9D6FA" w14:textId="77777777">
            <w:pPr>
              <w:jc w:val="center"/>
              <w:rPr>
                <w:rFonts w:ascii="Aptos" w:hAnsi="Aptos" w:cs="Times New Roman"/>
                <w:b/>
                <w:bCs/>
                <w:sz w:val="24"/>
                <w:szCs w:val="24"/>
              </w:rPr>
            </w:pPr>
            <w:r w:rsidRPr="001921C2">
              <w:rPr>
                <w:rFonts w:ascii="Aptos" w:hAnsi="Aptos" w:cs="Times New Roman"/>
                <w:b/>
                <w:bCs/>
                <w:sz w:val="24"/>
                <w:szCs w:val="24"/>
              </w:rPr>
              <w:t>Hourly Respondent Wage Rate</w:t>
            </w:r>
          </w:p>
        </w:tc>
        <w:tc>
          <w:tcPr>
            <w:tcW w:w="1704" w:type="dxa"/>
            <w:tcBorders>
              <w:bottom w:val="single" w:sz="8" w:space="0" w:color="auto"/>
              <w:right w:val="single" w:sz="8" w:space="0" w:color="auto"/>
            </w:tcBorders>
            <w:shd w:val="clear" w:color="auto" w:fill="D9D9D9" w:themeFill="background1" w:themeFillShade="D9"/>
            <w:vAlign w:val="center"/>
            <w:hideMark/>
          </w:tcPr>
          <w:p w:rsidR="005A3A52" w:rsidRPr="001921C2" w:rsidP="009A6BB0" w14:paraId="5FB9201E" w14:textId="77777777">
            <w:pPr>
              <w:jc w:val="center"/>
              <w:rPr>
                <w:rFonts w:ascii="Aptos" w:hAnsi="Aptos" w:cs="Times New Roman"/>
                <w:b/>
                <w:bCs/>
                <w:sz w:val="24"/>
                <w:szCs w:val="24"/>
              </w:rPr>
            </w:pPr>
            <w:r w:rsidRPr="001921C2">
              <w:rPr>
                <w:rFonts w:ascii="Aptos" w:hAnsi="Aptos" w:cs="Times New Roman"/>
                <w:b/>
                <w:bCs/>
                <w:sz w:val="24"/>
                <w:szCs w:val="24"/>
              </w:rPr>
              <w:t>Respondent Cost</w:t>
            </w:r>
          </w:p>
        </w:tc>
      </w:tr>
      <w:tr w14:paraId="49FE8C25" w14:textId="77777777" w:rsidTr="0007257E">
        <w:tblPrEx>
          <w:tblW w:w="0" w:type="auto"/>
          <w:tblLook w:val="04A0"/>
        </w:tblPrEx>
        <w:trPr>
          <w:trHeight w:val="412"/>
        </w:trPr>
        <w:tc>
          <w:tcPr>
            <w:tcW w:w="1700" w:type="dxa"/>
            <w:tcBorders>
              <w:top w:val="single" w:sz="8" w:space="0" w:color="auto"/>
              <w:left w:val="single" w:sz="8" w:space="0" w:color="auto"/>
              <w:right w:val="single" w:sz="8" w:space="0" w:color="auto"/>
            </w:tcBorders>
          </w:tcPr>
          <w:p w:rsidR="00C63CB1" w:rsidRPr="001921C2" w:rsidP="00C63CB1" w14:paraId="763F7515" w14:textId="77777777">
            <w:pPr>
              <w:rPr>
                <w:rFonts w:ascii="Aptos" w:hAnsi="Aptos" w:cs="Times New Roman"/>
                <w:b/>
                <w:bCs/>
                <w:sz w:val="24"/>
                <w:szCs w:val="24"/>
              </w:rPr>
            </w:pPr>
          </w:p>
        </w:tc>
        <w:tc>
          <w:tcPr>
            <w:tcW w:w="7640" w:type="dxa"/>
            <w:gridSpan w:val="4"/>
            <w:tcBorders>
              <w:top w:val="single" w:sz="8" w:space="0" w:color="auto"/>
              <w:left w:val="single" w:sz="8" w:space="0" w:color="auto"/>
              <w:right w:val="single" w:sz="8" w:space="0" w:color="auto"/>
            </w:tcBorders>
            <w:vAlign w:val="center"/>
            <w:hideMark/>
          </w:tcPr>
          <w:p w:rsidR="00C63CB1" w:rsidRPr="001921C2" w:rsidP="00C63CB1" w14:paraId="39213517" w14:textId="06565CC7">
            <w:pPr>
              <w:rPr>
                <w:rFonts w:ascii="Aptos" w:hAnsi="Aptos" w:cs="Times New Roman"/>
                <w:b/>
                <w:bCs/>
                <w:sz w:val="24"/>
                <w:szCs w:val="24"/>
              </w:rPr>
            </w:pPr>
            <w:r w:rsidRPr="001921C2">
              <w:rPr>
                <w:rFonts w:ascii="Aptos" w:hAnsi="Aptos" w:cs="Times New Roman"/>
                <w:b/>
                <w:bCs/>
                <w:sz w:val="24"/>
                <w:szCs w:val="24"/>
              </w:rPr>
              <w:t>Study Registration</w:t>
            </w:r>
            <w:r>
              <w:rPr>
                <w:rFonts w:ascii="Aptos" w:hAnsi="Aptos" w:cs="Times New Roman"/>
                <w:b/>
                <w:bCs/>
                <w:sz w:val="24"/>
                <w:szCs w:val="24"/>
              </w:rPr>
              <w:t xml:space="preserve"> and Data Submission – Legacy System</w:t>
            </w:r>
          </w:p>
        </w:tc>
      </w:tr>
      <w:tr w14:paraId="0219BB9C" w14:textId="77777777" w:rsidTr="00847102">
        <w:tblPrEx>
          <w:tblW w:w="0" w:type="auto"/>
          <w:tblLook w:val="04A0"/>
        </w:tblPrEx>
        <w:trPr>
          <w:trHeight w:val="720"/>
        </w:trPr>
        <w:tc>
          <w:tcPr>
            <w:tcW w:w="1700" w:type="dxa"/>
            <w:tcBorders>
              <w:left w:val="single" w:sz="8" w:space="0" w:color="auto"/>
            </w:tcBorders>
          </w:tcPr>
          <w:p w:rsidR="00431ECE" w:rsidRPr="00C63CB1" w:rsidP="00431ECE" w14:paraId="3C7D0C1A" w14:textId="00A60F4F">
            <w:pPr>
              <w:rPr>
                <w:rFonts w:ascii="Aptos" w:hAnsi="Aptos" w:cs="Times New Roman"/>
                <w:sz w:val="24"/>
                <w:szCs w:val="24"/>
              </w:rPr>
            </w:pPr>
            <w:r w:rsidRPr="00C63CB1">
              <w:rPr>
                <w:rFonts w:ascii="Aptos" w:hAnsi="Aptos"/>
                <w:sz w:val="24"/>
                <w:szCs w:val="24"/>
              </w:rPr>
              <w:t>Study Registration Information Form and Data Submission</w:t>
            </w:r>
          </w:p>
        </w:tc>
        <w:tc>
          <w:tcPr>
            <w:tcW w:w="2160" w:type="dxa"/>
            <w:tcBorders>
              <w:left w:val="single" w:sz="8" w:space="0" w:color="auto"/>
            </w:tcBorders>
            <w:vAlign w:val="center"/>
          </w:tcPr>
          <w:p w:rsidR="00431ECE" w:rsidRPr="00C63CB1" w:rsidP="00431ECE" w14:paraId="45534AA5" w14:textId="6ECB517A">
            <w:pPr>
              <w:jc w:val="center"/>
              <w:rPr>
                <w:rFonts w:ascii="Aptos" w:hAnsi="Aptos" w:cs="Times New Roman"/>
                <w:sz w:val="24"/>
                <w:szCs w:val="24"/>
              </w:rPr>
            </w:pPr>
            <w:r w:rsidRPr="00C63CB1">
              <w:rPr>
                <w:rFonts w:ascii="Aptos" w:hAnsi="Aptos"/>
                <w:sz w:val="24"/>
                <w:szCs w:val="24"/>
              </w:rPr>
              <w:t>Submitting Investigator</w:t>
            </w:r>
          </w:p>
        </w:tc>
        <w:tc>
          <w:tcPr>
            <w:tcW w:w="1980" w:type="dxa"/>
            <w:vAlign w:val="center"/>
            <w:hideMark/>
          </w:tcPr>
          <w:p w:rsidR="00431ECE" w:rsidRPr="001921C2" w:rsidP="00431ECE" w14:paraId="276388AA" w14:textId="141236CC">
            <w:pPr>
              <w:jc w:val="center"/>
              <w:rPr>
                <w:rFonts w:ascii="Aptos" w:hAnsi="Aptos" w:cs="Times New Roman"/>
                <w:sz w:val="24"/>
                <w:szCs w:val="24"/>
              </w:rPr>
            </w:pPr>
            <w:r>
              <w:rPr>
                <w:rFonts w:ascii="Aptos" w:hAnsi="Aptos" w:cs="Times New Roman"/>
                <w:sz w:val="24"/>
                <w:szCs w:val="24"/>
              </w:rPr>
              <w:t>283</w:t>
            </w:r>
          </w:p>
        </w:tc>
        <w:tc>
          <w:tcPr>
            <w:tcW w:w="1796" w:type="dxa"/>
            <w:vAlign w:val="center"/>
            <w:hideMark/>
          </w:tcPr>
          <w:p w:rsidR="00431ECE" w:rsidRPr="001921C2" w:rsidP="00431ECE" w14:paraId="307EAABD" w14:textId="3F2DCC7B">
            <w:pPr>
              <w:jc w:val="center"/>
              <w:rPr>
                <w:rFonts w:ascii="Aptos" w:hAnsi="Aptos" w:cs="Times New Roman"/>
                <w:sz w:val="24"/>
                <w:szCs w:val="24"/>
              </w:rPr>
            </w:pPr>
            <w:r>
              <w:rPr>
                <w:rFonts w:ascii="Aptos" w:hAnsi="Aptos" w:cs="Times New Roman"/>
                <w:sz w:val="24"/>
                <w:szCs w:val="24"/>
              </w:rPr>
              <w:t>$49.01</w:t>
            </w:r>
          </w:p>
        </w:tc>
        <w:tc>
          <w:tcPr>
            <w:tcW w:w="1704" w:type="dxa"/>
            <w:tcBorders>
              <w:right w:val="single" w:sz="8" w:space="0" w:color="auto"/>
            </w:tcBorders>
            <w:vAlign w:val="center"/>
            <w:hideMark/>
          </w:tcPr>
          <w:p w:rsidR="00431ECE" w:rsidRPr="00431ECE" w:rsidP="00847102" w14:paraId="0668EB5B" w14:textId="655E4A63">
            <w:pPr>
              <w:jc w:val="center"/>
              <w:rPr>
                <w:rFonts w:ascii="Aptos" w:hAnsi="Aptos" w:cs="Times New Roman"/>
                <w:sz w:val="24"/>
                <w:szCs w:val="24"/>
              </w:rPr>
            </w:pPr>
            <w:r w:rsidRPr="00431ECE">
              <w:rPr>
                <w:rFonts w:ascii="Aptos" w:hAnsi="Aptos"/>
                <w:sz w:val="24"/>
                <w:szCs w:val="24"/>
              </w:rPr>
              <w:t>$13,870</w:t>
            </w:r>
          </w:p>
        </w:tc>
      </w:tr>
      <w:tr w14:paraId="7A58874E" w14:textId="77777777" w:rsidTr="00847102">
        <w:tblPrEx>
          <w:tblW w:w="0" w:type="auto"/>
          <w:tblLook w:val="04A0"/>
        </w:tblPrEx>
        <w:trPr>
          <w:trHeight w:val="720"/>
        </w:trPr>
        <w:tc>
          <w:tcPr>
            <w:tcW w:w="1700" w:type="dxa"/>
            <w:tcBorders>
              <w:left w:val="single" w:sz="8" w:space="0" w:color="auto"/>
            </w:tcBorders>
          </w:tcPr>
          <w:p w:rsidR="00431ECE" w:rsidRPr="00C63CB1" w:rsidP="00431ECE" w14:paraId="51942DD9" w14:textId="7DA5F155">
            <w:pPr>
              <w:rPr>
                <w:rFonts w:ascii="Aptos" w:hAnsi="Aptos" w:cs="Times New Roman"/>
                <w:sz w:val="24"/>
                <w:szCs w:val="24"/>
              </w:rPr>
            </w:pPr>
            <w:r w:rsidRPr="00C63CB1">
              <w:rPr>
                <w:rFonts w:ascii="Aptos" w:hAnsi="Aptos"/>
                <w:sz w:val="24"/>
                <w:szCs w:val="24"/>
              </w:rPr>
              <w:t xml:space="preserve">Institutional Certification </w:t>
            </w:r>
          </w:p>
        </w:tc>
        <w:tc>
          <w:tcPr>
            <w:tcW w:w="2160" w:type="dxa"/>
            <w:tcBorders>
              <w:left w:val="single" w:sz="8" w:space="0" w:color="auto"/>
            </w:tcBorders>
            <w:vAlign w:val="center"/>
          </w:tcPr>
          <w:p w:rsidR="00431ECE" w:rsidRPr="00C63CB1" w:rsidP="00431ECE" w14:paraId="3CAFC994" w14:textId="501A778E">
            <w:pPr>
              <w:jc w:val="center"/>
              <w:rPr>
                <w:rFonts w:ascii="Aptos" w:hAnsi="Aptos" w:cs="Times New Roman"/>
                <w:sz w:val="24"/>
                <w:szCs w:val="24"/>
              </w:rPr>
            </w:pPr>
            <w:r w:rsidRPr="00C63CB1">
              <w:rPr>
                <w:rFonts w:ascii="Aptos" w:hAnsi="Aptos"/>
                <w:sz w:val="24"/>
                <w:szCs w:val="24"/>
              </w:rPr>
              <w:t>Institutional Signing Official</w:t>
            </w:r>
          </w:p>
        </w:tc>
        <w:tc>
          <w:tcPr>
            <w:tcW w:w="1980" w:type="dxa"/>
            <w:vAlign w:val="center"/>
          </w:tcPr>
          <w:p w:rsidR="00431ECE" w:rsidRPr="001921C2" w:rsidP="00431ECE" w14:paraId="3ED5143F" w14:textId="16C117B0">
            <w:pPr>
              <w:jc w:val="center"/>
              <w:rPr>
                <w:rFonts w:ascii="Aptos" w:hAnsi="Aptos" w:cs="Times New Roman"/>
                <w:sz w:val="24"/>
                <w:szCs w:val="24"/>
              </w:rPr>
            </w:pPr>
            <w:r>
              <w:rPr>
                <w:rFonts w:ascii="Aptos" w:hAnsi="Aptos" w:cs="Times New Roman"/>
                <w:sz w:val="24"/>
                <w:szCs w:val="24"/>
              </w:rPr>
              <w:t>136</w:t>
            </w:r>
          </w:p>
        </w:tc>
        <w:tc>
          <w:tcPr>
            <w:tcW w:w="1796" w:type="dxa"/>
            <w:vAlign w:val="center"/>
          </w:tcPr>
          <w:p w:rsidR="00431ECE" w:rsidRPr="001921C2" w:rsidP="00431ECE" w14:paraId="0F769ACB" w14:textId="001BC3C9">
            <w:pPr>
              <w:jc w:val="center"/>
              <w:rPr>
                <w:rFonts w:ascii="Aptos" w:hAnsi="Aptos" w:cs="Times New Roman"/>
                <w:sz w:val="24"/>
                <w:szCs w:val="24"/>
              </w:rPr>
            </w:pPr>
            <w:r>
              <w:rPr>
                <w:rFonts w:ascii="Aptos" w:hAnsi="Aptos" w:cs="Times New Roman"/>
                <w:sz w:val="24"/>
                <w:szCs w:val="24"/>
              </w:rPr>
              <w:t>$59.83</w:t>
            </w:r>
          </w:p>
        </w:tc>
        <w:tc>
          <w:tcPr>
            <w:tcW w:w="1704" w:type="dxa"/>
            <w:tcBorders>
              <w:right w:val="single" w:sz="8" w:space="0" w:color="auto"/>
            </w:tcBorders>
            <w:vAlign w:val="center"/>
          </w:tcPr>
          <w:p w:rsidR="00431ECE" w:rsidRPr="00431ECE" w:rsidP="00847102" w14:paraId="541D126B" w14:textId="6D589A32">
            <w:pPr>
              <w:jc w:val="center"/>
              <w:rPr>
                <w:rFonts w:ascii="Aptos" w:hAnsi="Aptos" w:cs="Times New Roman"/>
                <w:sz w:val="24"/>
                <w:szCs w:val="24"/>
              </w:rPr>
            </w:pPr>
            <w:r w:rsidRPr="00431ECE">
              <w:rPr>
                <w:rFonts w:ascii="Aptos" w:hAnsi="Aptos"/>
                <w:sz w:val="24"/>
                <w:szCs w:val="24"/>
              </w:rPr>
              <w:t>$8,137</w:t>
            </w:r>
          </w:p>
        </w:tc>
      </w:tr>
      <w:tr w14:paraId="0363C8B2" w14:textId="77777777" w:rsidTr="00847102">
        <w:tblPrEx>
          <w:tblW w:w="0" w:type="auto"/>
          <w:tblLook w:val="04A0"/>
        </w:tblPrEx>
        <w:trPr>
          <w:trHeight w:val="1080"/>
        </w:trPr>
        <w:tc>
          <w:tcPr>
            <w:tcW w:w="1700" w:type="dxa"/>
            <w:tcBorders>
              <w:left w:val="single" w:sz="8" w:space="0" w:color="auto"/>
              <w:bottom w:val="single" w:sz="8" w:space="0" w:color="auto"/>
            </w:tcBorders>
          </w:tcPr>
          <w:p w:rsidR="00431ECE" w:rsidRPr="00C63CB1" w:rsidP="00431ECE" w14:paraId="322EBBCE" w14:textId="62284D74">
            <w:pPr>
              <w:rPr>
                <w:rFonts w:ascii="Aptos" w:hAnsi="Aptos" w:cs="Times New Roman"/>
                <w:sz w:val="24"/>
                <w:szCs w:val="24"/>
              </w:rPr>
            </w:pPr>
            <w:r w:rsidRPr="00C63CB1">
              <w:rPr>
                <w:rFonts w:ascii="Aptos" w:hAnsi="Aptos"/>
                <w:sz w:val="24"/>
                <w:szCs w:val="24"/>
              </w:rPr>
              <w:t xml:space="preserve">Data Submission Certification </w:t>
            </w:r>
          </w:p>
        </w:tc>
        <w:tc>
          <w:tcPr>
            <w:tcW w:w="2160" w:type="dxa"/>
            <w:tcBorders>
              <w:left w:val="single" w:sz="8" w:space="0" w:color="auto"/>
              <w:bottom w:val="single" w:sz="8" w:space="0" w:color="auto"/>
            </w:tcBorders>
            <w:vAlign w:val="center"/>
            <w:hideMark/>
          </w:tcPr>
          <w:p w:rsidR="00431ECE" w:rsidRPr="00C63CB1" w:rsidP="00431ECE" w14:paraId="303EEFF8" w14:textId="087E5084">
            <w:pPr>
              <w:jc w:val="center"/>
              <w:rPr>
                <w:rFonts w:ascii="Aptos" w:hAnsi="Aptos" w:cs="Times New Roman"/>
                <w:sz w:val="24"/>
                <w:szCs w:val="24"/>
              </w:rPr>
            </w:pPr>
            <w:r w:rsidRPr="00C63CB1">
              <w:rPr>
                <w:rFonts w:ascii="Aptos" w:hAnsi="Aptos"/>
                <w:sz w:val="24"/>
                <w:szCs w:val="24"/>
              </w:rPr>
              <w:t>Institutional Signing Official</w:t>
            </w:r>
          </w:p>
        </w:tc>
        <w:tc>
          <w:tcPr>
            <w:tcW w:w="1980" w:type="dxa"/>
            <w:tcBorders>
              <w:bottom w:val="single" w:sz="8" w:space="0" w:color="auto"/>
            </w:tcBorders>
            <w:vAlign w:val="center"/>
            <w:hideMark/>
          </w:tcPr>
          <w:p w:rsidR="00431ECE" w:rsidRPr="001921C2" w:rsidP="00431ECE" w14:paraId="7988BB95" w14:textId="7D6EFCAE">
            <w:pPr>
              <w:jc w:val="center"/>
              <w:rPr>
                <w:rFonts w:ascii="Aptos" w:hAnsi="Aptos" w:cs="Times New Roman"/>
                <w:sz w:val="24"/>
                <w:szCs w:val="24"/>
              </w:rPr>
            </w:pPr>
            <w:r>
              <w:rPr>
                <w:rFonts w:ascii="Aptos" w:hAnsi="Aptos" w:cs="Times New Roman"/>
                <w:sz w:val="24"/>
                <w:szCs w:val="24"/>
              </w:rPr>
              <w:t>6</w:t>
            </w:r>
          </w:p>
        </w:tc>
        <w:tc>
          <w:tcPr>
            <w:tcW w:w="1796" w:type="dxa"/>
            <w:tcBorders>
              <w:bottom w:val="single" w:sz="8" w:space="0" w:color="auto"/>
            </w:tcBorders>
            <w:vAlign w:val="center"/>
            <w:hideMark/>
          </w:tcPr>
          <w:p w:rsidR="00431ECE" w:rsidRPr="001921C2" w:rsidP="00431ECE" w14:paraId="0D9146B5" w14:textId="6797538E">
            <w:pPr>
              <w:jc w:val="center"/>
              <w:rPr>
                <w:rFonts w:ascii="Aptos" w:hAnsi="Aptos" w:cs="Times New Roman"/>
                <w:sz w:val="24"/>
                <w:szCs w:val="24"/>
              </w:rPr>
            </w:pPr>
            <w:r>
              <w:rPr>
                <w:rFonts w:ascii="Aptos" w:hAnsi="Aptos" w:cs="Times New Roman"/>
                <w:sz w:val="24"/>
                <w:szCs w:val="24"/>
              </w:rPr>
              <w:t>$59.83</w:t>
            </w:r>
          </w:p>
        </w:tc>
        <w:tc>
          <w:tcPr>
            <w:tcW w:w="1704" w:type="dxa"/>
            <w:tcBorders>
              <w:bottom w:val="single" w:sz="8" w:space="0" w:color="auto"/>
              <w:right w:val="single" w:sz="8" w:space="0" w:color="auto"/>
            </w:tcBorders>
            <w:vAlign w:val="center"/>
            <w:hideMark/>
          </w:tcPr>
          <w:p w:rsidR="00431ECE" w:rsidRPr="00431ECE" w:rsidP="00847102" w14:paraId="19523FBC" w14:textId="7B204F05">
            <w:pPr>
              <w:jc w:val="center"/>
              <w:rPr>
                <w:rFonts w:ascii="Aptos" w:hAnsi="Aptos" w:cs="Times New Roman"/>
                <w:sz w:val="24"/>
                <w:szCs w:val="24"/>
              </w:rPr>
            </w:pPr>
            <w:r w:rsidRPr="00431ECE">
              <w:rPr>
                <w:rFonts w:ascii="Aptos" w:hAnsi="Aptos"/>
                <w:sz w:val="24"/>
                <w:szCs w:val="24"/>
              </w:rPr>
              <w:t>$329</w:t>
            </w:r>
          </w:p>
        </w:tc>
      </w:tr>
      <w:tr w14:paraId="74D7012B" w14:textId="77777777" w:rsidTr="00AB4AF6">
        <w:tblPrEx>
          <w:tblW w:w="0" w:type="auto"/>
          <w:tblLook w:val="04A0"/>
        </w:tblPrEx>
        <w:trPr>
          <w:trHeight w:val="430"/>
        </w:trPr>
        <w:tc>
          <w:tcPr>
            <w:tcW w:w="1700" w:type="dxa"/>
            <w:tcBorders>
              <w:left w:val="single" w:sz="8" w:space="0" w:color="auto"/>
              <w:bottom w:val="single" w:sz="8" w:space="0" w:color="auto"/>
            </w:tcBorders>
          </w:tcPr>
          <w:p w:rsidR="004F1C26" w:rsidRPr="00C63CB1" w:rsidP="00C63CB1" w14:paraId="65D10A0B" w14:textId="77777777">
            <w:pPr>
              <w:rPr>
                <w:rFonts w:ascii="Aptos" w:hAnsi="Aptos"/>
                <w:sz w:val="24"/>
                <w:szCs w:val="24"/>
              </w:rPr>
            </w:pPr>
          </w:p>
        </w:tc>
        <w:tc>
          <w:tcPr>
            <w:tcW w:w="7640" w:type="dxa"/>
            <w:gridSpan w:val="4"/>
            <w:tcBorders>
              <w:left w:val="single" w:sz="8" w:space="0" w:color="auto"/>
              <w:bottom w:val="single" w:sz="8" w:space="0" w:color="auto"/>
              <w:right w:val="single" w:sz="8" w:space="0" w:color="auto"/>
            </w:tcBorders>
            <w:vAlign w:val="center"/>
          </w:tcPr>
          <w:p w:rsidR="004F1C26" w:rsidRPr="009733F9" w:rsidP="00AB4AF6" w14:paraId="7E1132CE" w14:textId="789DFD03">
            <w:pPr>
              <w:rPr>
                <w:rFonts w:ascii="Aptos" w:hAnsi="Aptos" w:cs="Times New Roman"/>
                <w:b/>
                <w:bCs/>
                <w:sz w:val="24"/>
                <w:szCs w:val="24"/>
              </w:rPr>
            </w:pPr>
            <w:r w:rsidRPr="00A70DF4">
              <w:rPr>
                <w:rFonts w:ascii="Aptos" w:hAnsi="Aptos" w:cs="Times New Roman"/>
                <w:b/>
                <w:bCs/>
                <w:sz w:val="24"/>
                <w:szCs w:val="24"/>
                <w:highlight w:val="yellow"/>
              </w:rPr>
              <w:t>Study Registration and Data Submission – New System</w:t>
            </w:r>
          </w:p>
        </w:tc>
      </w:tr>
      <w:tr w14:paraId="0F2E0A8C" w14:textId="77777777" w:rsidTr="00C13D2D">
        <w:tblPrEx>
          <w:tblW w:w="0" w:type="auto"/>
          <w:tblLook w:val="04A0"/>
        </w:tblPrEx>
        <w:trPr>
          <w:trHeight w:val="1080"/>
        </w:trPr>
        <w:tc>
          <w:tcPr>
            <w:tcW w:w="1700" w:type="dxa"/>
            <w:tcBorders>
              <w:left w:val="single" w:sz="8" w:space="0" w:color="auto"/>
              <w:bottom w:val="single" w:sz="8" w:space="0" w:color="auto"/>
            </w:tcBorders>
          </w:tcPr>
          <w:p w:rsidR="00C13D2D" w:rsidRPr="00277340" w:rsidP="00C13D2D" w14:paraId="385CAEE5" w14:textId="79D7B974">
            <w:pPr>
              <w:rPr>
                <w:rFonts w:ascii="Aptos" w:hAnsi="Aptos" w:cs="Times New Roman"/>
                <w:sz w:val="24"/>
                <w:szCs w:val="24"/>
                <w:highlight w:val="yellow"/>
              </w:rPr>
            </w:pPr>
            <w:r w:rsidRPr="00277340">
              <w:rPr>
                <w:rFonts w:ascii="Aptos" w:hAnsi="Aptos"/>
                <w:sz w:val="24"/>
                <w:szCs w:val="24"/>
                <w:highlight w:val="yellow"/>
              </w:rPr>
              <w:t>Study Registration Information Form (</w:t>
            </w:r>
            <w:r>
              <w:rPr>
                <w:rFonts w:ascii="Aptos" w:hAnsi="Aptos"/>
                <w:sz w:val="24"/>
                <w:szCs w:val="24"/>
                <w:highlight w:val="yellow"/>
              </w:rPr>
              <w:t>Online</w:t>
            </w:r>
            <w:r w:rsidRPr="00277340">
              <w:rPr>
                <w:rFonts w:ascii="Aptos" w:hAnsi="Aptos"/>
                <w:sz w:val="24"/>
                <w:szCs w:val="24"/>
                <w:highlight w:val="yellow"/>
              </w:rPr>
              <w:t>) and Data Submission</w:t>
            </w:r>
          </w:p>
        </w:tc>
        <w:tc>
          <w:tcPr>
            <w:tcW w:w="2160" w:type="dxa"/>
            <w:tcBorders>
              <w:left w:val="single" w:sz="8" w:space="0" w:color="auto"/>
              <w:bottom w:val="single" w:sz="8" w:space="0" w:color="auto"/>
            </w:tcBorders>
            <w:vAlign w:val="center"/>
          </w:tcPr>
          <w:p w:rsidR="00C13D2D" w:rsidRPr="00277340" w:rsidP="00C13D2D" w14:paraId="56AE48C1" w14:textId="164BAF1B">
            <w:pPr>
              <w:jc w:val="center"/>
              <w:rPr>
                <w:rFonts w:ascii="Aptos" w:hAnsi="Aptos" w:cs="Times New Roman"/>
                <w:sz w:val="24"/>
                <w:szCs w:val="24"/>
                <w:highlight w:val="yellow"/>
              </w:rPr>
            </w:pPr>
            <w:r w:rsidRPr="00277340">
              <w:rPr>
                <w:rFonts w:ascii="Aptos" w:hAnsi="Aptos"/>
                <w:sz w:val="24"/>
                <w:szCs w:val="24"/>
                <w:highlight w:val="yellow"/>
              </w:rPr>
              <w:t>Submitting Investigator</w:t>
            </w:r>
          </w:p>
        </w:tc>
        <w:tc>
          <w:tcPr>
            <w:tcW w:w="1980" w:type="dxa"/>
            <w:tcBorders>
              <w:bottom w:val="single" w:sz="8" w:space="0" w:color="auto"/>
            </w:tcBorders>
            <w:vAlign w:val="center"/>
          </w:tcPr>
          <w:p w:rsidR="00C13D2D" w:rsidRPr="00277340" w:rsidP="00C13D2D" w14:paraId="7729EB7A" w14:textId="09C98314">
            <w:pPr>
              <w:jc w:val="center"/>
              <w:rPr>
                <w:rFonts w:ascii="Aptos" w:hAnsi="Aptos" w:cs="Times New Roman"/>
                <w:sz w:val="24"/>
                <w:szCs w:val="24"/>
                <w:highlight w:val="yellow"/>
              </w:rPr>
            </w:pPr>
            <w:r w:rsidRPr="00277340">
              <w:rPr>
                <w:rFonts w:ascii="Aptos" w:hAnsi="Aptos" w:cs="Times New Roman"/>
                <w:sz w:val="24"/>
                <w:szCs w:val="24"/>
                <w:highlight w:val="yellow"/>
              </w:rPr>
              <w:t>849</w:t>
            </w:r>
          </w:p>
        </w:tc>
        <w:tc>
          <w:tcPr>
            <w:tcW w:w="1796" w:type="dxa"/>
            <w:tcBorders>
              <w:bottom w:val="single" w:sz="8" w:space="0" w:color="auto"/>
            </w:tcBorders>
            <w:vAlign w:val="center"/>
          </w:tcPr>
          <w:p w:rsidR="00C13D2D" w:rsidRPr="00277340" w:rsidP="00C13D2D" w14:paraId="1E3B9F95" w14:textId="3AAAC43D">
            <w:pPr>
              <w:jc w:val="center"/>
              <w:rPr>
                <w:rFonts w:ascii="Aptos" w:hAnsi="Aptos" w:cs="Times New Roman"/>
                <w:sz w:val="24"/>
                <w:szCs w:val="24"/>
                <w:highlight w:val="yellow"/>
              </w:rPr>
            </w:pPr>
            <w:r>
              <w:rPr>
                <w:rFonts w:ascii="Aptos" w:hAnsi="Aptos" w:cs="Times New Roman"/>
                <w:sz w:val="24"/>
                <w:szCs w:val="24"/>
                <w:highlight w:val="yellow"/>
              </w:rPr>
              <w:t>$49.01</w:t>
            </w:r>
          </w:p>
        </w:tc>
        <w:tc>
          <w:tcPr>
            <w:tcW w:w="1704" w:type="dxa"/>
            <w:tcBorders>
              <w:bottom w:val="single" w:sz="8" w:space="0" w:color="auto"/>
              <w:right w:val="single" w:sz="8" w:space="0" w:color="auto"/>
            </w:tcBorders>
            <w:vAlign w:val="center"/>
          </w:tcPr>
          <w:p w:rsidR="00C13D2D" w:rsidRPr="00C13D2D" w:rsidP="00C13D2D" w14:paraId="7065DF22" w14:textId="0042C587">
            <w:pPr>
              <w:jc w:val="center"/>
              <w:rPr>
                <w:rFonts w:ascii="Aptos" w:hAnsi="Aptos" w:cs="Times New Roman"/>
                <w:sz w:val="24"/>
                <w:szCs w:val="24"/>
                <w:highlight w:val="yellow"/>
              </w:rPr>
            </w:pPr>
            <w:r w:rsidRPr="00C13D2D">
              <w:rPr>
                <w:rFonts w:ascii="Aptos" w:hAnsi="Aptos"/>
                <w:sz w:val="24"/>
                <w:szCs w:val="24"/>
                <w:highlight w:val="yellow"/>
              </w:rPr>
              <w:t>$41,609</w:t>
            </w:r>
          </w:p>
        </w:tc>
      </w:tr>
      <w:tr w14:paraId="53C1B9A7" w14:textId="77777777" w:rsidTr="00C13D2D">
        <w:tblPrEx>
          <w:tblW w:w="0" w:type="auto"/>
          <w:tblLook w:val="04A0"/>
        </w:tblPrEx>
        <w:trPr>
          <w:trHeight w:val="1080"/>
        </w:trPr>
        <w:tc>
          <w:tcPr>
            <w:tcW w:w="1700" w:type="dxa"/>
            <w:tcBorders>
              <w:left w:val="single" w:sz="8" w:space="0" w:color="auto"/>
              <w:bottom w:val="single" w:sz="8" w:space="0" w:color="auto"/>
            </w:tcBorders>
          </w:tcPr>
          <w:p w:rsidR="00C13D2D" w:rsidRPr="00277340" w:rsidP="00C13D2D" w14:paraId="79AF5674" w14:textId="5945659B">
            <w:pPr>
              <w:rPr>
                <w:rFonts w:ascii="Aptos" w:hAnsi="Aptos" w:cs="Times New Roman"/>
                <w:sz w:val="24"/>
                <w:szCs w:val="24"/>
                <w:highlight w:val="yellow"/>
              </w:rPr>
            </w:pPr>
            <w:r w:rsidRPr="00277340">
              <w:rPr>
                <w:rFonts w:ascii="Aptos" w:hAnsi="Aptos"/>
                <w:sz w:val="24"/>
                <w:szCs w:val="24"/>
                <w:highlight w:val="yellow"/>
              </w:rPr>
              <w:t xml:space="preserve">Institutional Certification </w:t>
            </w:r>
          </w:p>
        </w:tc>
        <w:tc>
          <w:tcPr>
            <w:tcW w:w="2160" w:type="dxa"/>
            <w:tcBorders>
              <w:left w:val="single" w:sz="8" w:space="0" w:color="auto"/>
              <w:bottom w:val="single" w:sz="8" w:space="0" w:color="auto"/>
            </w:tcBorders>
            <w:vAlign w:val="center"/>
          </w:tcPr>
          <w:p w:rsidR="00C13D2D" w:rsidRPr="00277340" w:rsidP="00C13D2D" w14:paraId="56949B3F" w14:textId="1B8D567A">
            <w:pPr>
              <w:jc w:val="center"/>
              <w:rPr>
                <w:rFonts w:ascii="Aptos" w:hAnsi="Aptos" w:cs="Times New Roman"/>
                <w:sz w:val="24"/>
                <w:szCs w:val="24"/>
                <w:highlight w:val="yellow"/>
              </w:rPr>
            </w:pPr>
            <w:r w:rsidRPr="00277340">
              <w:rPr>
                <w:rFonts w:ascii="Aptos" w:hAnsi="Aptos"/>
                <w:sz w:val="24"/>
                <w:szCs w:val="24"/>
                <w:highlight w:val="yellow"/>
              </w:rPr>
              <w:t>Institutional Signing Official</w:t>
            </w:r>
          </w:p>
        </w:tc>
        <w:tc>
          <w:tcPr>
            <w:tcW w:w="1980" w:type="dxa"/>
            <w:tcBorders>
              <w:bottom w:val="single" w:sz="8" w:space="0" w:color="auto"/>
            </w:tcBorders>
            <w:vAlign w:val="center"/>
          </w:tcPr>
          <w:p w:rsidR="00C13D2D" w:rsidRPr="00277340" w:rsidP="00C13D2D" w14:paraId="1E14AA83" w14:textId="021F82EF">
            <w:pPr>
              <w:jc w:val="center"/>
              <w:rPr>
                <w:rFonts w:ascii="Aptos" w:hAnsi="Aptos" w:cs="Times New Roman"/>
                <w:sz w:val="24"/>
                <w:szCs w:val="24"/>
                <w:highlight w:val="yellow"/>
              </w:rPr>
            </w:pPr>
            <w:r w:rsidRPr="00277340">
              <w:rPr>
                <w:rFonts w:ascii="Aptos" w:hAnsi="Aptos" w:cs="Times New Roman"/>
                <w:sz w:val="24"/>
                <w:szCs w:val="24"/>
                <w:highlight w:val="yellow"/>
              </w:rPr>
              <w:t>408</w:t>
            </w:r>
          </w:p>
        </w:tc>
        <w:tc>
          <w:tcPr>
            <w:tcW w:w="1796" w:type="dxa"/>
            <w:tcBorders>
              <w:bottom w:val="single" w:sz="8" w:space="0" w:color="auto"/>
            </w:tcBorders>
            <w:vAlign w:val="center"/>
          </w:tcPr>
          <w:p w:rsidR="00C13D2D" w:rsidRPr="00277340" w:rsidP="00C13D2D" w14:paraId="19DE2947" w14:textId="0859EBE5">
            <w:pPr>
              <w:jc w:val="center"/>
              <w:rPr>
                <w:rFonts w:ascii="Aptos" w:hAnsi="Aptos" w:cs="Times New Roman"/>
                <w:sz w:val="24"/>
                <w:szCs w:val="24"/>
                <w:highlight w:val="yellow"/>
              </w:rPr>
            </w:pPr>
            <w:r>
              <w:rPr>
                <w:rFonts w:ascii="Aptos" w:hAnsi="Aptos" w:cs="Times New Roman"/>
                <w:sz w:val="24"/>
                <w:szCs w:val="24"/>
                <w:highlight w:val="yellow"/>
              </w:rPr>
              <w:t>$59.83</w:t>
            </w:r>
          </w:p>
        </w:tc>
        <w:tc>
          <w:tcPr>
            <w:tcW w:w="1704" w:type="dxa"/>
            <w:tcBorders>
              <w:bottom w:val="single" w:sz="8" w:space="0" w:color="auto"/>
              <w:right w:val="single" w:sz="8" w:space="0" w:color="auto"/>
            </w:tcBorders>
            <w:vAlign w:val="center"/>
          </w:tcPr>
          <w:p w:rsidR="00C13D2D" w:rsidRPr="00C13D2D" w:rsidP="00C13D2D" w14:paraId="7AE2396B" w14:textId="1CA08B36">
            <w:pPr>
              <w:jc w:val="center"/>
              <w:rPr>
                <w:rFonts w:ascii="Aptos" w:hAnsi="Aptos" w:cs="Times New Roman"/>
                <w:sz w:val="24"/>
                <w:szCs w:val="24"/>
                <w:highlight w:val="yellow"/>
              </w:rPr>
            </w:pPr>
            <w:r w:rsidRPr="00C13D2D">
              <w:rPr>
                <w:rFonts w:ascii="Aptos" w:hAnsi="Aptos"/>
                <w:sz w:val="24"/>
                <w:szCs w:val="24"/>
                <w:highlight w:val="yellow"/>
              </w:rPr>
              <w:t>$24,411</w:t>
            </w:r>
          </w:p>
        </w:tc>
      </w:tr>
      <w:tr w14:paraId="35E8E329" w14:textId="77777777" w:rsidTr="00C13D2D">
        <w:tblPrEx>
          <w:tblW w:w="0" w:type="auto"/>
          <w:tblLook w:val="04A0"/>
        </w:tblPrEx>
        <w:trPr>
          <w:trHeight w:val="1080"/>
        </w:trPr>
        <w:tc>
          <w:tcPr>
            <w:tcW w:w="1700" w:type="dxa"/>
            <w:tcBorders>
              <w:left w:val="single" w:sz="8" w:space="0" w:color="auto"/>
              <w:bottom w:val="single" w:sz="8" w:space="0" w:color="auto"/>
            </w:tcBorders>
          </w:tcPr>
          <w:p w:rsidR="00C13D2D" w:rsidRPr="00277340" w:rsidP="00C13D2D" w14:paraId="61263849" w14:textId="5657C825">
            <w:pPr>
              <w:rPr>
                <w:rFonts w:ascii="Aptos" w:hAnsi="Aptos" w:cs="Times New Roman"/>
                <w:sz w:val="24"/>
                <w:szCs w:val="24"/>
                <w:highlight w:val="yellow"/>
              </w:rPr>
            </w:pPr>
            <w:r w:rsidRPr="00277340">
              <w:rPr>
                <w:rFonts w:ascii="Aptos" w:hAnsi="Aptos"/>
                <w:sz w:val="24"/>
                <w:szCs w:val="24"/>
                <w:highlight w:val="yellow"/>
              </w:rPr>
              <w:t xml:space="preserve">Data Submission Certification </w:t>
            </w:r>
          </w:p>
        </w:tc>
        <w:tc>
          <w:tcPr>
            <w:tcW w:w="2160" w:type="dxa"/>
            <w:tcBorders>
              <w:left w:val="single" w:sz="8" w:space="0" w:color="auto"/>
              <w:bottom w:val="single" w:sz="8" w:space="0" w:color="auto"/>
            </w:tcBorders>
            <w:vAlign w:val="center"/>
          </w:tcPr>
          <w:p w:rsidR="00C13D2D" w:rsidRPr="00277340" w:rsidP="00C13D2D" w14:paraId="124A3B9D" w14:textId="1AB4C990">
            <w:pPr>
              <w:jc w:val="center"/>
              <w:rPr>
                <w:rFonts w:ascii="Aptos" w:hAnsi="Aptos" w:cs="Times New Roman"/>
                <w:sz w:val="24"/>
                <w:szCs w:val="24"/>
                <w:highlight w:val="yellow"/>
              </w:rPr>
            </w:pPr>
            <w:r w:rsidRPr="00277340">
              <w:rPr>
                <w:rFonts w:ascii="Aptos" w:hAnsi="Aptos"/>
                <w:sz w:val="24"/>
                <w:szCs w:val="24"/>
                <w:highlight w:val="yellow"/>
              </w:rPr>
              <w:t>Institutional Signing Official</w:t>
            </w:r>
          </w:p>
        </w:tc>
        <w:tc>
          <w:tcPr>
            <w:tcW w:w="1980" w:type="dxa"/>
            <w:tcBorders>
              <w:bottom w:val="single" w:sz="8" w:space="0" w:color="auto"/>
            </w:tcBorders>
            <w:vAlign w:val="center"/>
          </w:tcPr>
          <w:p w:rsidR="00C13D2D" w:rsidRPr="00277340" w:rsidP="00C13D2D" w14:paraId="44DDA983" w14:textId="7A30E2E5">
            <w:pPr>
              <w:jc w:val="center"/>
              <w:rPr>
                <w:rFonts w:ascii="Aptos" w:hAnsi="Aptos" w:cs="Times New Roman"/>
                <w:sz w:val="24"/>
                <w:szCs w:val="24"/>
                <w:highlight w:val="yellow"/>
              </w:rPr>
            </w:pPr>
            <w:r>
              <w:rPr>
                <w:rFonts w:ascii="Aptos" w:hAnsi="Aptos" w:cs="Times New Roman"/>
                <w:sz w:val="24"/>
                <w:szCs w:val="24"/>
                <w:highlight w:val="yellow"/>
              </w:rPr>
              <w:t>17</w:t>
            </w:r>
          </w:p>
        </w:tc>
        <w:tc>
          <w:tcPr>
            <w:tcW w:w="1796" w:type="dxa"/>
            <w:tcBorders>
              <w:bottom w:val="single" w:sz="8" w:space="0" w:color="auto"/>
            </w:tcBorders>
            <w:vAlign w:val="center"/>
          </w:tcPr>
          <w:p w:rsidR="00C13D2D" w:rsidRPr="00277340" w:rsidP="00C13D2D" w14:paraId="06BCD844" w14:textId="3C0B075F">
            <w:pPr>
              <w:jc w:val="center"/>
              <w:rPr>
                <w:rFonts w:ascii="Aptos" w:hAnsi="Aptos" w:cs="Times New Roman"/>
                <w:sz w:val="24"/>
                <w:szCs w:val="24"/>
                <w:highlight w:val="yellow"/>
              </w:rPr>
            </w:pPr>
            <w:r>
              <w:rPr>
                <w:rFonts w:ascii="Aptos" w:hAnsi="Aptos" w:cs="Times New Roman"/>
                <w:sz w:val="24"/>
                <w:szCs w:val="24"/>
                <w:highlight w:val="yellow"/>
              </w:rPr>
              <w:t>$59.83</w:t>
            </w:r>
          </w:p>
        </w:tc>
        <w:tc>
          <w:tcPr>
            <w:tcW w:w="1704" w:type="dxa"/>
            <w:tcBorders>
              <w:bottom w:val="single" w:sz="8" w:space="0" w:color="auto"/>
              <w:right w:val="single" w:sz="8" w:space="0" w:color="auto"/>
            </w:tcBorders>
            <w:vAlign w:val="center"/>
          </w:tcPr>
          <w:p w:rsidR="00C13D2D" w:rsidRPr="00C13D2D" w:rsidP="00C13D2D" w14:paraId="15C15BBB" w14:textId="56094ED0">
            <w:pPr>
              <w:jc w:val="center"/>
              <w:rPr>
                <w:rFonts w:ascii="Aptos" w:hAnsi="Aptos" w:cs="Times New Roman"/>
                <w:sz w:val="24"/>
                <w:szCs w:val="24"/>
                <w:highlight w:val="yellow"/>
              </w:rPr>
            </w:pPr>
            <w:r w:rsidRPr="00C13D2D">
              <w:rPr>
                <w:rFonts w:ascii="Aptos" w:hAnsi="Aptos"/>
                <w:sz w:val="24"/>
                <w:szCs w:val="24"/>
                <w:highlight w:val="yellow"/>
              </w:rPr>
              <w:t>$987</w:t>
            </w:r>
          </w:p>
        </w:tc>
      </w:tr>
      <w:tr w14:paraId="43635171" w14:textId="77777777" w:rsidTr="00225506">
        <w:tblPrEx>
          <w:tblW w:w="0" w:type="auto"/>
          <w:tblLook w:val="04A0"/>
        </w:tblPrEx>
        <w:trPr>
          <w:trHeight w:val="360"/>
        </w:trPr>
        <w:tc>
          <w:tcPr>
            <w:tcW w:w="9340" w:type="dxa"/>
            <w:gridSpan w:val="5"/>
            <w:tcBorders>
              <w:top w:val="single" w:sz="8" w:space="0" w:color="auto"/>
              <w:left w:val="single" w:sz="8" w:space="0" w:color="auto"/>
              <w:right w:val="single" w:sz="8" w:space="0" w:color="auto"/>
            </w:tcBorders>
            <w:shd w:val="clear" w:color="auto" w:fill="D0CECE" w:themeFill="background2" w:themeFillShade="E6"/>
          </w:tcPr>
          <w:p w:rsidR="00225506" w:rsidRPr="001921C2" w:rsidP="00793251" w14:paraId="1296EF34" w14:textId="77777777">
            <w:pPr>
              <w:rPr>
                <w:rFonts w:ascii="Aptos" w:hAnsi="Aptos" w:cs="Times New Roman"/>
                <w:b/>
                <w:bCs/>
                <w:sz w:val="24"/>
                <w:szCs w:val="24"/>
              </w:rPr>
            </w:pPr>
          </w:p>
        </w:tc>
      </w:tr>
      <w:tr w14:paraId="497FCC31" w14:textId="77777777" w:rsidTr="0007257E">
        <w:tblPrEx>
          <w:tblW w:w="0" w:type="auto"/>
          <w:tblLook w:val="04A0"/>
        </w:tblPrEx>
        <w:trPr>
          <w:trHeight w:val="440"/>
        </w:trPr>
        <w:tc>
          <w:tcPr>
            <w:tcW w:w="1700" w:type="dxa"/>
            <w:tcBorders>
              <w:left w:val="single" w:sz="8" w:space="0" w:color="auto"/>
            </w:tcBorders>
            <w:vAlign w:val="center"/>
          </w:tcPr>
          <w:p w:rsidR="00050E10" w:rsidRPr="009D1EEE" w:rsidP="00225506" w14:paraId="2171A086" w14:textId="77777777">
            <w:pPr>
              <w:rPr>
                <w:rFonts w:ascii="Aptos" w:hAnsi="Aptos" w:cs="Times New Roman"/>
                <w:sz w:val="24"/>
                <w:szCs w:val="24"/>
              </w:rPr>
            </w:pPr>
          </w:p>
        </w:tc>
        <w:tc>
          <w:tcPr>
            <w:tcW w:w="7640" w:type="dxa"/>
            <w:gridSpan w:val="4"/>
            <w:tcBorders>
              <w:left w:val="single" w:sz="8" w:space="0" w:color="auto"/>
              <w:right w:val="single" w:sz="8" w:space="0" w:color="auto"/>
            </w:tcBorders>
            <w:vAlign w:val="center"/>
          </w:tcPr>
          <w:p w:rsidR="00050E10" w:rsidRPr="0007257E" w:rsidP="0007257E" w14:paraId="7B9CCD60" w14:textId="56E99D21">
            <w:pPr>
              <w:rPr>
                <w:rFonts w:ascii="Aptos" w:hAnsi="Aptos" w:cs="Times New Roman"/>
                <w:b/>
                <w:bCs/>
                <w:sz w:val="24"/>
                <w:szCs w:val="24"/>
              </w:rPr>
            </w:pPr>
            <w:r w:rsidRPr="0007257E">
              <w:rPr>
                <w:rFonts w:ascii="Aptos" w:hAnsi="Aptos" w:cs="Times New Roman"/>
                <w:b/>
                <w:bCs/>
                <w:sz w:val="24"/>
                <w:szCs w:val="24"/>
              </w:rPr>
              <w:t xml:space="preserve">Initial </w:t>
            </w:r>
            <w:r w:rsidR="00B76EDC">
              <w:rPr>
                <w:rFonts w:ascii="Aptos" w:hAnsi="Aptos" w:cs="Times New Roman"/>
                <w:b/>
                <w:bCs/>
                <w:sz w:val="24"/>
                <w:szCs w:val="24"/>
              </w:rPr>
              <w:t>DAR Application</w:t>
            </w:r>
            <w:r w:rsidRPr="0007257E">
              <w:rPr>
                <w:rFonts w:ascii="Aptos" w:hAnsi="Aptos" w:cs="Times New Roman"/>
                <w:b/>
                <w:bCs/>
                <w:sz w:val="24"/>
                <w:szCs w:val="24"/>
              </w:rPr>
              <w:t xml:space="preserve"> – Legacy Authorized Access System</w:t>
            </w:r>
          </w:p>
        </w:tc>
      </w:tr>
      <w:tr w14:paraId="269F14C1" w14:textId="77777777" w:rsidTr="00525C4E">
        <w:tblPrEx>
          <w:tblW w:w="0" w:type="auto"/>
          <w:tblLook w:val="04A0"/>
        </w:tblPrEx>
        <w:trPr>
          <w:trHeight w:val="720"/>
        </w:trPr>
        <w:tc>
          <w:tcPr>
            <w:tcW w:w="1700" w:type="dxa"/>
            <w:tcBorders>
              <w:left w:val="single" w:sz="8" w:space="0" w:color="auto"/>
            </w:tcBorders>
          </w:tcPr>
          <w:p w:rsidR="00525C4E" w:rsidRPr="0007257E" w:rsidP="00525C4E" w14:paraId="19733686" w14:textId="5B2D931D">
            <w:pPr>
              <w:rPr>
                <w:rFonts w:ascii="Aptos" w:hAnsi="Aptos" w:cs="Times New Roman"/>
                <w:sz w:val="24"/>
                <w:szCs w:val="24"/>
              </w:rPr>
            </w:pPr>
            <w:r w:rsidRPr="0007257E">
              <w:rPr>
                <w:rFonts w:ascii="Aptos" w:hAnsi="Aptos"/>
                <w:sz w:val="24"/>
                <w:szCs w:val="24"/>
              </w:rPr>
              <w:t>dbGaP</w:t>
            </w:r>
            <w:r w:rsidRPr="0007257E">
              <w:rPr>
                <w:rFonts w:ascii="Aptos" w:hAnsi="Aptos"/>
                <w:sz w:val="24"/>
                <w:szCs w:val="24"/>
              </w:rPr>
              <w:t xml:space="preserve"> Authorized Access System</w:t>
            </w:r>
          </w:p>
        </w:tc>
        <w:tc>
          <w:tcPr>
            <w:tcW w:w="2160" w:type="dxa"/>
            <w:tcBorders>
              <w:left w:val="single" w:sz="8" w:space="0" w:color="auto"/>
            </w:tcBorders>
            <w:vAlign w:val="center"/>
          </w:tcPr>
          <w:p w:rsidR="00525C4E" w:rsidRPr="0007257E" w:rsidP="00525C4E" w14:paraId="215BE981" w14:textId="65E9C706">
            <w:pPr>
              <w:jc w:val="center"/>
              <w:rPr>
                <w:rFonts w:ascii="Aptos" w:hAnsi="Aptos" w:cs="Times New Roman"/>
                <w:sz w:val="24"/>
                <w:szCs w:val="24"/>
              </w:rPr>
            </w:pPr>
            <w:r w:rsidRPr="0007257E">
              <w:rPr>
                <w:rFonts w:ascii="Aptos" w:hAnsi="Aptos"/>
                <w:sz w:val="24"/>
                <w:szCs w:val="24"/>
              </w:rPr>
              <w:t xml:space="preserve">Principal </w:t>
            </w:r>
            <w:r>
              <w:rPr>
                <w:rFonts w:ascii="Aptos" w:hAnsi="Aptos"/>
                <w:sz w:val="24"/>
                <w:szCs w:val="24"/>
              </w:rPr>
              <w:t>I</w:t>
            </w:r>
            <w:r w:rsidRPr="0007257E">
              <w:rPr>
                <w:rFonts w:ascii="Aptos" w:hAnsi="Aptos"/>
                <w:sz w:val="24"/>
                <w:szCs w:val="24"/>
              </w:rPr>
              <w:t>nvestigator</w:t>
            </w:r>
          </w:p>
        </w:tc>
        <w:tc>
          <w:tcPr>
            <w:tcW w:w="1980" w:type="dxa"/>
            <w:vAlign w:val="center"/>
          </w:tcPr>
          <w:p w:rsidR="00525C4E" w:rsidRPr="001921C2" w:rsidP="00525C4E" w14:paraId="5E19C46A" w14:textId="22A83D7B">
            <w:pPr>
              <w:jc w:val="center"/>
              <w:rPr>
                <w:rFonts w:ascii="Aptos" w:hAnsi="Aptos" w:cs="Times New Roman"/>
                <w:sz w:val="24"/>
                <w:szCs w:val="24"/>
              </w:rPr>
            </w:pPr>
            <w:r>
              <w:rPr>
                <w:rFonts w:ascii="Aptos" w:hAnsi="Aptos" w:cs="Times New Roman"/>
                <w:sz w:val="24"/>
                <w:szCs w:val="24"/>
              </w:rPr>
              <w:t>843</w:t>
            </w:r>
          </w:p>
        </w:tc>
        <w:tc>
          <w:tcPr>
            <w:tcW w:w="1796" w:type="dxa"/>
            <w:vAlign w:val="center"/>
            <w:hideMark/>
          </w:tcPr>
          <w:p w:rsidR="00525C4E" w:rsidRPr="001921C2" w:rsidP="00525C4E" w14:paraId="1D910C73" w14:textId="125574E5">
            <w:pPr>
              <w:jc w:val="center"/>
              <w:rPr>
                <w:rFonts w:ascii="Aptos" w:hAnsi="Aptos" w:cs="Times New Roman"/>
                <w:sz w:val="24"/>
                <w:szCs w:val="24"/>
              </w:rPr>
            </w:pPr>
            <w:r>
              <w:rPr>
                <w:rFonts w:ascii="Aptos" w:hAnsi="Aptos" w:cs="Times New Roman"/>
                <w:sz w:val="24"/>
                <w:szCs w:val="24"/>
              </w:rPr>
              <w:t>$49.01</w:t>
            </w:r>
          </w:p>
        </w:tc>
        <w:tc>
          <w:tcPr>
            <w:tcW w:w="1704" w:type="dxa"/>
            <w:tcBorders>
              <w:right w:val="single" w:sz="8" w:space="0" w:color="auto"/>
            </w:tcBorders>
            <w:vAlign w:val="center"/>
          </w:tcPr>
          <w:p w:rsidR="00525C4E" w:rsidRPr="00525C4E" w:rsidP="00525C4E" w14:paraId="60974781" w14:textId="0216F039">
            <w:pPr>
              <w:jc w:val="center"/>
              <w:rPr>
                <w:rFonts w:ascii="Aptos" w:hAnsi="Aptos" w:cs="Times New Roman"/>
                <w:sz w:val="24"/>
                <w:szCs w:val="24"/>
              </w:rPr>
            </w:pPr>
            <w:r w:rsidRPr="00525C4E">
              <w:rPr>
                <w:rFonts w:ascii="Aptos" w:hAnsi="Aptos"/>
                <w:color w:val="000000"/>
                <w:sz w:val="24"/>
                <w:szCs w:val="24"/>
              </w:rPr>
              <w:t>$41,315</w:t>
            </w:r>
          </w:p>
        </w:tc>
      </w:tr>
      <w:tr w14:paraId="6275A9DE" w14:textId="77777777" w:rsidTr="00525C4E">
        <w:tblPrEx>
          <w:tblW w:w="0" w:type="auto"/>
          <w:tblLook w:val="04A0"/>
        </w:tblPrEx>
        <w:trPr>
          <w:trHeight w:val="1080"/>
        </w:trPr>
        <w:tc>
          <w:tcPr>
            <w:tcW w:w="1700" w:type="dxa"/>
            <w:tcBorders>
              <w:left w:val="single" w:sz="8" w:space="0" w:color="auto"/>
              <w:bottom w:val="single" w:sz="8" w:space="0" w:color="auto"/>
            </w:tcBorders>
          </w:tcPr>
          <w:p w:rsidR="00525C4E" w:rsidRPr="0007257E" w:rsidP="00525C4E" w14:paraId="7ADA0649" w14:textId="569487BF">
            <w:pPr>
              <w:rPr>
                <w:rFonts w:ascii="Aptos" w:hAnsi="Aptos" w:cs="Times New Roman"/>
                <w:sz w:val="24"/>
                <w:szCs w:val="24"/>
              </w:rPr>
            </w:pPr>
            <w:r w:rsidRPr="0007257E">
              <w:rPr>
                <w:rFonts w:ascii="Aptos" w:hAnsi="Aptos"/>
                <w:sz w:val="24"/>
                <w:szCs w:val="24"/>
              </w:rPr>
              <w:t>dbGaP</w:t>
            </w:r>
            <w:r w:rsidRPr="0007257E">
              <w:rPr>
                <w:rFonts w:ascii="Aptos" w:hAnsi="Aptos"/>
                <w:sz w:val="24"/>
                <w:szCs w:val="24"/>
              </w:rPr>
              <w:t xml:space="preserve"> Authorized Access System</w:t>
            </w:r>
          </w:p>
        </w:tc>
        <w:tc>
          <w:tcPr>
            <w:tcW w:w="2160" w:type="dxa"/>
            <w:tcBorders>
              <w:left w:val="single" w:sz="8" w:space="0" w:color="auto"/>
              <w:bottom w:val="single" w:sz="8" w:space="0" w:color="auto"/>
            </w:tcBorders>
            <w:vAlign w:val="center"/>
          </w:tcPr>
          <w:p w:rsidR="00525C4E" w:rsidRPr="0007257E" w:rsidP="00525C4E" w14:paraId="3FEBF160" w14:textId="58A92B9E">
            <w:pPr>
              <w:jc w:val="center"/>
              <w:rPr>
                <w:rFonts w:ascii="Aptos" w:hAnsi="Aptos" w:cs="Times New Roman"/>
                <w:sz w:val="24"/>
                <w:szCs w:val="24"/>
              </w:rPr>
            </w:pPr>
            <w:r w:rsidRPr="0007257E">
              <w:rPr>
                <w:rFonts w:ascii="Aptos" w:hAnsi="Aptos"/>
                <w:sz w:val="24"/>
                <w:szCs w:val="24"/>
              </w:rPr>
              <w:t>Institutional Signing Official</w:t>
            </w:r>
          </w:p>
        </w:tc>
        <w:tc>
          <w:tcPr>
            <w:tcW w:w="1980" w:type="dxa"/>
            <w:tcBorders>
              <w:bottom w:val="single" w:sz="8" w:space="0" w:color="auto"/>
            </w:tcBorders>
            <w:vAlign w:val="center"/>
          </w:tcPr>
          <w:p w:rsidR="00525C4E" w:rsidRPr="001921C2" w:rsidP="00525C4E" w14:paraId="5997D1BB" w14:textId="3B875015">
            <w:pPr>
              <w:jc w:val="center"/>
              <w:rPr>
                <w:rFonts w:ascii="Aptos" w:hAnsi="Aptos" w:cs="Times New Roman"/>
                <w:sz w:val="24"/>
                <w:szCs w:val="24"/>
              </w:rPr>
            </w:pPr>
            <w:r>
              <w:rPr>
                <w:rFonts w:ascii="Aptos" w:hAnsi="Aptos" w:cs="Times New Roman"/>
                <w:sz w:val="24"/>
                <w:szCs w:val="24"/>
              </w:rPr>
              <w:t>562</w:t>
            </w:r>
          </w:p>
        </w:tc>
        <w:tc>
          <w:tcPr>
            <w:tcW w:w="1796" w:type="dxa"/>
            <w:tcBorders>
              <w:bottom w:val="single" w:sz="8" w:space="0" w:color="auto"/>
            </w:tcBorders>
            <w:vAlign w:val="center"/>
            <w:hideMark/>
          </w:tcPr>
          <w:p w:rsidR="00525C4E" w:rsidRPr="001921C2" w:rsidP="00525C4E" w14:paraId="3055D551" w14:textId="79EF180A">
            <w:pPr>
              <w:jc w:val="center"/>
              <w:rPr>
                <w:rFonts w:ascii="Aptos" w:hAnsi="Aptos" w:cs="Times New Roman"/>
                <w:sz w:val="24"/>
                <w:szCs w:val="24"/>
              </w:rPr>
            </w:pPr>
            <w:r>
              <w:rPr>
                <w:rFonts w:ascii="Aptos" w:hAnsi="Aptos" w:cs="Times New Roman"/>
                <w:sz w:val="24"/>
                <w:szCs w:val="24"/>
              </w:rPr>
              <w:t>$59.83</w:t>
            </w:r>
          </w:p>
        </w:tc>
        <w:tc>
          <w:tcPr>
            <w:tcW w:w="1704" w:type="dxa"/>
            <w:tcBorders>
              <w:bottom w:val="single" w:sz="8" w:space="0" w:color="auto"/>
              <w:right w:val="single" w:sz="8" w:space="0" w:color="auto"/>
            </w:tcBorders>
            <w:vAlign w:val="center"/>
          </w:tcPr>
          <w:p w:rsidR="00525C4E" w:rsidRPr="00525C4E" w:rsidP="00525C4E" w14:paraId="67E54ADB" w14:textId="450A5ED3">
            <w:pPr>
              <w:jc w:val="center"/>
              <w:rPr>
                <w:rFonts w:ascii="Aptos" w:hAnsi="Aptos" w:cs="Times New Roman"/>
                <w:sz w:val="24"/>
                <w:szCs w:val="24"/>
              </w:rPr>
            </w:pPr>
            <w:r w:rsidRPr="00525C4E">
              <w:rPr>
                <w:rFonts w:ascii="Aptos" w:hAnsi="Aptos"/>
                <w:color w:val="000000"/>
                <w:sz w:val="24"/>
                <w:szCs w:val="24"/>
              </w:rPr>
              <w:t>$33,624</w:t>
            </w:r>
          </w:p>
        </w:tc>
      </w:tr>
      <w:tr w14:paraId="15CCE6D4" w14:textId="77777777" w:rsidTr="007F544E">
        <w:tblPrEx>
          <w:tblW w:w="0" w:type="auto"/>
          <w:tblLook w:val="04A0"/>
        </w:tblPrEx>
        <w:trPr>
          <w:trHeight w:val="502"/>
        </w:trPr>
        <w:tc>
          <w:tcPr>
            <w:tcW w:w="1700" w:type="dxa"/>
            <w:tcBorders>
              <w:left w:val="single" w:sz="8" w:space="0" w:color="auto"/>
              <w:bottom w:val="single" w:sz="8" w:space="0" w:color="auto"/>
            </w:tcBorders>
            <w:vAlign w:val="center"/>
          </w:tcPr>
          <w:p w:rsidR="00A72AF8" w:rsidRPr="009D1EEE" w:rsidP="00226FBC" w14:paraId="7E334669" w14:textId="77777777">
            <w:pPr>
              <w:rPr>
                <w:rFonts w:ascii="Aptos" w:hAnsi="Aptos" w:cs="Times New Roman"/>
                <w:sz w:val="24"/>
                <w:szCs w:val="24"/>
              </w:rPr>
            </w:pPr>
          </w:p>
        </w:tc>
        <w:tc>
          <w:tcPr>
            <w:tcW w:w="7640" w:type="dxa"/>
            <w:gridSpan w:val="4"/>
            <w:tcBorders>
              <w:left w:val="single" w:sz="8" w:space="0" w:color="auto"/>
              <w:bottom w:val="single" w:sz="8" w:space="0" w:color="auto"/>
              <w:right w:val="single" w:sz="8" w:space="0" w:color="auto"/>
            </w:tcBorders>
            <w:vAlign w:val="center"/>
          </w:tcPr>
          <w:p w:rsidR="00A72AF8" w:rsidRPr="007F544E" w:rsidP="007F544E" w14:paraId="0F0D8C52" w14:textId="58767344">
            <w:pPr>
              <w:rPr>
                <w:rFonts w:ascii="Aptos" w:hAnsi="Aptos" w:cs="Times New Roman"/>
                <w:b/>
                <w:bCs/>
                <w:sz w:val="24"/>
                <w:szCs w:val="24"/>
              </w:rPr>
            </w:pPr>
            <w:r w:rsidRPr="00A70DF4">
              <w:rPr>
                <w:rFonts w:ascii="Aptos" w:hAnsi="Aptos" w:cs="Times New Roman"/>
                <w:b/>
                <w:bCs/>
                <w:sz w:val="24"/>
                <w:szCs w:val="24"/>
                <w:highlight w:val="yellow"/>
              </w:rPr>
              <w:t xml:space="preserve">Initial </w:t>
            </w:r>
            <w:r w:rsidRPr="00A70DF4" w:rsidR="00B76EDC">
              <w:rPr>
                <w:rFonts w:ascii="Aptos" w:hAnsi="Aptos" w:cs="Times New Roman"/>
                <w:b/>
                <w:bCs/>
                <w:sz w:val="24"/>
                <w:szCs w:val="24"/>
                <w:highlight w:val="yellow"/>
              </w:rPr>
              <w:t>DAR Application</w:t>
            </w:r>
            <w:r w:rsidRPr="00A70DF4">
              <w:rPr>
                <w:rFonts w:ascii="Aptos" w:hAnsi="Aptos" w:cs="Times New Roman"/>
                <w:b/>
                <w:bCs/>
                <w:sz w:val="24"/>
                <w:szCs w:val="24"/>
                <w:highlight w:val="yellow"/>
              </w:rPr>
              <w:t xml:space="preserve"> – New Authorized Access System</w:t>
            </w:r>
          </w:p>
        </w:tc>
      </w:tr>
      <w:tr w14:paraId="7A48DF94" w14:textId="77777777" w:rsidTr="00C770D1">
        <w:tblPrEx>
          <w:tblW w:w="0" w:type="auto"/>
          <w:tblLook w:val="04A0"/>
        </w:tblPrEx>
        <w:trPr>
          <w:trHeight w:val="1080"/>
        </w:trPr>
        <w:tc>
          <w:tcPr>
            <w:tcW w:w="1700" w:type="dxa"/>
            <w:tcBorders>
              <w:left w:val="single" w:sz="8" w:space="0" w:color="auto"/>
              <w:bottom w:val="single" w:sz="8" w:space="0" w:color="auto"/>
            </w:tcBorders>
          </w:tcPr>
          <w:p w:rsidR="00A67A0C" w:rsidRPr="00277340" w:rsidP="00A67A0C" w14:paraId="7904F814" w14:textId="2E63CB00">
            <w:pPr>
              <w:rPr>
                <w:rFonts w:ascii="Aptos" w:hAnsi="Aptos" w:cs="Times New Roman"/>
                <w:sz w:val="24"/>
                <w:szCs w:val="24"/>
                <w:highlight w:val="yellow"/>
              </w:rPr>
            </w:pPr>
            <w:r w:rsidRPr="00277340">
              <w:rPr>
                <w:rFonts w:ascii="Aptos" w:hAnsi="Aptos"/>
                <w:sz w:val="24"/>
                <w:szCs w:val="24"/>
                <w:highlight w:val="yellow"/>
              </w:rPr>
              <w:t>dbGaP</w:t>
            </w:r>
            <w:r w:rsidRPr="00277340">
              <w:rPr>
                <w:rFonts w:ascii="Aptos" w:hAnsi="Aptos"/>
                <w:sz w:val="24"/>
                <w:szCs w:val="24"/>
                <w:highlight w:val="yellow"/>
              </w:rPr>
              <w:t xml:space="preserve"> Authorized Access System</w:t>
            </w:r>
          </w:p>
        </w:tc>
        <w:tc>
          <w:tcPr>
            <w:tcW w:w="2160" w:type="dxa"/>
            <w:tcBorders>
              <w:left w:val="single" w:sz="8" w:space="0" w:color="auto"/>
              <w:bottom w:val="single" w:sz="8" w:space="0" w:color="auto"/>
            </w:tcBorders>
            <w:vAlign w:val="center"/>
          </w:tcPr>
          <w:p w:rsidR="00A67A0C" w:rsidRPr="00277340" w:rsidP="00A67A0C" w14:paraId="4EAE1F1C" w14:textId="61986C32">
            <w:pPr>
              <w:jc w:val="center"/>
              <w:rPr>
                <w:rFonts w:ascii="Aptos" w:hAnsi="Aptos" w:cs="Times New Roman"/>
                <w:sz w:val="24"/>
                <w:szCs w:val="24"/>
                <w:highlight w:val="yellow"/>
              </w:rPr>
            </w:pPr>
            <w:r w:rsidRPr="00277340">
              <w:rPr>
                <w:rFonts w:ascii="Aptos" w:hAnsi="Aptos"/>
                <w:sz w:val="24"/>
                <w:szCs w:val="24"/>
                <w:highlight w:val="yellow"/>
              </w:rPr>
              <w:t>Principal Investigator</w:t>
            </w:r>
          </w:p>
        </w:tc>
        <w:tc>
          <w:tcPr>
            <w:tcW w:w="1980" w:type="dxa"/>
            <w:tcBorders>
              <w:bottom w:val="single" w:sz="8" w:space="0" w:color="auto"/>
            </w:tcBorders>
            <w:vAlign w:val="center"/>
          </w:tcPr>
          <w:p w:rsidR="00A67A0C" w:rsidRPr="00277340" w:rsidP="00A67A0C" w14:paraId="08EC5B27" w14:textId="0FF2EAD2">
            <w:pPr>
              <w:jc w:val="center"/>
              <w:rPr>
                <w:rFonts w:ascii="Aptos" w:hAnsi="Aptos" w:cs="Times New Roman"/>
                <w:sz w:val="24"/>
                <w:szCs w:val="24"/>
                <w:highlight w:val="yellow"/>
              </w:rPr>
            </w:pPr>
            <w:r w:rsidRPr="00277340">
              <w:rPr>
                <w:rFonts w:ascii="Aptos" w:hAnsi="Aptos" w:cs="Times New Roman"/>
                <w:sz w:val="24"/>
                <w:szCs w:val="24"/>
                <w:highlight w:val="yellow"/>
              </w:rPr>
              <w:t>2526</w:t>
            </w:r>
          </w:p>
        </w:tc>
        <w:tc>
          <w:tcPr>
            <w:tcW w:w="1796" w:type="dxa"/>
            <w:tcBorders>
              <w:bottom w:val="single" w:sz="8" w:space="0" w:color="auto"/>
            </w:tcBorders>
            <w:vAlign w:val="center"/>
          </w:tcPr>
          <w:p w:rsidR="00A67A0C" w:rsidRPr="00277340" w:rsidP="00A67A0C" w14:paraId="6E71A2CF" w14:textId="7D301E0F">
            <w:pPr>
              <w:jc w:val="center"/>
              <w:rPr>
                <w:rFonts w:ascii="Aptos" w:hAnsi="Aptos" w:cs="Times New Roman"/>
                <w:sz w:val="24"/>
                <w:szCs w:val="24"/>
                <w:highlight w:val="yellow"/>
              </w:rPr>
            </w:pPr>
            <w:r>
              <w:rPr>
                <w:rFonts w:ascii="Aptos" w:hAnsi="Aptos" w:cs="Times New Roman"/>
                <w:sz w:val="24"/>
                <w:szCs w:val="24"/>
                <w:highlight w:val="yellow"/>
              </w:rPr>
              <w:t>$49.01</w:t>
            </w:r>
          </w:p>
        </w:tc>
        <w:tc>
          <w:tcPr>
            <w:tcW w:w="1704" w:type="dxa"/>
            <w:tcBorders>
              <w:bottom w:val="single" w:sz="8" w:space="0" w:color="auto"/>
              <w:right w:val="single" w:sz="8" w:space="0" w:color="auto"/>
            </w:tcBorders>
            <w:vAlign w:val="center"/>
          </w:tcPr>
          <w:p w:rsidR="00A67A0C" w:rsidRPr="00FB6063" w:rsidP="00A67A0C" w14:paraId="187FCF85" w14:textId="4EAD54D9">
            <w:pPr>
              <w:jc w:val="center"/>
              <w:rPr>
                <w:rFonts w:ascii="Aptos" w:hAnsi="Aptos" w:cs="Times New Roman"/>
                <w:sz w:val="24"/>
                <w:szCs w:val="24"/>
                <w:highlight w:val="yellow"/>
              </w:rPr>
            </w:pPr>
            <w:r w:rsidRPr="00FB6063">
              <w:rPr>
                <w:rFonts w:ascii="Aptos" w:hAnsi="Aptos"/>
                <w:color w:val="000000"/>
                <w:sz w:val="24"/>
                <w:szCs w:val="24"/>
                <w:highlight w:val="yellow"/>
              </w:rPr>
              <w:t>$123,799</w:t>
            </w:r>
          </w:p>
        </w:tc>
      </w:tr>
      <w:tr w14:paraId="239CC421" w14:textId="77777777" w:rsidTr="00C770D1">
        <w:tblPrEx>
          <w:tblW w:w="0" w:type="auto"/>
          <w:tblLook w:val="04A0"/>
        </w:tblPrEx>
        <w:trPr>
          <w:trHeight w:val="1080"/>
        </w:trPr>
        <w:tc>
          <w:tcPr>
            <w:tcW w:w="1700" w:type="dxa"/>
            <w:tcBorders>
              <w:left w:val="single" w:sz="8" w:space="0" w:color="auto"/>
              <w:bottom w:val="single" w:sz="8" w:space="0" w:color="auto"/>
            </w:tcBorders>
          </w:tcPr>
          <w:p w:rsidR="00A67A0C" w:rsidRPr="00277340" w:rsidP="00A67A0C" w14:paraId="208AD3D0" w14:textId="34316D4B">
            <w:pPr>
              <w:rPr>
                <w:rFonts w:ascii="Aptos" w:hAnsi="Aptos" w:cs="Times New Roman"/>
                <w:sz w:val="24"/>
                <w:szCs w:val="24"/>
                <w:highlight w:val="yellow"/>
              </w:rPr>
            </w:pPr>
            <w:r w:rsidRPr="00277340">
              <w:rPr>
                <w:rFonts w:ascii="Aptos" w:hAnsi="Aptos"/>
                <w:sz w:val="24"/>
                <w:szCs w:val="24"/>
                <w:highlight w:val="yellow"/>
              </w:rPr>
              <w:t>dbGaP</w:t>
            </w:r>
            <w:r w:rsidRPr="00277340">
              <w:rPr>
                <w:rFonts w:ascii="Aptos" w:hAnsi="Aptos"/>
                <w:sz w:val="24"/>
                <w:szCs w:val="24"/>
                <w:highlight w:val="yellow"/>
              </w:rPr>
              <w:t xml:space="preserve"> Authorized Access System</w:t>
            </w:r>
          </w:p>
        </w:tc>
        <w:tc>
          <w:tcPr>
            <w:tcW w:w="2160" w:type="dxa"/>
            <w:tcBorders>
              <w:left w:val="single" w:sz="8" w:space="0" w:color="auto"/>
              <w:bottom w:val="single" w:sz="8" w:space="0" w:color="auto"/>
            </w:tcBorders>
            <w:vAlign w:val="center"/>
          </w:tcPr>
          <w:p w:rsidR="00A67A0C" w:rsidRPr="00277340" w:rsidP="00A67A0C" w14:paraId="08EC96FA" w14:textId="50069EBC">
            <w:pPr>
              <w:jc w:val="center"/>
              <w:rPr>
                <w:rFonts w:ascii="Aptos" w:hAnsi="Aptos" w:cs="Times New Roman"/>
                <w:sz w:val="24"/>
                <w:szCs w:val="24"/>
                <w:highlight w:val="yellow"/>
              </w:rPr>
            </w:pPr>
            <w:r w:rsidRPr="00277340">
              <w:rPr>
                <w:rFonts w:ascii="Aptos" w:hAnsi="Aptos"/>
                <w:sz w:val="24"/>
                <w:szCs w:val="24"/>
                <w:highlight w:val="yellow"/>
              </w:rPr>
              <w:t>Institutional Signing Official</w:t>
            </w:r>
          </w:p>
        </w:tc>
        <w:tc>
          <w:tcPr>
            <w:tcW w:w="1980" w:type="dxa"/>
            <w:tcBorders>
              <w:bottom w:val="single" w:sz="8" w:space="0" w:color="auto"/>
            </w:tcBorders>
            <w:vAlign w:val="center"/>
          </w:tcPr>
          <w:p w:rsidR="00A67A0C" w:rsidRPr="00277340" w:rsidP="00A67A0C" w14:paraId="7768A213" w14:textId="3BDE51D8">
            <w:pPr>
              <w:jc w:val="center"/>
              <w:rPr>
                <w:rFonts w:ascii="Aptos" w:hAnsi="Aptos" w:cs="Times New Roman"/>
                <w:sz w:val="24"/>
                <w:szCs w:val="24"/>
                <w:highlight w:val="yellow"/>
              </w:rPr>
            </w:pPr>
            <w:r w:rsidRPr="00277340">
              <w:rPr>
                <w:rFonts w:ascii="Aptos" w:hAnsi="Aptos" w:cs="Times New Roman"/>
                <w:sz w:val="24"/>
                <w:szCs w:val="24"/>
                <w:highlight w:val="yellow"/>
              </w:rPr>
              <w:t>1684</w:t>
            </w:r>
          </w:p>
        </w:tc>
        <w:tc>
          <w:tcPr>
            <w:tcW w:w="1796" w:type="dxa"/>
            <w:tcBorders>
              <w:bottom w:val="single" w:sz="8" w:space="0" w:color="auto"/>
            </w:tcBorders>
            <w:vAlign w:val="center"/>
          </w:tcPr>
          <w:p w:rsidR="00A67A0C" w:rsidRPr="00277340" w:rsidP="00A67A0C" w14:paraId="041EA805" w14:textId="3CF3FE90">
            <w:pPr>
              <w:jc w:val="center"/>
              <w:rPr>
                <w:rFonts w:ascii="Aptos" w:hAnsi="Aptos" w:cs="Times New Roman"/>
                <w:sz w:val="24"/>
                <w:szCs w:val="24"/>
                <w:highlight w:val="yellow"/>
              </w:rPr>
            </w:pPr>
            <w:r>
              <w:rPr>
                <w:rFonts w:ascii="Aptos" w:hAnsi="Aptos" w:cs="Times New Roman"/>
                <w:sz w:val="24"/>
                <w:szCs w:val="24"/>
                <w:highlight w:val="yellow"/>
              </w:rPr>
              <w:t>$59.83</w:t>
            </w:r>
          </w:p>
        </w:tc>
        <w:tc>
          <w:tcPr>
            <w:tcW w:w="1704" w:type="dxa"/>
            <w:tcBorders>
              <w:bottom w:val="single" w:sz="8" w:space="0" w:color="auto"/>
              <w:right w:val="single" w:sz="8" w:space="0" w:color="auto"/>
            </w:tcBorders>
            <w:vAlign w:val="center"/>
          </w:tcPr>
          <w:p w:rsidR="00A67A0C" w:rsidRPr="00FB6063" w:rsidP="00A67A0C" w14:paraId="272077B3" w14:textId="2106C2C5">
            <w:pPr>
              <w:jc w:val="center"/>
              <w:rPr>
                <w:rFonts w:ascii="Aptos" w:hAnsi="Aptos" w:cs="Times New Roman"/>
                <w:sz w:val="24"/>
                <w:szCs w:val="24"/>
                <w:highlight w:val="yellow"/>
              </w:rPr>
            </w:pPr>
            <w:r w:rsidRPr="00FB6063">
              <w:rPr>
                <w:rFonts w:ascii="Aptos" w:hAnsi="Aptos"/>
                <w:color w:val="000000"/>
                <w:sz w:val="24"/>
                <w:szCs w:val="24"/>
                <w:highlight w:val="yellow"/>
              </w:rPr>
              <w:t>$100,754</w:t>
            </w:r>
          </w:p>
        </w:tc>
      </w:tr>
      <w:tr w14:paraId="052DBBE9" w14:textId="77777777" w:rsidTr="00C770D1">
        <w:tblPrEx>
          <w:tblW w:w="0" w:type="auto"/>
          <w:tblLook w:val="04A0"/>
        </w:tblPrEx>
        <w:trPr>
          <w:trHeight w:val="565"/>
        </w:trPr>
        <w:tc>
          <w:tcPr>
            <w:tcW w:w="1700" w:type="dxa"/>
            <w:tcBorders>
              <w:left w:val="single" w:sz="8" w:space="0" w:color="auto"/>
              <w:bottom w:val="single" w:sz="8" w:space="0" w:color="auto"/>
            </w:tcBorders>
            <w:vAlign w:val="bottom"/>
          </w:tcPr>
          <w:p w:rsidR="00C770D1" w:rsidRPr="006C77BA" w:rsidP="00226FBC" w14:paraId="687E6516" w14:textId="77777777">
            <w:pPr>
              <w:rPr>
                <w:rFonts w:ascii="Aptos" w:hAnsi="Aptos" w:cs="Times New Roman"/>
                <w:sz w:val="24"/>
                <w:szCs w:val="24"/>
              </w:rPr>
            </w:pPr>
          </w:p>
        </w:tc>
        <w:tc>
          <w:tcPr>
            <w:tcW w:w="7640" w:type="dxa"/>
            <w:gridSpan w:val="4"/>
            <w:tcBorders>
              <w:left w:val="single" w:sz="8" w:space="0" w:color="auto"/>
              <w:bottom w:val="single" w:sz="8" w:space="0" w:color="auto"/>
              <w:right w:val="single" w:sz="8" w:space="0" w:color="auto"/>
            </w:tcBorders>
            <w:vAlign w:val="center"/>
          </w:tcPr>
          <w:p w:rsidR="00C770D1" w:rsidRPr="001921C2" w:rsidP="00C770D1" w14:paraId="694B3499" w14:textId="6534012D">
            <w:pPr>
              <w:rPr>
                <w:rFonts w:ascii="Aptos" w:hAnsi="Aptos" w:cs="Times New Roman"/>
                <w:sz w:val="24"/>
                <w:szCs w:val="24"/>
              </w:rPr>
            </w:pPr>
            <w:r w:rsidRPr="00C770D1">
              <w:rPr>
                <w:rFonts w:ascii="Aptos" w:hAnsi="Aptos" w:cs="Times New Roman"/>
                <w:b/>
                <w:bCs/>
                <w:sz w:val="24"/>
                <w:szCs w:val="24"/>
              </w:rPr>
              <w:t>Renewal or Close-out – Legacy Authorized Access System</w:t>
            </w:r>
          </w:p>
        </w:tc>
      </w:tr>
      <w:tr w14:paraId="1470DD6A" w14:textId="77777777" w:rsidTr="006C4286">
        <w:tblPrEx>
          <w:tblW w:w="0" w:type="auto"/>
          <w:tblLook w:val="04A0"/>
        </w:tblPrEx>
        <w:trPr>
          <w:trHeight w:val="1080"/>
        </w:trPr>
        <w:tc>
          <w:tcPr>
            <w:tcW w:w="1700" w:type="dxa"/>
            <w:tcBorders>
              <w:left w:val="single" w:sz="8" w:space="0" w:color="auto"/>
              <w:bottom w:val="single" w:sz="8" w:space="0" w:color="auto"/>
            </w:tcBorders>
          </w:tcPr>
          <w:p w:rsidR="006C4286" w:rsidRPr="00C770D1" w:rsidP="006C4286" w14:paraId="40A67DFC" w14:textId="03D91750">
            <w:pPr>
              <w:rPr>
                <w:rFonts w:ascii="Aptos" w:hAnsi="Aptos" w:cs="Times New Roman"/>
                <w:sz w:val="24"/>
                <w:szCs w:val="24"/>
              </w:rPr>
            </w:pPr>
            <w:r w:rsidRPr="00C770D1">
              <w:rPr>
                <w:rFonts w:ascii="Aptos" w:hAnsi="Aptos"/>
                <w:sz w:val="24"/>
                <w:szCs w:val="24"/>
              </w:rPr>
              <w:t xml:space="preserve">Renewal or Close-out </w:t>
            </w:r>
          </w:p>
        </w:tc>
        <w:tc>
          <w:tcPr>
            <w:tcW w:w="2160" w:type="dxa"/>
            <w:tcBorders>
              <w:left w:val="single" w:sz="8" w:space="0" w:color="auto"/>
              <w:bottom w:val="single" w:sz="8" w:space="0" w:color="auto"/>
            </w:tcBorders>
            <w:vAlign w:val="center"/>
          </w:tcPr>
          <w:p w:rsidR="006C4286" w:rsidRPr="00C770D1" w:rsidP="006C4286" w14:paraId="4E3C0F87" w14:textId="13090EE7">
            <w:pPr>
              <w:jc w:val="center"/>
              <w:rPr>
                <w:rFonts w:ascii="Aptos" w:hAnsi="Aptos" w:cs="Times New Roman"/>
                <w:sz w:val="24"/>
                <w:szCs w:val="24"/>
              </w:rPr>
            </w:pPr>
            <w:r w:rsidRPr="00C770D1">
              <w:rPr>
                <w:rFonts w:ascii="Aptos" w:hAnsi="Aptos"/>
                <w:sz w:val="24"/>
                <w:szCs w:val="24"/>
              </w:rPr>
              <w:t>Principal Investigator</w:t>
            </w:r>
          </w:p>
        </w:tc>
        <w:tc>
          <w:tcPr>
            <w:tcW w:w="1980" w:type="dxa"/>
            <w:tcBorders>
              <w:bottom w:val="single" w:sz="8" w:space="0" w:color="auto"/>
            </w:tcBorders>
            <w:vAlign w:val="center"/>
          </w:tcPr>
          <w:p w:rsidR="006C4286" w:rsidRPr="001921C2" w:rsidP="006C4286" w14:paraId="712C85DB" w14:textId="62C07F0A">
            <w:pPr>
              <w:jc w:val="center"/>
              <w:rPr>
                <w:rFonts w:ascii="Aptos" w:hAnsi="Aptos" w:cs="Times New Roman"/>
                <w:sz w:val="24"/>
                <w:szCs w:val="24"/>
              </w:rPr>
            </w:pPr>
            <w:r>
              <w:rPr>
                <w:rFonts w:ascii="Aptos" w:hAnsi="Aptos" w:cs="Times New Roman"/>
                <w:sz w:val="24"/>
                <w:szCs w:val="24"/>
              </w:rPr>
              <w:t>281</w:t>
            </w:r>
          </w:p>
        </w:tc>
        <w:tc>
          <w:tcPr>
            <w:tcW w:w="1796" w:type="dxa"/>
            <w:tcBorders>
              <w:bottom w:val="single" w:sz="8" w:space="0" w:color="auto"/>
            </w:tcBorders>
            <w:vAlign w:val="center"/>
          </w:tcPr>
          <w:p w:rsidR="006C4286" w:rsidRPr="001921C2" w:rsidP="006C4286" w14:paraId="54181E44" w14:textId="634B2831">
            <w:pPr>
              <w:jc w:val="center"/>
              <w:rPr>
                <w:rFonts w:ascii="Aptos" w:hAnsi="Aptos" w:cs="Times New Roman"/>
                <w:sz w:val="24"/>
                <w:szCs w:val="24"/>
              </w:rPr>
            </w:pPr>
            <w:r>
              <w:rPr>
                <w:rFonts w:ascii="Aptos" w:hAnsi="Aptos" w:cs="Times New Roman"/>
                <w:sz w:val="24"/>
                <w:szCs w:val="24"/>
              </w:rPr>
              <w:t>$49.01</w:t>
            </w:r>
          </w:p>
        </w:tc>
        <w:tc>
          <w:tcPr>
            <w:tcW w:w="1704" w:type="dxa"/>
            <w:tcBorders>
              <w:bottom w:val="single" w:sz="8" w:space="0" w:color="auto"/>
              <w:right w:val="single" w:sz="8" w:space="0" w:color="auto"/>
            </w:tcBorders>
            <w:vAlign w:val="center"/>
          </w:tcPr>
          <w:p w:rsidR="006C4286" w:rsidRPr="006C4286" w:rsidP="006C4286" w14:paraId="3C4DEC59" w14:textId="5A43D742">
            <w:pPr>
              <w:jc w:val="center"/>
              <w:rPr>
                <w:rFonts w:ascii="Aptos" w:hAnsi="Aptos" w:cs="Times New Roman"/>
                <w:sz w:val="24"/>
                <w:szCs w:val="24"/>
              </w:rPr>
            </w:pPr>
            <w:r w:rsidRPr="006C4286">
              <w:rPr>
                <w:rFonts w:ascii="Aptos" w:hAnsi="Aptos"/>
                <w:color w:val="000000"/>
              </w:rPr>
              <w:t>$13,772</w:t>
            </w:r>
          </w:p>
        </w:tc>
      </w:tr>
      <w:tr w14:paraId="53A45F42" w14:textId="77777777" w:rsidTr="006C4286">
        <w:tblPrEx>
          <w:tblW w:w="0" w:type="auto"/>
          <w:tblLook w:val="04A0"/>
        </w:tblPrEx>
        <w:trPr>
          <w:trHeight w:val="1080"/>
        </w:trPr>
        <w:tc>
          <w:tcPr>
            <w:tcW w:w="1700" w:type="dxa"/>
            <w:tcBorders>
              <w:left w:val="single" w:sz="8" w:space="0" w:color="auto"/>
              <w:bottom w:val="single" w:sz="8" w:space="0" w:color="auto"/>
            </w:tcBorders>
          </w:tcPr>
          <w:p w:rsidR="006C4286" w:rsidRPr="00C770D1" w:rsidP="006C4286" w14:paraId="001AD9CA" w14:textId="5D8D5EC7">
            <w:pPr>
              <w:rPr>
                <w:rFonts w:ascii="Aptos" w:hAnsi="Aptos" w:cs="Times New Roman"/>
                <w:sz w:val="24"/>
                <w:szCs w:val="24"/>
              </w:rPr>
            </w:pPr>
            <w:r w:rsidRPr="00C770D1">
              <w:rPr>
                <w:rFonts w:ascii="Aptos" w:hAnsi="Aptos"/>
                <w:sz w:val="24"/>
                <w:szCs w:val="24"/>
              </w:rPr>
              <w:t xml:space="preserve">Renewal or Close-out </w:t>
            </w:r>
          </w:p>
        </w:tc>
        <w:tc>
          <w:tcPr>
            <w:tcW w:w="2160" w:type="dxa"/>
            <w:tcBorders>
              <w:left w:val="single" w:sz="8" w:space="0" w:color="auto"/>
              <w:bottom w:val="single" w:sz="8" w:space="0" w:color="auto"/>
            </w:tcBorders>
            <w:vAlign w:val="center"/>
          </w:tcPr>
          <w:p w:rsidR="006C4286" w:rsidRPr="00C770D1" w:rsidP="006C4286" w14:paraId="2121DB0C" w14:textId="42E9BAC0">
            <w:pPr>
              <w:jc w:val="center"/>
              <w:rPr>
                <w:rFonts w:ascii="Aptos" w:hAnsi="Aptos" w:cs="Times New Roman"/>
                <w:sz w:val="24"/>
                <w:szCs w:val="24"/>
              </w:rPr>
            </w:pPr>
            <w:r w:rsidRPr="00C770D1">
              <w:rPr>
                <w:rFonts w:ascii="Aptos" w:hAnsi="Aptos"/>
                <w:sz w:val="24"/>
                <w:szCs w:val="24"/>
              </w:rPr>
              <w:t>Institutional Signing Official</w:t>
            </w:r>
          </w:p>
        </w:tc>
        <w:tc>
          <w:tcPr>
            <w:tcW w:w="1980" w:type="dxa"/>
            <w:tcBorders>
              <w:bottom w:val="single" w:sz="8" w:space="0" w:color="auto"/>
            </w:tcBorders>
            <w:vAlign w:val="center"/>
          </w:tcPr>
          <w:p w:rsidR="006C4286" w:rsidRPr="001921C2" w:rsidP="006C4286" w14:paraId="2ADD2BD6" w14:textId="73FE5BD7">
            <w:pPr>
              <w:jc w:val="center"/>
              <w:rPr>
                <w:rFonts w:ascii="Aptos" w:hAnsi="Aptos" w:cs="Times New Roman"/>
                <w:sz w:val="24"/>
                <w:szCs w:val="24"/>
              </w:rPr>
            </w:pPr>
            <w:r>
              <w:rPr>
                <w:rFonts w:ascii="Aptos" w:hAnsi="Aptos" w:cs="Times New Roman"/>
                <w:sz w:val="24"/>
                <w:szCs w:val="24"/>
              </w:rPr>
              <w:t>337</w:t>
            </w:r>
          </w:p>
        </w:tc>
        <w:tc>
          <w:tcPr>
            <w:tcW w:w="1796" w:type="dxa"/>
            <w:tcBorders>
              <w:bottom w:val="single" w:sz="8" w:space="0" w:color="auto"/>
            </w:tcBorders>
            <w:vAlign w:val="center"/>
          </w:tcPr>
          <w:p w:rsidR="006C4286" w:rsidRPr="001921C2" w:rsidP="006C4286" w14:paraId="01E775C1" w14:textId="11EA3A63">
            <w:pPr>
              <w:jc w:val="center"/>
              <w:rPr>
                <w:rFonts w:ascii="Aptos" w:hAnsi="Aptos" w:cs="Times New Roman"/>
                <w:sz w:val="24"/>
                <w:szCs w:val="24"/>
              </w:rPr>
            </w:pPr>
            <w:r>
              <w:rPr>
                <w:rFonts w:ascii="Aptos" w:hAnsi="Aptos" w:cs="Times New Roman"/>
                <w:sz w:val="24"/>
                <w:szCs w:val="24"/>
              </w:rPr>
              <w:t>$59.83</w:t>
            </w:r>
          </w:p>
        </w:tc>
        <w:tc>
          <w:tcPr>
            <w:tcW w:w="1704" w:type="dxa"/>
            <w:tcBorders>
              <w:bottom w:val="single" w:sz="8" w:space="0" w:color="auto"/>
              <w:right w:val="single" w:sz="8" w:space="0" w:color="auto"/>
            </w:tcBorders>
            <w:vAlign w:val="center"/>
          </w:tcPr>
          <w:p w:rsidR="006C4286" w:rsidRPr="006C4286" w:rsidP="006C4286" w14:paraId="279D2BC1" w14:textId="77A5D2AB">
            <w:pPr>
              <w:jc w:val="center"/>
              <w:rPr>
                <w:rFonts w:ascii="Aptos" w:hAnsi="Aptos" w:cs="Times New Roman"/>
                <w:sz w:val="24"/>
                <w:szCs w:val="24"/>
              </w:rPr>
            </w:pPr>
            <w:r w:rsidRPr="006C4286">
              <w:rPr>
                <w:rFonts w:ascii="Aptos" w:hAnsi="Aptos"/>
                <w:color w:val="000000"/>
              </w:rPr>
              <w:t>$20,163</w:t>
            </w:r>
          </w:p>
        </w:tc>
      </w:tr>
      <w:tr w14:paraId="1C10BDF5" w14:textId="77777777" w:rsidTr="00C770D1">
        <w:tblPrEx>
          <w:tblW w:w="0" w:type="auto"/>
          <w:tblLook w:val="04A0"/>
        </w:tblPrEx>
        <w:trPr>
          <w:trHeight w:val="583"/>
        </w:trPr>
        <w:tc>
          <w:tcPr>
            <w:tcW w:w="1700" w:type="dxa"/>
            <w:tcBorders>
              <w:left w:val="single" w:sz="8" w:space="0" w:color="auto"/>
              <w:bottom w:val="single" w:sz="8" w:space="0" w:color="auto"/>
            </w:tcBorders>
            <w:vAlign w:val="bottom"/>
          </w:tcPr>
          <w:p w:rsidR="00C770D1" w:rsidRPr="006C77BA" w:rsidP="001E1D53" w14:paraId="34E4BE14" w14:textId="77777777">
            <w:pPr>
              <w:rPr>
                <w:rFonts w:ascii="Aptos" w:hAnsi="Aptos" w:cs="Times New Roman"/>
                <w:sz w:val="24"/>
                <w:szCs w:val="24"/>
              </w:rPr>
            </w:pPr>
          </w:p>
        </w:tc>
        <w:tc>
          <w:tcPr>
            <w:tcW w:w="7640" w:type="dxa"/>
            <w:gridSpan w:val="4"/>
            <w:tcBorders>
              <w:left w:val="single" w:sz="8" w:space="0" w:color="auto"/>
              <w:bottom w:val="single" w:sz="8" w:space="0" w:color="auto"/>
              <w:right w:val="single" w:sz="8" w:space="0" w:color="auto"/>
            </w:tcBorders>
            <w:vAlign w:val="center"/>
          </w:tcPr>
          <w:p w:rsidR="00C770D1" w:rsidRPr="00C770D1" w:rsidP="00C770D1" w14:paraId="08C581C9" w14:textId="05CC16F7">
            <w:pPr>
              <w:rPr>
                <w:rFonts w:ascii="Aptos" w:hAnsi="Aptos" w:cs="Times New Roman"/>
                <w:b/>
                <w:bCs/>
                <w:sz w:val="24"/>
                <w:szCs w:val="24"/>
              </w:rPr>
            </w:pPr>
            <w:r w:rsidRPr="00A70DF4">
              <w:rPr>
                <w:rFonts w:ascii="Aptos" w:hAnsi="Aptos" w:cs="Times New Roman"/>
                <w:b/>
                <w:bCs/>
                <w:sz w:val="24"/>
                <w:szCs w:val="24"/>
                <w:highlight w:val="yellow"/>
              </w:rPr>
              <w:t>Renewal or Close-out – New Authorized Access System</w:t>
            </w:r>
          </w:p>
        </w:tc>
      </w:tr>
      <w:tr w14:paraId="0B9B9F4B" w14:textId="77777777" w:rsidTr="00380996">
        <w:tblPrEx>
          <w:tblW w:w="0" w:type="auto"/>
          <w:tblLook w:val="04A0"/>
        </w:tblPrEx>
        <w:trPr>
          <w:trHeight w:val="1080"/>
        </w:trPr>
        <w:tc>
          <w:tcPr>
            <w:tcW w:w="1700" w:type="dxa"/>
            <w:tcBorders>
              <w:left w:val="single" w:sz="8" w:space="0" w:color="auto"/>
              <w:bottom w:val="single" w:sz="8" w:space="0" w:color="auto"/>
            </w:tcBorders>
          </w:tcPr>
          <w:p w:rsidR="00FB5312" w:rsidRPr="00277340" w:rsidP="00FB5312" w14:paraId="5D924967" w14:textId="42F6A21C">
            <w:pPr>
              <w:rPr>
                <w:rFonts w:ascii="Aptos" w:hAnsi="Aptos" w:cs="Times New Roman"/>
                <w:sz w:val="24"/>
                <w:szCs w:val="24"/>
                <w:highlight w:val="yellow"/>
              </w:rPr>
            </w:pPr>
            <w:r w:rsidRPr="00277340">
              <w:rPr>
                <w:rFonts w:ascii="Aptos" w:hAnsi="Aptos"/>
                <w:sz w:val="24"/>
                <w:szCs w:val="24"/>
                <w:highlight w:val="yellow"/>
              </w:rPr>
              <w:t>Project Renewal or Project Close-out form</w:t>
            </w:r>
          </w:p>
        </w:tc>
        <w:tc>
          <w:tcPr>
            <w:tcW w:w="2160" w:type="dxa"/>
            <w:tcBorders>
              <w:left w:val="single" w:sz="8" w:space="0" w:color="auto"/>
              <w:bottom w:val="single" w:sz="8" w:space="0" w:color="auto"/>
            </w:tcBorders>
            <w:vAlign w:val="center"/>
          </w:tcPr>
          <w:p w:rsidR="00FB5312" w:rsidRPr="00277340" w:rsidP="00FB5312" w14:paraId="5016E629" w14:textId="007964EE">
            <w:pPr>
              <w:jc w:val="center"/>
              <w:rPr>
                <w:rFonts w:ascii="Aptos" w:hAnsi="Aptos" w:cs="Times New Roman"/>
                <w:sz w:val="24"/>
                <w:szCs w:val="24"/>
                <w:highlight w:val="yellow"/>
              </w:rPr>
            </w:pPr>
            <w:r w:rsidRPr="00277340">
              <w:rPr>
                <w:rFonts w:ascii="Aptos" w:hAnsi="Aptos"/>
                <w:sz w:val="24"/>
                <w:szCs w:val="24"/>
                <w:highlight w:val="yellow"/>
              </w:rPr>
              <w:t>Principal Investigator</w:t>
            </w:r>
          </w:p>
        </w:tc>
        <w:tc>
          <w:tcPr>
            <w:tcW w:w="1980" w:type="dxa"/>
            <w:tcBorders>
              <w:bottom w:val="single" w:sz="8" w:space="0" w:color="auto"/>
            </w:tcBorders>
            <w:vAlign w:val="center"/>
          </w:tcPr>
          <w:p w:rsidR="00FB5312" w:rsidRPr="00277340" w:rsidP="00FB5312" w14:paraId="19888265" w14:textId="1263FEE9">
            <w:pPr>
              <w:jc w:val="center"/>
              <w:rPr>
                <w:rFonts w:ascii="Aptos" w:hAnsi="Aptos" w:cs="Times New Roman"/>
                <w:sz w:val="24"/>
                <w:szCs w:val="24"/>
                <w:highlight w:val="yellow"/>
              </w:rPr>
            </w:pPr>
            <w:r w:rsidRPr="00277340">
              <w:rPr>
                <w:rFonts w:ascii="Aptos" w:hAnsi="Aptos" w:cs="Times New Roman"/>
                <w:sz w:val="24"/>
                <w:szCs w:val="24"/>
                <w:highlight w:val="yellow"/>
              </w:rPr>
              <w:t>842</w:t>
            </w:r>
          </w:p>
        </w:tc>
        <w:tc>
          <w:tcPr>
            <w:tcW w:w="1796" w:type="dxa"/>
            <w:tcBorders>
              <w:bottom w:val="single" w:sz="8" w:space="0" w:color="auto"/>
            </w:tcBorders>
            <w:vAlign w:val="center"/>
          </w:tcPr>
          <w:p w:rsidR="00FB5312" w:rsidRPr="00277340" w:rsidP="00FB5312" w14:paraId="24FF2BD1" w14:textId="3F87497F">
            <w:pPr>
              <w:jc w:val="center"/>
              <w:rPr>
                <w:rFonts w:ascii="Aptos" w:hAnsi="Aptos" w:cs="Times New Roman"/>
                <w:sz w:val="24"/>
                <w:szCs w:val="24"/>
                <w:highlight w:val="yellow"/>
              </w:rPr>
            </w:pPr>
            <w:r>
              <w:rPr>
                <w:rFonts w:ascii="Aptos" w:hAnsi="Aptos" w:cs="Times New Roman"/>
                <w:sz w:val="24"/>
                <w:szCs w:val="24"/>
                <w:highlight w:val="yellow"/>
              </w:rPr>
              <w:t>$49.01</w:t>
            </w:r>
          </w:p>
        </w:tc>
        <w:tc>
          <w:tcPr>
            <w:tcW w:w="1704" w:type="dxa"/>
            <w:tcBorders>
              <w:bottom w:val="single" w:sz="8" w:space="0" w:color="auto"/>
              <w:right w:val="single" w:sz="8" w:space="0" w:color="auto"/>
            </w:tcBorders>
            <w:vAlign w:val="center"/>
          </w:tcPr>
          <w:p w:rsidR="00FB5312" w:rsidRPr="00380996" w:rsidP="00380996" w14:paraId="6C40C392" w14:textId="5F88ECF2">
            <w:pPr>
              <w:jc w:val="center"/>
              <w:rPr>
                <w:rFonts w:ascii="Aptos" w:hAnsi="Aptos" w:cs="Times New Roman"/>
                <w:sz w:val="24"/>
                <w:szCs w:val="24"/>
                <w:highlight w:val="yellow"/>
              </w:rPr>
            </w:pPr>
            <w:r w:rsidRPr="00380996">
              <w:rPr>
                <w:rFonts w:ascii="Aptos" w:hAnsi="Aptos"/>
                <w:color w:val="000000"/>
                <w:sz w:val="24"/>
                <w:szCs w:val="24"/>
                <w:highlight w:val="yellow"/>
              </w:rPr>
              <w:t>$41,266</w:t>
            </w:r>
          </w:p>
        </w:tc>
      </w:tr>
      <w:tr w14:paraId="0577F57A" w14:textId="77777777" w:rsidTr="00380996">
        <w:tblPrEx>
          <w:tblW w:w="0" w:type="auto"/>
          <w:tblLook w:val="04A0"/>
        </w:tblPrEx>
        <w:trPr>
          <w:trHeight w:val="1080"/>
        </w:trPr>
        <w:tc>
          <w:tcPr>
            <w:tcW w:w="1700" w:type="dxa"/>
            <w:tcBorders>
              <w:left w:val="single" w:sz="8" w:space="0" w:color="auto"/>
              <w:bottom w:val="single" w:sz="8" w:space="0" w:color="auto"/>
            </w:tcBorders>
          </w:tcPr>
          <w:p w:rsidR="00FB5312" w:rsidRPr="00277340" w:rsidP="00FB5312" w14:paraId="71579915" w14:textId="4C219E88">
            <w:pPr>
              <w:rPr>
                <w:rFonts w:ascii="Aptos" w:hAnsi="Aptos" w:cs="Times New Roman"/>
                <w:sz w:val="24"/>
                <w:szCs w:val="24"/>
                <w:highlight w:val="yellow"/>
              </w:rPr>
            </w:pPr>
            <w:r w:rsidRPr="00277340">
              <w:rPr>
                <w:rFonts w:ascii="Aptos" w:hAnsi="Aptos"/>
                <w:sz w:val="24"/>
                <w:szCs w:val="24"/>
                <w:highlight w:val="yellow"/>
              </w:rPr>
              <w:t>Project Renewal or Project Close-out form</w:t>
            </w:r>
          </w:p>
        </w:tc>
        <w:tc>
          <w:tcPr>
            <w:tcW w:w="2160" w:type="dxa"/>
            <w:tcBorders>
              <w:left w:val="single" w:sz="8" w:space="0" w:color="auto"/>
              <w:bottom w:val="single" w:sz="8" w:space="0" w:color="auto"/>
            </w:tcBorders>
            <w:vAlign w:val="center"/>
          </w:tcPr>
          <w:p w:rsidR="00FB5312" w:rsidRPr="00277340" w:rsidP="00FB5312" w14:paraId="4898AC25" w14:textId="5D7A5C18">
            <w:pPr>
              <w:jc w:val="center"/>
              <w:rPr>
                <w:rFonts w:ascii="Aptos" w:hAnsi="Aptos" w:cs="Times New Roman"/>
                <w:sz w:val="24"/>
                <w:szCs w:val="24"/>
                <w:highlight w:val="yellow"/>
              </w:rPr>
            </w:pPr>
            <w:r w:rsidRPr="00277340">
              <w:rPr>
                <w:rFonts w:ascii="Aptos" w:hAnsi="Aptos"/>
                <w:sz w:val="24"/>
                <w:szCs w:val="24"/>
                <w:highlight w:val="yellow"/>
              </w:rPr>
              <w:t>Institutional Signing Official</w:t>
            </w:r>
          </w:p>
        </w:tc>
        <w:tc>
          <w:tcPr>
            <w:tcW w:w="1980" w:type="dxa"/>
            <w:tcBorders>
              <w:bottom w:val="single" w:sz="8" w:space="0" w:color="auto"/>
            </w:tcBorders>
            <w:vAlign w:val="center"/>
          </w:tcPr>
          <w:p w:rsidR="00FB5312" w:rsidRPr="00277340" w:rsidP="00FB5312" w14:paraId="2410E87A" w14:textId="20CB83B6">
            <w:pPr>
              <w:jc w:val="center"/>
              <w:rPr>
                <w:rFonts w:ascii="Aptos" w:hAnsi="Aptos" w:cs="Times New Roman"/>
                <w:sz w:val="24"/>
                <w:szCs w:val="24"/>
                <w:highlight w:val="yellow"/>
              </w:rPr>
            </w:pPr>
            <w:r w:rsidRPr="00277340">
              <w:rPr>
                <w:rFonts w:ascii="Aptos" w:hAnsi="Aptos" w:cs="Times New Roman"/>
                <w:sz w:val="24"/>
                <w:szCs w:val="24"/>
                <w:highlight w:val="yellow"/>
              </w:rPr>
              <w:t>1010</w:t>
            </w:r>
          </w:p>
        </w:tc>
        <w:tc>
          <w:tcPr>
            <w:tcW w:w="1796" w:type="dxa"/>
            <w:tcBorders>
              <w:bottom w:val="single" w:sz="8" w:space="0" w:color="auto"/>
            </w:tcBorders>
            <w:vAlign w:val="center"/>
          </w:tcPr>
          <w:p w:rsidR="00FB5312" w:rsidRPr="00277340" w:rsidP="00FB5312" w14:paraId="37B34C6A" w14:textId="5089B490">
            <w:pPr>
              <w:jc w:val="center"/>
              <w:rPr>
                <w:rFonts w:ascii="Aptos" w:hAnsi="Aptos" w:cs="Times New Roman"/>
                <w:sz w:val="24"/>
                <w:szCs w:val="24"/>
                <w:highlight w:val="yellow"/>
              </w:rPr>
            </w:pPr>
            <w:r>
              <w:rPr>
                <w:rFonts w:ascii="Aptos" w:hAnsi="Aptos" w:cs="Times New Roman"/>
                <w:sz w:val="24"/>
                <w:szCs w:val="24"/>
                <w:highlight w:val="yellow"/>
              </w:rPr>
              <w:t>$59.83</w:t>
            </w:r>
          </w:p>
        </w:tc>
        <w:tc>
          <w:tcPr>
            <w:tcW w:w="1704" w:type="dxa"/>
            <w:tcBorders>
              <w:bottom w:val="single" w:sz="8" w:space="0" w:color="auto"/>
              <w:right w:val="single" w:sz="8" w:space="0" w:color="auto"/>
            </w:tcBorders>
            <w:vAlign w:val="center"/>
          </w:tcPr>
          <w:p w:rsidR="00FB5312" w:rsidRPr="00380996" w:rsidP="00380996" w14:paraId="74874BE8" w14:textId="6F13A409">
            <w:pPr>
              <w:jc w:val="center"/>
              <w:rPr>
                <w:rFonts w:ascii="Aptos" w:hAnsi="Aptos" w:cs="Times New Roman"/>
                <w:sz w:val="24"/>
                <w:szCs w:val="24"/>
                <w:highlight w:val="yellow"/>
              </w:rPr>
            </w:pPr>
            <w:r w:rsidRPr="00380996">
              <w:rPr>
                <w:rFonts w:ascii="Aptos" w:hAnsi="Aptos"/>
                <w:color w:val="000000"/>
                <w:sz w:val="24"/>
                <w:szCs w:val="24"/>
                <w:highlight w:val="yellow"/>
              </w:rPr>
              <w:t>$60,428</w:t>
            </w:r>
          </w:p>
        </w:tc>
      </w:tr>
      <w:tr w14:paraId="09BC3A20" w14:textId="77777777" w:rsidTr="00D54BD3">
        <w:tblPrEx>
          <w:tblW w:w="0" w:type="auto"/>
          <w:tblLook w:val="04A0"/>
        </w:tblPrEx>
        <w:trPr>
          <w:trHeight w:val="360"/>
        </w:trPr>
        <w:tc>
          <w:tcPr>
            <w:tcW w:w="1700" w:type="dxa"/>
            <w:tcBorders>
              <w:top w:val="single" w:sz="8" w:space="0" w:color="auto"/>
              <w:left w:val="single" w:sz="8" w:space="0" w:color="auto"/>
              <w:bottom w:val="single" w:sz="8" w:space="0" w:color="auto"/>
            </w:tcBorders>
            <w:shd w:val="clear" w:color="auto" w:fill="D9D9D9" w:themeFill="background1" w:themeFillShade="D9"/>
          </w:tcPr>
          <w:p w:rsidR="001E1D53" w:rsidRPr="001921C2" w:rsidP="001E1D53" w14:paraId="41295DC7" w14:textId="77777777">
            <w:pPr>
              <w:jc w:val="right"/>
              <w:rPr>
                <w:rFonts w:ascii="Aptos" w:hAnsi="Aptos" w:cs="Times New Roman"/>
                <w:b/>
                <w:bCs/>
                <w:sz w:val="24"/>
                <w:szCs w:val="24"/>
              </w:rPr>
            </w:pPr>
          </w:p>
        </w:tc>
        <w:tc>
          <w:tcPr>
            <w:tcW w:w="2160" w:type="dxa"/>
            <w:tcBorders>
              <w:top w:val="single" w:sz="8" w:space="0" w:color="auto"/>
              <w:left w:val="single" w:sz="8" w:space="0" w:color="auto"/>
              <w:bottom w:val="single" w:sz="8" w:space="0" w:color="auto"/>
            </w:tcBorders>
            <w:shd w:val="clear" w:color="auto" w:fill="D9D9D9" w:themeFill="background1" w:themeFillShade="D9"/>
            <w:vAlign w:val="center"/>
            <w:hideMark/>
          </w:tcPr>
          <w:p w:rsidR="001E1D53" w:rsidRPr="001921C2" w:rsidP="001E1D53" w14:paraId="64A6B37A" w14:textId="5BAE1A07">
            <w:pPr>
              <w:jc w:val="right"/>
              <w:rPr>
                <w:rFonts w:ascii="Aptos" w:hAnsi="Aptos" w:cs="Times New Roman"/>
                <w:b/>
                <w:bCs/>
                <w:sz w:val="24"/>
                <w:szCs w:val="24"/>
              </w:rPr>
            </w:pPr>
            <w:r w:rsidRPr="001921C2">
              <w:rPr>
                <w:rFonts w:ascii="Aptos" w:hAnsi="Aptos" w:cs="Times New Roman"/>
                <w:b/>
                <w:bCs/>
                <w:sz w:val="24"/>
                <w:szCs w:val="24"/>
              </w:rPr>
              <w:t>Total</w:t>
            </w:r>
          </w:p>
        </w:tc>
        <w:tc>
          <w:tcPr>
            <w:tcW w:w="1980" w:type="dxa"/>
            <w:tcBorders>
              <w:top w:val="single" w:sz="8" w:space="0" w:color="auto"/>
              <w:bottom w:val="single" w:sz="8" w:space="0" w:color="auto"/>
            </w:tcBorders>
            <w:vAlign w:val="center"/>
            <w:hideMark/>
          </w:tcPr>
          <w:p w:rsidR="001E1D53" w:rsidRPr="001921C2" w:rsidP="001E1D53" w14:paraId="6A404614" w14:textId="4BE044D2">
            <w:pPr>
              <w:jc w:val="center"/>
              <w:rPr>
                <w:rFonts w:ascii="Aptos" w:hAnsi="Aptos" w:cs="Times New Roman"/>
                <w:sz w:val="24"/>
                <w:szCs w:val="24"/>
              </w:rPr>
            </w:pPr>
            <w:r>
              <w:rPr>
                <w:rFonts w:ascii="Aptos" w:hAnsi="Aptos" w:cs="Times New Roman"/>
                <w:sz w:val="24"/>
                <w:szCs w:val="24"/>
              </w:rPr>
              <w:t>9783</w:t>
            </w:r>
          </w:p>
        </w:tc>
        <w:tc>
          <w:tcPr>
            <w:tcW w:w="1796" w:type="dxa"/>
            <w:tcBorders>
              <w:top w:val="single" w:sz="8" w:space="0" w:color="auto"/>
              <w:bottom w:val="single" w:sz="8" w:space="0" w:color="auto"/>
            </w:tcBorders>
            <w:vAlign w:val="center"/>
            <w:hideMark/>
          </w:tcPr>
          <w:p w:rsidR="001E1D53" w:rsidRPr="001921C2" w:rsidP="001E1D53" w14:paraId="3ECD69A6" w14:textId="77777777">
            <w:pPr>
              <w:jc w:val="center"/>
              <w:rPr>
                <w:rFonts w:ascii="Aptos" w:hAnsi="Aptos" w:cs="Times New Roman"/>
                <w:sz w:val="24"/>
                <w:szCs w:val="24"/>
              </w:rPr>
            </w:pPr>
            <w:r w:rsidRPr="001921C2">
              <w:rPr>
                <w:rFonts w:ascii="Aptos" w:hAnsi="Aptos" w:cs="Times New Roman"/>
                <w:sz w:val="24"/>
                <w:szCs w:val="24"/>
              </w:rPr>
              <w:t>-</w:t>
            </w:r>
          </w:p>
        </w:tc>
        <w:tc>
          <w:tcPr>
            <w:tcW w:w="1704" w:type="dxa"/>
            <w:tcBorders>
              <w:top w:val="single" w:sz="8" w:space="0" w:color="auto"/>
              <w:bottom w:val="single" w:sz="8" w:space="0" w:color="auto"/>
              <w:right w:val="single" w:sz="8" w:space="0" w:color="auto"/>
            </w:tcBorders>
            <w:vAlign w:val="center"/>
            <w:hideMark/>
          </w:tcPr>
          <w:p w:rsidR="001E1D53" w:rsidRPr="001921C2" w:rsidP="001E1D53" w14:paraId="695ACCDC" w14:textId="2B78FC23">
            <w:pPr>
              <w:jc w:val="center"/>
              <w:rPr>
                <w:rFonts w:ascii="Aptos" w:hAnsi="Aptos" w:cs="Times New Roman"/>
                <w:sz w:val="24"/>
                <w:szCs w:val="24"/>
              </w:rPr>
            </w:pPr>
            <w:r w:rsidRPr="00955261">
              <w:rPr>
                <w:rFonts w:ascii="Aptos" w:hAnsi="Aptos" w:cs="Times New Roman"/>
                <w:sz w:val="24"/>
                <w:szCs w:val="24"/>
              </w:rPr>
              <w:t>$524,465</w:t>
            </w:r>
          </w:p>
        </w:tc>
      </w:tr>
    </w:tbl>
    <w:p w:rsidR="008741B7" w:rsidRPr="001921C2" w:rsidP="008741B7" w14:paraId="4D62D5DA" w14:textId="77777777">
      <w:pPr>
        <w:rPr>
          <w:rFonts w:ascii="Aptos" w:hAnsi="Aptos" w:cs="Times New Roman"/>
          <w:sz w:val="24"/>
          <w:szCs w:val="24"/>
        </w:rPr>
      </w:pPr>
    </w:p>
    <w:p w:rsidR="008741B7" w:rsidRPr="001921C2" w:rsidP="008741B7" w14:paraId="7440E089" w14:textId="77777777">
      <w:pPr>
        <w:rPr>
          <w:rFonts w:ascii="Aptos" w:hAnsi="Aptos" w:cs="Times New Roman"/>
          <w:b/>
          <w:sz w:val="24"/>
          <w:szCs w:val="24"/>
        </w:rPr>
      </w:pPr>
      <w:r w:rsidRPr="001921C2">
        <w:rPr>
          <w:rFonts w:ascii="Aptos" w:hAnsi="Aptos" w:cs="Times New Roman"/>
          <w:b/>
          <w:sz w:val="24"/>
          <w:szCs w:val="24"/>
        </w:rPr>
        <w:t>A.13</w:t>
      </w:r>
      <w:r w:rsidRPr="001921C2">
        <w:rPr>
          <w:rFonts w:ascii="Aptos" w:hAnsi="Aptos" w:cs="Times New Roman"/>
          <w:b/>
          <w:sz w:val="24"/>
          <w:szCs w:val="24"/>
        </w:rPr>
        <w:tab/>
        <w:t>Estimate of Other Total Annual Cost Burden to Respondents or Record Keepers</w:t>
      </w:r>
    </w:p>
    <w:p w:rsidR="008741B7" w:rsidRPr="001921C2" w:rsidP="00CF764A" w14:paraId="39F561C8" w14:textId="68909413">
      <w:pPr>
        <w:rPr>
          <w:rFonts w:ascii="Aptos" w:hAnsi="Aptos" w:cs="Times New Roman"/>
          <w:sz w:val="24"/>
          <w:szCs w:val="24"/>
        </w:rPr>
      </w:pPr>
      <w:r w:rsidRPr="001921C2">
        <w:rPr>
          <w:rFonts w:ascii="Aptos" w:hAnsi="Aptos" w:cs="Times New Roman"/>
          <w:sz w:val="24"/>
          <w:szCs w:val="24"/>
        </w:rPr>
        <w:t>Other than the respondents</w:t>
      </w:r>
      <w:r w:rsidRPr="001921C2" w:rsidR="00B01DD2">
        <w:rPr>
          <w:rFonts w:ascii="Aptos" w:hAnsi="Aptos" w:cs="Times New Roman"/>
          <w:sz w:val="24"/>
          <w:szCs w:val="24"/>
        </w:rPr>
        <w:t>’</w:t>
      </w:r>
      <w:r w:rsidRPr="001921C2">
        <w:rPr>
          <w:rFonts w:ascii="Aptos" w:hAnsi="Aptos" w:cs="Times New Roman"/>
          <w:sz w:val="24"/>
          <w:szCs w:val="24"/>
        </w:rPr>
        <w:t xml:space="preserve"> time, there are no additional costs associated with this data collection. </w:t>
      </w:r>
    </w:p>
    <w:p w:rsidR="00524701" w:rsidRPr="001921C2" w:rsidP="00524701" w14:paraId="7224FCA2" w14:textId="77777777">
      <w:pPr>
        <w:ind w:left="720" w:hanging="720"/>
        <w:rPr>
          <w:rFonts w:ascii="Aptos" w:hAnsi="Aptos" w:cs="Times New Roman"/>
          <w:sz w:val="24"/>
          <w:szCs w:val="24"/>
        </w:rPr>
      </w:pPr>
      <w:r w:rsidRPr="001921C2">
        <w:rPr>
          <w:rFonts w:ascii="Aptos" w:hAnsi="Aptos" w:cs="Times New Roman"/>
          <w:b/>
          <w:sz w:val="24"/>
          <w:szCs w:val="24"/>
        </w:rPr>
        <w:t>A.14</w:t>
      </w:r>
      <w:r w:rsidRPr="001921C2">
        <w:rPr>
          <w:rFonts w:ascii="Aptos" w:hAnsi="Aptos" w:cs="Times New Roman"/>
          <w:sz w:val="24"/>
          <w:szCs w:val="24"/>
        </w:rPr>
        <w:tab/>
      </w:r>
      <w:r w:rsidRPr="00277340">
        <w:rPr>
          <w:rFonts w:ascii="Aptos" w:hAnsi="Aptos" w:cs="Times New Roman"/>
          <w:b/>
          <w:bCs/>
          <w:sz w:val="24"/>
          <w:szCs w:val="24"/>
        </w:rPr>
        <w:t>Annualized</w:t>
      </w:r>
      <w:r w:rsidRPr="00277340">
        <w:rPr>
          <w:rFonts w:ascii="Aptos" w:hAnsi="Aptos" w:cs="Times New Roman"/>
          <w:b/>
          <w:sz w:val="24"/>
          <w:szCs w:val="24"/>
        </w:rPr>
        <w:t xml:space="preserve"> Cost to the Federal Government</w:t>
      </w:r>
    </w:p>
    <w:p w:rsidR="00524701" w:rsidRPr="001921C2" w:rsidP="00CF764A" w14:paraId="0FFCD23C" w14:textId="0075389A">
      <w:pPr>
        <w:rPr>
          <w:rFonts w:ascii="Aptos" w:hAnsi="Aptos" w:cs="Times New Roman"/>
          <w:sz w:val="24"/>
          <w:szCs w:val="24"/>
        </w:rPr>
      </w:pPr>
      <w:r w:rsidRPr="001921C2">
        <w:rPr>
          <w:rFonts w:ascii="Aptos" w:hAnsi="Aptos" w:cs="Times New Roman"/>
          <w:sz w:val="24"/>
          <w:szCs w:val="24"/>
        </w:rPr>
        <w:t>The estimated annualized cost to the Federal Government to support this information collection is $7.5 million, which is comprised of program personnel costs and computer hardware/software costs associated with the project’s implementation and operation. The estimated personnel cost is $4.78 million, based on 25 employees (contractors and federal) at an average annual rate of $211,856 and $218,760 respectively,</w:t>
      </w:r>
      <w:r w:rsidRPr="001921C2">
        <w:rPr>
          <w:rFonts w:ascii="Aptos" w:hAnsi="Aptos" w:cs="Times New Roman"/>
          <w:color w:val="FFFFFF" w:themeColor="background1"/>
          <w:sz w:val="24"/>
          <w:szCs w:val="24"/>
        </w:rPr>
        <w:t xml:space="preserve"> </w:t>
      </w:r>
      <w:r w:rsidRPr="001921C2">
        <w:rPr>
          <w:rFonts w:ascii="Aptos" w:hAnsi="Aptos" w:cs="Times New Roman"/>
          <w:sz w:val="24"/>
          <w:szCs w:val="24"/>
        </w:rPr>
        <w:t xml:space="preserve">(salary and </w:t>
      </w:r>
      <w:r w:rsidRPr="001921C2">
        <w:rPr>
          <w:rFonts w:ascii="Aptos" w:hAnsi="Aptos" w:cs="Times New Roman"/>
          <w:sz w:val="24"/>
          <w:szCs w:val="24"/>
        </w:rPr>
        <w:t>benefits). The estimated cost of computer hardware and software is $2.75 million.</w:t>
      </w:r>
      <w:r w:rsidR="0066511D">
        <w:rPr>
          <w:rFonts w:ascii="Aptos" w:hAnsi="Aptos" w:cs="Times New Roman"/>
          <w:sz w:val="24"/>
          <w:szCs w:val="24"/>
        </w:rPr>
        <w:t xml:space="preserve"> Of important, the estimated annualized cost to the Federal Government is not expected to change </w:t>
      </w:r>
      <w:r w:rsidR="0066511D">
        <w:rPr>
          <w:rFonts w:ascii="Aptos" w:hAnsi="Aptos" w:cs="Times New Roman"/>
          <w:sz w:val="24"/>
          <w:szCs w:val="24"/>
        </w:rPr>
        <w:t>as a result of</w:t>
      </w:r>
      <w:r w:rsidR="0066511D">
        <w:rPr>
          <w:rFonts w:ascii="Aptos" w:hAnsi="Aptos" w:cs="Times New Roman"/>
          <w:sz w:val="24"/>
          <w:szCs w:val="24"/>
        </w:rPr>
        <w:t xml:space="preserve"> operating the </w:t>
      </w:r>
      <w:r w:rsidR="0051768D">
        <w:rPr>
          <w:rFonts w:ascii="Aptos" w:hAnsi="Aptos" w:cs="Times New Roman"/>
          <w:sz w:val="24"/>
          <w:szCs w:val="24"/>
        </w:rPr>
        <w:t xml:space="preserve">Legacy and New </w:t>
      </w:r>
      <w:r w:rsidR="0051768D">
        <w:rPr>
          <w:rFonts w:ascii="Aptos" w:hAnsi="Aptos" w:cs="Times New Roman"/>
          <w:sz w:val="24"/>
          <w:szCs w:val="24"/>
        </w:rPr>
        <w:t>dbGaP</w:t>
      </w:r>
      <w:r w:rsidR="0051768D">
        <w:rPr>
          <w:rFonts w:ascii="Aptos" w:hAnsi="Aptos" w:cs="Times New Roman"/>
          <w:sz w:val="24"/>
          <w:szCs w:val="24"/>
        </w:rPr>
        <w:t xml:space="preserve"> Registration and Authorized Access System concurrently for six months.</w:t>
      </w:r>
    </w:p>
    <w:tbl>
      <w:tblPr>
        <w:tblStyle w:val="TableGrid"/>
        <w:tblW w:w="0" w:type="auto"/>
        <w:tblLook w:val="04A0"/>
      </w:tblPr>
      <w:tblGrid>
        <w:gridCol w:w="2331"/>
        <w:gridCol w:w="1375"/>
        <w:gridCol w:w="1621"/>
        <w:gridCol w:w="951"/>
        <w:gridCol w:w="1343"/>
        <w:gridCol w:w="1719"/>
      </w:tblGrid>
      <w:tr w14:paraId="72255955" w14:textId="77777777" w:rsidTr="00745994">
        <w:tblPrEx>
          <w:tblW w:w="0" w:type="auto"/>
          <w:tblLook w:val="04A0"/>
        </w:tblPrEx>
        <w:trPr>
          <w:trHeight w:val="360"/>
        </w:trPr>
        <w:tc>
          <w:tcPr>
            <w:tcW w:w="9350" w:type="dxa"/>
            <w:gridSpan w:val="6"/>
            <w:tcBorders>
              <w:top w:val="single" w:sz="8" w:space="0" w:color="auto"/>
              <w:left w:val="single" w:sz="8" w:space="0" w:color="auto"/>
              <w:right w:val="single" w:sz="8" w:space="0" w:color="auto"/>
            </w:tcBorders>
            <w:shd w:val="clear" w:color="auto" w:fill="BFBFBF" w:themeFill="background1" w:themeFillShade="BF"/>
            <w:vAlign w:val="center"/>
          </w:tcPr>
          <w:p w:rsidR="003340C9" w:rsidRPr="001A15F2" w:rsidP="007570BF" w14:paraId="18E05B90" w14:textId="11011BAB">
            <w:pPr>
              <w:jc w:val="center"/>
              <w:rPr>
                <w:rFonts w:ascii="Aptos" w:hAnsi="Aptos"/>
                <w:b/>
                <w:bCs/>
              </w:rPr>
            </w:pPr>
            <w:r w:rsidRPr="001921C2">
              <w:rPr>
                <w:rFonts w:ascii="Aptos" w:hAnsi="Aptos" w:cs="Times New Roman"/>
                <w:b/>
                <w:bCs/>
                <w:sz w:val="24"/>
                <w:szCs w:val="24"/>
              </w:rPr>
              <w:t>A.1</w:t>
            </w:r>
            <w:r w:rsidR="00A14A64">
              <w:rPr>
                <w:rFonts w:ascii="Aptos" w:hAnsi="Aptos" w:cs="Times New Roman"/>
                <w:b/>
                <w:bCs/>
                <w:sz w:val="24"/>
                <w:szCs w:val="24"/>
              </w:rPr>
              <w:t>4</w:t>
            </w:r>
            <w:r w:rsidRPr="001921C2">
              <w:rPr>
                <w:rFonts w:ascii="Aptos" w:hAnsi="Aptos" w:cs="Times New Roman"/>
                <w:b/>
                <w:bCs/>
                <w:sz w:val="24"/>
                <w:szCs w:val="24"/>
              </w:rPr>
              <w:t>-</w:t>
            </w:r>
            <w:r w:rsidR="00745994">
              <w:rPr>
                <w:rFonts w:ascii="Aptos" w:hAnsi="Aptos" w:cs="Times New Roman"/>
                <w:b/>
                <w:bCs/>
                <w:sz w:val="24"/>
                <w:szCs w:val="24"/>
              </w:rPr>
              <w:t>4</w:t>
            </w:r>
            <w:r w:rsidRPr="001921C2">
              <w:rPr>
                <w:rFonts w:ascii="Aptos" w:hAnsi="Aptos" w:cs="Times New Roman"/>
                <w:b/>
                <w:bCs/>
                <w:sz w:val="24"/>
                <w:szCs w:val="24"/>
              </w:rPr>
              <w:t xml:space="preserve"> Annualized Cost to the </w:t>
            </w:r>
            <w:r w:rsidR="00745994">
              <w:rPr>
                <w:rFonts w:ascii="Aptos" w:hAnsi="Aptos" w:cs="Times New Roman"/>
                <w:b/>
                <w:bCs/>
                <w:sz w:val="24"/>
                <w:szCs w:val="24"/>
              </w:rPr>
              <w:t>Federal Government</w:t>
            </w:r>
          </w:p>
        </w:tc>
      </w:tr>
      <w:tr w14:paraId="60B03742" w14:textId="77777777" w:rsidTr="00745994">
        <w:tblPrEx>
          <w:tblW w:w="0" w:type="auto"/>
          <w:tblLook w:val="04A0"/>
        </w:tblPrEx>
        <w:trPr>
          <w:trHeight w:val="804"/>
        </w:trPr>
        <w:tc>
          <w:tcPr>
            <w:tcW w:w="2335" w:type="dxa"/>
            <w:tcBorders>
              <w:left w:val="single" w:sz="8" w:space="0" w:color="auto"/>
            </w:tcBorders>
            <w:shd w:val="clear" w:color="auto" w:fill="D9D9D9" w:themeFill="background1" w:themeFillShade="D9"/>
            <w:vAlign w:val="center"/>
            <w:hideMark/>
          </w:tcPr>
          <w:p w:rsidR="001A15F2" w:rsidRPr="001A15F2" w:rsidP="00745994" w14:paraId="59723CAA" w14:textId="77777777">
            <w:pPr>
              <w:jc w:val="center"/>
              <w:rPr>
                <w:rFonts w:ascii="Aptos" w:hAnsi="Aptos"/>
                <w:b/>
                <w:bCs/>
              </w:rPr>
            </w:pPr>
            <w:r w:rsidRPr="001A15F2">
              <w:rPr>
                <w:rFonts w:ascii="Aptos" w:hAnsi="Aptos"/>
                <w:b/>
                <w:bCs/>
              </w:rPr>
              <w:t>Cost Descriptions</w:t>
            </w:r>
          </w:p>
        </w:tc>
        <w:tc>
          <w:tcPr>
            <w:tcW w:w="1375" w:type="dxa"/>
            <w:shd w:val="clear" w:color="auto" w:fill="D9D9D9" w:themeFill="background1" w:themeFillShade="D9"/>
            <w:vAlign w:val="center"/>
            <w:hideMark/>
          </w:tcPr>
          <w:p w:rsidR="001A15F2" w:rsidRPr="001A15F2" w:rsidP="00745994" w14:paraId="0E8E2585" w14:textId="77777777">
            <w:pPr>
              <w:jc w:val="center"/>
              <w:rPr>
                <w:rFonts w:ascii="Aptos" w:hAnsi="Aptos"/>
                <w:b/>
                <w:bCs/>
              </w:rPr>
            </w:pPr>
            <w:r w:rsidRPr="001A15F2">
              <w:rPr>
                <w:rFonts w:ascii="Aptos" w:hAnsi="Aptos"/>
                <w:b/>
                <w:bCs/>
              </w:rPr>
              <w:t>Grade/Step</w:t>
            </w:r>
          </w:p>
        </w:tc>
        <w:tc>
          <w:tcPr>
            <w:tcW w:w="1624" w:type="dxa"/>
            <w:shd w:val="clear" w:color="auto" w:fill="D9D9D9" w:themeFill="background1" w:themeFillShade="D9"/>
            <w:vAlign w:val="center"/>
            <w:hideMark/>
          </w:tcPr>
          <w:p w:rsidR="001A15F2" w:rsidRPr="001A15F2" w:rsidP="00745994" w14:paraId="7E421809" w14:textId="77777777">
            <w:pPr>
              <w:jc w:val="center"/>
              <w:rPr>
                <w:rFonts w:ascii="Aptos" w:hAnsi="Aptos"/>
                <w:b/>
                <w:bCs/>
              </w:rPr>
            </w:pPr>
            <w:r w:rsidRPr="001A15F2">
              <w:rPr>
                <w:rFonts w:ascii="Aptos" w:hAnsi="Aptos"/>
                <w:b/>
                <w:bCs/>
              </w:rPr>
              <w:t>Salary</w:t>
            </w:r>
          </w:p>
        </w:tc>
        <w:tc>
          <w:tcPr>
            <w:tcW w:w="952" w:type="dxa"/>
            <w:shd w:val="clear" w:color="auto" w:fill="D9D9D9" w:themeFill="background1" w:themeFillShade="D9"/>
            <w:vAlign w:val="center"/>
            <w:hideMark/>
          </w:tcPr>
          <w:p w:rsidR="001A15F2" w:rsidRPr="001A15F2" w:rsidP="00745994" w14:paraId="48A0FE5D" w14:textId="77777777">
            <w:pPr>
              <w:jc w:val="center"/>
              <w:rPr>
                <w:rFonts w:ascii="Aptos" w:hAnsi="Aptos"/>
                <w:b/>
                <w:bCs/>
              </w:rPr>
            </w:pPr>
            <w:r w:rsidRPr="001A15F2">
              <w:rPr>
                <w:rFonts w:ascii="Aptos" w:hAnsi="Aptos"/>
                <w:b/>
                <w:bCs/>
              </w:rPr>
              <w:t>% of Effort</w:t>
            </w:r>
          </w:p>
        </w:tc>
        <w:tc>
          <w:tcPr>
            <w:tcW w:w="1343" w:type="dxa"/>
            <w:shd w:val="clear" w:color="auto" w:fill="D9D9D9" w:themeFill="background1" w:themeFillShade="D9"/>
            <w:vAlign w:val="center"/>
            <w:hideMark/>
          </w:tcPr>
          <w:p w:rsidR="001A15F2" w:rsidRPr="001A15F2" w:rsidP="00745994" w14:paraId="634B219B" w14:textId="08F951B1">
            <w:pPr>
              <w:jc w:val="center"/>
              <w:rPr>
                <w:rFonts w:ascii="Aptos" w:hAnsi="Aptos"/>
                <w:b/>
                <w:bCs/>
              </w:rPr>
            </w:pPr>
            <w:r w:rsidRPr="001A15F2">
              <w:rPr>
                <w:rFonts w:ascii="Aptos" w:hAnsi="Aptos"/>
                <w:b/>
                <w:bCs/>
              </w:rPr>
              <w:t>Fringe (if applicable)</w:t>
            </w:r>
          </w:p>
        </w:tc>
        <w:tc>
          <w:tcPr>
            <w:tcW w:w="1721" w:type="dxa"/>
            <w:tcBorders>
              <w:right w:val="single" w:sz="8" w:space="0" w:color="auto"/>
            </w:tcBorders>
            <w:shd w:val="clear" w:color="auto" w:fill="D9D9D9" w:themeFill="background1" w:themeFillShade="D9"/>
            <w:vAlign w:val="center"/>
            <w:hideMark/>
          </w:tcPr>
          <w:p w:rsidR="001A15F2" w:rsidRPr="001A15F2" w:rsidP="00745994" w14:paraId="54551FC2" w14:textId="77777777">
            <w:pPr>
              <w:jc w:val="center"/>
              <w:rPr>
                <w:rFonts w:ascii="Aptos" w:hAnsi="Aptos"/>
                <w:b/>
                <w:bCs/>
              </w:rPr>
            </w:pPr>
            <w:r w:rsidRPr="001A15F2">
              <w:rPr>
                <w:rFonts w:ascii="Aptos" w:hAnsi="Aptos"/>
                <w:b/>
                <w:bCs/>
              </w:rPr>
              <w:t>Total Cost to Gov’t</w:t>
            </w:r>
          </w:p>
        </w:tc>
      </w:tr>
      <w:tr w14:paraId="5CFBA7F9" w14:textId="77777777" w:rsidTr="00745994">
        <w:tblPrEx>
          <w:tblW w:w="0" w:type="auto"/>
          <w:tblLook w:val="04A0"/>
        </w:tblPrEx>
        <w:trPr>
          <w:trHeight w:val="399"/>
        </w:trPr>
        <w:tc>
          <w:tcPr>
            <w:tcW w:w="2335" w:type="dxa"/>
            <w:tcBorders>
              <w:left w:val="single" w:sz="8" w:space="0" w:color="auto"/>
            </w:tcBorders>
            <w:shd w:val="clear" w:color="auto" w:fill="F2F2F2" w:themeFill="background1" w:themeFillShade="F2"/>
            <w:vAlign w:val="center"/>
            <w:hideMark/>
          </w:tcPr>
          <w:p w:rsidR="001A15F2" w:rsidRPr="001A15F2" w:rsidP="0095214B" w14:paraId="6344BA63" w14:textId="77777777">
            <w:pPr>
              <w:rPr>
                <w:rFonts w:ascii="Aptos" w:hAnsi="Aptos"/>
                <w:b/>
                <w:bCs/>
              </w:rPr>
            </w:pPr>
            <w:r w:rsidRPr="001A15F2">
              <w:rPr>
                <w:rFonts w:ascii="Aptos" w:hAnsi="Aptos"/>
                <w:b/>
                <w:bCs/>
              </w:rPr>
              <w:t>Federal Oversight</w:t>
            </w:r>
          </w:p>
        </w:tc>
        <w:tc>
          <w:tcPr>
            <w:tcW w:w="1375" w:type="dxa"/>
            <w:shd w:val="clear" w:color="auto" w:fill="F2F2F2" w:themeFill="background1" w:themeFillShade="F2"/>
            <w:vAlign w:val="center"/>
            <w:hideMark/>
          </w:tcPr>
          <w:p w:rsidR="001A15F2" w:rsidRPr="001A15F2" w:rsidP="0095214B" w14:paraId="5EAF58E1" w14:textId="77777777">
            <w:pPr>
              <w:rPr>
                <w:rFonts w:ascii="Aptos" w:hAnsi="Aptos"/>
                <w:b/>
                <w:bCs/>
              </w:rPr>
            </w:pPr>
            <w:r w:rsidRPr="001A15F2">
              <w:rPr>
                <w:rFonts w:ascii="Aptos" w:hAnsi="Aptos"/>
                <w:b/>
                <w:bCs/>
              </w:rPr>
              <w:t> </w:t>
            </w:r>
          </w:p>
        </w:tc>
        <w:tc>
          <w:tcPr>
            <w:tcW w:w="1624" w:type="dxa"/>
            <w:shd w:val="clear" w:color="auto" w:fill="F2F2F2" w:themeFill="background1" w:themeFillShade="F2"/>
            <w:vAlign w:val="center"/>
            <w:hideMark/>
          </w:tcPr>
          <w:p w:rsidR="001A15F2" w:rsidRPr="001A15F2" w:rsidP="0095214B" w14:paraId="07F1A5AE" w14:textId="77777777">
            <w:pPr>
              <w:rPr>
                <w:rFonts w:ascii="Aptos" w:hAnsi="Aptos"/>
                <w:b/>
                <w:bCs/>
              </w:rPr>
            </w:pPr>
            <w:r w:rsidRPr="001A15F2">
              <w:rPr>
                <w:rFonts w:ascii="Aptos" w:hAnsi="Aptos"/>
                <w:b/>
                <w:bCs/>
              </w:rPr>
              <w:t> </w:t>
            </w:r>
          </w:p>
        </w:tc>
        <w:tc>
          <w:tcPr>
            <w:tcW w:w="952" w:type="dxa"/>
            <w:shd w:val="clear" w:color="auto" w:fill="F2F2F2" w:themeFill="background1" w:themeFillShade="F2"/>
            <w:vAlign w:val="center"/>
            <w:hideMark/>
          </w:tcPr>
          <w:p w:rsidR="001A15F2" w:rsidRPr="001A15F2" w:rsidP="0095214B" w14:paraId="5C6DB3F0" w14:textId="77777777">
            <w:pPr>
              <w:rPr>
                <w:rFonts w:ascii="Aptos" w:hAnsi="Aptos"/>
                <w:b/>
                <w:bCs/>
              </w:rPr>
            </w:pPr>
            <w:r w:rsidRPr="001A15F2">
              <w:rPr>
                <w:rFonts w:ascii="Aptos" w:hAnsi="Aptos"/>
                <w:b/>
                <w:bCs/>
              </w:rPr>
              <w:t> </w:t>
            </w:r>
          </w:p>
        </w:tc>
        <w:tc>
          <w:tcPr>
            <w:tcW w:w="1343" w:type="dxa"/>
            <w:shd w:val="clear" w:color="auto" w:fill="F2F2F2" w:themeFill="background1" w:themeFillShade="F2"/>
            <w:vAlign w:val="center"/>
            <w:hideMark/>
          </w:tcPr>
          <w:p w:rsidR="001A15F2" w:rsidRPr="001A15F2" w:rsidP="0095214B" w14:paraId="779CF313" w14:textId="77777777">
            <w:pPr>
              <w:rPr>
                <w:rFonts w:ascii="Aptos" w:hAnsi="Aptos"/>
                <w:b/>
                <w:bCs/>
              </w:rPr>
            </w:pPr>
            <w:r w:rsidRPr="001A15F2">
              <w:rPr>
                <w:rFonts w:ascii="Aptos" w:hAnsi="Aptos"/>
                <w:b/>
                <w:bCs/>
              </w:rPr>
              <w:t> </w:t>
            </w:r>
          </w:p>
        </w:tc>
        <w:tc>
          <w:tcPr>
            <w:tcW w:w="1721" w:type="dxa"/>
            <w:tcBorders>
              <w:right w:val="single" w:sz="8" w:space="0" w:color="auto"/>
            </w:tcBorders>
            <w:shd w:val="clear" w:color="auto" w:fill="F2F2F2" w:themeFill="background1" w:themeFillShade="F2"/>
            <w:vAlign w:val="center"/>
            <w:hideMark/>
          </w:tcPr>
          <w:p w:rsidR="001A15F2" w:rsidRPr="001A15F2" w:rsidP="0095214B" w14:paraId="5B260787" w14:textId="77777777">
            <w:pPr>
              <w:rPr>
                <w:rFonts w:ascii="Aptos" w:hAnsi="Aptos"/>
                <w:b/>
                <w:bCs/>
              </w:rPr>
            </w:pPr>
            <w:r w:rsidRPr="001A15F2">
              <w:rPr>
                <w:rFonts w:ascii="Aptos" w:hAnsi="Aptos"/>
                <w:b/>
                <w:bCs/>
              </w:rPr>
              <w:t> </w:t>
            </w:r>
          </w:p>
        </w:tc>
      </w:tr>
      <w:tr w14:paraId="5CCE6687"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3D67E4CF" w14:textId="77777777">
            <w:pPr>
              <w:rPr>
                <w:rFonts w:ascii="Aptos" w:hAnsi="Aptos"/>
              </w:rPr>
            </w:pPr>
            <w:r w:rsidRPr="001A15F2">
              <w:rPr>
                <w:rFonts w:ascii="Aptos" w:hAnsi="Aptos"/>
              </w:rPr>
              <w:t>NIH Software Developer</w:t>
            </w:r>
            <w:r w:rsidRPr="001A15F2">
              <w:rPr>
                <w:rFonts w:ascii="Aptos" w:hAnsi="Aptos"/>
              </w:rPr>
              <w:br/>
              <w:t>[Staff Scientist]</w:t>
            </w:r>
          </w:p>
        </w:tc>
        <w:tc>
          <w:tcPr>
            <w:tcW w:w="1375" w:type="dxa"/>
            <w:vAlign w:val="center"/>
            <w:hideMark/>
          </w:tcPr>
          <w:p w:rsidR="001A15F2" w:rsidRPr="001A15F2" w:rsidP="00745994" w14:paraId="55C19B82" w14:textId="77777777">
            <w:pPr>
              <w:jc w:val="center"/>
              <w:rPr>
                <w:rFonts w:ascii="Aptos" w:hAnsi="Aptos"/>
              </w:rPr>
            </w:pPr>
            <w:r w:rsidRPr="001A15F2">
              <w:rPr>
                <w:rFonts w:ascii="Aptos" w:hAnsi="Aptos"/>
              </w:rPr>
              <w:t>AD-00</w:t>
            </w:r>
          </w:p>
        </w:tc>
        <w:tc>
          <w:tcPr>
            <w:tcW w:w="1624" w:type="dxa"/>
            <w:vAlign w:val="center"/>
            <w:hideMark/>
          </w:tcPr>
          <w:p w:rsidR="001A15F2" w:rsidRPr="001A15F2" w:rsidP="00745994" w14:paraId="7F77C0E9" w14:textId="6CF88109">
            <w:pPr>
              <w:jc w:val="center"/>
              <w:rPr>
                <w:rFonts w:ascii="Aptos" w:hAnsi="Aptos"/>
              </w:rPr>
            </w:pPr>
            <w:r w:rsidRPr="001A15F2">
              <w:rPr>
                <w:rFonts w:ascii="Aptos" w:hAnsi="Aptos"/>
              </w:rPr>
              <w:t>$234,507</w:t>
            </w:r>
          </w:p>
        </w:tc>
        <w:tc>
          <w:tcPr>
            <w:tcW w:w="952" w:type="dxa"/>
            <w:vAlign w:val="center"/>
            <w:hideMark/>
          </w:tcPr>
          <w:p w:rsidR="001A15F2" w:rsidRPr="001A15F2" w:rsidP="00745994" w14:paraId="3030A00F" w14:textId="77777777">
            <w:pPr>
              <w:jc w:val="center"/>
              <w:rPr>
                <w:rFonts w:ascii="Aptos" w:hAnsi="Aptos"/>
              </w:rPr>
            </w:pPr>
            <w:r w:rsidRPr="001A15F2">
              <w:rPr>
                <w:rFonts w:ascii="Aptos" w:hAnsi="Aptos"/>
              </w:rPr>
              <w:t>2</w:t>
            </w:r>
          </w:p>
        </w:tc>
        <w:tc>
          <w:tcPr>
            <w:tcW w:w="1343" w:type="dxa"/>
            <w:shd w:val="clear" w:color="auto" w:fill="F2F2F2" w:themeFill="background1" w:themeFillShade="F2"/>
            <w:vAlign w:val="center"/>
            <w:hideMark/>
          </w:tcPr>
          <w:p w:rsidR="001A15F2" w:rsidRPr="001A15F2" w:rsidP="00745994" w14:paraId="54792B33" w14:textId="147B3799">
            <w:pPr>
              <w:jc w:val="center"/>
              <w:rPr>
                <w:rFonts w:ascii="Aptos" w:hAnsi="Aptos"/>
              </w:rPr>
            </w:pPr>
          </w:p>
        </w:tc>
        <w:tc>
          <w:tcPr>
            <w:tcW w:w="1721" w:type="dxa"/>
            <w:tcBorders>
              <w:right w:val="single" w:sz="8" w:space="0" w:color="auto"/>
            </w:tcBorders>
            <w:vAlign w:val="center"/>
            <w:hideMark/>
          </w:tcPr>
          <w:p w:rsidR="001A15F2" w:rsidRPr="001A15F2" w:rsidP="00745994" w14:paraId="477B35DE" w14:textId="5610AFD6">
            <w:pPr>
              <w:jc w:val="center"/>
              <w:rPr>
                <w:rFonts w:ascii="Aptos" w:hAnsi="Aptos"/>
              </w:rPr>
            </w:pPr>
            <w:r w:rsidRPr="001A15F2">
              <w:rPr>
                <w:rFonts w:ascii="Aptos" w:hAnsi="Aptos"/>
              </w:rPr>
              <w:t>$469,014</w:t>
            </w:r>
          </w:p>
        </w:tc>
      </w:tr>
      <w:tr w14:paraId="0037EBCE"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754043EC" w14:textId="77777777">
            <w:pPr>
              <w:rPr>
                <w:rFonts w:ascii="Aptos" w:hAnsi="Aptos"/>
              </w:rPr>
            </w:pPr>
            <w:r w:rsidRPr="001A15F2">
              <w:rPr>
                <w:rFonts w:ascii="Aptos" w:hAnsi="Aptos"/>
              </w:rPr>
              <w:t>Contractor Technical Lead</w:t>
            </w:r>
          </w:p>
        </w:tc>
        <w:tc>
          <w:tcPr>
            <w:tcW w:w="1375" w:type="dxa"/>
            <w:vAlign w:val="center"/>
            <w:hideMark/>
          </w:tcPr>
          <w:p w:rsidR="001A15F2" w:rsidRPr="001A15F2" w:rsidP="00745994" w14:paraId="3D7AB0BE" w14:textId="59369AFA">
            <w:pPr>
              <w:jc w:val="center"/>
              <w:rPr>
                <w:rFonts w:ascii="Aptos" w:hAnsi="Aptos"/>
              </w:rPr>
            </w:pPr>
          </w:p>
        </w:tc>
        <w:tc>
          <w:tcPr>
            <w:tcW w:w="1624" w:type="dxa"/>
            <w:vAlign w:val="center"/>
            <w:hideMark/>
          </w:tcPr>
          <w:p w:rsidR="001A15F2" w:rsidRPr="001A15F2" w:rsidP="00745994" w14:paraId="26DB342E" w14:textId="1EE45ACA">
            <w:pPr>
              <w:jc w:val="center"/>
              <w:rPr>
                <w:rFonts w:ascii="Aptos" w:hAnsi="Aptos"/>
              </w:rPr>
            </w:pPr>
            <w:r w:rsidRPr="001A15F2">
              <w:rPr>
                <w:rFonts w:ascii="Aptos" w:hAnsi="Aptos"/>
              </w:rPr>
              <w:t>$296,324</w:t>
            </w:r>
          </w:p>
        </w:tc>
        <w:tc>
          <w:tcPr>
            <w:tcW w:w="952" w:type="dxa"/>
            <w:vAlign w:val="center"/>
            <w:hideMark/>
          </w:tcPr>
          <w:p w:rsidR="001A15F2" w:rsidRPr="001A15F2" w:rsidP="00745994" w14:paraId="426D834E" w14:textId="77777777">
            <w:pPr>
              <w:jc w:val="center"/>
              <w:rPr>
                <w:rFonts w:ascii="Aptos" w:hAnsi="Aptos"/>
              </w:rPr>
            </w:pPr>
            <w:r w:rsidRPr="001A15F2">
              <w:rPr>
                <w:rFonts w:ascii="Aptos" w:hAnsi="Aptos"/>
              </w:rPr>
              <w:t>1</w:t>
            </w:r>
          </w:p>
        </w:tc>
        <w:tc>
          <w:tcPr>
            <w:tcW w:w="1343" w:type="dxa"/>
            <w:shd w:val="clear" w:color="auto" w:fill="F2F2F2" w:themeFill="background1" w:themeFillShade="F2"/>
            <w:vAlign w:val="center"/>
            <w:hideMark/>
          </w:tcPr>
          <w:p w:rsidR="001A15F2" w:rsidRPr="001A15F2" w:rsidP="00745994" w14:paraId="7E5322D2" w14:textId="397BB56D">
            <w:pPr>
              <w:jc w:val="center"/>
              <w:rPr>
                <w:rFonts w:ascii="Aptos" w:hAnsi="Aptos"/>
              </w:rPr>
            </w:pPr>
          </w:p>
        </w:tc>
        <w:tc>
          <w:tcPr>
            <w:tcW w:w="1721" w:type="dxa"/>
            <w:tcBorders>
              <w:right w:val="single" w:sz="8" w:space="0" w:color="auto"/>
            </w:tcBorders>
            <w:vAlign w:val="center"/>
            <w:hideMark/>
          </w:tcPr>
          <w:p w:rsidR="001A15F2" w:rsidRPr="001A15F2" w:rsidP="00745994" w14:paraId="566BCA2C" w14:textId="59EBD95C">
            <w:pPr>
              <w:jc w:val="center"/>
              <w:rPr>
                <w:rFonts w:ascii="Aptos" w:hAnsi="Aptos"/>
              </w:rPr>
            </w:pPr>
            <w:r w:rsidRPr="001A15F2">
              <w:rPr>
                <w:rFonts w:ascii="Aptos" w:hAnsi="Aptos"/>
              </w:rPr>
              <w:t>$296,324</w:t>
            </w:r>
          </w:p>
        </w:tc>
      </w:tr>
      <w:tr w14:paraId="203D3053"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7C5DEDF0" w14:textId="77777777">
            <w:pPr>
              <w:rPr>
                <w:rFonts w:ascii="Aptos" w:hAnsi="Aptos"/>
              </w:rPr>
            </w:pPr>
            <w:r w:rsidRPr="001A15F2">
              <w:rPr>
                <w:rFonts w:ascii="Aptos" w:hAnsi="Aptos"/>
              </w:rPr>
              <w:t>Contractor Content Specialist</w:t>
            </w:r>
          </w:p>
        </w:tc>
        <w:tc>
          <w:tcPr>
            <w:tcW w:w="1375" w:type="dxa"/>
            <w:vAlign w:val="center"/>
            <w:hideMark/>
          </w:tcPr>
          <w:p w:rsidR="001A15F2" w:rsidRPr="001A15F2" w:rsidP="00745994" w14:paraId="3A7E018E" w14:textId="47FE7231">
            <w:pPr>
              <w:jc w:val="center"/>
              <w:rPr>
                <w:rFonts w:ascii="Aptos" w:hAnsi="Aptos"/>
              </w:rPr>
            </w:pPr>
          </w:p>
        </w:tc>
        <w:tc>
          <w:tcPr>
            <w:tcW w:w="1624" w:type="dxa"/>
            <w:vAlign w:val="center"/>
            <w:hideMark/>
          </w:tcPr>
          <w:p w:rsidR="001A15F2" w:rsidRPr="001A15F2" w:rsidP="00745994" w14:paraId="0F0E8612" w14:textId="076F9E7E">
            <w:pPr>
              <w:jc w:val="center"/>
              <w:rPr>
                <w:rFonts w:ascii="Aptos" w:hAnsi="Aptos"/>
              </w:rPr>
            </w:pPr>
            <w:r w:rsidRPr="001A15F2">
              <w:rPr>
                <w:rFonts w:ascii="Aptos" w:hAnsi="Aptos"/>
              </w:rPr>
              <w:t>$199,875</w:t>
            </w:r>
          </w:p>
        </w:tc>
        <w:tc>
          <w:tcPr>
            <w:tcW w:w="952" w:type="dxa"/>
            <w:vAlign w:val="center"/>
            <w:hideMark/>
          </w:tcPr>
          <w:p w:rsidR="001A15F2" w:rsidRPr="001A15F2" w:rsidP="00745994" w14:paraId="3B3A2014" w14:textId="77777777">
            <w:pPr>
              <w:jc w:val="center"/>
              <w:rPr>
                <w:rFonts w:ascii="Aptos" w:hAnsi="Aptos"/>
              </w:rPr>
            </w:pPr>
            <w:r w:rsidRPr="001A15F2">
              <w:rPr>
                <w:rFonts w:ascii="Aptos" w:hAnsi="Aptos"/>
              </w:rPr>
              <w:t>4.5</w:t>
            </w:r>
          </w:p>
        </w:tc>
        <w:tc>
          <w:tcPr>
            <w:tcW w:w="1343" w:type="dxa"/>
            <w:shd w:val="clear" w:color="auto" w:fill="F2F2F2" w:themeFill="background1" w:themeFillShade="F2"/>
            <w:vAlign w:val="center"/>
            <w:hideMark/>
          </w:tcPr>
          <w:p w:rsidR="001A15F2" w:rsidRPr="001A15F2" w:rsidP="00745994" w14:paraId="3FED7A4E" w14:textId="601FEF55">
            <w:pPr>
              <w:jc w:val="center"/>
              <w:rPr>
                <w:rFonts w:ascii="Aptos" w:hAnsi="Aptos"/>
              </w:rPr>
            </w:pPr>
          </w:p>
        </w:tc>
        <w:tc>
          <w:tcPr>
            <w:tcW w:w="1721" w:type="dxa"/>
            <w:tcBorders>
              <w:right w:val="single" w:sz="8" w:space="0" w:color="auto"/>
            </w:tcBorders>
            <w:vAlign w:val="center"/>
            <w:hideMark/>
          </w:tcPr>
          <w:p w:rsidR="001A15F2" w:rsidRPr="001A15F2" w:rsidP="00745994" w14:paraId="1479D06A" w14:textId="442D8C7C">
            <w:pPr>
              <w:jc w:val="center"/>
              <w:rPr>
                <w:rFonts w:ascii="Aptos" w:hAnsi="Aptos"/>
              </w:rPr>
            </w:pPr>
            <w:r w:rsidRPr="001A15F2">
              <w:rPr>
                <w:rFonts w:ascii="Aptos" w:hAnsi="Aptos"/>
              </w:rPr>
              <w:t>$899,436</w:t>
            </w:r>
          </w:p>
        </w:tc>
      </w:tr>
      <w:tr w14:paraId="34BEA6B0"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6673B45F" w14:textId="77777777">
            <w:pPr>
              <w:rPr>
                <w:rFonts w:ascii="Aptos" w:hAnsi="Aptos"/>
              </w:rPr>
            </w:pPr>
            <w:r w:rsidRPr="001A15F2">
              <w:rPr>
                <w:rFonts w:ascii="Aptos" w:hAnsi="Aptos"/>
              </w:rPr>
              <w:t>Contractor Software Developer</w:t>
            </w:r>
          </w:p>
        </w:tc>
        <w:tc>
          <w:tcPr>
            <w:tcW w:w="1375" w:type="dxa"/>
            <w:vAlign w:val="center"/>
            <w:hideMark/>
          </w:tcPr>
          <w:p w:rsidR="001A15F2" w:rsidRPr="001A15F2" w:rsidP="00745994" w14:paraId="7FDB80A4" w14:textId="22734D83">
            <w:pPr>
              <w:jc w:val="center"/>
              <w:rPr>
                <w:rFonts w:ascii="Aptos" w:hAnsi="Aptos"/>
              </w:rPr>
            </w:pPr>
          </w:p>
        </w:tc>
        <w:tc>
          <w:tcPr>
            <w:tcW w:w="1624" w:type="dxa"/>
            <w:vAlign w:val="center"/>
            <w:hideMark/>
          </w:tcPr>
          <w:p w:rsidR="001A15F2" w:rsidRPr="001A15F2" w:rsidP="00745994" w14:paraId="22E31582" w14:textId="3C71539C">
            <w:pPr>
              <w:jc w:val="center"/>
              <w:rPr>
                <w:rFonts w:ascii="Aptos" w:hAnsi="Aptos"/>
              </w:rPr>
            </w:pPr>
            <w:r w:rsidRPr="001A15F2">
              <w:rPr>
                <w:rFonts w:ascii="Aptos" w:hAnsi="Aptos"/>
              </w:rPr>
              <w:t>$238,390</w:t>
            </w:r>
          </w:p>
        </w:tc>
        <w:tc>
          <w:tcPr>
            <w:tcW w:w="952" w:type="dxa"/>
            <w:vAlign w:val="center"/>
            <w:hideMark/>
          </w:tcPr>
          <w:p w:rsidR="001A15F2" w:rsidRPr="001A15F2" w:rsidP="00745994" w14:paraId="7CBCCE80" w14:textId="77777777">
            <w:pPr>
              <w:jc w:val="center"/>
              <w:rPr>
                <w:rFonts w:ascii="Aptos" w:hAnsi="Aptos"/>
              </w:rPr>
            </w:pPr>
            <w:r w:rsidRPr="001A15F2">
              <w:rPr>
                <w:rFonts w:ascii="Aptos" w:hAnsi="Aptos"/>
              </w:rPr>
              <w:t>5</w:t>
            </w:r>
          </w:p>
        </w:tc>
        <w:tc>
          <w:tcPr>
            <w:tcW w:w="1343" w:type="dxa"/>
            <w:shd w:val="clear" w:color="auto" w:fill="F2F2F2" w:themeFill="background1" w:themeFillShade="F2"/>
            <w:vAlign w:val="center"/>
            <w:hideMark/>
          </w:tcPr>
          <w:p w:rsidR="001A15F2" w:rsidRPr="001A15F2" w:rsidP="00745994" w14:paraId="724B0021" w14:textId="62A16A47">
            <w:pPr>
              <w:jc w:val="center"/>
              <w:rPr>
                <w:rFonts w:ascii="Aptos" w:hAnsi="Aptos"/>
              </w:rPr>
            </w:pPr>
          </w:p>
        </w:tc>
        <w:tc>
          <w:tcPr>
            <w:tcW w:w="1721" w:type="dxa"/>
            <w:tcBorders>
              <w:right w:val="single" w:sz="8" w:space="0" w:color="auto"/>
            </w:tcBorders>
            <w:vAlign w:val="center"/>
            <w:hideMark/>
          </w:tcPr>
          <w:p w:rsidR="001A15F2" w:rsidRPr="001A15F2" w:rsidP="00745994" w14:paraId="4250E71A" w14:textId="65770121">
            <w:pPr>
              <w:jc w:val="center"/>
              <w:rPr>
                <w:rFonts w:ascii="Aptos" w:hAnsi="Aptos"/>
              </w:rPr>
            </w:pPr>
            <w:r w:rsidRPr="001A15F2">
              <w:rPr>
                <w:rFonts w:ascii="Aptos" w:hAnsi="Aptos"/>
              </w:rPr>
              <w:t>$1,191,954</w:t>
            </w:r>
          </w:p>
        </w:tc>
      </w:tr>
      <w:tr w14:paraId="34F989D9"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110D8A67" w14:textId="77777777">
            <w:pPr>
              <w:rPr>
                <w:rFonts w:ascii="Aptos" w:hAnsi="Aptos"/>
              </w:rPr>
            </w:pPr>
            <w:r w:rsidRPr="001A15F2">
              <w:rPr>
                <w:rFonts w:ascii="Aptos" w:hAnsi="Aptos"/>
              </w:rPr>
              <w:t>Contractor Project Manager</w:t>
            </w:r>
          </w:p>
        </w:tc>
        <w:tc>
          <w:tcPr>
            <w:tcW w:w="1375" w:type="dxa"/>
            <w:vAlign w:val="center"/>
            <w:hideMark/>
          </w:tcPr>
          <w:p w:rsidR="001A15F2" w:rsidRPr="001A15F2" w:rsidP="00745994" w14:paraId="4F834A70" w14:textId="217338F0">
            <w:pPr>
              <w:jc w:val="center"/>
              <w:rPr>
                <w:rFonts w:ascii="Aptos" w:hAnsi="Aptos"/>
              </w:rPr>
            </w:pPr>
          </w:p>
        </w:tc>
        <w:tc>
          <w:tcPr>
            <w:tcW w:w="1624" w:type="dxa"/>
            <w:vAlign w:val="center"/>
            <w:hideMark/>
          </w:tcPr>
          <w:p w:rsidR="001A15F2" w:rsidRPr="001A15F2" w:rsidP="00745994" w14:paraId="7ACB8D4A" w14:textId="5C5C22E2">
            <w:pPr>
              <w:jc w:val="center"/>
              <w:rPr>
                <w:rFonts w:ascii="Aptos" w:hAnsi="Aptos"/>
              </w:rPr>
            </w:pPr>
            <w:r w:rsidRPr="001A15F2">
              <w:rPr>
                <w:rFonts w:ascii="Aptos" w:hAnsi="Aptos"/>
              </w:rPr>
              <w:t>$291,889</w:t>
            </w:r>
          </w:p>
        </w:tc>
        <w:tc>
          <w:tcPr>
            <w:tcW w:w="952" w:type="dxa"/>
            <w:vAlign w:val="center"/>
            <w:hideMark/>
          </w:tcPr>
          <w:p w:rsidR="001A15F2" w:rsidRPr="001A15F2" w:rsidP="00745994" w14:paraId="6DF85195" w14:textId="77777777">
            <w:pPr>
              <w:jc w:val="center"/>
              <w:rPr>
                <w:rFonts w:ascii="Aptos" w:hAnsi="Aptos"/>
              </w:rPr>
            </w:pPr>
            <w:r w:rsidRPr="001A15F2">
              <w:rPr>
                <w:rFonts w:ascii="Aptos" w:hAnsi="Aptos"/>
              </w:rPr>
              <w:t>0.6</w:t>
            </w:r>
          </w:p>
        </w:tc>
        <w:tc>
          <w:tcPr>
            <w:tcW w:w="1343" w:type="dxa"/>
            <w:shd w:val="clear" w:color="auto" w:fill="F2F2F2" w:themeFill="background1" w:themeFillShade="F2"/>
            <w:vAlign w:val="center"/>
            <w:hideMark/>
          </w:tcPr>
          <w:p w:rsidR="001A15F2" w:rsidRPr="001A15F2" w:rsidP="00745994" w14:paraId="6A5EAB26" w14:textId="55B30DD2">
            <w:pPr>
              <w:jc w:val="center"/>
              <w:rPr>
                <w:rFonts w:ascii="Aptos" w:hAnsi="Aptos"/>
              </w:rPr>
            </w:pPr>
          </w:p>
        </w:tc>
        <w:tc>
          <w:tcPr>
            <w:tcW w:w="1721" w:type="dxa"/>
            <w:tcBorders>
              <w:right w:val="single" w:sz="8" w:space="0" w:color="auto"/>
            </w:tcBorders>
            <w:vAlign w:val="center"/>
            <w:hideMark/>
          </w:tcPr>
          <w:p w:rsidR="001A15F2" w:rsidRPr="001A15F2" w:rsidP="00745994" w14:paraId="4CD8D1E8" w14:textId="51260356">
            <w:pPr>
              <w:jc w:val="center"/>
              <w:rPr>
                <w:rFonts w:ascii="Aptos" w:hAnsi="Aptos"/>
              </w:rPr>
            </w:pPr>
            <w:r w:rsidRPr="001A15F2">
              <w:rPr>
                <w:rFonts w:ascii="Aptos" w:hAnsi="Aptos"/>
              </w:rPr>
              <w:t>$175,133</w:t>
            </w:r>
          </w:p>
        </w:tc>
      </w:tr>
      <w:tr w14:paraId="3ECCAC42" w14:textId="77777777" w:rsidTr="00745994">
        <w:tblPrEx>
          <w:tblW w:w="0" w:type="auto"/>
          <w:tblLook w:val="04A0"/>
        </w:tblPrEx>
        <w:trPr>
          <w:trHeight w:val="804"/>
        </w:trPr>
        <w:tc>
          <w:tcPr>
            <w:tcW w:w="2335" w:type="dxa"/>
            <w:tcBorders>
              <w:left w:val="single" w:sz="8" w:space="0" w:color="auto"/>
            </w:tcBorders>
            <w:vAlign w:val="center"/>
            <w:hideMark/>
          </w:tcPr>
          <w:p w:rsidR="001A15F2" w:rsidRPr="001A15F2" w:rsidP="0089464E" w14:paraId="642A1821" w14:textId="77777777">
            <w:pPr>
              <w:rPr>
                <w:rFonts w:ascii="Aptos" w:hAnsi="Aptos"/>
              </w:rPr>
            </w:pPr>
            <w:r w:rsidRPr="001A15F2">
              <w:rPr>
                <w:rFonts w:ascii="Aptos" w:hAnsi="Aptos"/>
              </w:rPr>
              <w:t>Contractor Product Manager</w:t>
            </w:r>
          </w:p>
        </w:tc>
        <w:tc>
          <w:tcPr>
            <w:tcW w:w="1375" w:type="dxa"/>
            <w:vAlign w:val="center"/>
            <w:hideMark/>
          </w:tcPr>
          <w:p w:rsidR="001A15F2" w:rsidRPr="001A15F2" w:rsidP="00745994" w14:paraId="3DECA313" w14:textId="3A5AD01C">
            <w:pPr>
              <w:jc w:val="center"/>
              <w:rPr>
                <w:rFonts w:ascii="Aptos" w:hAnsi="Aptos"/>
              </w:rPr>
            </w:pPr>
          </w:p>
        </w:tc>
        <w:tc>
          <w:tcPr>
            <w:tcW w:w="1624" w:type="dxa"/>
            <w:vAlign w:val="center"/>
            <w:hideMark/>
          </w:tcPr>
          <w:p w:rsidR="001A15F2" w:rsidRPr="001A15F2" w:rsidP="00745994" w14:paraId="3A38D7C2" w14:textId="48EEA228">
            <w:pPr>
              <w:jc w:val="center"/>
              <w:rPr>
                <w:rFonts w:ascii="Aptos" w:hAnsi="Aptos"/>
              </w:rPr>
            </w:pPr>
            <w:r w:rsidRPr="001A15F2">
              <w:rPr>
                <w:rFonts w:ascii="Aptos" w:hAnsi="Aptos"/>
              </w:rPr>
              <w:t>$259,591</w:t>
            </w:r>
          </w:p>
        </w:tc>
        <w:tc>
          <w:tcPr>
            <w:tcW w:w="952" w:type="dxa"/>
            <w:vAlign w:val="center"/>
            <w:hideMark/>
          </w:tcPr>
          <w:p w:rsidR="001A15F2" w:rsidRPr="001A15F2" w:rsidP="00745994" w14:paraId="31BA0EBC" w14:textId="77777777">
            <w:pPr>
              <w:jc w:val="center"/>
              <w:rPr>
                <w:rFonts w:ascii="Aptos" w:hAnsi="Aptos"/>
              </w:rPr>
            </w:pPr>
            <w:r w:rsidRPr="001A15F2">
              <w:rPr>
                <w:rFonts w:ascii="Aptos" w:hAnsi="Aptos"/>
              </w:rPr>
              <w:t>0.4</w:t>
            </w:r>
          </w:p>
        </w:tc>
        <w:tc>
          <w:tcPr>
            <w:tcW w:w="1343" w:type="dxa"/>
            <w:shd w:val="clear" w:color="auto" w:fill="F2F2F2" w:themeFill="background1" w:themeFillShade="F2"/>
            <w:vAlign w:val="center"/>
            <w:hideMark/>
          </w:tcPr>
          <w:p w:rsidR="001A15F2" w:rsidRPr="001A15F2" w:rsidP="00745994" w14:paraId="49D4134B" w14:textId="05CFA629">
            <w:pPr>
              <w:jc w:val="center"/>
              <w:rPr>
                <w:rFonts w:ascii="Aptos" w:hAnsi="Aptos"/>
              </w:rPr>
            </w:pPr>
          </w:p>
        </w:tc>
        <w:tc>
          <w:tcPr>
            <w:tcW w:w="1721" w:type="dxa"/>
            <w:tcBorders>
              <w:right w:val="single" w:sz="8" w:space="0" w:color="auto"/>
            </w:tcBorders>
            <w:vAlign w:val="center"/>
            <w:hideMark/>
          </w:tcPr>
          <w:p w:rsidR="001A15F2" w:rsidRPr="001A15F2" w:rsidP="00745994" w14:paraId="67F50BA5" w14:textId="0A262D44">
            <w:pPr>
              <w:jc w:val="center"/>
              <w:rPr>
                <w:rFonts w:ascii="Aptos" w:hAnsi="Aptos"/>
              </w:rPr>
            </w:pPr>
            <w:r w:rsidRPr="001A15F2">
              <w:rPr>
                <w:rFonts w:ascii="Aptos" w:hAnsi="Aptos"/>
              </w:rPr>
              <w:t>$103,836</w:t>
            </w:r>
          </w:p>
        </w:tc>
      </w:tr>
      <w:tr w14:paraId="3EDB597C" w14:textId="77777777" w:rsidTr="00745994">
        <w:tblPrEx>
          <w:tblW w:w="0" w:type="auto"/>
          <w:tblLook w:val="04A0"/>
        </w:tblPrEx>
        <w:trPr>
          <w:trHeight w:val="399"/>
        </w:trPr>
        <w:tc>
          <w:tcPr>
            <w:tcW w:w="2335" w:type="dxa"/>
            <w:tcBorders>
              <w:left w:val="single" w:sz="8" w:space="0" w:color="auto"/>
            </w:tcBorders>
            <w:shd w:val="clear" w:color="auto" w:fill="F2F2F2" w:themeFill="background1" w:themeFillShade="F2"/>
            <w:vAlign w:val="center"/>
            <w:hideMark/>
          </w:tcPr>
          <w:p w:rsidR="001A15F2" w:rsidRPr="001A15F2" w:rsidP="0089464E" w14:paraId="4CF9285B" w14:textId="77777777">
            <w:pPr>
              <w:rPr>
                <w:rFonts w:ascii="Aptos" w:hAnsi="Aptos"/>
              </w:rPr>
            </w:pPr>
            <w:r w:rsidRPr="001A15F2">
              <w:rPr>
                <w:rFonts w:ascii="Aptos" w:hAnsi="Aptos"/>
              </w:rPr>
              <w:t> </w:t>
            </w:r>
          </w:p>
        </w:tc>
        <w:tc>
          <w:tcPr>
            <w:tcW w:w="1375" w:type="dxa"/>
            <w:shd w:val="clear" w:color="auto" w:fill="F2F2F2" w:themeFill="background1" w:themeFillShade="F2"/>
            <w:vAlign w:val="center"/>
            <w:hideMark/>
          </w:tcPr>
          <w:p w:rsidR="001A15F2" w:rsidRPr="001A15F2" w:rsidP="006745B3" w14:paraId="0D8E16BC" w14:textId="75A35048">
            <w:pPr>
              <w:jc w:val="center"/>
              <w:rPr>
                <w:rFonts w:ascii="Aptos" w:hAnsi="Aptos"/>
              </w:rPr>
            </w:pPr>
          </w:p>
        </w:tc>
        <w:tc>
          <w:tcPr>
            <w:tcW w:w="1624" w:type="dxa"/>
            <w:shd w:val="clear" w:color="auto" w:fill="F2F2F2" w:themeFill="background1" w:themeFillShade="F2"/>
            <w:vAlign w:val="center"/>
            <w:hideMark/>
          </w:tcPr>
          <w:p w:rsidR="001A15F2" w:rsidRPr="001A15F2" w:rsidP="006745B3" w14:paraId="1F0ADE73" w14:textId="154BDE68">
            <w:pPr>
              <w:jc w:val="center"/>
              <w:rPr>
                <w:rFonts w:ascii="Aptos" w:hAnsi="Aptos"/>
              </w:rPr>
            </w:pPr>
          </w:p>
        </w:tc>
        <w:tc>
          <w:tcPr>
            <w:tcW w:w="952" w:type="dxa"/>
            <w:shd w:val="clear" w:color="auto" w:fill="F2F2F2" w:themeFill="background1" w:themeFillShade="F2"/>
            <w:vAlign w:val="center"/>
            <w:hideMark/>
          </w:tcPr>
          <w:p w:rsidR="001A15F2" w:rsidRPr="001A15F2" w:rsidP="006745B3" w14:paraId="7F04A56F" w14:textId="1AA00630">
            <w:pPr>
              <w:jc w:val="center"/>
              <w:rPr>
                <w:rFonts w:ascii="Aptos" w:hAnsi="Aptos"/>
              </w:rPr>
            </w:pPr>
          </w:p>
        </w:tc>
        <w:tc>
          <w:tcPr>
            <w:tcW w:w="1343" w:type="dxa"/>
            <w:shd w:val="clear" w:color="auto" w:fill="F2F2F2" w:themeFill="background1" w:themeFillShade="F2"/>
            <w:vAlign w:val="center"/>
            <w:hideMark/>
          </w:tcPr>
          <w:p w:rsidR="001A15F2" w:rsidRPr="001A15F2" w:rsidP="006745B3" w14:paraId="704B9459" w14:textId="081A2114">
            <w:pPr>
              <w:jc w:val="center"/>
              <w:rPr>
                <w:rFonts w:ascii="Aptos" w:hAnsi="Aptos"/>
              </w:rPr>
            </w:pPr>
          </w:p>
        </w:tc>
        <w:tc>
          <w:tcPr>
            <w:tcW w:w="1721" w:type="dxa"/>
            <w:tcBorders>
              <w:right w:val="single" w:sz="8" w:space="0" w:color="auto"/>
            </w:tcBorders>
            <w:shd w:val="clear" w:color="auto" w:fill="F2F2F2" w:themeFill="background1" w:themeFillShade="F2"/>
            <w:vAlign w:val="center"/>
            <w:hideMark/>
          </w:tcPr>
          <w:p w:rsidR="001A15F2" w:rsidRPr="001A15F2" w:rsidP="006745B3" w14:paraId="1E871272" w14:textId="6D73B43C">
            <w:pPr>
              <w:jc w:val="center"/>
              <w:rPr>
                <w:rFonts w:ascii="Aptos" w:hAnsi="Aptos"/>
              </w:rPr>
            </w:pPr>
          </w:p>
        </w:tc>
      </w:tr>
      <w:tr w14:paraId="560BBCDA" w14:textId="77777777" w:rsidTr="00745994">
        <w:tblPrEx>
          <w:tblW w:w="0" w:type="auto"/>
          <w:tblLook w:val="04A0"/>
        </w:tblPrEx>
        <w:trPr>
          <w:trHeight w:val="399"/>
        </w:trPr>
        <w:tc>
          <w:tcPr>
            <w:tcW w:w="2335" w:type="dxa"/>
            <w:tcBorders>
              <w:left w:val="single" w:sz="8" w:space="0" w:color="auto"/>
            </w:tcBorders>
            <w:vAlign w:val="center"/>
            <w:hideMark/>
          </w:tcPr>
          <w:p w:rsidR="001A15F2" w:rsidRPr="001A15F2" w:rsidP="0089464E" w14:paraId="0004BB20" w14:textId="77777777">
            <w:pPr>
              <w:rPr>
                <w:rFonts w:ascii="Aptos" w:hAnsi="Aptos"/>
              </w:rPr>
            </w:pPr>
            <w:r w:rsidRPr="001A15F2">
              <w:rPr>
                <w:rFonts w:ascii="Aptos" w:hAnsi="Aptos"/>
              </w:rPr>
              <w:t>Travel</w:t>
            </w:r>
          </w:p>
        </w:tc>
        <w:tc>
          <w:tcPr>
            <w:tcW w:w="1375" w:type="dxa"/>
            <w:shd w:val="clear" w:color="auto" w:fill="F2F2F2" w:themeFill="background1" w:themeFillShade="F2"/>
            <w:vAlign w:val="center"/>
            <w:hideMark/>
          </w:tcPr>
          <w:p w:rsidR="001A15F2" w:rsidRPr="001A15F2" w:rsidP="006745B3" w14:paraId="508B5C44" w14:textId="0AD655F0">
            <w:pPr>
              <w:jc w:val="center"/>
              <w:rPr>
                <w:rFonts w:ascii="Aptos" w:hAnsi="Aptos"/>
              </w:rPr>
            </w:pPr>
          </w:p>
        </w:tc>
        <w:tc>
          <w:tcPr>
            <w:tcW w:w="1624" w:type="dxa"/>
            <w:shd w:val="clear" w:color="auto" w:fill="F2F2F2" w:themeFill="background1" w:themeFillShade="F2"/>
            <w:vAlign w:val="center"/>
            <w:hideMark/>
          </w:tcPr>
          <w:p w:rsidR="001A15F2" w:rsidRPr="001A15F2" w:rsidP="006745B3" w14:paraId="0D5F8BE7" w14:textId="5BABA0A4">
            <w:pPr>
              <w:jc w:val="center"/>
              <w:rPr>
                <w:rFonts w:ascii="Aptos" w:hAnsi="Aptos"/>
              </w:rPr>
            </w:pPr>
          </w:p>
        </w:tc>
        <w:tc>
          <w:tcPr>
            <w:tcW w:w="952" w:type="dxa"/>
            <w:shd w:val="clear" w:color="auto" w:fill="F2F2F2" w:themeFill="background1" w:themeFillShade="F2"/>
            <w:vAlign w:val="center"/>
            <w:hideMark/>
          </w:tcPr>
          <w:p w:rsidR="001A15F2" w:rsidRPr="001A15F2" w:rsidP="006745B3" w14:paraId="2586CD2C" w14:textId="623EA637">
            <w:pPr>
              <w:jc w:val="center"/>
              <w:rPr>
                <w:rFonts w:ascii="Aptos" w:hAnsi="Aptos"/>
              </w:rPr>
            </w:pPr>
          </w:p>
        </w:tc>
        <w:tc>
          <w:tcPr>
            <w:tcW w:w="1343" w:type="dxa"/>
            <w:shd w:val="clear" w:color="auto" w:fill="F2F2F2" w:themeFill="background1" w:themeFillShade="F2"/>
            <w:vAlign w:val="center"/>
            <w:hideMark/>
          </w:tcPr>
          <w:p w:rsidR="001A15F2" w:rsidRPr="001A15F2" w:rsidP="006745B3" w14:paraId="3F79E9ED" w14:textId="187B88BD">
            <w:pPr>
              <w:jc w:val="center"/>
              <w:rPr>
                <w:rFonts w:ascii="Aptos" w:hAnsi="Aptos"/>
              </w:rPr>
            </w:pPr>
          </w:p>
        </w:tc>
        <w:tc>
          <w:tcPr>
            <w:tcW w:w="1721" w:type="dxa"/>
            <w:tcBorders>
              <w:right w:val="single" w:sz="8" w:space="0" w:color="auto"/>
            </w:tcBorders>
            <w:vAlign w:val="center"/>
            <w:hideMark/>
          </w:tcPr>
          <w:p w:rsidR="001A15F2" w:rsidRPr="001A15F2" w:rsidP="006745B3" w14:paraId="430FF3E0" w14:textId="77777777">
            <w:pPr>
              <w:jc w:val="center"/>
              <w:rPr>
                <w:rFonts w:ascii="Aptos" w:hAnsi="Aptos"/>
              </w:rPr>
            </w:pPr>
            <w:r w:rsidRPr="001A15F2">
              <w:rPr>
                <w:rFonts w:ascii="Aptos" w:hAnsi="Aptos"/>
              </w:rPr>
              <w:t>0</w:t>
            </w:r>
          </w:p>
        </w:tc>
      </w:tr>
      <w:tr w14:paraId="005D19E5" w14:textId="77777777" w:rsidTr="00745994">
        <w:tblPrEx>
          <w:tblW w:w="0" w:type="auto"/>
          <w:tblLook w:val="04A0"/>
        </w:tblPrEx>
        <w:trPr>
          <w:trHeight w:val="399"/>
        </w:trPr>
        <w:tc>
          <w:tcPr>
            <w:tcW w:w="2335" w:type="dxa"/>
            <w:tcBorders>
              <w:left w:val="single" w:sz="8" w:space="0" w:color="auto"/>
            </w:tcBorders>
            <w:vAlign w:val="center"/>
            <w:hideMark/>
          </w:tcPr>
          <w:p w:rsidR="001A15F2" w:rsidRPr="001A15F2" w:rsidP="0089464E" w14:paraId="1B58E74A" w14:textId="77777777">
            <w:pPr>
              <w:rPr>
                <w:rFonts w:ascii="Aptos" w:hAnsi="Aptos"/>
              </w:rPr>
            </w:pPr>
            <w:r w:rsidRPr="001A15F2">
              <w:rPr>
                <w:rFonts w:ascii="Aptos" w:hAnsi="Aptos"/>
              </w:rPr>
              <w:t>Other Cost</w:t>
            </w:r>
          </w:p>
        </w:tc>
        <w:tc>
          <w:tcPr>
            <w:tcW w:w="1375" w:type="dxa"/>
            <w:shd w:val="clear" w:color="auto" w:fill="F2F2F2" w:themeFill="background1" w:themeFillShade="F2"/>
            <w:vAlign w:val="center"/>
            <w:hideMark/>
          </w:tcPr>
          <w:p w:rsidR="001A15F2" w:rsidRPr="001A15F2" w:rsidP="006745B3" w14:paraId="3CADD188" w14:textId="56397EB2">
            <w:pPr>
              <w:jc w:val="center"/>
              <w:rPr>
                <w:rFonts w:ascii="Aptos" w:hAnsi="Aptos"/>
              </w:rPr>
            </w:pPr>
          </w:p>
        </w:tc>
        <w:tc>
          <w:tcPr>
            <w:tcW w:w="1624" w:type="dxa"/>
            <w:shd w:val="clear" w:color="auto" w:fill="F2F2F2" w:themeFill="background1" w:themeFillShade="F2"/>
            <w:vAlign w:val="center"/>
            <w:hideMark/>
          </w:tcPr>
          <w:p w:rsidR="001A15F2" w:rsidRPr="001A15F2" w:rsidP="006745B3" w14:paraId="734C2B77" w14:textId="76BE49CD">
            <w:pPr>
              <w:jc w:val="center"/>
              <w:rPr>
                <w:rFonts w:ascii="Aptos" w:hAnsi="Aptos"/>
              </w:rPr>
            </w:pPr>
          </w:p>
        </w:tc>
        <w:tc>
          <w:tcPr>
            <w:tcW w:w="952" w:type="dxa"/>
            <w:shd w:val="clear" w:color="auto" w:fill="F2F2F2" w:themeFill="background1" w:themeFillShade="F2"/>
            <w:vAlign w:val="center"/>
            <w:hideMark/>
          </w:tcPr>
          <w:p w:rsidR="001A15F2" w:rsidRPr="001A15F2" w:rsidP="006745B3" w14:paraId="4C2C64FF" w14:textId="7D224730">
            <w:pPr>
              <w:jc w:val="center"/>
              <w:rPr>
                <w:rFonts w:ascii="Aptos" w:hAnsi="Aptos"/>
              </w:rPr>
            </w:pPr>
          </w:p>
        </w:tc>
        <w:tc>
          <w:tcPr>
            <w:tcW w:w="1343" w:type="dxa"/>
            <w:shd w:val="clear" w:color="auto" w:fill="F2F2F2" w:themeFill="background1" w:themeFillShade="F2"/>
            <w:vAlign w:val="center"/>
            <w:hideMark/>
          </w:tcPr>
          <w:p w:rsidR="001A15F2" w:rsidRPr="001A15F2" w:rsidP="006745B3" w14:paraId="5E2B72B6" w14:textId="2711F73F">
            <w:pPr>
              <w:jc w:val="center"/>
              <w:rPr>
                <w:rFonts w:ascii="Aptos" w:hAnsi="Aptos"/>
              </w:rPr>
            </w:pPr>
          </w:p>
        </w:tc>
        <w:tc>
          <w:tcPr>
            <w:tcW w:w="1721" w:type="dxa"/>
            <w:tcBorders>
              <w:right w:val="single" w:sz="8" w:space="0" w:color="auto"/>
            </w:tcBorders>
            <w:vAlign w:val="center"/>
            <w:hideMark/>
          </w:tcPr>
          <w:p w:rsidR="001A15F2" w:rsidRPr="001A15F2" w:rsidP="006745B3" w14:paraId="43DC956C" w14:textId="77777777">
            <w:pPr>
              <w:jc w:val="center"/>
              <w:rPr>
                <w:rFonts w:ascii="Aptos" w:hAnsi="Aptos"/>
              </w:rPr>
            </w:pPr>
            <w:r w:rsidRPr="001A15F2">
              <w:rPr>
                <w:rFonts w:ascii="Aptos" w:hAnsi="Aptos"/>
              </w:rPr>
              <w:t>0</w:t>
            </w:r>
          </w:p>
        </w:tc>
      </w:tr>
      <w:tr w14:paraId="38A2FBA1" w14:textId="77777777" w:rsidTr="00745994">
        <w:tblPrEx>
          <w:tblW w:w="0" w:type="auto"/>
          <w:tblLook w:val="04A0"/>
        </w:tblPrEx>
        <w:trPr>
          <w:trHeight w:val="798"/>
        </w:trPr>
        <w:tc>
          <w:tcPr>
            <w:tcW w:w="2335" w:type="dxa"/>
            <w:tcBorders>
              <w:left w:val="single" w:sz="8" w:space="0" w:color="auto"/>
              <w:bottom w:val="single" w:sz="8" w:space="0" w:color="auto"/>
            </w:tcBorders>
            <w:vAlign w:val="center"/>
            <w:hideMark/>
          </w:tcPr>
          <w:p w:rsidR="001A15F2" w:rsidRPr="001A15F2" w:rsidP="0089464E" w14:paraId="0EB70883" w14:textId="77777777">
            <w:pPr>
              <w:rPr>
                <w:rFonts w:ascii="Aptos" w:hAnsi="Aptos"/>
              </w:rPr>
            </w:pPr>
            <w:r w:rsidRPr="001A15F2">
              <w:rPr>
                <w:rFonts w:ascii="Aptos" w:hAnsi="Aptos"/>
              </w:rPr>
              <w:t>Computer Hardware and Software</w:t>
            </w:r>
          </w:p>
        </w:tc>
        <w:tc>
          <w:tcPr>
            <w:tcW w:w="1375" w:type="dxa"/>
            <w:tcBorders>
              <w:bottom w:val="single" w:sz="8" w:space="0" w:color="auto"/>
            </w:tcBorders>
            <w:shd w:val="clear" w:color="auto" w:fill="F2F2F2" w:themeFill="background1" w:themeFillShade="F2"/>
            <w:vAlign w:val="center"/>
            <w:hideMark/>
          </w:tcPr>
          <w:p w:rsidR="001A15F2" w:rsidRPr="001A15F2" w:rsidP="006745B3" w14:paraId="1ECE446A" w14:textId="7746FAA2">
            <w:pPr>
              <w:jc w:val="center"/>
              <w:rPr>
                <w:rFonts w:ascii="Aptos" w:hAnsi="Aptos"/>
              </w:rPr>
            </w:pPr>
          </w:p>
        </w:tc>
        <w:tc>
          <w:tcPr>
            <w:tcW w:w="1624" w:type="dxa"/>
            <w:tcBorders>
              <w:bottom w:val="single" w:sz="8" w:space="0" w:color="auto"/>
            </w:tcBorders>
            <w:shd w:val="clear" w:color="auto" w:fill="F2F2F2" w:themeFill="background1" w:themeFillShade="F2"/>
            <w:vAlign w:val="center"/>
            <w:hideMark/>
          </w:tcPr>
          <w:p w:rsidR="001A15F2" w:rsidRPr="001A15F2" w:rsidP="006745B3" w14:paraId="6A23488A" w14:textId="790A1561">
            <w:pPr>
              <w:jc w:val="center"/>
              <w:rPr>
                <w:rFonts w:ascii="Aptos" w:hAnsi="Aptos"/>
              </w:rPr>
            </w:pPr>
          </w:p>
        </w:tc>
        <w:tc>
          <w:tcPr>
            <w:tcW w:w="952" w:type="dxa"/>
            <w:tcBorders>
              <w:bottom w:val="single" w:sz="8" w:space="0" w:color="auto"/>
            </w:tcBorders>
            <w:shd w:val="clear" w:color="auto" w:fill="F2F2F2" w:themeFill="background1" w:themeFillShade="F2"/>
            <w:vAlign w:val="center"/>
            <w:hideMark/>
          </w:tcPr>
          <w:p w:rsidR="001A15F2" w:rsidRPr="001A15F2" w:rsidP="006745B3" w14:paraId="66A2C4BA" w14:textId="12E3263F">
            <w:pPr>
              <w:jc w:val="center"/>
              <w:rPr>
                <w:rFonts w:ascii="Aptos" w:hAnsi="Aptos"/>
                <w:b/>
                <w:bCs/>
              </w:rPr>
            </w:pPr>
          </w:p>
        </w:tc>
        <w:tc>
          <w:tcPr>
            <w:tcW w:w="1343" w:type="dxa"/>
            <w:tcBorders>
              <w:bottom w:val="single" w:sz="8" w:space="0" w:color="auto"/>
            </w:tcBorders>
            <w:shd w:val="clear" w:color="auto" w:fill="F2F2F2" w:themeFill="background1" w:themeFillShade="F2"/>
            <w:vAlign w:val="center"/>
            <w:hideMark/>
          </w:tcPr>
          <w:p w:rsidR="001A15F2" w:rsidRPr="001A15F2" w:rsidP="006745B3" w14:paraId="0D61F14F" w14:textId="2F3F0A0B">
            <w:pPr>
              <w:jc w:val="center"/>
              <w:rPr>
                <w:rFonts w:ascii="Aptos" w:hAnsi="Aptos"/>
              </w:rPr>
            </w:pPr>
          </w:p>
        </w:tc>
        <w:tc>
          <w:tcPr>
            <w:tcW w:w="1721" w:type="dxa"/>
            <w:tcBorders>
              <w:bottom w:val="single" w:sz="8" w:space="0" w:color="auto"/>
              <w:right w:val="single" w:sz="8" w:space="0" w:color="auto"/>
            </w:tcBorders>
            <w:vAlign w:val="center"/>
            <w:hideMark/>
          </w:tcPr>
          <w:p w:rsidR="001A15F2" w:rsidRPr="001A15F2" w:rsidP="006745B3" w14:paraId="01732018" w14:textId="20710298">
            <w:pPr>
              <w:jc w:val="center"/>
              <w:rPr>
                <w:rFonts w:ascii="Aptos" w:hAnsi="Aptos"/>
              </w:rPr>
            </w:pPr>
            <w:r w:rsidRPr="001A15F2">
              <w:rPr>
                <w:rFonts w:ascii="Aptos" w:hAnsi="Aptos"/>
              </w:rPr>
              <w:t>$2,750,000</w:t>
            </w:r>
          </w:p>
        </w:tc>
      </w:tr>
      <w:tr w14:paraId="0CEEFE3A" w14:textId="77777777" w:rsidTr="00745994">
        <w:tblPrEx>
          <w:tblW w:w="0" w:type="auto"/>
          <w:tblLook w:val="04A0"/>
        </w:tblPrEx>
        <w:trPr>
          <w:trHeight w:val="399"/>
        </w:trPr>
        <w:tc>
          <w:tcPr>
            <w:tcW w:w="2335" w:type="dxa"/>
            <w:tcBorders>
              <w:top w:val="single" w:sz="8" w:space="0" w:color="auto"/>
              <w:left w:val="single" w:sz="8" w:space="0" w:color="auto"/>
              <w:bottom w:val="single" w:sz="8" w:space="0" w:color="auto"/>
            </w:tcBorders>
            <w:shd w:val="clear" w:color="auto" w:fill="D9D9D9" w:themeFill="background1" w:themeFillShade="D9"/>
            <w:vAlign w:val="center"/>
            <w:hideMark/>
          </w:tcPr>
          <w:p w:rsidR="001A15F2" w:rsidRPr="001A15F2" w:rsidP="006745B3" w14:paraId="5F9C3132" w14:textId="77777777">
            <w:pPr>
              <w:jc w:val="right"/>
              <w:rPr>
                <w:rFonts w:ascii="Aptos" w:hAnsi="Aptos"/>
                <w:b/>
                <w:bCs/>
              </w:rPr>
            </w:pPr>
            <w:r w:rsidRPr="001A15F2">
              <w:rPr>
                <w:rFonts w:ascii="Aptos" w:hAnsi="Aptos"/>
                <w:b/>
                <w:bCs/>
              </w:rPr>
              <w:t>Total</w:t>
            </w:r>
          </w:p>
        </w:tc>
        <w:tc>
          <w:tcPr>
            <w:tcW w:w="1375" w:type="dxa"/>
            <w:tcBorders>
              <w:top w:val="single" w:sz="8" w:space="0" w:color="auto"/>
              <w:bottom w:val="single" w:sz="8" w:space="0" w:color="auto"/>
            </w:tcBorders>
            <w:shd w:val="clear" w:color="auto" w:fill="F2F2F2" w:themeFill="background1" w:themeFillShade="F2"/>
            <w:vAlign w:val="center"/>
            <w:hideMark/>
          </w:tcPr>
          <w:p w:rsidR="001A15F2" w:rsidRPr="001A15F2" w:rsidP="006745B3" w14:paraId="06182B13" w14:textId="2A7D3658">
            <w:pPr>
              <w:jc w:val="center"/>
              <w:rPr>
                <w:rFonts w:ascii="Aptos" w:hAnsi="Aptos"/>
              </w:rPr>
            </w:pPr>
          </w:p>
        </w:tc>
        <w:tc>
          <w:tcPr>
            <w:tcW w:w="1624" w:type="dxa"/>
            <w:tcBorders>
              <w:top w:val="single" w:sz="8" w:space="0" w:color="auto"/>
              <w:bottom w:val="single" w:sz="8" w:space="0" w:color="auto"/>
            </w:tcBorders>
            <w:shd w:val="clear" w:color="auto" w:fill="F2F2F2" w:themeFill="background1" w:themeFillShade="F2"/>
            <w:vAlign w:val="center"/>
            <w:hideMark/>
          </w:tcPr>
          <w:p w:rsidR="001A15F2" w:rsidRPr="001A15F2" w:rsidP="006745B3" w14:paraId="68393E8F" w14:textId="209A9F7E">
            <w:pPr>
              <w:jc w:val="center"/>
              <w:rPr>
                <w:rFonts w:ascii="Aptos" w:hAnsi="Aptos"/>
              </w:rPr>
            </w:pPr>
          </w:p>
        </w:tc>
        <w:tc>
          <w:tcPr>
            <w:tcW w:w="952" w:type="dxa"/>
            <w:tcBorders>
              <w:top w:val="single" w:sz="8" w:space="0" w:color="auto"/>
              <w:bottom w:val="single" w:sz="8" w:space="0" w:color="auto"/>
            </w:tcBorders>
            <w:shd w:val="clear" w:color="auto" w:fill="F2F2F2" w:themeFill="background1" w:themeFillShade="F2"/>
            <w:vAlign w:val="center"/>
            <w:hideMark/>
          </w:tcPr>
          <w:p w:rsidR="001A15F2" w:rsidRPr="001A15F2" w:rsidP="006745B3" w14:paraId="7721D8CD" w14:textId="66E57039">
            <w:pPr>
              <w:jc w:val="center"/>
              <w:rPr>
                <w:rFonts w:ascii="Aptos" w:hAnsi="Aptos"/>
              </w:rPr>
            </w:pPr>
          </w:p>
        </w:tc>
        <w:tc>
          <w:tcPr>
            <w:tcW w:w="1343" w:type="dxa"/>
            <w:tcBorders>
              <w:top w:val="single" w:sz="8" w:space="0" w:color="auto"/>
              <w:bottom w:val="single" w:sz="8" w:space="0" w:color="auto"/>
            </w:tcBorders>
            <w:shd w:val="clear" w:color="auto" w:fill="F2F2F2" w:themeFill="background1" w:themeFillShade="F2"/>
            <w:vAlign w:val="center"/>
            <w:hideMark/>
          </w:tcPr>
          <w:p w:rsidR="001A15F2" w:rsidRPr="001A15F2" w:rsidP="006745B3" w14:paraId="68871D0B" w14:textId="0B0F378B">
            <w:pPr>
              <w:jc w:val="center"/>
              <w:rPr>
                <w:rFonts w:ascii="Aptos" w:hAnsi="Aptos"/>
              </w:rPr>
            </w:pPr>
          </w:p>
        </w:tc>
        <w:tc>
          <w:tcPr>
            <w:tcW w:w="1721" w:type="dxa"/>
            <w:tcBorders>
              <w:top w:val="single" w:sz="8" w:space="0" w:color="auto"/>
              <w:bottom w:val="single" w:sz="8" w:space="0" w:color="auto"/>
              <w:right w:val="single" w:sz="8" w:space="0" w:color="auto"/>
            </w:tcBorders>
            <w:vAlign w:val="center"/>
            <w:hideMark/>
          </w:tcPr>
          <w:p w:rsidR="001A15F2" w:rsidRPr="001A15F2" w:rsidP="006745B3" w14:paraId="2272107B" w14:textId="61D27422">
            <w:pPr>
              <w:jc w:val="center"/>
              <w:rPr>
                <w:rFonts w:ascii="Aptos" w:hAnsi="Aptos"/>
              </w:rPr>
            </w:pPr>
            <w:r w:rsidRPr="001A15F2">
              <w:rPr>
                <w:rFonts w:ascii="Aptos" w:hAnsi="Aptos"/>
              </w:rPr>
              <w:t>$7,532,596</w:t>
            </w:r>
          </w:p>
        </w:tc>
      </w:tr>
    </w:tbl>
    <w:p w:rsidR="00524701" w:rsidRPr="001921C2" w:rsidP="00524701" w14:paraId="7FD6E80F" w14:textId="77777777">
      <w:pPr>
        <w:rPr>
          <w:rFonts w:ascii="Aptos" w:hAnsi="Aptos"/>
        </w:rPr>
      </w:pPr>
    </w:p>
    <w:p w:rsidR="00A2122D" w:rsidRPr="000F6DD6" w:rsidP="00A2122D" w14:paraId="3B4A17B2" w14:textId="77777777">
      <w:pPr>
        <w:rPr>
          <w:rFonts w:ascii="Aptos" w:hAnsi="Aptos" w:cs="Times New Roman"/>
          <w:b/>
          <w:sz w:val="24"/>
          <w:szCs w:val="24"/>
          <w:highlight w:val="yellow"/>
        </w:rPr>
      </w:pPr>
      <w:r w:rsidRPr="000F6DD6">
        <w:rPr>
          <w:rFonts w:ascii="Aptos" w:hAnsi="Aptos" w:cs="Times New Roman"/>
          <w:b/>
          <w:sz w:val="24"/>
          <w:szCs w:val="24"/>
          <w:highlight w:val="yellow"/>
        </w:rPr>
        <w:t>A.15</w:t>
      </w:r>
      <w:r w:rsidRPr="000F6DD6">
        <w:rPr>
          <w:rFonts w:ascii="Aptos" w:hAnsi="Aptos" w:cs="Times New Roman"/>
          <w:b/>
          <w:sz w:val="24"/>
          <w:szCs w:val="24"/>
          <w:highlight w:val="yellow"/>
        </w:rPr>
        <w:tab/>
        <w:t>Explanation for Program Changes or Adjustments</w:t>
      </w:r>
    </w:p>
    <w:p w:rsidR="003C627C" w:rsidRPr="000F6DD6" w:rsidP="00CF764A" w14:paraId="4546C63D" w14:textId="11769982">
      <w:pPr>
        <w:rPr>
          <w:rFonts w:ascii="Aptos" w:hAnsi="Aptos" w:cs="Times New Roman"/>
          <w:sz w:val="24"/>
          <w:szCs w:val="24"/>
          <w:highlight w:val="yellow"/>
        </w:rPr>
      </w:pPr>
      <w:r w:rsidRPr="000F6DD6">
        <w:rPr>
          <w:rFonts w:ascii="Aptos" w:hAnsi="Aptos" w:cs="Times New Roman"/>
          <w:sz w:val="24"/>
          <w:szCs w:val="24"/>
          <w:highlight w:val="yellow"/>
        </w:rPr>
        <w:t>Since the last OMB</w:t>
      </w:r>
      <w:r w:rsidRPr="000F6DD6" w:rsidR="0076074B">
        <w:rPr>
          <w:rFonts w:ascii="Aptos" w:hAnsi="Aptos" w:cs="Times New Roman"/>
          <w:sz w:val="24"/>
          <w:szCs w:val="24"/>
          <w:highlight w:val="yellow"/>
        </w:rPr>
        <w:t xml:space="preserve"> approval</w:t>
      </w:r>
      <w:r w:rsidRPr="000F6DD6">
        <w:rPr>
          <w:rFonts w:ascii="Aptos" w:hAnsi="Aptos" w:cs="Times New Roman"/>
          <w:sz w:val="24"/>
          <w:szCs w:val="24"/>
          <w:highlight w:val="yellow"/>
        </w:rPr>
        <w:t xml:space="preserve">, NIH has made several necessary changes to the forms and web interfaces required for </w:t>
      </w:r>
      <w:r w:rsidRPr="000F6DD6" w:rsidR="002630C8">
        <w:rPr>
          <w:rFonts w:ascii="Aptos" w:hAnsi="Aptos" w:cs="Times New Roman"/>
          <w:sz w:val="24"/>
          <w:szCs w:val="24"/>
          <w:highlight w:val="yellow"/>
        </w:rPr>
        <w:t xml:space="preserve">registering and </w:t>
      </w:r>
      <w:r w:rsidRPr="000F6DD6">
        <w:rPr>
          <w:rFonts w:ascii="Aptos" w:hAnsi="Aptos" w:cs="Times New Roman"/>
          <w:sz w:val="24"/>
          <w:szCs w:val="24"/>
          <w:highlight w:val="yellow"/>
        </w:rPr>
        <w:t>submitting data and requesting data access to be compliant with national security directives, security and operational standards for NIH CADRs, and customer service improvements for Principal Investigators (PIs) and Institutional Signing Officials submitting a DAR application</w:t>
      </w:r>
      <w:r w:rsidRPr="000F6DD6" w:rsidR="00F64770">
        <w:rPr>
          <w:rFonts w:ascii="Aptos" w:hAnsi="Aptos" w:cs="Times New Roman"/>
          <w:sz w:val="24"/>
          <w:szCs w:val="24"/>
          <w:highlight w:val="yellow"/>
        </w:rPr>
        <w:t>.</w:t>
      </w:r>
      <w:r w:rsidRPr="000F6DD6" w:rsidR="00F63229">
        <w:rPr>
          <w:rFonts w:ascii="Aptos" w:hAnsi="Aptos" w:cs="Times New Roman"/>
          <w:sz w:val="24"/>
          <w:szCs w:val="24"/>
          <w:highlight w:val="yellow"/>
        </w:rPr>
        <w:t xml:space="preserve"> </w:t>
      </w:r>
    </w:p>
    <w:p w:rsidR="00804D30" w:rsidRPr="000F6DD6" w:rsidP="00052BC8" w14:paraId="51D02B83" w14:textId="2E301D28">
      <w:pPr>
        <w:rPr>
          <w:rFonts w:ascii="Aptos" w:hAnsi="Aptos" w:cs="Times New Roman"/>
          <w:sz w:val="24"/>
          <w:szCs w:val="24"/>
          <w:highlight w:val="yellow"/>
        </w:rPr>
      </w:pPr>
      <w:r w:rsidRPr="000F6DD6">
        <w:rPr>
          <w:rFonts w:ascii="Aptos" w:hAnsi="Aptos" w:cs="Times New Roman"/>
          <w:sz w:val="24"/>
          <w:szCs w:val="24"/>
          <w:highlight w:val="yellow"/>
        </w:rPr>
        <w:t xml:space="preserve">NIH has developed a Study Registration Information (SRI) Form </w:t>
      </w:r>
      <w:r w:rsidRPr="000F6DD6" w:rsidR="002630C8">
        <w:rPr>
          <w:rFonts w:ascii="Aptos" w:hAnsi="Aptos" w:cs="Times New Roman"/>
          <w:sz w:val="24"/>
          <w:szCs w:val="24"/>
          <w:highlight w:val="yellow"/>
        </w:rPr>
        <w:t>t</w:t>
      </w:r>
      <w:r w:rsidRPr="000F6DD6">
        <w:rPr>
          <w:rFonts w:ascii="Aptos" w:hAnsi="Aptos" w:cs="Times New Roman"/>
          <w:sz w:val="24"/>
          <w:szCs w:val="24"/>
          <w:highlight w:val="yellow"/>
        </w:rPr>
        <w:t>o standardize and streamline the collection of this information across NIH Institute, Center, and Offices (ICOs)</w:t>
      </w:r>
      <w:r w:rsidRPr="000F6DD6" w:rsidR="005D5521">
        <w:rPr>
          <w:rFonts w:ascii="Aptos" w:hAnsi="Aptos" w:cs="Times New Roman"/>
          <w:sz w:val="24"/>
          <w:szCs w:val="24"/>
          <w:highlight w:val="yellow"/>
        </w:rPr>
        <w:t xml:space="preserve">. </w:t>
      </w:r>
      <w:r w:rsidRPr="000F6DD6" w:rsidR="000E52A1">
        <w:rPr>
          <w:rFonts w:ascii="Aptos" w:hAnsi="Aptos" w:cs="Times New Roman"/>
          <w:sz w:val="24"/>
          <w:szCs w:val="24"/>
          <w:highlight w:val="yellow"/>
        </w:rPr>
        <w:t xml:space="preserve">To </w:t>
      </w:r>
      <w:r w:rsidRPr="000F6DD6" w:rsidR="003A7DC7">
        <w:rPr>
          <w:rFonts w:ascii="Aptos" w:hAnsi="Aptos" w:cs="Times New Roman"/>
          <w:sz w:val="24"/>
          <w:szCs w:val="24"/>
          <w:highlight w:val="yellow"/>
        </w:rPr>
        <w:t>allow Submitting Investigators to enter the information for themselves</w:t>
      </w:r>
      <w:r w:rsidRPr="000F6DD6" w:rsidR="000023B6">
        <w:rPr>
          <w:rFonts w:ascii="Aptos" w:hAnsi="Aptos" w:cs="Times New Roman"/>
          <w:sz w:val="24"/>
          <w:szCs w:val="24"/>
          <w:highlight w:val="yellow"/>
        </w:rPr>
        <w:t xml:space="preserve"> by their own timing, NCBI incorporated the SRI Form into </w:t>
      </w:r>
      <w:r w:rsidRPr="000F6DD6" w:rsidR="002630C8">
        <w:rPr>
          <w:rFonts w:ascii="Aptos" w:hAnsi="Aptos" w:cs="Times New Roman"/>
          <w:sz w:val="24"/>
          <w:szCs w:val="24"/>
          <w:highlight w:val="yellow"/>
        </w:rPr>
        <w:t>an online</w:t>
      </w:r>
      <w:r w:rsidRPr="000F6DD6" w:rsidR="00BA7B6C">
        <w:rPr>
          <w:rFonts w:ascii="Aptos" w:hAnsi="Aptos" w:cs="Times New Roman"/>
          <w:sz w:val="24"/>
          <w:szCs w:val="24"/>
          <w:highlight w:val="yellow"/>
        </w:rPr>
        <w:t xml:space="preserve"> form that will be available through the New Registration System.</w:t>
      </w:r>
      <w:r w:rsidRPr="000F6DD6" w:rsidR="00F87250">
        <w:rPr>
          <w:rFonts w:ascii="Aptos" w:hAnsi="Aptos" w:cs="Times New Roman"/>
          <w:sz w:val="24"/>
          <w:szCs w:val="24"/>
          <w:highlight w:val="yellow"/>
        </w:rPr>
        <w:t xml:space="preserve"> To modernize the look and feel of study registration and data submission, </w:t>
      </w:r>
      <w:r w:rsidRPr="000F6DD6" w:rsidR="0062118E">
        <w:rPr>
          <w:rFonts w:ascii="Aptos" w:hAnsi="Aptos" w:cs="Times New Roman"/>
          <w:sz w:val="24"/>
          <w:szCs w:val="24"/>
          <w:highlight w:val="yellow"/>
        </w:rPr>
        <w:t>NCBI developed the New Study Registration System.</w:t>
      </w:r>
    </w:p>
    <w:p w:rsidR="00804D30" w:rsidRPr="000F6DD6" w:rsidP="00052BC8" w14:paraId="47B352C6" w14:textId="561AE7F7">
      <w:pPr>
        <w:rPr>
          <w:rFonts w:ascii="Aptos" w:hAnsi="Aptos" w:cs="Times New Roman"/>
          <w:sz w:val="24"/>
          <w:szCs w:val="24"/>
          <w:highlight w:val="yellow"/>
        </w:rPr>
      </w:pPr>
      <w:r w:rsidRPr="000F6DD6">
        <w:rPr>
          <w:rFonts w:ascii="Aptos" w:hAnsi="Aptos" w:cs="Times New Roman"/>
          <w:sz w:val="24"/>
          <w:szCs w:val="24"/>
          <w:highlight w:val="yellow"/>
        </w:rPr>
        <w:t xml:space="preserve">The </w:t>
      </w:r>
      <w:r w:rsidRPr="000F6DD6">
        <w:rPr>
          <w:rFonts w:ascii="Aptos" w:hAnsi="Aptos" w:cs="Times New Roman"/>
          <w:sz w:val="24"/>
          <w:szCs w:val="24"/>
          <w:highlight w:val="yellow"/>
        </w:rPr>
        <w:t>dbGaP</w:t>
      </w:r>
      <w:r w:rsidRPr="000F6DD6">
        <w:rPr>
          <w:rFonts w:ascii="Aptos" w:hAnsi="Aptos" w:cs="Times New Roman"/>
          <w:sz w:val="24"/>
          <w:szCs w:val="24"/>
          <w:highlight w:val="yellow"/>
        </w:rPr>
        <w:t xml:space="preserve"> NIH-designated repository and its Authorized Access system are an NIH CADR and in scope of the NIH Guide notice (</w:t>
      </w:r>
      <w:hyperlink r:id="rId11" w:history="1">
        <w:r w:rsidRPr="000F6DD6">
          <w:rPr>
            <w:rStyle w:val="Hyperlink"/>
            <w:rFonts w:ascii="Aptos" w:hAnsi="Aptos" w:cs="Times New Roman"/>
            <w:sz w:val="24"/>
            <w:szCs w:val="24"/>
            <w:highlight w:val="yellow"/>
          </w:rPr>
          <w:t>NOT-OD-25-159</w:t>
        </w:r>
      </w:hyperlink>
      <w:r w:rsidRPr="000F6DD6">
        <w:rPr>
          <w:rFonts w:ascii="Aptos" w:hAnsi="Aptos" w:cs="Times New Roman"/>
          <w:sz w:val="24"/>
          <w:szCs w:val="24"/>
          <w:highlight w:val="yellow"/>
        </w:rPr>
        <w:t xml:space="preserve">) that establishes standards for security, data oversight and access processes. Because of this, non-genomic NIH CADRs have leveraged </w:t>
      </w:r>
      <w:r w:rsidRPr="000F6DD6">
        <w:rPr>
          <w:rFonts w:ascii="Aptos" w:hAnsi="Aptos" w:cs="Times New Roman"/>
          <w:sz w:val="24"/>
          <w:szCs w:val="24"/>
          <w:highlight w:val="yellow"/>
        </w:rPr>
        <w:t>dbGaP’s</w:t>
      </w:r>
      <w:r w:rsidRPr="000F6DD6">
        <w:rPr>
          <w:rFonts w:ascii="Aptos" w:hAnsi="Aptos" w:cs="Times New Roman"/>
          <w:sz w:val="24"/>
          <w:szCs w:val="24"/>
          <w:highlight w:val="yellow"/>
        </w:rPr>
        <w:t xml:space="preserve"> registration system and its Authorized Access system to meet requirements in NOT-OD-25-159.</w:t>
      </w:r>
      <w:r w:rsidRPr="000F6DD6" w:rsidR="004B70C1">
        <w:rPr>
          <w:rFonts w:ascii="Aptos" w:hAnsi="Aptos" w:cs="Times New Roman"/>
          <w:sz w:val="24"/>
          <w:szCs w:val="24"/>
          <w:highlight w:val="yellow"/>
        </w:rPr>
        <w:t xml:space="preserve"> To accommodate the submission of non-genomic data to </w:t>
      </w:r>
      <w:r w:rsidRPr="000F6DD6" w:rsidR="004B70C1">
        <w:rPr>
          <w:rFonts w:ascii="Aptos" w:hAnsi="Aptos" w:cs="Times New Roman"/>
          <w:sz w:val="24"/>
          <w:szCs w:val="24"/>
          <w:highlight w:val="yellow"/>
        </w:rPr>
        <w:t>dbGaP</w:t>
      </w:r>
      <w:r w:rsidRPr="000F6DD6" w:rsidR="004B70C1">
        <w:rPr>
          <w:rFonts w:ascii="Aptos" w:hAnsi="Aptos" w:cs="Times New Roman"/>
          <w:sz w:val="24"/>
          <w:szCs w:val="24"/>
          <w:highlight w:val="yellow"/>
        </w:rPr>
        <w:t>, the Data Submission Certification</w:t>
      </w:r>
      <w:r w:rsidRPr="000F6DD6" w:rsidR="008C4120">
        <w:rPr>
          <w:rFonts w:ascii="Aptos" w:hAnsi="Aptos" w:cs="Times New Roman"/>
          <w:sz w:val="24"/>
          <w:szCs w:val="24"/>
          <w:highlight w:val="yellow"/>
        </w:rPr>
        <w:t>, modeled after the Institutional Certification, was developed so that the Submitting Investigator and their institution can</w:t>
      </w:r>
      <w:r w:rsidRPr="000F6DD6" w:rsidR="00862A22">
        <w:rPr>
          <w:rFonts w:ascii="Aptos" w:hAnsi="Aptos" w:cs="Times New Roman"/>
          <w:sz w:val="24"/>
          <w:szCs w:val="24"/>
          <w:highlight w:val="yellow"/>
        </w:rPr>
        <w:t xml:space="preserve"> attest that the data submitted to NIH are appropriate to share and indicate any sharing limitations.</w:t>
      </w:r>
    </w:p>
    <w:p w:rsidR="00C9197A" w:rsidRPr="000F6DD6" w:rsidP="00052BC8" w14:paraId="07B81B5B" w14:textId="00A6D10B">
      <w:pPr>
        <w:rPr>
          <w:rFonts w:ascii="Aptos" w:hAnsi="Aptos" w:cs="Times New Roman"/>
          <w:sz w:val="24"/>
          <w:szCs w:val="24"/>
          <w:highlight w:val="yellow"/>
        </w:rPr>
      </w:pPr>
      <w:r w:rsidRPr="000F6DD6">
        <w:rPr>
          <w:rFonts w:ascii="Aptos" w:hAnsi="Aptos" w:cs="Times New Roman"/>
          <w:sz w:val="24"/>
          <w:szCs w:val="24"/>
          <w:highlight w:val="yellow"/>
        </w:rPr>
        <w:t xml:space="preserve">The Legacy </w:t>
      </w:r>
      <w:r w:rsidRPr="000F6DD6">
        <w:rPr>
          <w:rFonts w:ascii="Aptos" w:hAnsi="Aptos" w:cs="Times New Roman"/>
          <w:sz w:val="24"/>
          <w:szCs w:val="24"/>
          <w:highlight w:val="yellow"/>
        </w:rPr>
        <w:t>dbGaP</w:t>
      </w:r>
      <w:r w:rsidRPr="000F6DD6">
        <w:rPr>
          <w:rFonts w:ascii="Aptos" w:hAnsi="Aptos" w:cs="Times New Roman"/>
          <w:sz w:val="24"/>
          <w:szCs w:val="24"/>
          <w:highlight w:val="yellow"/>
        </w:rPr>
        <w:t xml:space="preserve"> Authorized Access System made updates to the new DAR application web interfaces to comply with national security directives, security and operational standards published in the NIH Guide notice NOT-OD-25-159</w:t>
      </w:r>
      <w:r w:rsidRPr="000F6DD6" w:rsidR="004433B1">
        <w:rPr>
          <w:rFonts w:ascii="Aptos" w:hAnsi="Aptos" w:cs="Times New Roman"/>
          <w:sz w:val="24"/>
          <w:szCs w:val="24"/>
          <w:highlight w:val="yellow"/>
        </w:rPr>
        <w:t xml:space="preserve">. These updates were implemented on January 17, 2025, as a part of an OMB </w:t>
      </w:r>
      <w:r w:rsidRPr="000F6DD6" w:rsidR="004433B1">
        <w:rPr>
          <w:rFonts w:ascii="Aptos" w:hAnsi="Aptos" w:cs="Times New Roman"/>
          <w:sz w:val="24"/>
          <w:szCs w:val="24"/>
          <w:highlight w:val="yellow"/>
        </w:rPr>
        <w:t>nonsubstantive</w:t>
      </w:r>
      <w:r w:rsidRPr="000F6DD6" w:rsidR="004433B1">
        <w:rPr>
          <w:rFonts w:ascii="Aptos" w:hAnsi="Aptos" w:cs="Times New Roman"/>
          <w:sz w:val="24"/>
          <w:szCs w:val="24"/>
          <w:highlight w:val="yellow"/>
        </w:rPr>
        <w:t xml:space="preserve"> change.</w:t>
      </w:r>
      <w:r w:rsidRPr="000F6DD6" w:rsidR="00E83644">
        <w:rPr>
          <w:rFonts w:ascii="Aptos" w:hAnsi="Aptos" w:cs="Times New Roman"/>
          <w:sz w:val="24"/>
          <w:szCs w:val="24"/>
          <w:highlight w:val="yellow"/>
        </w:rPr>
        <w:t xml:space="preserve"> These updates included a PI attestation and an SO attestation that the data are secured according to the security standards in the NIH Security Best Practices for Users of Controlled-Access Data, and if using a third-party cloud resource, that the third-party is security data according to these security standards.</w:t>
      </w:r>
    </w:p>
    <w:p w:rsidR="009F731F" w:rsidRPr="000F6DD6" w:rsidP="00052BC8" w14:paraId="7271D2E3" w14:textId="0A928AC5">
      <w:pPr>
        <w:rPr>
          <w:rFonts w:ascii="Aptos" w:hAnsi="Aptos" w:cs="Times New Roman"/>
          <w:sz w:val="24"/>
          <w:szCs w:val="24"/>
          <w:highlight w:val="yellow"/>
        </w:rPr>
      </w:pPr>
      <w:r w:rsidRPr="000F6DD6">
        <w:rPr>
          <w:rFonts w:ascii="Aptos" w:hAnsi="Aptos" w:cs="Times New Roman"/>
          <w:sz w:val="24"/>
          <w:szCs w:val="24"/>
          <w:highlight w:val="yellow"/>
        </w:rPr>
        <w:t>NCBI developed a New Authorized Access System to modernize the DAR interface, make it user friendly with additional options such as:</w:t>
      </w:r>
    </w:p>
    <w:p w:rsidR="008A3578" w:rsidRPr="000F6DD6" w:rsidP="008A3578" w14:paraId="319D0226"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Searchable data fields in the DAR application such as the Institutional Signing Officials (SOs) on file in the institution or the Information Technology (IT) Director</w:t>
      </w:r>
    </w:p>
    <w:p w:rsidR="008A3578" w:rsidRPr="000F6DD6" w:rsidP="008A3578" w14:paraId="6F682B44"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External collaborators no longer </w:t>
      </w:r>
      <w:r w:rsidRPr="000F6DD6">
        <w:rPr>
          <w:rFonts w:ascii="Aptos" w:hAnsi="Aptos" w:cs="Times New Roman"/>
          <w:sz w:val="24"/>
          <w:szCs w:val="24"/>
          <w:highlight w:val="yellow"/>
        </w:rPr>
        <w:t>have to</w:t>
      </w:r>
      <w:r w:rsidRPr="000F6DD6">
        <w:rPr>
          <w:rFonts w:ascii="Aptos" w:hAnsi="Aptos" w:cs="Times New Roman"/>
          <w:sz w:val="24"/>
          <w:szCs w:val="24"/>
          <w:highlight w:val="yellow"/>
        </w:rPr>
        <w:t xml:space="preserve"> submit separate, identical DAR application requests. External collaborators can now be added to the same DAR application as the Principal Investigator and be allowed to sign off on the same DAR application as the Principal Investigator.</w:t>
      </w:r>
    </w:p>
    <w:p w:rsidR="008A3578" w:rsidRPr="000F6DD6" w:rsidP="008A3578" w14:paraId="0A50CA24"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Option to do a simple renewal to decrease administrative burden on the PI when submitting a Renewal without any changes to the project. </w:t>
      </w:r>
    </w:p>
    <w:p w:rsidR="008A3578" w:rsidRPr="000F6DD6" w:rsidP="008A3578" w14:paraId="5867730F"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In the Renewal, a searchable function to add publications resulting from approved datasets and a checkbox to select which datasets are represented in the publication. </w:t>
      </w:r>
    </w:p>
    <w:p w:rsidR="008A3578" w:rsidRPr="000F6DD6" w:rsidP="008A3578" w14:paraId="13B5F832"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Enhanced options for PI to transfer projects to another PI at the same institution such that the PI can change the project SO, if necessary, and search at their institution for the new PI to transfer the data.</w:t>
      </w:r>
    </w:p>
    <w:p w:rsidR="008A3578" w:rsidRPr="000F6DD6" w:rsidP="008A3578" w14:paraId="46FF3F4D"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Now SOs have the option to return the PI transfer request back to the PI where previously staff at </w:t>
      </w:r>
      <w:r w:rsidRPr="000F6DD6">
        <w:rPr>
          <w:rFonts w:ascii="Aptos" w:hAnsi="Aptos" w:cs="Times New Roman"/>
          <w:sz w:val="24"/>
          <w:szCs w:val="24"/>
          <w:highlight w:val="yellow"/>
        </w:rPr>
        <w:t>dbGaP</w:t>
      </w:r>
      <w:r w:rsidRPr="000F6DD6">
        <w:rPr>
          <w:rFonts w:ascii="Aptos" w:hAnsi="Aptos" w:cs="Times New Roman"/>
          <w:sz w:val="24"/>
          <w:szCs w:val="24"/>
          <w:highlight w:val="yellow"/>
        </w:rPr>
        <w:t xml:space="preserve"> would have to provide technical support to do so.</w:t>
      </w:r>
    </w:p>
    <w:p w:rsidR="008A3578" w:rsidRPr="000F6DD6" w:rsidP="008A3578" w14:paraId="492C3C19" w14:textId="45E44856">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SOs now </w:t>
      </w:r>
      <w:r w:rsidRPr="000F6DD6">
        <w:rPr>
          <w:rFonts w:ascii="Aptos" w:hAnsi="Aptos" w:cs="Times New Roman"/>
          <w:sz w:val="24"/>
          <w:szCs w:val="24"/>
          <w:highlight w:val="yellow"/>
        </w:rPr>
        <w:t>have the ability to</w:t>
      </w:r>
      <w:r w:rsidRPr="000F6DD6">
        <w:rPr>
          <w:rFonts w:ascii="Aptos" w:hAnsi="Aptos" w:cs="Times New Roman"/>
          <w:sz w:val="24"/>
          <w:szCs w:val="24"/>
          <w:highlight w:val="yellow"/>
        </w:rPr>
        <w:t xml:space="preserve"> transfer </w:t>
      </w:r>
      <w:r w:rsidRPr="000F6DD6">
        <w:rPr>
          <w:rFonts w:ascii="Aptos" w:hAnsi="Aptos" w:cs="Times New Roman"/>
          <w:sz w:val="24"/>
          <w:szCs w:val="24"/>
          <w:highlight w:val="yellow"/>
        </w:rPr>
        <w:t>dbGaP</w:t>
      </w:r>
      <w:r w:rsidRPr="000F6DD6">
        <w:rPr>
          <w:rFonts w:ascii="Aptos" w:hAnsi="Aptos" w:cs="Times New Roman"/>
          <w:sz w:val="24"/>
          <w:szCs w:val="24"/>
          <w:highlight w:val="yellow"/>
        </w:rPr>
        <w:t xml:space="preserve"> applications to another SO at their organization. This option did not exist in the </w:t>
      </w:r>
      <w:r w:rsidRPr="000F6DD6" w:rsidR="00757881">
        <w:rPr>
          <w:rFonts w:ascii="Aptos" w:hAnsi="Aptos" w:cs="Times New Roman"/>
          <w:sz w:val="24"/>
          <w:szCs w:val="24"/>
          <w:highlight w:val="yellow"/>
        </w:rPr>
        <w:t>L</w:t>
      </w:r>
      <w:r w:rsidRPr="000F6DD6">
        <w:rPr>
          <w:rFonts w:ascii="Aptos" w:hAnsi="Aptos" w:cs="Times New Roman"/>
          <w:sz w:val="24"/>
          <w:szCs w:val="24"/>
          <w:highlight w:val="yellow"/>
        </w:rPr>
        <w:t>egacy Authorized Access</w:t>
      </w:r>
      <w:r w:rsidRPr="000F6DD6" w:rsidR="00757881">
        <w:rPr>
          <w:rFonts w:ascii="Aptos" w:hAnsi="Aptos" w:cs="Times New Roman"/>
          <w:sz w:val="24"/>
          <w:szCs w:val="24"/>
          <w:highlight w:val="yellow"/>
        </w:rPr>
        <w:t xml:space="preserve"> System</w:t>
      </w:r>
      <w:r w:rsidRPr="000F6DD6">
        <w:rPr>
          <w:rFonts w:ascii="Aptos" w:hAnsi="Aptos" w:cs="Times New Roman"/>
          <w:sz w:val="24"/>
          <w:szCs w:val="24"/>
          <w:highlight w:val="yellow"/>
        </w:rPr>
        <w:t>.</w:t>
      </w:r>
    </w:p>
    <w:p w:rsidR="008A3578" w:rsidRPr="000F6DD6" w:rsidP="008A3578" w14:paraId="410A5DBA"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SOs now </w:t>
      </w:r>
      <w:r w:rsidRPr="000F6DD6">
        <w:rPr>
          <w:rFonts w:ascii="Aptos" w:hAnsi="Aptos" w:cs="Times New Roman"/>
          <w:sz w:val="24"/>
          <w:szCs w:val="24"/>
          <w:highlight w:val="yellow"/>
        </w:rPr>
        <w:t>have the ability to</w:t>
      </w:r>
      <w:r w:rsidRPr="000F6DD6">
        <w:rPr>
          <w:rFonts w:ascii="Aptos" w:hAnsi="Aptos" w:cs="Times New Roman"/>
          <w:sz w:val="24"/>
          <w:szCs w:val="24"/>
          <w:highlight w:val="yellow"/>
        </w:rPr>
        <w:t xml:space="preserve"> transfer DAR applications to another PI at their institution without the PI initiating the transfer.</w:t>
      </w:r>
    </w:p>
    <w:p w:rsidR="008A3578" w:rsidRPr="000F6DD6" w:rsidP="008A3578" w14:paraId="45BA8FD2" w14:textId="77777777">
      <w:pPr>
        <w:pStyle w:val="ListParagraph"/>
        <w:numPr>
          <w:ilvl w:val="0"/>
          <w:numId w:val="4"/>
        </w:numPr>
        <w:rPr>
          <w:rFonts w:ascii="Aptos" w:hAnsi="Aptos" w:cs="Times New Roman"/>
          <w:sz w:val="24"/>
          <w:szCs w:val="24"/>
          <w:highlight w:val="yellow"/>
        </w:rPr>
      </w:pPr>
      <w:r w:rsidRPr="000F6DD6">
        <w:rPr>
          <w:rFonts w:ascii="Aptos" w:hAnsi="Aptos" w:cs="Times New Roman"/>
          <w:sz w:val="24"/>
          <w:szCs w:val="24"/>
          <w:highlight w:val="yellow"/>
        </w:rPr>
        <w:t xml:space="preserve">Statement that the information provided on the DAR application may be used for the evaluation of </w:t>
      </w:r>
      <w:r w:rsidRPr="000F6DD6">
        <w:rPr>
          <w:rFonts w:ascii="Aptos" w:hAnsi="Aptos" w:cs="Times New Roman"/>
          <w:sz w:val="24"/>
          <w:szCs w:val="24"/>
          <w:highlight w:val="yellow"/>
        </w:rPr>
        <w:t>dbGaP</w:t>
      </w:r>
      <w:r w:rsidRPr="000F6DD6">
        <w:rPr>
          <w:rFonts w:ascii="Aptos" w:hAnsi="Aptos" w:cs="Times New Roman"/>
          <w:sz w:val="24"/>
          <w:szCs w:val="24"/>
          <w:highlight w:val="yellow"/>
        </w:rPr>
        <w:t xml:space="preserve"> operation, usage, and impact.</w:t>
      </w:r>
    </w:p>
    <w:p w:rsidR="001D3E72" w:rsidP="002F57AA" w14:paraId="5A6CFC64" w14:textId="377664CE">
      <w:pPr>
        <w:rPr>
          <w:rFonts w:ascii="Aptos" w:hAnsi="Aptos" w:cs="Times New Roman"/>
          <w:sz w:val="24"/>
          <w:szCs w:val="24"/>
        </w:rPr>
      </w:pPr>
      <w:r w:rsidRPr="000F6DD6">
        <w:rPr>
          <w:rFonts w:ascii="Aptos" w:hAnsi="Aptos" w:cs="Times New Roman"/>
          <w:sz w:val="24"/>
          <w:szCs w:val="24"/>
          <w:highlight w:val="yellow"/>
        </w:rPr>
        <w:t>These improvements were made for new DAR applications, Renewals (Renewals), and Close-outs for the PI and SO.</w:t>
      </w:r>
    </w:p>
    <w:p w:rsidR="00D41D81" w:rsidRPr="00C43906" w:rsidP="002F57AA" w14:paraId="1DEDA71F" w14:textId="79934D78">
      <w:pPr>
        <w:rPr>
          <w:rFonts w:ascii="Aptos" w:hAnsi="Aptos" w:cs="Times New Roman"/>
          <w:sz w:val="24"/>
          <w:szCs w:val="24"/>
        </w:rPr>
      </w:pPr>
      <w:r w:rsidRPr="00B4479C">
        <w:rPr>
          <w:rFonts w:ascii="Aptos" w:hAnsi="Aptos" w:cs="Times New Roman"/>
          <w:sz w:val="24"/>
          <w:szCs w:val="24"/>
          <w:highlight w:val="yellow"/>
        </w:rPr>
        <w:t xml:space="preserve">The total annual hour burden significantly decreased from the previous </w:t>
      </w:r>
      <w:r w:rsidRPr="00B4479C" w:rsidR="00776353">
        <w:rPr>
          <w:rFonts w:ascii="Aptos" w:hAnsi="Aptos" w:cs="Times New Roman"/>
          <w:sz w:val="24"/>
          <w:szCs w:val="24"/>
          <w:highlight w:val="yellow"/>
        </w:rPr>
        <w:t xml:space="preserve">OMB submission from </w:t>
      </w:r>
      <w:r w:rsidRPr="00B4479C" w:rsidR="002946BE">
        <w:rPr>
          <w:rFonts w:ascii="Aptos" w:hAnsi="Aptos" w:cs="Times New Roman"/>
          <w:sz w:val="24"/>
          <w:szCs w:val="24"/>
          <w:highlight w:val="yellow"/>
        </w:rPr>
        <w:t>158,776</w:t>
      </w:r>
      <w:r w:rsidRPr="00B4479C" w:rsidR="00386C7F">
        <w:rPr>
          <w:rFonts w:ascii="Aptos" w:hAnsi="Aptos" w:cs="Times New Roman"/>
          <w:sz w:val="24"/>
          <w:szCs w:val="24"/>
          <w:highlight w:val="yellow"/>
        </w:rPr>
        <w:t xml:space="preserve"> hours to </w:t>
      </w:r>
      <w:r w:rsidRPr="00B4479C">
        <w:rPr>
          <w:rFonts w:ascii="Aptos" w:hAnsi="Aptos" w:cs="Times New Roman"/>
          <w:sz w:val="24"/>
          <w:szCs w:val="24"/>
          <w:highlight w:val="yellow"/>
        </w:rPr>
        <w:t>9783</w:t>
      </w:r>
      <w:r w:rsidRPr="00B4479C" w:rsidR="00386C7F">
        <w:rPr>
          <w:rFonts w:ascii="Aptos" w:hAnsi="Aptos" w:cs="Times New Roman"/>
          <w:sz w:val="24"/>
          <w:szCs w:val="24"/>
          <w:highlight w:val="yellow"/>
        </w:rPr>
        <w:t xml:space="preserve"> hours. This is due to a decrease in the number of respondents submitting initial DAR applications and a Renewal or a Close-out. </w:t>
      </w:r>
      <w:r w:rsidR="00FD0E5F">
        <w:rPr>
          <w:rFonts w:ascii="Aptos" w:hAnsi="Aptos" w:cs="Times New Roman"/>
          <w:sz w:val="24"/>
          <w:szCs w:val="24"/>
          <w:highlight w:val="yellow"/>
        </w:rPr>
        <w:t>Additionally, d</w:t>
      </w:r>
      <w:r w:rsidRPr="00B4479C" w:rsidR="00C25741">
        <w:rPr>
          <w:rFonts w:ascii="Aptos" w:hAnsi="Aptos" w:cs="Times New Roman"/>
          <w:sz w:val="24"/>
          <w:szCs w:val="24"/>
          <w:highlight w:val="yellow"/>
        </w:rPr>
        <w:t xml:space="preserve">ue to the number of data access requests decreasing from the last submission from 10 to 4, this also resulted in a decrease in the </w:t>
      </w:r>
      <w:r w:rsidRPr="00B4479C" w:rsidR="00B4479C">
        <w:rPr>
          <w:rFonts w:ascii="Aptos" w:hAnsi="Aptos" w:cs="Times New Roman"/>
          <w:sz w:val="24"/>
          <w:szCs w:val="24"/>
          <w:highlight w:val="yellow"/>
        </w:rPr>
        <w:t>annual burden hours for this submission.</w:t>
      </w:r>
    </w:p>
    <w:p w:rsidR="00A2122D" w:rsidRPr="001921C2" w:rsidP="00A2122D" w14:paraId="774FF136" w14:textId="50035ED9">
      <w:pPr>
        <w:rPr>
          <w:rFonts w:ascii="Aptos" w:hAnsi="Aptos" w:cs="Times New Roman"/>
          <w:b/>
          <w:sz w:val="24"/>
          <w:szCs w:val="24"/>
        </w:rPr>
      </w:pPr>
      <w:r w:rsidRPr="001921C2">
        <w:rPr>
          <w:rFonts w:ascii="Aptos" w:hAnsi="Aptos" w:cs="Times New Roman"/>
          <w:b/>
          <w:sz w:val="24"/>
          <w:szCs w:val="24"/>
        </w:rPr>
        <w:t>A.</w:t>
      </w:r>
      <w:r w:rsidRPr="001921C2" w:rsidR="00E2616F">
        <w:rPr>
          <w:rFonts w:ascii="Aptos" w:hAnsi="Aptos" w:cs="Times New Roman"/>
          <w:b/>
          <w:sz w:val="24"/>
          <w:szCs w:val="24"/>
        </w:rPr>
        <w:t>16</w:t>
      </w:r>
      <w:r w:rsidRPr="001921C2">
        <w:rPr>
          <w:rFonts w:ascii="Aptos" w:hAnsi="Aptos" w:cs="Times New Roman"/>
          <w:b/>
          <w:sz w:val="24"/>
          <w:szCs w:val="24"/>
        </w:rPr>
        <w:tab/>
        <w:t>Reason(s) Display of OMB Expiration Date is Inappropriate</w:t>
      </w:r>
    </w:p>
    <w:p w:rsidR="00A2122D" w:rsidRPr="001921C2" w:rsidP="002F57AA" w14:paraId="50E5A32C" w14:textId="77777777">
      <w:pPr>
        <w:tabs>
          <w:tab w:val="num" w:pos="810"/>
        </w:tabs>
        <w:rPr>
          <w:rFonts w:ascii="Aptos" w:hAnsi="Aptos" w:cs="Times New Roman"/>
          <w:sz w:val="24"/>
          <w:szCs w:val="24"/>
        </w:rPr>
      </w:pPr>
      <w:r w:rsidRPr="001921C2">
        <w:rPr>
          <w:rFonts w:ascii="Aptos" w:hAnsi="Aptos" w:cs="Times New Roman"/>
          <w:sz w:val="24"/>
          <w:szCs w:val="24"/>
        </w:rPr>
        <w:t>No exemption is requested.</w:t>
      </w:r>
    </w:p>
    <w:p w:rsidR="00A2122D" w:rsidRPr="001921C2" w:rsidP="00A2122D" w14:paraId="14B1A0E2" w14:textId="2C5A875F">
      <w:pPr>
        <w:rPr>
          <w:rFonts w:ascii="Aptos" w:hAnsi="Aptos" w:cs="Times New Roman"/>
          <w:b/>
          <w:sz w:val="24"/>
          <w:szCs w:val="24"/>
        </w:rPr>
      </w:pPr>
      <w:r w:rsidRPr="001921C2">
        <w:rPr>
          <w:rFonts w:ascii="Aptos" w:hAnsi="Aptos" w:cs="Times New Roman"/>
          <w:b/>
          <w:sz w:val="24"/>
          <w:szCs w:val="24"/>
        </w:rPr>
        <w:t>A.</w:t>
      </w:r>
      <w:r w:rsidRPr="001921C2" w:rsidR="00E2616F">
        <w:rPr>
          <w:rFonts w:ascii="Aptos" w:hAnsi="Aptos" w:cs="Times New Roman"/>
          <w:b/>
          <w:sz w:val="24"/>
          <w:szCs w:val="24"/>
        </w:rPr>
        <w:t>17</w:t>
      </w:r>
      <w:r w:rsidRPr="001921C2">
        <w:rPr>
          <w:rFonts w:ascii="Aptos" w:hAnsi="Aptos" w:cs="Times New Roman"/>
          <w:b/>
          <w:sz w:val="24"/>
          <w:szCs w:val="24"/>
        </w:rPr>
        <w:tab/>
        <w:t>Exceptions to Certification for Paperwork Reduction Act Submissions</w:t>
      </w:r>
    </w:p>
    <w:p w:rsidR="00A2122D" w:rsidRPr="00613D08" w:rsidP="002F57AA" w14:paraId="56042017" w14:textId="7D75C608">
      <w:pPr>
        <w:rPr>
          <w:rFonts w:ascii="Aptos" w:hAnsi="Aptos" w:cs="Times New Roman"/>
          <w:sz w:val="24"/>
          <w:szCs w:val="24"/>
        </w:rPr>
      </w:pPr>
      <w:r w:rsidRPr="001921C2">
        <w:rPr>
          <w:rFonts w:ascii="Aptos" w:hAnsi="Aptos" w:cs="Times New Roman"/>
          <w:sz w:val="24"/>
          <w:szCs w:val="24"/>
        </w:rPr>
        <w:t>No exceptions are requested.</w:t>
      </w: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747B" w14:paraId="109DBA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Times New Roman" w:hAnsi="Times New Roman" w:cs="Times New Roman"/>
      </w:rPr>
      <w:id w:val="357553010"/>
      <w:docPartObj>
        <w:docPartGallery w:val="Page Numbers (Bottom of Page)"/>
        <w:docPartUnique/>
      </w:docPartObj>
    </w:sdtPr>
    <w:sdtEndPr>
      <w:rPr>
        <w:noProof/>
      </w:rPr>
    </w:sdtEndPr>
    <w:sdtContent>
      <w:p w:rsidR="00EE3E14" w:rsidRPr="002A0B2B" w14:paraId="4859A7B7" w14:textId="0B7740D6">
        <w:pPr>
          <w:pStyle w:val="Footer"/>
          <w:jc w:val="center"/>
          <w:rPr>
            <w:rFonts w:ascii="Times New Roman" w:hAnsi="Times New Roman" w:cs="Times New Roman"/>
          </w:rPr>
        </w:pPr>
        <w:r w:rsidRPr="002F57AA">
          <w:rPr>
            <w:rFonts w:ascii="Aptos" w:hAnsi="Aptos" w:cs="Times New Roman"/>
          </w:rPr>
          <w:fldChar w:fldCharType="begin"/>
        </w:r>
        <w:r w:rsidRPr="002F57AA">
          <w:rPr>
            <w:rFonts w:ascii="Aptos" w:hAnsi="Aptos" w:cs="Times New Roman"/>
          </w:rPr>
          <w:instrText xml:space="preserve"> PAGE   \* MERGEFORMAT </w:instrText>
        </w:r>
        <w:r w:rsidRPr="002F57AA">
          <w:rPr>
            <w:rFonts w:ascii="Aptos" w:hAnsi="Aptos" w:cs="Times New Roman"/>
          </w:rPr>
          <w:fldChar w:fldCharType="separate"/>
        </w:r>
        <w:r w:rsidRPr="002F57AA" w:rsidR="003F55E3">
          <w:rPr>
            <w:rFonts w:ascii="Aptos" w:hAnsi="Aptos" w:cs="Times New Roman"/>
            <w:noProof/>
          </w:rPr>
          <w:t>17</w:t>
        </w:r>
        <w:r w:rsidRPr="002F57AA">
          <w:rPr>
            <w:rFonts w:ascii="Aptos" w:hAnsi="Aptos" w:cs="Times New Roman"/>
            <w:noProof/>
          </w:rPr>
          <w:fldChar w:fldCharType="end"/>
        </w:r>
      </w:p>
    </w:sdtContent>
  </w:sdt>
  <w:p w:rsidR="00EE3E14" w:rsidRPr="002A0B2B" w14:paraId="3D684110" w14:textId="77777777">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747B" w14:paraId="160378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F6EAF" w:rsidP="007E3D11" w14:paraId="6FE6362F" w14:textId="77777777">
      <w:pPr>
        <w:spacing w:after="0" w:line="240" w:lineRule="auto"/>
      </w:pPr>
      <w:r>
        <w:separator/>
      </w:r>
    </w:p>
  </w:footnote>
  <w:footnote w:type="continuationSeparator" w:id="1">
    <w:p w:rsidR="007F6EAF" w:rsidP="007E3D11" w14:paraId="0729D456" w14:textId="77777777">
      <w:pPr>
        <w:spacing w:after="0" w:line="240" w:lineRule="auto"/>
      </w:pPr>
      <w:r>
        <w:continuationSeparator/>
      </w:r>
    </w:p>
  </w:footnote>
  <w:footnote w:type="continuationNotice" w:id="2">
    <w:p w:rsidR="007F6EAF" w14:paraId="6D2A557B" w14:textId="77777777">
      <w:pPr>
        <w:spacing w:after="0" w:line="240" w:lineRule="auto"/>
      </w:pPr>
    </w:p>
  </w:footnote>
  <w:footnote w:id="3">
    <w:p w:rsidR="00D41075" w14:paraId="4AC85184" w14:textId="57B457FA">
      <w:pPr>
        <w:pStyle w:val="FootnoteText"/>
      </w:pPr>
      <w:r>
        <w:rPr>
          <w:rStyle w:val="FootnoteReference"/>
        </w:rPr>
        <w:footnoteRef/>
      </w:r>
      <w:r>
        <w:t xml:space="preserve"> </w:t>
      </w:r>
      <w:hyperlink r:id="rId1" w:anchor="/industry/000000" w:history="1">
        <w:r w:rsidRPr="00125C31" w:rsidR="00125C31">
          <w:rPr>
            <w:rStyle w:val="Hyperlink"/>
          </w:rPr>
          <w:t>Occupational Employment and Wage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747B" w14:paraId="4A043974" w14:textId="167EF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747B" w14:paraId="339227A7" w14:textId="1FECE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B747B" w14:paraId="368F9BBD" w14:textId="2AABA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2D52B65"/>
    <w:multiLevelType w:val="hybridMultilevel"/>
    <w:tmpl w:val="EDA6B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8914F4"/>
    <w:multiLevelType w:val="hybridMultilevel"/>
    <w:tmpl w:val="502403C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BCD24CB"/>
    <w:multiLevelType w:val="hybridMultilevel"/>
    <w:tmpl w:val="6F5E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EC57492"/>
    <w:multiLevelType w:val="hybridMultilevel"/>
    <w:tmpl w:val="B4747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1257F6"/>
    <w:multiLevelType w:val="hybridMultilevel"/>
    <w:tmpl w:val="7668E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964039">
    <w:abstractNumId w:val="1"/>
  </w:num>
  <w:num w:numId="2" w16cid:durableId="876042731">
    <w:abstractNumId w:val="3"/>
  </w:num>
  <w:num w:numId="3" w16cid:durableId="582639466">
    <w:abstractNumId w:val="2"/>
  </w:num>
  <w:num w:numId="4" w16cid:durableId="1081752166">
    <w:abstractNumId w:val="0"/>
  </w:num>
  <w:num w:numId="5" w16cid:durableId="772358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wes, Johnathan (NIH/OD) [C]">
    <w15:presenceInfo w15:providerId="AD" w15:userId="S::bowesjf@nih.gov::b0dabfc9-2dd6-45cd-bb70-cfcf514cc83d"/>
  </w15:person>
  <w15:person w15:author="Slutsman, Julia (NIH/OD) [E]">
    <w15:presenceInfo w15:providerId="AD" w15:userId="S::slutsmaj@nih.gov::47e09ab8-2519-46f1-bdb9-ee9d22f89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B"/>
    <w:rsid w:val="00000630"/>
    <w:rsid w:val="0000088B"/>
    <w:rsid w:val="000013D1"/>
    <w:rsid w:val="000017AC"/>
    <w:rsid w:val="000023B6"/>
    <w:rsid w:val="000026A7"/>
    <w:rsid w:val="00002865"/>
    <w:rsid w:val="000028F0"/>
    <w:rsid w:val="00002E10"/>
    <w:rsid w:val="00002E27"/>
    <w:rsid w:val="0000306B"/>
    <w:rsid w:val="000032EA"/>
    <w:rsid w:val="00004002"/>
    <w:rsid w:val="0000426F"/>
    <w:rsid w:val="00004328"/>
    <w:rsid w:val="000050F3"/>
    <w:rsid w:val="000051CD"/>
    <w:rsid w:val="00005A91"/>
    <w:rsid w:val="00005DD2"/>
    <w:rsid w:val="00005FB4"/>
    <w:rsid w:val="0000697E"/>
    <w:rsid w:val="000069D1"/>
    <w:rsid w:val="00006BCB"/>
    <w:rsid w:val="00006F53"/>
    <w:rsid w:val="0000723B"/>
    <w:rsid w:val="00010203"/>
    <w:rsid w:val="000103CA"/>
    <w:rsid w:val="00011435"/>
    <w:rsid w:val="000117E2"/>
    <w:rsid w:val="0001188A"/>
    <w:rsid w:val="0001193E"/>
    <w:rsid w:val="00011EAE"/>
    <w:rsid w:val="0001204A"/>
    <w:rsid w:val="00012197"/>
    <w:rsid w:val="00012344"/>
    <w:rsid w:val="00012AFD"/>
    <w:rsid w:val="00013FC2"/>
    <w:rsid w:val="00015197"/>
    <w:rsid w:val="000157B1"/>
    <w:rsid w:val="00016035"/>
    <w:rsid w:val="000160B3"/>
    <w:rsid w:val="000162AE"/>
    <w:rsid w:val="00016F15"/>
    <w:rsid w:val="0001787F"/>
    <w:rsid w:val="000210D3"/>
    <w:rsid w:val="00021EF8"/>
    <w:rsid w:val="00022008"/>
    <w:rsid w:val="00022423"/>
    <w:rsid w:val="00022A39"/>
    <w:rsid w:val="00023321"/>
    <w:rsid w:val="000233B2"/>
    <w:rsid w:val="00024579"/>
    <w:rsid w:val="00025E03"/>
    <w:rsid w:val="000264AD"/>
    <w:rsid w:val="000267B0"/>
    <w:rsid w:val="00026898"/>
    <w:rsid w:val="00026F94"/>
    <w:rsid w:val="000272C0"/>
    <w:rsid w:val="00027ACE"/>
    <w:rsid w:val="00027C65"/>
    <w:rsid w:val="00027F33"/>
    <w:rsid w:val="00030816"/>
    <w:rsid w:val="00031196"/>
    <w:rsid w:val="00031453"/>
    <w:rsid w:val="00031A59"/>
    <w:rsid w:val="00031C99"/>
    <w:rsid w:val="0003226A"/>
    <w:rsid w:val="000328DC"/>
    <w:rsid w:val="000330B4"/>
    <w:rsid w:val="00033BB6"/>
    <w:rsid w:val="0003461F"/>
    <w:rsid w:val="00034987"/>
    <w:rsid w:val="00035436"/>
    <w:rsid w:val="00035F9F"/>
    <w:rsid w:val="000361FF"/>
    <w:rsid w:val="00036841"/>
    <w:rsid w:val="00036DED"/>
    <w:rsid w:val="00036DF5"/>
    <w:rsid w:val="00037C1C"/>
    <w:rsid w:val="000401A3"/>
    <w:rsid w:val="00040805"/>
    <w:rsid w:val="00040E06"/>
    <w:rsid w:val="00040ED2"/>
    <w:rsid w:val="000410ED"/>
    <w:rsid w:val="00041216"/>
    <w:rsid w:val="00041925"/>
    <w:rsid w:val="00043464"/>
    <w:rsid w:val="00043469"/>
    <w:rsid w:val="00043834"/>
    <w:rsid w:val="00043CDA"/>
    <w:rsid w:val="0004485F"/>
    <w:rsid w:val="00044CD6"/>
    <w:rsid w:val="00044EE3"/>
    <w:rsid w:val="0004518D"/>
    <w:rsid w:val="00045E3F"/>
    <w:rsid w:val="00045ECA"/>
    <w:rsid w:val="000468E3"/>
    <w:rsid w:val="00046FD9"/>
    <w:rsid w:val="000477EB"/>
    <w:rsid w:val="00050768"/>
    <w:rsid w:val="00050E10"/>
    <w:rsid w:val="00051211"/>
    <w:rsid w:val="00051C3A"/>
    <w:rsid w:val="000523FD"/>
    <w:rsid w:val="0005273A"/>
    <w:rsid w:val="00052BC8"/>
    <w:rsid w:val="0005361E"/>
    <w:rsid w:val="0005472A"/>
    <w:rsid w:val="000552B6"/>
    <w:rsid w:val="000555DA"/>
    <w:rsid w:val="00055C72"/>
    <w:rsid w:val="00056310"/>
    <w:rsid w:val="00056325"/>
    <w:rsid w:val="00056E29"/>
    <w:rsid w:val="00057243"/>
    <w:rsid w:val="00057702"/>
    <w:rsid w:val="00060040"/>
    <w:rsid w:val="00060901"/>
    <w:rsid w:val="00061953"/>
    <w:rsid w:val="00061F79"/>
    <w:rsid w:val="0006226F"/>
    <w:rsid w:val="0006270B"/>
    <w:rsid w:val="00062ABC"/>
    <w:rsid w:val="000636BF"/>
    <w:rsid w:val="00063EA4"/>
    <w:rsid w:val="000642D9"/>
    <w:rsid w:val="000643DA"/>
    <w:rsid w:val="000644DB"/>
    <w:rsid w:val="00064659"/>
    <w:rsid w:val="00064E21"/>
    <w:rsid w:val="00065124"/>
    <w:rsid w:val="000652D6"/>
    <w:rsid w:val="000663A4"/>
    <w:rsid w:val="0006640F"/>
    <w:rsid w:val="00066B6A"/>
    <w:rsid w:val="0006759F"/>
    <w:rsid w:val="0007065A"/>
    <w:rsid w:val="0007070B"/>
    <w:rsid w:val="000711C1"/>
    <w:rsid w:val="000718A5"/>
    <w:rsid w:val="0007257E"/>
    <w:rsid w:val="00072D85"/>
    <w:rsid w:val="000732BF"/>
    <w:rsid w:val="000740CA"/>
    <w:rsid w:val="0007509B"/>
    <w:rsid w:val="0007533B"/>
    <w:rsid w:val="00075459"/>
    <w:rsid w:val="00075E38"/>
    <w:rsid w:val="00075F07"/>
    <w:rsid w:val="00076216"/>
    <w:rsid w:val="0007672A"/>
    <w:rsid w:val="00077CA4"/>
    <w:rsid w:val="00080022"/>
    <w:rsid w:val="0008091F"/>
    <w:rsid w:val="00080A2F"/>
    <w:rsid w:val="00081201"/>
    <w:rsid w:val="00081E3F"/>
    <w:rsid w:val="00081FC9"/>
    <w:rsid w:val="00082393"/>
    <w:rsid w:val="00082FF2"/>
    <w:rsid w:val="0008381F"/>
    <w:rsid w:val="00084812"/>
    <w:rsid w:val="00084835"/>
    <w:rsid w:val="00084E58"/>
    <w:rsid w:val="00084F11"/>
    <w:rsid w:val="0008599A"/>
    <w:rsid w:val="00085D3A"/>
    <w:rsid w:val="00086EA8"/>
    <w:rsid w:val="000873A1"/>
    <w:rsid w:val="00087C93"/>
    <w:rsid w:val="00087CEB"/>
    <w:rsid w:val="00090212"/>
    <w:rsid w:val="0009060A"/>
    <w:rsid w:val="00090ABF"/>
    <w:rsid w:val="00091846"/>
    <w:rsid w:val="0009195F"/>
    <w:rsid w:val="00092332"/>
    <w:rsid w:val="00092F5C"/>
    <w:rsid w:val="00093C9B"/>
    <w:rsid w:val="00093D48"/>
    <w:rsid w:val="0009444D"/>
    <w:rsid w:val="00096959"/>
    <w:rsid w:val="00096EDA"/>
    <w:rsid w:val="000A0074"/>
    <w:rsid w:val="000A00CB"/>
    <w:rsid w:val="000A03AA"/>
    <w:rsid w:val="000A1865"/>
    <w:rsid w:val="000A1912"/>
    <w:rsid w:val="000A1DAC"/>
    <w:rsid w:val="000A251F"/>
    <w:rsid w:val="000A341A"/>
    <w:rsid w:val="000A3E6B"/>
    <w:rsid w:val="000A408B"/>
    <w:rsid w:val="000A41D1"/>
    <w:rsid w:val="000A487A"/>
    <w:rsid w:val="000A6600"/>
    <w:rsid w:val="000A6A7E"/>
    <w:rsid w:val="000A78CE"/>
    <w:rsid w:val="000B04DA"/>
    <w:rsid w:val="000B0ACE"/>
    <w:rsid w:val="000B0B90"/>
    <w:rsid w:val="000B0FB3"/>
    <w:rsid w:val="000B129C"/>
    <w:rsid w:val="000B20BD"/>
    <w:rsid w:val="000B218D"/>
    <w:rsid w:val="000B2485"/>
    <w:rsid w:val="000B2A54"/>
    <w:rsid w:val="000B2E82"/>
    <w:rsid w:val="000B38EA"/>
    <w:rsid w:val="000B42ED"/>
    <w:rsid w:val="000B5150"/>
    <w:rsid w:val="000B53E1"/>
    <w:rsid w:val="000B582F"/>
    <w:rsid w:val="000B6ADA"/>
    <w:rsid w:val="000B6B00"/>
    <w:rsid w:val="000B6CEA"/>
    <w:rsid w:val="000B7415"/>
    <w:rsid w:val="000C02FE"/>
    <w:rsid w:val="000C14BE"/>
    <w:rsid w:val="000C48DA"/>
    <w:rsid w:val="000C4C27"/>
    <w:rsid w:val="000C4FB2"/>
    <w:rsid w:val="000C5773"/>
    <w:rsid w:val="000C60D2"/>
    <w:rsid w:val="000C7465"/>
    <w:rsid w:val="000D083E"/>
    <w:rsid w:val="000D0B42"/>
    <w:rsid w:val="000D0F44"/>
    <w:rsid w:val="000D161A"/>
    <w:rsid w:val="000D1A7E"/>
    <w:rsid w:val="000D27DB"/>
    <w:rsid w:val="000D3990"/>
    <w:rsid w:val="000D3DEB"/>
    <w:rsid w:val="000D4BA8"/>
    <w:rsid w:val="000D4C61"/>
    <w:rsid w:val="000D5110"/>
    <w:rsid w:val="000D583C"/>
    <w:rsid w:val="000D6CAC"/>
    <w:rsid w:val="000D6CF1"/>
    <w:rsid w:val="000D6F23"/>
    <w:rsid w:val="000D7193"/>
    <w:rsid w:val="000D7322"/>
    <w:rsid w:val="000D7701"/>
    <w:rsid w:val="000D7A23"/>
    <w:rsid w:val="000E06CC"/>
    <w:rsid w:val="000E11C9"/>
    <w:rsid w:val="000E15D6"/>
    <w:rsid w:val="000E2CAD"/>
    <w:rsid w:val="000E2E72"/>
    <w:rsid w:val="000E31E4"/>
    <w:rsid w:val="000E37D5"/>
    <w:rsid w:val="000E3882"/>
    <w:rsid w:val="000E435E"/>
    <w:rsid w:val="000E4547"/>
    <w:rsid w:val="000E509F"/>
    <w:rsid w:val="000E52A1"/>
    <w:rsid w:val="000E61EC"/>
    <w:rsid w:val="000E6459"/>
    <w:rsid w:val="000E67D6"/>
    <w:rsid w:val="000E6C1A"/>
    <w:rsid w:val="000E7059"/>
    <w:rsid w:val="000E720F"/>
    <w:rsid w:val="000E734B"/>
    <w:rsid w:val="000E7743"/>
    <w:rsid w:val="000E7CF2"/>
    <w:rsid w:val="000F074D"/>
    <w:rsid w:val="000F1680"/>
    <w:rsid w:val="000F2E0C"/>
    <w:rsid w:val="000F2F17"/>
    <w:rsid w:val="000F31D0"/>
    <w:rsid w:val="000F3A51"/>
    <w:rsid w:val="000F420E"/>
    <w:rsid w:val="000F5375"/>
    <w:rsid w:val="000F5B06"/>
    <w:rsid w:val="000F5B9E"/>
    <w:rsid w:val="000F5F83"/>
    <w:rsid w:val="000F6DD6"/>
    <w:rsid w:val="000F708F"/>
    <w:rsid w:val="000F74A3"/>
    <w:rsid w:val="000F77E2"/>
    <w:rsid w:val="000F7C47"/>
    <w:rsid w:val="00100387"/>
    <w:rsid w:val="001016A0"/>
    <w:rsid w:val="001016AC"/>
    <w:rsid w:val="001024CE"/>
    <w:rsid w:val="00103975"/>
    <w:rsid w:val="001043A6"/>
    <w:rsid w:val="00104C66"/>
    <w:rsid w:val="00105619"/>
    <w:rsid w:val="00105FAF"/>
    <w:rsid w:val="00106263"/>
    <w:rsid w:val="0010791B"/>
    <w:rsid w:val="00107986"/>
    <w:rsid w:val="00110620"/>
    <w:rsid w:val="001108DE"/>
    <w:rsid w:val="00110944"/>
    <w:rsid w:val="0011124F"/>
    <w:rsid w:val="001115E8"/>
    <w:rsid w:val="00111A92"/>
    <w:rsid w:val="001137E5"/>
    <w:rsid w:val="00113B9B"/>
    <w:rsid w:val="00113F12"/>
    <w:rsid w:val="0011482D"/>
    <w:rsid w:val="00114958"/>
    <w:rsid w:val="00114B2E"/>
    <w:rsid w:val="00114DB8"/>
    <w:rsid w:val="00115844"/>
    <w:rsid w:val="0011681E"/>
    <w:rsid w:val="00116A70"/>
    <w:rsid w:val="00117DCF"/>
    <w:rsid w:val="00117FF7"/>
    <w:rsid w:val="00120A61"/>
    <w:rsid w:val="00120D08"/>
    <w:rsid w:val="00120D9C"/>
    <w:rsid w:val="00120EFE"/>
    <w:rsid w:val="0012265C"/>
    <w:rsid w:val="00122BF2"/>
    <w:rsid w:val="00123039"/>
    <w:rsid w:val="001235E9"/>
    <w:rsid w:val="00123B63"/>
    <w:rsid w:val="00123B9B"/>
    <w:rsid w:val="001242AF"/>
    <w:rsid w:val="001246BB"/>
    <w:rsid w:val="00124974"/>
    <w:rsid w:val="00124EBD"/>
    <w:rsid w:val="0012567A"/>
    <w:rsid w:val="00125C31"/>
    <w:rsid w:val="001266B0"/>
    <w:rsid w:val="00127A4C"/>
    <w:rsid w:val="0013048E"/>
    <w:rsid w:val="001304F4"/>
    <w:rsid w:val="00132608"/>
    <w:rsid w:val="001327D2"/>
    <w:rsid w:val="00132C94"/>
    <w:rsid w:val="00133B14"/>
    <w:rsid w:val="00134702"/>
    <w:rsid w:val="00135814"/>
    <w:rsid w:val="00136939"/>
    <w:rsid w:val="001400D7"/>
    <w:rsid w:val="001404A8"/>
    <w:rsid w:val="00140544"/>
    <w:rsid w:val="00140C97"/>
    <w:rsid w:val="00141459"/>
    <w:rsid w:val="001449BD"/>
    <w:rsid w:val="00144A3C"/>
    <w:rsid w:val="001455EF"/>
    <w:rsid w:val="00145C94"/>
    <w:rsid w:val="00145D90"/>
    <w:rsid w:val="00146196"/>
    <w:rsid w:val="00146915"/>
    <w:rsid w:val="00146B99"/>
    <w:rsid w:val="00146C26"/>
    <w:rsid w:val="00146E8C"/>
    <w:rsid w:val="00147D3B"/>
    <w:rsid w:val="00150130"/>
    <w:rsid w:val="00150471"/>
    <w:rsid w:val="00151534"/>
    <w:rsid w:val="001523D7"/>
    <w:rsid w:val="00153352"/>
    <w:rsid w:val="00154ACB"/>
    <w:rsid w:val="00154CD4"/>
    <w:rsid w:val="001555C5"/>
    <w:rsid w:val="00155723"/>
    <w:rsid w:val="0015620C"/>
    <w:rsid w:val="00156A04"/>
    <w:rsid w:val="0016037B"/>
    <w:rsid w:val="00160464"/>
    <w:rsid w:val="00160C74"/>
    <w:rsid w:val="00161396"/>
    <w:rsid w:val="00161E74"/>
    <w:rsid w:val="00161F93"/>
    <w:rsid w:val="001626F4"/>
    <w:rsid w:val="001629EC"/>
    <w:rsid w:val="00164591"/>
    <w:rsid w:val="001645AD"/>
    <w:rsid w:val="0016498F"/>
    <w:rsid w:val="00164B12"/>
    <w:rsid w:val="00164C28"/>
    <w:rsid w:val="00164D6A"/>
    <w:rsid w:val="00164DEA"/>
    <w:rsid w:val="001657AA"/>
    <w:rsid w:val="00166633"/>
    <w:rsid w:val="001700BF"/>
    <w:rsid w:val="00170F70"/>
    <w:rsid w:val="001712FD"/>
    <w:rsid w:val="00171E18"/>
    <w:rsid w:val="00171FEC"/>
    <w:rsid w:val="001721C9"/>
    <w:rsid w:val="0017246B"/>
    <w:rsid w:val="00172B3D"/>
    <w:rsid w:val="0017316C"/>
    <w:rsid w:val="0017321F"/>
    <w:rsid w:val="0017341F"/>
    <w:rsid w:val="00173ECB"/>
    <w:rsid w:val="001741D2"/>
    <w:rsid w:val="00175F8C"/>
    <w:rsid w:val="00177BDA"/>
    <w:rsid w:val="00177F87"/>
    <w:rsid w:val="00180F4B"/>
    <w:rsid w:val="001817E0"/>
    <w:rsid w:val="00182795"/>
    <w:rsid w:val="001827BF"/>
    <w:rsid w:val="00183267"/>
    <w:rsid w:val="001832F0"/>
    <w:rsid w:val="00183EFC"/>
    <w:rsid w:val="00184437"/>
    <w:rsid w:val="00184F1F"/>
    <w:rsid w:val="00185E82"/>
    <w:rsid w:val="0018658C"/>
    <w:rsid w:val="001867CB"/>
    <w:rsid w:val="001867D8"/>
    <w:rsid w:val="00187549"/>
    <w:rsid w:val="00191371"/>
    <w:rsid w:val="00192001"/>
    <w:rsid w:val="001921C2"/>
    <w:rsid w:val="0019231E"/>
    <w:rsid w:val="001926CE"/>
    <w:rsid w:val="00193152"/>
    <w:rsid w:val="00194F12"/>
    <w:rsid w:val="00195745"/>
    <w:rsid w:val="00195B7A"/>
    <w:rsid w:val="00195C02"/>
    <w:rsid w:val="00195C3F"/>
    <w:rsid w:val="00196861"/>
    <w:rsid w:val="00196A98"/>
    <w:rsid w:val="00196AAF"/>
    <w:rsid w:val="00196F9E"/>
    <w:rsid w:val="0019731C"/>
    <w:rsid w:val="0019766B"/>
    <w:rsid w:val="00197BE8"/>
    <w:rsid w:val="00197F74"/>
    <w:rsid w:val="001A033B"/>
    <w:rsid w:val="001A1054"/>
    <w:rsid w:val="001A1526"/>
    <w:rsid w:val="001A15F2"/>
    <w:rsid w:val="001A18F1"/>
    <w:rsid w:val="001A1B07"/>
    <w:rsid w:val="001A225E"/>
    <w:rsid w:val="001A24FA"/>
    <w:rsid w:val="001A5794"/>
    <w:rsid w:val="001A5D40"/>
    <w:rsid w:val="001A63D6"/>
    <w:rsid w:val="001A6491"/>
    <w:rsid w:val="001A6502"/>
    <w:rsid w:val="001A6D40"/>
    <w:rsid w:val="001A78A7"/>
    <w:rsid w:val="001A7EC2"/>
    <w:rsid w:val="001B051B"/>
    <w:rsid w:val="001B0639"/>
    <w:rsid w:val="001B0AB2"/>
    <w:rsid w:val="001B0EB4"/>
    <w:rsid w:val="001B0FDE"/>
    <w:rsid w:val="001B1215"/>
    <w:rsid w:val="001B14B3"/>
    <w:rsid w:val="001B3BB8"/>
    <w:rsid w:val="001B3D4C"/>
    <w:rsid w:val="001B433D"/>
    <w:rsid w:val="001B48EF"/>
    <w:rsid w:val="001B5AC3"/>
    <w:rsid w:val="001B5F50"/>
    <w:rsid w:val="001B609A"/>
    <w:rsid w:val="001B618C"/>
    <w:rsid w:val="001B6D12"/>
    <w:rsid w:val="001B74E0"/>
    <w:rsid w:val="001B7EF9"/>
    <w:rsid w:val="001C0142"/>
    <w:rsid w:val="001C0378"/>
    <w:rsid w:val="001C0771"/>
    <w:rsid w:val="001C1025"/>
    <w:rsid w:val="001C1E2B"/>
    <w:rsid w:val="001C2807"/>
    <w:rsid w:val="001C2A8E"/>
    <w:rsid w:val="001C2C66"/>
    <w:rsid w:val="001C3415"/>
    <w:rsid w:val="001C3780"/>
    <w:rsid w:val="001C3DEE"/>
    <w:rsid w:val="001C3E19"/>
    <w:rsid w:val="001C4561"/>
    <w:rsid w:val="001C52D8"/>
    <w:rsid w:val="001C5CBD"/>
    <w:rsid w:val="001C6545"/>
    <w:rsid w:val="001C66AA"/>
    <w:rsid w:val="001C70D9"/>
    <w:rsid w:val="001C71DA"/>
    <w:rsid w:val="001C7616"/>
    <w:rsid w:val="001C78B0"/>
    <w:rsid w:val="001C7F6F"/>
    <w:rsid w:val="001D22B0"/>
    <w:rsid w:val="001D27BF"/>
    <w:rsid w:val="001D376B"/>
    <w:rsid w:val="001D3E72"/>
    <w:rsid w:val="001D452A"/>
    <w:rsid w:val="001D494E"/>
    <w:rsid w:val="001D4A3A"/>
    <w:rsid w:val="001D4B25"/>
    <w:rsid w:val="001D6A92"/>
    <w:rsid w:val="001D7068"/>
    <w:rsid w:val="001D7B21"/>
    <w:rsid w:val="001D7BF8"/>
    <w:rsid w:val="001E0259"/>
    <w:rsid w:val="001E043E"/>
    <w:rsid w:val="001E1D53"/>
    <w:rsid w:val="001E2CB6"/>
    <w:rsid w:val="001E2E45"/>
    <w:rsid w:val="001E4800"/>
    <w:rsid w:val="001E54A5"/>
    <w:rsid w:val="001E5519"/>
    <w:rsid w:val="001E5D2F"/>
    <w:rsid w:val="001E64C4"/>
    <w:rsid w:val="001E6BA0"/>
    <w:rsid w:val="001E738C"/>
    <w:rsid w:val="001E77C5"/>
    <w:rsid w:val="001E795D"/>
    <w:rsid w:val="001E7A85"/>
    <w:rsid w:val="001F0E1C"/>
    <w:rsid w:val="001F1EB1"/>
    <w:rsid w:val="001F2069"/>
    <w:rsid w:val="001F2273"/>
    <w:rsid w:val="001F306C"/>
    <w:rsid w:val="001F41EB"/>
    <w:rsid w:val="001F42CC"/>
    <w:rsid w:val="001F4C3A"/>
    <w:rsid w:val="001F4EEF"/>
    <w:rsid w:val="001F57A3"/>
    <w:rsid w:val="001F5ADC"/>
    <w:rsid w:val="001F5B63"/>
    <w:rsid w:val="001F6D33"/>
    <w:rsid w:val="001F6D5F"/>
    <w:rsid w:val="001F7BEA"/>
    <w:rsid w:val="00200A03"/>
    <w:rsid w:val="00200DDB"/>
    <w:rsid w:val="00201072"/>
    <w:rsid w:val="002016A1"/>
    <w:rsid w:val="0020182D"/>
    <w:rsid w:val="0020349A"/>
    <w:rsid w:val="00203536"/>
    <w:rsid w:val="002038F7"/>
    <w:rsid w:val="00204239"/>
    <w:rsid w:val="00204CEB"/>
    <w:rsid w:val="00204D69"/>
    <w:rsid w:val="0020529C"/>
    <w:rsid w:val="002056BF"/>
    <w:rsid w:val="00205C06"/>
    <w:rsid w:val="002060F6"/>
    <w:rsid w:val="0020637A"/>
    <w:rsid w:val="0020679D"/>
    <w:rsid w:val="00206EFF"/>
    <w:rsid w:val="00207955"/>
    <w:rsid w:val="00210E98"/>
    <w:rsid w:val="0021140C"/>
    <w:rsid w:val="002118D0"/>
    <w:rsid w:val="00212887"/>
    <w:rsid w:val="00213177"/>
    <w:rsid w:val="002133A2"/>
    <w:rsid w:val="00213558"/>
    <w:rsid w:val="0021553A"/>
    <w:rsid w:val="00215693"/>
    <w:rsid w:val="002158A0"/>
    <w:rsid w:val="00215983"/>
    <w:rsid w:val="002159C7"/>
    <w:rsid w:val="002163D4"/>
    <w:rsid w:val="00216E33"/>
    <w:rsid w:val="00216E7E"/>
    <w:rsid w:val="00217126"/>
    <w:rsid w:val="0021759B"/>
    <w:rsid w:val="002201FD"/>
    <w:rsid w:val="002206FB"/>
    <w:rsid w:val="00220CEF"/>
    <w:rsid w:val="002214F7"/>
    <w:rsid w:val="0022184A"/>
    <w:rsid w:val="0022226C"/>
    <w:rsid w:val="00222FA0"/>
    <w:rsid w:val="002230C3"/>
    <w:rsid w:val="00223C7A"/>
    <w:rsid w:val="00223D7E"/>
    <w:rsid w:val="002248DD"/>
    <w:rsid w:val="00224AFA"/>
    <w:rsid w:val="00225506"/>
    <w:rsid w:val="0022607D"/>
    <w:rsid w:val="00226DA0"/>
    <w:rsid w:val="00226DA4"/>
    <w:rsid w:val="00226F1B"/>
    <w:rsid w:val="00226FBC"/>
    <w:rsid w:val="0022787D"/>
    <w:rsid w:val="0023062D"/>
    <w:rsid w:val="00230873"/>
    <w:rsid w:val="002308F0"/>
    <w:rsid w:val="00230D17"/>
    <w:rsid w:val="00230F22"/>
    <w:rsid w:val="00231394"/>
    <w:rsid w:val="00231829"/>
    <w:rsid w:val="0023259D"/>
    <w:rsid w:val="00233423"/>
    <w:rsid w:val="00233FD7"/>
    <w:rsid w:val="0023539E"/>
    <w:rsid w:val="00235C49"/>
    <w:rsid w:val="00235F4F"/>
    <w:rsid w:val="00236848"/>
    <w:rsid w:val="00236BA0"/>
    <w:rsid w:val="00236C67"/>
    <w:rsid w:val="00236CCC"/>
    <w:rsid w:val="002403A4"/>
    <w:rsid w:val="0024054B"/>
    <w:rsid w:val="002407E1"/>
    <w:rsid w:val="002409C7"/>
    <w:rsid w:val="00241A9A"/>
    <w:rsid w:val="00241B8B"/>
    <w:rsid w:val="00241CB1"/>
    <w:rsid w:val="00241DC0"/>
    <w:rsid w:val="00241EF2"/>
    <w:rsid w:val="00242E86"/>
    <w:rsid w:val="00243D27"/>
    <w:rsid w:val="00243D89"/>
    <w:rsid w:val="00244B96"/>
    <w:rsid w:val="00245D52"/>
    <w:rsid w:val="00246513"/>
    <w:rsid w:val="002467AE"/>
    <w:rsid w:val="00247050"/>
    <w:rsid w:val="002475E7"/>
    <w:rsid w:val="0025000F"/>
    <w:rsid w:val="00251A1B"/>
    <w:rsid w:val="00252095"/>
    <w:rsid w:val="0025236E"/>
    <w:rsid w:val="00252510"/>
    <w:rsid w:val="002536E8"/>
    <w:rsid w:val="0025374C"/>
    <w:rsid w:val="0025387C"/>
    <w:rsid w:val="00253963"/>
    <w:rsid w:val="00253CEA"/>
    <w:rsid w:val="00253D9A"/>
    <w:rsid w:val="002541B7"/>
    <w:rsid w:val="00254917"/>
    <w:rsid w:val="00256D26"/>
    <w:rsid w:val="00256FC8"/>
    <w:rsid w:val="00257679"/>
    <w:rsid w:val="00257A77"/>
    <w:rsid w:val="00260252"/>
    <w:rsid w:val="0026096D"/>
    <w:rsid w:val="00260CCD"/>
    <w:rsid w:val="002612F4"/>
    <w:rsid w:val="00261BA1"/>
    <w:rsid w:val="00262580"/>
    <w:rsid w:val="00262608"/>
    <w:rsid w:val="00262896"/>
    <w:rsid w:val="00262FBF"/>
    <w:rsid w:val="002630C8"/>
    <w:rsid w:val="00263E12"/>
    <w:rsid w:val="002643E6"/>
    <w:rsid w:val="0026475B"/>
    <w:rsid w:val="00265183"/>
    <w:rsid w:val="00265D67"/>
    <w:rsid w:val="002668DD"/>
    <w:rsid w:val="00266CAB"/>
    <w:rsid w:val="00267CEA"/>
    <w:rsid w:val="00270475"/>
    <w:rsid w:val="00271CBC"/>
    <w:rsid w:val="00272DC5"/>
    <w:rsid w:val="00273020"/>
    <w:rsid w:val="00273745"/>
    <w:rsid w:val="00273814"/>
    <w:rsid w:val="002740AC"/>
    <w:rsid w:val="002760F4"/>
    <w:rsid w:val="00277292"/>
    <w:rsid w:val="00277340"/>
    <w:rsid w:val="00277341"/>
    <w:rsid w:val="0027742E"/>
    <w:rsid w:val="00277A9D"/>
    <w:rsid w:val="00280405"/>
    <w:rsid w:val="002808FD"/>
    <w:rsid w:val="00280A00"/>
    <w:rsid w:val="00280B7D"/>
    <w:rsid w:val="0028132D"/>
    <w:rsid w:val="002819C4"/>
    <w:rsid w:val="0028251B"/>
    <w:rsid w:val="00282582"/>
    <w:rsid w:val="002828EC"/>
    <w:rsid w:val="00282BF2"/>
    <w:rsid w:val="00282CD2"/>
    <w:rsid w:val="0028383C"/>
    <w:rsid w:val="00283A23"/>
    <w:rsid w:val="00283B00"/>
    <w:rsid w:val="0028488E"/>
    <w:rsid w:val="00284B07"/>
    <w:rsid w:val="00284FD0"/>
    <w:rsid w:val="00285512"/>
    <w:rsid w:val="0028557E"/>
    <w:rsid w:val="00285BBB"/>
    <w:rsid w:val="00286977"/>
    <w:rsid w:val="0028707B"/>
    <w:rsid w:val="002870A0"/>
    <w:rsid w:val="00287A3E"/>
    <w:rsid w:val="00287F66"/>
    <w:rsid w:val="002902DF"/>
    <w:rsid w:val="0029092C"/>
    <w:rsid w:val="00290E25"/>
    <w:rsid w:val="00291758"/>
    <w:rsid w:val="00291A9A"/>
    <w:rsid w:val="0029259A"/>
    <w:rsid w:val="00292888"/>
    <w:rsid w:val="002932CA"/>
    <w:rsid w:val="0029368B"/>
    <w:rsid w:val="002946BE"/>
    <w:rsid w:val="00294F2F"/>
    <w:rsid w:val="00295175"/>
    <w:rsid w:val="00295351"/>
    <w:rsid w:val="002957BC"/>
    <w:rsid w:val="002958CE"/>
    <w:rsid w:val="00297C12"/>
    <w:rsid w:val="002A0150"/>
    <w:rsid w:val="002A038D"/>
    <w:rsid w:val="002A07B7"/>
    <w:rsid w:val="002A0B2B"/>
    <w:rsid w:val="002A0F55"/>
    <w:rsid w:val="002A1AAF"/>
    <w:rsid w:val="002A209F"/>
    <w:rsid w:val="002A2389"/>
    <w:rsid w:val="002A2990"/>
    <w:rsid w:val="002A3249"/>
    <w:rsid w:val="002A325C"/>
    <w:rsid w:val="002A44C1"/>
    <w:rsid w:val="002A4DBF"/>
    <w:rsid w:val="002A545C"/>
    <w:rsid w:val="002A54F7"/>
    <w:rsid w:val="002A5DCE"/>
    <w:rsid w:val="002A5DFF"/>
    <w:rsid w:val="002A682D"/>
    <w:rsid w:val="002A6AF6"/>
    <w:rsid w:val="002A740A"/>
    <w:rsid w:val="002A74DD"/>
    <w:rsid w:val="002A7703"/>
    <w:rsid w:val="002A791A"/>
    <w:rsid w:val="002B039E"/>
    <w:rsid w:val="002B1124"/>
    <w:rsid w:val="002B136C"/>
    <w:rsid w:val="002B13AB"/>
    <w:rsid w:val="002B1690"/>
    <w:rsid w:val="002B274F"/>
    <w:rsid w:val="002B2B97"/>
    <w:rsid w:val="002B32F9"/>
    <w:rsid w:val="002B378F"/>
    <w:rsid w:val="002B3C5B"/>
    <w:rsid w:val="002B4F93"/>
    <w:rsid w:val="002B517C"/>
    <w:rsid w:val="002B5EE5"/>
    <w:rsid w:val="002B6EEF"/>
    <w:rsid w:val="002B70D5"/>
    <w:rsid w:val="002C01E9"/>
    <w:rsid w:val="002C0B34"/>
    <w:rsid w:val="002C0F16"/>
    <w:rsid w:val="002C14A6"/>
    <w:rsid w:val="002C166D"/>
    <w:rsid w:val="002C3352"/>
    <w:rsid w:val="002C3DA5"/>
    <w:rsid w:val="002C4DA8"/>
    <w:rsid w:val="002C4EC9"/>
    <w:rsid w:val="002C65B7"/>
    <w:rsid w:val="002C72FA"/>
    <w:rsid w:val="002D0EF7"/>
    <w:rsid w:val="002D2CA2"/>
    <w:rsid w:val="002D36C6"/>
    <w:rsid w:val="002D388A"/>
    <w:rsid w:val="002D4823"/>
    <w:rsid w:val="002D4FA6"/>
    <w:rsid w:val="002D5136"/>
    <w:rsid w:val="002D51CE"/>
    <w:rsid w:val="002D54E9"/>
    <w:rsid w:val="002D5671"/>
    <w:rsid w:val="002D6405"/>
    <w:rsid w:val="002D7A09"/>
    <w:rsid w:val="002E0ABB"/>
    <w:rsid w:val="002E1FF4"/>
    <w:rsid w:val="002E2A59"/>
    <w:rsid w:val="002E2C63"/>
    <w:rsid w:val="002E3577"/>
    <w:rsid w:val="002E4168"/>
    <w:rsid w:val="002E636F"/>
    <w:rsid w:val="002E673B"/>
    <w:rsid w:val="002E7164"/>
    <w:rsid w:val="002E7E2E"/>
    <w:rsid w:val="002F01AE"/>
    <w:rsid w:val="002F0622"/>
    <w:rsid w:val="002F0AEB"/>
    <w:rsid w:val="002F2BD5"/>
    <w:rsid w:val="002F2C54"/>
    <w:rsid w:val="002F357A"/>
    <w:rsid w:val="002F36F7"/>
    <w:rsid w:val="002F3931"/>
    <w:rsid w:val="002F4273"/>
    <w:rsid w:val="002F50F7"/>
    <w:rsid w:val="002F55F4"/>
    <w:rsid w:val="002F57AA"/>
    <w:rsid w:val="002F5B07"/>
    <w:rsid w:val="002F5B83"/>
    <w:rsid w:val="002F5DB2"/>
    <w:rsid w:val="002F6616"/>
    <w:rsid w:val="002F72D2"/>
    <w:rsid w:val="00300305"/>
    <w:rsid w:val="00300C8A"/>
    <w:rsid w:val="00301127"/>
    <w:rsid w:val="003014AF"/>
    <w:rsid w:val="003017E4"/>
    <w:rsid w:val="003021BB"/>
    <w:rsid w:val="003027FE"/>
    <w:rsid w:val="0030293B"/>
    <w:rsid w:val="003029F7"/>
    <w:rsid w:val="00302C14"/>
    <w:rsid w:val="0030384C"/>
    <w:rsid w:val="00304677"/>
    <w:rsid w:val="00304A14"/>
    <w:rsid w:val="00304E1F"/>
    <w:rsid w:val="00304F8B"/>
    <w:rsid w:val="00305667"/>
    <w:rsid w:val="00306260"/>
    <w:rsid w:val="0030646F"/>
    <w:rsid w:val="00306C8F"/>
    <w:rsid w:val="0031145D"/>
    <w:rsid w:val="00311482"/>
    <w:rsid w:val="003117BD"/>
    <w:rsid w:val="003120E2"/>
    <w:rsid w:val="00312195"/>
    <w:rsid w:val="0031348F"/>
    <w:rsid w:val="00314A6B"/>
    <w:rsid w:val="00315823"/>
    <w:rsid w:val="0031749D"/>
    <w:rsid w:val="00320451"/>
    <w:rsid w:val="00320809"/>
    <w:rsid w:val="00320AB5"/>
    <w:rsid w:val="00320F25"/>
    <w:rsid w:val="00321008"/>
    <w:rsid w:val="00321217"/>
    <w:rsid w:val="0032175A"/>
    <w:rsid w:val="00321CB2"/>
    <w:rsid w:val="00323D02"/>
    <w:rsid w:val="00324292"/>
    <w:rsid w:val="003243A3"/>
    <w:rsid w:val="00324632"/>
    <w:rsid w:val="00325385"/>
    <w:rsid w:val="00325769"/>
    <w:rsid w:val="003264C9"/>
    <w:rsid w:val="003266BE"/>
    <w:rsid w:val="003272CE"/>
    <w:rsid w:val="00327C01"/>
    <w:rsid w:val="00327D9A"/>
    <w:rsid w:val="00327E9C"/>
    <w:rsid w:val="00330452"/>
    <w:rsid w:val="0033060A"/>
    <w:rsid w:val="003308D8"/>
    <w:rsid w:val="00330AA0"/>
    <w:rsid w:val="003317F2"/>
    <w:rsid w:val="00331A72"/>
    <w:rsid w:val="00332AE0"/>
    <w:rsid w:val="00332D80"/>
    <w:rsid w:val="00332E37"/>
    <w:rsid w:val="00332F49"/>
    <w:rsid w:val="0033321E"/>
    <w:rsid w:val="003334DC"/>
    <w:rsid w:val="0033362C"/>
    <w:rsid w:val="003340C9"/>
    <w:rsid w:val="00334A50"/>
    <w:rsid w:val="00334D99"/>
    <w:rsid w:val="00334E85"/>
    <w:rsid w:val="00335576"/>
    <w:rsid w:val="00335587"/>
    <w:rsid w:val="00335C6A"/>
    <w:rsid w:val="0033650E"/>
    <w:rsid w:val="00336B22"/>
    <w:rsid w:val="00342FC4"/>
    <w:rsid w:val="003441D0"/>
    <w:rsid w:val="0034456D"/>
    <w:rsid w:val="0034469B"/>
    <w:rsid w:val="00344AC8"/>
    <w:rsid w:val="00345817"/>
    <w:rsid w:val="0034605A"/>
    <w:rsid w:val="00346EF0"/>
    <w:rsid w:val="00347BE4"/>
    <w:rsid w:val="00350C49"/>
    <w:rsid w:val="00351864"/>
    <w:rsid w:val="00351F71"/>
    <w:rsid w:val="003537C9"/>
    <w:rsid w:val="00354FC1"/>
    <w:rsid w:val="0035510A"/>
    <w:rsid w:val="00355BA0"/>
    <w:rsid w:val="00356396"/>
    <w:rsid w:val="00356567"/>
    <w:rsid w:val="003568BA"/>
    <w:rsid w:val="00356A89"/>
    <w:rsid w:val="00357144"/>
    <w:rsid w:val="00357841"/>
    <w:rsid w:val="00360D74"/>
    <w:rsid w:val="0036165F"/>
    <w:rsid w:val="0036167E"/>
    <w:rsid w:val="00362244"/>
    <w:rsid w:val="00363040"/>
    <w:rsid w:val="00363446"/>
    <w:rsid w:val="003634D1"/>
    <w:rsid w:val="00363775"/>
    <w:rsid w:val="00363C55"/>
    <w:rsid w:val="00363D38"/>
    <w:rsid w:val="00364AF0"/>
    <w:rsid w:val="00365D2F"/>
    <w:rsid w:val="00365EDD"/>
    <w:rsid w:val="00366112"/>
    <w:rsid w:val="003665A8"/>
    <w:rsid w:val="00366E1B"/>
    <w:rsid w:val="003670F2"/>
    <w:rsid w:val="00367971"/>
    <w:rsid w:val="00367C87"/>
    <w:rsid w:val="003704D3"/>
    <w:rsid w:val="00370DF2"/>
    <w:rsid w:val="00371787"/>
    <w:rsid w:val="0037204B"/>
    <w:rsid w:val="003736CA"/>
    <w:rsid w:val="00373C4D"/>
    <w:rsid w:val="00373E8C"/>
    <w:rsid w:val="003751FB"/>
    <w:rsid w:val="003754AD"/>
    <w:rsid w:val="003759ED"/>
    <w:rsid w:val="00375DAA"/>
    <w:rsid w:val="00375E82"/>
    <w:rsid w:val="003778C8"/>
    <w:rsid w:val="00377C80"/>
    <w:rsid w:val="00377E19"/>
    <w:rsid w:val="00380996"/>
    <w:rsid w:val="003811A7"/>
    <w:rsid w:val="00381C03"/>
    <w:rsid w:val="003823E6"/>
    <w:rsid w:val="003827BA"/>
    <w:rsid w:val="00383DBA"/>
    <w:rsid w:val="00385D21"/>
    <w:rsid w:val="00386117"/>
    <w:rsid w:val="00386C7F"/>
    <w:rsid w:val="00387549"/>
    <w:rsid w:val="00390411"/>
    <w:rsid w:val="00390A42"/>
    <w:rsid w:val="00391625"/>
    <w:rsid w:val="00391C26"/>
    <w:rsid w:val="00391CB0"/>
    <w:rsid w:val="0039287B"/>
    <w:rsid w:val="00392DE4"/>
    <w:rsid w:val="003939AE"/>
    <w:rsid w:val="00394B86"/>
    <w:rsid w:val="00394EDD"/>
    <w:rsid w:val="0039500A"/>
    <w:rsid w:val="003955A9"/>
    <w:rsid w:val="003956A6"/>
    <w:rsid w:val="0039656C"/>
    <w:rsid w:val="0039691F"/>
    <w:rsid w:val="003975A5"/>
    <w:rsid w:val="00397907"/>
    <w:rsid w:val="003A0EF8"/>
    <w:rsid w:val="003A163C"/>
    <w:rsid w:val="003A164C"/>
    <w:rsid w:val="003A1975"/>
    <w:rsid w:val="003A2747"/>
    <w:rsid w:val="003A33B8"/>
    <w:rsid w:val="003A47F5"/>
    <w:rsid w:val="003A499A"/>
    <w:rsid w:val="003A4AC9"/>
    <w:rsid w:val="003A4D92"/>
    <w:rsid w:val="003A4E6D"/>
    <w:rsid w:val="003A569C"/>
    <w:rsid w:val="003A5A4E"/>
    <w:rsid w:val="003A5CFD"/>
    <w:rsid w:val="003A680D"/>
    <w:rsid w:val="003A7037"/>
    <w:rsid w:val="003A7C6C"/>
    <w:rsid w:val="003A7DC7"/>
    <w:rsid w:val="003B089D"/>
    <w:rsid w:val="003B0C38"/>
    <w:rsid w:val="003B0ED6"/>
    <w:rsid w:val="003B12E1"/>
    <w:rsid w:val="003B1D2A"/>
    <w:rsid w:val="003B3063"/>
    <w:rsid w:val="003B32E4"/>
    <w:rsid w:val="003B443B"/>
    <w:rsid w:val="003B4862"/>
    <w:rsid w:val="003B591F"/>
    <w:rsid w:val="003B6545"/>
    <w:rsid w:val="003B6B48"/>
    <w:rsid w:val="003B7BDF"/>
    <w:rsid w:val="003C0AA3"/>
    <w:rsid w:val="003C152D"/>
    <w:rsid w:val="003C21E0"/>
    <w:rsid w:val="003C2B9F"/>
    <w:rsid w:val="003C2D6A"/>
    <w:rsid w:val="003C36E0"/>
    <w:rsid w:val="003C385F"/>
    <w:rsid w:val="003C44B7"/>
    <w:rsid w:val="003C465D"/>
    <w:rsid w:val="003C48E6"/>
    <w:rsid w:val="003C4D6B"/>
    <w:rsid w:val="003C5CAA"/>
    <w:rsid w:val="003C627C"/>
    <w:rsid w:val="003C6ACE"/>
    <w:rsid w:val="003C6BFE"/>
    <w:rsid w:val="003C7127"/>
    <w:rsid w:val="003C7334"/>
    <w:rsid w:val="003C766D"/>
    <w:rsid w:val="003D033C"/>
    <w:rsid w:val="003D06C8"/>
    <w:rsid w:val="003D0C89"/>
    <w:rsid w:val="003D19D4"/>
    <w:rsid w:val="003D1A7C"/>
    <w:rsid w:val="003D1FA7"/>
    <w:rsid w:val="003D20DC"/>
    <w:rsid w:val="003D217E"/>
    <w:rsid w:val="003D2427"/>
    <w:rsid w:val="003D2546"/>
    <w:rsid w:val="003D29B7"/>
    <w:rsid w:val="003D2E12"/>
    <w:rsid w:val="003D39AA"/>
    <w:rsid w:val="003D413A"/>
    <w:rsid w:val="003D4F9D"/>
    <w:rsid w:val="003D5AFA"/>
    <w:rsid w:val="003D621B"/>
    <w:rsid w:val="003D65AF"/>
    <w:rsid w:val="003D6EF8"/>
    <w:rsid w:val="003D7627"/>
    <w:rsid w:val="003D78FE"/>
    <w:rsid w:val="003D7B18"/>
    <w:rsid w:val="003D7D31"/>
    <w:rsid w:val="003E07B3"/>
    <w:rsid w:val="003E0A9D"/>
    <w:rsid w:val="003E10E2"/>
    <w:rsid w:val="003E1384"/>
    <w:rsid w:val="003E219D"/>
    <w:rsid w:val="003E2818"/>
    <w:rsid w:val="003E2912"/>
    <w:rsid w:val="003E2E08"/>
    <w:rsid w:val="003E30EF"/>
    <w:rsid w:val="003E366C"/>
    <w:rsid w:val="003E51DB"/>
    <w:rsid w:val="003E522F"/>
    <w:rsid w:val="003E537D"/>
    <w:rsid w:val="003E611D"/>
    <w:rsid w:val="003E6260"/>
    <w:rsid w:val="003E66A7"/>
    <w:rsid w:val="003E6990"/>
    <w:rsid w:val="003E73A9"/>
    <w:rsid w:val="003E76C9"/>
    <w:rsid w:val="003E7929"/>
    <w:rsid w:val="003E7A98"/>
    <w:rsid w:val="003F0376"/>
    <w:rsid w:val="003F179A"/>
    <w:rsid w:val="003F1EBE"/>
    <w:rsid w:val="003F21D8"/>
    <w:rsid w:val="003F3772"/>
    <w:rsid w:val="003F3B34"/>
    <w:rsid w:val="003F3C57"/>
    <w:rsid w:val="003F43E1"/>
    <w:rsid w:val="003F55E3"/>
    <w:rsid w:val="003F6D13"/>
    <w:rsid w:val="0040092C"/>
    <w:rsid w:val="004009C4"/>
    <w:rsid w:val="00400EA7"/>
    <w:rsid w:val="00400FDA"/>
    <w:rsid w:val="004018AE"/>
    <w:rsid w:val="004032EA"/>
    <w:rsid w:val="00403371"/>
    <w:rsid w:val="0040387E"/>
    <w:rsid w:val="00403C34"/>
    <w:rsid w:val="004049FD"/>
    <w:rsid w:val="00404E55"/>
    <w:rsid w:val="00405331"/>
    <w:rsid w:val="004059B0"/>
    <w:rsid w:val="00406787"/>
    <w:rsid w:val="0041062E"/>
    <w:rsid w:val="0041066D"/>
    <w:rsid w:val="00410CC7"/>
    <w:rsid w:val="00410F18"/>
    <w:rsid w:val="0041106D"/>
    <w:rsid w:val="00411261"/>
    <w:rsid w:val="004117CC"/>
    <w:rsid w:val="0041196A"/>
    <w:rsid w:val="0041208E"/>
    <w:rsid w:val="0041236B"/>
    <w:rsid w:val="0041280C"/>
    <w:rsid w:val="00413B81"/>
    <w:rsid w:val="00413BFB"/>
    <w:rsid w:val="00415284"/>
    <w:rsid w:val="004158F9"/>
    <w:rsid w:val="004158FE"/>
    <w:rsid w:val="004164A6"/>
    <w:rsid w:val="004164BD"/>
    <w:rsid w:val="00416D43"/>
    <w:rsid w:val="00416EEA"/>
    <w:rsid w:val="0041741D"/>
    <w:rsid w:val="0042025E"/>
    <w:rsid w:val="0042150F"/>
    <w:rsid w:val="00421B0F"/>
    <w:rsid w:val="004234E2"/>
    <w:rsid w:val="0042419A"/>
    <w:rsid w:val="004256F5"/>
    <w:rsid w:val="00425AA9"/>
    <w:rsid w:val="00425AEF"/>
    <w:rsid w:val="00426461"/>
    <w:rsid w:val="004265C9"/>
    <w:rsid w:val="00427D09"/>
    <w:rsid w:val="004302D1"/>
    <w:rsid w:val="004308EE"/>
    <w:rsid w:val="004313A4"/>
    <w:rsid w:val="00431ECE"/>
    <w:rsid w:val="00432749"/>
    <w:rsid w:val="00432DA8"/>
    <w:rsid w:val="00432E61"/>
    <w:rsid w:val="004336A5"/>
    <w:rsid w:val="00434730"/>
    <w:rsid w:val="00434EE1"/>
    <w:rsid w:val="004373B7"/>
    <w:rsid w:val="004374D5"/>
    <w:rsid w:val="004402D8"/>
    <w:rsid w:val="004405A2"/>
    <w:rsid w:val="00440D55"/>
    <w:rsid w:val="00440DAC"/>
    <w:rsid w:val="00441263"/>
    <w:rsid w:val="004413E1"/>
    <w:rsid w:val="00441737"/>
    <w:rsid w:val="00442074"/>
    <w:rsid w:val="004433B1"/>
    <w:rsid w:val="00443870"/>
    <w:rsid w:val="00443CB7"/>
    <w:rsid w:val="00443D41"/>
    <w:rsid w:val="00444665"/>
    <w:rsid w:val="0044480D"/>
    <w:rsid w:val="00444B31"/>
    <w:rsid w:val="0044604B"/>
    <w:rsid w:val="00447CB1"/>
    <w:rsid w:val="00450523"/>
    <w:rsid w:val="00450DFB"/>
    <w:rsid w:val="00451258"/>
    <w:rsid w:val="004515E2"/>
    <w:rsid w:val="00451865"/>
    <w:rsid w:val="00451C5C"/>
    <w:rsid w:val="00452198"/>
    <w:rsid w:val="004526A9"/>
    <w:rsid w:val="004528D6"/>
    <w:rsid w:val="00452961"/>
    <w:rsid w:val="0045442C"/>
    <w:rsid w:val="0045624B"/>
    <w:rsid w:val="00456488"/>
    <w:rsid w:val="00456839"/>
    <w:rsid w:val="00456AA7"/>
    <w:rsid w:val="00457D9B"/>
    <w:rsid w:val="0046040B"/>
    <w:rsid w:val="00460ECF"/>
    <w:rsid w:val="00461785"/>
    <w:rsid w:val="004619D7"/>
    <w:rsid w:val="004625F4"/>
    <w:rsid w:val="0046386A"/>
    <w:rsid w:val="00464088"/>
    <w:rsid w:val="00464184"/>
    <w:rsid w:val="00464E66"/>
    <w:rsid w:val="004653AC"/>
    <w:rsid w:val="00465C2A"/>
    <w:rsid w:val="00465D8B"/>
    <w:rsid w:val="00466E08"/>
    <w:rsid w:val="00467793"/>
    <w:rsid w:val="004678E8"/>
    <w:rsid w:val="00467B62"/>
    <w:rsid w:val="00467EE0"/>
    <w:rsid w:val="00470FE3"/>
    <w:rsid w:val="0047139A"/>
    <w:rsid w:val="0047306D"/>
    <w:rsid w:val="00473095"/>
    <w:rsid w:val="0047383C"/>
    <w:rsid w:val="00474026"/>
    <w:rsid w:val="0047417B"/>
    <w:rsid w:val="00474558"/>
    <w:rsid w:val="00474A6E"/>
    <w:rsid w:val="00474D45"/>
    <w:rsid w:val="0047560A"/>
    <w:rsid w:val="00476112"/>
    <w:rsid w:val="004761FE"/>
    <w:rsid w:val="0047658A"/>
    <w:rsid w:val="00476A54"/>
    <w:rsid w:val="0047790C"/>
    <w:rsid w:val="00480563"/>
    <w:rsid w:val="00480735"/>
    <w:rsid w:val="0048077A"/>
    <w:rsid w:val="004811D2"/>
    <w:rsid w:val="00481307"/>
    <w:rsid w:val="00481329"/>
    <w:rsid w:val="00481A0B"/>
    <w:rsid w:val="00481DB2"/>
    <w:rsid w:val="00483AF9"/>
    <w:rsid w:val="00483DCB"/>
    <w:rsid w:val="004841C7"/>
    <w:rsid w:val="004842A8"/>
    <w:rsid w:val="00484808"/>
    <w:rsid w:val="00485165"/>
    <w:rsid w:val="004858A3"/>
    <w:rsid w:val="00486127"/>
    <w:rsid w:val="004871AF"/>
    <w:rsid w:val="0049031D"/>
    <w:rsid w:val="00491004"/>
    <w:rsid w:val="0049121D"/>
    <w:rsid w:val="00492D5D"/>
    <w:rsid w:val="00493040"/>
    <w:rsid w:val="00493718"/>
    <w:rsid w:val="00493928"/>
    <w:rsid w:val="004940F8"/>
    <w:rsid w:val="004947B8"/>
    <w:rsid w:val="004948EA"/>
    <w:rsid w:val="00495DFE"/>
    <w:rsid w:val="0049631E"/>
    <w:rsid w:val="0049752D"/>
    <w:rsid w:val="00497DF1"/>
    <w:rsid w:val="004A050E"/>
    <w:rsid w:val="004A0CA4"/>
    <w:rsid w:val="004A125D"/>
    <w:rsid w:val="004A1512"/>
    <w:rsid w:val="004A1BFD"/>
    <w:rsid w:val="004A206D"/>
    <w:rsid w:val="004A2B15"/>
    <w:rsid w:val="004A35B5"/>
    <w:rsid w:val="004A3E1E"/>
    <w:rsid w:val="004A4968"/>
    <w:rsid w:val="004A51B8"/>
    <w:rsid w:val="004A5D91"/>
    <w:rsid w:val="004A61A4"/>
    <w:rsid w:val="004A61E2"/>
    <w:rsid w:val="004A6350"/>
    <w:rsid w:val="004A6DAA"/>
    <w:rsid w:val="004A75E1"/>
    <w:rsid w:val="004A7B4F"/>
    <w:rsid w:val="004B01D8"/>
    <w:rsid w:val="004B01DE"/>
    <w:rsid w:val="004B04E7"/>
    <w:rsid w:val="004B0618"/>
    <w:rsid w:val="004B0F39"/>
    <w:rsid w:val="004B12EE"/>
    <w:rsid w:val="004B3C9E"/>
    <w:rsid w:val="004B558F"/>
    <w:rsid w:val="004B5CC7"/>
    <w:rsid w:val="004B61A9"/>
    <w:rsid w:val="004B6737"/>
    <w:rsid w:val="004B70C1"/>
    <w:rsid w:val="004B7538"/>
    <w:rsid w:val="004B7B84"/>
    <w:rsid w:val="004C0A70"/>
    <w:rsid w:val="004C0F56"/>
    <w:rsid w:val="004C117A"/>
    <w:rsid w:val="004C2607"/>
    <w:rsid w:val="004C2C3F"/>
    <w:rsid w:val="004C37C7"/>
    <w:rsid w:val="004C3BFF"/>
    <w:rsid w:val="004C3C2A"/>
    <w:rsid w:val="004C3F60"/>
    <w:rsid w:val="004C46EB"/>
    <w:rsid w:val="004C5ACF"/>
    <w:rsid w:val="004C6A91"/>
    <w:rsid w:val="004C6EB0"/>
    <w:rsid w:val="004C7E98"/>
    <w:rsid w:val="004D02B5"/>
    <w:rsid w:val="004D1254"/>
    <w:rsid w:val="004D19AE"/>
    <w:rsid w:val="004D1E78"/>
    <w:rsid w:val="004D2CB6"/>
    <w:rsid w:val="004D4FB0"/>
    <w:rsid w:val="004D52C0"/>
    <w:rsid w:val="004D59B9"/>
    <w:rsid w:val="004D6D79"/>
    <w:rsid w:val="004D776A"/>
    <w:rsid w:val="004D7840"/>
    <w:rsid w:val="004E025D"/>
    <w:rsid w:val="004E074D"/>
    <w:rsid w:val="004E15A5"/>
    <w:rsid w:val="004E1D76"/>
    <w:rsid w:val="004E33B5"/>
    <w:rsid w:val="004E3906"/>
    <w:rsid w:val="004E3E2A"/>
    <w:rsid w:val="004E4137"/>
    <w:rsid w:val="004E4A21"/>
    <w:rsid w:val="004E5157"/>
    <w:rsid w:val="004E54FE"/>
    <w:rsid w:val="004E563F"/>
    <w:rsid w:val="004F00FE"/>
    <w:rsid w:val="004F0BE8"/>
    <w:rsid w:val="004F1C26"/>
    <w:rsid w:val="004F21B9"/>
    <w:rsid w:val="004F2B3B"/>
    <w:rsid w:val="004F3B26"/>
    <w:rsid w:val="004F3DDD"/>
    <w:rsid w:val="004F4C2A"/>
    <w:rsid w:val="004F5DCD"/>
    <w:rsid w:val="004F6E16"/>
    <w:rsid w:val="004F6EA3"/>
    <w:rsid w:val="004F78F8"/>
    <w:rsid w:val="004F7CEE"/>
    <w:rsid w:val="004F7E50"/>
    <w:rsid w:val="005010CA"/>
    <w:rsid w:val="005013F9"/>
    <w:rsid w:val="00501F6E"/>
    <w:rsid w:val="005023F8"/>
    <w:rsid w:val="005039E1"/>
    <w:rsid w:val="00503E0A"/>
    <w:rsid w:val="00503E78"/>
    <w:rsid w:val="005047D1"/>
    <w:rsid w:val="00504BAD"/>
    <w:rsid w:val="00506087"/>
    <w:rsid w:val="00506807"/>
    <w:rsid w:val="00506DC7"/>
    <w:rsid w:val="00506E0D"/>
    <w:rsid w:val="005070C3"/>
    <w:rsid w:val="00507EA3"/>
    <w:rsid w:val="0051095E"/>
    <w:rsid w:val="005114CE"/>
    <w:rsid w:val="00511788"/>
    <w:rsid w:val="005126DB"/>
    <w:rsid w:val="00512D7D"/>
    <w:rsid w:val="00513542"/>
    <w:rsid w:val="00513A17"/>
    <w:rsid w:val="00513E87"/>
    <w:rsid w:val="005144CE"/>
    <w:rsid w:val="0051464C"/>
    <w:rsid w:val="00515E52"/>
    <w:rsid w:val="00516056"/>
    <w:rsid w:val="0051768D"/>
    <w:rsid w:val="005177BB"/>
    <w:rsid w:val="00517910"/>
    <w:rsid w:val="0051797B"/>
    <w:rsid w:val="00517AD1"/>
    <w:rsid w:val="00517C78"/>
    <w:rsid w:val="00520AC9"/>
    <w:rsid w:val="005211BC"/>
    <w:rsid w:val="00523AF5"/>
    <w:rsid w:val="00523D86"/>
    <w:rsid w:val="00524666"/>
    <w:rsid w:val="00524687"/>
    <w:rsid w:val="00524701"/>
    <w:rsid w:val="00524DA1"/>
    <w:rsid w:val="00525004"/>
    <w:rsid w:val="00525156"/>
    <w:rsid w:val="0052548F"/>
    <w:rsid w:val="005254E9"/>
    <w:rsid w:val="00525553"/>
    <w:rsid w:val="00525C19"/>
    <w:rsid w:val="00525C4E"/>
    <w:rsid w:val="005261CE"/>
    <w:rsid w:val="005265BD"/>
    <w:rsid w:val="00526B04"/>
    <w:rsid w:val="0052727F"/>
    <w:rsid w:val="005276E6"/>
    <w:rsid w:val="00527CA2"/>
    <w:rsid w:val="0053014A"/>
    <w:rsid w:val="005303D2"/>
    <w:rsid w:val="00530CC2"/>
    <w:rsid w:val="00530CE6"/>
    <w:rsid w:val="00530EC6"/>
    <w:rsid w:val="00531AD1"/>
    <w:rsid w:val="00532268"/>
    <w:rsid w:val="005324F5"/>
    <w:rsid w:val="00532910"/>
    <w:rsid w:val="00532977"/>
    <w:rsid w:val="00532AB4"/>
    <w:rsid w:val="00532C2B"/>
    <w:rsid w:val="0053363E"/>
    <w:rsid w:val="0053443B"/>
    <w:rsid w:val="0053472A"/>
    <w:rsid w:val="005359B9"/>
    <w:rsid w:val="00535C50"/>
    <w:rsid w:val="00536307"/>
    <w:rsid w:val="00536D0F"/>
    <w:rsid w:val="00536F13"/>
    <w:rsid w:val="00537048"/>
    <w:rsid w:val="005375C6"/>
    <w:rsid w:val="00540201"/>
    <w:rsid w:val="00541016"/>
    <w:rsid w:val="005418EE"/>
    <w:rsid w:val="00541B63"/>
    <w:rsid w:val="00542066"/>
    <w:rsid w:val="005420F1"/>
    <w:rsid w:val="00542226"/>
    <w:rsid w:val="00542B71"/>
    <w:rsid w:val="005436A2"/>
    <w:rsid w:val="00543B72"/>
    <w:rsid w:val="0054426B"/>
    <w:rsid w:val="00544398"/>
    <w:rsid w:val="0054467F"/>
    <w:rsid w:val="005447D0"/>
    <w:rsid w:val="005449EB"/>
    <w:rsid w:val="00546EF9"/>
    <w:rsid w:val="0054744A"/>
    <w:rsid w:val="00547FE9"/>
    <w:rsid w:val="005500BA"/>
    <w:rsid w:val="005507F0"/>
    <w:rsid w:val="00550F9C"/>
    <w:rsid w:val="005516D7"/>
    <w:rsid w:val="00551B3D"/>
    <w:rsid w:val="00552077"/>
    <w:rsid w:val="00552865"/>
    <w:rsid w:val="005529DD"/>
    <w:rsid w:val="00552A07"/>
    <w:rsid w:val="00552A6A"/>
    <w:rsid w:val="00552D3E"/>
    <w:rsid w:val="00552F17"/>
    <w:rsid w:val="00553085"/>
    <w:rsid w:val="00553380"/>
    <w:rsid w:val="00553933"/>
    <w:rsid w:val="00553AEF"/>
    <w:rsid w:val="005545BE"/>
    <w:rsid w:val="005545C9"/>
    <w:rsid w:val="005550F5"/>
    <w:rsid w:val="00555B7E"/>
    <w:rsid w:val="005560E7"/>
    <w:rsid w:val="00556F39"/>
    <w:rsid w:val="00557392"/>
    <w:rsid w:val="00560F46"/>
    <w:rsid w:val="00561263"/>
    <w:rsid w:val="005614E0"/>
    <w:rsid w:val="005615E5"/>
    <w:rsid w:val="0056189C"/>
    <w:rsid w:val="005618CA"/>
    <w:rsid w:val="005619AF"/>
    <w:rsid w:val="00562727"/>
    <w:rsid w:val="00562D19"/>
    <w:rsid w:val="005638D4"/>
    <w:rsid w:val="00563A9A"/>
    <w:rsid w:val="00563E4C"/>
    <w:rsid w:val="00564B53"/>
    <w:rsid w:val="005659F6"/>
    <w:rsid w:val="0056620E"/>
    <w:rsid w:val="00566709"/>
    <w:rsid w:val="00566C9F"/>
    <w:rsid w:val="00567D31"/>
    <w:rsid w:val="00570301"/>
    <w:rsid w:val="005703D6"/>
    <w:rsid w:val="005711ED"/>
    <w:rsid w:val="00571644"/>
    <w:rsid w:val="00571941"/>
    <w:rsid w:val="00572E4D"/>
    <w:rsid w:val="005738DB"/>
    <w:rsid w:val="00573CDF"/>
    <w:rsid w:val="005744A7"/>
    <w:rsid w:val="00574673"/>
    <w:rsid w:val="00574708"/>
    <w:rsid w:val="00574B5C"/>
    <w:rsid w:val="00574C07"/>
    <w:rsid w:val="00574CDD"/>
    <w:rsid w:val="0057614F"/>
    <w:rsid w:val="005763C2"/>
    <w:rsid w:val="00576B7C"/>
    <w:rsid w:val="00576BD6"/>
    <w:rsid w:val="00577448"/>
    <w:rsid w:val="00577D6B"/>
    <w:rsid w:val="00580A03"/>
    <w:rsid w:val="00580A94"/>
    <w:rsid w:val="0058133E"/>
    <w:rsid w:val="005815FE"/>
    <w:rsid w:val="00581A59"/>
    <w:rsid w:val="00581D6C"/>
    <w:rsid w:val="0058205B"/>
    <w:rsid w:val="00582EE0"/>
    <w:rsid w:val="00583634"/>
    <w:rsid w:val="00584A17"/>
    <w:rsid w:val="005850D1"/>
    <w:rsid w:val="005859B0"/>
    <w:rsid w:val="00585EF6"/>
    <w:rsid w:val="0058673B"/>
    <w:rsid w:val="00586992"/>
    <w:rsid w:val="005869EB"/>
    <w:rsid w:val="00586CF1"/>
    <w:rsid w:val="005901F7"/>
    <w:rsid w:val="00590426"/>
    <w:rsid w:val="00590521"/>
    <w:rsid w:val="00590ACE"/>
    <w:rsid w:val="005911CF"/>
    <w:rsid w:val="00591E02"/>
    <w:rsid w:val="005928AD"/>
    <w:rsid w:val="00593B61"/>
    <w:rsid w:val="00593E04"/>
    <w:rsid w:val="00594C2A"/>
    <w:rsid w:val="00594D55"/>
    <w:rsid w:val="005950B8"/>
    <w:rsid w:val="0059608D"/>
    <w:rsid w:val="005960C6"/>
    <w:rsid w:val="005964CA"/>
    <w:rsid w:val="0059749E"/>
    <w:rsid w:val="005A0FB6"/>
    <w:rsid w:val="005A1B45"/>
    <w:rsid w:val="005A2F0B"/>
    <w:rsid w:val="005A3340"/>
    <w:rsid w:val="005A3A52"/>
    <w:rsid w:val="005A48E6"/>
    <w:rsid w:val="005A4943"/>
    <w:rsid w:val="005A4DA0"/>
    <w:rsid w:val="005A543D"/>
    <w:rsid w:val="005A549B"/>
    <w:rsid w:val="005A5CE3"/>
    <w:rsid w:val="005A71D5"/>
    <w:rsid w:val="005A7EEE"/>
    <w:rsid w:val="005B0062"/>
    <w:rsid w:val="005B02DA"/>
    <w:rsid w:val="005B0307"/>
    <w:rsid w:val="005B03CC"/>
    <w:rsid w:val="005B05FE"/>
    <w:rsid w:val="005B11C7"/>
    <w:rsid w:val="005B2A14"/>
    <w:rsid w:val="005B2DD3"/>
    <w:rsid w:val="005B2F76"/>
    <w:rsid w:val="005B34C4"/>
    <w:rsid w:val="005B34C8"/>
    <w:rsid w:val="005B3553"/>
    <w:rsid w:val="005B3DF0"/>
    <w:rsid w:val="005B41AF"/>
    <w:rsid w:val="005B48C5"/>
    <w:rsid w:val="005B5E24"/>
    <w:rsid w:val="005B605A"/>
    <w:rsid w:val="005B6F1A"/>
    <w:rsid w:val="005B7386"/>
    <w:rsid w:val="005B75F5"/>
    <w:rsid w:val="005B7DAD"/>
    <w:rsid w:val="005C06C4"/>
    <w:rsid w:val="005C0BF3"/>
    <w:rsid w:val="005C0C4A"/>
    <w:rsid w:val="005C10E7"/>
    <w:rsid w:val="005C1FA6"/>
    <w:rsid w:val="005C2021"/>
    <w:rsid w:val="005C293F"/>
    <w:rsid w:val="005C2CA6"/>
    <w:rsid w:val="005C397E"/>
    <w:rsid w:val="005C3AE2"/>
    <w:rsid w:val="005C4267"/>
    <w:rsid w:val="005C5062"/>
    <w:rsid w:val="005C5BD6"/>
    <w:rsid w:val="005C67DF"/>
    <w:rsid w:val="005C7219"/>
    <w:rsid w:val="005D03F7"/>
    <w:rsid w:val="005D040A"/>
    <w:rsid w:val="005D0DE0"/>
    <w:rsid w:val="005D1A63"/>
    <w:rsid w:val="005D1B6D"/>
    <w:rsid w:val="005D1BBB"/>
    <w:rsid w:val="005D1F95"/>
    <w:rsid w:val="005D23C6"/>
    <w:rsid w:val="005D346B"/>
    <w:rsid w:val="005D34C1"/>
    <w:rsid w:val="005D381D"/>
    <w:rsid w:val="005D4B80"/>
    <w:rsid w:val="005D5521"/>
    <w:rsid w:val="005D78C7"/>
    <w:rsid w:val="005D7B5D"/>
    <w:rsid w:val="005D7B68"/>
    <w:rsid w:val="005E057C"/>
    <w:rsid w:val="005E05DD"/>
    <w:rsid w:val="005E1DE0"/>
    <w:rsid w:val="005E4C94"/>
    <w:rsid w:val="005E4D95"/>
    <w:rsid w:val="005E4E6C"/>
    <w:rsid w:val="005E5333"/>
    <w:rsid w:val="005E5961"/>
    <w:rsid w:val="005E5DBB"/>
    <w:rsid w:val="005E6C21"/>
    <w:rsid w:val="005E756F"/>
    <w:rsid w:val="005E7AE0"/>
    <w:rsid w:val="005F0109"/>
    <w:rsid w:val="005F08D8"/>
    <w:rsid w:val="005F0C78"/>
    <w:rsid w:val="005F0E05"/>
    <w:rsid w:val="005F10A0"/>
    <w:rsid w:val="005F13BB"/>
    <w:rsid w:val="005F1D17"/>
    <w:rsid w:val="005F1E98"/>
    <w:rsid w:val="005F2C2B"/>
    <w:rsid w:val="005F3077"/>
    <w:rsid w:val="005F3B31"/>
    <w:rsid w:val="005F4186"/>
    <w:rsid w:val="005F4525"/>
    <w:rsid w:val="005F4AC1"/>
    <w:rsid w:val="005F564F"/>
    <w:rsid w:val="005F650B"/>
    <w:rsid w:val="005F6986"/>
    <w:rsid w:val="005F6E54"/>
    <w:rsid w:val="005F71B4"/>
    <w:rsid w:val="005F790E"/>
    <w:rsid w:val="005F7C9D"/>
    <w:rsid w:val="006000B4"/>
    <w:rsid w:val="006006CC"/>
    <w:rsid w:val="00601517"/>
    <w:rsid w:val="006017FD"/>
    <w:rsid w:val="00602146"/>
    <w:rsid w:val="006029A4"/>
    <w:rsid w:val="00603587"/>
    <w:rsid w:val="00603B0F"/>
    <w:rsid w:val="006040E8"/>
    <w:rsid w:val="00604C98"/>
    <w:rsid w:val="006055EB"/>
    <w:rsid w:val="00605CCE"/>
    <w:rsid w:val="00606980"/>
    <w:rsid w:val="0060763F"/>
    <w:rsid w:val="006106AB"/>
    <w:rsid w:val="00610712"/>
    <w:rsid w:val="0061231E"/>
    <w:rsid w:val="00612FD2"/>
    <w:rsid w:val="006134AF"/>
    <w:rsid w:val="00613D08"/>
    <w:rsid w:val="00613EDC"/>
    <w:rsid w:val="006156A3"/>
    <w:rsid w:val="00615BAD"/>
    <w:rsid w:val="00616726"/>
    <w:rsid w:val="00616CA2"/>
    <w:rsid w:val="00616EE6"/>
    <w:rsid w:val="00616F74"/>
    <w:rsid w:val="00617428"/>
    <w:rsid w:val="00617739"/>
    <w:rsid w:val="00617A15"/>
    <w:rsid w:val="00617BF3"/>
    <w:rsid w:val="006205BA"/>
    <w:rsid w:val="00620C79"/>
    <w:rsid w:val="00620FB4"/>
    <w:rsid w:val="0062118E"/>
    <w:rsid w:val="0062172D"/>
    <w:rsid w:val="006222C5"/>
    <w:rsid w:val="00622784"/>
    <w:rsid w:val="00622E55"/>
    <w:rsid w:val="006231E0"/>
    <w:rsid w:val="006235C9"/>
    <w:rsid w:val="00623817"/>
    <w:rsid w:val="00624358"/>
    <w:rsid w:val="00625204"/>
    <w:rsid w:val="0062538B"/>
    <w:rsid w:val="00625644"/>
    <w:rsid w:val="00625DA8"/>
    <w:rsid w:val="006263C4"/>
    <w:rsid w:val="00627B4D"/>
    <w:rsid w:val="0063179E"/>
    <w:rsid w:val="00633065"/>
    <w:rsid w:val="0063315A"/>
    <w:rsid w:val="006345D2"/>
    <w:rsid w:val="00634602"/>
    <w:rsid w:val="00634F54"/>
    <w:rsid w:val="006351D4"/>
    <w:rsid w:val="00635325"/>
    <w:rsid w:val="006357EB"/>
    <w:rsid w:val="00635DD6"/>
    <w:rsid w:val="006402FF"/>
    <w:rsid w:val="00640405"/>
    <w:rsid w:val="0064094A"/>
    <w:rsid w:val="00640A2A"/>
    <w:rsid w:val="006412D8"/>
    <w:rsid w:val="00641465"/>
    <w:rsid w:val="00642125"/>
    <w:rsid w:val="00642849"/>
    <w:rsid w:val="006436F9"/>
    <w:rsid w:val="006441E2"/>
    <w:rsid w:val="006442BD"/>
    <w:rsid w:val="0064634A"/>
    <w:rsid w:val="0064636A"/>
    <w:rsid w:val="006463A0"/>
    <w:rsid w:val="006465E2"/>
    <w:rsid w:val="00647C59"/>
    <w:rsid w:val="00650297"/>
    <w:rsid w:val="0065056D"/>
    <w:rsid w:val="00650889"/>
    <w:rsid w:val="0065209F"/>
    <w:rsid w:val="00653D04"/>
    <w:rsid w:val="00653D71"/>
    <w:rsid w:val="00655324"/>
    <w:rsid w:val="0065562F"/>
    <w:rsid w:val="00655D98"/>
    <w:rsid w:val="0065613A"/>
    <w:rsid w:val="0065734A"/>
    <w:rsid w:val="00657811"/>
    <w:rsid w:val="0066065D"/>
    <w:rsid w:val="00660683"/>
    <w:rsid w:val="00660B9F"/>
    <w:rsid w:val="00660E8A"/>
    <w:rsid w:val="006614A5"/>
    <w:rsid w:val="00661823"/>
    <w:rsid w:val="00661D19"/>
    <w:rsid w:val="00662240"/>
    <w:rsid w:val="00662C1B"/>
    <w:rsid w:val="0066386D"/>
    <w:rsid w:val="00663EFA"/>
    <w:rsid w:val="00664804"/>
    <w:rsid w:val="0066511D"/>
    <w:rsid w:val="00665229"/>
    <w:rsid w:val="00665C94"/>
    <w:rsid w:val="00665E19"/>
    <w:rsid w:val="00665FA6"/>
    <w:rsid w:val="006662ED"/>
    <w:rsid w:val="00666465"/>
    <w:rsid w:val="006669C0"/>
    <w:rsid w:val="006673C4"/>
    <w:rsid w:val="00667AEB"/>
    <w:rsid w:val="00667B78"/>
    <w:rsid w:val="0067199E"/>
    <w:rsid w:val="0067215C"/>
    <w:rsid w:val="006722AD"/>
    <w:rsid w:val="00672934"/>
    <w:rsid w:val="00672E9F"/>
    <w:rsid w:val="006736CC"/>
    <w:rsid w:val="006738E1"/>
    <w:rsid w:val="00673A77"/>
    <w:rsid w:val="00674065"/>
    <w:rsid w:val="006745B3"/>
    <w:rsid w:val="006748B2"/>
    <w:rsid w:val="0067542A"/>
    <w:rsid w:val="0068073F"/>
    <w:rsid w:val="0068074C"/>
    <w:rsid w:val="006817DC"/>
    <w:rsid w:val="00681DBE"/>
    <w:rsid w:val="00682B95"/>
    <w:rsid w:val="00682B99"/>
    <w:rsid w:val="00683BAD"/>
    <w:rsid w:val="00684063"/>
    <w:rsid w:val="006854A0"/>
    <w:rsid w:val="00685B29"/>
    <w:rsid w:val="00685EDA"/>
    <w:rsid w:val="006863B1"/>
    <w:rsid w:val="00686594"/>
    <w:rsid w:val="00686A70"/>
    <w:rsid w:val="00686CCD"/>
    <w:rsid w:val="00687B27"/>
    <w:rsid w:val="00687C8B"/>
    <w:rsid w:val="006902D6"/>
    <w:rsid w:val="0069054C"/>
    <w:rsid w:val="00690994"/>
    <w:rsid w:val="00690A31"/>
    <w:rsid w:val="00691493"/>
    <w:rsid w:val="00691680"/>
    <w:rsid w:val="00691815"/>
    <w:rsid w:val="00691D3E"/>
    <w:rsid w:val="006923F3"/>
    <w:rsid w:val="006929E5"/>
    <w:rsid w:val="006931A3"/>
    <w:rsid w:val="006945D3"/>
    <w:rsid w:val="006945DA"/>
    <w:rsid w:val="00694775"/>
    <w:rsid w:val="00694CCC"/>
    <w:rsid w:val="00694F96"/>
    <w:rsid w:val="006952EC"/>
    <w:rsid w:val="00695CB6"/>
    <w:rsid w:val="006962F7"/>
    <w:rsid w:val="0069731B"/>
    <w:rsid w:val="006A0186"/>
    <w:rsid w:val="006A09E5"/>
    <w:rsid w:val="006A105C"/>
    <w:rsid w:val="006A1397"/>
    <w:rsid w:val="006A14A5"/>
    <w:rsid w:val="006A25A9"/>
    <w:rsid w:val="006A25DB"/>
    <w:rsid w:val="006A31EA"/>
    <w:rsid w:val="006A39E0"/>
    <w:rsid w:val="006A4D1A"/>
    <w:rsid w:val="006A4D78"/>
    <w:rsid w:val="006A4F31"/>
    <w:rsid w:val="006A5194"/>
    <w:rsid w:val="006A51B8"/>
    <w:rsid w:val="006A5745"/>
    <w:rsid w:val="006A5AD1"/>
    <w:rsid w:val="006A70A7"/>
    <w:rsid w:val="006A7459"/>
    <w:rsid w:val="006A760B"/>
    <w:rsid w:val="006A77D2"/>
    <w:rsid w:val="006A799D"/>
    <w:rsid w:val="006A7F3E"/>
    <w:rsid w:val="006B1242"/>
    <w:rsid w:val="006B1721"/>
    <w:rsid w:val="006B2516"/>
    <w:rsid w:val="006B25B0"/>
    <w:rsid w:val="006B38C5"/>
    <w:rsid w:val="006B3AE1"/>
    <w:rsid w:val="006B3FD8"/>
    <w:rsid w:val="006B4512"/>
    <w:rsid w:val="006B697F"/>
    <w:rsid w:val="006B78AB"/>
    <w:rsid w:val="006C0063"/>
    <w:rsid w:val="006C0777"/>
    <w:rsid w:val="006C15FF"/>
    <w:rsid w:val="006C2697"/>
    <w:rsid w:val="006C3D06"/>
    <w:rsid w:val="006C4135"/>
    <w:rsid w:val="006C4286"/>
    <w:rsid w:val="006C4DDB"/>
    <w:rsid w:val="006C4EDF"/>
    <w:rsid w:val="006C4F25"/>
    <w:rsid w:val="006C520D"/>
    <w:rsid w:val="006C5AED"/>
    <w:rsid w:val="006C6EDE"/>
    <w:rsid w:val="006C773F"/>
    <w:rsid w:val="006C77BA"/>
    <w:rsid w:val="006C793F"/>
    <w:rsid w:val="006C7E21"/>
    <w:rsid w:val="006D0187"/>
    <w:rsid w:val="006D0265"/>
    <w:rsid w:val="006D19AA"/>
    <w:rsid w:val="006D286F"/>
    <w:rsid w:val="006D2B71"/>
    <w:rsid w:val="006D317C"/>
    <w:rsid w:val="006D354E"/>
    <w:rsid w:val="006D3DA2"/>
    <w:rsid w:val="006D4687"/>
    <w:rsid w:val="006D55C0"/>
    <w:rsid w:val="006D5F3B"/>
    <w:rsid w:val="006D70C6"/>
    <w:rsid w:val="006D760C"/>
    <w:rsid w:val="006D7871"/>
    <w:rsid w:val="006D7D6A"/>
    <w:rsid w:val="006D7E1D"/>
    <w:rsid w:val="006D7E57"/>
    <w:rsid w:val="006E01E2"/>
    <w:rsid w:val="006E0222"/>
    <w:rsid w:val="006E1098"/>
    <w:rsid w:val="006E158F"/>
    <w:rsid w:val="006E194C"/>
    <w:rsid w:val="006E1B76"/>
    <w:rsid w:val="006E23FE"/>
    <w:rsid w:val="006E249E"/>
    <w:rsid w:val="006E3067"/>
    <w:rsid w:val="006E39B9"/>
    <w:rsid w:val="006E46AB"/>
    <w:rsid w:val="006E572D"/>
    <w:rsid w:val="006E597A"/>
    <w:rsid w:val="006E5A05"/>
    <w:rsid w:val="006E6435"/>
    <w:rsid w:val="006E6890"/>
    <w:rsid w:val="006E6C28"/>
    <w:rsid w:val="006E6E75"/>
    <w:rsid w:val="006E717F"/>
    <w:rsid w:val="006E7CA3"/>
    <w:rsid w:val="006F01D2"/>
    <w:rsid w:val="006F096E"/>
    <w:rsid w:val="006F115D"/>
    <w:rsid w:val="006F1A11"/>
    <w:rsid w:val="006F1AD8"/>
    <w:rsid w:val="006F36F8"/>
    <w:rsid w:val="006F3926"/>
    <w:rsid w:val="006F3D92"/>
    <w:rsid w:val="006F48B2"/>
    <w:rsid w:val="006F59B6"/>
    <w:rsid w:val="006F6032"/>
    <w:rsid w:val="006F69F2"/>
    <w:rsid w:val="006F6C36"/>
    <w:rsid w:val="006F76B9"/>
    <w:rsid w:val="00700102"/>
    <w:rsid w:val="0070039E"/>
    <w:rsid w:val="00700C77"/>
    <w:rsid w:val="00700F78"/>
    <w:rsid w:val="00701A9F"/>
    <w:rsid w:val="007029EC"/>
    <w:rsid w:val="00702EFA"/>
    <w:rsid w:val="0070305E"/>
    <w:rsid w:val="00703955"/>
    <w:rsid w:val="00703EC6"/>
    <w:rsid w:val="0070412F"/>
    <w:rsid w:val="00704710"/>
    <w:rsid w:val="007057B4"/>
    <w:rsid w:val="00705991"/>
    <w:rsid w:val="00706789"/>
    <w:rsid w:val="00706AE9"/>
    <w:rsid w:val="00706CB1"/>
    <w:rsid w:val="007070FC"/>
    <w:rsid w:val="00710042"/>
    <w:rsid w:val="0071094D"/>
    <w:rsid w:val="00710DA5"/>
    <w:rsid w:val="007110DC"/>
    <w:rsid w:val="0071115C"/>
    <w:rsid w:val="007111CE"/>
    <w:rsid w:val="0071145F"/>
    <w:rsid w:val="007126FA"/>
    <w:rsid w:val="00712FC4"/>
    <w:rsid w:val="0071318B"/>
    <w:rsid w:val="0071380B"/>
    <w:rsid w:val="00714B5F"/>
    <w:rsid w:val="007157FF"/>
    <w:rsid w:val="00715E75"/>
    <w:rsid w:val="007164F7"/>
    <w:rsid w:val="007168B2"/>
    <w:rsid w:val="00716E74"/>
    <w:rsid w:val="007177F9"/>
    <w:rsid w:val="00717914"/>
    <w:rsid w:val="00717A39"/>
    <w:rsid w:val="00717B26"/>
    <w:rsid w:val="00717C0E"/>
    <w:rsid w:val="007201D4"/>
    <w:rsid w:val="007202AB"/>
    <w:rsid w:val="00720713"/>
    <w:rsid w:val="00720801"/>
    <w:rsid w:val="00720DC3"/>
    <w:rsid w:val="00720F73"/>
    <w:rsid w:val="0072169B"/>
    <w:rsid w:val="00721C9B"/>
    <w:rsid w:val="00722756"/>
    <w:rsid w:val="00723994"/>
    <w:rsid w:val="00724494"/>
    <w:rsid w:val="007247E5"/>
    <w:rsid w:val="00724A6D"/>
    <w:rsid w:val="00724C9D"/>
    <w:rsid w:val="00724D7F"/>
    <w:rsid w:val="00724FE8"/>
    <w:rsid w:val="00725607"/>
    <w:rsid w:val="00725D28"/>
    <w:rsid w:val="007263D8"/>
    <w:rsid w:val="0072742F"/>
    <w:rsid w:val="0072770B"/>
    <w:rsid w:val="00727A52"/>
    <w:rsid w:val="00730200"/>
    <w:rsid w:val="00730270"/>
    <w:rsid w:val="007303C5"/>
    <w:rsid w:val="00730547"/>
    <w:rsid w:val="007307D4"/>
    <w:rsid w:val="00730BC1"/>
    <w:rsid w:val="007313D3"/>
    <w:rsid w:val="0073177C"/>
    <w:rsid w:val="007318DF"/>
    <w:rsid w:val="00732C42"/>
    <w:rsid w:val="00733999"/>
    <w:rsid w:val="00734C0F"/>
    <w:rsid w:val="00734F5A"/>
    <w:rsid w:val="007352B1"/>
    <w:rsid w:val="00735F21"/>
    <w:rsid w:val="0073646F"/>
    <w:rsid w:val="00736A69"/>
    <w:rsid w:val="00736C99"/>
    <w:rsid w:val="00737049"/>
    <w:rsid w:val="00741707"/>
    <w:rsid w:val="00741DA1"/>
    <w:rsid w:val="0074215E"/>
    <w:rsid w:val="0074370D"/>
    <w:rsid w:val="007437ED"/>
    <w:rsid w:val="00743BDD"/>
    <w:rsid w:val="00743D80"/>
    <w:rsid w:val="0074529E"/>
    <w:rsid w:val="00745994"/>
    <w:rsid w:val="007463BA"/>
    <w:rsid w:val="00747A0E"/>
    <w:rsid w:val="00747E7F"/>
    <w:rsid w:val="00750521"/>
    <w:rsid w:val="00753481"/>
    <w:rsid w:val="00753513"/>
    <w:rsid w:val="00754F96"/>
    <w:rsid w:val="007552E5"/>
    <w:rsid w:val="007555AE"/>
    <w:rsid w:val="007555B1"/>
    <w:rsid w:val="00755921"/>
    <w:rsid w:val="00755970"/>
    <w:rsid w:val="00755C9A"/>
    <w:rsid w:val="00756BD6"/>
    <w:rsid w:val="007570BF"/>
    <w:rsid w:val="00757881"/>
    <w:rsid w:val="0076074B"/>
    <w:rsid w:val="007617A3"/>
    <w:rsid w:val="00761D2C"/>
    <w:rsid w:val="00762031"/>
    <w:rsid w:val="00762222"/>
    <w:rsid w:val="007622D5"/>
    <w:rsid w:val="0076235F"/>
    <w:rsid w:val="007656D6"/>
    <w:rsid w:val="0076577B"/>
    <w:rsid w:val="007662C0"/>
    <w:rsid w:val="00766982"/>
    <w:rsid w:val="00767F8B"/>
    <w:rsid w:val="007703E8"/>
    <w:rsid w:val="0077091A"/>
    <w:rsid w:val="0077159E"/>
    <w:rsid w:val="00771C96"/>
    <w:rsid w:val="00771D4B"/>
    <w:rsid w:val="007723D9"/>
    <w:rsid w:val="0077293D"/>
    <w:rsid w:val="0077475C"/>
    <w:rsid w:val="00776353"/>
    <w:rsid w:val="00776B4C"/>
    <w:rsid w:val="00780952"/>
    <w:rsid w:val="00781BD8"/>
    <w:rsid w:val="00781C53"/>
    <w:rsid w:val="00782243"/>
    <w:rsid w:val="00783B37"/>
    <w:rsid w:val="0078432D"/>
    <w:rsid w:val="00784752"/>
    <w:rsid w:val="0078482B"/>
    <w:rsid w:val="00784B8D"/>
    <w:rsid w:val="007854DF"/>
    <w:rsid w:val="007861E4"/>
    <w:rsid w:val="00786BDC"/>
    <w:rsid w:val="00790042"/>
    <w:rsid w:val="0079084E"/>
    <w:rsid w:val="0079109B"/>
    <w:rsid w:val="007918D9"/>
    <w:rsid w:val="007927C4"/>
    <w:rsid w:val="00793251"/>
    <w:rsid w:val="00793E51"/>
    <w:rsid w:val="00793FE9"/>
    <w:rsid w:val="00794442"/>
    <w:rsid w:val="00794887"/>
    <w:rsid w:val="00794929"/>
    <w:rsid w:val="00795205"/>
    <w:rsid w:val="007961C5"/>
    <w:rsid w:val="00796C26"/>
    <w:rsid w:val="00797CAC"/>
    <w:rsid w:val="007A0C2C"/>
    <w:rsid w:val="007A1079"/>
    <w:rsid w:val="007A10B7"/>
    <w:rsid w:val="007A2A41"/>
    <w:rsid w:val="007A2B41"/>
    <w:rsid w:val="007A2CDA"/>
    <w:rsid w:val="007A3084"/>
    <w:rsid w:val="007A3790"/>
    <w:rsid w:val="007A4595"/>
    <w:rsid w:val="007A6D8C"/>
    <w:rsid w:val="007A70E1"/>
    <w:rsid w:val="007A7FA4"/>
    <w:rsid w:val="007B002C"/>
    <w:rsid w:val="007B037D"/>
    <w:rsid w:val="007B05A4"/>
    <w:rsid w:val="007B0A3B"/>
    <w:rsid w:val="007B0FD6"/>
    <w:rsid w:val="007B18D5"/>
    <w:rsid w:val="007B1BC7"/>
    <w:rsid w:val="007B225B"/>
    <w:rsid w:val="007B36AC"/>
    <w:rsid w:val="007B477B"/>
    <w:rsid w:val="007B4C15"/>
    <w:rsid w:val="007B4FFD"/>
    <w:rsid w:val="007B62DE"/>
    <w:rsid w:val="007B651D"/>
    <w:rsid w:val="007B7075"/>
    <w:rsid w:val="007B71FF"/>
    <w:rsid w:val="007C052D"/>
    <w:rsid w:val="007C0D74"/>
    <w:rsid w:val="007C10E7"/>
    <w:rsid w:val="007C11B5"/>
    <w:rsid w:val="007C134D"/>
    <w:rsid w:val="007C2B54"/>
    <w:rsid w:val="007C3334"/>
    <w:rsid w:val="007C3847"/>
    <w:rsid w:val="007C438A"/>
    <w:rsid w:val="007C4852"/>
    <w:rsid w:val="007C48A8"/>
    <w:rsid w:val="007C4AAE"/>
    <w:rsid w:val="007C547F"/>
    <w:rsid w:val="007C5761"/>
    <w:rsid w:val="007C6440"/>
    <w:rsid w:val="007C6498"/>
    <w:rsid w:val="007C670C"/>
    <w:rsid w:val="007C6B77"/>
    <w:rsid w:val="007D03A3"/>
    <w:rsid w:val="007D0BDA"/>
    <w:rsid w:val="007D1312"/>
    <w:rsid w:val="007D1BF1"/>
    <w:rsid w:val="007D2099"/>
    <w:rsid w:val="007D27B7"/>
    <w:rsid w:val="007D3659"/>
    <w:rsid w:val="007D3A44"/>
    <w:rsid w:val="007D49FA"/>
    <w:rsid w:val="007D4B57"/>
    <w:rsid w:val="007D4DD6"/>
    <w:rsid w:val="007D4E83"/>
    <w:rsid w:val="007D5011"/>
    <w:rsid w:val="007D51A0"/>
    <w:rsid w:val="007D5226"/>
    <w:rsid w:val="007D5274"/>
    <w:rsid w:val="007D5789"/>
    <w:rsid w:val="007D69FB"/>
    <w:rsid w:val="007D7769"/>
    <w:rsid w:val="007D782E"/>
    <w:rsid w:val="007D7D14"/>
    <w:rsid w:val="007E073E"/>
    <w:rsid w:val="007E0ACC"/>
    <w:rsid w:val="007E11A0"/>
    <w:rsid w:val="007E1DF9"/>
    <w:rsid w:val="007E23D2"/>
    <w:rsid w:val="007E2594"/>
    <w:rsid w:val="007E2B9F"/>
    <w:rsid w:val="007E2CD5"/>
    <w:rsid w:val="007E3D11"/>
    <w:rsid w:val="007E42A1"/>
    <w:rsid w:val="007E4511"/>
    <w:rsid w:val="007E454F"/>
    <w:rsid w:val="007E4596"/>
    <w:rsid w:val="007E4598"/>
    <w:rsid w:val="007E4FD3"/>
    <w:rsid w:val="007E501D"/>
    <w:rsid w:val="007E5669"/>
    <w:rsid w:val="007E680D"/>
    <w:rsid w:val="007E7769"/>
    <w:rsid w:val="007F0CC7"/>
    <w:rsid w:val="007F0F70"/>
    <w:rsid w:val="007F1507"/>
    <w:rsid w:val="007F1A62"/>
    <w:rsid w:val="007F1F51"/>
    <w:rsid w:val="007F26EB"/>
    <w:rsid w:val="007F2A9C"/>
    <w:rsid w:val="007F38C1"/>
    <w:rsid w:val="007F391B"/>
    <w:rsid w:val="007F3B6C"/>
    <w:rsid w:val="007F4076"/>
    <w:rsid w:val="007F4805"/>
    <w:rsid w:val="007F544E"/>
    <w:rsid w:val="007F546E"/>
    <w:rsid w:val="007F687D"/>
    <w:rsid w:val="007F696F"/>
    <w:rsid w:val="007F6DA6"/>
    <w:rsid w:val="007F6EAF"/>
    <w:rsid w:val="007F72BD"/>
    <w:rsid w:val="007F7A51"/>
    <w:rsid w:val="0080013F"/>
    <w:rsid w:val="0080022C"/>
    <w:rsid w:val="00800274"/>
    <w:rsid w:val="00800CF1"/>
    <w:rsid w:val="00801852"/>
    <w:rsid w:val="00801DDF"/>
    <w:rsid w:val="00801F1F"/>
    <w:rsid w:val="00802488"/>
    <w:rsid w:val="00803791"/>
    <w:rsid w:val="008040B6"/>
    <w:rsid w:val="0080417C"/>
    <w:rsid w:val="00804A5B"/>
    <w:rsid w:val="00804D30"/>
    <w:rsid w:val="0080506F"/>
    <w:rsid w:val="0080622F"/>
    <w:rsid w:val="008063AE"/>
    <w:rsid w:val="008079C3"/>
    <w:rsid w:val="0081089A"/>
    <w:rsid w:val="008112D6"/>
    <w:rsid w:val="008119AB"/>
    <w:rsid w:val="008119EE"/>
    <w:rsid w:val="008120E9"/>
    <w:rsid w:val="00812579"/>
    <w:rsid w:val="00812704"/>
    <w:rsid w:val="00812A76"/>
    <w:rsid w:val="00812AC5"/>
    <w:rsid w:val="00812E13"/>
    <w:rsid w:val="0081301B"/>
    <w:rsid w:val="00813EC7"/>
    <w:rsid w:val="00814E6D"/>
    <w:rsid w:val="00814F91"/>
    <w:rsid w:val="008150B3"/>
    <w:rsid w:val="00815F0A"/>
    <w:rsid w:val="00815F78"/>
    <w:rsid w:val="00815F8F"/>
    <w:rsid w:val="00816927"/>
    <w:rsid w:val="0081713E"/>
    <w:rsid w:val="00817358"/>
    <w:rsid w:val="00817E2D"/>
    <w:rsid w:val="0082068D"/>
    <w:rsid w:val="008208AA"/>
    <w:rsid w:val="00821881"/>
    <w:rsid w:val="00821E90"/>
    <w:rsid w:val="008229D3"/>
    <w:rsid w:val="00822FB2"/>
    <w:rsid w:val="00823863"/>
    <w:rsid w:val="00823ACF"/>
    <w:rsid w:val="00823D43"/>
    <w:rsid w:val="0082494E"/>
    <w:rsid w:val="00825C1F"/>
    <w:rsid w:val="00826223"/>
    <w:rsid w:val="00827308"/>
    <w:rsid w:val="008303CE"/>
    <w:rsid w:val="008304E6"/>
    <w:rsid w:val="0083065E"/>
    <w:rsid w:val="00830AEA"/>
    <w:rsid w:val="00831755"/>
    <w:rsid w:val="008321F2"/>
    <w:rsid w:val="00832214"/>
    <w:rsid w:val="00832F59"/>
    <w:rsid w:val="00833089"/>
    <w:rsid w:val="0083311A"/>
    <w:rsid w:val="008334DE"/>
    <w:rsid w:val="008339BA"/>
    <w:rsid w:val="00833ABE"/>
    <w:rsid w:val="00833BAC"/>
    <w:rsid w:val="008342B2"/>
    <w:rsid w:val="00837599"/>
    <w:rsid w:val="008408D1"/>
    <w:rsid w:val="00841348"/>
    <w:rsid w:val="008418D5"/>
    <w:rsid w:val="00841D4E"/>
    <w:rsid w:val="00842020"/>
    <w:rsid w:val="00842041"/>
    <w:rsid w:val="0084222C"/>
    <w:rsid w:val="00842A70"/>
    <w:rsid w:val="0084305A"/>
    <w:rsid w:val="008446E0"/>
    <w:rsid w:val="00845951"/>
    <w:rsid w:val="008470CA"/>
    <w:rsid w:val="00847102"/>
    <w:rsid w:val="0084767F"/>
    <w:rsid w:val="00847C01"/>
    <w:rsid w:val="00847D39"/>
    <w:rsid w:val="00850BC5"/>
    <w:rsid w:val="0085182F"/>
    <w:rsid w:val="00851BD7"/>
    <w:rsid w:val="00851C09"/>
    <w:rsid w:val="0085279F"/>
    <w:rsid w:val="00852820"/>
    <w:rsid w:val="0085354B"/>
    <w:rsid w:val="00853E44"/>
    <w:rsid w:val="008544E9"/>
    <w:rsid w:val="00855D80"/>
    <w:rsid w:val="00856066"/>
    <w:rsid w:val="00856824"/>
    <w:rsid w:val="00856E45"/>
    <w:rsid w:val="00857241"/>
    <w:rsid w:val="00857ECD"/>
    <w:rsid w:val="00860081"/>
    <w:rsid w:val="00860260"/>
    <w:rsid w:val="0086068E"/>
    <w:rsid w:val="00860AC5"/>
    <w:rsid w:val="008611FA"/>
    <w:rsid w:val="008612FE"/>
    <w:rsid w:val="00861899"/>
    <w:rsid w:val="00861FE8"/>
    <w:rsid w:val="00862841"/>
    <w:rsid w:val="00862A22"/>
    <w:rsid w:val="00862B27"/>
    <w:rsid w:val="00862E34"/>
    <w:rsid w:val="00863708"/>
    <w:rsid w:val="00863C86"/>
    <w:rsid w:val="00863EDF"/>
    <w:rsid w:val="008647DD"/>
    <w:rsid w:val="008648A6"/>
    <w:rsid w:val="008653B5"/>
    <w:rsid w:val="00865AF3"/>
    <w:rsid w:val="00865D2B"/>
    <w:rsid w:val="00865D2E"/>
    <w:rsid w:val="00865DC6"/>
    <w:rsid w:val="0086670D"/>
    <w:rsid w:val="00867EF7"/>
    <w:rsid w:val="00870147"/>
    <w:rsid w:val="0087200E"/>
    <w:rsid w:val="008727F4"/>
    <w:rsid w:val="00873397"/>
    <w:rsid w:val="00873BFB"/>
    <w:rsid w:val="00873C3D"/>
    <w:rsid w:val="00874068"/>
    <w:rsid w:val="008741B7"/>
    <w:rsid w:val="0087432A"/>
    <w:rsid w:val="00874FDC"/>
    <w:rsid w:val="00875D5F"/>
    <w:rsid w:val="00875F3F"/>
    <w:rsid w:val="00876D9F"/>
    <w:rsid w:val="00877745"/>
    <w:rsid w:val="00880278"/>
    <w:rsid w:val="00880E9A"/>
    <w:rsid w:val="00881256"/>
    <w:rsid w:val="008813E9"/>
    <w:rsid w:val="00881549"/>
    <w:rsid w:val="008817FA"/>
    <w:rsid w:val="00881882"/>
    <w:rsid w:val="00882480"/>
    <w:rsid w:val="0088334B"/>
    <w:rsid w:val="00883E35"/>
    <w:rsid w:val="00884135"/>
    <w:rsid w:val="0088429F"/>
    <w:rsid w:val="00884D82"/>
    <w:rsid w:val="00885CCB"/>
    <w:rsid w:val="00885DC6"/>
    <w:rsid w:val="00886218"/>
    <w:rsid w:val="0088735D"/>
    <w:rsid w:val="0088775C"/>
    <w:rsid w:val="00887A09"/>
    <w:rsid w:val="0089011A"/>
    <w:rsid w:val="00890639"/>
    <w:rsid w:val="008910CC"/>
    <w:rsid w:val="00891D0D"/>
    <w:rsid w:val="00891E99"/>
    <w:rsid w:val="008926F4"/>
    <w:rsid w:val="00892CB9"/>
    <w:rsid w:val="00893890"/>
    <w:rsid w:val="00893CA6"/>
    <w:rsid w:val="008942F1"/>
    <w:rsid w:val="0089464E"/>
    <w:rsid w:val="00894AD1"/>
    <w:rsid w:val="00894B9D"/>
    <w:rsid w:val="00894C09"/>
    <w:rsid w:val="00894FF9"/>
    <w:rsid w:val="0089543B"/>
    <w:rsid w:val="00895D9C"/>
    <w:rsid w:val="00895E68"/>
    <w:rsid w:val="0089603A"/>
    <w:rsid w:val="008960F2"/>
    <w:rsid w:val="0089628D"/>
    <w:rsid w:val="0089683A"/>
    <w:rsid w:val="008973AF"/>
    <w:rsid w:val="008973D4"/>
    <w:rsid w:val="008A079C"/>
    <w:rsid w:val="008A0D20"/>
    <w:rsid w:val="008A102F"/>
    <w:rsid w:val="008A1B80"/>
    <w:rsid w:val="008A2248"/>
    <w:rsid w:val="008A232E"/>
    <w:rsid w:val="008A32DA"/>
    <w:rsid w:val="008A3578"/>
    <w:rsid w:val="008A3C39"/>
    <w:rsid w:val="008A3E70"/>
    <w:rsid w:val="008A4403"/>
    <w:rsid w:val="008A4BB5"/>
    <w:rsid w:val="008A4DA9"/>
    <w:rsid w:val="008A52E5"/>
    <w:rsid w:val="008A5A73"/>
    <w:rsid w:val="008A5AA8"/>
    <w:rsid w:val="008A5D6C"/>
    <w:rsid w:val="008A6093"/>
    <w:rsid w:val="008A640A"/>
    <w:rsid w:val="008A67F5"/>
    <w:rsid w:val="008A6C01"/>
    <w:rsid w:val="008A6DE5"/>
    <w:rsid w:val="008A6F71"/>
    <w:rsid w:val="008A703D"/>
    <w:rsid w:val="008A732B"/>
    <w:rsid w:val="008B10FD"/>
    <w:rsid w:val="008B26E8"/>
    <w:rsid w:val="008B28D2"/>
    <w:rsid w:val="008B297E"/>
    <w:rsid w:val="008B2A04"/>
    <w:rsid w:val="008B2BAC"/>
    <w:rsid w:val="008B2E57"/>
    <w:rsid w:val="008B3300"/>
    <w:rsid w:val="008B4976"/>
    <w:rsid w:val="008B6774"/>
    <w:rsid w:val="008B6BA6"/>
    <w:rsid w:val="008B6E28"/>
    <w:rsid w:val="008B71ED"/>
    <w:rsid w:val="008B768B"/>
    <w:rsid w:val="008B7D7A"/>
    <w:rsid w:val="008C04D1"/>
    <w:rsid w:val="008C13BF"/>
    <w:rsid w:val="008C14F9"/>
    <w:rsid w:val="008C1785"/>
    <w:rsid w:val="008C1E6A"/>
    <w:rsid w:val="008C2151"/>
    <w:rsid w:val="008C25A4"/>
    <w:rsid w:val="008C2D8C"/>
    <w:rsid w:val="008C339E"/>
    <w:rsid w:val="008C39E3"/>
    <w:rsid w:val="008C3A9C"/>
    <w:rsid w:val="008C4120"/>
    <w:rsid w:val="008C530A"/>
    <w:rsid w:val="008C67D6"/>
    <w:rsid w:val="008C6EAE"/>
    <w:rsid w:val="008C6F1F"/>
    <w:rsid w:val="008C70E2"/>
    <w:rsid w:val="008C7318"/>
    <w:rsid w:val="008C7498"/>
    <w:rsid w:val="008D030E"/>
    <w:rsid w:val="008D1874"/>
    <w:rsid w:val="008D27AB"/>
    <w:rsid w:val="008D395F"/>
    <w:rsid w:val="008D496B"/>
    <w:rsid w:val="008D4E32"/>
    <w:rsid w:val="008D4EE1"/>
    <w:rsid w:val="008D51D2"/>
    <w:rsid w:val="008D5535"/>
    <w:rsid w:val="008D5BA5"/>
    <w:rsid w:val="008D5E3F"/>
    <w:rsid w:val="008D7C9B"/>
    <w:rsid w:val="008D7E2D"/>
    <w:rsid w:val="008E0B52"/>
    <w:rsid w:val="008E216D"/>
    <w:rsid w:val="008E2388"/>
    <w:rsid w:val="008E28F0"/>
    <w:rsid w:val="008E30DE"/>
    <w:rsid w:val="008E383A"/>
    <w:rsid w:val="008E3C55"/>
    <w:rsid w:val="008E3FA5"/>
    <w:rsid w:val="008E5175"/>
    <w:rsid w:val="008E7B52"/>
    <w:rsid w:val="008F09F7"/>
    <w:rsid w:val="008F0A28"/>
    <w:rsid w:val="008F153D"/>
    <w:rsid w:val="008F1B39"/>
    <w:rsid w:val="008F1D8C"/>
    <w:rsid w:val="008F3598"/>
    <w:rsid w:val="008F3F94"/>
    <w:rsid w:val="008F4620"/>
    <w:rsid w:val="008F5AEF"/>
    <w:rsid w:val="008F62F6"/>
    <w:rsid w:val="008F64EF"/>
    <w:rsid w:val="008F6DF2"/>
    <w:rsid w:val="00900148"/>
    <w:rsid w:val="009003F5"/>
    <w:rsid w:val="009007A4"/>
    <w:rsid w:val="00901093"/>
    <w:rsid w:val="00901DD4"/>
    <w:rsid w:val="009025B4"/>
    <w:rsid w:val="009031C4"/>
    <w:rsid w:val="00903308"/>
    <w:rsid w:val="009036F8"/>
    <w:rsid w:val="00903A51"/>
    <w:rsid w:val="00903FC3"/>
    <w:rsid w:val="00904111"/>
    <w:rsid w:val="00904273"/>
    <w:rsid w:val="00904298"/>
    <w:rsid w:val="009047EF"/>
    <w:rsid w:val="0090488D"/>
    <w:rsid w:val="00904C59"/>
    <w:rsid w:val="00905905"/>
    <w:rsid w:val="00905C48"/>
    <w:rsid w:val="00905CCB"/>
    <w:rsid w:val="00906FB2"/>
    <w:rsid w:val="0091004F"/>
    <w:rsid w:val="0091099A"/>
    <w:rsid w:val="00910D62"/>
    <w:rsid w:val="00910F10"/>
    <w:rsid w:val="00910F9A"/>
    <w:rsid w:val="00911231"/>
    <w:rsid w:val="00911894"/>
    <w:rsid w:val="009121F9"/>
    <w:rsid w:val="00912376"/>
    <w:rsid w:val="00912CC5"/>
    <w:rsid w:val="00913175"/>
    <w:rsid w:val="00913DC0"/>
    <w:rsid w:val="00913FDA"/>
    <w:rsid w:val="00914C2F"/>
    <w:rsid w:val="009150FC"/>
    <w:rsid w:val="009165D5"/>
    <w:rsid w:val="0091676A"/>
    <w:rsid w:val="0091772C"/>
    <w:rsid w:val="00920528"/>
    <w:rsid w:val="00920F6F"/>
    <w:rsid w:val="0092182E"/>
    <w:rsid w:val="0092190C"/>
    <w:rsid w:val="00921B29"/>
    <w:rsid w:val="00921E37"/>
    <w:rsid w:val="009221E8"/>
    <w:rsid w:val="009228ED"/>
    <w:rsid w:val="009228FF"/>
    <w:rsid w:val="0092372A"/>
    <w:rsid w:val="00923E44"/>
    <w:rsid w:val="009241FE"/>
    <w:rsid w:val="00924FD1"/>
    <w:rsid w:val="00924FD8"/>
    <w:rsid w:val="009250A3"/>
    <w:rsid w:val="009251E8"/>
    <w:rsid w:val="00926FF8"/>
    <w:rsid w:val="009278A0"/>
    <w:rsid w:val="00927D8A"/>
    <w:rsid w:val="0093115F"/>
    <w:rsid w:val="0093211E"/>
    <w:rsid w:val="009322E7"/>
    <w:rsid w:val="00934091"/>
    <w:rsid w:val="009340B8"/>
    <w:rsid w:val="009347C8"/>
    <w:rsid w:val="009355D1"/>
    <w:rsid w:val="00935BA4"/>
    <w:rsid w:val="00935E97"/>
    <w:rsid w:val="009363D9"/>
    <w:rsid w:val="0093651F"/>
    <w:rsid w:val="009365F7"/>
    <w:rsid w:val="009368AC"/>
    <w:rsid w:val="00936FB0"/>
    <w:rsid w:val="00937D27"/>
    <w:rsid w:val="00937F9D"/>
    <w:rsid w:val="0094158A"/>
    <w:rsid w:val="00941FF8"/>
    <w:rsid w:val="00942848"/>
    <w:rsid w:val="00942CA0"/>
    <w:rsid w:val="00943316"/>
    <w:rsid w:val="00943539"/>
    <w:rsid w:val="0094362E"/>
    <w:rsid w:val="00943D07"/>
    <w:rsid w:val="00943D57"/>
    <w:rsid w:val="009458A7"/>
    <w:rsid w:val="00946167"/>
    <w:rsid w:val="00947E9B"/>
    <w:rsid w:val="009502FB"/>
    <w:rsid w:val="0095214B"/>
    <w:rsid w:val="00952B84"/>
    <w:rsid w:val="00952E71"/>
    <w:rsid w:val="00952EEA"/>
    <w:rsid w:val="00952F35"/>
    <w:rsid w:val="009534EC"/>
    <w:rsid w:val="009543A0"/>
    <w:rsid w:val="00954C28"/>
    <w:rsid w:val="00954D5A"/>
    <w:rsid w:val="009550AB"/>
    <w:rsid w:val="00955261"/>
    <w:rsid w:val="00956CE4"/>
    <w:rsid w:val="00957B94"/>
    <w:rsid w:val="00960862"/>
    <w:rsid w:val="00961C50"/>
    <w:rsid w:val="00962040"/>
    <w:rsid w:val="009637F1"/>
    <w:rsid w:val="0096501D"/>
    <w:rsid w:val="0096558B"/>
    <w:rsid w:val="00965CD6"/>
    <w:rsid w:val="009666F5"/>
    <w:rsid w:val="00966940"/>
    <w:rsid w:val="0096708E"/>
    <w:rsid w:val="00970070"/>
    <w:rsid w:val="009706E1"/>
    <w:rsid w:val="00971D02"/>
    <w:rsid w:val="00973245"/>
    <w:rsid w:val="009733F9"/>
    <w:rsid w:val="00974146"/>
    <w:rsid w:val="0097542E"/>
    <w:rsid w:val="00976A23"/>
    <w:rsid w:val="00977763"/>
    <w:rsid w:val="00980FFA"/>
    <w:rsid w:val="009815E7"/>
    <w:rsid w:val="009816A3"/>
    <w:rsid w:val="00982644"/>
    <w:rsid w:val="00982898"/>
    <w:rsid w:val="00983357"/>
    <w:rsid w:val="00983A71"/>
    <w:rsid w:val="0098433D"/>
    <w:rsid w:val="009845ED"/>
    <w:rsid w:val="00984A10"/>
    <w:rsid w:val="00985CE3"/>
    <w:rsid w:val="009861EB"/>
    <w:rsid w:val="00986617"/>
    <w:rsid w:val="00986633"/>
    <w:rsid w:val="0098760C"/>
    <w:rsid w:val="00987882"/>
    <w:rsid w:val="00987C17"/>
    <w:rsid w:val="00991338"/>
    <w:rsid w:val="00991D52"/>
    <w:rsid w:val="009927D4"/>
    <w:rsid w:val="00992CA4"/>
    <w:rsid w:val="00993461"/>
    <w:rsid w:val="00993573"/>
    <w:rsid w:val="00993736"/>
    <w:rsid w:val="00993DC0"/>
    <w:rsid w:val="00994D4C"/>
    <w:rsid w:val="00995B61"/>
    <w:rsid w:val="0099634A"/>
    <w:rsid w:val="00996873"/>
    <w:rsid w:val="00996F7C"/>
    <w:rsid w:val="00997A71"/>
    <w:rsid w:val="00997BC6"/>
    <w:rsid w:val="00997CCA"/>
    <w:rsid w:val="009A03B9"/>
    <w:rsid w:val="009A053B"/>
    <w:rsid w:val="009A2A2F"/>
    <w:rsid w:val="009A2B8D"/>
    <w:rsid w:val="009A36F4"/>
    <w:rsid w:val="009A55E1"/>
    <w:rsid w:val="009A5B06"/>
    <w:rsid w:val="009A5F3B"/>
    <w:rsid w:val="009A6BB0"/>
    <w:rsid w:val="009A74A4"/>
    <w:rsid w:val="009A7DDD"/>
    <w:rsid w:val="009B07EB"/>
    <w:rsid w:val="009B0825"/>
    <w:rsid w:val="009B12FF"/>
    <w:rsid w:val="009B15C6"/>
    <w:rsid w:val="009B1BD5"/>
    <w:rsid w:val="009B1F8D"/>
    <w:rsid w:val="009B30EE"/>
    <w:rsid w:val="009B3475"/>
    <w:rsid w:val="009B3B6F"/>
    <w:rsid w:val="009B521C"/>
    <w:rsid w:val="009B5BE4"/>
    <w:rsid w:val="009B5CE1"/>
    <w:rsid w:val="009B614D"/>
    <w:rsid w:val="009B6244"/>
    <w:rsid w:val="009B6400"/>
    <w:rsid w:val="009B6AEB"/>
    <w:rsid w:val="009B6D6E"/>
    <w:rsid w:val="009B705F"/>
    <w:rsid w:val="009B7655"/>
    <w:rsid w:val="009B7E02"/>
    <w:rsid w:val="009C03B2"/>
    <w:rsid w:val="009C0555"/>
    <w:rsid w:val="009C098F"/>
    <w:rsid w:val="009C0A93"/>
    <w:rsid w:val="009C14A9"/>
    <w:rsid w:val="009C1B40"/>
    <w:rsid w:val="009C1DAC"/>
    <w:rsid w:val="009C1ED3"/>
    <w:rsid w:val="009C2341"/>
    <w:rsid w:val="009C2695"/>
    <w:rsid w:val="009C2C61"/>
    <w:rsid w:val="009C3178"/>
    <w:rsid w:val="009C3700"/>
    <w:rsid w:val="009C3AC9"/>
    <w:rsid w:val="009C3BC4"/>
    <w:rsid w:val="009C3FCF"/>
    <w:rsid w:val="009C44A5"/>
    <w:rsid w:val="009C44EF"/>
    <w:rsid w:val="009C5ABE"/>
    <w:rsid w:val="009C6265"/>
    <w:rsid w:val="009C6925"/>
    <w:rsid w:val="009C7610"/>
    <w:rsid w:val="009C79D6"/>
    <w:rsid w:val="009C7D59"/>
    <w:rsid w:val="009D1406"/>
    <w:rsid w:val="009D159C"/>
    <w:rsid w:val="009D1D63"/>
    <w:rsid w:val="009D1EEE"/>
    <w:rsid w:val="009D2C70"/>
    <w:rsid w:val="009D38B5"/>
    <w:rsid w:val="009D3AA7"/>
    <w:rsid w:val="009D4A6D"/>
    <w:rsid w:val="009D5507"/>
    <w:rsid w:val="009D56C0"/>
    <w:rsid w:val="009D66AF"/>
    <w:rsid w:val="009D6E6F"/>
    <w:rsid w:val="009D7841"/>
    <w:rsid w:val="009E0405"/>
    <w:rsid w:val="009E0CE8"/>
    <w:rsid w:val="009E10CB"/>
    <w:rsid w:val="009E12F3"/>
    <w:rsid w:val="009E144D"/>
    <w:rsid w:val="009E349A"/>
    <w:rsid w:val="009E56ED"/>
    <w:rsid w:val="009E6612"/>
    <w:rsid w:val="009E7088"/>
    <w:rsid w:val="009E72F0"/>
    <w:rsid w:val="009E792E"/>
    <w:rsid w:val="009E7E17"/>
    <w:rsid w:val="009F0409"/>
    <w:rsid w:val="009F0618"/>
    <w:rsid w:val="009F08F4"/>
    <w:rsid w:val="009F0971"/>
    <w:rsid w:val="009F0E30"/>
    <w:rsid w:val="009F0E5E"/>
    <w:rsid w:val="009F2207"/>
    <w:rsid w:val="009F33B9"/>
    <w:rsid w:val="009F3CA2"/>
    <w:rsid w:val="009F45FA"/>
    <w:rsid w:val="009F47C3"/>
    <w:rsid w:val="009F4E5D"/>
    <w:rsid w:val="009F5719"/>
    <w:rsid w:val="009F5C93"/>
    <w:rsid w:val="009F6F1E"/>
    <w:rsid w:val="009F7111"/>
    <w:rsid w:val="009F731F"/>
    <w:rsid w:val="009F793E"/>
    <w:rsid w:val="00A00962"/>
    <w:rsid w:val="00A00C43"/>
    <w:rsid w:val="00A01AAB"/>
    <w:rsid w:val="00A0260B"/>
    <w:rsid w:val="00A032D7"/>
    <w:rsid w:val="00A039F3"/>
    <w:rsid w:val="00A03A0C"/>
    <w:rsid w:val="00A04184"/>
    <w:rsid w:val="00A04989"/>
    <w:rsid w:val="00A05928"/>
    <w:rsid w:val="00A05BA4"/>
    <w:rsid w:val="00A05CB0"/>
    <w:rsid w:val="00A0648E"/>
    <w:rsid w:val="00A10334"/>
    <w:rsid w:val="00A1055E"/>
    <w:rsid w:val="00A11058"/>
    <w:rsid w:val="00A11126"/>
    <w:rsid w:val="00A11869"/>
    <w:rsid w:val="00A119BA"/>
    <w:rsid w:val="00A122E5"/>
    <w:rsid w:val="00A131B0"/>
    <w:rsid w:val="00A135A6"/>
    <w:rsid w:val="00A13700"/>
    <w:rsid w:val="00A14A64"/>
    <w:rsid w:val="00A158E3"/>
    <w:rsid w:val="00A1662F"/>
    <w:rsid w:val="00A178B8"/>
    <w:rsid w:val="00A17C7B"/>
    <w:rsid w:val="00A20E9C"/>
    <w:rsid w:val="00A2122D"/>
    <w:rsid w:val="00A21C58"/>
    <w:rsid w:val="00A223F5"/>
    <w:rsid w:val="00A22B2A"/>
    <w:rsid w:val="00A22DE5"/>
    <w:rsid w:val="00A231F6"/>
    <w:rsid w:val="00A23BC9"/>
    <w:rsid w:val="00A23BE5"/>
    <w:rsid w:val="00A23DEC"/>
    <w:rsid w:val="00A245A8"/>
    <w:rsid w:val="00A24767"/>
    <w:rsid w:val="00A250B0"/>
    <w:rsid w:val="00A255D0"/>
    <w:rsid w:val="00A25BCF"/>
    <w:rsid w:val="00A26436"/>
    <w:rsid w:val="00A264BD"/>
    <w:rsid w:val="00A2671D"/>
    <w:rsid w:val="00A27B1E"/>
    <w:rsid w:val="00A27D3D"/>
    <w:rsid w:val="00A304D3"/>
    <w:rsid w:val="00A30E9E"/>
    <w:rsid w:val="00A3165A"/>
    <w:rsid w:val="00A316AB"/>
    <w:rsid w:val="00A31778"/>
    <w:rsid w:val="00A319D9"/>
    <w:rsid w:val="00A31F82"/>
    <w:rsid w:val="00A32525"/>
    <w:rsid w:val="00A327BB"/>
    <w:rsid w:val="00A328AE"/>
    <w:rsid w:val="00A32B4C"/>
    <w:rsid w:val="00A3364E"/>
    <w:rsid w:val="00A336F5"/>
    <w:rsid w:val="00A338FD"/>
    <w:rsid w:val="00A34084"/>
    <w:rsid w:val="00A346E8"/>
    <w:rsid w:val="00A35A81"/>
    <w:rsid w:val="00A35C56"/>
    <w:rsid w:val="00A36CDD"/>
    <w:rsid w:val="00A3703F"/>
    <w:rsid w:val="00A37ABB"/>
    <w:rsid w:val="00A37E2D"/>
    <w:rsid w:val="00A400FE"/>
    <w:rsid w:val="00A401C0"/>
    <w:rsid w:val="00A40805"/>
    <w:rsid w:val="00A40B25"/>
    <w:rsid w:val="00A40D9B"/>
    <w:rsid w:val="00A4114E"/>
    <w:rsid w:val="00A415A7"/>
    <w:rsid w:val="00A42D54"/>
    <w:rsid w:val="00A44041"/>
    <w:rsid w:val="00A44468"/>
    <w:rsid w:val="00A44CE1"/>
    <w:rsid w:val="00A45289"/>
    <w:rsid w:val="00A46428"/>
    <w:rsid w:val="00A465D4"/>
    <w:rsid w:val="00A50096"/>
    <w:rsid w:val="00A501FF"/>
    <w:rsid w:val="00A5234C"/>
    <w:rsid w:val="00A523C7"/>
    <w:rsid w:val="00A5264A"/>
    <w:rsid w:val="00A52A3B"/>
    <w:rsid w:val="00A52F17"/>
    <w:rsid w:val="00A53405"/>
    <w:rsid w:val="00A53C1B"/>
    <w:rsid w:val="00A53DFA"/>
    <w:rsid w:val="00A53EFE"/>
    <w:rsid w:val="00A53F24"/>
    <w:rsid w:val="00A54469"/>
    <w:rsid w:val="00A54789"/>
    <w:rsid w:val="00A54E86"/>
    <w:rsid w:val="00A55637"/>
    <w:rsid w:val="00A55CF7"/>
    <w:rsid w:val="00A56ABF"/>
    <w:rsid w:val="00A56CD6"/>
    <w:rsid w:val="00A575AC"/>
    <w:rsid w:val="00A602F6"/>
    <w:rsid w:val="00A60FA7"/>
    <w:rsid w:val="00A61F0E"/>
    <w:rsid w:val="00A634A8"/>
    <w:rsid w:val="00A638CD"/>
    <w:rsid w:val="00A641C3"/>
    <w:rsid w:val="00A64FDB"/>
    <w:rsid w:val="00A6702A"/>
    <w:rsid w:val="00A67A0C"/>
    <w:rsid w:val="00A67DCE"/>
    <w:rsid w:val="00A7064B"/>
    <w:rsid w:val="00A70DF4"/>
    <w:rsid w:val="00A70EFC"/>
    <w:rsid w:val="00A71A53"/>
    <w:rsid w:val="00A72605"/>
    <w:rsid w:val="00A72AF8"/>
    <w:rsid w:val="00A7402A"/>
    <w:rsid w:val="00A744BE"/>
    <w:rsid w:val="00A74D7A"/>
    <w:rsid w:val="00A75440"/>
    <w:rsid w:val="00A75F9D"/>
    <w:rsid w:val="00A76199"/>
    <w:rsid w:val="00A76ACD"/>
    <w:rsid w:val="00A76F5A"/>
    <w:rsid w:val="00A7732A"/>
    <w:rsid w:val="00A773AE"/>
    <w:rsid w:val="00A77FB8"/>
    <w:rsid w:val="00A80243"/>
    <w:rsid w:val="00A80617"/>
    <w:rsid w:val="00A81268"/>
    <w:rsid w:val="00A814B3"/>
    <w:rsid w:val="00A8183F"/>
    <w:rsid w:val="00A81E8A"/>
    <w:rsid w:val="00A8254A"/>
    <w:rsid w:val="00A83C8B"/>
    <w:rsid w:val="00A83DA0"/>
    <w:rsid w:val="00A848B1"/>
    <w:rsid w:val="00A84CAC"/>
    <w:rsid w:val="00A85170"/>
    <w:rsid w:val="00A85281"/>
    <w:rsid w:val="00A8552B"/>
    <w:rsid w:val="00A85A1D"/>
    <w:rsid w:val="00A85F7D"/>
    <w:rsid w:val="00A86483"/>
    <w:rsid w:val="00A86739"/>
    <w:rsid w:val="00A87122"/>
    <w:rsid w:val="00A876AB"/>
    <w:rsid w:val="00A878E5"/>
    <w:rsid w:val="00A90057"/>
    <w:rsid w:val="00A9088C"/>
    <w:rsid w:val="00A91FE3"/>
    <w:rsid w:val="00A92CDB"/>
    <w:rsid w:val="00A93374"/>
    <w:rsid w:val="00A93445"/>
    <w:rsid w:val="00A93C7B"/>
    <w:rsid w:val="00A93E96"/>
    <w:rsid w:val="00A94C59"/>
    <w:rsid w:val="00A950CA"/>
    <w:rsid w:val="00A9558C"/>
    <w:rsid w:val="00A95E7D"/>
    <w:rsid w:val="00A97C5A"/>
    <w:rsid w:val="00AA02E7"/>
    <w:rsid w:val="00AA037C"/>
    <w:rsid w:val="00AA077D"/>
    <w:rsid w:val="00AA266F"/>
    <w:rsid w:val="00AA36DC"/>
    <w:rsid w:val="00AA3B47"/>
    <w:rsid w:val="00AA40A5"/>
    <w:rsid w:val="00AA50B2"/>
    <w:rsid w:val="00AA51C0"/>
    <w:rsid w:val="00AA52FE"/>
    <w:rsid w:val="00AA5DA4"/>
    <w:rsid w:val="00AA5FB4"/>
    <w:rsid w:val="00AA614F"/>
    <w:rsid w:val="00AA682F"/>
    <w:rsid w:val="00AA6E1F"/>
    <w:rsid w:val="00AA72C9"/>
    <w:rsid w:val="00AA7671"/>
    <w:rsid w:val="00AB0A39"/>
    <w:rsid w:val="00AB1686"/>
    <w:rsid w:val="00AB1B4F"/>
    <w:rsid w:val="00AB23C4"/>
    <w:rsid w:val="00AB28BF"/>
    <w:rsid w:val="00AB2E1A"/>
    <w:rsid w:val="00AB2F5A"/>
    <w:rsid w:val="00AB3156"/>
    <w:rsid w:val="00AB3349"/>
    <w:rsid w:val="00AB352A"/>
    <w:rsid w:val="00AB353F"/>
    <w:rsid w:val="00AB4AF6"/>
    <w:rsid w:val="00AB4D70"/>
    <w:rsid w:val="00AB4EEB"/>
    <w:rsid w:val="00AB527D"/>
    <w:rsid w:val="00AB5805"/>
    <w:rsid w:val="00AB61AD"/>
    <w:rsid w:val="00AB63C1"/>
    <w:rsid w:val="00AB658D"/>
    <w:rsid w:val="00AB6D3A"/>
    <w:rsid w:val="00AC0541"/>
    <w:rsid w:val="00AC0715"/>
    <w:rsid w:val="00AC0931"/>
    <w:rsid w:val="00AC0AF4"/>
    <w:rsid w:val="00AC159D"/>
    <w:rsid w:val="00AC16DE"/>
    <w:rsid w:val="00AC2D2B"/>
    <w:rsid w:val="00AC3A87"/>
    <w:rsid w:val="00AC41BD"/>
    <w:rsid w:val="00AC4B42"/>
    <w:rsid w:val="00AC4F83"/>
    <w:rsid w:val="00AC5053"/>
    <w:rsid w:val="00AC5A14"/>
    <w:rsid w:val="00AC5F98"/>
    <w:rsid w:val="00AC61FC"/>
    <w:rsid w:val="00AC65DE"/>
    <w:rsid w:val="00AC6664"/>
    <w:rsid w:val="00AC6A09"/>
    <w:rsid w:val="00AC6F85"/>
    <w:rsid w:val="00AD0381"/>
    <w:rsid w:val="00AD0555"/>
    <w:rsid w:val="00AD0CAF"/>
    <w:rsid w:val="00AD10E2"/>
    <w:rsid w:val="00AD170C"/>
    <w:rsid w:val="00AD176F"/>
    <w:rsid w:val="00AD234D"/>
    <w:rsid w:val="00AD2350"/>
    <w:rsid w:val="00AD288D"/>
    <w:rsid w:val="00AD387F"/>
    <w:rsid w:val="00AD3C4A"/>
    <w:rsid w:val="00AD47AE"/>
    <w:rsid w:val="00AD51B8"/>
    <w:rsid w:val="00AD5261"/>
    <w:rsid w:val="00AD55C2"/>
    <w:rsid w:val="00AD5676"/>
    <w:rsid w:val="00AD5B88"/>
    <w:rsid w:val="00AD5BA5"/>
    <w:rsid w:val="00AD5CAA"/>
    <w:rsid w:val="00AD6B96"/>
    <w:rsid w:val="00AD6C33"/>
    <w:rsid w:val="00AE010B"/>
    <w:rsid w:val="00AE0472"/>
    <w:rsid w:val="00AE0AF2"/>
    <w:rsid w:val="00AE0C89"/>
    <w:rsid w:val="00AE1667"/>
    <w:rsid w:val="00AE2277"/>
    <w:rsid w:val="00AE2512"/>
    <w:rsid w:val="00AE2C97"/>
    <w:rsid w:val="00AE367A"/>
    <w:rsid w:val="00AE48DA"/>
    <w:rsid w:val="00AE4CCD"/>
    <w:rsid w:val="00AE4D3D"/>
    <w:rsid w:val="00AE55D0"/>
    <w:rsid w:val="00AE58A4"/>
    <w:rsid w:val="00AE62A9"/>
    <w:rsid w:val="00AE7849"/>
    <w:rsid w:val="00AE7A8C"/>
    <w:rsid w:val="00AF0389"/>
    <w:rsid w:val="00AF0776"/>
    <w:rsid w:val="00AF0F32"/>
    <w:rsid w:val="00AF0FA7"/>
    <w:rsid w:val="00AF110D"/>
    <w:rsid w:val="00AF1413"/>
    <w:rsid w:val="00AF1D10"/>
    <w:rsid w:val="00AF2530"/>
    <w:rsid w:val="00AF26F4"/>
    <w:rsid w:val="00AF2DF1"/>
    <w:rsid w:val="00AF2E21"/>
    <w:rsid w:val="00AF3B4C"/>
    <w:rsid w:val="00AF48EA"/>
    <w:rsid w:val="00AF4B3A"/>
    <w:rsid w:val="00AF4D55"/>
    <w:rsid w:val="00AF522E"/>
    <w:rsid w:val="00AF5AD5"/>
    <w:rsid w:val="00AF5B7D"/>
    <w:rsid w:val="00AF5BA7"/>
    <w:rsid w:val="00AF65F4"/>
    <w:rsid w:val="00AF790D"/>
    <w:rsid w:val="00AF7CDB"/>
    <w:rsid w:val="00B00021"/>
    <w:rsid w:val="00B001C1"/>
    <w:rsid w:val="00B00240"/>
    <w:rsid w:val="00B004E5"/>
    <w:rsid w:val="00B0162C"/>
    <w:rsid w:val="00B01DD2"/>
    <w:rsid w:val="00B022CB"/>
    <w:rsid w:val="00B02932"/>
    <w:rsid w:val="00B02A4D"/>
    <w:rsid w:val="00B03665"/>
    <w:rsid w:val="00B036DC"/>
    <w:rsid w:val="00B049C3"/>
    <w:rsid w:val="00B04CA4"/>
    <w:rsid w:val="00B05515"/>
    <w:rsid w:val="00B057BE"/>
    <w:rsid w:val="00B0593A"/>
    <w:rsid w:val="00B065C3"/>
    <w:rsid w:val="00B101F4"/>
    <w:rsid w:val="00B126F8"/>
    <w:rsid w:val="00B12B3A"/>
    <w:rsid w:val="00B141A8"/>
    <w:rsid w:val="00B1445B"/>
    <w:rsid w:val="00B14691"/>
    <w:rsid w:val="00B1483D"/>
    <w:rsid w:val="00B14A85"/>
    <w:rsid w:val="00B15636"/>
    <w:rsid w:val="00B15D32"/>
    <w:rsid w:val="00B1630C"/>
    <w:rsid w:val="00B1639F"/>
    <w:rsid w:val="00B166A8"/>
    <w:rsid w:val="00B16F7A"/>
    <w:rsid w:val="00B17265"/>
    <w:rsid w:val="00B1739C"/>
    <w:rsid w:val="00B176EA"/>
    <w:rsid w:val="00B17BAE"/>
    <w:rsid w:val="00B204A8"/>
    <w:rsid w:val="00B207A3"/>
    <w:rsid w:val="00B20B50"/>
    <w:rsid w:val="00B21856"/>
    <w:rsid w:val="00B21907"/>
    <w:rsid w:val="00B21C7D"/>
    <w:rsid w:val="00B21CF8"/>
    <w:rsid w:val="00B21ED3"/>
    <w:rsid w:val="00B22A0C"/>
    <w:rsid w:val="00B22CE5"/>
    <w:rsid w:val="00B22F92"/>
    <w:rsid w:val="00B23105"/>
    <w:rsid w:val="00B23543"/>
    <w:rsid w:val="00B24D16"/>
    <w:rsid w:val="00B24E01"/>
    <w:rsid w:val="00B24F33"/>
    <w:rsid w:val="00B26E21"/>
    <w:rsid w:val="00B2715C"/>
    <w:rsid w:val="00B27242"/>
    <w:rsid w:val="00B27626"/>
    <w:rsid w:val="00B27C07"/>
    <w:rsid w:val="00B27C87"/>
    <w:rsid w:val="00B27D8C"/>
    <w:rsid w:val="00B301A5"/>
    <w:rsid w:val="00B302D0"/>
    <w:rsid w:val="00B30A61"/>
    <w:rsid w:val="00B31063"/>
    <w:rsid w:val="00B3174E"/>
    <w:rsid w:val="00B31923"/>
    <w:rsid w:val="00B328C2"/>
    <w:rsid w:val="00B32B2F"/>
    <w:rsid w:val="00B32C08"/>
    <w:rsid w:val="00B33589"/>
    <w:rsid w:val="00B33865"/>
    <w:rsid w:val="00B3393B"/>
    <w:rsid w:val="00B34131"/>
    <w:rsid w:val="00B3482B"/>
    <w:rsid w:val="00B35462"/>
    <w:rsid w:val="00B35F52"/>
    <w:rsid w:val="00B360E1"/>
    <w:rsid w:val="00B360E9"/>
    <w:rsid w:val="00B364EC"/>
    <w:rsid w:val="00B371E9"/>
    <w:rsid w:val="00B376BE"/>
    <w:rsid w:val="00B3796B"/>
    <w:rsid w:val="00B37C9E"/>
    <w:rsid w:val="00B40836"/>
    <w:rsid w:val="00B40CF5"/>
    <w:rsid w:val="00B41847"/>
    <w:rsid w:val="00B41CAD"/>
    <w:rsid w:val="00B41D2E"/>
    <w:rsid w:val="00B422A3"/>
    <w:rsid w:val="00B424A9"/>
    <w:rsid w:val="00B43BD1"/>
    <w:rsid w:val="00B43DB2"/>
    <w:rsid w:val="00B44105"/>
    <w:rsid w:val="00B4479C"/>
    <w:rsid w:val="00B44E40"/>
    <w:rsid w:val="00B46F8A"/>
    <w:rsid w:val="00B4701C"/>
    <w:rsid w:val="00B471FC"/>
    <w:rsid w:val="00B47459"/>
    <w:rsid w:val="00B47724"/>
    <w:rsid w:val="00B47985"/>
    <w:rsid w:val="00B47A33"/>
    <w:rsid w:val="00B47DCF"/>
    <w:rsid w:val="00B50162"/>
    <w:rsid w:val="00B50180"/>
    <w:rsid w:val="00B50319"/>
    <w:rsid w:val="00B515C7"/>
    <w:rsid w:val="00B518E5"/>
    <w:rsid w:val="00B51E9D"/>
    <w:rsid w:val="00B52697"/>
    <w:rsid w:val="00B52A48"/>
    <w:rsid w:val="00B538D0"/>
    <w:rsid w:val="00B53EB7"/>
    <w:rsid w:val="00B540F9"/>
    <w:rsid w:val="00B54A1F"/>
    <w:rsid w:val="00B54C83"/>
    <w:rsid w:val="00B55312"/>
    <w:rsid w:val="00B55A7E"/>
    <w:rsid w:val="00B56889"/>
    <w:rsid w:val="00B5739A"/>
    <w:rsid w:val="00B601AC"/>
    <w:rsid w:val="00B60FE3"/>
    <w:rsid w:val="00B61092"/>
    <w:rsid w:val="00B612DF"/>
    <w:rsid w:val="00B622EA"/>
    <w:rsid w:val="00B628C1"/>
    <w:rsid w:val="00B632D4"/>
    <w:rsid w:val="00B6334B"/>
    <w:rsid w:val="00B63B86"/>
    <w:rsid w:val="00B63CBF"/>
    <w:rsid w:val="00B641D1"/>
    <w:rsid w:val="00B6543F"/>
    <w:rsid w:val="00B66233"/>
    <w:rsid w:val="00B663CB"/>
    <w:rsid w:val="00B66440"/>
    <w:rsid w:val="00B664E9"/>
    <w:rsid w:val="00B667DF"/>
    <w:rsid w:val="00B6681A"/>
    <w:rsid w:val="00B6784A"/>
    <w:rsid w:val="00B70FF6"/>
    <w:rsid w:val="00B71504"/>
    <w:rsid w:val="00B71622"/>
    <w:rsid w:val="00B72ADE"/>
    <w:rsid w:val="00B733BC"/>
    <w:rsid w:val="00B73987"/>
    <w:rsid w:val="00B73F42"/>
    <w:rsid w:val="00B745AA"/>
    <w:rsid w:val="00B747E5"/>
    <w:rsid w:val="00B74CC6"/>
    <w:rsid w:val="00B74D10"/>
    <w:rsid w:val="00B75049"/>
    <w:rsid w:val="00B75067"/>
    <w:rsid w:val="00B75C6B"/>
    <w:rsid w:val="00B75EB7"/>
    <w:rsid w:val="00B765C4"/>
    <w:rsid w:val="00B769BE"/>
    <w:rsid w:val="00B76EDC"/>
    <w:rsid w:val="00B77B1B"/>
    <w:rsid w:val="00B80F55"/>
    <w:rsid w:val="00B81040"/>
    <w:rsid w:val="00B8104B"/>
    <w:rsid w:val="00B8111D"/>
    <w:rsid w:val="00B81335"/>
    <w:rsid w:val="00B81374"/>
    <w:rsid w:val="00B81B56"/>
    <w:rsid w:val="00B81F49"/>
    <w:rsid w:val="00B828D3"/>
    <w:rsid w:val="00B838A2"/>
    <w:rsid w:val="00B83ECE"/>
    <w:rsid w:val="00B83F61"/>
    <w:rsid w:val="00B847B1"/>
    <w:rsid w:val="00B84B0F"/>
    <w:rsid w:val="00B84D0B"/>
    <w:rsid w:val="00B85425"/>
    <w:rsid w:val="00B85F3A"/>
    <w:rsid w:val="00B860F7"/>
    <w:rsid w:val="00B8618F"/>
    <w:rsid w:val="00B86204"/>
    <w:rsid w:val="00B86E82"/>
    <w:rsid w:val="00B87236"/>
    <w:rsid w:val="00B87AEB"/>
    <w:rsid w:val="00B90EAE"/>
    <w:rsid w:val="00B911D1"/>
    <w:rsid w:val="00B9142B"/>
    <w:rsid w:val="00B91D75"/>
    <w:rsid w:val="00B92ECB"/>
    <w:rsid w:val="00B93109"/>
    <w:rsid w:val="00B93619"/>
    <w:rsid w:val="00B93A19"/>
    <w:rsid w:val="00B93FBF"/>
    <w:rsid w:val="00B94826"/>
    <w:rsid w:val="00B94848"/>
    <w:rsid w:val="00B94EA5"/>
    <w:rsid w:val="00B95405"/>
    <w:rsid w:val="00B955AA"/>
    <w:rsid w:val="00B956A4"/>
    <w:rsid w:val="00B96BDE"/>
    <w:rsid w:val="00B9752A"/>
    <w:rsid w:val="00B97994"/>
    <w:rsid w:val="00B97C4D"/>
    <w:rsid w:val="00BA06C1"/>
    <w:rsid w:val="00BA0879"/>
    <w:rsid w:val="00BA08EE"/>
    <w:rsid w:val="00BA0B46"/>
    <w:rsid w:val="00BA0CB5"/>
    <w:rsid w:val="00BA10AD"/>
    <w:rsid w:val="00BA1320"/>
    <w:rsid w:val="00BA1980"/>
    <w:rsid w:val="00BA298D"/>
    <w:rsid w:val="00BA3F1D"/>
    <w:rsid w:val="00BA3FE2"/>
    <w:rsid w:val="00BA437C"/>
    <w:rsid w:val="00BA47A1"/>
    <w:rsid w:val="00BA514F"/>
    <w:rsid w:val="00BA5418"/>
    <w:rsid w:val="00BA5ED2"/>
    <w:rsid w:val="00BA61DB"/>
    <w:rsid w:val="00BA6291"/>
    <w:rsid w:val="00BA6859"/>
    <w:rsid w:val="00BA6B6B"/>
    <w:rsid w:val="00BA7B6C"/>
    <w:rsid w:val="00BB0144"/>
    <w:rsid w:val="00BB068A"/>
    <w:rsid w:val="00BB0A01"/>
    <w:rsid w:val="00BB0D90"/>
    <w:rsid w:val="00BB11FC"/>
    <w:rsid w:val="00BB2252"/>
    <w:rsid w:val="00BB2794"/>
    <w:rsid w:val="00BB2A2D"/>
    <w:rsid w:val="00BB2A91"/>
    <w:rsid w:val="00BB2BB5"/>
    <w:rsid w:val="00BB30F8"/>
    <w:rsid w:val="00BB3159"/>
    <w:rsid w:val="00BB3A20"/>
    <w:rsid w:val="00BB61B8"/>
    <w:rsid w:val="00BB6DED"/>
    <w:rsid w:val="00BB747B"/>
    <w:rsid w:val="00BB7D93"/>
    <w:rsid w:val="00BB7E7E"/>
    <w:rsid w:val="00BC0A64"/>
    <w:rsid w:val="00BC16A4"/>
    <w:rsid w:val="00BC179A"/>
    <w:rsid w:val="00BC246F"/>
    <w:rsid w:val="00BC2551"/>
    <w:rsid w:val="00BC2E16"/>
    <w:rsid w:val="00BC32F5"/>
    <w:rsid w:val="00BC33FA"/>
    <w:rsid w:val="00BC3C8F"/>
    <w:rsid w:val="00BC5733"/>
    <w:rsid w:val="00BD006C"/>
    <w:rsid w:val="00BD0286"/>
    <w:rsid w:val="00BD05E5"/>
    <w:rsid w:val="00BD07DD"/>
    <w:rsid w:val="00BD14B8"/>
    <w:rsid w:val="00BD1510"/>
    <w:rsid w:val="00BD2010"/>
    <w:rsid w:val="00BD3339"/>
    <w:rsid w:val="00BD338A"/>
    <w:rsid w:val="00BD34E0"/>
    <w:rsid w:val="00BD44D5"/>
    <w:rsid w:val="00BD46EF"/>
    <w:rsid w:val="00BD4D95"/>
    <w:rsid w:val="00BD50D4"/>
    <w:rsid w:val="00BD5192"/>
    <w:rsid w:val="00BD5B37"/>
    <w:rsid w:val="00BD7554"/>
    <w:rsid w:val="00BE0206"/>
    <w:rsid w:val="00BE1ED6"/>
    <w:rsid w:val="00BE2FA7"/>
    <w:rsid w:val="00BE3332"/>
    <w:rsid w:val="00BE3CF1"/>
    <w:rsid w:val="00BE46A2"/>
    <w:rsid w:val="00BE568F"/>
    <w:rsid w:val="00BE5828"/>
    <w:rsid w:val="00BE5CC8"/>
    <w:rsid w:val="00BE62CB"/>
    <w:rsid w:val="00BE64DF"/>
    <w:rsid w:val="00BE6D30"/>
    <w:rsid w:val="00BF00FA"/>
    <w:rsid w:val="00BF09E6"/>
    <w:rsid w:val="00BF0A24"/>
    <w:rsid w:val="00BF0B89"/>
    <w:rsid w:val="00BF0D85"/>
    <w:rsid w:val="00BF10FB"/>
    <w:rsid w:val="00BF1590"/>
    <w:rsid w:val="00BF16EE"/>
    <w:rsid w:val="00BF17C6"/>
    <w:rsid w:val="00BF2154"/>
    <w:rsid w:val="00BF271F"/>
    <w:rsid w:val="00BF2A93"/>
    <w:rsid w:val="00BF2F6A"/>
    <w:rsid w:val="00BF3361"/>
    <w:rsid w:val="00BF34D1"/>
    <w:rsid w:val="00BF3AC4"/>
    <w:rsid w:val="00BF408E"/>
    <w:rsid w:val="00BF4A8E"/>
    <w:rsid w:val="00BF54DF"/>
    <w:rsid w:val="00BF5719"/>
    <w:rsid w:val="00BF57FB"/>
    <w:rsid w:val="00BF5C5A"/>
    <w:rsid w:val="00BF5FC6"/>
    <w:rsid w:val="00BF6EE2"/>
    <w:rsid w:val="00BF70D9"/>
    <w:rsid w:val="00C00645"/>
    <w:rsid w:val="00C00EC3"/>
    <w:rsid w:val="00C016AE"/>
    <w:rsid w:val="00C036EB"/>
    <w:rsid w:val="00C03738"/>
    <w:rsid w:val="00C03F9B"/>
    <w:rsid w:val="00C049B6"/>
    <w:rsid w:val="00C04C91"/>
    <w:rsid w:val="00C04D5C"/>
    <w:rsid w:val="00C04E5B"/>
    <w:rsid w:val="00C05340"/>
    <w:rsid w:val="00C05411"/>
    <w:rsid w:val="00C05639"/>
    <w:rsid w:val="00C05DA6"/>
    <w:rsid w:val="00C063FC"/>
    <w:rsid w:val="00C06CD7"/>
    <w:rsid w:val="00C06D89"/>
    <w:rsid w:val="00C076B7"/>
    <w:rsid w:val="00C07FC3"/>
    <w:rsid w:val="00C1058B"/>
    <w:rsid w:val="00C1076F"/>
    <w:rsid w:val="00C1097C"/>
    <w:rsid w:val="00C117BD"/>
    <w:rsid w:val="00C11CF6"/>
    <w:rsid w:val="00C122AB"/>
    <w:rsid w:val="00C12EC8"/>
    <w:rsid w:val="00C13909"/>
    <w:rsid w:val="00C13BF2"/>
    <w:rsid w:val="00C13D2D"/>
    <w:rsid w:val="00C14974"/>
    <w:rsid w:val="00C15592"/>
    <w:rsid w:val="00C15A3A"/>
    <w:rsid w:val="00C15B66"/>
    <w:rsid w:val="00C15F0A"/>
    <w:rsid w:val="00C1645E"/>
    <w:rsid w:val="00C170CF"/>
    <w:rsid w:val="00C17388"/>
    <w:rsid w:val="00C1797D"/>
    <w:rsid w:val="00C17E37"/>
    <w:rsid w:val="00C17E46"/>
    <w:rsid w:val="00C208F0"/>
    <w:rsid w:val="00C22D26"/>
    <w:rsid w:val="00C235AD"/>
    <w:rsid w:val="00C2386B"/>
    <w:rsid w:val="00C23999"/>
    <w:rsid w:val="00C24103"/>
    <w:rsid w:val="00C24CE5"/>
    <w:rsid w:val="00C25741"/>
    <w:rsid w:val="00C271E8"/>
    <w:rsid w:val="00C2796B"/>
    <w:rsid w:val="00C27E25"/>
    <w:rsid w:val="00C300E7"/>
    <w:rsid w:val="00C3050F"/>
    <w:rsid w:val="00C31D90"/>
    <w:rsid w:val="00C322AE"/>
    <w:rsid w:val="00C32992"/>
    <w:rsid w:val="00C32EE8"/>
    <w:rsid w:val="00C33128"/>
    <w:rsid w:val="00C354CB"/>
    <w:rsid w:val="00C3581E"/>
    <w:rsid w:val="00C35BD5"/>
    <w:rsid w:val="00C36A7F"/>
    <w:rsid w:val="00C37280"/>
    <w:rsid w:val="00C37478"/>
    <w:rsid w:val="00C374CA"/>
    <w:rsid w:val="00C404E1"/>
    <w:rsid w:val="00C408C9"/>
    <w:rsid w:val="00C41B00"/>
    <w:rsid w:val="00C41C38"/>
    <w:rsid w:val="00C41D76"/>
    <w:rsid w:val="00C426F4"/>
    <w:rsid w:val="00C43906"/>
    <w:rsid w:val="00C4478B"/>
    <w:rsid w:val="00C44C51"/>
    <w:rsid w:val="00C44D17"/>
    <w:rsid w:val="00C45350"/>
    <w:rsid w:val="00C45B76"/>
    <w:rsid w:val="00C461C9"/>
    <w:rsid w:val="00C46939"/>
    <w:rsid w:val="00C46B51"/>
    <w:rsid w:val="00C507F0"/>
    <w:rsid w:val="00C5081A"/>
    <w:rsid w:val="00C513CC"/>
    <w:rsid w:val="00C5192E"/>
    <w:rsid w:val="00C51F7F"/>
    <w:rsid w:val="00C520D7"/>
    <w:rsid w:val="00C531A0"/>
    <w:rsid w:val="00C532FA"/>
    <w:rsid w:val="00C53765"/>
    <w:rsid w:val="00C53C4E"/>
    <w:rsid w:val="00C54403"/>
    <w:rsid w:val="00C54F0A"/>
    <w:rsid w:val="00C56411"/>
    <w:rsid w:val="00C56A3A"/>
    <w:rsid w:val="00C56A8C"/>
    <w:rsid w:val="00C576A8"/>
    <w:rsid w:val="00C57B03"/>
    <w:rsid w:val="00C57C8D"/>
    <w:rsid w:val="00C6016B"/>
    <w:rsid w:val="00C6078F"/>
    <w:rsid w:val="00C6099D"/>
    <w:rsid w:val="00C60C52"/>
    <w:rsid w:val="00C60EEE"/>
    <w:rsid w:val="00C61D6B"/>
    <w:rsid w:val="00C62187"/>
    <w:rsid w:val="00C6239D"/>
    <w:rsid w:val="00C62655"/>
    <w:rsid w:val="00C62FCB"/>
    <w:rsid w:val="00C62FF1"/>
    <w:rsid w:val="00C631C6"/>
    <w:rsid w:val="00C634BE"/>
    <w:rsid w:val="00C63CB1"/>
    <w:rsid w:val="00C64833"/>
    <w:rsid w:val="00C700F3"/>
    <w:rsid w:val="00C70A94"/>
    <w:rsid w:val="00C7180F"/>
    <w:rsid w:val="00C71BED"/>
    <w:rsid w:val="00C72610"/>
    <w:rsid w:val="00C72D58"/>
    <w:rsid w:val="00C7330C"/>
    <w:rsid w:val="00C73998"/>
    <w:rsid w:val="00C73ADA"/>
    <w:rsid w:val="00C7505F"/>
    <w:rsid w:val="00C7551A"/>
    <w:rsid w:val="00C76E61"/>
    <w:rsid w:val="00C7703E"/>
    <w:rsid w:val="00C770D1"/>
    <w:rsid w:val="00C80D93"/>
    <w:rsid w:val="00C816B7"/>
    <w:rsid w:val="00C81D0A"/>
    <w:rsid w:val="00C82073"/>
    <w:rsid w:val="00C83CBC"/>
    <w:rsid w:val="00C8468F"/>
    <w:rsid w:val="00C84E9D"/>
    <w:rsid w:val="00C85058"/>
    <w:rsid w:val="00C86FF2"/>
    <w:rsid w:val="00C87F94"/>
    <w:rsid w:val="00C909D4"/>
    <w:rsid w:val="00C90D95"/>
    <w:rsid w:val="00C917FC"/>
    <w:rsid w:val="00C9197A"/>
    <w:rsid w:val="00C92D4C"/>
    <w:rsid w:val="00C92DCB"/>
    <w:rsid w:val="00C930A5"/>
    <w:rsid w:val="00C9310F"/>
    <w:rsid w:val="00C93C81"/>
    <w:rsid w:val="00C943E1"/>
    <w:rsid w:val="00C95058"/>
    <w:rsid w:val="00C954E4"/>
    <w:rsid w:val="00C955C5"/>
    <w:rsid w:val="00C96099"/>
    <w:rsid w:val="00C965E1"/>
    <w:rsid w:val="00C96698"/>
    <w:rsid w:val="00C966CA"/>
    <w:rsid w:val="00C9683C"/>
    <w:rsid w:val="00C97389"/>
    <w:rsid w:val="00CA17C7"/>
    <w:rsid w:val="00CA1B7F"/>
    <w:rsid w:val="00CA1BB3"/>
    <w:rsid w:val="00CA2AB5"/>
    <w:rsid w:val="00CA4795"/>
    <w:rsid w:val="00CA4B94"/>
    <w:rsid w:val="00CA60C6"/>
    <w:rsid w:val="00CA6E74"/>
    <w:rsid w:val="00CA6F93"/>
    <w:rsid w:val="00CA7028"/>
    <w:rsid w:val="00CB00A3"/>
    <w:rsid w:val="00CB0A2A"/>
    <w:rsid w:val="00CB1388"/>
    <w:rsid w:val="00CB1701"/>
    <w:rsid w:val="00CB1DF4"/>
    <w:rsid w:val="00CB2396"/>
    <w:rsid w:val="00CB3820"/>
    <w:rsid w:val="00CB4100"/>
    <w:rsid w:val="00CB43F1"/>
    <w:rsid w:val="00CB45FD"/>
    <w:rsid w:val="00CB508E"/>
    <w:rsid w:val="00CB524F"/>
    <w:rsid w:val="00CB6C7C"/>
    <w:rsid w:val="00CB6D64"/>
    <w:rsid w:val="00CB76BB"/>
    <w:rsid w:val="00CC050F"/>
    <w:rsid w:val="00CC13CE"/>
    <w:rsid w:val="00CC1444"/>
    <w:rsid w:val="00CC1DF6"/>
    <w:rsid w:val="00CC2997"/>
    <w:rsid w:val="00CC4DF6"/>
    <w:rsid w:val="00CC5F22"/>
    <w:rsid w:val="00CC62A0"/>
    <w:rsid w:val="00CC68C9"/>
    <w:rsid w:val="00CC69CE"/>
    <w:rsid w:val="00CC6CDB"/>
    <w:rsid w:val="00CC6FC7"/>
    <w:rsid w:val="00CD002A"/>
    <w:rsid w:val="00CD0A75"/>
    <w:rsid w:val="00CD0EE7"/>
    <w:rsid w:val="00CD1061"/>
    <w:rsid w:val="00CD260E"/>
    <w:rsid w:val="00CD2B71"/>
    <w:rsid w:val="00CD30A6"/>
    <w:rsid w:val="00CD49CB"/>
    <w:rsid w:val="00CD4E4A"/>
    <w:rsid w:val="00CD5238"/>
    <w:rsid w:val="00CD56D9"/>
    <w:rsid w:val="00CD57DB"/>
    <w:rsid w:val="00CD5EB0"/>
    <w:rsid w:val="00CD7554"/>
    <w:rsid w:val="00CD7DC0"/>
    <w:rsid w:val="00CE169A"/>
    <w:rsid w:val="00CE1A22"/>
    <w:rsid w:val="00CE206F"/>
    <w:rsid w:val="00CE23E0"/>
    <w:rsid w:val="00CE25B9"/>
    <w:rsid w:val="00CE347D"/>
    <w:rsid w:val="00CE3713"/>
    <w:rsid w:val="00CE3824"/>
    <w:rsid w:val="00CE3C2A"/>
    <w:rsid w:val="00CE485D"/>
    <w:rsid w:val="00CE5343"/>
    <w:rsid w:val="00CE53E5"/>
    <w:rsid w:val="00CE557C"/>
    <w:rsid w:val="00CE5710"/>
    <w:rsid w:val="00CE5C15"/>
    <w:rsid w:val="00CE5CFE"/>
    <w:rsid w:val="00CE75C8"/>
    <w:rsid w:val="00CF05B4"/>
    <w:rsid w:val="00CF0D99"/>
    <w:rsid w:val="00CF1354"/>
    <w:rsid w:val="00CF31AA"/>
    <w:rsid w:val="00CF340B"/>
    <w:rsid w:val="00CF3703"/>
    <w:rsid w:val="00CF3891"/>
    <w:rsid w:val="00CF3A38"/>
    <w:rsid w:val="00CF40AE"/>
    <w:rsid w:val="00CF45E8"/>
    <w:rsid w:val="00CF4DEE"/>
    <w:rsid w:val="00CF526A"/>
    <w:rsid w:val="00CF5BE9"/>
    <w:rsid w:val="00CF5E7F"/>
    <w:rsid w:val="00CF6E09"/>
    <w:rsid w:val="00CF7137"/>
    <w:rsid w:val="00CF758E"/>
    <w:rsid w:val="00CF764A"/>
    <w:rsid w:val="00CF7EC6"/>
    <w:rsid w:val="00D0022F"/>
    <w:rsid w:val="00D00716"/>
    <w:rsid w:val="00D010DA"/>
    <w:rsid w:val="00D01339"/>
    <w:rsid w:val="00D01DD0"/>
    <w:rsid w:val="00D025D8"/>
    <w:rsid w:val="00D026B1"/>
    <w:rsid w:val="00D03E15"/>
    <w:rsid w:val="00D04D6E"/>
    <w:rsid w:val="00D04E01"/>
    <w:rsid w:val="00D06D29"/>
    <w:rsid w:val="00D07672"/>
    <w:rsid w:val="00D07A6B"/>
    <w:rsid w:val="00D10432"/>
    <w:rsid w:val="00D1045A"/>
    <w:rsid w:val="00D115B5"/>
    <w:rsid w:val="00D127A0"/>
    <w:rsid w:val="00D12A31"/>
    <w:rsid w:val="00D12D2F"/>
    <w:rsid w:val="00D13BA0"/>
    <w:rsid w:val="00D13E48"/>
    <w:rsid w:val="00D14507"/>
    <w:rsid w:val="00D146D8"/>
    <w:rsid w:val="00D14962"/>
    <w:rsid w:val="00D151D8"/>
    <w:rsid w:val="00D15AE1"/>
    <w:rsid w:val="00D15C06"/>
    <w:rsid w:val="00D15DBF"/>
    <w:rsid w:val="00D15F85"/>
    <w:rsid w:val="00D16164"/>
    <w:rsid w:val="00D16387"/>
    <w:rsid w:val="00D1743A"/>
    <w:rsid w:val="00D200C7"/>
    <w:rsid w:val="00D204AE"/>
    <w:rsid w:val="00D21D1F"/>
    <w:rsid w:val="00D22263"/>
    <w:rsid w:val="00D22A40"/>
    <w:rsid w:val="00D22AA1"/>
    <w:rsid w:val="00D22B15"/>
    <w:rsid w:val="00D23B99"/>
    <w:rsid w:val="00D241D5"/>
    <w:rsid w:val="00D249BD"/>
    <w:rsid w:val="00D252F7"/>
    <w:rsid w:val="00D25596"/>
    <w:rsid w:val="00D26241"/>
    <w:rsid w:val="00D268BF"/>
    <w:rsid w:val="00D26ADD"/>
    <w:rsid w:val="00D27689"/>
    <w:rsid w:val="00D30E96"/>
    <w:rsid w:val="00D31280"/>
    <w:rsid w:val="00D3266C"/>
    <w:rsid w:val="00D32E3C"/>
    <w:rsid w:val="00D34125"/>
    <w:rsid w:val="00D34D81"/>
    <w:rsid w:val="00D34F7C"/>
    <w:rsid w:val="00D35616"/>
    <w:rsid w:val="00D35763"/>
    <w:rsid w:val="00D35947"/>
    <w:rsid w:val="00D35B91"/>
    <w:rsid w:val="00D35FF7"/>
    <w:rsid w:val="00D3634C"/>
    <w:rsid w:val="00D37683"/>
    <w:rsid w:val="00D40454"/>
    <w:rsid w:val="00D408EB"/>
    <w:rsid w:val="00D4094C"/>
    <w:rsid w:val="00D40FB8"/>
    <w:rsid w:val="00D41075"/>
    <w:rsid w:val="00D4138C"/>
    <w:rsid w:val="00D4176E"/>
    <w:rsid w:val="00D41D81"/>
    <w:rsid w:val="00D41F00"/>
    <w:rsid w:val="00D424C6"/>
    <w:rsid w:val="00D4352C"/>
    <w:rsid w:val="00D4542C"/>
    <w:rsid w:val="00D45796"/>
    <w:rsid w:val="00D45B12"/>
    <w:rsid w:val="00D45F6F"/>
    <w:rsid w:val="00D46120"/>
    <w:rsid w:val="00D46953"/>
    <w:rsid w:val="00D4757C"/>
    <w:rsid w:val="00D47A02"/>
    <w:rsid w:val="00D47D5A"/>
    <w:rsid w:val="00D513E0"/>
    <w:rsid w:val="00D51768"/>
    <w:rsid w:val="00D51B2D"/>
    <w:rsid w:val="00D52393"/>
    <w:rsid w:val="00D53339"/>
    <w:rsid w:val="00D533DE"/>
    <w:rsid w:val="00D5410B"/>
    <w:rsid w:val="00D54207"/>
    <w:rsid w:val="00D544FC"/>
    <w:rsid w:val="00D54BD3"/>
    <w:rsid w:val="00D5578B"/>
    <w:rsid w:val="00D55C32"/>
    <w:rsid w:val="00D5617B"/>
    <w:rsid w:val="00D601E3"/>
    <w:rsid w:val="00D60459"/>
    <w:rsid w:val="00D60522"/>
    <w:rsid w:val="00D60E3A"/>
    <w:rsid w:val="00D61BBE"/>
    <w:rsid w:val="00D62198"/>
    <w:rsid w:val="00D6303F"/>
    <w:rsid w:val="00D639DD"/>
    <w:rsid w:val="00D63DE0"/>
    <w:rsid w:val="00D63DF8"/>
    <w:rsid w:val="00D63FCE"/>
    <w:rsid w:val="00D641F8"/>
    <w:rsid w:val="00D6499F"/>
    <w:rsid w:val="00D652FB"/>
    <w:rsid w:val="00D65974"/>
    <w:rsid w:val="00D65D06"/>
    <w:rsid w:val="00D660DD"/>
    <w:rsid w:val="00D676EB"/>
    <w:rsid w:val="00D708BD"/>
    <w:rsid w:val="00D71B12"/>
    <w:rsid w:val="00D726E5"/>
    <w:rsid w:val="00D72CA9"/>
    <w:rsid w:val="00D73F4D"/>
    <w:rsid w:val="00D73FCC"/>
    <w:rsid w:val="00D7446A"/>
    <w:rsid w:val="00D74C36"/>
    <w:rsid w:val="00D74C44"/>
    <w:rsid w:val="00D74DCA"/>
    <w:rsid w:val="00D756DA"/>
    <w:rsid w:val="00D75C49"/>
    <w:rsid w:val="00D76027"/>
    <w:rsid w:val="00D76C9E"/>
    <w:rsid w:val="00D7726C"/>
    <w:rsid w:val="00D7751A"/>
    <w:rsid w:val="00D77725"/>
    <w:rsid w:val="00D7793D"/>
    <w:rsid w:val="00D7798A"/>
    <w:rsid w:val="00D77993"/>
    <w:rsid w:val="00D77BFD"/>
    <w:rsid w:val="00D77BFF"/>
    <w:rsid w:val="00D80BF9"/>
    <w:rsid w:val="00D80EF6"/>
    <w:rsid w:val="00D8139B"/>
    <w:rsid w:val="00D817C7"/>
    <w:rsid w:val="00D819D8"/>
    <w:rsid w:val="00D82A39"/>
    <w:rsid w:val="00D82B87"/>
    <w:rsid w:val="00D82E3A"/>
    <w:rsid w:val="00D83583"/>
    <w:rsid w:val="00D839D6"/>
    <w:rsid w:val="00D84406"/>
    <w:rsid w:val="00D85B03"/>
    <w:rsid w:val="00D85EAC"/>
    <w:rsid w:val="00D862A9"/>
    <w:rsid w:val="00D86698"/>
    <w:rsid w:val="00D86D94"/>
    <w:rsid w:val="00D90F5F"/>
    <w:rsid w:val="00D9147E"/>
    <w:rsid w:val="00D916DB"/>
    <w:rsid w:val="00D91CA9"/>
    <w:rsid w:val="00D91EE7"/>
    <w:rsid w:val="00D924AA"/>
    <w:rsid w:val="00D926B6"/>
    <w:rsid w:val="00D93613"/>
    <w:rsid w:val="00D93B07"/>
    <w:rsid w:val="00D93F91"/>
    <w:rsid w:val="00D95FE7"/>
    <w:rsid w:val="00D96250"/>
    <w:rsid w:val="00D97737"/>
    <w:rsid w:val="00D9791E"/>
    <w:rsid w:val="00D97AD9"/>
    <w:rsid w:val="00DA041E"/>
    <w:rsid w:val="00DA0A0A"/>
    <w:rsid w:val="00DA1194"/>
    <w:rsid w:val="00DA201F"/>
    <w:rsid w:val="00DA20FD"/>
    <w:rsid w:val="00DA28A7"/>
    <w:rsid w:val="00DA299C"/>
    <w:rsid w:val="00DA30B3"/>
    <w:rsid w:val="00DA3264"/>
    <w:rsid w:val="00DA33DE"/>
    <w:rsid w:val="00DA3E80"/>
    <w:rsid w:val="00DA4746"/>
    <w:rsid w:val="00DA58AC"/>
    <w:rsid w:val="00DA5D55"/>
    <w:rsid w:val="00DA5E67"/>
    <w:rsid w:val="00DA62BF"/>
    <w:rsid w:val="00DA720D"/>
    <w:rsid w:val="00DA7364"/>
    <w:rsid w:val="00DA7CA8"/>
    <w:rsid w:val="00DB0F12"/>
    <w:rsid w:val="00DB1203"/>
    <w:rsid w:val="00DB16CC"/>
    <w:rsid w:val="00DB1C2F"/>
    <w:rsid w:val="00DB235A"/>
    <w:rsid w:val="00DB3E78"/>
    <w:rsid w:val="00DB477D"/>
    <w:rsid w:val="00DB5225"/>
    <w:rsid w:val="00DB548E"/>
    <w:rsid w:val="00DB56ED"/>
    <w:rsid w:val="00DB5B4E"/>
    <w:rsid w:val="00DB60B3"/>
    <w:rsid w:val="00DB6635"/>
    <w:rsid w:val="00DB6805"/>
    <w:rsid w:val="00DB77AD"/>
    <w:rsid w:val="00DB7C99"/>
    <w:rsid w:val="00DC13F3"/>
    <w:rsid w:val="00DC19F3"/>
    <w:rsid w:val="00DC1AE8"/>
    <w:rsid w:val="00DC27D2"/>
    <w:rsid w:val="00DC2A86"/>
    <w:rsid w:val="00DC2AB3"/>
    <w:rsid w:val="00DC39DB"/>
    <w:rsid w:val="00DC3F92"/>
    <w:rsid w:val="00DC561D"/>
    <w:rsid w:val="00DC5BA7"/>
    <w:rsid w:val="00DC790B"/>
    <w:rsid w:val="00DC7A4D"/>
    <w:rsid w:val="00DD051C"/>
    <w:rsid w:val="00DD0530"/>
    <w:rsid w:val="00DD12F8"/>
    <w:rsid w:val="00DD1D14"/>
    <w:rsid w:val="00DD2102"/>
    <w:rsid w:val="00DD2738"/>
    <w:rsid w:val="00DD2E29"/>
    <w:rsid w:val="00DD30C5"/>
    <w:rsid w:val="00DD30F0"/>
    <w:rsid w:val="00DD373B"/>
    <w:rsid w:val="00DD3EC6"/>
    <w:rsid w:val="00DD4571"/>
    <w:rsid w:val="00DD46F0"/>
    <w:rsid w:val="00DD56B6"/>
    <w:rsid w:val="00DD58D8"/>
    <w:rsid w:val="00DD5D7F"/>
    <w:rsid w:val="00DD73D4"/>
    <w:rsid w:val="00DD7AD7"/>
    <w:rsid w:val="00DE02DA"/>
    <w:rsid w:val="00DE1649"/>
    <w:rsid w:val="00DE16B2"/>
    <w:rsid w:val="00DE1B1F"/>
    <w:rsid w:val="00DE1DB6"/>
    <w:rsid w:val="00DE2385"/>
    <w:rsid w:val="00DE25ED"/>
    <w:rsid w:val="00DE311C"/>
    <w:rsid w:val="00DE34EB"/>
    <w:rsid w:val="00DE385E"/>
    <w:rsid w:val="00DE3F2C"/>
    <w:rsid w:val="00DE46AC"/>
    <w:rsid w:val="00DE4BFD"/>
    <w:rsid w:val="00DE4F45"/>
    <w:rsid w:val="00DE5848"/>
    <w:rsid w:val="00DE5AAD"/>
    <w:rsid w:val="00DE63D2"/>
    <w:rsid w:val="00DE6536"/>
    <w:rsid w:val="00DE66A3"/>
    <w:rsid w:val="00DE6871"/>
    <w:rsid w:val="00DE6C7F"/>
    <w:rsid w:val="00DF04BF"/>
    <w:rsid w:val="00DF083E"/>
    <w:rsid w:val="00DF0BB2"/>
    <w:rsid w:val="00DF0D12"/>
    <w:rsid w:val="00DF0DCD"/>
    <w:rsid w:val="00DF1D14"/>
    <w:rsid w:val="00DF224C"/>
    <w:rsid w:val="00DF2E6F"/>
    <w:rsid w:val="00DF3B3C"/>
    <w:rsid w:val="00DF4085"/>
    <w:rsid w:val="00DF4403"/>
    <w:rsid w:val="00DF46AC"/>
    <w:rsid w:val="00DF4E02"/>
    <w:rsid w:val="00DF510E"/>
    <w:rsid w:val="00DF59E2"/>
    <w:rsid w:val="00DF6002"/>
    <w:rsid w:val="00DF7528"/>
    <w:rsid w:val="00DF7EE6"/>
    <w:rsid w:val="00E00372"/>
    <w:rsid w:val="00E00560"/>
    <w:rsid w:val="00E0071F"/>
    <w:rsid w:val="00E00E45"/>
    <w:rsid w:val="00E01477"/>
    <w:rsid w:val="00E01FFE"/>
    <w:rsid w:val="00E03B33"/>
    <w:rsid w:val="00E03C8A"/>
    <w:rsid w:val="00E03EBC"/>
    <w:rsid w:val="00E03F4F"/>
    <w:rsid w:val="00E042EA"/>
    <w:rsid w:val="00E06155"/>
    <w:rsid w:val="00E06BCB"/>
    <w:rsid w:val="00E06D34"/>
    <w:rsid w:val="00E077C2"/>
    <w:rsid w:val="00E07B7A"/>
    <w:rsid w:val="00E1041A"/>
    <w:rsid w:val="00E10EA3"/>
    <w:rsid w:val="00E110CD"/>
    <w:rsid w:val="00E11F57"/>
    <w:rsid w:val="00E11FCF"/>
    <w:rsid w:val="00E12273"/>
    <w:rsid w:val="00E12AEC"/>
    <w:rsid w:val="00E151AA"/>
    <w:rsid w:val="00E16256"/>
    <w:rsid w:val="00E16995"/>
    <w:rsid w:val="00E171D1"/>
    <w:rsid w:val="00E17358"/>
    <w:rsid w:val="00E20D53"/>
    <w:rsid w:val="00E2144C"/>
    <w:rsid w:val="00E215AA"/>
    <w:rsid w:val="00E21869"/>
    <w:rsid w:val="00E2249C"/>
    <w:rsid w:val="00E228BE"/>
    <w:rsid w:val="00E22A01"/>
    <w:rsid w:val="00E235FF"/>
    <w:rsid w:val="00E23702"/>
    <w:rsid w:val="00E23DA7"/>
    <w:rsid w:val="00E24233"/>
    <w:rsid w:val="00E24BD3"/>
    <w:rsid w:val="00E2505E"/>
    <w:rsid w:val="00E25894"/>
    <w:rsid w:val="00E2616F"/>
    <w:rsid w:val="00E2637C"/>
    <w:rsid w:val="00E26509"/>
    <w:rsid w:val="00E26F8F"/>
    <w:rsid w:val="00E272C2"/>
    <w:rsid w:val="00E27E9C"/>
    <w:rsid w:val="00E31B0B"/>
    <w:rsid w:val="00E31EA0"/>
    <w:rsid w:val="00E32DFF"/>
    <w:rsid w:val="00E33104"/>
    <w:rsid w:val="00E33668"/>
    <w:rsid w:val="00E3369C"/>
    <w:rsid w:val="00E33802"/>
    <w:rsid w:val="00E33DBE"/>
    <w:rsid w:val="00E33FA1"/>
    <w:rsid w:val="00E3496A"/>
    <w:rsid w:val="00E349A2"/>
    <w:rsid w:val="00E34F01"/>
    <w:rsid w:val="00E357FD"/>
    <w:rsid w:val="00E35A4C"/>
    <w:rsid w:val="00E35CB7"/>
    <w:rsid w:val="00E372D3"/>
    <w:rsid w:val="00E37891"/>
    <w:rsid w:val="00E37FD8"/>
    <w:rsid w:val="00E4107C"/>
    <w:rsid w:val="00E41EEB"/>
    <w:rsid w:val="00E426A9"/>
    <w:rsid w:val="00E42C50"/>
    <w:rsid w:val="00E42D7F"/>
    <w:rsid w:val="00E42E30"/>
    <w:rsid w:val="00E4381A"/>
    <w:rsid w:val="00E44040"/>
    <w:rsid w:val="00E44FE8"/>
    <w:rsid w:val="00E46069"/>
    <w:rsid w:val="00E46F29"/>
    <w:rsid w:val="00E46F4B"/>
    <w:rsid w:val="00E47022"/>
    <w:rsid w:val="00E4725A"/>
    <w:rsid w:val="00E47741"/>
    <w:rsid w:val="00E477AA"/>
    <w:rsid w:val="00E47CC1"/>
    <w:rsid w:val="00E500A7"/>
    <w:rsid w:val="00E50621"/>
    <w:rsid w:val="00E52124"/>
    <w:rsid w:val="00E526B2"/>
    <w:rsid w:val="00E5387B"/>
    <w:rsid w:val="00E53B26"/>
    <w:rsid w:val="00E5439C"/>
    <w:rsid w:val="00E55043"/>
    <w:rsid w:val="00E559ED"/>
    <w:rsid w:val="00E55DF6"/>
    <w:rsid w:val="00E55F6A"/>
    <w:rsid w:val="00E55F96"/>
    <w:rsid w:val="00E561D6"/>
    <w:rsid w:val="00E56B3E"/>
    <w:rsid w:val="00E56D4D"/>
    <w:rsid w:val="00E57BAA"/>
    <w:rsid w:val="00E60134"/>
    <w:rsid w:val="00E6035F"/>
    <w:rsid w:val="00E61570"/>
    <w:rsid w:val="00E62536"/>
    <w:rsid w:val="00E6279E"/>
    <w:rsid w:val="00E62A87"/>
    <w:rsid w:val="00E62BBA"/>
    <w:rsid w:val="00E634E3"/>
    <w:rsid w:val="00E63716"/>
    <w:rsid w:val="00E63862"/>
    <w:rsid w:val="00E6396A"/>
    <w:rsid w:val="00E63BB1"/>
    <w:rsid w:val="00E654BC"/>
    <w:rsid w:val="00E656FB"/>
    <w:rsid w:val="00E65E8E"/>
    <w:rsid w:val="00E6607E"/>
    <w:rsid w:val="00E660F6"/>
    <w:rsid w:val="00E6669E"/>
    <w:rsid w:val="00E66F02"/>
    <w:rsid w:val="00E6712D"/>
    <w:rsid w:val="00E67F1B"/>
    <w:rsid w:val="00E70355"/>
    <w:rsid w:val="00E70DEF"/>
    <w:rsid w:val="00E71D8A"/>
    <w:rsid w:val="00E7294C"/>
    <w:rsid w:val="00E73023"/>
    <w:rsid w:val="00E732E1"/>
    <w:rsid w:val="00E73917"/>
    <w:rsid w:val="00E73A7E"/>
    <w:rsid w:val="00E73C27"/>
    <w:rsid w:val="00E73E0C"/>
    <w:rsid w:val="00E75436"/>
    <w:rsid w:val="00E76870"/>
    <w:rsid w:val="00E7699B"/>
    <w:rsid w:val="00E769EC"/>
    <w:rsid w:val="00E76B4C"/>
    <w:rsid w:val="00E77CAC"/>
    <w:rsid w:val="00E80545"/>
    <w:rsid w:val="00E817F9"/>
    <w:rsid w:val="00E81804"/>
    <w:rsid w:val="00E81B94"/>
    <w:rsid w:val="00E81C8A"/>
    <w:rsid w:val="00E82840"/>
    <w:rsid w:val="00E83009"/>
    <w:rsid w:val="00E833E8"/>
    <w:rsid w:val="00E83644"/>
    <w:rsid w:val="00E83867"/>
    <w:rsid w:val="00E83B95"/>
    <w:rsid w:val="00E841A8"/>
    <w:rsid w:val="00E84B17"/>
    <w:rsid w:val="00E85419"/>
    <w:rsid w:val="00E8542B"/>
    <w:rsid w:val="00E85516"/>
    <w:rsid w:val="00E85E3D"/>
    <w:rsid w:val="00E86A41"/>
    <w:rsid w:val="00E878C9"/>
    <w:rsid w:val="00E9032B"/>
    <w:rsid w:val="00E9294C"/>
    <w:rsid w:val="00E92BE8"/>
    <w:rsid w:val="00E92C30"/>
    <w:rsid w:val="00E92D8E"/>
    <w:rsid w:val="00E92F26"/>
    <w:rsid w:val="00E936BE"/>
    <w:rsid w:val="00E93D0C"/>
    <w:rsid w:val="00E94686"/>
    <w:rsid w:val="00E9482B"/>
    <w:rsid w:val="00E94F1E"/>
    <w:rsid w:val="00E94FD5"/>
    <w:rsid w:val="00E963B2"/>
    <w:rsid w:val="00E965B9"/>
    <w:rsid w:val="00E9678D"/>
    <w:rsid w:val="00E970B7"/>
    <w:rsid w:val="00E97274"/>
    <w:rsid w:val="00E97E64"/>
    <w:rsid w:val="00EA01F7"/>
    <w:rsid w:val="00EA0440"/>
    <w:rsid w:val="00EA063C"/>
    <w:rsid w:val="00EA0E14"/>
    <w:rsid w:val="00EA1489"/>
    <w:rsid w:val="00EA199F"/>
    <w:rsid w:val="00EA2A1B"/>
    <w:rsid w:val="00EA2A93"/>
    <w:rsid w:val="00EA2CF6"/>
    <w:rsid w:val="00EA33D2"/>
    <w:rsid w:val="00EA35B4"/>
    <w:rsid w:val="00EA5B73"/>
    <w:rsid w:val="00EA5F60"/>
    <w:rsid w:val="00EA72C5"/>
    <w:rsid w:val="00EB1158"/>
    <w:rsid w:val="00EB11BE"/>
    <w:rsid w:val="00EB1522"/>
    <w:rsid w:val="00EB17CD"/>
    <w:rsid w:val="00EB1B03"/>
    <w:rsid w:val="00EB1DD0"/>
    <w:rsid w:val="00EB2213"/>
    <w:rsid w:val="00EB25FF"/>
    <w:rsid w:val="00EB2824"/>
    <w:rsid w:val="00EB29C6"/>
    <w:rsid w:val="00EB3797"/>
    <w:rsid w:val="00EB3816"/>
    <w:rsid w:val="00EB5541"/>
    <w:rsid w:val="00EB55E5"/>
    <w:rsid w:val="00EB5708"/>
    <w:rsid w:val="00EB5BA6"/>
    <w:rsid w:val="00EB6633"/>
    <w:rsid w:val="00EB6849"/>
    <w:rsid w:val="00EB6C09"/>
    <w:rsid w:val="00EC0997"/>
    <w:rsid w:val="00EC1531"/>
    <w:rsid w:val="00EC176B"/>
    <w:rsid w:val="00EC2B71"/>
    <w:rsid w:val="00EC349D"/>
    <w:rsid w:val="00EC42F9"/>
    <w:rsid w:val="00EC59CF"/>
    <w:rsid w:val="00EC6EAC"/>
    <w:rsid w:val="00EC7EDB"/>
    <w:rsid w:val="00ED01D2"/>
    <w:rsid w:val="00ED0843"/>
    <w:rsid w:val="00ED0CB6"/>
    <w:rsid w:val="00ED1385"/>
    <w:rsid w:val="00ED1AFA"/>
    <w:rsid w:val="00ED1B5B"/>
    <w:rsid w:val="00ED2203"/>
    <w:rsid w:val="00ED26FF"/>
    <w:rsid w:val="00ED401F"/>
    <w:rsid w:val="00ED451A"/>
    <w:rsid w:val="00ED51FC"/>
    <w:rsid w:val="00ED5978"/>
    <w:rsid w:val="00ED66D3"/>
    <w:rsid w:val="00ED6D63"/>
    <w:rsid w:val="00ED6FB2"/>
    <w:rsid w:val="00ED7CB2"/>
    <w:rsid w:val="00ED7F81"/>
    <w:rsid w:val="00EE02C2"/>
    <w:rsid w:val="00EE06CE"/>
    <w:rsid w:val="00EE1BB4"/>
    <w:rsid w:val="00EE21FA"/>
    <w:rsid w:val="00EE3E14"/>
    <w:rsid w:val="00EE42E5"/>
    <w:rsid w:val="00EE4595"/>
    <w:rsid w:val="00EE45C5"/>
    <w:rsid w:val="00EE49EF"/>
    <w:rsid w:val="00EE4FA3"/>
    <w:rsid w:val="00EE5AB0"/>
    <w:rsid w:val="00EE6674"/>
    <w:rsid w:val="00EE6C3D"/>
    <w:rsid w:val="00EE6CDD"/>
    <w:rsid w:val="00EE716F"/>
    <w:rsid w:val="00EE72E5"/>
    <w:rsid w:val="00EE7C25"/>
    <w:rsid w:val="00EF0491"/>
    <w:rsid w:val="00EF0C3E"/>
    <w:rsid w:val="00EF0CB1"/>
    <w:rsid w:val="00EF0FC8"/>
    <w:rsid w:val="00EF183E"/>
    <w:rsid w:val="00EF2C0C"/>
    <w:rsid w:val="00EF3047"/>
    <w:rsid w:val="00EF30C4"/>
    <w:rsid w:val="00EF317B"/>
    <w:rsid w:val="00EF3DEE"/>
    <w:rsid w:val="00EF46D1"/>
    <w:rsid w:val="00EF47F5"/>
    <w:rsid w:val="00EF4904"/>
    <w:rsid w:val="00EF4EA2"/>
    <w:rsid w:val="00EF5074"/>
    <w:rsid w:val="00EF5EB4"/>
    <w:rsid w:val="00EF5F53"/>
    <w:rsid w:val="00EF73A3"/>
    <w:rsid w:val="00F024C5"/>
    <w:rsid w:val="00F027BE"/>
    <w:rsid w:val="00F03352"/>
    <w:rsid w:val="00F03EF2"/>
    <w:rsid w:val="00F03F72"/>
    <w:rsid w:val="00F041C9"/>
    <w:rsid w:val="00F043A3"/>
    <w:rsid w:val="00F04490"/>
    <w:rsid w:val="00F04899"/>
    <w:rsid w:val="00F049B4"/>
    <w:rsid w:val="00F04BBE"/>
    <w:rsid w:val="00F0540E"/>
    <w:rsid w:val="00F05B0D"/>
    <w:rsid w:val="00F05C55"/>
    <w:rsid w:val="00F06074"/>
    <w:rsid w:val="00F06B79"/>
    <w:rsid w:val="00F06CA8"/>
    <w:rsid w:val="00F06DF5"/>
    <w:rsid w:val="00F077D1"/>
    <w:rsid w:val="00F1012B"/>
    <w:rsid w:val="00F10145"/>
    <w:rsid w:val="00F105FB"/>
    <w:rsid w:val="00F10B4A"/>
    <w:rsid w:val="00F10C99"/>
    <w:rsid w:val="00F1139C"/>
    <w:rsid w:val="00F12C17"/>
    <w:rsid w:val="00F12E2D"/>
    <w:rsid w:val="00F140A4"/>
    <w:rsid w:val="00F14DD9"/>
    <w:rsid w:val="00F150C5"/>
    <w:rsid w:val="00F1569C"/>
    <w:rsid w:val="00F15E38"/>
    <w:rsid w:val="00F1652C"/>
    <w:rsid w:val="00F219D7"/>
    <w:rsid w:val="00F220D3"/>
    <w:rsid w:val="00F221B3"/>
    <w:rsid w:val="00F22EBF"/>
    <w:rsid w:val="00F24258"/>
    <w:rsid w:val="00F249C0"/>
    <w:rsid w:val="00F25B3A"/>
    <w:rsid w:val="00F268CF"/>
    <w:rsid w:val="00F273C7"/>
    <w:rsid w:val="00F27C2F"/>
    <w:rsid w:val="00F309E9"/>
    <w:rsid w:val="00F3141F"/>
    <w:rsid w:val="00F31D1E"/>
    <w:rsid w:val="00F32406"/>
    <w:rsid w:val="00F32449"/>
    <w:rsid w:val="00F32F9A"/>
    <w:rsid w:val="00F3317A"/>
    <w:rsid w:val="00F333FE"/>
    <w:rsid w:val="00F342EA"/>
    <w:rsid w:val="00F3485B"/>
    <w:rsid w:val="00F3594C"/>
    <w:rsid w:val="00F37371"/>
    <w:rsid w:val="00F37492"/>
    <w:rsid w:val="00F37EC5"/>
    <w:rsid w:val="00F37F27"/>
    <w:rsid w:val="00F40305"/>
    <w:rsid w:val="00F40340"/>
    <w:rsid w:val="00F41069"/>
    <w:rsid w:val="00F41479"/>
    <w:rsid w:val="00F41988"/>
    <w:rsid w:val="00F4207A"/>
    <w:rsid w:val="00F42F58"/>
    <w:rsid w:val="00F43796"/>
    <w:rsid w:val="00F43B67"/>
    <w:rsid w:val="00F442EE"/>
    <w:rsid w:val="00F44C0D"/>
    <w:rsid w:val="00F463B4"/>
    <w:rsid w:val="00F46841"/>
    <w:rsid w:val="00F46D36"/>
    <w:rsid w:val="00F51389"/>
    <w:rsid w:val="00F5290B"/>
    <w:rsid w:val="00F52EEA"/>
    <w:rsid w:val="00F54439"/>
    <w:rsid w:val="00F54455"/>
    <w:rsid w:val="00F55336"/>
    <w:rsid w:val="00F55488"/>
    <w:rsid w:val="00F55564"/>
    <w:rsid w:val="00F55ADE"/>
    <w:rsid w:val="00F56418"/>
    <w:rsid w:val="00F5697B"/>
    <w:rsid w:val="00F56D99"/>
    <w:rsid w:val="00F57D8B"/>
    <w:rsid w:val="00F6046A"/>
    <w:rsid w:val="00F6061E"/>
    <w:rsid w:val="00F60E35"/>
    <w:rsid w:val="00F61DF1"/>
    <w:rsid w:val="00F62064"/>
    <w:rsid w:val="00F6252D"/>
    <w:rsid w:val="00F63229"/>
    <w:rsid w:val="00F636F6"/>
    <w:rsid w:val="00F639E3"/>
    <w:rsid w:val="00F63D66"/>
    <w:rsid w:val="00F64770"/>
    <w:rsid w:val="00F64FAF"/>
    <w:rsid w:val="00F65462"/>
    <w:rsid w:val="00F65A08"/>
    <w:rsid w:val="00F65B5C"/>
    <w:rsid w:val="00F66319"/>
    <w:rsid w:val="00F66E3B"/>
    <w:rsid w:val="00F6746E"/>
    <w:rsid w:val="00F679FB"/>
    <w:rsid w:val="00F67B8B"/>
    <w:rsid w:val="00F7053D"/>
    <w:rsid w:val="00F707DE"/>
    <w:rsid w:val="00F70ED0"/>
    <w:rsid w:val="00F7150A"/>
    <w:rsid w:val="00F72E3A"/>
    <w:rsid w:val="00F7382B"/>
    <w:rsid w:val="00F73B7E"/>
    <w:rsid w:val="00F7522F"/>
    <w:rsid w:val="00F75610"/>
    <w:rsid w:val="00F7665C"/>
    <w:rsid w:val="00F77103"/>
    <w:rsid w:val="00F77326"/>
    <w:rsid w:val="00F80B3F"/>
    <w:rsid w:val="00F8356F"/>
    <w:rsid w:val="00F85185"/>
    <w:rsid w:val="00F857A4"/>
    <w:rsid w:val="00F859C1"/>
    <w:rsid w:val="00F85DDD"/>
    <w:rsid w:val="00F86016"/>
    <w:rsid w:val="00F869D2"/>
    <w:rsid w:val="00F87250"/>
    <w:rsid w:val="00F87974"/>
    <w:rsid w:val="00F902C8"/>
    <w:rsid w:val="00F90D94"/>
    <w:rsid w:val="00F90EB6"/>
    <w:rsid w:val="00F91636"/>
    <w:rsid w:val="00F91BF0"/>
    <w:rsid w:val="00F92368"/>
    <w:rsid w:val="00F9281F"/>
    <w:rsid w:val="00F9295A"/>
    <w:rsid w:val="00F93736"/>
    <w:rsid w:val="00F946B8"/>
    <w:rsid w:val="00F962B1"/>
    <w:rsid w:val="00F97DB8"/>
    <w:rsid w:val="00FA04F5"/>
    <w:rsid w:val="00FA0595"/>
    <w:rsid w:val="00FA084D"/>
    <w:rsid w:val="00FA177A"/>
    <w:rsid w:val="00FA280D"/>
    <w:rsid w:val="00FA2F01"/>
    <w:rsid w:val="00FA3B1A"/>
    <w:rsid w:val="00FA3F25"/>
    <w:rsid w:val="00FA4AB5"/>
    <w:rsid w:val="00FA62AC"/>
    <w:rsid w:val="00FA72F5"/>
    <w:rsid w:val="00FA74AB"/>
    <w:rsid w:val="00FA7F98"/>
    <w:rsid w:val="00FB05AD"/>
    <w:rsid w:val="00FB0D45"/>
    <w:rsid w:val="00FB22FE"/>
    <w:rsid w:val="00FB3D5C"/>
    <w:rsid w:val="00FB403D"/>
    <w:rsid w:val="00FB43D7"/>
    <w:rsid w:val="00FB4BCC"/>
    <w:rsid w:val="00FB5312"/>
    <w:rsid w:val="00FB5463"/>
    <w:rsid w:val="00FB55DF"/>
    <w:rsid w:val="00FB5C77"/>
    <w:rsid w:val="00FB6063"/>
    <w:rsid w:val="00FB60DE"/>
    <w:rsid w:val="00FB63F6"/>
    <w:rsid w:val="00FB7249"/>
    <w:rsid w:val="00FB7ABC"/>
    <w:rsid w:val="00FB7B7A"/>
    <w:rsid w:val="00FC03AD"/>
    <w:rsid w:val="00FC0AC9"/>
    <w:rsid w:val="00FC0F56"/>
    <w:rsid w:val="00FC0F77"/>
    <w:rsid w:val="00FC1088"/>
    <w:rsid w:val="00FC1A4F"/>
    <w:rsid w:val="00FC3920"/>
    <w:rsid w:val="00FC5858"/>
    <w:rsid w:val="00FC5A9A"/>
    <w:rsid w:val="00FC5EEC"/>
    <w:rsid w:val="00FC6B35"/>
    <w:rsid w:val="00FD08C5"/>
    <w:rsid w:val="00FD0D83"/>
    <w:rsid w:val="00FD0E5F"/>
    <w:rsid w:val="00FD0F6E"/>
    <w:rsid w:val="00FD1739"/>
    <w:rsid w:val="00FD19A0"/>
    <w:rsid w:val="00FD2590"/>
    <w:rsid w:val="00FD264E"/>
    <w:rsid w:val="00FD3352"/>
    <w:rsid w:val="00FD3546"/>
    <w:rsid w:val="00FD3824"/>
    <w:rsid w:val="00FD3902"/>
    <w:rsid w:val="00FD3A69"/>
    <w:rsid w:val="00FD402F"/>
    <w:rsid w:val="00FD4158"/>
    <w:rsid w:val="00FD450D"/>
    <w:rsid w:val="00FD45BB"/>
    <w:rsid w:val="00FD4D6A"/>
    <w:rsid w:val="00FD50A2"/>
    <w:rsid w:val="00FD5983"/>
    <w:rsid w:val="00FD5DB1"/>
    <w:rsid w:val="00FD6BEC"/>
    <w:rsid w:val="00FD726C"/>
    <w:rsid w:val="00FD78FB"/>
    <w:rsid w:val="00FD79E4"/>
    <w:rsid w:val="00FE095B"/>
    <w:rsid w:val="00FE114D"/>
    <w:rsid w:val="00FE133D"/>
    <w:rsid w:val="00FE15D7"/>
    <w:rsid w:val="00FE1BC7"/>
    <w:rsid w:val="00FE2C10"/>
    <w:rsid w:val="00FE3BE3"/>
    <w:rsid w:val="00FE4365"/>
    <w:rsid w:val="00FE4A4F"/>
    <w:rsid w:val="00FE4D3D"/>
    <w:rsid w:val="00FE5051"/>
    <w:rsid w:val="00FE5423"/>
    <w:rsid w:val="00FE5462"/>
    <w:rsid w:val="00FE601B"/>
    <w:rsid w:val="00FE722B"/>
    <w:rsid w:val="00FE7425"/>
    <w:rsid w:val="00FE79CC"/>
    <w:rsid w:val="00FF0E05"/>
    <w:rsid w:val="00FF0FE2"/>
    <w:rsid w:val="00FF1654"/>
    <w:rsid w:val="00FF4412"/>
    <w:rsid w:val="00FF4510"/>
    <w:rsid w:val="00FF572B"/>
    <w:rsid w:val="00FF5B1D"/>
    <w:rsid w:val="00FF66ED"/>
    <w:rsid w:val="00FF6F8B"/>
    <w:rsid w:val="0107783A"/>
    <w:rsid w:val="02A3D71C"/>
    <w:rsid w:val="02D617BB"/>
    <w:rsid w:val="04340460"/>
    <w:rsid w:val="0442D1CF"/>
    <w:rsid w:val="04D29F5D"/>
    <w:rsid w:val="0621A9BF"/>
    <w:rsid w:val="068751E8"/>
    <w:rsid w:val="0930C88B"/>
    <w:rsid w:val="09E13AA5"/>
    <w:rsid w:val="09EC3385"/>
    <w:rsid w:val="0A32ADA7"/>
    <w:rsid w:val="0AC3F085"/>
    <w:rsid w:val="0B9C764E"/>
    <w:rsid w:val="0BD98228"/>
    <w:rsid w:val="0BF0DDC4"/>
    <w:rsid w:val="0C22F524"/>
    <w:rsid w:val="0C8D1FE3"/>
    <w:rsid w:val="0DC70855"/>
    <w:rsid w:val="0E03A95D"/>
    <w:rsid w:val="0F2C7605"/>
    <w:rsid w:val="0FD0E4EC"/>
    <w:rsid w:val="0FE94D6B"/>
    <w:rsid w:val="10388F7B"/>
    <w:rsid w:val="10B0C0B6"/>
    <w:rsid w:val="10B80E55"/>
    <w:rsid w:val="1161E9A4"/>
    <w:rsid w:val="119B9167"/>
    <w:rsid w:val="11A579A2"/>
    <w:rsid w:val="11EF7099"/>
    <w:rsid w:val="1219087F"/>
    <w:rsid w:val="1284E966"/>
    <w:rsid w:val="133D9B1C"/>
    <w:rsid w:val="14FFF065"/>
    <w:rsid w:val="152971E6"/>
    <w:rsid w:val="156A41DC"/>
    <w:rsid w:val="15B5A702"/>
    <w:rsid w:val="163E884A"/>
    <w:rsid w:val="168A2456"/>
    <w:rsid w:val="16D3DF4E"/>
    <w:rsid w:val="17161E8B"/>
    <w:rsid w:val="17D933B8"/>
    <w:rsid w:val="180B354C"/>
    <w:rsid w:val="1819D5CD"/>
    <w:rsid w:val="1885ACF4"/>
    <w:rsid w:val="18A9A828"/>
    <w:rsid w:val="18B0228A"/>
    <w:rsid w:val="18DE8A48"/>
    <w:rsid w:val="195A1EC3"/>
    <w:rsid w:val="19B73765"/>
    <w:rsid w:val="1A15C3DD"/>
    <w:rsid w:val="1A569638"/>
    <w:rsid w:val="1A5C29E5"/>
    <w:rsid w:val="1AC4B8F1"/>
    <w:rsid w:val="1AC8BA6D"/>
    <w:rsid w:val="1B11AAE5"/>
    <w:rsid w:val="1B3FC801"/>
    <w:rsid w:val="1C0BF427"/>
    <w:rsid w:val="1C643B46"/>
    <w:rsid w:val="1CB75C64"/>
    <w:rsid w:val="1CD0B7E4"/>
    <w:rsid w:val="1D6208DC"/>
    <w:rsid w:val="1D86AC1F"/>
    <w:rsid w:val="1E0076AE"/>
    <w:rsid w:val="1E19CDAA"/>
    <w:rsid w:val="1E2FDDEF"/>
    <w:rsid w:val="1E477902"/>
    <w:rsid w:val="1ECBF4AC"/>
    <w:rsid w:val="1ECF7F38"/>
    <w:rsid w:val="1F52C3C0"/>
    <w:rsid w:val="1FF7FD82"/>
    <w:rsid w:val="206B1891"/>
    <w:rsid w:val="21165421"/>
    <w:rsid w:val="211663FA"/>
    <w:rsid w:val="2162544B"/>
    <w:rsid w:val="21F62F80"/>
    <w:rsid w:val="2212B730"/>
    <w:rsid w:val="22A80808"/>
    <w:rsid w:val="22E0D0A1"/>
    <w:rsid w:val="22FDB215"/>
    <w:rsid w:val="23241D7E"/>
    <w:rsid w:val="2329014A"/>
    <w:rsid w:val="23379178"/>
    <w:rsid w:val="23ED5068"/>
    <w:rsid w:val="24A20331"/>
    <w:rsid w:val="251E8EBC"/>
    <w:rsid w:val="25A369CF"/>
    <w:rsid w:val="25B82C1A"/>
    <w:rsid w:val="26825957"/>
    <w:rsid w:val="26C236DA"/>
    <w:rsid w:val="273E1088"/>
    <w:rsid w:val="277873B1"/>
    <w:rsid w:val="27F62E73"/>
    <w:rsid w:val="28A81429"/>
    <w:rsid w:val="290F1D80"/>
    <w:rsid w:val="294FA597"/>
    <w:rsid w:val="2956312C"/>
    <w:rsid w:val="295C166A"/>
    <w:rsid w:val="2A625280"/>
    <w:rsid w:val="2A6A74A2"/>
    <w:rsid w:val="2AB1B741"/>
    <w:rsid w:val="2AB217D5"/>
    <w:rsid w:val="2AC77154"/>
    <w:rsid w:val="2ACB9486"/>
    <w:rsid w:val="2AD4333D"/>
    <w:rsid w:val="2B4A74E7"/>
    <w:rsid w:val="2B9ADEEA"/>
    <w:rsid w:val="2BB13D5A"/>
    <w:rsid w:val="2BEC7812"/>
    <w:rsid w:val="2BFD4A36"/>
    <w:rsid w:val="2C37F6B4"/>
    <w:rsid w:val="2C5528D8"/>
    <w:rsid w:val="2D350817"/>
    <w:rsid w:val="2D7E76EB"/>
    <w:rsid w:val="2DB6CACC"/>
    <w:rsid w:val="2DF7B9ED"/>
    <w:rsid w:val="2DFDE801"/>
    <w:rsid w:val="2E837A2F"/>
    <w:rsid w:val="2E8D09F4"/>
    <w:rsid w:val="2E952598"/>
    <w:rsid w:val="2F70E5FE"/>
    <w:rsid w:val="2F990B6B"/>
    <w:rsid w:val="2FD499F0"/>
    <w:rsid w:val="3031E3E0"/>
    <w:rsid w:val="3052A0CB"/>
    <w:rsid w:val="30CDF159"/>
    <w:rsid w:val="3112ADA3"/>
    <w:rsid w:val="316AEF1D"/>
    <w:rsid w:val="31704C75"/>
    <w:rsid w:val="325186B9"/>
    <w:rsid w:val="3254E58F"/>
    <w:rsid w:val="3258E860"/>
    <w:rsid w:val="329CD2EC"/>
    <w:rsid w:val="32A1A52D"/>
    <w:rsid w:val="32B411D4"/>
    <w:rsid w:val="34CD131E"/>
    <w:rsid w:val="34DD42CB"/>
    <w:rsid w:val="354AF92A"/>
    <w:rsid w:val="35943901"/>
    <w:rsid w:val="35D972F8"/>
    <w:rsid w:val="3674084F"/>
    <w:rsid w:val="368CAF95"/>
    <w:rsid w:val="37436EF7"/>
    <w:rsid w:val="377C00DD"/>
    <w:rsid w:val="38909ACB"/>
    <w:rsid w:val="398CB99C"/>
    <w:rsid w:val="39CED792"/>
    <w:rsid w:val="39DE6B5A"/>
    <w:rsid w:val="3A23C25D"/>
    <w:rsid w:val="3AC773CE"/>
    <w:rsid w:val="3B0C36E3"/>
    <w:rsid w:val="3E5EF27F"/>
    <w:rsid w:val="3E6D24CE"/>
    <w:rsid w:val="3EA64830"/>
    <w:rsid w:val="3F085DAE"/>
    <w:rsid w:val="3F8FE5A8"/>
    <w:rsid w:val="4046321A"/>
    <w:rsid w:val="40855AF7"/>
    <w:rsid w:val="40C670F3"/>
    <w:rsid w:val="40E25C9D"/>
    <w:rsid w:val="40FA4F46"/>
    <w:rsid w:val="414249D9"/>
    <w:rsid w:val="4192C8A9"/>
    <w:rsid w:val="4197191E"/>
    <w:rsid w:val="41A4A1A5"/>
    <w:rsid w:val="4389443F"/>
    <w:rsid w:val="440449B5"/>
    <w:rsid w:val="44159D6F"/>
    <w:rsid w:val="441853EE"/>
    <w:rsid w:val="4425E81E"/>
    <w:rsid w:val="44C0014B"/>
    <w:rsid w:val="45433E87"/>
    <w:rsid w:val="46016AA8"/>
    <w:rsid w:val="4626EDBE"/>
    <w:rsid w:val="465D5EF8"/>
    <w:rsid w:val="466CA283"/>
    <w:rsid w:val="46D5CE5D"/>
    <w:rsid w:val="47F4818F"/>
    <w:rsid w:val="4902C63C"/>
    <w:rsid w:val="4A04929E"/>
    <w:rsid w:val="4A10B908"/>
    <w:rsid w:val="4AADF277"/>
    <w:rsid w:val="4AEF1006"/>
    <w:rsid w:val="4B291672"/>
    <w:rsid w:val="4B4C1C91"/>
    <w:rsid w:val="4BB8CE8C"/>
    <w:rsid w:val="4BF05A59"/>
    <w:rsid w:val="4BF4918F"/>
    <w:rsid w:val="4C0D392E"/>
    <w:rsid w:val="4C42EF5D"/>
    <w:rsid w:val="4CBC8BC1"/>
    <w:rsid w:val="4CDF21A3"/>
    <w:rsid w:val="4D80CC1E"/>
    <w:rsid w:val="4D938C27"/>
    <w:rsid w:val="4DDF8BDB"/>
    <w:rsid w:val="4DF52D0E"/>
    <w:rsid w:val="4E7E823F"/>
    <w:rsid w:val="4EE997C5"/>
    <w:rsid w:val="4F51C29D"/>
    <w:rsid w:val="4F774B01"/>
    <w:rsid w:val="4F822E8C"/>
    <w:rsid w:val="4FC39F55"/>
    <w:rsid w:val="502771E7"/>
    <w:rsid w:val="5037E759"/>
    <w:rsid w:val="50ABD981"/>
    <w:rsid w:val="513D5A1E"/>
    <w:rsid w:val="514B0F6D"/>
    <w:rsid w:val="52412449"/>
    <w:rsid w:val="5248FB35"/>
    <w:rsid w:val="52556199"/>
    <w:rsid w:val="52C20437"/>
    <w:rsid w:val="52ED82F8"/>
    <w:rsid w:val="535AD69B"/>
    <w:rsid w:val="538FD0FC"/>
    <w:rsid w:val="5404401B"/>
    <w:rsid w:val="540A201F"/>
    <w:rsid w:val="55ACA4E2"/>
    <w:rsid w:val="55AE1032"/>
    <w:rsid w:val="55D44A90"/>
    <w:rsid w:val="56E50121"/>
    <w:rsid w:val="57A0E218"/>
    <w:rsid w:val="57E29CF5"/>
    <w:rsid w:val="57FC1A5D"/>
    <w:rsid w:val="580E3E16"/>
    <w:rsid w:val="5817CBB2"/>
    <w:rsid w:val="58ABF667"/>
    <w:rsid w:val="58D3C981"/>
    <w:rsid w:val="591F4902"/>
    <w:rsid w:val="597256F1"/>
    <w:rsid w:val="59E601C6"/>
    <w:rsid w:val="59FFC257"/>
    <w:rsid w:val="5A01A7DA"/>
    <w:rsid w:val="5A5FA541"/>
    <w:rsid w:val="5A8E3516"/>
    <w:rsid w:val="5AB4D171"/>
    <w:rsid w:val="5B28CB83"/>
    <w:rsid w:val="5B6CA0B8"/>
    <w:rsid w:val="5C3259E8"/>
    <w:rsid w:val="5C447041"/>
    <w:rsid w:val="5CCAA5BF"/>
    <w:rsid w:val="5CCF7A43"/>
    <w:rsid w:val="5D26D3B5"/>
    <w:rsid w:val="5D491E40"/>
    <w:rsid w:val="5D5BFECB"/>
    <w:rsid w:val="5D80E6F4"/>
    <w:rsid w:val="5DFB821D"/>
    <w:rsid w:val="5EE2CF5A"/>
    <w:rsid w:val="5FB58BEB"/>
    <w:rsid w:val="5FC6676D"/>
    <w:rsid w:val="60352ED0"/>
    <w:rsid w:val="6046F2AE"/>
    <w:rsid w:val="60631C52"/>
    <w:rsid w:val="60870D99"/>
    <w:rsid w:val="60F0E3F0"/>
    <w:rsid w:val="6112706A"/>
    <w:rsid w:val="61587923"/>
    <w:rsid w:val="620DC9C6"/>
    <w:rsid w:val="6244B514"/>
    <w:rsid w:val="6270F456"/>
    <w:rsid w:val="63AF3E08"/>
    <w:rsid w:val="640181EE"/>
    <w:rsid w:val="649DFC4D"/>
    <w:rsid w:val="64B159F6"/>
    <w:rsid w:val="656C7970"/>
    <w:rsid w:val="657D5393"/>
    <w:rsid w:val="657EA18A"/>
    <w:rsid w:val="65855591"/>
    <w:rsid w:val="65951121"/>
    <w:rsid w:val="65CF3A56"/>
    <w:rsid w:val="65E3746E"/>
    <w:rsid w:val="661BBE2C"/>
    <w:rsid w:val="665553FD"/>
    <w:rsid w:val="665C27AA"/>
    <w:rsid w:val="66868DCA"/>
    <w:rsid w:val="67D82908"/>
    <w:rsid w:val="689BCF67"/>
    <w:rsid w:val="6900111C"/>
    <w:rsid w:val="695A9796"/>
    <w:rsid w:val="69B2D49F"/>
    <w:rsid w:val="69D31E23"/>
    <w:rsid w:val="69DB1AD1"/>
    <w:rsid w:val="6A00E838"/>
    <w:rsid w:val="6A50FDFF"/>
    <w:rsid w:val="6A53A6F1"/>
    <w:rsid w:val="6AA69938"/>
    <w:rsid w:val="6AF6420D"/>
    <w:rsid w:val="6B2D480E"/>
    <w:rsid w:val="6B793467"/>
    <w:rsid w:val="6B880B32"/>
    <w:rsid w:val="6BD86EFF"/>
    <w:rsid w:val="6BE69485"/>
    <w:rsid w:val="6BE85FCF"/>
    <w:rsid w:val="6C54151B"/>
    <w:rsid w:val="6C62C649"/>
    <w:rsid w:val="6CBBF121"/>
    <w:rsid w:val="6CDB924C"/>
    <w:rsid w:val="6D5CFE31"/>
    <w:rsid w:val="6D6BCDE2"/>
    <w:rsid w:val="6DD4845B"/>
    <w:rsid w:val="6DDB6594"/>
    <w:rsid w:val="6E2C5F83"/>
    <w:rsid w:val="6F7108EC"/>
    <w:rsid w:val="6F8F4EA5"/>
    <w:rsid w:val="6FFAE83C"/>
    <w:rsid w:val="701CFCB4"/>
    <w:rsid w:val="70292F18"/>
    <w:rsid w:val="705162D5"/>
    <w:rsid w:val="707D9122"/>
    <w:rsid w:val="70E84886"/>
    <w:rsid w:val="7149D069"/>
    <w:rsid w:val="719701D5"/>
    <w:rsid w:val="719D9A05"/>
    <w:rsid w:val="72194E9D"/>
    <w:rsid w:val="72884089"/>
    <w:rsid w:val="72EADB79"/>
    <w:rsid w:val="74288B0D"/>
    <w:rsid w:val="748A18A0"/>
    <w:rsid w:val="750B2EDF"/>
    <w:rsid w:val="7514D4D3"/>
    <w:rsid w:val="757BB4AD"/>
    <w:rsid w:val="75BCC3B3"/>
    <w:rsid w:val="75E1345B"/>
    <w:rsid w:val="7689636F"/>
    <w:rsid w:val="77058802"/>
    <w:rsid w:val="77155F38"/>
    <w:rsid w:val="774FD941"/>
    <w:rsid w:val="7789A7FB"/>
    <w:rsid w:val="779B2254"/>
    <w:rsid w:val="788ABB67"/>
    <w:rsid w:val="78CA0811"/>
    <w:rsid w:val="790073F1"/>
    <w:rsid w:val="7950FB4E"/>
    <w:rsid w:val="799040EA"/>
    <w:rsid w:val="79ED437E"/>
    <w:rsid w:val="7B42F34D"/>
    <w:rsid w:val="7B620B40"/>
    <w:rsid w:val="7DB94F0C"/>
    <w:rsid w:val="7E7A9621"/>
    <w:rsid w:val="7EA7CB81"/>
    <w:rsid w:val="7F100122"/>
    <w:rsid w:val="7F86C047"/>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70771CF7"/>
  <w15:chartTrackingRefBased/>
  <w15:docId w15:val="{4FA85F53-7D42-4A5E-844F-FCA9509D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2-Sec. Head"/>
    <w:basedOn w:val="Normal"/>
    <w:next w:val="P1-StandPara"/>
    <w:link w:val="Heading2Char"/>
    <w:qFormat/>
    <w:rsid w:val="00CF135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D11"/>
  </w:style>
  <w:style w:type="paragraph" w:styleId="Footer">
    <w:name w:val="footer"/>
    <w:basedOn w:val="Normal"/>
    <w:link w:val="FooterChar"/>
    <w:uiPriority w:val="99"/>
    <w:unhideWhenUsed/>
    <w:rsid w:val="007E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D11"/>
  </w:style>
  <w:style w:type="paragraph" w:customStyle="1" w:styleId="P1-StandPara">
    <w:name w:val="P1-Stand Para"/>
    <w:rsid w:val="00CF1354"/>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CF1354"/>
    <w:rPr>
      <w:rFonts w:ascii="Times New Roman" w:eastAsia="Times New Roman" w:hAnsi="Times New Roman" w:cs="Times New Roman"/>
      <w:b/>
      <w:szCs w:val="20"/>
    </w:rPr>
  </w:style>
  <w:style w:type="character" w:styleId="Hyperlink">
    <w:name w:val="Hyperlink"/>
    <w:rsid w:val="00CF1354"/>
    <w:rPr>
      <w:color w:val="0000FF"/>
      <w:u w:val="single"/>
    </w:rPr>
  </w:style>
  <w:style w:type="paragraph" w:styleId="FootnoteText">
    <w:name w:val="footnote text"/>
    <w:basedOn w:val="Normal"/>
    <w:link w:val="FootnoteTextChar"/>
    <w:uiPriority w:val="99"/>
    <w:semiHidden/>
    <w:rsid w:val="00CF1354"/>
    <w:pPr>
      <w:spacing w:after="0" w:line="240" w:lineRule="auto"/>
    </w:pPr>
    <w:rPr>
      <w:rFonts w:ascii="Times New Roman" w:eastAsia="Times New Roman" w:hAnsi="Times New Roman" w:cs="Times New Roman"/>
      <w:kern w:val="28"/>
      <w:sz w:val="20"/>
      <w:szCs w:val="20"/>
    </w:rPr>
  </w:style>
  <w:style w:type="character" w:customStyle="1" w:styleId="FootnoteTextChar">
    <w:name w:val="Footnote Text Char"/>
    <w:basedOn w:val="DefaultParagraphFont"/>
    <w:link w:val="FootnoteText"/>
    <w:uiPriority w:val="99"/>
    <w:semiHidden/>
    <w:rsid w:val="00CF1354"/>
    <w:rPr>
      <w:rFonts w:ascii="Times New Roman" w:eastAsia="Times New Roman" w:hAnsi="Times New Roman" w:cs="Times New Roman"/>
      <w:kern w:val="28"/>
      <w:sz w:val="20"/>
      <w:szCs w:val="20"/>
    </w:rPr>
  </w:style>
  <w:style w:type="character" w:styleId="FootnoteReference">
    <w:name w:val="footnote reference"/>
    <w:uiPriority w:val="99"/>
    <w:semiHidden/>
    <w:rsid w:val="00CF1354"/>
    <w:rPr>
      <w:rFonts w:cs="Times New Roman"/>
      <w:vertAlign w:val="superscript"/>
    </w:rPr>
  </w:style>
  <w:style w:type="character" w:styleId="CommentReference">
    <w:name w:val="annotation reference"/>
    <w:uiPriority w:val="99"/>
    <w:semiHidden/>
    <w:unhideWhenUsed/>
    <w:rsid w:val="00A71A53"/>
    <w:rPr>
      <w:sz w:val="16"/>
      <w:szCs w:val="16"/>
    </w:rPr>
  </w:style>
  <w:style w:type="paragraph" w:styleId="CommentText">
    <w:name w:val="annotation text"/>
    <w:basedOn w:val="Normal"/>
    <w:link w:val="CommentTextChar"/>
    <w:uiPriority w:val="99"/>
    <w:unhideWhenUsed/>
    <w:rsid w:val="00A71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71A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A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3D"/>
    <w:rPr>
      <w:rFonts w:ascii="Segoe UI" w:hAnsi="Segoe UI" w:cs="Segoe UI"/>
      <w:sz w:val="18"/>
      <w:szCs w:val="18"/>
    </w:rPr>
  </w:style>
  <w:style w:type="character" w:styleId="FollowedHyperlink">
    <w:name w:val="FollowedHyperlink"/>
    <w:basedOn w:val="DefaultParagraphFont"/>
    <w:uiPriority w:val="99"/>
    <w:semiHidden/>
    <w:unhideWhenUsed/>
    <w:rsid w:val="00B641D1"/>
    <w:rPr>
      <w:color w:val="954F72" w:themeColor="followedHyperlink"/>
      <w:u w:val="single"/>
    </w:rPr>
  </w:style>
  <w:style w:type="paragraph" w:styleId="ListParagraph">
    <w:name w:val="List Paragraph"/>
    <w:basedOn w:val="Normal"/>
    <w:uiPriority w:val="34"/>
    <w:qFormat/>
    <w:rsid w:val="00712FC4"/>
    <w:pPr>
      <w:ind w:left="720"/>
      <w:contextualSpacing/>
    </w:pPr>
    <w:rPr>
      <w:rFonts w:eastAsiaTheme="minorEastAsia"/>
    </w:rPr>
  </w:style>
  <w:style w:type="character" w:styleId="Emphasis">
    <w:name w:val="Emphasis"/>
    <w:uiPriority w:val="20"/>
    <w:qFormat/>
    <w:rsid w:val="00243D89"/>
    <w:rPr>
      <w:i/>
      <w:iCs/>
    </w:rPr>
  </w:style>
  <w:style w:type="paragraph" w:styleId="CommentSubject">
    <w:name w:val="annotation subject"/>
    <w:basedOn w:val="CommentText"/>
    <w:next w:val="CommentText"/>
    <w:link w:val="CommentSubjectChar"/>
    <w:uiPriority w:val="99"/>
    <w:semiHidden/>
    <w:unhideWhenUsed/>
    <w:rsid w:val="0006090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0901"/>
    <w:rPr>
      <w:rFonts w:ascii="Calibri" w:eastAsia="Calibri" w:hAnsi="Calibri" w:cs="Times New Roman"/>
      <w:b/>
      <w:bCs/>
      <w:sz w:val="20"/>
      <w:szCs w:val="20"/>
    </w:rPr>
  </w:style>
  <w:style w:type="paragraph" w:styleId="NormalWeb">
    <w:name w:val="Normal (Web)"/>
    <w:basedOn w:val="Normal"/>
    <w:uiPriority w:val="99"/>
    <w:semiHidden/>
    <w:unhideWhenUsed/>
    <w:rsid w:val="0057744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2CA6"/>
    <w:rPr>
      <w:color w:val="605E5C"/>
      <w:shd w:val="clear" w:color="auto" w:fill="E1DFDD"/>
    </w:rPr>
  </w:style>
  <w:style w:type="paragraph" w:styleId="Revision">
    <w:name w:val="Revision"/>
    <w:hidden/>
    <w:uiPriority w:val="99"/>
    <w:semiHidden/>
    <w:rsid w:val="00ED401F"/>
    <w:pPr>
      <w:spacing w:after="0" w:line="240" w:lineRule="auto"/>
    </w:pPr>
  </w:style>
  <w:style w:type="table" w:styleId="TableGrid">
    <w:name w:val="Table Grid"/>
    <w:basedOn w:val="TableNormal"/>
    <w:uiPriority w:val="39"/>
    <w:rsid w:val="00622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228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rants.nih.gov/policy-and-compliance/policy-topics/sharing-policies/accessing-data/requirements" TargetMode="External" /><Relationship Id="rId11" Type="http://schemas.openxmlformats.org/officeDocument/2006/relationships/hyperlink" Target="https://grants.nih.gov/grants/guide/notice-files/NOT-OD-25-159.html" TargetMode="External" /><Relationship Id="rId12" Type="http://schemas.openxmlformats.org/officeDocument/2006/relationships/hyperlink" Target="https://grants.nih.gov/sites/default/files/flmngr/NIH-Security-BPs-for-Users-of-Controlled-Access-Data.pdf" TargetMode="External" /><Relationship Id="rId13" Type="http://schemas.openxmlformats.org/officeDocument/2006/relationships/hyperlink" Target="http://projectreporter.nih.gov/reporter.cf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rants.nih.gov/grants/guide/notice-files/NOT-OD-14-124.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371BA15521B408F4062BF0AB3CB8A" ma:contentTypeVersion="14" ma:contentTypeDescription="Create a new document." ma:contentTypeScope="" ma:versionID="288e3c5e706227a0722d681157d487ba">
  <xsd:schema xmlns:xsd="http://www.w3.org/2001/XMLSchema" xmlns:xs="http://www.w3.org/2001/XMLSchema" xmlns:p="http://schemas.microsoft.com/office/2006/metadata/properties" xmlns:ns2="f1ba1faa-8452-4047-a399-29aac9238fd8" xmlns:ns3="2f85a7fa-fa68-4ee1-b2cb-148fbce211a8" targetNamespace="http://schemas.microsoft.com/office/2006/metadata/properties" ma:root="true" ma:fieldsID="eda06fd21135747a3abc5119f70499eb" ns2:_="" ns3:_="">
    <xsd:import namespace="f1ba1faa-8452-4047-a399-29aac9238fd8"/>
    <xsd:import namespace="2f85a7fa-fa68-4ee1-b2cb-148fbce2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1faa-8452-4047-a399-29aac923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5a7fa-fa68-4ee1-b2cb-148fbce211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f3ece1-7b80-4883-88a7-72818d730da5}" ma:internalName="TaxCatchAll" ma:showField="CatchAllData" ma:web="2f85a7fa-fa68-4ee1-b2cb-148fbce2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ba1faa-8452-4047-a399-29aac9238fd8">
      <Terms xmlns="http://schemas.microsoft.com/office/infopath/2007/PartnerControls"/>
    </lcf76f155ced4ddcb4097134ff3c332f>
    <TaxCatchAll xmlns="2f85a7fa-fa68-4ee1-b2cb-148fbce211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AB910-94CD-4669-AEB7-960EE987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a1faa-8452-4047-a399-29aac9238fd8"/>
    <ds:schemaRef ds:uri="2f85a7fa-fa68-4ee1-b2cb-148fbce2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309B2-AEB4-454A-8CD2-A0DC35DDCD36}">
  <ds:schemaRefs>
    <ds:schemaRef ds:uri="http://schemas.openxmlformats.org/officeDocument/2006/bibliography"/>
  </ds:schemaRefs>
</ds:datastoreItem>
</file>

<file path=customXml/itemProps3.xml><?xml version="1.0" encoding="utf-8"?>
<ds:datastoreItem xmlns:ds="http://schemas.openxmlformats.org/officeDocument/2006/customXml" ds:itemID="{18990309-56AF-4D01-957C-9C151D8FA504}">
  <ds:schemaRefs>
    <ds:schemaRef ds:uri="http://schemas.microsoft.com/office/2006/metadata/properties"/>
    <ds:schemaRef ds:uri="http://schemas.microsoft.com/office/infopath/2007/PartnerControls"/>
    <ds:schemaRef ds:uri="f1ba1faa-8452-4047-a399-29aac9238fd8"/>
    <ds:schemaRef ds:uri="2f85a7fa-fa68-4ee1-b2cb-148fbce211a8"/>
  </ds:schemaRefs>
</ds:datastoreItem>
</file>

<file path=customXml/itemProps4.xml><?xml version="1.0" encoding="utf-8"?>
<ds:datastoreItem xmlns:ds="http://schemas.openxmlformats.org/officeDocument/2006/customXml" ds:itemID="{7D20540C-81F0-4908-83DE-549C257F60C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6977</Words>
  <Characters>39769</Characters>
  <Application>Microsoft Office Word</Application>
  <DocSecurity>0</DocSecurity>
  <Lines>331</Lines>
  <Paragraphs>93</Paragraphs>
  <ScaleCrop>false</ScaleCrop>
  <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OSP</dc:creator>
  <cp:lastModifiedBy>Currie, Mikia (NIH/OD) [E]</cp:lastModifiedBy>
  <cp:revision>2</cp:revision>
  <cp:lastPrinted>2026-03-09T13:18:00Z</cp:lastPrinted>
  <dcterms:created xsi:type="dcterms:W3CDTF">2026-03-09T13:18:00Z</dcterms:created>
  <dcterms:modified xsi:type="dcterms:W3CDTF">2026-03-09T13:18:00Z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0x010100656371BA15521B408F4062BF0AB3CB8A</vt:lpwstr>
  </property>
  <property fmtid="{D5CDD505-2E9C-101B-9397-08002B2CF9AE}" pid="3" name="MediaServiceImageTags">
    <vt:lpwstr/>
  </property>
</Properties>
</file>