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633D" w:rsidP="0079224E" w14:paraId="2C111A89" w14:textId="77777777">
      <w:pPr>
        <w:jc w:val="center"/>
        <w:rPr>
          <w:sz w:val="28"/>
          <w:szCs w:val="28"/>
        </w:rPr>
      </w:pPr>
    </w:p>
    <w:p w:rsidR="009B633D" w:rsidP="0079224E" w14:paraId="2733D75B" w14:textId="77777777">
      <w:pPr>
        <w:jc w:val="center"/>
        <w:rPr>
          <w:sz w:val="28"/>
          <w:szCs w:val="28"/>
        </w:rPr>
      </w:pPr>
    </w:p>
    <w:p w:rsidR="009B633D" w:rsidP="0079224E" w14:paraId="0AD992E2" w14:textId="77777777">
      <w:pPr>
        <w:jc w:val="center"/>
        <w:rPr>
          <w:b/>
          <w:sz w:val="28"/>
          <w:szCs w:val="28"/>
        </w:rPr>
      </w:pPr>
      <w:r w:rsidRPr="00456179">
        <w:rPr>
          <w:b/>
          <w:sz w:val="28"/>
          <w:szCs w:val="28"/>
        </w:rPr>
        <w:t>SUPPORTING STATEMENT</w:t>
      </w:r>
    </w:p>
    <w:p w:rsidR="00635119" w:rsidP="0079224E" w14:paraId="57E48CE4" w14:textId="77777777">
      <w:pPr>
        <w:jc w:val="center"/>
        <w:rPr>
          <w:b/>
          <w:sz w:val="28"/>
          <w:szCs w:val="28"/>
        </w:rPr>
      </w:pPr>
    </w:p>
    <w:p w:rsidR="009B633D" w:rsidP="0079224E" w14:paraId="75FDE7C8" w14:textId="77777777">
      <w:pPr>
        <w:jc w:val="center"/>
        <w:rPr>
          <w:sz w:val="28"/>
          <w:szCs w:val="28"/>
        </w:rPr>
      </w:pPr>
      <w:r>
        <w:rPr>
          <w:b/>
          <w:sz w:val="28"/>
          <w:szCs w:val="28"/>
        </w:rPr>
        <w:t>Part A</w:t>
      </w:r>
    </w:p>
    <w:p w:rsidR="009B633D" w:rsidP="0079224E" w14:paraId="28B1E582" w14:textId="77777777">
      <w:pPr>
        <w:jc w:val="center"/>
        <w:rPr>
          <w:sz w:val="28"/>
          <w:szCs w:val="28"/>
        </w:rPr>
      </w:pPr>
    </w:p>
    <w:p w:rsidR="009B633D" w:rsidP="0079224E" w14:paraId="70D3DD3F" w14:textId="77777777">
      <w:pPr>
        <w:jc w:val="center"/>
        <w:rPr>
          <w:sz w:val="28"/>
          <w:szCs w:val="28"/>
        </w:rPr>
      </w:pPr>
    </w:p>
    <w:p w:rsidR="009B633D" w:rsidP="0079224E" w14:paraId="0ADBABA2" w14:textId="77777777">
      <w:pPr>
        <w:jc w:val="center"/>
        <w:rPr>
          <w:sz w:val="28"/>
          <w:szCs w:val="28"/>
        </w:rPr>
      </w:pPr>
    </w:p>
    <w:p w:rsidR="009B633D" w:rsidP="0079224E" w14:paraId="28540F24" w14:textId="77777777">
      <w:pPr>
        <w:jc w:val="center"/>
        <w:rPr>
          <w:sz w:val="28"/>
          <w:szCs w:val="28"/>
        </w:rPr>
      </w:pPr>
    </w:p>
    <w:p w:rsidR="009B633D" w:rsidP="0079224E" w14:paraId="3BD58EC7" w14:textId="77777777">
      <w:pPr>
        <w:jc w:val="center"/>
        <w:rPr>
          <w:b/>
          <w:sz w:val="28"/>
          <w:szCs w:val="28"/>
        </w:rPr>
      </w:pPr>
      <w:bookmarkStart w:id="0" w:name="_Hlk184101281"/>
      <w:r w:rsidRPr="00940ABB">
        <w:rPr>
          <w:b/>
          <w:sz w:val="28"/>
          <w:szCs w:val="28"/>
        </w:rPr>
        <w:t xml:space="preserve">Online </w:t>
      </w:r>
      <w:r w:rsidRPr="00940ABB" w:rsidR="003105B4">
        <w:rPr>
          <w:b/>
          <w:sz w:val="28"/>
          <w:szCs w:val="28"/>
        </w:rPr>
        <w:t xml:space="preserve">Application </w:t>
      </w:r>
      <w:r w:rsidRPr="00940ABB">
        <w:rPr>
          <w:b/>
          <w:sz w:val="28"/>
          <w:szCs w:val="28"/>
        </w:rPr>
        <w:t>Order Form for Products from the Healthcare Cost and Utilization Project (HCUP)</w:t>
      </w:r>
    </w:p>
    <w:bookmarkEnd w:id="0"/>
    <w:p w:rsidR="009B633D" w:rsidRPr="00C768AA" w:rsidP="0079224E" w14:paraId="0AD332B3" w14:textId="77777777">
      <w:pPr>
        <w:rPr>
          <w:sz w:val="28"/>
          <w:szCs w:val="28"/>
        </w:rPr>
      </w:pPr>
    </w:p>
    <w:p w:rsidR="009B633D" w:rsidP="0079224E" w14:paraId="634CBEAA" w14:textId="77777777">
      <w:pPr>
        <w:jc w:val="center"/>
        <w:rPr>
          <w:sz w:val="28"/>
          <w:szCs w:val="28"/>
        </w:rPr>
      </w:pPr>
    </w:p>
    <w:p w:rsidR="00D1465F" w:rsidP="00D1465F" w14:paraId="19F034DF" w14:textId="75E99724">
      <w:pPr>
        <w:jc w:val="center"/>
        <w:rPr>
          <w:sz w:val="28"/>
          <w:szCs w:val="28"/>
        </w:rPr>
      </w:pPr>
      <w:r w:rsidRPr="00374492">
        <w:rPr>
          <w:sz w:val="28"/>
          <w:szCs w:val="28"/>
        </w:rPr>
        <w:t xml:space="preserve">Revision of Previously Approved </w:t>
      </w:r>
      <w:r>
        <w:rPr>
          <w:sz w:val="28"/>
          <w:szCs w:val="28"/>
        </w:rPr>
        <w:t>Information Collection – 0935-0206</w:t>
      </w:r>
    </w:p>
    <w:p w:rsidR="009B633D" w:rsidP="0079224E" w14:paraId="123B5E18" w14:textId="77777777">
      <w:pPr>
        <w:jc w:val="center"/>
        <w:rPr>
          <w:sz w:val="28"/>
          <w:szCs w:val="28"/>
        </w:rPr>
      </w:pPr>
    </w:p>
    <w:p w:rsidR="009B633D" w:rsidP="0079224E" w14:paraId="0A958C7F" w14:textId="77777777">
      <w:pPr>
        <w:jc w:val="center"/>
        <w:rPr>
          <w:sz w:val="28"/>
          <w:szCs w:val="28"/>
        </w:rPr>
      </w:pPr>
    </w:p>
    <w:p w:rsidR="009B633D" w:rsidRPr="00D1465F" w:rsidP="0079224E" w14:paraId="263BAC72" w14:textId="1093A319">
      <w:pPr>
        <w:jc w:val="center"/>
        <w:rPr>
          <w:bCs/>
          <w:i/>
          <w:sz w:val="28"/>
          <w:szCs w:val="28"/>
        </w:rPr>
      </w:pPr>
      <w:r w:rsidRPr="009F75C9">
        <w:rPr>
          <w:bCs/>
          <w:sz w:val="28"/>
          <w:szCs w:val="28"/>
        </w:rPr>
        <w:t>Version</w:t>
      </w:r>
      <w:r w:rsidR="00D1465F">
        <w:rPr>
          <w:bCs/>
          <w:sz w:val="28"/>
          <w:szCs w:val="28"/>
        </w:rPr>
        <w:t>:</w:t>
      </w:r>
      <w:r w:rsidRPr="009F75C9">
        <w:rPr>
          <w:bCs/>
          <w:sz w:val="28"/>
          <w:szCs w:val="28"/>
        </w:rPr>
        <w:t xml:space="preserve"> </w:t>
      </w:r>
      <w:r w:rsidRPr="009F75C9" w:rsidR="00A66180">
        <w:rPr>
          <w:bCs/>
          <w:sz w:val="28"/>
          <w:szCs w:val="28"/>
        </w:rPr>
        <w:t xml:space="preserve"> </w:t>
      </w:r>
      <w:r w:rsidR="000C08AD">
        <w:rPr>
          <w:bCs/>
          <w:sz w:val="28"/>
          <w:szCs w:val="28"/>
        </w:rPr>
        <w:t>9/5/2025</w:t>
      </w:r>
    </w:p>
    <w:p w:rsidR="009B633D" w:rsidP="0079224E" w14:paraId="5A534FC1" w14:textId="77777777">
      <w:pPr>
        <w:jc w:val="center"/>
        <w:rPr>
          <w:sz w:val="28"/>
          <w:szCs w:val="28"/>
        </w:rPr>
      </w:pPr>
    </w:p>
    <w:p w:rsidR="009B633D" w:rsidP="0079224E" w14:paraId="49277DBF" w14:textId="77777777">
      <w:pPr>
        <w:jc w:val="center"/>
        <w:rPr>
          <w:sz w:val="28"/>
          <w:szCs w:val="28"/>
        </w:rPr>
      </w:pPr>
    </w:p>
    <w:p w:rsidR="009B633D" w:rsidP="0079224E" w14:paraId="0B0FF20A" w14:textId="77777777">
      <w:pPr>
        <w:jc w:val="center"/>
        <w:rPr>
          <w:sz w:val="28"/>
          <w:szCs w:val="28"/>
        </w:rPr>
      </w:pPr>
    </w:p>
    <w:p w:rsidR="009B633D" w:rsidP="0079224E" w14:paraId="7DC52173" w14:textId="77777777">
      <w:pPr>
        <w:jc w:val="center"/>
        <w:rPr>
          <w:sz w:val="28"/>
          <w:szCs w:val="28"/>
        </w:rPr>
      </w:pPr>
    </w:p>
    <w:p w:rsidR="009B633D" w:rsidP="0079224E" w14:paraId="0EA14559" w14:textId="77777777">
      <w:pPr>
        <w:jc w:val="center"/>
        <w:rPr>
          <w:sz w:val="28"/>
          <w:szCs w:val="28"/>
        </w:rPr>
      </w:pPr>
    </w:p>
    <w:p w:rsidR="009B633D" w:rsidP="0079224E" w14:paraId="5BEE1184" w14:textId="77777777">
      <w:pPr>
        <w:jc w:val="center"/>
        <w:rPr>
          <w:sz w:val="28"/>
          <w:szCs w:val="28"/>
        </w:rPr>
      </w:pPr>
      <w:r w:rsidRPr="00677A0B">
        <w:rPr>
          <w:sz w:val="28"/>
          <w:szCs w:val="28"/>
        </w:rPr>
        <w:t xml:space="preserve">Agency </w:t>
      </w:r>
      <w:r w:rsidR="0018183F">
        <w:rPr>
          <w:sz w:val="28"/>
          <w:szCs w:val="28"/>
        </w:rPr>
        <w:t xml:space="preserve">for </w:t>
      </w:r>
      <w:r w:rsidRPr="00677A0B">
        <w:rPr>
          <w:sz w:val="28"/>
          <w:szCs w:val="28"/>
        </w:rPr>
        <w:t>Healthcare Research and Quality (AHRQ)</w:t>
      </w:r>
    </w:p>
    <w:p w:rsidR="009B633D" w:rsidP="0079224E" w14:paraId="5722D8E8" w14:textId="77777777">
      <w:pPr>
        <w:rPr>
          <w:sz w:val="28"/>
          <w:szCs w:val="28"/>
        </w:rPr>
      </w:pPr>
    </w:p>
    <w:p w:rsidR="009B633D" w:rsidP="0079224E" w14:paraId="6EE821F5" w14:textId="77777777">
      <w:pPr>
        <w:rPr>
          <w:sz w:val="28"/>
          <w:szCs w:val="28"/>
        </w:rPr>
      </w:pPr>
    </w:p>
    <w:p w:rsidR="002F31B1" w:rsidP="0079224E" w14:paraId="5A6BA080" w14:textId="01A72D13"/>
    <w:p w:rsidR="009B633D" w:rsidP="0079224E" w14:paraId="6DF928F0" w14:textId="77777777">
      <w:pPr>
        <w:rPr>
          <w:b/>
        </w:rPr>
      </w:pPr>
      <w:r>
        <w:br w:type="page"/>
      </w:r>
      <w:r w:rsidRPr="001D0454">
        <w:rPr>
          <w:b/>
        </w:rPr>
        <w:t>Table of contents</w:t>
      </w:r>
      <w:r w:rsidR="006E1DF8">
        <w:rPr>
          <w:b/>
        </w:rPr>
        <w:t xml:space="preserve"> </w:t>
      </w:r>
    </w:p>
    <w:p w:rsidR="00EB58F3" w:rsidP="0079224E" w14:paraId="0AA4623F" w14:textId="77777777">
      <w:pPr>
        <w:jc w:val="center"/>
        <w:rPr>
          <w:b/>
        </w:rPr>
      </w:pPr>
    </w:p>
    <w:p w:rsidR="00EB58F3" w:rsidP="0079224E" w14:paraId="5F59C375" w14:textId="77777777">
      <w:pPr>
        <w:tabs>
          <w:tab w:val="left" w:leader="dot" w:pos="8280"/>
        </w:tabs>
      </w:pPr>
      <w:r w:rsidRPr="008C580E">
        <w:t>A. Justification</w:t>
      </w:r>
      <w:r w:rsidR="007B3A8E">
        <w:tab/>
        <w:t>3</w:t>
      </w:r>
    </w:p>
    <w:p w:rsidR="007B3A8E" w:rsidP="0079224E" w14:paraId="11AC3EAA" w14:textId="77777777">
      <w:pPr>
        <w:tabs>
          <w:tab w:val="left" w:pos="360"/>
          <w:tab w:val="left" w:leader="dot" w:pos="8280"/>
        </w:tabs>
      </w:pPr>
      <w:r>
        <w:tab/>
        <w:t xml:space="preserve">1. </w:t>
      </w:r>
      <w:r w:rsidR="006014DB">
        <w:t>Circumstances that make the collection of information necessary</w:t>
      </w:r>
      <w:r>
        <w:tab/>
      </w:r>
      <w:r w:rsidR="00094648">
        <w:t>3</w:t>
      </w:r>
    </w:p>
    <w:p w:rsidR="007B3A8E" w:rsidP="0079224E" w14:paraId="17ECCD76" w14:textId="47392665">
      <w:pPr>
        <w:tabs>
          <w:tab w:val="left" w:pos="360"/>
          <w:tab w:val="left" w:leader="dot" w:pos="8280"/>
        </w:tabs>
      </w:pPr>
      <w:r>
        <w:tab/>
        <w:t xml:space="preserve">2. </w:t>
      </w:r>
      <w:r w:rsidR="006014DB">
        <w:t>Purpose and use of i</w:t>
      </w:r>
      <w:r w:rsidRPr="007B3A8E">
        <w:t>nformation</w:t>
      </w:r>
      <w:r>
        <w:tab/>
      </w:r>
      <w:r w:rsidR="009F75C9">
        <w:t>5</w:t>
      </w:r>
    </w:p>
    <w:p w:rsidR="007B3A8E" w:rsidP="0079224E" w14:paraId="7292E934" w14:textId="77777777">
      <w:pPr>
        <w:tabs>
          <w:tab w:val="left" w:pos="360"/>
          <w:tab w:val="left" w:leader="dot" w:pos="8280"/>
        </w:tabs>
      </w:pPr>
      <w:r>
        <w:tab/>
        <w:t xml:space="preserve">3. </w:t>
      </w:r>
      <w:r w:rsidRPr="007B3A8E">
        <w:t>Use of Improved Information Technology</w:t>
      </w:r>
      <w:r>
        <w:tab/>
      </w:r>
      <w:r w:rsidR="001E74F9">
        <w:t>5</w:t>
      </w:r>
    </w:p>
    <w:p w:rsidR="007B3A8E" w:rsidP="0079224E" w14:paraId="090958B8" w14:textId="77777777">
      <w:pPr>
        <w:tabs>
          <w:tab w:val="left" w:pos="360"/>
          <w:tab w:val="left" w:leader="dot" w:pos="8280"/>
        </w:tabs>
      </w:pPr>
      <w:r>
        <w:tab/>
        <w:t xml:space="preserve">4. </w:t>
      </w:r>
      <w:r w:rsidRPr="007B3A8E">
        <w:t>Efforts to Identify Duplication</w:t>
      </w:r>
      <w:r>
        <w:tab/>
      </w:r>
      <w:r w:rsidR="001E74F9">
        <w:t>5</w:t>
      </w:r>
    </w:p>
    <w:p w:rsidR="007B3A8E" w:rsidP="0079224E" w14:paraId="469D42D1" w14:textId="77777777">
      <w:pPr>
        <w:tabs>
          <w:tab w:val="left" w:pos="360"/>
          <w:tab w:val="left" w:leader="dot" w:pos="8280"/>
        </w:tabs>
      </w:pPr>
      <w:r>
        <w:tab/>
        <w:t xml:space="preserve">5. </w:t>
      </w:r>
      <w:r w:rsidRPr="00556066" w:rsidR="00556066">
        <w:t>Involvement of Small Entities</w:t>
      </w:r>
      <w:r w:rsidR="00556066">
        <w:tab/>
      </w:r>
      <w:r w:rsidR="001E74F9">
        <w:t>5</w:t>
      </w:r>
    </w:p>
    <w:p w:rsidR="00556066" w:rsidP="0079224E" w14:paraId="1A1919B4" w14:textId="77777777">
      <w:pPr>
        <w:tabs>
          <w:tab w:val="left" w:pos="360"/>
          <w:tab w:val="left" w:leader="dot" w:pos="8280"/>
        </w:tabs>
      </w:pPr>
      <w:r>
        <w:tab/>
        <w:t xml:space="preserve">6. </w:t>
      </w:r>
      <w:r w:rsidRPr="00556066">
        <w:t>Consequences if Information Collected Less Frequently</w:t>
      </w:r>
      <w:r>
        <w:tab/>
      </w:r>
      <w:r w:rsidR="001E74F9">
        <w:t>5</w:t>
      </w:r>
    </w:p>
    <w:p w:rsidR="00556066" w:rsidP="0079224E" w14:paraId="4FFBD6B2" w14:textId="77777777">
      <w:pPr>
        <w:tabs>
          <w:tab w:val="left" w:pos="360"/>
          <w:tab w:val="left" w:leader="dot" w:pos="8280"/>
        </w:tabs>
      </w:pPr>
      <w:r>
        <w:tab/>
        <w:t xml:space="preserve">7. </w:t>
      </w:r>
      <w:r w:rsidRPr="00556066">
        <w:t>Special Circumstances</w:t>
      </w:r>
      <w:r>
        <w:tab/>
      </w:r>
      <w:r w:rsidR="001E74F9">
        <w:t>5</w:t>
      </w:r>
    </w:p>
    <w:p w:rsidR="00556066" w:rsidP="0079224E" w14:paraId="0B684F5F" w14:textId="7682D3BE">
      <w:pPr>
        <w:tabs>
          <w:tab w:val="left" w:pos="360"/>
          <w:tab w:val="left" w:leader="dot" w:pos="8280"/>
        </w:tabs>
      </w:pPr>
      <w:r>
        <w:tab/>
        <w:t xml:space="preserve">8. </w:t>
      </w:r>
      <w:r w:rsidRPr="00556066">
        <w:t>Consultation outside the Agency</w:t>
      </w:r>
      <w:r>
        <w:tab/>
      </w:r>
      <w:r w:rsidR="009F75C9">
        <w:t>6</w:t>
      </w:r>
    </w:p>
    <w:p w:rsidR="00556066" w:rsidP="0079224E" w14:paraId="3BB9A7C9" w14:textId="77777777">
      <w:pPr>
        <w:tabs>
          <w:tab w:val="left" w:pos="360"/>
          <w:tab w:val="left" w:leader="dot" w:pos="8280"/>
        </w:tabs>
      </w:pPr>
      <w:r>
        <w:tab/>
        <w:t xml:space="preserve">9. </w:t>
      </w:r>
      <w:r w:rsidRPr="00556066">
        <w:t>Payments/Gifts to Respondents</w:t>
      </w:r>
      <w:r>
        <w:tab/>
      </w:r>
      <w:r w:rsidR="001E74F9">
        <w:t>6</w:t>
      </w:r>
    </w:p>
    <w:p w:rsidR="00556066" w:rsidP="0079224E" w14:paraId="5C668D4E" w14:textId="77777777">
      <w:pPr>
        <w:tabs>
          <w:tab w:val="left" w:pos="360"/>
          <w:tab w:val="left" w:leader="dot" w:pos="8280"/>
        </w:tabs>
      </w:pPr>
      <w:r>
        <w:tab/>
        <w:t xml:space="preserve">10. </w:t>
      </w:r>
      <w:r w:rsidRPr="00556066">
        <w:t>Assurance of Confidentiality</w:t>
      </w:r>
      <w:r>
        <w:tab/>
      </w:r>
      <w:r w:rsidR="001E74F9">
        <w:t>6</w:t>
      </w:r>
    </w:p>
    <w:p w:rsidR="00556066" w:rsidP="0079224E" w14:paraId="6547C785" w14:textId="77777777">
      <w:pPr>
        <w:tabs>
          <w:tab w:val="left" w:pos="360"/>
          <w:tab w:val="left" w:leader="dot" w:pos="8280"/>
        </w:tabs>
      </w:pPr>
      <w:r>
        <w:tab/>
        <w:t xml:space="preserve">11. </w:t>
      </w:r>
      <w:r w:rsidRPr="00556066">
        <w:t>Questions of a Sensitive Nature</w:t>
      </w:r>
      <w:r>
        <w:tab/>
      </w:r>
      <w:r w:rsidR="001E74F9">
        <w:t>7</w:t>
      </w:r>
    </w:p>
    <w:p w:rsidR="00556066" w:rsidP="0079224E" w14:paraId="0DBE1F86" w14:textId="77777777">
      <w:pPr>
        <w:tabs>
          <w:tab w:val="left" w:pos="360"/>
          <w:tab w:val="left" w:leader="dot" w:pos="8280"/>
        </w:tabs>
      </w:pPr>
      <w:r>
        <w:tab/>
        <w:t xml:space="preserve">12. </w:t>
      </w:r>
      <w:r w:rsidRPr="00556066">
        <w:t>Estimates of Annualized Burden Hours and Costs</w:t>
      </w:r>
      <w:r>
        <w:tab/>
      </w:r>
      <w:r w:rsidR="001E74F9">
        <w:t>7</w:t>
      </w:r>
    </w:p>
    <w:p w:rsidR="00556066" w:rsidP="0079224E" w14:paraId="51CC01DD" w14:textId="77777777">
      <w:pPr>
        <w:tabs>
          <w:tab w:val="left" w:pos="360"/>
          <w:tab w:val="left" w:leader="dot" w:pos="8280"/>
        </w:tabs>
      </w:pPr>
      <w:r>
        <w:tab/>
        <w:t xml:space="preserve">13. </w:t>
      </w:r>
      <w:r w:rsidRPr="00556066">
        <w:t>Estimates of Annualized Respondent Capital and Maintenance Costs</w:t>
      </w:r>
      <w:r>
        <w:tab/>
      </w:r>
      <w:r w:rsidR="001E74F9">
        <w:t>8</w:t>
      </w:r>
    </w:p>
    <w:p w:rsidR="00556066" w:rsidP="0079224E" w14:paraId="1A705F3E" w14:textId="64CCFA1C">
      <w:pPr>
        <w:tabs>
          <w:tab w:val="left" w:pos="360"/>
          <w:tab w:val="left" w:leader="dot" w:pos="8280"/>
        </w:tabs>
      </w:pPr>
      <w:r>
        <w:tab/>
        <w:t xml:space="preserve">14. </w:t>
      </w:r>
      <w:r w:rsidRPr="00556066">
        <w:t>Estimates of Annualized Cost to the Government</w:t>
      </w:r>
      <w:r>
        <w:tab/>
      </w:r>
      <w:r w:rsidR="001E74F9">
        <w:t>8</w:t>
      </w:r>
    </w:p>
    <w:p w:rsidR="00556066" w:rsidP="0079224E" w14:paraId="64028CD6" w14:textId="77777777">
      <w:pPr>
        <w:tabs>
          <w:tab w:val="left" w:pos="360"/>
          <w:tab w:val="left" w:leader="dot" w:pos="8280"/>
        </w:tabs>
      </w:pPr>
      <w:r>
        <w:tab/>
        <w:t xml:space="preserve">15. </w:t>
      </w:r>
      <w:r w:rsidRPr="00556066">
        <w:t>Changes in Hour Burden</w:t>
      </w:r>
      <w:r>
        <w:tab/>
      </w:r>
      <w:r w:rsidR="001E74F9">
        <w:t>9</w:t>
      </w:r>
    </w:p>
    <w:p w:rsidR="006014DB" w:rsidP="0079224E" w14:paraId="50E1DA3D" w14:textId="77777777">
      <w:pPr>
        <w:tabs>
          <w:tab w:val="left" w:pos="360"/>
          <w:tab w:val="left" w:leader="dot" w:pos="8280"/>
        </w:tabs>
      </w:pPr>
      <w:r>
        <w:tab/>
        <w:t xml:space="preserve">16. </w:t>
      </w:r>
      <w:r w:rsidRPr="006014DB">
        <w:t>Time Schedule, Publication and Analysis Plans</w:t>
      </w:r>
      <w:r>
        <w:tab/>
      </w:r>
      <w:r w:rsidR="001E74F9">
        <w:t>9</w:t>
      </w:r>
    </w:p>
    <w:p w:rsidR="001B3E52" w:rsidP="0079224E" w14:paraId="1B1B40A4" w14:textId="3158DA48">
      <w:pPr>
        <w:tabs>
          <w:tab w:val="left" w:pos="360"/>
          <w:tab w:val="left" w:leader="dot" w:pos="8280"/>
        </w:tabs>
      </w:pPr>
      <w:r>
        <w:tab/>
        <w:t xml:space="preserve">17. </w:t>
      </w:r>
      <w:r w:rsidRPr="006014DB">
        <w:t>Exemption for Display of Expiration Date</w:t>
      </w:r>
      <w:r>
        <w:tab/>
      </w:r>
      <w:r w:rsidR="001E74F9">
        <w:t>9</w:t>
      </w:r>
    </w:p>
    <w:p w:rsidR="00363C3A" w:rsidRPr="00556066" w:rsidP="0079224E" w14:paraId="7F8B8BFF" w14:textId="64351A6E">
      <w:pPr>
        <w:tabs>
          <w:tab w:val="left" w:pos="360"/>
          <w:tab w:val="left" w:leader="dot" w:pos="8280"/>
        </w:tabs>
      </w:pPr>
      <w:r>
        <w:tab/>
      </w:r>
      <w:r>
        <w:t>List of Attachments</w:t>
      </w:r>
      <w:r>
        <w:tab/>
      </w:r>
      <w:r w:rsidR="0086177C">
        <w:t>9</w:t>
      </w:r>
    </w:p>
    <w:p w:rsidR="00363C3A" w:rsidP="0079224E" w14:paraId="2786AD39" w14:textId="77777777">
      <w:pPr>
        <w:tabs>
          <w:tab w:val="left" w:pos="360"/>
          <w:tab w:val="left" w:leader="dot" w:pos="8280"/>
        </w:tabs>
      </w:pPr>
    </w:p>
    <w:p w:rsidR="00556066" w:rsidRPr="00556066" w:rsidP="0079224E" w14:paraId="74B039A6" w14:textId="77777777">
      <w:pPr>
        <w:tabs>
          <w:tab w:val="left" w:pos="360"/>
          <w:tab w:val="left" w:leader="dot" w:pos="8280"/>
        </w:tabs>
      </w:pPr>
      <w:r>
        <w:tab/>
      </w:r>
    </w:p>
    <w:p w:rsidR="00556066" w:rsidRPr="00556066" w:rsidP="0079224E" w14:paraId="27A07C42" w14:textId="77777777">
      <w:pPr>
        <w:tabs>
          <w:tab w:val="left" w:pos="360"/>
          <w:tab w:val="left" w:leader="dot" w:pos="8280"/>
        </w:tabs>
      </w:pPr>
      <w:r>
        <w:tab/>
      </w:r>
    </w:p>
    <w:p w:rsidR="009B633D" w:rsidP="0079224E" w14:paraId="52CBB9A1" w14:textId="77777777">
      <w:pPr>
        <w:jc w:val="center"/>
        <w:rPr>
          <w:b/>
        </w:rPr>
      </w:pPr>
    </w:p>
    <w:p w:rsidR="009B633D" w:rsidP="0079224E" w14:paraId="6C9D4488"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009B633D" w:rsidRPr="001D0454" w:rsidP="0079224E" w14:paraId="685AF696" w14:textId="77777777">
      <w:pPr>
        <w:jc w:val="center"/>
        <w:rPr>
          <w:b/>
        </w:rPr>
      </w:pPr>
      <w:r>
        <w:rPr>
          <w:b/>
        </w:rPr>
        <w:fldChar w:fldCharType="end"/>
      </w:r>
    </w:p>
    <w:p w:rsidR="009B633D" w:rsidRPr="006014DB" w:rsidP="0079224E" w14:paraId="04B2C8F7" w14:textId="77777777">
      <w:pPr>
        <w:pStyle w:val="Heading1"/>
        <w:rPr>
          <w:sz w:val="24"/>
          <w:szCs w:val="24"/>
        </w:rPr>
      </w:pPr>
      <w:r>
        <w:br w:type="page"/>
      </w:r>
      <w:bookmarkStart w:id="1" w:name="_Toc151782175"/>
      <w:bookmarkStart w:id="2" w:name="_Toc158526215"/>
      <w:r w:rsidRPr="006014DB">
        <w:rPr>
          <w:sz w:val="24"/>
          <w:szCs w:val="24"/>
        </w:rPr>
        <w:t>A. Justification</w:t>
      </w:r>
      <w:bookmarkEnd w:id="1"/>
      <w:bookmarkEnd w:id="2"/>
    </w:p>
    <w:p w:rsidR="009B633D" w:rsidRPr="006014DB" w:rsidP="0079224E" w14:paraId="59D4517E" w14:textId="77777777"/>
    <w:p w:rsidR="009B633D" w:rsidP="0079224E" w14:paraId="41473D98" w14:textId="77777777">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Pr="006014DB" w:rsidR="006014DB">
        <w:rPr>
          <w:sz w:val="24"/>
          <w:szCs w:val="24"/>
        </w:rPr>
        <w:t>Circumstances that make the collection of information necessary</w:t>
      </w:r>
    </w:p>
    <w:p w:rsidR="006014DB" w:rsidP="0079224E" w14:paraId="6512BC7E" w14:textId="77777777"/>
    <w:p w:rsidR="00D1465F" w:rsidRPr="00233561" w:rsidP="0079224E" w14:paraId="0F7BF220" w14:textId="37050A75">
      <w:pPr>
        <w:rPr>
          <w:b/>
          <w:bCs/>
        </w:rPr>
      </w:pPr>
      <w:r w:rsidRPr="00233561">
        <w:rPr>
          <w:b/>
          <w:bCs/>
        </w:rPr>
        <w:t>About AHRQ:</w:t>
      </w:r>
    </w:p>
    <w:p w:rsidR="000A140E" w:rsidP="0079224E" w14:paraId="1AD62A88" w14:textId="4068CC8C">
      <w:r>
        <w:t xml:space="preserve">The mission of the Agency for Healthcare Research and Quality (AHRQ) set out in its authorizing legislation, The Healthcare Research and Quality Act of 1999 (see </w:t>
      </w:r>
      <w:hyperlink r:id="rId5" w:history="1">
        <w:r w:rsidRPr="007E14AC" w:rsidR="0032683D">
          <w:rPr>
            <w:rStyle w:val="Hyperlink"/>
          </w:rPr>
          <w:t>https://www.ahrq.gov/policymakers/hrqa99a.html</w:t>
        </w:r>
      </w:hyperlink>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14DB" w:rsidP="0079224E" w14:paraId="252A6771" w14:textId="77777777"/>
    <w:p w:rsidR="00606400" w:rsidP="0079224E" w14:paraId="66CF3131" w14:textId="77777777">
      <w:pPr>
        <w:tabs>
          <w:tab w:val="left" w:pos="360"/>
        </w:tabs>
        <w:ind w:left="360" w:hanging="360"/>
      </w:pPr>
      <w:r>
        <w:tab/>
        <w:t>1.</w:t>
      </w:r>
      <w:r>
        <w:tab/>
      </w:r>
      <w:r w:rsidR="002C6F31">
        <w:t>Research</w:t>
      </w:r>
      <w:r>
        <w:t xml:space="preserve"> that develops and presents scientific evidence regardi</w:t>
      </w:r>
      <w:r w:rsidR="00AA1DDC">
        <w:t xml:space="preserve">ng all aspects of </w:t>
      </w:r>
      <w:r w:rsidR="00AA1DDC">
        <w:tab/>
      </w:r>
      <w:r w:rsidR="00AA1DDC">
        <w:tab/>
        <w:t>health care</w:t>
      </w:r>
      <w:r w:rsidR="00325B9C">
        <w:t>;</w:t>
      </w:r>
      <w:r w:rsidR="00B645ED">
        <w:t xml:space="preserve"> and</w:t>
      </w:r>
    </w:p>
    <w:p w:rsidR="00325B9C" w:rsidP="0079224E" w14:paraId="359F0828" w14:textId="77777777">
      <w:pPr>
        <w:tabs>
          <w:tab w:val="left" w:pos="360"/>
        </w:tabs>
        <w:ind w:left="360"/>
      </w:pPr>
    </w:p>
    <w:p w:rsidR="00325B9C" w:rsidP="0079224E" w14:paraId="3108BAD4" w14:textId="77777777">
      <w:pPr>
        <w:tabs>
          <w:tab w:val="left" w:pos="360"/>
        </w:tabs>
        <w:ind w:left="360"/>
      </w:pPr>
      <w:r>
        <w:t>2.</w:t>
      </w:r>
      <w:r>
        <w:tab/>
      </w:r>
      <w:r w:rsidR="002C6F31">
        <w:t>The</w:t>
      </w:r>
      <w:r w:rsidR="00B645ED">
        <w:t xml:space="preserve"> synthesis and dissemination of available scientific evidence for use by </w:t>
      </w:r>
      <w:r w:rsidR="00B645ED">
        <w:tab/>
        <w:t xml:space="preserve">patients, consumers, practitioners, providers, purchasers, policy makers, and </w:t>
      </w:r>
      <w:r w:rsidR="00B645ED">
        <w:tab/>
        <w:t>educators; and</w:t>
      </w:r>
    </w:p>
    <w:p w:rsidR="00B645ED" w:rsidP="0079224E" w14:paraId="36F417C1" w14:textId="77777777">
      <w:pPr>
        <w:tabs>
          <w:tab w:val="left" w:pos="360"/>
        </w:tabs>
        <w:ind w:left="360"/>
      </w:pPr>
    </w:p>
    <w:p w:rsidR="00B645ED" w:rsidP="0079224E" w14:paraId="4D401E8E" w14:textId="77777777">
      <w:pPr>
        <w:tabs>
          <w:tab w:val="left" w:pos="360"/>
        </w:tabs>
        <w:ind w:left="360"/>
      </w:pPr>
      <w:r>
        <w:t>3.</w:t>
      </w:r>
      <w:r>
        <w:tab/>
      </w:r>
      <w:r w:rsidR="002C6F31">
        <w:t>Initiatives</w:t>
      </w:r>
      <w:r>
        <w:t xml:space="preserve"> to advance private and public efforts to improve health care quality.</w:t>
      </w:r>
    </w:p>
    <w:p w:rsidR="00B645ED" w:rsidP="0079224E" w14:paraId="2FE10674" w14:textId="77777777">
      <w:pPr>
        <w:tabs>
          <w:tab w:val="left" w:pos="360"/>
        </w:tabs>
      </w:pPr>
    </w:p>
    <w:p w:rsidR="008450C0" w:rsidP="0079224E" w14:paraId="66C153F3" w14:textId="77777777">
      <w:pPr>
        <w:tabs>
          <w:tab w:val="left" w:pos="360"/>
        </w:tabs>
      </w:pPr>
      <w:r>
        <w:t>Also, AHRQ shall conduct and support research and evaluations, and support demonstration projects, with respect to (A) the delivery of health care in inner-city areas, and in rural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8450C0" w:rsidP="0079224E" w14:paraId="21BE79E1" w14:textId="77777777">
      <w:pPr>
        <w:tabs>
          <w:tab w:val="left" w:pos="360"/>
        </w:tabs>
      </w:pPr>
    </w:p>
    <w:p w:rsidR="00D1465F" w:rsidRPr="000112B1" w:rsidP="0079224E" w14:paraId="1F6B2FFB" w14:textId="260E39D1">
      <w:pPr>
        <w:outlineLvl w:val="0"/>
        <w:rPr>
          <w:b/>
        </w:rPr>
      </w:pPr>
      <w:bookmarkStart w:id="5" w:name="_Hlk87965935"/>
      <w:bookmarkStart w:id="6" w:name="_Toc151782177"/>
      <w:bookmarkStart w:id="7" w:name="_Toc158526217"/>
      <w:r w:rsidRPr="000112B1">
        <w:rPr>
          <w:b/>
        </w:rPr>
        <w:t>Summary of this Information Collection Request</w:t>
      </w:r>
      <w:r>
        <w:rPr>
          <w:b/>
        </w:rPr>
        <w:t xml:space="preserve"> (ICR)</w:t>
      </w:r>
      <w:r w:rsidRPr="000112B1">
        <w:rPr>
          <w:b/>
        </w:rPr>
        <w:t>:</w:t>
      </w:r>
    </w:p>
    <w:p w:rsidR="00D1465F" w:rsidP="0079224E" w14:paraId="3BA41E97" w14:textId="0AD6CE19">
      <w:pPr>
        <w:outlineLvl w:val="0"/>
        <w:rPr>
          <w:bCs/>
        </w:rPr>
      </w:pPr>
      <w:r>
        <w:rPr>
          <w:bCs/>
        </w:rPr>
        <w:t xml:space="preserve">This ICR is for a </w:t>
      </w:r>
      <w:r w:rsidR="000112B1">
        <w:rPr>
          <w:bCs/>
        </w:rPr>
        <w:t xml:space="preserve">revision to </w:t>
      </w:r>
      <w:r w:rsidR="00820A4A">
        <w:rPr>
          <w:bCs/>
        </w:rPr>
        <w:t>0935-0206,</w:t>
      </w:r>
      <w:r w:rsidR="000112B1">
        <w:rPr>
          <w:bCs/>
        </w:rPr>
        <w:t xml:space="preserve"> “</w:t>
      </w:r>
      <w:bookmarkStart w:id="8" w:name="_Hlk184103854"/>
      <w:r w:rsidRPr="000112B1" w:rsidR="000112B1">
        <w:rPr>
          <w:bCs/>
          <w:i/>
          <w:iCs/>
        </w:rPr>
        <w:t>Online Application Order Form for Products from the Healthcare Cost and Utilization Project</w:t>
      </w:r>
      <w:bookmarkEnd w:id="8"/>
      <w:r w:rsidR="000112B1">
        <w:rPr>
          <w:bCs/>
          <w:i/>
          <w:iCs/>
        </w:rPr>
        <w:t>.</w:t>
      </w:r>
      <w:r w:rsidR="000112B1">
        <w:rPr>
          <w:bCs/>
        </w:rPr>
        <w:t xml:space="preserve">”  </w:t>
      </w:r>
      <w:r w:rsidR="00820A4A">
        <w:rPr>
          <w:bCs/>
        </w:rPr>
        <w:t xml:space="preserve">Revisions include </w:t>
      </w:r>
      <w:r w:rsidR="00233561">
        <w:rPr>
          <w:bCs/>
        </w:rPr>
        <w:t xml:space="preserve">a redesigned HCUP application form and reducing the number of DUAs to one state and one nationwide version. </w:t>
      </w:r>
      <w:r w:rsidR="00820A4A">
        <w:rPr>
          <w:bCs/>
        </w:rPr>
        <w:t xml:space="preserve">The current expiration date for 0935-0206 </w:t>
      </w:r>
      <w:r w:rsidR="00F90271">
        <w:rPr>
          <w:bCs/>
        </w:rPr>
        <w:t>wa</w:t>
      </w:r>
      <w:r w:rsidR="00820A4A">
        <w:rPr>
          <w:bCs/>
        </w:rPr>
        <w:t>s 5/31/2025 and AHRQ is requesting a new expiration date, 3 years from approval of this ICR.</w:t>
      </w:r>
    </w:p>
    <w:p w:rsidR="000112B1" w:rsidP="0079224E" w14:paraId="22BE37E5" w14:textId="77777777">
      <w:pPr>
        <w:outlineLvl w:val="0"/>
        <w:rPr>
          <w:bCs/>
        </w:rPr>
      </w:pPr>
    </w:p>
    <w:p w:rsidR="00820A4A" w:rsidRPr="00820A4A" w:rsidP="0079224E" w14:paraId="1E511BCB" w14:textId="0A9143C5">
      <w:pPr>
        <w:outlineLvl w:val="0"/>
        <w:rPr>
          <w:b/>
        </w:rPr>
      </w:pPr>
      <w:r w:rsidRPr="00820A4A">
        <w:rPr>
          <w:b/>
        </w:rPr>
        <w:t>Background of the Healthcare Cost and Utilization Project (HCUP):</w:t>
      </w:r>
    </w:p>
    <w:p w:rsidR="006A18E7" w:rsidP="0079224E" w14:paraId="23567618" w14:textId="0A4BF05F">
      <w:pPr>
        <w:outlineLvl w:val="0"/>
        <w:rPr>
          <w:bCs/>
        </w:rPr>
      </w:pPr>
      <w:r w:rsidRPr="006D06D7">
        <w:rPr>
          <w:bCs/>
        </w:rPr>
        <w:t xml:space="preserve">The </w:t>
      </w:r>
      <w:bookmarkStart w:id="9" w:name="_Hlk184103119"/>
      <w:r w:rsidRPr="006D06D7">
        <w:rPr>
          <w:bCs/>
        </w:rPr>
        <w:t xml:space="preserve">Healthcare Cost and Utilization Project </w:t>
      </w:r>
      <w:bookmarkEnd w:id="9"/>
      <w:r w:rsidRPr="006D06D7">
        <w:rPr>
          <w:bCs/>
        </w:rPr>
        <w:t xml:space="preserve">is a vital resource helping the Agency achieve its research agenda, thereby furthering its goal of improving the delivery of health care in the United States. HCUP is a family of health care databases developed through a Federal-State-Industry partnership and sponsored by AHRQ. HCUP includes the largest collection of longitudinal hospital care data in the United States, with all-payer, encounter-level information beginning in 1988. The HCUP databases are annual files that contain anonymous information from hospital discharge records for inpatient care and certain components of outpatient care, such as emergency care and ambulatory surgeries. </w:t>
      </w:r>
    </w:p>
    <w:p w:rsidR="006A18E7" w:rsidP="0079224E" w14:paraId="46FD49E4" w14:textId="77777777">
      <w:pPr>
        <w:outlineLvl w:val="0"/>
        <w:rPr>
          <w:bCs/>
        </w:rPr>
      </w:pPr>
    </w:p>
    <w:p w:rsidR="00130B5E" w:rsidRPr="006D06D7" w:rsidP="0079224E" w14:paraId="7E087B21" w14:textId="77777777">
      <w:pPr>
        <w:outlineLvl w:val="0"/>
        <w:rPr>
          <w:bCs/>
        </w:rPr>
      </w:pPr>
      <w:bookmarkStart w:id="10" w:name="_Hlk87967412"/>
      <w:r w:rsidRPr="006D06D7">
        <w:rPr>
          <w:bCs/>
        </w:rPr>
        <w:t xml:space="preserve">The project currently </w:t>
      </w:r>
      <w:r w:rsidR="006A18E7">
        <w:rPr>
          <w:bCs/>
        </w:rPr>
        <w:t>creates</w:t>
      </w:r>
      <w:r w:rsidRPr="006D06D7" w:rsidR="006A18E7">
        <w:rPr>
          <w:bCs/>
        </w:rPr>
        <w:t xml:space="preserve"> </w:t>
      </w:r>
      <w:r w:rsidR="00A66180">
        <w:rPr>
          <w:bCs/>
        </w:rPr>
        <w:t>eight</w:t>
      </w:r>
      <w:r w:rsidRPr="006D06D7" w:rsidR="00A66180">
        <w:rPr>
          <w:bCs/>
        </w:rPr>
        <w:t xml:space="preserve"> </w:t>
      </w:r>
      <w:r w:rsidRPr="006D06D7">
        <w:rPr>
          <w:bCs/>
        </w:rPr>
        <w:t xml:space="preserve">types of </w:t>
      </w:r>
      <w:r w:rsidR="006A18E7">
        <w:rPr>
          <w:bCs/>
        </w:rPr>
        <w:t xml:space="preserve">restricted access public release </w:t>
      </w:r>
      <w:r w:rsidRPr="006D06D7">
        <w:rPr>
          <w:bCs/>
        </w:rPr>
        <w:t xml:space="preserve">databases </w:t>
      </w:r>
      <w:r w:rsidR="00D401CF">
        <w:rPr>
          <w:bCs/>
        </w:rPr>
        <w:t xml:space="preserve">and related files that are </w:t>
      </w:r>
      <w:r w:rsidR="006A18E7">
        <w:rPr>
          <w:bCs/>
        </w:rPr>
        <w:t xml:space="preserve">released to authorized users under the terms of the HCUP Data Use Agreement (DUA). These HCUP databases </w:t>
      </w:r>
      <w:r w:rsidR="00711039">
        <w:rPr>
          <w:bCs/>
        </w:rPr>
        <w:t xml:space="preserve">and files </w:t>
      </w:r>
      <w:r w:rsidR="006A18E7">
        <w:rPr>
          <w:bCs/>
        </w:rPr>
        <w:t>are used by researchers for</w:t>
      </w:r>
      <w:r w:rsidRPr="006D06D7">
        <w:rPr>
          <w:bCs/>
        </w:rPr>
        <w:t xml:space="preserve"> a broad range of health issues, including cost and quality of health services, medical practice patterns, access to health care programs, and outcomes of treatments at the national, State, and local market levels. </w:t>
      </w:r>
    </w:p>
    <w:p w:rsidR="00130B5E" w:rsidP="0079224E" w14:paraId="26688FE2" w14:textId="77777777">
      <w:pPr>
        <w:outlineLvl w:val="0"/>
        <w:rPr>
          <w:bCs/>
        </w:rPr>
      </w:pPr>
    </w:p>
    <w:p w:rsidR="001332CA" w:rsidP="0079224E" w14:paraId="6CE71FF0" w14:textId="1F31455D">
      <w:pPr>
        <w:outlineLvl w:val="0"/>
        <w:rPr>
          <w:bCs/>
        </w:rPr>
      </w:pPr>
      <w:r>
        <w:rPr>
          <w:bCs/>
        </w:rPr>
        <w:t xml:space="preserve">The goal of the </w:t>
      </w:r>
      <w:r w:rsidRPr="000112B1">
        <w:rPr>
          <w:bCs/>
          <w:i/>
          <w:iCs/>
        </w:rPr>
        <w:t>Online Application Order Form for Products from the Healthcare Cost and Utilization Project</w:t>
      </w:r>
      <w:r>
        <w:rPr>
          <w:bCs/>
        </w:rPr>
        <w:t xml:space="preserve"> is to</w:t>
      </w:r>
      <w:r w:rsidR="000A7D79">
        <w:rPr>
          <w:bCs/>
        </w:rPr>
        <w:t>:</w:t>
      </w:r>
    </w:p>
    <w:p w:rsidR="001332CA" w:rsidRPr="000A7D79" w:rsidP="00233561" w14:paraId="01CE8C34" w14:textId="60C7C72A">
      <w:pPr>
        <w:pStyle w:val="ListParagraph"/>
        <w:numPr>
          <w:ilvl w:val="0"/>
          <w:numId w:val="6"/>
        </w:numPr>
        <w:outlineLvl w:val="0"/>
        <w:rPr>
          <w:bCs/>
        </w:rPr>
      </w:pPr>
      <w:r w:rsidRPr="000A7D79">
        <w:rPr>
          <w:bCs/>
        </w:rPr>
        <w:t>Allow restricted</w:t>
      </w:r>
      <w:r w:rsidR="000A7D79">
        <w:rPr>
          <w:bCs/>
        </w:rPr>
        <w:t xml:space="preserve"> access</w:t>
      </w:r>
      <w:r w:rsidRPr="000A7D79">
        <w:rPr>
          <w:bCs/>
        </w:rPr>
        <w:t xml:space="preserve"> public</w:t>
      </w:r>
      <w:r w:rsidR="000A7D79">
        <w:rPr>
          <w:bCs/>
        </w:rPr>
        <w:t xml:space="preserve"> release</w:t>
      </w:r>
      <w:r w:rsidRPr="000A7D79" w:rsidR="002A6BF3">
        <w:rPr>
          <w:bCs/>
        </w:rPr>
        <w:t xml:space="preserve"> and tracking</w:t>
      </w:r>
      <w:r w:rsidRPr="000A7D79">
        <w:rPr>
          <w:bCs/>
        </w:rPr>
        <w:t xml:space="preserve"> </w:t>
      </w:r>
      <w:r w:rsidRPr="000A7D79" w:rsidR="002A6BF3">
        <w:rPr>
          <w:bCs/>
        </w:rPr>
        <w:t>of</w:t>
      </w:r>
      <w:r w:rsidRPr="000A7D79">
        <w:rPr>
          <w:bCs/>
        </w:rPr>
        <w:t xml:space="preserve"> the eight HCUP databases.</w:t>
      </w:r>
    </w:p>
    <w:p w:rsidR="000A7D79" w:rsidP="00FC0B85" w14:paraId="34712088" w14:textId="3E9FBA57">
      <w:pPr>
        <w:outlineLvl w:val="0"/>
        <w:rPr>
          <w:bCs/>
        </w:rPr>
      </w:pPr>
      <w:r>
        <w:rPr>
          <w:bCs/>
        </w:rPr>
        <w:t>To achieve this goal the following data collections and activities are required:</w:t>
      </w:r>
    </w:p>
    <w:p w:rsidR="002A2ABA" w:rsidP="00FC0B85" w14:paraId="4738AEE6" w14:textId="77777777">
      <w:pPr>
        <w:outlineLvl w:val="0"/>
        <w:rPr>
          <w:bCs/>
        </w:rPr>
      </w:pPr>
    </w:p>
    <w:p w:rsidR="00284DFA" w:rsidP="00233561" w14:paraId="783BBF40" w14:textId="112DBBA3">
      <w:pPr>
        <w:pStyle w:val="ListParagraph"/>
        <w:numPr>
          <w:ilvl w:val="0"/>
          <w:numId w:val="7"/>
        </w:numPr>
        <w:spacing w:before="0" w:beforeAutospacing="0" w:after="0" w:afterAutospacing="0"/>
        <w:outlineLvl w:val="0"/>
        <w:rPr>
          <w:bCs/>
        </w:rPr>
      </w:pPr>
      <w:r w:rsidRPr="00F65E6D">
        <w:rPr>
          <w:bCs/>
        </w:rPr>
        <w:t>HCUP DUA Training Course</w:t>
      </w:r>
      <w:r>
        <w:rPr>
          <w:bCs/>
        </w:rPr>
        <w:t xml:space="preserve"> - </w:t>
      </w:r>
      <w:r w:rsidRPr="00F65E6D">
        <w:rPr>
          <w:bCs/>
        </w:rPr>
        <w:t>All purchasers and users of HCUP data must complete th</w:t>
      </w:r>
      <w:r>
        <w:rPr>
          <w:bCs/>
        </w:rPr>
        <w:t xml:space="preserve">is training prior to signing the DUA.  </w:t>
      </w:r>
      <w:r w:rsidRPr="00F65E6D">
        <w:rPr>
          <w:bCs/>
        </w:rPr>
        <w:t>This Web-based training course outlines important terms of the DUA. The purpose of the course is to</w:t>
      </w:r>
      <w:r>
        <w:rPr>
          <w:bCs/>
        </w:rPr>
        <w:t xml:space="preserve"> e</w:t>
      </w:r>
      <w:r w:rsidRPr="00F65E6D">
        <w:rPr>
          <w:bCs/>
        </w:rPr>
        <w:t>mphasize the importance of data protection</w:t>
      </w:r>
      <w:r>
        <w:rPr>
          <w:bCs/>
        </w:rPr>
        <w:t>, r</w:t>
      </w:r>
      <w:r w:rsidRPr="00F65E6D">
        <w:rPr>
          <w:bCs/>
        </w:rPr>
        <w:t>educe the risk of inadvertent violations</w:t>
      </w:r>
      <w:r w:rsidR="00FE4A2D">
        <w:rPr>
          <w:bCs/>
        </w:rPr>
        <w:t>,</w:t>
      </w:r>
      <w:r>
        <w:rPr>
          <w:bCs/>
        </w:rPr>
        <w:t xml:space="preserve"> and d</w:t>
      </w:r>
      <w:r w:rsidRPr="00F65E6D">
        <w:rPr>
          <w:bCs/>
        </w:rPr>
        <w:t>escribe an individual’s responsibility when using HCUP data.</w:t>
      </w:r>
      <w:r w:rsidR="00FE4A2D">
        <w:rPr>
          <w:bCs/>
        </w:rPr>
        <w:t xml:space="preserve">  </w:t>
      </w:r>
      <w:r w:rsidRPr="00FE4A2D">
        <w:rPr>
          <w:bCs/>
        </w:rPr>
        <w:t>After completing the training course, an HCUP DUA Training Course certification code</w:t>
      </w:r>
      <w:r w:rsidR="00991423">
        <w:rPr>
          <w:bCs/>
        </w:rPr>
        <w:t xml:space="preserve"> is received</w:t>
      </w:r>
      <w:r w:rsidRPr="00FE4A2D">
        <w:rPr>
          <w:bCs/>
        </w:rPr>
        <w:t xml:space="preserve">. </w:t>
      </w:r>
      <w:r w:rsidR="00FE4A2D">
        <w:rPr>
          <w:bCs/>
        </w:rPr>
        <w:t xml:space="preserve">This code is </w:t>
      </w:r>
      <w:r w:rsidRPr="00FE4A2D">
        <w:rPr>
          <w:bCs/>
        </w:rPr>
        <w:t>required to purchase or gain access to HCUP data.</w:t>
      </w:r>
      <w:r w:rsidR="003D3452">
        <w:rPr>
          <w:bCs/>
        </w:rPr>
        <w:t xml:space="preserve">  See Attachment A.</w:t>
      </w:r>
    </w:p>
    <w:p w:rsidR="00284DFA" w:rsidRPr="00284DFA" w:rsidP="00233561" w14:paraId="5E8DEDCD" w14:textId="77777777">
      <w:pPr>
        <w:ind w:left="360"/>
        <w:outlineLvl w:val="0"/>
        <w:rPr>
          <w:bCs/>
        </w:rPr>
      </w:pPr>
    </w:p>
    <w:p w:rsidR="00284DFA" w:rsidP="00233561" w14:paraId="08EF650F" w14:textId="07622D52">
      <w:pPr>
        <w:pStyle w:val="ListParagraph"/>
        <w:numPr>
          <w:ilvl w:val="0"/>
          <w:numId w:val="7"/>
        </w:numPr>
        <w:spacing w:before="0" w:beforeAutospacing="0" w:after="0" w:afterAutospacing="0"/>
        <w:contextualSpacing/>
        <w:outlineLvl w:val="0"/>
        <w:rPr>
          <w:bCs/>
        </w:rPr>
      </w:pPr>
      <w:r>
        <w:rPr>
          <w:bCs/>
        </w:rPr>
        <w:t xml:space="preserve">HCUP DUA </w:t>
      </w:r>
      <w:r w:rsidRPr="00284DFA">
        <w:rPr>
          <w:bCs/>
        </w:rPr>
        <w:t>for the Nationwide Databases</w:t>
      </w:r>
      <w:r>
        <w:rPr>
          <w:bCs/>
        </w:rPr>
        <w:t xml:space="preserve"> - </w:t>
      </w:r>
      <w:r w:rsidRPr="00284DFA">
        <w:rPr>
          <w:bCs/>
        </w:rPr>
        <w:t>The HCUP Nationwide databases include the National (Nationwide) Inpatient Sample (NIS), Kids’ Inpatient Database (KID), Nationwide Ambulatory Surgery Sample (NASS), Nationwide Emergency Department Sample (NEDS), and Nationwide Readmissions Database (NRD). Any person seeking permission from AHRQ to access HCUP Nationwide Databases must sign and submit this Agreement to AHRQ</w:t>
      </w:r>
      <w:r w:rsidR="006C7E81">
        <w:rPr>
          <w:bCs/>
        </w:rPr>
        <w:t>.</w:t>
      </w:r>
      <w:r w:rsidR="00350A1C">
        <w:rPr>
          <w:bCs/>
        </w:rPr>
        <w:t xml:space="preserve">  See Attachment B.</w:t>
      </w:r>
    </w:p>
    <w:p w:rsidR="006C7E81" w:rsidRPr="006C7E81" w:rsidP="00233561" w14:paraId="1548BA0E" w14:textId="77777777">
      <w:pPr>
        <w:ind w:left="360"/>
        <w:contextualSpacing/>
        <w:outlineLvl w:val="0"/>
        <w:rPr>
          <w:bCs/>
        </w:rPr>
      </w:pPr>
    </w:p>
    <w:p w:rsidR="006C7E81" w:rsidP="00233561" w14:paraId="3388B173" w14:textId="370141BD">
      <w:pPr>
        <w:pStyle w:val="ListParagraph"/>
        <w:numPr>
          <w:ilvl w:val="0"/>
          <w:numId w:val="7"/>
        </w:numPr>
        <w:spacing w:before="0" w:beforeAutospacing="0" w:after="0" w:afterAutospacing="0"/>
        <w:contextualSpacing/>
        <w:outlineLvl w:val="0"/>
        <w:rPr>
          <w:bCs/>
        </w:rPr>
      </w:pPr>
      <w:r w:rsidRPr="006C7E81">
        <w:rPr>
          <w:bCs/>
        </w:rPr>
        <w:t xml:space="preserve">HCUP DUA for the </w:t>
      </w:r>
      <w:r>
        <w:rPr>
          <w:bCs/>
        </w:rPr>
        <w:t>State</w:t>
      </w:r>
      <w:r w:rsidRPr="006C7E81">
        <w:rPr>
          <w:bCs/>
        </w:rPr>
        <w:t xml:space="preserve"> Databases</w:t>
      </w:r>
      <w:r>
        <w:rPr>
          <w:bCs/>
        </w:rPr>
        <w:t xml:space="preserve"> - </w:t>
      </w:r>
      <w:r w:rsidRPr="006C7E81">
        <w:rPr>
          <w:bCs/>
        </w:rPr>
        <w:t>The HCUP State databases include the State Inpatient Databases (SID), State Ambulatory Surgery and Services Databases (SASD), and State Emergency Department Databases (SEDD). Any person seeking permission from AHRQ to access HCUP State Databases must sign and submit this Agreement to AHRQ</w:t>
      </w:r>
      <w:r>
        <w:rPr>
          <w:bCs/>
        </w:rPr>
        <w:t>.</w:t>
      </w:r>
      <w:r w:rsidR="00350A1C">
        <w:rPr>
          <w:bCs/>
        </w:rPr>
        <w:t xml:space="preserve">  See Attachment C.</w:t>
      </w:r>
    </w:p>
    <w:p w:rsidR="0057723F" w:rsidRPr="0057723F" w:rsidP="00233561" w14:paraId="2FE91BA5" w14:textId="77777777">
      <w:pPr>
        <w:ind w:left="360"/>
        <w:contextualSpacing/>
        <w:outlineLvl w:val="0"/>
        <w:rPr>
          <w:bCs/>
        </w:rPr>
      </w:pPr>
    </w:p>
    <w:p w:rsidR="0057723F" w:rsidRPr="00284DFA" w:rsidP="00233561" w14:paraId="188E7F78" w14:textId="615D2729">
      <w:pPr>
        <w:pStyle w:val="ListParagraph"/>
        <w:numPr>
          <w:ilvl w:val="0"/>
          <w:numId w:val="7"/>
        </w:numPr>
        <w:spacing w:before="0" w:beforeAutospacing="0" w:after="0" w:afterAutospacing="0"/>
        <w:contextualSpacing/>
        <w:outlineLvl w:val="0"/>
        <w:rPr>
          <w:bCs/>
        </w:rPr>
      </w:pPr>
      <w:r w:rsidRPr="0057723F">
        <w:rPr>
          <w:bCs/>
        </w:rPr>
        <w:t>Online Application Form</w:t>
      </w:r>
      <w:r>
        <w:rPr>
          <w:bCs/>
        </w:rPr>
        <w:t xml:space="preserve"> </w:t>
      </w:r>
      <w:r w:rsidR="008759CE">
        <w:rPr>
          <w:bCs/>
        </w:rPr>
        <w:t>–</w:t>
      </w:r>
      <w:r>
        <w:rPr>
          <w:bCs/>
        </w:rPr>
        <w:t xml:space="preserve"> </w:t>
      </w:r>
      <w:r w:rsidR="008759CE">
        <w:rPr>
          <w:bCs/>
        </w:rPr>
        <w:t>The application form collects relevant applicant information, shipping and billing address, and the payment method.  See Attachment D.</w:t>
      </w:r>
    </w:p>
    <w:bookmarkEnd w:id="5"/>
    <w:bookmarkEnd w:id="10"/>
    <w:p w:rsidR="00130B5E" w:rsidP="0079224E" w14:paraId="01AD4AB9" w14:textId="77777777">
      <w:pPr>
        <w:outlineLvl w:val="0"/>
        <w:rPr>
          <w:bCs/>
        </w:rPr>
      </w:pPr>
    </w:p>
    <w:p w:rsidR="00130B5E" w:rsidP="0079224E" w14:paraId="70184889" w14:textId="77777777">
      <w:pPr>
        <w:tabs>
          <w:tab w:val="left" w:pos="0"/>
        </w:tabs>
        <w:outlineLvl w:val="0"/>
      </w:pPr>
      <w:r w:rsidRPr="0048725D">
        <w:t>Th</w:t>
      </w:r>
      <w:r w:rsidR="00235F6C">
        <w:t>e HCUP</w:t>
      </w:r>
      <w:r w:rsidRPr="0048725D">
        <w:t xml:space="preserve"> project </w:t>
      </w:r>
      <w:r w:rsidR="00235F6C">
        <w:t xml:space="preserve">and the Online Application Form for HCUP Products </w:t>
      </w:r>
      <w:r w:rsidRPr="0048725D">
        <w:t xml:space="preserve">is being conducted by AHRQ through its contractor pursuant to AHRQ’s statutory authority to conduct and support research on healthcare and on systems for the delivery of such care, including activities with respect to the </w:t>
      </w:r>
      <w:r>
        <w:t xml:space="preserve">outcomes, cost, cost-effectiveness, and use of health care services and access to such services. </w:t>
      </w:r>
      <w:r w:rsidRPr="0048725D">
        <w:t xml:space="preserve">  42 U.S.C. 299a(a)(</w:t>
      </w:r>
      <w:r>
        <w:t>3).</w:t>
      </w:r>
    </w:p>
    <w:p w:rsidR="00233561" w:rsidRPr="007B58C3" w:rsidP="0079224E" w14:paraId="36A255BE" w14:textId="77777777">
      <w:pPr>
        <w:tabs>
          <w:tab w:val="left" w:pos="0"/>
        </w:tabs>
        <w:outlineLvl w:val="0"/>
      </w:pPr>
    </w:p>
    <w:p w:rsidR="009B633D" w:rsidRPr="00983636" w:rsidP="00233561" w14:paraId="6EA3ABDA" w14:textId="77777777">
      <w:pPr>
        <w:pStyle w:val="Heading2"/>
        <w:spacing w:before="0" w:after="0"/>
        <w:rPr>
          <w:sz w:val="24"/>
        </w:rPr>
      </w:pPr>
      <w:r w:rsidRPr="00983636">
        <w:rPr>
          <w:sz w:val="24"/>
        </w:rPr>
        <w:t>2. Purpose and Use of Information</w:t>
      </w:r>
      <w:bookmarkEnd w:id="6"/>
      <w:bookmarkEnd w:id="7"/>
    </w:p>
    <w:p w:rsidR="00F32530" w:rsidRPr="008B48A7" w:rsidP="00233561" w14:paraId="1804B353" w14:textId="77777777">
      <w:bookmarkStart w:id="11" w:name="_Hlk87967546"/>
      <w:r w:rsidRPr="008B48A7">
        <w:t xml:space="preserve">Information collected in the HCUP </w:t>
      </w:r>
      <w:r w:rsidR="0032683D">
        <w:t xml:space="preserve">Online Application Form </w:t>
      </w:r>
      <w:r w:rsidR="005F64C9">
        <w:t>process</w:t>
      </w:r>
      <w:r w:rsidRPr="008B48A7">
        <w:t xml:space="preserve"> will be used for two purposes</w:t>
      </w:r>
      <w:r w:rsidRPr="008B48A7" w:rsidR="008B48A7">
        <w:t xml:space="preserve"> only</w:t>
      </w:r>
      <w:r w:rsidRPr="008B48A7">
        <w:t>:</w:t>
      </w:r>
    </w:p>
    <w:p w:rsidR="009C47B0" w:rsidP="0079224E" w14:paraId="076024A3" w14:textId="77777777">
      <w:pPr>
        <w:tabs>
          <w:tab w:val="left" w:pos="360"/>
        </w:tabs>
        <w:spacing w:before="100" w:beforeAutospacing="1" w:after="100" w:afterAutospacing="1"/>
        <w:ind w:left="360" w:hanging="360"/>
      </w:pPr>
      <w:r w:rsidRPr="008B48A7">
        <w:t>1.</w:t>
      </w:r>
      <w:r w:rsidR="00FD09D0">
        <w:tab/>
      </w:r>
      <w:r w:rsidR="00C53511">
        <w:t xml:space="preserve">Business Transaction: </w:t>
      </w:r>
      <w:r w:rsidR="005F64C9">
        <w:t>In order to</w:t>
      </w:r>
      <w:r w:rsidR="005F64C9">
        <w:t xml:space="preserve"> deliver the </w:t>
      </w:r>
      <w:r w:rsidRPr="008B48A7" w:rsidR="00BD2DF3">
        <w:t>HCUP databases</w:t>
      </w:r>
      <w:r w:rsidR="00913513">
        <w:t xml:space="preserve"> to the applicants</w:t>
      </w:r>
      <w:r w:rsidR="00004CAA">
        <w:t>,</w:t>
      </w:r>
      <w:r w:rsidRPr="008B48A7" w:rsidR="00BD2DF3">
        <w:t xml:space="preserve"> </w:t>
      </w:r>
      <w:r w:rsidR="005F64C9">
        <w:t>c</w:t>
      </w:r>
      <w:r w:rsidRPr="008B48A7">
        <w:t xml:space="preserve">ontact information is </w:t>
      </w:r>
      <w:r w:rsidR="005F64C9">
        <w:t>necessary</w:t>
      </w:r>
      <w:r w:rsidRPr="008B48A7">
        <w:t xml:space="preserve"> for </w:t>
      </w:r>
      <w:r w:rsidRPr="008B48A7" w:rsidR="00BD2DF3">
        <w:t xml:space="preserve">shipping the </w:t>
      </w:r>
      <w:r w:rsidR="008B48A7">
        <w:t xml:space="preserve">data on disk (or </w:t>
      </w:r>
      <w:r>
        <w:t xml:space="preserve">any </w:t>
      </w:r>
      <w:r w:rsidR="008B48A7">
        <w:t xml:space="preserve">other </w:t>
      </w:r>
      <w:r w:rsidRPr="008B48A7" w:rsidR="00BD2DF3">
        <w:t xml:space="preserve">media </w:t>
      </w:r>
      <w:r w:rsidR="008B48A7">
        <w:t>used in the future)</w:t>
      </w:r>
      <w:r w:rsidR="003F203D">
        <w:t xml:space="preserve"> and payment collection</w:t>
      </w:r>
      <w:r w:rsidR="008B48A7">
        <w:t>.</w:t>
      </w:r>
      <w:r w:rsidR="00027404">
        <w:t xml:space="preserve">  </w:t>
      </w:r>
    </w:p>
    <w:p w:rsidR="00F32530" w:rsidRPr="008B48A7" w:rsidP="0079224E" w14:paraId="0E6A3E82" w14:textId="77777777">
      <w:pPr>
        <w:tabs>
          <w:tab w:val="left" w:pos="360"/>
        </w:tabs>
        <w:spacing w:before="100" w:beforeAutospacing="1" w:after="100" w:afterAutospacing="1"/>
        <w:ind w:left="360" w:hanging="360"/>
      </w:pPr>
      <w:r>
        <w:t>2.</w:t>
      </w:r>
      <w:r>
        <w:tab/>
      </w:r>
      <w:r w:rsidR="00C53511">
        <w:t>Enforcement of t</w:t>
      </w:r>
      <w:r w:rsidRPr="008B48A7" w:rsidR="00BD2DF3">
        <w:t xml:space="preserve">he HCUP Data </w:t>
      </w:r>
      <w:r w:rsidRPr="002F31B1" w:rsidR="00BD2DF3">
        <w:t>Use Agreement</w:t>
      </w:r>
      <w:r w:rsidRPr="002F31B1" w:rsidR="00C53511">
        <w:t xml:space="preserve"> (DUA</w:t>
      </w:r>
      <w:r w:rsidR="00C53511">
        <w:t>): The HCUP DUA</w:t>
      </w:r>
      <w:r w:rsidRPr="008B48A7" w:rsidR="00BD2DF3">
        <w:t xml:space="preserve"> contains several restrictions on use of the data. Most of these restrictions have been put in place to safeguard the privacy of individuals and establishments represented in the data. For example, data users can only use the data for research, analysis, and aggregate statistical reporting and are prohibited from attempting to identify any persons in the data.  </w:t>
      </w:r>
      <w:r w:rsidR="007B6D13">
        <w:t xml:space="preserve">Contact information on HCUP </w:t>
      </w:r>
      <w:r w:rsidR="002F31B1">
        <w:t>DUA</w:t>
      </w:r>
      <w:r w:rsidR="007B6D13">
        <w:t xml:space="preserve">s is retained </w:t>
      </w:r>
      <w:r w:rsidR="007B6D13">
        <w:t>in the event that</w:t>
      </w:r>
      <w:r w:rsidR="007B6D13">
        <w:t xml:space="preserve"> a violation of the </w:t>
      </w:r>
      <w:r w:rsidR="00F72D80">
        <w:rPr>
          <w:bCs/>
        </w:rPr>
        <w:t xml:space="preserve">HCUP </w:t>
      </w:r>
      <w:r w:rsidR="007B6D13">
        <w:t xml:space="preserve">DUA </w:t>
      </w:r>
      <w:r w:rsidR="00C53511">
        <w:t>takes place requiring legal remedy</w:t>
      </w:r>
      <w:r w:rsidR="007B6D13">
        <w:t>.</w:t>
      </w:r>
      <w:bookmarkEnd w:id="11"/>
      <w:r w:rsidR="007B6D13">
        <w:t xml:space="preserve"> </w:t>
      </w:r>
      <w:r w:rsidRPr="008B48A7">
        <w:t xml:space="preserve"> </w:t>
      </w:r>
    </w:p>
    <w:p w:rsidR="002A2ABA" w:rsidRPr="00233561" w:rsidP="002A2ABA" w14:paraId="7415FD2B" w14:textId="6CE427CE">
      <w:pPr>
        <w:pStyle w:val="Heading2"/>
        <w:rPr>
          <w:sz w:val="24"/>
        </w:rPr>
      </w:pPr>
      <w:bookmarkStart w:id="12" w:name="_Toc151782178"/>
      <w:bookmarkStart w:id="13" w:name="_Toc158526218"/>
      <w:r w:rsidRPr="00983636">
        <w:rPr>
          <w:sz w:val="24"/>
        </w:rPr>
        <w:t>3. Use of Improved Information Technology</w:t>
      </w:r>
      <w:bookmarkEnd w:id="12"/>
      <w:bookmarkEnd w:id="13"/>
    </w:p>
    <w:p w:rsidR="0079480B" w:rsidRPr="003307EB" w:rsidP="00233561" w14:paraId="4335C886" w14:textId="3BC69129">
      <w:pPr>
        <w:pStyle w:val="Heading2"/>
        <w:spacing w:before="0" w:after="0"/>
        <w:rPr>
          <w:rFonts w:ascii="Times New Roman" w:hAnsi="Times New Roman" w:cs="Times New Roman"/>
          <w:b w:val="0"/>
          <w:i w:val="0"/>
          <w:sz w:val="24"/>
        </w:rPr>
      </w:pPr>
      <w:r w:rsidRPr="00F21131">
        <w:rPr>
          <w:rFonts w:ascii="Times New Roman" w:hAnsi="Times New Roman" w:cs="Times New Roman"/>
          <w:b w:val="0"/>
          <w:bCs w:val="0"/>
          <w:i w:val="0"/>
          <w:iCs w:val="0"/>
          <w:sz w:val="24"/>
          <w:szCs w:val="24"/>
        </w:rPr>
        <w:t>Online Application Form for HCUP Products</w:t>
      </w:r>
      <w:r>
        <w:rPr>
          <w:rFonts w:ascii="Times New Roman" w:hAnsi="Times New Roman" w:cs="Times New Roman"/>
          <w:b w:val="0"/>
          <w:bCs w:val="0"/>
          <w:i w:val="0"/>
          <w:iCs w:val="0"/>
          <w:sz w:val="24"/>
          <w:szCs w:val="24"/>
        </w:rPr>
        <w:t xml:space="preserve"> </w:t>
      </w:r>
      <w:r w:rsidRPr="009A742A" w:rsidR="009A742A">
        <w:rPr>
          <w:rFonts w:ascii="Times New Roman" w:hAnsi="Times New Roman" w:cs="Times New Roman"/>
          <w:b w:val="0"/>
          <w:i w:val="0"/>
          <w:sz w:val="24"/>
          <w:szCs w:val="24"/>
        </w:rPr>
        <w:t xml:space="preserve">uses a </w:t>
      </w:r>
      <w:r w:rsidRPr="009A742A" w:rsidR="000C08AD">
        <w:rPr>
          <w:rFonts w:ascii="Times New Roman" w:hAnsi="Times New Roman" w:cs="Times New Roman"/>
          <w:b w:val="0"/>
          <w:i w:val="0"/>
          <w:sz w:val="24"/>
          <w:szCs w:val="24"/>
        </w:rPr>
        <w:t>software-based</w:t>
      </w:r>
      <w:r w:rsidRPr="009A742A" w:rsidR="009A742A">
        <w:rPr>
          <w:rFonts w:ascii="Times New Roman" w:hAnsi="Times New Roman" w:cs="Times New Roman"/>
          <w:b w:val="0"/>
          <w:i w:val="0"/>
          <w:sz w:val="24"/>
          <w:szCs w:val="24"/>
        </w:rPr>
        <w:t xml:space="preserve"> data entry process to collect the required information and eliminate the need to print and mail </w:t>
      </w:r>
      <w:r>
        <w:rPr>
          <w:rFonts w:ascii="Times New Roman" w:hAnsi="Times New Roman" w:cs="Times New Roman"/>
          <w:b w:val="0"/>
          <w:i w:val="0"/>
          <w:sz w:val="24"/>
          <w:szCs w:val="24"/>
        </w:rPr>
        <w:t>a hard copy</w:t>
      </w:r>
      <w:r w:rsidRPr="009A742A">
        <w:rPr>
          <w:rFonts w:ascii="Times New Roman" w:hAnsi="Times New Roman" w:cs="Times New Roman"/>
          <w:b w:val="0"/>
          <w:i w:val="0"/>
          <w:sz w:val="24"/>
          <w:szCs w:val="24"/>
        </w:rPr>
        <w:t xml:space="preserve"> </w:t>
      </w:r>
      <w:r w:rsidRPr="009A742A" w:rsidR="009A742A">
        <w:rPr>
          <w:rFonts w:ascii="Times New Roman" w:hAnsi="Times New Roman" w:cs="Times New Roman"/>
          <w:b w:val="0"/>
          <w:i w:val="0"/>
          <w:sz w:val="24"/>
          <w:szCs w:val="24"/>
        </w:rPr>
        <w:t xml:space="preserve">application form. </w:t>
      </w:r>
      <w:r w:rsidR="00DE67CA">
        <w:rPr>
          <w:rFonts w:ascii="Times New Roman" w:hAnsi="Times New Roman" w:cs="Times New Roman"/>
          <w:b w:val="0"/>
          <w:i w:val="0"/>
          <w:sz w:val="24"/>
          <w:szCs w:val="24"/>
        </w:rPr>
        <w:t>The online</w:t>
      </w:r>
      <w:r w:rsidRPr="009A742A">
        <w:rPr>
          <w:rFonts w:ascii="Times New Roman" w:hAnsi="Times New Roman" w:cs="Times New Roman"/>
          <w:b w:val="0"/>
          <w:i w:val="0"/>
          <w:sz w:val="24"/>
          <w:szCs w:val="24"/>
        </w:rPr>
        <w:t xml:space="preserve"> HCUP database ordering process </w:t>
      </w:r>
      <w:r w:rsidR="00844C66">
        <w:rPr>
          <w:rFonts w:ascii="Times New Roman" w:hAnsi="Times New Roman" w:cs="Times New Roman"/>
          <w:b w:val="0"/>
          <w:i w:val="0"/>
          <w:sz w:val="24"/>
        </w:rPr>
        <w:t>streamline</w:t>
      </w:r>
      <w:r w:rsidR="00DE67CA">
        <w:rPr>
          <w:rFonts w:ascii="Times New Roman" w:hAnsi="Times New Roman" w:cs="Times New Roman"/>
          <w:b w:val="0"/>
          <w:i w:val="0"/>
          <w:sz w:val="24"/>
        </w:rPr>
        <w:t>s</w:t>
      </w:r>
      <w:r w:rsidR="00844C66">
        <w:rPr>
          <w:rFonts w:ascii="Times New Roman" w:hAnsi="Times New Roman" w:cs="Times New Roman"/>
          <w:b w:val="0"/>
          <w:i w:val="0"/>
          <w:sz w:val="24"/>
        </w:rPr>
        <w:t xml:space="preserve"> the ordering process for the public and facilitate</w:t>
      </w:r>
      <w:r w:rsidR="00DE67CA">
        <w:rPr>
          <w:rFonts w:ascii="Times New Roman" w:hAnsi="Times New Roman" w:cs="Times New Roman"/>
          <w:b w:val="0"/>
          <w:i w:val="0"/>
          <w:sz w:val="24"/>
        </w:rPr>
        <w:t>s</w:t>
      </w:r>
      <w:r w:rsidR="00844C66">
        <w:rPr>
          <w:rFonts w:ascii="Times New Roman" w:hAnsi="Times New Roman" w:cs="Times New Roman"/>
          <w:b w:val="0"/>
          <w:i w:val="0"/>
          <w:sz w:val="24"/>
        </w:rPr>
        <w:t xml:space="preserve"> accurate and </w:t>
      </w:r>
      <w:r w:rsidR="000C08AD">
        <w:rPr>
          <w:rFonts w:ascii="Times New Roman" w:hAnsi="Times New Roman" w:cs="Times New Roman"/>
          <w:b w:val="0"/>
          <w:i w:val="0"/>
          <w:sz w:val="24"/>
        </w:rPr>
        <w:t>cost-efficient</w:t>
      </w:r>
      <w:r w:rsidR="00844C66">
        <w:rPr>
          <w:rFonts w:ascii="Times New Roman" w:hAnsi="Times New Roman" w:cs="Times New Roman"/>
          <w:b w:val="0"/>
          <w:i w:val="0"/>
          <w:sz w:val="24"/>
        </w:rPr>
        <w:t xml:space="preserve"> record keeping for the Agency. </w:t>
      </w:r>
      <w:r w:rsidR="001D3CC8">
        <w:rPr>
          <w:rFonts w:ascii="Times New Roman" w:hAnsi="Times New Roman" w:cs="Times New Roman"/>
          <w:b w:val="0"/>
          <w:i w:val="0"/>
          <w:sz w:val="24"/>
        </w:rPr>
        <w:t>To reduce burden, multiple products may be ordered in a single application. Further, existing account information is populated into the Online Application Form for HCUP Products, so response time for repeat users to complete any subsequent applications is reduced.</w:t>
      </w:r>
    </w:p>
    <w:p w:rsidR="00FD09D0" w:rsidP="002A2ABA" w14:paraId="015A95A0" w14:textId="77777777"/>
    <w:p w:rsidR="002A2ABA" w:rsidRPr="00233561" w:rsidP="00233561" w14:paraId="1EF17031" w14:textId="56965B3F">
      <w:pPr>
        <w:pStyle w:val="Heading2"/>
        <w:spacing w:before="0" w:after="0"/>
        <w:rPr>
          <w:sz w:val="24"/>
        </w:rPr>
      </w:pPr>
      <w:bookmarkStart w:id="14" w:name="_Toc151782179"/>
      <w:bookmarkStart w:id="15" w:name="_Toc158526219"/>
      <w:r w:rsidRPr="00983636">
        <w:rPr>
          <w:sz w:val="24"/>
        </w:rPr>
        <w:t>4. Efforts to Identify Duplication</w:t>
      </w:r>
      <w:bookmarkEnd w:id="14"/>
      <w:bookmarkEnd w:id="15"/>
    </w:p>
    <w:p w:rsidR="007E4359" w:rsidP="0079224E" w14:paraId="0202F59E" w14:textId="7DE14D9A">
      <w:r>
        <w:t xml:space="preserve">No other source of data is available to allow </w:t>
      </w:r>
      <w:r w:rsidR="005164D6">
        <w:t>AHRQ to deliver d</w:t>
      </w:r>
      <w:r>
        <w:t xml:space="preserve">ata to purchasers or allow follow up </w:t>
      </w:r>
      <w:r w:rsidR="00C53511">
        <w:t xml:space="preserve">in the event of </w:t>
      </w:r>
      <w:r>
        <w:t xml:space="preserve">a </w:t>
      </w:r>
      <w:r w:rsidR="00F72D80">
        <w:rPr>
          <w:bCs/>
        </w:rPr>
        <w:t xml:space="preserve">HCUP </w:t>
      </w:r>
      <w:r>
        <w:t>DUA violation.</w:t>
      </w:r>
      <w:r w:rsidR="005164D6">
        <w:t xml:space="preserve"> This information collection does not duplicate any other </w:t>
      </w:r>
      <w:r w:rsidR="000C08AD">
        <w:t>effort,</w:t>
      </w:r>
      <w:r w:rsidR="005164D6">
        <w:t xml:space="preserve"> and the information cannot be obtained from any other source.</w:t>
      </w:r>
    </w:p>
    <w:p w:rsidR="002A2ABA" w:rsidP="0079224E" w14:paraId="63D01228" w14:textId="77777777"/>
    <w:p w:rsidR="009B633D" w:rsidRPr="00983636" w:rsidP="00233561" w14:paraId="46955D44" w14:textId="77777777">
      <w:pPr>
        <w:pStyle w:val="Heading2"/>
        <w:spacing w:before="0" w:after="0"/>
        <w:rPr>
          <w:sz w:val="24"/>
        </w:rPr>
      </w:pPr>
      <w:bookmarkStart w:id="16" w:name="_Toc151782180"/>
      <w:bookmarkStart w:id="17" w:name="_Toc158526220"/>
      <w:r w:rsidRPr="00983636">
        <w:rPr>
          <w:sz w:val="24"/>
        </w:rPr>
        <w:t>5. Involvement of Small Entities</w:t>
      </w:r>
      <w:bookmarkEnd w:id="16"/>
      <w:bookmarkEnd w:id="17"/>
    </w:p>
    <w:p w:rsidR="00C02FFD" w:rsidP="00233561" w14:paraId="6B27D800" w14:textId="77777777">
      <w:pPr>
        <w:pStyle w:val="Heading2"/>
        <w:spacing w:before="0" w:after="0"/>
        <w:rPr>
          <w:rFonts w:ascii="Times New Roman" w:hAnsi="Times New Roman" w:cs="Times New Roman"/>
          <w:b w:val="0"/>
          <w:i w:val="0"/>
          <w:sz w:val="24"/>
          <w:szCs w:val="24"/>
        </w:rPr>
      </w:pPr>
      <w:bookmarkStart w:id="18" w:name="_Toc151782181"/>
      <w:bookmarkStart w:id="19" w:name="_Toc158526221"/>
      <w:r w:rsidRPr="00C02FFD">
        <w:rPr>
          <w:rFonts w:ascii="Times New Roman" w:hAnsi="Times New Roman" w:cs="Times New Roman"/>
          <w:b w:val="0"/>
          <w:i w:val="0"/>
          <w:sz w:val="24"/>
          <w:szCs w:val="24"/>
        </w:rPr>
        <w:t>The information being requested has been held to the absolute minimum required for the intended use.</w:t>
      </w:r>
    </w:p>
    <w:p w:rsidR="002A2ABA" w:rsidRPr="002A2ABA" w:rsidP="00233561" w14:paraId="215A68C2" w14:textId="77777777"/>
    <w:p w:rsidR="009B633D" w:rsidRPr="00983636" w:rsidP="00233561" w14:paraId="72966C70" w14:textId="77777777">
      <w:pPr>
        <w:pStyle w:val="Heading2"/>
        <w:spacing w:before="0" w:after="0"/>
        <w:rPr>
          <w:sz w:val="24"/>
        </w:rPr>
      </w:pPr>
      <w:r w:rsidRPr="00983636">
        <w:rPr>
          <w:sz w:val="24"/>
        </w:rPr>
        <w:t>6. Consequences if Information Collected Less Frequently</w:t>
      </w:r>
      <w:bookmarkEnd w:id="18"/>
      <w:bookmarkEnd w:id="19"/>
    </w:p>
    <w:p w:rsidR="00EF7B47" w:rsidP="00233561" w14:paraId="0FCAE905" w14:textId="77777777">
      <w:pPr>
        <w:pStyle w:val="Heading2"/>
        <w:spacing w:before="0" w:after="0"/>
        <w:rPr>
          <w:rFonts w:ascii="Times New Roman" w:hAnsi="Times New Roman" w:cs="Times New Roman"/>
          <w:b w:val="0"/>
          <w:i w:val="0"/>
          <w:sz w:val="24"/>
        </w:rPr>
      </w:pPr>
      <w:bookmarkStart w:id="20" w:name="_Toc151782182"/>
      <w:bookmarkStart w:id="21" w:name="_Toc158526222"/>
      <w:r>
        <w:rPr>
          <w:rFonts w:ascii="Times New Roman" w:hAnsi="Times New Roman" w:cs="Times New Roman"/>
          <w:b w:val="0"/>
          <w:i w:val="0"/>
          <w:sz w:val="24"/>
        </w:rPr>
        <w:t xml:space="preserve">Information is </w:t>
      </w:r>
      <w:r w:rsidRPr="00191BD0">
        <w:rPr>
          <w:rFonts w:ascii="Times New Roman" w:hAnsi="Times New Roman" w:cs="Times New Roman"/>
          <w:b w:val="0"/>
          <w:i w:val="0"/>
          <w:sz w:val="24"/>
          <w:szCs w:val="24"/>
        </w:rPr>
        <w:t xml:space="preserve">collected with </w:t>
      </w:r>
      <w:r>
        <w:rPr>
          <w:rFonts w:ascii="Times New Roman" w:hAnsi="Times New Roman" w:cs="Times New Roman"/>
          <w:b w:val="0"/>
          <w:i w:val="0"/>
          <w:sz w:val="24"/>
          <w:szCs w:val="24"/>
        </w:rPr>
        <w:t xml:space="preserve">each submission of the </w:t>
      </w:r>
      <w:r w:rsidRPr="00191BD0">
        <w:rPr>
          <w:rFonts w:ascii="Times New Roman" w:hAnsi="Times New Roman" w:cs="Times New Roman"/>
          <w:b w:val="0"/>
          <w:i w:val="0"/>
          <w:sz w:val="24"/>
          <w:szCs w:val="24"/>
        </w:rPr>
        <w:t xml:space="preserve">Online Application Form for HCUP Products </w:t>
      </w:r>
      <w:r>
        <w:rPr>
          <w:rFonts w:ascii="Times New Roman" w:hAnsi="Times New Roman" w:cs="Times New Roman"/>
          <w:b w:val="0"/>
          <w:i w:val="0"/>
          <w:sz w:val="24"/>
          <w:szCs w:val="24"/>
        </w:rPr>
        <w:t>to ensure that purchased databases are delivered to the user’s current shipping address and that payment may be processed correctly.</w:t>
      </w:r>
      <w:r w:rsidR="00826FD5">
        <w:rPr>
          <w:rFonts w:ascii="Times New Roman" w:hAnsi="Times New Roman" w:cs="Times New Roman"/>
          <w:b w:val="0"/>
          <w:i w:val="0"/>
          <w:sz w:val="24"/>
          <w:szCs w:val="24"/>
        </w:rPr>
        <w:t xml:space="preserve"> </w:t>
      </w:r>
      <w:r w:rsidR="00826FD5">
        <w:rPr>
          <w:rFonts w:ascii="Times New Roman" w:hAnsi="Times New Roman" w:cs="Times New Roman"/>
          <w:b w:val="0"/>
          <w:i w:val="0"/>
          <w:sz w:val="24"/>
        </w:rPr>
        <w:t xml:space="preserve">Without collection of information using the application ordering form, </w:t>
      </w:r>
      <w:r w:rsidRPr="00C53511" w:rsidR="00826FD5">
        <w:rPr>
          <w:rFonts w:ascii="Times New Roman" w:hAnsi="Times New Roman" w:cs="Times New Roman"/>
          <w:b w:val="0"/>
          <w:i w:val="0"/>
          <w:sz w:val="24"/>
        </w:rPr>
        <w:t>it w</w:t>
      </w:r>
      <w:r w:rsidR="00826FD5">
        <w:rPr>
          <w:rFonts w:ascii="Times New Roman" w:hAnsi="Times New Roman" w:cs="Times New Roman"/>
          <w:b w:val="0"/>
          <w:i w:val="0"/>
          <w:sz w:val="24"/>
        </w:rPr>
        <w:t>ould</w:t>
      </w:r>
      <w:r w:rsidRPr="00C53511" w:rsidR="00826FD5">
        <w:rPr>
          <w:rFonts w:ascii="Times New Roman" w:hAnsi="Times New Roman" w:cs="Times New Roman"/>
          <w:b w:val="0"/>
          <w:i w:val="0"/>
          <w:sz w:val="24"/>
        </w:rPr>
        <w:t xml:space="preserve"> not be possible to </w:t>
      </w:r>
      <w:r w:rsidR="00826FD5">
        <w:rPr>
          <w:rFonts w:ascii="Times New Roman" w:hAnsi="Times New Roman" w:cs="Times New Roman"/>
          <w:b w:val="0"/>
          <w:i w:val="0"/>
          <w:sz w:val="24"/>
        </w:rPr>
        <w:t>conduct</w:t>
      </w:r>
      <w:r w:rsidRPr="00C53511" w:rsidR="00826FD5">
        <w:rPr>
          <w:rFonts w:ascii="Times New Roman" w:hAnsi="Times New Roman" w:cs="Times New Roman"/>
          <w:b w:val="0"/>
          <w:i w:val="0"/>
          <w:sz w:val="24"/>
        </w:rPr>
        <w:t xml:space="preserve"> </w:t>
      </w:r>
      <w:r w:rsidR="00826FD5">
        <w:rPr>
          <w:rFonts w:ascii="Times New Roman" w:hAnsi="Times New Roman" w:cs="Times New Roman"/>
          <w:b w:val="0"/>
          <w:i w:val="0"/>
          <w:sz w:val="24"/>
        </w:rPr>
        <w:t xml:space="preserve">an electronic ordering process </w:t>
      </w:r>
      <w:r w:rsidRPr="00C53511" w:rsidR="00826FD5">
        <w:rPr>
          <w:rFonts w:ascii="Times New Roman" w:hAnsi="Times New Roman" w:cs="Times New Roman"/>
          <w:b w:val="0"/>
          <w:i w:val="0"/>
          <w:sz w:val="24"/>
        </w:rPr>
        <w:t xml:space="preserve">to </w:t>
      </w:r>
      <w:r w:rsidR="00826FD5">
        <w:rPr>
          <w:rFonts w:ascii="Times New Roman" w:hAnsi="Times New Roman" w:cs="Times New Roman"/>
          <w:b w:val="0"/>
          <w:i w:val="0"/>
          <w:sz w:val="24"/>
        </w:rPr>
        <w:t>facilitate public access to research data.</w:t>
      </w:r>
    </w:p>
    <w:p w:rsidR="002A2ABA" w:rsidRPr="002A2ABA" w:rsidP="00233561" w14:paraId="7681F0B8" w14:textId="77777777"/>
    <w:p w:rsidR="009B633D" w:rsidP="00233561" w14:paraId="765A20AE" w14:textId="77777777">
      <w:pPr>
        <w:pStyle w:val="Heading2"/>
        <w:spacing w:before="0" w:after="0"/>
        <w:rPr>
          <w:sz w:val="24"/>
        </w:rPr>
      </w:pPr>
      <w:r w:rsidRPr="00412C6F">
        <w:rPr>
          <w:sz w:val="24"/>
        </w:rPr>
        <w:t>7. Special Circumstances</w:t>
      </w:r>
      <w:bookmarkEnd w:id="20"/>
      <w:bookmarkEnd w:id="21"/>
    </w:p>
    <w:p w:rsidR="009B633D" w:rsidP="00233561" w14:paraId="7AA4B86E" w14:textId="77777777">
      <w:r w:rsidRPr="004F03D2">
        <w:t>This request is consistent with the general information collection guid</w:t>
      </w:r>
      <w:r>
        <w:t>elines of 5 CFR 1320.5(d)(2).  No special circumstances apply.</w:t>
      </w:r>
    </w:p>
    <w:p w:rsidR="00D41B1C" w:rsidRPr="00D41B1C" w:rsidP="00826FD5" w14:paraId="1C4452AB" w14:textId="77777777">
      <w:pPr>
        <w:pStyle w:val="Heading2"/>
      </w:pPr>
      <w:bookmarkStart w:id="22" w:name="_Toc151782183"/>
      <w:bookmarkStart w:id="23" w:name="_Toc158526223"/>
      <w:r w:rsidRPr="00412C6F">
        <w:rPr>
          <w:sz w:val="24"/>
        </w:rPr>
        <w:t>8.</w:t>
      </w:r>
      <w:r w:rsidRPr="004E3A1B">
        <w:rPr>
          <w:sz w:val="24"/>
          <w:szCs w:val="24"/>
        </w:rPr>
        <w:t xml:space="preserve"> </w:t>
      </w:r>
      <w:bookmarkEnd w:id="22"/>
      <w:bookmarkEnd w:id="23"/>
      <w:r w:rsidRPr="004E3A1B" w:rsidR="004E3A1B">
        <w:rPr>
          <w:sz w:val="24"/>
          <w:szCs w:val="24"/>
        </w:rPr>
        <w:t>Federal Register Notice and Outside Consultations</w:t>
      </w:r>
    </w:p>
    <w:p w:rsidR="004E3A1B" w:rsidP="0079224E" w14:paraId="04242398" w14:textId="77777777"/>
    <w:p w:rsidR="007C1ECB" w:rsidRPr="007C1ECB" w:rsidP="0079224E" w14:paraId="4831D641" w14:textId="52DD54CD">
      <w:r w:rsidRPr="004E3A1B">
        <w:rPr>
          <w:rFonts w:ascii="Arial" w:hAnsi="Arial" w:cs="Arial"/>
          <w:b/>
          <w:i/>
        </w:rPr>
        <w:t>8.a.</w:t>
      </w:r>
      <w:r>
        <w:t xml:space="preserve"> </w:t>
      </w:r>
      <w:r w:rsidRPr="004E3A1B">
        <w:rPr>
          <w:rFonts w:ascii="Arial" w:hAnsi="Arial" w:cs="Arial"/>
          <w:b/>
          <w:bCs/>
          <w:i/>
          <w:iCs/>
        </w:rPr>
        <w:t>Federal Register Notice</w:t>
      </w:r>
    </w:p>
    <w:p w:rsidR="004E3A1B" w:rsidRPr="00C255B1" w:rsidP="003819F6" w14:paraId="3AF567E3" w14:textId="12970705">
      <w:bookmarkStart w:id="24" w:name="OLE_LINK3"/>
      <w:bookmarkStart w:id="25" w:name="OLE_LINK4"/>
      <w:r>
        <w:t xml:space="preserve">As required by </w:t>
      </w:r>
      <w:r w:rsidR="0037771B">
        <w:t xml:space="preserve">5 CFR 1320.8(d), </w:t>
      </w:r>
      <w:r w:rsidR="003819F6">
        <w:t xml:space="preserve">the </w:t>
      </w:r>
      <w:r w:rsidR="0037771B">
        <w:t>n</w:t>
      </w:r>
      <w:r w:rsidRPr="007B4120" w:rsidR="009374DF">
        <w:t xml:space="preserve">otice was published in the Federal Register on </w:t>
      </w:r>
      <w:r w:rsidR="00216F88">
        <w:t>April 30</w:t>
      </w:r>
      <w:r w:rsidR="003819F6">
        <w:t>,</w:t>
      </w:r>
      <w:r w:rsidR="00216F88">
        <w:t xml:space="preserve"> 2025</w:t>
      </w:r>
      <w:r w:rsidR="00457A71">
        <w:t>,</w:t>
      </w:r>
      <w:r w:rsidR="003819F6">
        <w:t xml:space="preserve"> Volume </w:t>
      </w:r>
      <w:r w:rsidR="00216F88">
        <w:t>90</w:t>
      </w:r>
      <w:r w:rsidR="003819F6">
        <w:t>, o</w:t>
      </w:r>
      <w:r w:rsidR="00EC4B30">
        <w:t>n page</w:t>
      </w:r>
      <w:r w:rsidR="00216F88">
        <w:t xml:space="preserve"> 17937</w:t>
      </w:r>
      <w:r w:rsidRPr="007B4120" w:rsidR="009374DF">
        <w:t xml:space="preserve"> </w:t>
      </w:r>
      <w:r w:rsidR="003819F6">
        <w:t xml:space="preserve">for </w:t>
      </w:r>
      <w:r w:rsidRPr="007B4120" w:rsidR="009374DF">
        <w:t>60 days</w:t>
      </w:r>
      <w:r w:rsidR="00016560">
        <w:t xml:space="preserve"> </w:t>
      </w:r>
      <w:r w:rsidR="00620B93">
        <w:t>(see A</w:t>
      </w:r>
      <w:r w:rsidR="00EE4455">
        <w:t xml:space="preserve">ttachment </w:t>
      </w:r>
      <w:r w:rsidR="00B075C6">
        <w:t>E</w:t>
      </w:r>
      <w:r w:rsidR="00016560">
        <w:t>)</w:t>
      </w:r>
      <w:r w:rsidR="009374DF">
        <w:t xml:space="preserve">.  </w:t>
      </w:r>
      <w:bookmarkEnd w:id="24"/>
      <w:bookmarkEnd w:id="25"/>
      <w:r w:rsidR="00796337">
        <w:t>No comments were received</w:t>
      </w:r>
      <w:bookmarkStart w:id="26" w:name="_Hlk207008018"/>
      <w:r w:rsidR="00796337">
        <w:t xml:space="preserve">. </w:t>
      </w:r>
      <w:bookmarkStart w:id="27" w:name="_Hlk206776925"/>
      <w:r w:rsidRPr="00C255B1" w:rsidR="0056236D">
        <w:t xml:space="preserve">There are changes in the </w:t>
      </w:r>
      <w:r w:rsidRPr="00C255B1" w:rsidR="00A5668E">
        <w:t>tota</w:t>
      </w:r>
      <w:r w:rsidRPr="00C255B1" w:rsidR="00796337">
        <w:t xml:space="preserve">l burden cost as per Exhibit 2 in the 60 Day FRN due to </w:t>
      </w:r>
      <w:r w:rsidRPr="00C255B1" w:rsidR="00A5668E">
        <w:t>a transcription error</w:t>
      </w:r>
      <w:r w:rsidRPr="00C255B1" w:rsidR="0056236D">
        <w:t>, and</w:t>
      </w:r>
      <w:r w:rsidRPr="00C255B1" w:rsidR="00C6410C">
        <w:t xml:space="preserve"> </w:t>
      </w:r>
      <w:r w:rsidRPr="00C255B1" w:rsidR="0056236D">
        <w:t xml:space="preserve">a </w:t>
      </w:r>
      <w:r w:rsidRPr="00C255B1" w:rsidR="00B13A3E">
        <w:t xml:space="preserve">new requirement </w:t>
      </w:r>
      <w:r w:rsidRPr="00C255B1" w:rsidR="0056236D">
        <w:t xml:space="preserve">to base cost burden on adjusted hourly </w:t>
      </w:r>
      <w:r w:rsidRPr="00C255B1" w:rsidR="00CC4E38">
        <w:t>wages and</w:t>
      </w:r>
      <w:r w:rsidRPr="00C255B1" w:rsidR="00114C9B">
        <w:t xml:space="preserve"> updating wages to the most recent available estimates (from May 2024)</w:t>
      </w:r>
      <w:r w:rsidRPr="00C255B1" w:rsidR="00A5668E">
        <w:t xml:space="preserve">.  </w:t>
      </w:r>
      <w:r w:rsidRPr="00C255B1" w:rsidR="00114C9B">
        <w:t xml:space="preserve">These changes resulted in </w:t>
      </w:r>
      <w:r w:rsidRPr="00C255B1" w:rsidR="00C6410C">
        <w:t xml:space="preserve">the cost burden to </w:t>
      </w:r>
      <w:r w:rsidRPr="00C255B1" w:rsidR="00114C9B">
        <w:t xml:space="preserve">increase from $78,252 to </w:t>
      </w:r>
      <w:r w:rsidRPr="00C255B1" w:rsidR="00C6410C">
        <w:t xml:space="preserve">$102,501. </w:t>
      </w:r>
      <w:r w:rsidRPr="00C255B1" w:rsidR="00B13A3E">
        <w:t xml:space="preserve">This </w:t>
      </w:r>
      <w:r w:rsidRPr="00C255B1" w:rsidR="0056236D">
        <w:t>change</w:t>
      </w:r>
      <w:r w:rsidRPr="00C255B1" w:rsidR="00B13A3E">
        <w:t xml:space="preserve"> is</w:t>
      </w:r>
      <w:r w:rsidRPr="00C255B1" w:rsidR="0056236D">
        <w:t xml:space="preserve"> </w:t>
      </w:r>
      <w:r w:rsidRPr="00C255B1" w:rsidR="00A5668E">
        <w:t xml:space="preserve">reflected </w:t>
      </w:r>
      <w:r w:rsidRPr="00C255B1" w:rsidR="0055632B">
        <w:t xml:space="preserve">and explained </w:t>
      </w:r>
      <w:r w:rsidRPr="00C255B1" w:rsidR="00A5668E">
        <w:t xml:space="preserve">in the 30 Day FRN. </w:t>
      </w:r>
    </w:p>
    <w:bookmarkEnd w:id="27"/>
    <w:bookmarkEnd w:id="26"/>
    <w:p w:rsidR="009B633D" w:rsidRPr="00412C6F" w:rsidP="0079224E" w14:paraId="739F34FF" w14:textId="77777777">
      <w:pPr>
        <w:pStyle w:val="Heading2"/>
        <w:rPr>
          <w:sz w:val="24"/>
        </w:rPr>
      </w:pPr>
      <w:r>
        <w:rPr>
          <w:sz w:val="24"/>
        </w:rPr>
        <w:t xml:space="preserve">8.b.  </w:t>
      </w:r>
      <w:r w:rsidRPr="004E3A1B">
        <w:rPr>
          <w:sz w:val="24"/>
          <w:szCs w:val="24"/>
        </w:rPr>
        <w:t>Outside Consultations</w:t>
      </w:r>
    </w:p>
    <w:p w:rsidR="005B3DA8" w:rsidP="00826FD5" w14:paraId="3DC10A0E" w14:textId="77777777">
      <w:pPr>
        <w:rPr>
          <w:i/>
        </w:rPr>
      </w:pPr>
      <w:bookmarkStart w:id="28" w:name="_Toc457285506"/>
      <w:bookmarkStart w:id="29" w:name="_Toc58725294"/>
      <w:bookmarkStart w:id="30" w:name="_Toc151782184"/>
      <w:bookmarkStart w:id="31" w:name="_Toc158526224"/>
      <w:r>
        <w:t xml:space="preserve">AHRQ did not consult with any outside individual or agency with respect to this information collection. The information collection required </w:t>
      </w:r>
      <w:r w:rsidR="00AD251D">
        <w:t xml:space="preserve">as a part of </w:t>
      </w:r>
      <w:r>
        <w:t xml:space="preserve">the </w:t>
      </w:r>
      <w:r w:rsidR="00844C66">
        <w:t xml:space="preserve">online application </w:t>
      </w:r>
      <w:r>
        <w:t>process is an absolute minimum for conducting the transaction and is modeled on a process already established by the National Technical Information Service (NTIS)</w:t>
      </w:r>
      <w:r w:rsidR="00253A49">
        <w:t xml:space="preserve"> at</w:t>
      </w:r>
      <w:r w:rsidR="001D3CC8">
        <w:t xml:space="preserve"> </w:t>
      </w:r>
      <w:hyperlink r:id="rId6" w:history="1">
        <w:r w:rsidRPr="002C1468" w:rsidR="001D3CC8">
          <w:rPr>
            <w:rStyle w:val="Hyperlink"/>
          </w:rPr>
          <w:t>https://www.ntis.gov/about/about-us.xhtml</w:t>
        </w:r>
      </w:hyperlink>
      <w:r w:rsidR="00253A49">
        <w:t xml:space="preserve">. </w:t>
      </w:r>
      <w:r>
        <w:t xml:space="preserve">AHRQ is unable to utilize NTIS for dissemination of HCUP databases because of special circumstances required for release of the data; 1) the need to review applications for state-level data </w:t>
      </w:r>
      <w:r w:rsidRPr="004F7B95">
        <w:t xml:space="preserve">to ensure that the planned use is consistent with </w:t>
      </w:r>
      <w:smartTag w:uri="urn:schemas-microsoft-com:office:smarttags" w:element="PersonName">
        <w:r w:rsidRPr="004F7B95">
          <w:t>HCUP</w:t>
        </w:r>
      </w:smartTag>
      <w:r w:rsidRPr="004F7B95">
        <w:t xml:space="preserve"> policies and with the HCUP data use requirements</w:t>
      </w:r>
      <w:r>
        <w:t xml:space="preserve">, and 2) the need to retain copies of signed </w:t>
      </w:r>
      <w:r w:rsidR="00F72D80">
        <w:rPr>
          <w:bCs/>
        </w:rPr>
        <w:t xml:space="preserve">HCUP </w:t>
      </w:r>
      <w:r w:rsidR="002F31B1">
        <w:t>DUAs</w:t>
      </w:r>
      <w:r w:rsidRPr="004F7B95">
        <w:t>.</w:t>
      </w:r>
    </w:p>
    <w:p w:rsidR="002A2ABA" w:rsidRPr="009F75C9" w:rsidP="00233561" w14:paraId="64908BD8" w14:textId="50743A06">
      <w:pPr>
        <w:pStyle w:val="Heading2"/>
        <w:rPr>
          <w:sz w:val="24"/>
          <w:szCs w:val="24"/>
        </w:rPr>
      </w:pPr>
      <w:r w:rsidRPr="009F75C9">
        <w:rPr>
          <w:sz w:val="24"/>
          <w:szCs w:val="24"/>
        </w:rPr>
        <w:t>9. Payments/Gifts to Respondents</w:t>
      </w:r>
      <w:bookmarkEnd w:id="28"/>
      <w:bookmarkEnd w:id="29"/>
      <w:bookmarkEnd w:id="30"/>
      <w:bookmarkEnd w:id="31"/>
    </w:p>
    <w:p w:rsidR="00B915F1" w:rsidRPr="005B3DA8" w:rsidP="0079224E" w14:paraId="1F12930C" w14:textId="2DF67FC6">
      <w:pPr>
        <w:jc w:val="both"/>
      </w:pPr>
      <w:r w:rsidRPr="005B3DA8">
        <w:t>No payment, gift or remuneration will be provided to respondents.</w:t>
      </w:r>
    </w:p>
    <w:p w:rsidR="002A2ABA" w:rsidRPr="009F75C9" w:rsidP="00233561" w14:paraId="53FB313D" w14:textId="7F7F3F8B">
      <w:pPr>
        <w:pStyle w:val="Heading2"/>
        <w:rPr>
          <w:sz w:val="24"/>
          <w:szCs w:val="24"/>
        </w:rPr>
      </w:pPr>
      <w:bookmarkStart w:id="32" w:name="_Toc151782185"/>
      <w:bookmarkStart w:id="33" w:name="_Toc158526225"/>
      <w:bookmarkStart w:id="34" w:name="_Hlk85794051"/>
      <w:r w:rsidRPr="009F75C9">
        <w:rPr>
          <w:sz w:val="24"/>
          <w:szCs w:val="24"/>
        </w:rPr>
        <w:t>10. Assurance of Confidentiality</w:t>
      </w:r>
      <w:bookmarkEnd w:id="32"/>
      <w:bookmarkEnd w:id="33"/>
    </w:p>
    <w:p w:rsidR="001D0EC5" w:rsidRPr="00B11E47" w:rsidP="001D0EC5" w14:paraId="61B796C5" w14:textId="37D789CF">
      <w:pPr>
        <w:rPr>
          <w:iCs/>
        </w:rPr>
      </w:pPr>
      <w:r w:rsidRPr="00B11E47">
        <w:rPr>
          <w:iCs/>
        </w:rPr>
        <w:t xml:space="preserve">The confidentiality of information about individuals and organizations is protected under Section 934(c) of the Public Health Service Act, 42 USC 299c-3(c).  The public is informed of the purposes for which the information is collected and that, in accordance with this statute, any identifiable information about them will not be used or disclosed for any other purpose. </w:t>
      </w:r>
    </w:p>
    <w:p w:rsidR="001D0EC5" w:rsidRPr="00B11E47" w:rsidP="001D0EC5" w14:paraId="5B1FFE5F" w14:textId="77777777">
      <w:pPr>
        <w:rPr>
          <w:iCs/>
        </w:rPr>
      </w:pPr>
      <w:r w:rsidRPr="00B11E47">
        <w:rPr>
          <w:iCs/>
        </w:rPr>
        <w:t xml:space="preserve"> </w:t>
      </w:r>
    </w:p>
    <w:p w:rsidR="001D0EC5" w:rsidRPr="00B11E47" w:rsidP="001D0EC5" w14:paraId="756E778C" w14:textId="77777777">
      <w:pPr>
        <w:rPr>
          <w:iCs/>
        </w:rPr>
      </w:pPr>
      <w:r w:rsidRPr="00B11E47">
        <w:rPr>
          <w:iCs/>
        </w:rPr>
        <w:t>Information that can directly identify respondents is collected.  Information collected includes name, organization, street address, phone number, and e-mail address. All information collected is necessary for the commercial transaction including shipment of the data request</w:t>
      </w:r>
      <w:r w:rsidR="00003C13">
        <w:rPr>
          <w:iCs/>
        </w:rPr>
        <w:t>ed</w:t>
      </w:r>
      <w:r w:rsidRPr="00B11E47">
        <w:rPr>
          <w:iCs/>
        </w:rPr>
        <w:t xml:space="preserve"> and for follow up in the event of a potential violation of the </w:t>
      </w:r>
      <w:r w:rsidR="00003C13">
        <w:rPr>
          <w:iCs/>
        </w:rPr>
        <w:t xml:space="preserve">HCUP </w:t>
      </w:r>
      <w:r w:rsidRPr="00B11E47">
        <w:rPr>
          <w:iCs/>
        </w:rPr>
        <w:t xml:space="preserve">DUA. </w:t>
      </w:r>
    </w:p>
    <w:p w:rsidR="001D0EC5" w:rsidRPr="00B11E47" w:rsidP="001D0EC5" w14:paraId="29ED2B6C" w14:textId="77777777">
      <w:pPr>
        <w:rPr>
          <w:iCs/>
        </w:rPr>
      </w:pPr>
      <w:r w:rsidRPr="00B11E47">
        <w:rPr>
          <w:iCs/>
        </w:rPr>
        <w:t xml:space="preserve"> </w:t>
      </w:r>
    </w:p>
    <w:p w:rsidR="00334552" w:rsidP="009325C5" w14:paraId="7E1904C3" w14:textId="2BF055EC">
      <w:pPr>
        <w:rPr>
          <w:rFonts w:cs="Calibri"/>
          <w:iCs/>
          <w:sz w:val="22"/>
          <w:szCs w:val="22"/>
        </w:rPr>
      </w:pPr>
      <w:r w:rsidRPr="00B11E47">
        <w:rPr>
          <w:iCs/>
        </w:rPr>
        <w:t xml:space="preserve">The identifiable information collected </w:t>
      </w:r>
      <w:r w:rsidR="00003C13">
        <w:rPr>
          <w:iCs/>
        </w:rPr>
        <w:t>is</w:t>
      </w:r>
      <w:r w:rsidRPr="00B11E47">
        <w:rPr>
          <w:iCs/>
        </w:rPr>
        <w:t xml:space="preserve"> transmitted to the hosting server via an encrypted Secure Socket Layer (SSL) connection.  Access to the database housing the identifiable information is accomplished through individual authorized administrative accounts.</w:t>
      </w:r>
      <w:r w:rsidR="002A2ABA">
        <w:rPr>
          <w:iCs/>
        </w:rPr>
        <w:t xml:space="preserve"> </w:t>
      </w:r>
      <w:r>
        <w:rPr>
          <w:rFonts w:cs="Calibri"/>
          <w:iCs/>
        </w:rPr>
        <w:t xml:space="preserve">The server is hosted within the AHRQ AWS Enclave - </w:t>
      </w:r>
      <w:r>
        <w:rPr>
          <w:rFonts w:cs="Calibri"/>
        </w:rPr>
        <w:t>a managed, cloud infrastructure General</w:t>
      </w:r>
      <w:r>
        <w:rPr>
          <w:rFonts w:cs="Calibri"/>
          <w:spacing w:val="1"/>
        </w:rPr>
        <w:t xml:space="preserve"> </w:t>
      </w:r>
      <w:r>
        <w:rPr>
          <w:rFonts w:cs="Calibri"/>
        </w:rPr>
        <w:t>Shared Service (GSS).</w:t>
      </w:r>
      <w:r>
        <w:rPr>
          <w:rFonts w:cs="Calibri"/>
          <w:spacing w:val="1"/>
        </w:rPr>
        <w:t xml:space="preserve"> It utilizes </w:t>
      </w:r>
      <w:r>
        <w:rPr>
          <w:rFonts w:cs="Calibri"/>
        </w:rPr>
        <w:t>Amazon’s Infrastructure as a Service (IaaS) solution to provide a secure and</w:t>
      </w:r>
      <w:r>
        <w:rPr>
          <w:rFonts w:cs="Calibri"/>
          <w:spacing w:val="1"/>
        </w:rPr>
        <w:t xml:space="preserve"> </w:t>
      </w:r>
      <w:r>
        <w:rPr>
          <w:rFonts w:cs="Calibri"/>
        </w:rPr>
        <w:t>redundant infrastructure. AWS is a cloud-based architecture that</w:t>
      </w:r>
      <w:r>
        <w:rPr>
          <w:rFonts w:cs="Calibri"/>
          <w:spacing w:val="-2"/>
        </w:rPr>
        <w:t xml:space="preserve"> </w:t>
      </w:r>
      <w:r>
        <w:rPr>
          <w:rFonts w:cs="Calibri"/>
        </w:rPr>
        <w:t>provides</w:t>
      </w:r>
      <w:r>
        <w:rPr>
          <w:rFonts w:cs="Calibri"/>
          <w:spacing w:val="-1"/>
        </w:rPr>
        <w:t xml:space="preserve"> </w:t>
      </w:r>
      <w:r>
        <w:rPr>
          <w:rFonts w:cs="Calibri"/>
        </w:rPr>
        <w:t>a</w:t>
      </w:r>
      <w:r>
        <w:rPr>
          <w:rFonts w:cs="Calibri"/>
          <w:spacing w:val="-2"/>
        </w:rPr>
        <w:t xml:space="preserve"> </w:t>
      </w:r>
      <w:r>
        <w:rPr>
          <w:rFonts w:cs="Calibri"/>
        </w:rPr>
        <w:t>Monthly</w:t>
      </w:r>
      <w:r>
        <w:rPr>
          <w:rFonts w:cs="Calibri"/>
          <w:spacing w:val="-5"/>
        </w:rPr>
        <w:t xml:space="preserve"> </w:t>
      </w:r>
      <w:r>
        <w:rPr>
          <w:rFonts w:cs="Calibri"/>
        </w:rPr>
        <w:t>Uptime</w:t>
      </w:r>
      <w:r>
        <w:rPr>
          <w:rFonts w:cs="Calibri"/>
          <w:spacing w:val="-2"/>
        </w:rPr>
        <w:t xml:space="preserve"> </w:t>
      </w:r>
      <w:r>
        <w:rPr>
          <w:rFonts w:cs="Calibri"/>
        </w:rPr>
        <w:t>Percentage</w:t>
      </w:r>
      <w:r>
        <w:rPr>
          <w:rFonts w:cs="Calibri"/>
          <w:spacing w:val="-2"/>
        </w:rPr>
        <w:t xml:space="preserve"> </w:t>
      </w:r>
      <w:r>
        <w:rPr>
          <w:rFonts w:cs="Calibri"/>
        </w:rPr>
        <w:t>of</w:t>
      </w:r>
      <w:r>
        <w:rPr>
          <w:rFonts w:cs="Calibri"/>
          <w:spacing w:val="-3"/>
        </w:rPr>
        <w:t xml:space="preserve"> </w:t>
      </w:r>
      <w:r>
        <w:rPr>
          <w:rFonts w:cs="Calibri"/>
        </w:rPr>
        <w:t>at</w:t>
      </w:r>
      <w:r>
        <w:rPr>
          <w:rFonts w:cs="Calibri"/>
          <w:spacing w:val="-1"/>
        </w:rPr>
        <w:t xml:space="preserve"> </w:t>
      </w:r>
      <w:r>
        <w:rPr>
          <w:rFonts w:cs="Calibri"/>
        </w:rPr>
        <w:t>least</w:t>
      </w:r>
      <w:r>
        <w:rPr>
          <w:rFonts w:cs="Calibri"/>
          <w:spacing w:val="-1"/>
        </w:rPr>
        <w:t xml:space="preserve"> </w:t>
      </w:r>
      <w:r>
        <w:rPr>
          <w:rFonts w:cs="Calibri"/>
        </w:rPr>
        <w:t xml:space="preserve">99.95%. AHRQ utilizes this GSS as </w:t>
      </w:r>
      <w:r w:rsidR="00233561">
        <w:rPr>
          <w:rFonts w:cs="Calibri"/>
        </w:rPr>
        <w:t>a</w:t>
      </w:r>
      <w:r>
        <w:rPr>
          <w:rFonts w:cs="Calibri"/>
        </w:rPr>
        <w:t xml:space="preserve"> hosting environment for various systems and applications. The </w:t>
      </w:r>
      <w:r>
        <w:rPr>
          <w:rFonts w:cs="Calibri"/>
        </w:rPr>
        <w:t xml:space="preserve">AHRQ AWS Enclave has and existing Authority to Operate (ATO) as a FISMA Moderate system. </w:t>
      </w:r>
    </w:p>
    <w:p w:rsidR="00334552" w:rsidP="009325C5" w14:paraId="20D8BAD5" w14:textId="77777777">
      <w:pPr>
        <w:spacing w:before="238"/>
        <w:rPr>
          <w:rFonts w:cs="Calibri"/>
        </w:rPr>
      </w:pPr>
      <w:r>
        <w:rPr>
          <w:rFonts w:cs="Calibri"/>
        </w:rPr>
        <w:t>The GSS utilizes Amazon AWS services to provide standardized OS/network/and security configurations for all</w:t>
      </w:r>
      <w:r>
        <w:rPr>
          <w:rFonts w:cs="Calibri"/>
          <w:spacing w:val="1"/>
        </w:rPr>
        <w:t xml:space="preserve"> </w:t>
      </w:r>
      <w:r>
        <w:rPr>
          <w:rFonts w:cs="Calibri"/>
        </w:rPr>
        <w:t>Projects within the Enclave to utilize.</w:t>
      </w:r>
      <w:r>
        <w:rPr>
          <w:rFonts w:cs="Calibri"/>
          <w:spacing w:val="-1"/>
        </w:rPr>
        <w:t xml:space="preserve"> </w:t>
      </w:r>
      <w:r>
        <w:rPr>
          <w:rFonts w:cs="Calibri"/>
        </w:rPr>
        <w:t>All</w:t>
      </w:r>
      <w:r>
        <w:rPr>
          <w:rFonts w:cs="Calibri"/>
          <w:spacing w:val="-2"/>
        </w:rPr>
        <w:t xml:space="preserve"> </w:t>
      </w:r>
      <w:r>
        <w:rPr>
          <w:rFonts w:cs="Calibri"/>
        </w:rPr>
        <w:t>deployed</w:t>
      </w:r>
      <w:r>
        <w:rPr>
          <w:rFonts w:cs="Calibri"/>
          <w:spacing w:val="-2"/>
        </w:rPr>
        <w:t xml:space="preserve"> </w:t>
      </w:r>
      <w:r>
        <w:rPr>
          <w:rFonts w:cs="Calibri"/>
        </w:rPr>
        <w:t>Operating</w:t>
      </w:r>
      <w:r>
        <w:rPr>
          <w:rFonts w:cs="Calibri"/>
          <w:spacing w:val="-57"/>
        </w:rPr>
        <w:t xml:space="preserve"> </w:t>
      </w:r>
      <w:r>
        <w:rPr>
          <w:rFonts w:cs="Calibri"/>
        </w:rPr>
        <w:t>Systems (OS) are configured in accordance with the DISA STIGS. Any deviations from</w:t>
      </w:r>
      <w:r>
        <w:rPr>
          <w:rFonts w:cs="Calibri"/>
          <w:spacing w:val="1"/>
        </w:rPr>
        <w:t xml:space="preserve"> </w:t>
      </w:r>
      <w:r>
        <w:rPr>
          <w:rFonts w:cs="Calibri"/>
        </w:rPr>
        <w:t>the standard DISA STIG are documented with a justification. The GSS also provides a</w:t>
      </w:r>
      <w:r>
        <w:rPr>
          <w:rFonts w:cs="Calibri"/>
          <w:spacing w:val="1"/>
        </w:rPr>
        <w:t xml:space="preserve"> </w:t>
      </w:r>
      <w:r>
        <w:rPr>
          <w:rFonts w:cs="Calibri"/>
        </w:rPr>
        <w:t>secure environment and</w:t>
      </w:r>
      <w:r>
        <w:rPr>
          <w:rFonts w:cs="Calibri"/>
          <w:spacing w:val="4"/>
        </w:rPr>
        <w:t xml:space="preserve"> </w:t>
      </w:r>
      <w:r>
        <w:rPr>
          <w:rFonts w:cs="Calibri"/>
        </w:rPr>
        <w:t>Information Assurance</w:t>
      </w:r>
      <w:r>
        <w:rPr>
          <w:rFonts w:cs="Calibri"/>
          <w:spacing w:val="-2"/>
        </w:rPr>
        <w:t xml:space="preserve"> </w:t>
      </w:r>
      <w:r>
        <w:rPr>
          <w:rFonts w:cs="Calibri"/>
        </w:rPr>
        <w:t>(IA)</w:t>
      </w:r>
      <w:r>
        <w:rPr>
          <w:rFonts w:cs="Calibri"/>
          <w:spacing w:val="-1"/>
        </w:rPr>
        <w:t xml:space="preserve"> </w:t>
      </w:r>
      <w:r>
        <w:rPr>
          <w:rFonts w:cs="Calibri"/>
        </w:rPr>
        <w:t xml:space="preserve">tools. All commercial tools and applications used within the Enclave must be FedRAMP certified. </w:t>
      </w:r>
    </w:p>
    <w:p w:rsidR="00334552" w:rsidP="009325C5" w14:paraId="358438F3" w14:textId="77777777">
      <w:pPr>
        <w:rPr>
          <w:rFonts w:cs="Calibri"/>
        </w:rPr>
      </w:pPr>
    </w:p>
    <w:p w:rsidR="00334552" w:rsidP="009325C5" w14:paraId="2C898544" w14:textId="77777777">
      <w:pPr>
        <w:rPr>
          <w:rFonts w:cs="Calibri"/>
        </w:rPr>
      </w:pPr>
      <w:r>
        <w:rPr>
          <w:rFonts w:cs="Calibri"/>
        </w:rPr>
        <w:t>The Enclave environments also sit behind Web Application Firewalls (WAF), Palo Alto Firewalls and utilize a Transit Gateway with a single ingress load balancer for publicly available websites.  This decreases the avenues of attack on a system to a single endpoint, mitigating risk and vulnerabilities.  Essentially, a virtual TIC environment.</w:t>
      </w:r>
    </w:p>
    <w:p w:rsidR="00334552" w:rsidP="00334552" w14:paraId="32CA4404" w14:textId="77777777">
      <w:pPr>
        <w:rPr>
          <w:rFonts w:cs="Calibri"/>
        </w:rPr>
      </w:pPr>
    </w:p>
    <w:p w:rsidR="001D0EC5" w:rsidP="00334552" w14:paraId="2579050F" w14:textId="359813C8">
      <w:pPr>
        <w:rPr>
          <w:iCs/>
        </w:rPr>
      </w:pPr>
      <w:r>
        <w:rPr>
          <w:rFonts w:cs="Calibri"/>
          <w:iCs/>
        </w:rPr>
        <w:t>The information collected by the electronic form are stored in a secure database.  Data stored in the database will remain there indefinitely until requested by AHRQ.  At the conclusion of the contract, the information system as well as a current copy of the database can be provided to AHRQ by request</w:t>
      </w:r>
      <w:r w:rsidRPr="00B11E47">
        <w:rPr>
          <w:iCs/>
        </w:rPr>
        <w:t>.</w:t>
      </w:r>
    </w:p>
    <w:p w:rsidR="00B11E47" w:rsidRPr="00B11E47" w:rsidP="001D0EC5" w14:paraId="2EC3CC3E" w14:textId="77777777">
      <w:pPr>
        <w:rPr>
          <w:iCs/>
        </w:rPr>
      </w:pPr>
    </w:p>
    <w:p w:rsidR="001D0EC5" w:rsidP="001D0EC5" w14:paraId="287F3E6B" w14:textId="77777777">
      <w:pPr>
        <w:rPr>
          <w:iCs/>
        </w:rPr>
      </w:pPr>
      <w:r w:rsidRPr="00B11E47">
        <w:rPr>
          <w:iCs/>
        </w:rPr>
        <w:t xml:space="preserve">The information system uses a defense-in-depth strategy </w:t>
      </w:r>
      <w:r w:rsidR="00003C13">
        <w:rPr>
          <w:iCs/>
        </w:rPr>
        <w:t>for</w:t>
      </w:r>
      <w:r w:rsidRPr="00B11E47">
        <w:rPr>
          <w:iCs/>
        </w:rPr>
        <w:t xml:space="preserve"> user access.  Users are assigned individual credentials along with role based least-privileged user account (LUA).  The LUA approach ensures that users follow the principle of least privilege and always log on with limited user accounts. This strategy also aims to limit the use of administrative credentials to administrators, and then only for administrative tasks.</w:t>
      </w:r>
    </w:p>
    <w:p w:rsidR="00B11E47" w:rsidRPr="00B11E47" w:rsidP="001D0EC5" w14:paraId="348A44D2" w14:textId="77777777">
      <w:pPr>
        <w:rPr>
          <w:iCs/>
        </w:rPr>
      </w:pPr>
    </w:p>
    <w:p w:rsidR="001D0EC5" w:rsidP="001D0EC5" w14:paraId="377EFDBD" w14:textId="77777777">
      <w:pPr>
        <w:rPr>
          <w:iCs/>
        </w:rPr>
      </w:pPr>
      <w:r w:rsidRPr="00B11E47">
        <w:rPr>
          <w:iCs/>
        </w:rPr>
        <w:t xml:space="preserve">Public users of the information system establish their credentials upon entry to the system by using their e-mail address as the user ID and specifying their own password. That password </w:t>
      </w:r>
      <w:r w:rsidR="00003C13">
        <w:rPr>
          <w:iCs/>
        </w:rPr>
        <w:t>is</w:t>
      </w:r>
      <w:r w:rsidR="00A76671">
        <w:rPr>
          <w:iCs/>
        </w:rPr>
        <w:t xml:space="preserve"> </w:t>
      </w:r>
      <w:r w:rsidRPr="00B11E47">
        <w:rPr>
          <w:iCs/>
        </w:rPr>
        <w:t xml:space="preserve">securely stored in the system’s database. The credentials are needed so that a public user can reference their order history. If a user forgets his/her password, the system will reset it and convey that information via e-mail. The public user will have to change that default password upon reentry to the system. Administrative users of the information system have credentials assigned to them by the system administrator. Various role levels </w:t>
      </w:r>
      <w:r w:rsidR="00003C13">
        <w:rPr>
          <w:iCs/>
        </w:rPr>
        <w:t>are</w:t>
      </w:r>
      <w:r w:rsidRPr="00B11E47">
        <w:rPr>
          <w:iCs/>
        </w:rPr>
        <w:t xml:space="preserve"> defined, each allowing the administrative user permissions to perform specific functions.</w:t>
      </w:r>
    </w:p>
    <w:p w:rsidR="00B11E47" w:rsidRPr="00B11E47" w:rsidP="001D0EC5" w14:paraId="1DD90026" w14:textId="77777777">
      <w:pPr>
        <w:rPr>
          <w:iCs/>
        </w:rPr>
      </w:pPr>
    </w:p>
    <w:p w:rsidR="00B11E47" w:rsidRPr="00B11E47" w:rsidP="00F22DF3" w14:paraId="28E76608" w14:textId="5A7B7E66">
      <w:pPr>
        <w:jc w:val="both"/>
        <w:rPr>
          <w:iCs/>
        </w:rPr>
      </w:pPr>
      <w:r w:rsidRPr="00B11E47">
        <w:rPr>
          <w:iCs/>
        </w:rPr>
        <w:t>The information system allow</w:t>
      </w:r>
      <w:r w:rsidR="00003C13">
        <w:rPr>
          <w:iCs/>
        </w:rPr>
        <w:t>s</w:t>
      </w:r>
      <w:r w:rsidRPr="00B11E47">
        <w:rPr>
          <w:iCs/>
        </w:rPr>
        <w:t xml:space="preserve"> applicants to specify a payment option of credit card, </w:t>
      </w:r>
      <w:r w:rsidR="008403E7">
        <w:rPr>
          <w:iCs/>
        </w:rPr>
        <w:t>ACH</w:t>
      </w:r>
      <w:r w:rsidR="00003C13">
        <w:rPr>
          <w:iCs/>
        </w:rPr>
        <w:t xml:space="preserve"> or</w:t>
      </w:r>
      <w:r w:rsidRPr="00B11E47">
        <w:rPr>
          <w:iCs/>
        </w:rPr>
        <w:t xml:space="preserve"> </w:t>
      </w:r>
      <w:r w:rsidR="008403E7">
        <w:rPr>
          <w:iCs/>
        </w:rPr>
        <w:t>direct payment</w:t>
      </w:r>
      <w:r w:rsidRPr="00B11E47">
        <w:rPr>
          <w:iCs/>
        </w:rPr>
        <w:t xml:space="preserve">. Information to complete credit card </w:t>
      </w:r>
      <w:r w:rsidR="008403E7">
        <w:rPr>
          <w:iCs/>
        </w:rPr>
        <w:t xml:space="preserve">and ACH </w:t>
      </w:r>
      <w:r w:rsidRPr="00B11E47">
        <w:rPr>
          <w:iCs/>
        </w:rPr>
        <w:t xml:space="preserve">transaction </w:t>
      </w:r>
      <w:r w:rsidR="00003C13">
        <w:rPr>
          <w:iCs/>
        </w:rPr>
        <w:t>is</w:t>
      </w:r>
      <w:r w:rsidRPr="00B11E47">
        <w:rPr>
          <w:iCs/>
        </w:rPr>
        <w:t xml:space="preserve"> collected by the information system</w:t>
      </w:r>
      <w:r w:rsidR="00AC0CAC">
        <w:rPr>
          <w:iCs/>
        </w:rPr>
        <w:t xml:space="preserve"> </w:t>
      </w:r>
      <w:r w:rsidRPr="00B11E47">
        <w:rPr>
          <w:iCs/>
        </w:rPr>
        <w:t>and transmitted securely to a PCI-compliant payment gateway</w:t>
      </w:r>
      <w:r w:rsidR="00AC0CAC">
        <w:rPr>
          <w:iCs/>
        </w:rPr>
        <w:t xml:space="preserve"> (FISMA-compliant Authorize.net)</w:t>
      </w:r>
      <w:r w:rsidRPr="00B11E47">
        <w:rPr>
          <w:iCs/>
        </w:rPr>
        <w:t xml:space="preserve"> for approval. The payment gateway product process</w:t>
      </w:r>
      <w:r w:rsidR="00003C13">
        <w:rPr>
          <w:iCs/>
        </w:rPr>
        <w:t>es</w:t>
      </w:r>
      <w:r w:rsidRPr="00B11E47">
        <w:rPr>
          <w:iCs/>
        </w:rPr>
        <w:t xml:space="preserve"> the transaction and the funds </w:t>
      </w:r>
      <w:r w:rsidR="00003C13">
        <w:rPr>
          <w:iCs/>
        </w:rPr>
        <w:t>are</w:t>
      </w:r>
      <w:r w:rsidRPr="00B11E47">
        <w:rPr>
          <w:iCs/>
        </w:rPr>
        <w:t xml:space="preserve"> transferred when the transaction is captured at the time </w:t>
      </w:r>
      <w:r w:rsidR="00003C13">
        <w:rPr>
          <w:iCs/>
        </w:rPr>
        <w:t>of the order is fulfilled and the data is</w:t>
      </w:r>
      <w:r w:rsidRPr="00B11E47">
        <w:rPr>
          <w:iCs/>
        </w:rPr>
        <w:t xml:space="preserve"> ship</w:t>
      </w:r>
      <w:r w:rsidR="00003C13">
        <w:rPr>
          <w:iCs/>
        </w:rPr>
        <w:t>ped</w:t>
      </w:r>
      <w:r w:rsidRPr="00B11E47">
        <w:rPr>
          <w:iCs/>
        </w:rPr>
        <w:t xml:space="preserve">. </w:t>
      </w:r>
      <w:r w:rsidR="00003C13">
        <w:rPr>
          <w:iCs/>
        </w:rPr>
        <w:t>C</w:t>
      </w:r>
      <w:r w:rsidRPr="00B11E47">
        <w:rPr>
          <w:iCs/>
        </w:rPr>
        <w:t xml:space="preserve">redit card information </w:t>
      </w:r>
      <w:r w:rsidR="00003C13">
        <w:rPr>
          <w:iCs/>
        </w:rPr>
        <w:t>is</w:t>
      </w:r>
      <w:r w:rsidRPr="00B11E47">
        <w:rPr>
          <w:iCs/>
        </w:rPr>
        <w:t xml:space="preserve"> not </w:t>
      </w:r>
      <w:r w:rsidR="00003C13">
        <w:rPr>
          <w:iCs/>
        </w:rPr>
        <w:t>captured or retained by</w:t>
      </w:r>
      <w:r w:rsidRPr="00B11E47">
        <w:rPr>
          <w:iCs/>
        </w:rPr>
        <w:t xml:space="preserve"> the information system’s database. </w:t>
      </w:r>
    </w:p>
    <w:p w:rsidR="006B6C69" w:rsidRPr="006B6C69" w:rsidP="009F75C9" w14:paraId="65259808" w14:textId="74CBEEDB">
      <w:pPr>
        <w:pStyle w:val="Heading2"/>
      </w:pPr>
      <w:bookmarkStart w:id="35" w:name="_Toc151782186"/>
      <w:bookmarkStart w:id="36" w:name="_Toc158526226"/>
      <w:bookmarkEnd w:id="34"/>
      <w:r w:rsidRPr="00412C6F">
        <w:rPr>
          <w:sz w:val="24"/>
        </w:rPr>
        <w:t>11. Questions of a Sensitive Nature</w:t>
      </w:r>
      <w:bookmarkEnd w:id="35"/>
      <w:bookmarkEnd w:id="36"/>
    </w:p>
    <w:p w:rsidR="000B59F8" w:rsidP="00233561" w14:paraId="6E46602B" w14:textId="77777777">
      <w:pPr>
        <w:contextualSpacing/>
      </w:pPr>
      <w:r>
        <w:t>No questions of a sensitive nature will be asked.</w:t>
      </w:r>
    </w:p>
    <w:p w:rsidR="000B59F8" w:rsidRPr="000B59F8" w:rsidP="00233561" w14:paraId="1CE435BA" w14:textId="77777777">
      <w:pPr>
        <w:contextualSpacing/>
      </w:pPr>
    </w:p>
    <w:p w:rsidR="002B4BD3" w:rsidP="009F75C9" w14:paraId="37C9758B" w14:textId="095E7000">
      <w:pPr>
        <w:pStyle w:val="Heading2"/>
        <w:spacing w:before="0" w:after="0"/>
        <w:contextualSpacing/>
      </w:pPr>
      <w:bookmarkStart w:id="37" w:name="_Toc151782187"/>
      <w:bookmarkStart w:id="38" w:name="_Toc158526227"/>
      <w:r w:rsidRPr="00412C6F">
        <w:rPr>
          <w:sz w:val="24"/>
        </w:rPr>
        <w:t>12. Estimates of Annualized Burden Hours and Costs</w:t>
      </w:r>
      <w:bookmarkEnd w:id="37"/>
      <w:bookmarkEnd w:id="38"/>
    </w:p>
    <w:p w:rsidR="002B4BD3" w:rsidP="0079224E" w14:paraId="46AF30D5" w14:textId="7CFA79FC">
      <w:bookmarkStart w:id="39" w:name="_Hlk87967653"/>
      <w:r>
        <w:t xml:space="preserve">Exhibit 1 shows the estimated annualized burden associated with the applicants’ time to order any of the HCUP databases.  </w:t>
      </w:r>
      <w:r w:rsidR="00CC3CE1">
        <w:t xml:space="preserve">An estimated </w:t>
      </w:r>
      <w:r w:rsidR="00B7561D">
        <w:t>1,800</w:t>
      </w:r>
      <w:r w:rsidR="00CC3CE1">
        <w:t xml:space="preserve"> persons will order HCUP data annually.  </w:t>
      </w:r>
      <w:r w:rsidR="00233561">
        <w:t xml:space="preserve">To complete </w:t>
      </w:r>
      <w:r w:rsidR="009F75C9">
        <w:t xml:space="preserve">the </w:t>
      </w:r>
      <w:r w:rsidR="00233561">
        <w:t>ordering process, e</w:t>
      </w:r>
      <w:r w:rsidR="00941FB9">
        <w:t xml:space="preserve">ach of these persons will complete </w:t>
      </w:r>
      <w:r w:rsidR="009D2AEB">
        <w:t xml:space="preserve">the HCUP DUA Training Course, </w:t>
      </w:r>
      <w:r w:rsidR="0003696B">
        <w:t xml:space="preserve">review and </w:t>
      </w:r>
      <w:r w:rsidR="009D2AEB">
        <w:t>sign both DUAs</w:t>
      </w:r>
      <w:r w:rsidR="00233561">
        <w:t>,</w:t>
      </w:r>
      <w:r w:rsidR="009D2AEB">
        <w:t xml:space="preserve"> and complete the HCUP Data Purchase Ordering Form.  </w:t>
      </w:r>
      <w:r w:rsidR="00CC3CE1">
        <w:t xml:space="preserve">The total burden </w:t>
      </w:r>
      <w:r w:rsidR="009D2AEB">
        <w:t xml:space="preserve">to </w:t>
      </w:r>
      <w:r w:rsidR="0003696B">
        <w:t xml:space="preserve">complete these four steps to </w:t>
      </w:r>
      <w:r w:rsidR="009D2AEB">
        <w:t>purchase HCUP data</w:t>
      </w:r>
      <w:r w:rsidRPr="004D1023" w:rsidR="004D1023">
        <w:t xml:space="preserve"> </w:t>
      </w:r>
      <w:r w:rsidR="00CC3CE1">
        <w:t xml:space="preserve">is estimated to be </w:t>
      </w:r>
      <w:r w:rsidR="00233561">
        <w:t>1</w:t>
      </w:r>
      <w:r w:rsidR="009D2AEB">
        <w:t>,</w:t>
      </w:r>
      <w:r w:rsidR="00233561">
        <w:t>0</w:t>
      </w:r>
      <w:r w:rsidR="009D2AEB">
        <w:t>50</w:t>
      </w:r>
      <w:r w:rsidR="00720534">
        <w:t xml:space="preserve"> </w:t>
      </w:r>
      <w:r w:rsidR="00CC3CE1">
        <w:t>hours annually.</w:t>
      </w:r>
    </w:p>
    <w:p w:rsidR="00CC3CE1" w:rsidP="0079224E" w14:paraId="49F14554" w14:textId="77777777"/>
    <w:p w:rsidR="00CC3CE1" w:rsidRPr="00167E04" w:rsidP="0079224E" w14:paraId="47FD7B36" w14:textId="7B4754F5">
      <w:r>
        <w:t xml:space="preserve">Exhibit 2 shows the estimated annualized cost burden associated with the applicants’ time to </w:t>
      </w:r>
      <w:r w:rsidR="009D2AEB">
        <w:t>purchase</w:t>
      </w:r>
      <w:r>
        <w:t xml:space="preserve"> </w:t>
      </w:r>
      <w:r w:rsidRPr="00167E04">
        <w:t xml:space="preserve">HCUP data.  </w:t>
      </w:r>
      <w:r w:rsidR="00A3170B">
        <w:t xml:space="preserve">This </w:t>
      </w:r>
      <w:r w:rsidRPr="00167E04">
        <w:t xml:space="preserve">The total cost burden is estimated to be </w:t>
      </w:r>
      <w:r w:rsidRPr="00167E04" w:rsidR="005133E2">
        <w:t>$</w:t>
      </w:r>
      <w:r w:rsidR="00D96464">
        <w:t>102,</w:t>
      </w:r>
      <w:r w:rsidR="00A3170B">
        <w:t xml:space="preserve">921 </w:t>
      </w:r>
      <w:r w:rsidRPr="00167E04" w:rsidR="00E71858">
        <w:t>annually.</w:t>
      </w:r>
    </w:p>
    <w:p w:rsidR="00941FB9" w:rsidRPr="00167E04" w:rsidP="0079224E" w14:paraId="626C9C55" w14:textId="77777777"/>
    <w:p w:rsidR="00941FB9" w:rsidRPr="00167E04" w:rsidP="00941FB9" w14:paraId="7BB66149" w14:textId="77777777">
      <w:r w:rsidRPr="00167E04">
        <w:rPr>
          <w:b/>
          <w:bCs/>
          <w:color w:val="000000"/>
        </w:rPr>
        <w:t>Exhibit 1.  Estimated annualized burden hours</w:t>
      </w:r>
    </w:p>
    <w:tbl>
      <w:tblPr>
        <w:tblW w:w="0" w:type="auto"/>
        <w:tblInd w:w="-10" w:type="dxa"/>
        <w:tblCellMar>
          <w:left w:w="0" w:type="dxa"/>
          <w:right w:w="0" w:type="dxa"/>
        </w:tblCellMar>
        <w:tblLook w:val="04A0"/>
      </w:tblPr>
      <w:tblGrid>
        <w:gridCol w:w="3600"/>
        <w:gridCol w:w="1440"/>
        <w:gridCol w:w="1440"/>
        <w:gridCol w:w="1080"/>
        <w:gridCol w:w="900"/>
      </w:tblGrid>
      <w:tr w14:paraId="56C0F9F8" w14:textId="77777777" w:rsidTr="0003696B">
        <w:tblPrEx>
          <w:tblW w:w="0" w:type="auto"/>
          <w:tblInd w:w="-10" w:type="dxa"/>
          <w:tblCellMar>
            <w:left w:w="0" w:type="dxa"/>
            <w:right w:w="0" w:type="dxa"/>
          </w:tblCellMar>
          <w:tblLook w:val="04A0"/>
        </w:tblPrEx>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FB9" w:rsidRPr="00167E04" w14:paraId="1EBF29C1" w14:textId="77777777">
            <w:pPr>
              <w:jc w:val="center"/>
            </w:pPr>
            <w:r w:rsidRPr="00167E04">
              <w:rPr>
                <w:color w:val="00000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1FB9" w:rsidRPr="00167E04" w14:paraId="26B18AE3" w14:textId="77777777">
            <w:pPr>
              <w:jc w:val="center"/>
            </w:pPr>
            <w:r w:rsidRPr="00167E04">
              <w:rPr>
                <w:color w:val="000000"/>
              </w:rPr>
              <w:t>Number of 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1FB9" w:rsidRPr="00167E04" w14:paraId="0429DBAB" w14:textId="77777777">
            <w:pPr>
              <w:jc w:val="center"/>
            </w:pPr>
            <w:r w:rsidRPr="00167E04">
              <w:t>Number of responses per respondent</w:t>
            </w:r>
          </w:p>
        </w:tc>
        <w:tc>
          <w:tcPr>
            <w:tcW w:w="1080" w:type="dxa"/>
            <w:tcBorders>
              <w:top w:val="single" w:sz="8" w:space="0" w:color="auto"/>
              <w:left w:val="nil"/>
              <w:bottom w:val="single" w:sz="8" w:space="0" w:color="auto"/>
              <w:right w:val="single" w:sz="8" w:space="0" w:color="auto"/>
            </w:tcBorders>
            <w:vAlign w:val="center"/>
            <w:hideMark/>
          </w:tcPr>
          <w:p w:rsidR="00941FB9" w:rsidRPr="00167E04" w14:paraId="54DCE13F" w14:textId="77777777">
            <w:pPr>
              <w:jc w:val="center"/>
            </w:pPr>
            <w:r w:rsidRPr="00167E04">
              <w:rPr>
                <w:color w:val="00000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FB9" w:rsidRPr="00167E04" w14:paraId="38BA1B95" w14:textId="77777777">
            <w:pPr>
              <w:jc w:val="center"/>
            </w:pPr>
            <w:r w:rsidRPr="00167E04">
              <w:rPr>
                <w:color w:val="000000"/>
              </w:rPr>
              <w:t>Total burden hours</w:t>
            </w:r>
          </w:p>
        </w:tc>
      </w:tr>
      <w:tr w14:paraId="4096BB71" w14:textId="77777777" w:rsidTr="0003696B">
        <w:tblPrEx>
          <w:tblW w:w="0" w:type="auto"/>
          <w:tblInd w:w="-10"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5E6D" w:rsidRPr="00167E04" w14:paraId="4E06E08E" w14:textId="6A1DB270">
            <w:pPr>
              <w:rPr>
                <w:color w:val="000000"/>
              </w:rPr>
            </w:pPr>
            <w:r w:rsidRPr="00167E04">
              <w:rPr>
                <w:color w:val="000000"/>
              </w:rPr>
              <w:t xml:space="preserve">1. </w:t>
            </w:r>
            <w:r w:rsidRPr="00167E04">
              <w:rPr>
                <w:color w:val="000000"/>
              </w:rPr>
              <w:t>HCUP DUA Training Course</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F65E6D" w:rsidRPr="00167E04" w14:paraId="78E173A3" w14:textId="5B756B69">
            <w:pPr>
              <w:jc w:val="center"/>
            </w:pPr>
            <w:r w:rsidRPr="00167E04">
              <w:t>1,800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F65E6D" w:rsidRPr="00167E04" w14:paraId="7C1E1C10" w14:textId="511DF5EF">
            <w:pPr>
              <w:jc w:val="center"/>
            </w:pPr>
            <w:r w:rsidRPr="00167E04">
              <w:t>1</w:t>
            </w:r>
          </w:p>
        </w:tc>
        <w:tc>
          <w:tcPr>
            <w:tcW w:w="1080" w:type="dxa"/>
            <w:tcBorders>
              <w:top w:val="nil"/>
              <w:left w:val="nil"/>
              <w:bottom w:val="single" w:sz="8" w:space="0" w:color="auto"/>
              <w:right w:val="single" w:sz="8" w:space="0" w:color="auto"/>
            </w:tcBorders>
          </w:tcPr>
          <w:p w:rsidR="00F65E6D" w:rsidRPr="00167E04" w14:paraId="2A2788BA" w14:textId="1A2072C6">
            <w:pPr>
              <w:jc w:val="center"/>
              <w:rPr>
                <w:bCs/>
                <w:color w:val="000000"/>
              </w:rPr>
            </w:pPr>
            <w:r w:rsidRPr="00167E04">
              <w:rPr>
                <w:bCs/>
                <w:color w:val="000000"/>
              </w:rPr>
              <w:t>15/60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5E6D" w:rsidRPr="00167E04" w14:paraId="49B5053C" w14:textId="427BA5F8">
            <w:pPr>
              <w:jc w:val="center"/>
            </w:pPr>
            <w:r w:rsidRPr="00167E04">
              <w:t>450</w:t>
            </w:r>
          </w:p>
        </w:tc>
      </w:tr>
      <w:tr w14:paraId="11736E7D" w14:textId="77777777" w:rsidTr="0003696B">
        <w:tblPrEx>
          <w:tblW w:w="0" w:type="auto"/>
          <w:tblInd w:w="-10"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84DFA" w:rsidRPr="00167E04" w14:paraId="6E7C4E8D" w14:textId="79352996">
            <w:pPr>
              <w:rPr>
                <w:color w:val="000000"/>
              </w:rPr>
            </w:pPr>
            <w:r w:rsidRPr="00167E04">
              <w:rPr>
                <w:color w:val="000000"/>
              </w:rPr>
              <w:t xml:space="preserve">2. </w:t>
            </w:r>
            <w:r w:rsidRPr="00167E04">
              <w:rPr>
                <w:color w:val="000000"/>
              </w:rPr>
              <w:t xml:space="preserve">HCUP DUA for the Nationwide </w:t>
            </w:r>
            <w:r w:rsidRPr="00167E04">
              <w:rPr>
                <w:color w:val="000000"/>
              </w:rPr>
              <w:t xml:space="preserve"> </w:t>
            </w:r>
            <w:r w:rsidRPr="00167E04">
              <w:rPr>
                <w:color w:val="000000"/>
              </w:rPr>
              <w:t>Databases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84DFA" w:rsidRPr="00167E04" w14:paraId="31DE740E" w14:textId="148D23B1">
            <w:pPr>
              <w:jc w:val="center"/>
            </w:pPr>
            <w:r w:rsidRPr="00167E04">
              <w:t>1,800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84DFA" w:rsidRPr="00167E04" w14:paraId="3E17083D" w14:textId="7B747C1C">
            <w:pPr>
              <w:jc w:val="center"/>
            </w:pPr>
            <w:r w:rsidRPr="00167E04">
              <w:t>1</w:t>
            </w:r>
          </w:p>
        </w:tc>
        <w:tc>
          <w:tcPr>
            <w:tcW w:w="1080" w:type="dxa"/>
            <w:tcBorders>
              <w:top w:val="nil"/>
              <w:left w:val="nil"/>
              <w:bottom w:val="single" w:sz="8" w:space="0" w:color="auto"/>
              <w:right w:val="single" w:sz="8" w:space="0" w:color="auto"/>
            </w:tcBorders>
          </w:tcPr>
          <w:p w:rsidR="00284DFA" w:rsidRPr="00167E04" w14:paraId="14A3ED1F" w14:textId="5884AFC1">
            <w:pPr>
              <w:jc w:val="center"/>
              <w:rPr>
                <w:bCs/>
                <w:color w:val="000000"/>
              </w:rPr>
            </w:pPr>
            <w:r w:rsidRPr="00167E04">
              <w:rPr>
                <w:bCs/>
                <w:color w:val="000000"/>
              </w:rPr>
              <w:t>5</w:t>
            </w:r>
            <w:r w:rsidRPr="00167E04" w:rsidR="006C7E81">
              <w:rPr>
                <w:bCs/>
                <w:color w:val="00000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84DFA" w:rsidRPr="00167E04" w14:paraId="6FCC7362" w14:textId="755767B6">
            <w:pPr>
              <w:jc w:val="center"/>
            </w:pPr>
            <w:r w:rsidRPr="00167E04">
              <w:t>150</w:t>
            </w:r>
          </w:p>
        </w:tc>
      </w:tr>
      <w:tr w14:paraId="37FBBFAE" w14:textId="77777777" w:rsidTr="00CA45ED">
        <w:tblPrEx>
          <w:tblW w:w="0" w:type="auto"/>
          <w:tblInd w:w="-10"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C7E81" w:rsidRPr="00167E04" w14:paraId="6C9F3D03" w14:textId="24452F05">
            <w:pPr>
              <w:rPr>
                <w:color w:val="000000"/>
              </w:rPr>
            </w:pPr>
            <w:r w:rsidRPr="00167E04">
              <w:rPr>
                <w:color w:val="000000"/>
              </w:rPr>
              <w:t xml:space="preserve">3. </w:t>
            </w:r>
            <w:r w:rsidRPr="00167E04">
              <w:rPr>
                <w:color w:val="000000"/>
              </w:rPr>
              <w:t>HCUP DUA for the State Databases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C7E81" w:rsidRPr="00167E04" w14:paraId="33F49DDE" w14:textId="54865666">
            <w:pPr>
              <w:jc w:val="center"/>
            </w:pPr>
            <w:r w:rsidRPr="00167E04">
              <w:t>1,800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C7E81" w:rsidRPr="00167E04" w14:paraId="4A591834" w14:textId="59E656CF">
            <w:pPr>
              <w:jc w:val="center"/>
            </w:pPr>
            <w:r w:rsidRPr="00167E04">
              <w:t>1</w:t>
            </w:r>
          </w:p>
        </w:tc>
        <w:tc>
          <w:tcPr>
            <w:tcW w:w="1080" w:type="dxa"/>
            <w:tcBorders>
              <w:top w:val="nil"/>
              <w:left w:val="nil"/>
              <w:bottom w:val="single" w:sz="8" w:space="0" w:color="auto"/>
              <w:right w:val="single" w:sz="8" w:space="0" w:color="auto"/>
            </w:tcBorders>
          </w:tcPr>
          <w:p w:rsidR="006C7E81" w:rsidRPr="00167E04" w14:paraId="57025277" w14:textId="3532A0D6">
            <w:pPr>
              <w:jc w:val="center"/>
              <w:rPr>
                <w:bCs/>
                <w:color w:val="000000"/>
              </w:rPr>
            </w:pPr>
            <w:r w:rsidRPr="00167E04">
              <w:rPr>
                <w:bCs/>
                <w:color w:val="000000"/>
              </w:rPr>
              <w:t>5</w:t>
            </w:r>
            <w:r w:rsidRPr="00167E04" w:rsidR="00F51786">
              <w:rPr>
                <w:bCs/>
                <w:color w:val="00000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C7E81" w:rsidRPr="00167E04" w14:paraId="0F227554" w14:textId="725104FC">
            <w:pPr>
              <w:jc w:val="center"/>
            </w:pPr>
            <w:r w:rsidRPr="00167E04">
              <w:t>150</w:t>
            </w:r>
          </w:p>
        </w:tc>
      </w:tr>
      <w:tr w14:paraId="43CF3670" w14:textId="77777777" w:rsidTr="00D00EFC">
        <w:tblPrEx>
          <w:tblW w:w="0" w:type="auto"/>
          <w:tblInd w:w="-10" w:type="dxa"/>
          <w:tblCellMar>
            <w:left w:w="0" w:type="dxa"/>
            <w:right w:w="0" w:type="dxa"/>
          </w:tblCellMar>
          <w:tblLook w:val="04A0"/>
        </w:tblPrEx>
        <w:trPr>
          <w:trHeight w:val="250"/>
        </w:trPr>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FB9" w:rsidRPr="00167E04" w14:paraId="44428CF0" w14:textId="2939302F">
            <w:r w:rsidRPr="00167E04">
              <w:rPr>
                <w:color w:val="000000"/>
              </w:rPr>
              <w:t xml:space="preserve">4. </w:t>
            </w:r>
            <w:r w:rsidRPr="00167E04">
              <w:rPr>
                <w:color w:val="000000"/>
              </w:rPr>
              <w:t>HCUP Data Purchase Ordering Form</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1FB9" w:rsidRPr="00167E04" w14:paraId="4825B7F7" w14:textId="28173C63">
            <w:pPr>
              <w:jc w:val="center"/>
            </w:pPr>
            <w:r w:rsidRPr="00167E04">
              <w:t>1,800</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41FB9" w:rsidRPr="00167E04" w14:paraId="6A0F6455" w14:textId="77777777">
            <w:pPr>
              <w:jc w:val="center"/>
            </w:pPr>
            <w:r w:rsidRPr="00167E04">
              <w:t>1</w:t>
            </w:r>
          </w:p>
        </w:tc>
        <w:tc>
          <w:tcPr>
            <w:tcW w:w="1080" w:type="dxa"/>
            <w:tcBorders>
              <w:top w:val="single" w:sz="8" w:space="0" w:color="auto"/>
              <w:left w:val="nil"/>
              <w:bottom w:val="single" w:sz="8" w:space="0" w:color="auto"/>
              <w:right w:val="single" w:sz="8" w:space="0" w:color="auto"/>
            </w:tcBorders>
            <w:hideMark/>
          </w:tcPr>
          <w:p w:rsidR="00941FB9" w:rsidRPr="00167E04" w14:paraId="6B88F668" w14:textId="48680B68">
            <w:pPr>
              <w:jc w:val="center"/>
              <w:rPr>
                <w:bCs/>
                <w:color w:val="000000"/>
              </w:rPr>
            </w:pPr>
            <w:r w:rsidRPr="00167E04">
              <w:rPr>
                <w:bCs/>
                <w:color w:val="000000"/>
              </w:rPr>
              <w:t>10</w:t>
            </w:r>
            <w:r w:rsidRPr="00167E04" w:rsidR="00F51786">
              <w:rPr>
                <w:bCs/>
                <w:color w:val="000000"/>
              </w:rPr>
              <w:t>/60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41FB9" w:rsidRPr="00167E04" w14:paraId="0061D258" w14:textId="5A8A81A7">
            <w:pPr>
              <w:jc w:val="center"/>
            </w:pPr>
            <w:r w:rsidRPr="00167E04">
              <w:t>300</w:t>
            </w:r>
          </w:p>
        </w:tc>
      </w:tr>
      <w:tr w14:paraId="6B281832" w14:textId="77777777" w:rsidTr="00CA45ED">
        <w:tblPrEx>
          <w:tblW w:w="0" w:type="auto"/>
          <w:tblInd w:w="-10" w:type="dxa"/>
          <w:tblCellMar>
            <w:left w:w="0" w:type="dxa"/>
            <w:right w:w="0" w:type="dxa"/>
          </w:tblCellMar>
          <w:tblLook w:val="04A0"/>
        </w:tblPrEx>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759CE" w:rsidRPr="00167E04" w14:paraId="12C9D3C0" w14:textId="3C07B60D">
            <w:pPr>
              <w:rPr>
                <w:b/>
                <w:bCs/>
                <w:color w:val="000000"/>
              </w:rPr>
            </w:pPr>
            <w:r w:rsidRPr="00167E04">
              <w:rPr>
                <w:b/>
                <w:bCs/>
                <w:color w:val="000000"/>
              </w:rPr>
              <w:t>Total</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759CE" w:rsidRPr="00167E04" w14:paraId="63CD1822" w14:textId="54496E72">
            <w:pPr>
              <w:jc w:val="center"/>
            </w:pPr>
            <w:r>
              <w:t>1800</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759CE" w:rsidRPr="00167E04" w14:paraId="4E23B0B5" w14:textId="48B189D6">
            <w:pPr>
              <w:jc w:val="center"/>
            </w:pPr>
            <w:r>
              <w:t>NA</w:t>
            </w:r>
          </w:p>
        </w:tc>
        <w:tc>
          <w:tcPr>
            <w:tcW w:w="1080" w:type="dxa"/>
            <w:tcBorders>
              <w:top w:val="single" w:sz="8" w:space="0" w:color="auto"/>
              <w:left w:val="nil"/>
              <w:bottom w:val="single" w:sz="8" w:space="0" w:color="auto"/>
              <w:right w:val="single" w:sz="8" w:space="0" w:color="auto"/>
            </w:tcBorders>
          </w:tcPr>
          <w:p w:rsidR="008759CE" w:rsidRPr="00167E04" w14:paraId="4A3F0039" w14:textId="2FAB6322">
            <w:pPr>
              <w:jc w:val="center"/>
              <w:rPr>
                <w:bCs/>
                <w:color w:val="000000"/>
              </w:rPr>
            </w:pPr>
            <w:r>
              <w:rPr>
                <w:bCs/>
                <w:color w:val="000000"/>
              </w:rPr>
              <w:t>35/60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8759CE" w:rsidRPr="00167E04" w14:paraId="6DF856D5" w14:textId="5CD0473B">
            <w:pPr>
              <w:jc w:val="center"/>
            </w:pPr>
            <w:r w:rsidRPr="00167E04">
              <w:t>1,050</w:t>
            </w:r>
          </w:p>
        </w:tc>
      </w:tr>
    </w:tbl>
    <w:p w:rsidR="000700EF" w:rsidRPr="00167E04" w:rsidP="00941FB9" w14:paraId="43F347D9" w14:textId="3D498471">
      <w:r w:rsidRPr="00167E04">
        <w:t> </w:t>
      </w:r>
    </w:p>
    <w:p w:rsidR="00941FB9" w:rsidRPr="00167E04" w:rsidP="00941FB9" w14:paraId="5F9DAE67" w14:textId="22DC96E0">
      <w:pPr>
        <w:rPr>
          <w:b/>
        </w:rPr>
      </w:pPr>
      <w:r w:rsidRPr="00167E04">
        <w:rPr>
          <w:b/>
        </w:rPr>
        <w:t>Exhibit 2.  Estimated annualized cost burde</w:t>
      </w:r>
      <w:r w:rsidR="00D96464">
        <w:rPr>
          <w:b/>
        </w:rPr>
        <w:t>n</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108"/>
        <w:gridCol w:w="1073"/>
        <w:gridCol w:w="1362"/>
        <w:gridCol w:w="1454"/>
        <w:gridCol w:w="1633"/>
      </w:tblGrid>
      <w:tr w14:paraId="2B145390" w14:textId="77777777" w:rsidTr="002D2736">
        <w:tblPrEx>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108" w:type="dxa"/>
            <w:tcMar>
              <w:top w:w="0" w:type="dxa"/>
              <w:left w:w="108" w:type="dxa"/>
              <w:bottom w:w="0" w:type="dxa"/>
              <w:right w:w="108" w:type="dxa"/>
            </w:tcMar>
            <w:vAlign w:val="center"/>
          </w:tcPr>
          <w:p w:rsidR="002D2736" w:rsidRPr="00167E04" w14:paraId="3F3885ED" w14:textId="77777777">
            <w:pPr>
              <w:jc w:val="center"/>
            </w:pPr>
            <w:bookmarkStart w:id="40" w:name="_Hlk206760511"/>
          </w:p>
        </w:tc>
        <w:tc>
          <w:tcPr>
            <w:tcW w:w="1073" w:type="dxa"/>
            <w:tcMar>
              <w:top w:w="0" w:type="dxa"/>
              <w:left w:w="108" w:type="dxa"/>
              <w:bottom w:w="0" w:type="dxa"/>
              <w:right w:w="108" w:type="dxa"/>
            </w:tcMar>
            <w:vAlign w:val="center"/>
            <w:hideMark/>
          </w:tcPr>
          <w:p w:rsidR="002D2736" w:rsidRPr="00167E04" w14:paraId="41DD01F7" w14:textId="77777777">
            <w:pPr>
              <w:jc w:val="center"/>
            </w:pPr>
            <w:r w:rsidRPr="00167E04">
              <w:rPr>
                <w:color w:val="000000"/>
              </w:rPr>
              <w:t>Total burden hours</w:t>
            </w:r>
          </w:p>
        </w:tc>
        <w:tc>
          <w:tcPr>
            <w:tcW w:w="1362" w:type="dxa"/>
            <w:tcMar>
              <w:top w:w="0" w:type="dxa"/>
              <w:left w:w="108" w:type="dxa"/>
              <w:bottom w:w="0" w:type="dxa"/>
              <w:right w:w="108" w:type="dxa"/>
            </w:tcMar>
            <w:vAlign w:val="center"/>
            <w:hideMark/>
          </w:tcPr>
          <w:p w:rsidR="002D2736" w:rsidRPr="00167E04" w14:paraId="56A12A16" w14:textId="77777777">
            <w:pPr>
              <w:jc w:val="center"/>
            </w:pPr>
            <w:r w:rsidRPr="00167E04">
              <w:rPr>
                <w:color w:val="000000"/>
              </w:rPr>
              <w:t>Average hourly wage rate*</w:t>
            </w:r>
          </w:p>
        </w:tc>
        <w:tc>
          <w:tcPr>
            <w:tcW w:w="1454" w:type="dxa"/>
          </w:tcPr>
          <w:p w:rsidR="002D2736" w:rsidRPr="00167E04" w14:paraId="157AA4DA" w14:textId="38C2216B">
            <w:pPr>
              <w:jc w:val="center"/>
              <w:rPr>
                <w:color w:val="000000"/>
              </w:rPr>
            </w:pPr>
            <w:r>
              <w:rPr>
                <w:color w:val="000000"/>
              </w:rPr>
              <w:t>Adjusted hourly wage rate**</w:t>
            </w:r>
          </w:p>
        </w:tc>
        <w:tc>
          <w:tcPr>
            <w:tcW w:w="1633" w:type="dxa"/>
            <w:tcMar>
              <w:top w:w="0" w:type="dxa"/>
              <w:left w:w="108" w:type="dxa"/>
              <w:bottom w:w="0" w:type="dxa"/>
              <w:right w:w="108" w:type="dxa"/>
            </w:tcMar>
            <w:vAlign w:val="center"/>
            <w:hideMark/>
          </w:tcPr>
          <w:p w:rsidR="002D2736" w:rsidRPr="00167E04" w14:paraId="7FD86129" w14:textId="12D8A45C">
            <w:pPr>
              <w:jc w:val="center"/>
            </w:pPr>
            <w:r w:rsidRPr="00167E04">
              <w:rPr>
                <w:color w:val="000000"/>
              </w:rPr>
              <w:t>Total cost</w:t>
            </w:r>
            <w:r w:rsidRPr="00167E04">
              <w:rPr>
                <w:color w:val="000000"/>
              </w:rPr>
              <w:t xml:space="preserve"> burden</w:t>
            </w:r>
          </w:p>
        </w:tc>
      </w:tr>
      <w:tr w14:paraId="0888C80E" w14:textId="77777777" w:rsidTr="002D2736">
        <w:tblPrEx>
          <w:tblW w:w="0" w:type="auto"/>
          <w:tblInd w:w="-10" w:type="dxa"/>
          <w:tblCellMar>
            <w:left w:w="0" w:type="dxa"/>
            <w:right w:w="0" w:type="dxa"/>
          </w:tblCellMar>
          <w:tblLook w:val="04A0"/>
        </w:tblPrEx>
        <w:tc>
          <w:tcPr>
            <w:tcW w:w="3108" w:type="dxa"/>
            <w:tcMar>
              <w:top w:w="0" w:type="dxa"/>
              <w:left w:w="108" w:type="dxa"/>
              <w:bottom w:w="0" w:type="dxa"/>
              <w:right w:w="108" w:type="dxa"/>
            </w:tcMar>
          </w:tcPr>
          <w:p w:rsidR="002D2736" w:rsidRPr="00167E04" w:rsidP="000700EF" w14:paraId="411EC056" w14:textId="645158F6">
            <w:pPr>
              <w:rPr>
                <w:b/>
                <w:bCs/>
                <w:color w:val="000000"/>
              </w:rPr>
            </w:pPr>
            <w:r w:rsidRPr="00167E04">
              <w:t>1. HCUP DUA Training Course</w:t>
            </w:r>
          </w:p>
        </w:tc>
        <w:tc>
          <w:tcPr>
            <w:tcW w:w="1073" w:type="dxa"/>
            <w:tcMar>
              <w:top w:w="0" w:type="dxa"/>
              <w:left w:w="108" w:type="dxa"/>
              <w:bottom w:w="0" w:type="dxa"/>
              <w:right w:w="108" w:type="dxa"/>
            </w:tcMar>
          </w:tcPr>
          <w:p w:rsidR="002D2736" w:rsidRPr="00167E04" w:rsidP="000700EF" w14:paraId="53C57E34" w14:textId="3AF8098D">
            <w:pPr>
              <w:jc w:val="center"/>
            </w:pPr>
            <w:r w:rsidRPr="00167E04">
              <w:t>450</w:t>
            </w:r>
          </w:p>
        </w:tc>
        <w:tc>
          <w:tcPr>
            <w:tcW w:w="1362" w:type="dxa"/>
            <w:tcMar>
              <w:top w:w="0" w:type="dxa"/>
              <w:left w:w="108" w:type="dxa"/>
              <w:bottom w:w="0" w:type="dxa"/>
              <w:right w:w="108" w:type="dxa"/>
            </w:tcMar>
            <w:vAlign w:val="center"/>
          </w:tcPr>
          <w:p w:rsidR="002D2736" w:rsidRPr="00167E04" w:rsidP="00D96464" w14:paraId="5A877E5C" w14:textId="55D6C33F">
            <w:pPr>
              <w:jc w:val="center"/>
            </w:pPr>
            <w:r w:rsidRPr="00167E04">
              <w:t>$4</w:t>
            </w:r>
            <w:r w:rsidR="00114C9B">
              <w:t>9.01</w:t>
            </w:r>
          </w:p>
        </w:tc>
        <w:tc>
          <w:tcPr>
            <w:tcW w:w="1454" w:type="dxa"/>
          </w:tcPr>
          <w:p w:rsidR="002D2736" w:rsidRPr="000E0886" w:rsidP="00D96464" w14:paraId="7995D1EE" w14:textId="13AE5D3F">
            <w:pPr>
              <w:jc w:val="center"/>
            </w:pPr>
            <w:r w:rsidRPr="000E0886">
              <w:t>$9</w:t>
            </w:r>
            <w:r w:rsidR="000E0886">
              <w:t>8.02</w:t>
            </w:r>
          </w:p>
        </w:tc>
        <w:tc>
          <w:tcPr>
            <w:tcW w:w="1633" w:type="dxa"/>
            <w:tcMar>
              <w:top w:w="0" w:type="dxa"/>
              <w:left w:w="108" w:type="dxa"/>
              <w:bottom w:w="0" w:type="dxa"/>
              <w:right w:w="108" w:type="dxa"/>
            </w:tcMar>
          </w:tcPr>
          <w:p w:rsidR="002D2736" w:rsidRPr="00167E04" w:rsidP="000700EF" w14:paraId="1B0777BA" w14:textId="50016FC1">
            <w:pPr>
              <w:jc w:val="right"/>
            </w:pPr>
            <w:r w:rsidRPr="00167E04">
              <w:t>$</w:t>
            </w:r>
            <w:r w:rsidR="00D96464">
              <w:t>4</w:t>
            </w:r>
            <w:r w:rsidR="000E0886">
              <w:t>4,109</w:t>
            </w:r>
          </w:p>
        </w:tc>
      </w:tr>
      <w:tr w14:paraId="10EEC5F7" w14:textId="77777777" w:rsidTr="002D2736">
        <w:tblPrEx>
          <w:tblW w:w="0" w:type="auto"/>
          <w:tblInd w:w="-10" w:type="dxa"/>
          <w:tblCellMar>
            <w:left w:w="0" w:type="dxa"/>
            <w:right w:w="0" w:type="dxa"/>
          </w:tblCellMar>
          <w:tblLook w:val="04A0"/>
        </w:tblPrEx>
        <w:tc>
          <w:tcPr>
            <w:tcW w:w="3108" w:type="dxa"/>
            <w:tcMar>
              <w:top w:w="0" w:type="dxa"/>
              <w:left w:w="108" w:type="dxa"/>
              <w:bottom w:w="0" w:type="dxa"/>
              <w:right w:w="108" w:type="dxa"/>
            </w:tcMar>
          </w:tcPr>
          <w:p w:rsidR="002D2736" w:rsidRPr="00167E04" w:rsidP="000700EF" w14:paraId="45DF9AF0" w14:textId="1FCEC384">
            <w:pPr>
              <w:rPr>
                <w:b/>
                <w:bCs/>
                <w:color w:val="000000"/>
              </w:rPr>
            </w:pPr>
            <w:r w:rsidRPr="00167E04">
              <w:t>2. HCUP DUA for the Nationwide  Databases</w:t>
            </w:r>
          </w:p>
        </w:tc>
        <w:tc>
          <w:tcPr>
            <w:tcW w:w="1073" w:type="dxa"/>
            <w:tcMar>
              <w:top w:w="0" w:type="dxa"/>
              <w:left w:w="108" w:type="dxa"/>
              <w:bottom w:w="0" w:type="dxa"/>
              <w:right w:w="108" w:type="dxa"/>
            </w:tcMar>
          </w:tcPr>
          <w:p w:rsidR="002D2736" w:rsidRPr="00167E04" w:rsidP="000700EF" w14:paraId="2E47BE4F" w14:textId="486AAD01">
            <w:pPr>
              <w:jc w:val="center"/>
            </w:pPr>
            <w:r w:rsidRPr="00167E04">
              <w:t>150</w:t>
            </w:r>
          </w:p>
        </w:tc>
        <w:tc>
          <w:tcPr>
            <w:tcW w:w="1362" w:type="dxa"/>
            <w:tcMar>
              <w:top w:w="0" w:type="dxa"/>
              <w:left w:w="108" w:type="dxa"/>
              <w:bottom w:w="0" w:type="dxa"/>
              <w:right w:w="108" w:type="dxa"/>
            </w:tcMar>
            <w:vAlign w:val="center"/>
          </w:tcPr>
          <w:p w:rsidR="002D2736" w:rsidRPr="00167E04" w:rsidP="000700EF" w14:paraId="115C9D5E" w14:textId="1C29BC09">
            <w:pPr>
              <w:jc w:val="center"/>
            </w:pPr>
            <w:r w:rsidRPr="00167E04">
              <w:t>$4</w:t>
            </w:r>
            <w:r w:rsidR="00114C9B">
              <w:t>9.01</w:t>
            </w:r>
          </w:p>
        </w:tc>
        <w:tc>
          <w:tcPr>
            <w:tcW w:w="1454" w:type="dxa"/>
          </w:tcPr>
          <w:p w:rsidR="002D2736" w:rsidRPr="000E0886" w:rsidP="00D96464" w14:paraId="3688204C" w14:textId="28032DF7">
            <w:pPr>
              <w:jc w:val="center"/>
            </w:pPr>
            <w:r w:rsidRPr="000E0886">
              <w:t>$9</w:t>
            </w:r>
            <w:r w:rsidR="000E0886">
              <w:t>8.02</w:t>
            </w:r>
          </w:p>
        </w:tc>
        <w:tc>
          <w:tcPr>
            <w:tcW w:w="1633" w:type="dxa"/>
            <w:tcMar>
              <w:top w:w="0" w:type="dxa"/>
              <w:left w:w="108" w:type="dxa"/>
              <w:bottom w:w="0" w:type="dxa"/>
              <w:right w:w="108" w:type="dxa"/>
            </w:tcMar>
          </w:tcPr>
          <w:p w:rsidR="002D2736" w:rsidRPr="00167E04" w:rsidP="000700EF" w14:paraId="290DC943" w14:textId="697BACFD">
            <w:pPr>
              <w:jc w:val="right"/>
            </w:pPr>
            <w:r w:rsidRPr="00167E04">
              <w:t>$</w:t>
            </w:r>
            <w:r w:rsidR="00D96464">
              <w:t>14,</w:t>
            </w:r>
            <w:r w:rsidR="000E0886">
              <w:t>703</w:t>
            </w:r>
          </w:p>
        </w:tc>
      </w:tr>
      <w:tr w14:paraId="47AF7CF8" w14:textId="77777777" w:rsidTr="002D2736">
        <w:tblPrEx>
          <w:tblW w:w="0" w:type="auto"/>
          <w:tblInd w:w="-10" w:type="dxa"/>
          <w:tblCellMar>
            <w:left w:w="0" w:type="dxa"/>
            <w:right w:w="0" w:type="dxa"/>
          </w:tblCellMar>
          <w:tblLook w:val="04A0"/>
        </w:tblPrEx>
        <w:tc>
          <w:tcPr>
            <w:tcW w:w="3108" w:type="dxa"/>
            <w:tcMar>
              <w:top w:w="0" w:type="dxa"/>
              <w:left w:w="108" w:type="dxa"/>
              <w:bottom w:w="0" w:type="dxa"/>
              <w:right w:w="108" w:type="dxa"/>
            </w:tcMar>
          </w:tcPr>
          <w:p w:rsidR="002D2736" w:rsidRPr="00167E04" w:rsidP="000700EF" w14:paraId="16D3712F" w14:textId="5A2F52E1">
            <w:pPr>
              <w:rPr>
                <w:b/>
                <w:bCs/>
                <w:color w:val="000000"/>
              </w:rPr>
            </w:pPr>
            <w:r w:rsidRPr="00167E04">
              <w:t>3. HCUP DUA for the State Databases</w:t>
            </w:r>
          </w:p>
        </w:tc>
        <w:tc>
          <w:tcPr>
            <w:tcW w:w="1073" w:type="dxa"/>
            <w:tcMar>
              <w:top w:w="0" w:type="dxa"/>
              <w:left w:w="108" w:type="dxa"/>
              <w:bottom w:w="0" w:type="dxa"/>
              <w:right w:w="108" w:type="dxa"/>
            </w:tcMar>
          </w:tcPr>
          <w:p w:rsidR="002D2736" w:rsidRPr="00167E04" w:rsidP="000700EF" w14:paraId="48A9D152" w14:textId="0EE37F12">
            <w:pPr>
              <w:jc w:val="center"/>
            </w:pPr>
            <w:r w:rsidRPr="00167E04">
              <w:t>150</w:t>
            </w:r>
          </w:p>
        </w:tc>
        <w:tc>
          <w:tcPr>
            <w:tcW w:w="1362" w:type="dxa"/>
            <w:tcMar>
              <w:top w:w="0" w:type="dxa"/>
              <w:left w:w="108" w:type="dxa"/>
              <w:bottom w:w="0" w:type="dxa"/>
              <w:right w:w="108" w:type="dxa"/>
            </w:tcMar>
            <w:vAlign w:val="center"/>
          </w:tcPr>
          <w:p w:rsidR="002D2736" w:rsidRPr="00167E04" w:rsidP="000700EF" w14:paraId="35D007F0" w14:textId="2CD66556">
            <w:pPr>
              <w:jc w:val="center"/>
            </w:pPr>
            <w:r w:rsidRPr="00167E04">
              <w:t>$4</w:t>
            </w:r>
            <w:r w:rsidR="00114C9B">
              <w:t>9.01</w:t>
            </w:r>
          </w:p>
        </w:tc>
        <w:tc>
          <w:tcPr>
            <w:tcW w:w="1454" w:type="dxa"/>
          </w:tcPr>
          <w:p w:rsidR="002D2736" w:rsidRPr="000E0886" w:rsidP="00D96464" w14:paraId="3C8F758B" w14:textId="67446110">
            <w:pPr>
              <w:jc w:val="center"/>
            </w:pPr>
            <w:r w:rsidRPr="000E0886">
              <w:t>$9</w:t>
            </w:r>
            <w:r w:rsidR="000E0886">
              <w:t>8.02</w:t>
            </w:r>
          </w:p>
        </w:tc>
        <w:tc>
          <w:tcPr>
            <w:tcW w:w="1633" w:type="dxa"/>
            <w:tcMar>
              <w:top w:w="0" w:type="dxa"/>
              <w:left w:w="108" w:type="dxa"/>
              <w:bottom w:w="0" w:type="dxa"/>
              <w:right w:w="108" w:type="dxa"/>
            </w:tcMar>
          </w:tcPr>
          <w:p w:rsidR="002D2736" w:rsidRPr="00167E04" w:rsidP="000700EF" w14:paraId="08CD512A" w14:textId="55C73471">
            <w:pPr>
              <w:jc w:val="right"/>
            </w:pPr>
            <w:r w:rsidRPr="00167E04">
              <w:t>$</w:t>
            </w:r>
            <w:r w:rsidR="00D96464">
              <w:t>14,</w:t>
            </w:r>
            <w:r w:rsidR="000E0886">
              <w:t>703</w:t>
            </w:r>
          </w:p>
        </w:tc>
      </w:tr>
      <w:tr w14:paraId="510A0168" w14:textId="77777777" w:rsidTr="002D2736">
        <w:tblPrEx>
          <w:tblW w:w="0" w:type="auto"/>
          <w:tblInd w:w="-10" w:type="dxa"/>
          <w:tblCellMar>
            <w:left w:w="0" w:type="dxa"/>
            <w:right w:w="0" w:type="dxa"/>
          </w:tblCellMar>
          <w:tblLook w:val="04A0"/>
        </w:tblPrEx>
        <w:tc>
          <w:tcPr>
            <w:tcW w:w="3108" w:type="dxa"/>
            <w:tcMar>
              <w:top w:w="0" w:type="dxa"/>
              <w:left w:w="108" w:type="dxa"/>
              <w:bottom w:w="0" w:type="dxa"/>
              <w:right w:w="108" w:type="dxa"/>
            </w:tcMar>
          </w:tcPr>
          <w:p w:rsidR="002D2736" w:rsidRPr="00167E04" w:rsidP="000700EF" w14:paraId="0332ED34" w14:textId="648B56DB">
            <w:pPr>
              <w:rPr>
                <w:b/>
                <w:bCs/>
                <w:color w:val="000000"/>
              </w:rPr>
            </w:pPr>
            <w:r w:rsidRPr="00167E04">
              <w:t>4. HCUP Data Purchase Ordering Form</w:t>
            </w:r>
          </w:p>
        </w:tc>
        <w:tc>
          <w:tcPr>
            <w:tcW w:w="1073" w:type="dxa"/>
            <w:tcMar>
              <w:top w:w="0" w:type="dxa"/>
              <w:left w:w="108" w:type="dxa"/>
              <w:bottom w:w="0" w:type="dxa"/>
              <w:right w:w="108" w:type="dxa"/>
            </w:tcMar>
          </w:tcPr>
          <w:p w:rsidR="002D2736" w:rsidRPr="00167E04" w:rsidP="000700EF" w14:paraId="53C2A8E6" w14:textId="22C5E69D">
            <w:pPr>
              <w:jc w:val="center"/>
            </w:pPr>
            <w:r w:rsidRPr="00167E04">
              <w:t>300</w:t>
            </w:r>
          </w:p>
        </w:tc>
        <w:tc>
          <w:tcPr>
            <w:tcW w:w="1362" w:type="dxa"/>
            <w:tcMar>
              <w:top w:w="0" w:type="dxa"/>
              <w:left w:w="108" w:type="dxa"/>
              <w:bottom w:w="0" w:type="dxa"/>
              <w:right w:w="108" w:type="dxa"/>
            </w:tcMar>
            <w:vAlign w:val="center"/>
          </w:tcPr>
          <w:p w:rsidR="002D2736" w:rsidRPr="00167E04" w:rsidP="000700EF" w14:paraId="6DD672EE" w14:textId="28F34B34">
            <w:pPr>
              <w:jc w:val="center"/>
            </w:pPr>
            <w:r w:rsidRPr="00167E04">
              <w:t>$4</w:t>
            </w:r>
            <w:r w:rsidR="00114C9B">
              <w:t>9.01</w:t>
            </w:r>
          </w:p>
        </w:tc>
        <w:tc>
          <w:tcPr>
            <w:tcW w:w="1454" w:type="dxa"/>
          </w:tcPr>
          <w:p w:rsidR="002D2736" w:rsidRPr="000E0886" w:rsidP="00D96464" w14:paraId="38899844" w14:textId="63E53EE1">
            <w:pPr>
              <w:jc w:val="center"/>
            </w:pPr>
            <w:r w:rsidRPr="000E0886">
              <w:t>$9</w:t>
            </w:r>
            <w:r w:rsidR="000E0886">
              <w:t>8.02</w:t>
            </w:r>
          </w:p>
        </w:tc>
        <w:tc>
          <w:tcPr>
            <w:tcW w:w="1633" w:type="dxa"/>
            <w:tcMar>
              <w:top w:w="0" w:type="dxa"/>
              <w:left w:w="108" w:type="dxa"/>
              <w:bottom w:w="0" w:type="dxa"/>
              <w:right w:w="108" w:type="dxa"/>
            </w:tcMar>
          </w:tcPr>
          <w:p w:rsidR="002D2736" w:rsidRPr="00167E04" w:rsidP="000700EF" w14:paraId="57040A3F" w14:textId="5B0CF694">
            <w:pPr>
              <w:jc w:val="right"/>
            </w:pPr>
            <w:r w:rsidRPr="00167E04">
              <w:t>$</w:t>
            </w:r>
            <w:r w:rsidR="00D96464">
              <w:t>29,</w:t>
            </w:r>
            <w:r w:rsidR="000E0886">
              <w:t>406</w:t>
            </w:r>
          </w:p>
        </w:tc>
      </w:tr>
      <w:tr w14:paraId="562E91A1" w14:textId="77777777" w:rsidTr="002D2736">
        <w:tblPrEx>
          <w:tblW w:w="0" w:type="auto"/>
          <w:tblInd w:w="-10" w:type="dxa"/>
          <w:tblCellMar>
            <w:left w:w="0" w:type="dxa"/>
            <w:right w:w="0" w:type="dxa"/>
          </w:tblCellMar>
          <w:tblLook w:val="04A0"/>
        </w:tblPrEx>
        <w:tc>
          <w:tcPr>
            <w:tcW w:w="3108" w:type="dxa"/>
            <w:tcMar>
              <w:top w:w="0" w:type="dxa"/>
              <w:left w:w="108" w:type="dxa"/>
              <w:bottom w:w="0" w:type="dxa"/>
              <w:right w:w="108" w:type="dxa"/>
            </w:tcMar>
            <w:vAlign w:val="center"/>
            <w:hideMark/>
          </w:tcPr>
          <w:p w:rsidR="002D2736" w:rsidRPr="00167E04" w14:paraId="45D683EB" w14:textId="77777777">
            <w:r w:rsidRPr="00167E04">
              <w:rPr>
                <w:b/>
                <w:bCs/>
                <w:color w:val="000000"/>
              </w:rPr>
              <w:t>Total</w:t>
            </w:r>
          </w:p>
        </w:tc>
        <w:tc>
          <w:tcPr>
            <w:tcW w:w="1073" w:type="dxa"/>
            <w:tcMar>
              <w:top w:w="0" w:type="dxa"/>
              <w:left w:w="108" w:type="dxa"/>
              <w:bottom w:w="0" w:type="dxa"/>
              <w:right w:w="108" w:type="dxa"/>
            </w:tcMar>
            <w:vAlign w:val="center"/>
            <w:hideMark/>
          </w:tcPr>
          <w:p w:rsidR="002D2736" w:rsidRPr="00167E04" w14:paraId="0F4350A5" w14:textId="6B9565DE">
            <w:pPr>
              <w:jc w:val="center"/>
            </w:pPr>
            <w:r w:rsidRPr="00167E04">
              <w:t>1,050</w:t>
            </w:r>
          </w:p>
        </w:tc>
        <w:tc>
          <w:tcPr>
            <w:tcW w:w="1362" w:type="dxa"/>
            <w:tcMar>
              <w:top w:w="0" w:type="dxa"/>
              <w:left w:w="108" w:type="dxa"/>
              <w:bottom w:w="0" w:type="dxa"/>
              <w:right w:w="108" w:type="dxa"/>
            </w:tcMar>
            <w:vAlign w:val="center"/>
            <w:hideMark/>
          </w:tcPr>
          <w:p w:rsidR="002D2736" w:rsidRPr="00167E04" w14:paraId="24798EBA" w14:textId="5D71E9DC">
            <w:pPr>
              <w:jc w:val="center"/>
            </w:pPr>
            <w:r>
              <w:t>NA</w:t>
            </w:r>
          </w:p>
        </w:tc>
        <w:tc>
          <w:tcPr>
            <w:tcW w:w="1454" w:type="dxa"/>
          </w:tcPr>
          <w:p w:rsidR="002D2736" w:rsidRPr="00167E04" w:rsidP="00A04CBF" w14:paraId="3F2E40D1" w14:textId="4B7BBE7D">
            <w:pPr>
              <w:jc w:val="center"/>
            </w:pPr>
            <w:r>
              <w:t>NA</w:t>
            </w:r>
          </w:p>
        </w:tc>
        <w:tc>
          <w:tcPr>
            <w:tcW w:w="1633" w:type="dxa"/>
            <w:tcMar>
              <w:top w:w="0" w:type="dxa"/>
              <w:left w:w="108" w:type="dxa"/>
              <w:bottom w:w="0" w:type="dxa"/>
              <w:right w:w="108" w:type="dxa"/>
            </w:tcMar>
            <w:hideMark/>
          </w:tcPr>
          <w:p w:rsidR="002D2736" w:rsidRPr="00167E04" w14:paraId="666545AB" w14:textId="3C1E3FEE">
            <w:pPr>
              <w:jc w:val="right"/>
            </w:pPr>
            <w:r w:rsidRPr="00167E04">
              <w:t>$</w:t>
            </w:r>
            <w:r w:rsidR="00A3170B">
              <w:t>102,921</w:t>
            </w:r>
          </w:p>
        </w:tc>
      </w:tr>
    </w:tbl>
    <w:bookmarkEnd w:id="40"/>
    <w:p w:rsidR="00980CC6" w:rsidRPr="00167E04" w:rsidP="0079224E" w14:paraId="5395A587" w14:textId="77777777">
      <w:pPr>
        <w:keepNext/>
        <w:outlineLvl w:val="1"/>
        <w:rPr>
          <w:rFonts w:ascii="Calibri" w:hAnsi="Calibri" w:cs="Calibri"/>
          <w:bCs/>
          <w:iCs/>
          <w:sz w:val="22"/>
          <w:szCs w:val="22"/>
        </w:rPr>
      </w:pPr>
      <w:r w:rsidRPr="00167E04">
        <w:rPr>
          <w:rFonts w:ascii="Calibri" w:hAnsi="Calibri" w:cs="Calibri"/>
          <w:b/>
          <w:bCs/>
          <w:i/>
          <w:iCs/>
          <w:color w:val="000000"/>
          <w:sz w:val="22"/>
          <w:szCs w:val="22"/>
        </w:rPr>
        <w:t xml:space="preserve">*Based upon the mean of the average wages for Life Scientists, All Other (19-1099), National Compensation Survey: </w:t>
      </w:r>
    </w:p>
    <w:p w:rsidR="00980CC6" w:rsidP="0079224E" w14:paraId="2EFC164B" w14:textId="69D1F116">
      <w:pPr>
        <w:keepNext/>
        <w:outlineLvl w:val="1"/>
        <w:rPr>
          <w:bCs/>
          <w:iCs/>
          <w:color w:val="0000FF"/>
          <w:sz w:val="22"/>
          <w:szCs w:val="22"/>
          <w:u w:val="single"/>
        </w:rPr>
      </w:pPr>
      <w:bookmarkStart w:id="41" w:name="_Hlk207008393"/>
      <w:r w:rsidRPr="00167E04">
        <w:rPr>
          <w:bCs/>
          <w:iCs/>
          <w:sz w:val="22"/>
          <w:szCs w:val="22"/>
        </w:rPr>
        <w:t xml:space="preserve">Occupational Employment Statistics, May </w:t>
      </w:r>
      <w:r w:rsidRPr="00167E04" w:rsidR="00EF31B7">
        <w:rPr>
          <w:bCs/>
          <w:iCs/>
          <w:sz w:val="22"/>
          <w:szCs w:val="22"/>
        </w:rPr>
        <w:t>202</w:t>
      </w:r>
      <w:r w:rsidR="00114C9B">
        <w:rPr>
          <w:bCs/>
          <w:iCs/>
          <w:sz w:val="22"/>
          <w:szCs w:val="22"/>
        </w:rPr>
        <w:t>4</w:t>
      </w:r>
      <w:r w:rsidRPr="00167E04" w:rsidR="00EF31B7">
        <w:rPr>
          <w:bCs/>
          <w:iCs/>
          <w:sz w:val="22"/>
          <w:szCs w:val="22"/>
        </w:rPr>
        <w:t xml:space="preserve"> </w:t>
      </w:r>
      <w:r w:rsidRPr="00167E04">
        <w:rPr>
          <w:bCs/>
          <w:iCs/>
          <w:sz w:val="22"/>
          <w:szCs w:val="22"/>
        </w:rPr>
        <w:t xml:space="preserve">National Occupational Employment and Wage Estimates United States, U.S. Department of Labor, Bureau of Labor Statistics. </w:t>
      </w:r>
      <w:r w:rsidRPr="00114C9B" w:rsidR="00114C9B">
        <w:rPr>
          <w:bCs/>
          <w:iCs/>
          <w:color w:val="0000FF"/>
          <w:sz w:val="22"/>
          <w:szCs w:val="22"/>
          <w:u w:val="single"/>
        </w:rPr>
        <w:t>https://data.bls.gov/oes/#/industry/000000</w:t>
      </w:r>
    </w:p>
    <w:bookmarkEnd w:id="41"/>
    <w:p w:rsidR="004F3824" w:rsidP="0079224E" w14:paraId="1A6285A5" w14:textId="77777777">
      <w:pPr>
        <w:keepNext/>
        <w:outlineLvl w:val="1"/>
        <w:rPr>
          <w:bCs/>
          <w:iCs/>
          <w:color w:val="0000FF"/>
          <w:sz w:val="22"/>
          <w:szCs w:val="22"/>
          <w:u w:val="single"/>
        </w:rPr>
      </w:pPr>
    </w:p>
    <w:p w:rsidR="004F3824" w:rsidRPr="003D5848" w:rsidP="004F3824" w14:paraId="3F8B7615" w14:textId="3DA10B47">
      <w:pPr>
        <w:autoSpaceDE w:val="0"/>
        <w:autoSpaceDN w:val="0"/>
        <w:adjustRightInd w:val="0"/>
        <w:ind w:left="90"/>
        <w:rPr>
          <w:highlight w:val="yellow"/>
        </w:rPr>
      </w:pPr>
      <w:bookmarkStart w:id="42" w:name="_Hlk206764133"/>
      <w:bookmarkStart w:id="43" w:name="_Hlk207007139"/>
      <w:r w:rsidRPr="003D5848">
        <w:rPr>
          <w:color w:val="000000"/>
        </w:rPr>
        <w:t xml:space="preserve">**The Adjusted Hourly Rate was estimated at </w:t>
      </w:r>
      <w:r w:rsidR="00CC4E38">
        <w:rPr>
          <w:color w:val="000000"/>
        </w:rPr>
        <w:t>2</w:t>
      </w:r>
      <w:r w:rsidRPr="000E0886">
        <w:rPr>
          <w:color w:val="000000"/>
        </w:rPr>
        <w:t>00%</w:t>
      </w:r>
      <w:r w:rsidRPr="003D5848">
        <w:rPr>
          <w:color w:val="000000"/>
        </w:rPr>
        <w:t xml:space="preserve"> of the hourly wage.</w:t>
      </w:r>
      <w:bookmarkEnd w:id="42"/>
    </w:p>
    <w:p w:rsidR="004F3824" w:rsidRPr="00167E04" w:rsidP="0079224E" w14:paraId="33717A6A" w14:textId="643DE99B">
      <w:pPr>
        <w:keepNext/>
        <w:outlineLvl w:val="1"/>
        <w:rPr>
          <w:bCs/>
          <w:iCs/>
          <w:color w:val="0000FF"/>
          <w:sz w:val="22"/>
          <w:szCs w:val="22"/>
          <w:u w:val="single"/>
        </w:rPr>
      </w:pPr>
    </w:p>
    <w:bookmarkEnd w:id="39"/>
    <w:bookmarkEnd w:id="43"/>
    <w:p w:rsidR="00980CC6" w:rsidRPr="00167E04" w:rsidP="0079224E" w14:paraId="17F00474" w14:textId="77777777">
      <w:pPr>
        <w:rPr>
          <w:b/>
          <w:bCs/>
        </w:rPr>
      </w:pPr>
    </w:p>
    <w:p w:rsidR="009B633D" w:rsidRPr="00412C6F" w:rsidP="00CA45ED" w14:paraId="6DE79B5F" w14:textId="77777777">
      <w:pPr>
        <w:pStyle w:val="Heading2"/>
        <w:spacing w:before="0" w:after="0"/>
        <w:rPr>
          <w:sz w:val="24"/>
        </w:rPr>
      </w:pPr>
      <w:bookmarkStart w:id="44" w:name="_Toc151782188"/>
      <w:bookmarkStart w:id="45" w:name="_Toc158526228"/>
      <w:r w:rsidRPr="00412C6F">
        <w:rPr>
          <w:sz w:val="24"/>
        </w:rPr>
        <w:t>13. Estimates of Annualized Respondent Capital and Maintenance Costs</w:t>
      </w:r>
      <w:bookmarkEnd w:id="44"/>
      <w:bookmarkEnd w:id="45"/>
    </w:p>
    <w:p w:rsidR="008E305F" w:rsidP="00CA45ED" w14:paraId="6940856B" w14:textId="77777777">
      <w:r>
        <w:t xml:space="preserve">There are no </w:t>
      </w:r>
      <w:r w:rsidR="00D01056">
        <w:t xml:space="preserve">direct costs to respondents </w:t>
      </w:r>
      <w:r>
        <w:t xml:space="preserve">other than their time to submit </w:t>
      </w:r>
      <w:r w:rsidR="00D01056">
        <w:t>the online application order form</w:t>
      </w:r>
      <w:r>
        <w:t>.</w:t>
      </w:r>
    </w:p>
    <w:p w:rsidR="00E71858" w:rsidP="009F75C9" w14:paraId="42197B9D" w14:textId="62BEEC0C">
      <w:pPr>
        <w:pStyle w:val="Heading2"/>
      </w:pPr>
      <w:bookmarkStart w:id="46" w:name="_Toc58725299"/>
      <w:bookmarkStart w:id="47" w:name="_Toc151782189"/>
      <w:bookmarkStart w:id="48" w:name="_Toc158526229"/>
      <w:r w:rsidRPr="00412C6F">
        <w:rPr>
          <w:sz w:val="24"/>
        </w:rPr>
        <w:t>14. Estimates of Annualized Cost to the Government</w:t>
      </w:r>
      <w:bookmarkEnd w:id="46"/>
      <w:bookmarkEnd w:id="47"/>
      <w:bookmarkEnd w:id="48"/>
    </w:p>
    <w:p w:rsidR="00E71858" w:rsidP="0079224E" w14:paraId="66A8072E" w14:textId="6492E4CA">
      <w:r>
        <w:t xml:space="preserve">Exhibit 3 shows the estimated total and annualized cost to process HCUP database applications and maintain the </w:t>
      </w:r>
      <w:r w:rsidR="00C170AD">
        <w:t xml:space="preserve">security of the </w:t>
      </w:r>
      <w:r>
        <w:t>ordering system</w:t>
      </w:r>
      <w:r w:rsidR="00035CC2">
        <w:t xml:space="preserve"> over the 3 years covered by this information collection request</w:t>
      </w:r>
      <w:r>
        <w:t>.</w:t>
      </w:r>
      <w:r w:rsidR="00035CC2">
        <w:t xml:space="preserve">  It is estimated to cost </w:t>
      </w:r>
      <w:r w:rsidRPr="00014D1E" w:rsidR="00035CC2">
        <w:t>$</w:t>
      </w:r>
      <w:r w:rsidRPr="00014D1E" w:rsidR="00B702BD">
        <w:t>33,648</w:t>
      </w:r>
      <w:r w:rsidRPr="00014D1E" w:rsidR="00035CC2">
        <w:t xml:space="preserve"> </w:t>
      </w:r>
      <w:r w:rsidR="00035CC2">
        <w:t xml:space="preserve">annually to operate and maintain the ordering system. </w:t>
      </w:r>
    </w:p>
    <w:p w:rsidR="00E71858" w:rsidRPr="00E71858" w:rsidP="0079224E" w14:paraId="5728650C" w14:textId="77777777"/>
    <w:p w:rsidR="00012FB9" w:rsidP="0079224E" w14:paraId="43B9686F" w14:textId="77777777">
      <w:bookmarkStart w:id="49" w:name="_Toc151782190"/>
      <w:bookmarkStart w:id="50" w:name="_Toc158526230"/>
      <w:r>
        <w:rPr>
          <w:b/>
          <w:bCs/>
          <w:color w:val="000000"/>
        </w:rPr>
        <w:t>Exhibit 3.  Estimated</w:t>
      </w:r>
      <w:r w:rsidR="00FD1D9C">
        <w:rPr>
          <w:b/>
          <w:bCs/>
          <w:color w:val="000000"/>
        </w:rPr>
        <w:t xml:space="preserve"> Total and Annualized</w:t>
      </w:r>
      <w:r>
        <w:rPr>
          <w:b/>
          <w:bCs/>
          <w:color w:val="000000"/>
        </w:rPr>
        <w:t xml:space="preserve"> Cost</w:t>
      </w:r>
    </w:p>
    <w:tbl>
      <w:tblPr>
        <w:tblW w:w="0" w:type="auto"/>
        <w:tblInd w:w="-10" w:type="dxa"/>
        <w:tblCellMar>
          <w:left w:w="0" w:type="dxa"/>
          <w:right w:w="0" w:type="dxa"/>
        </w:tblCellMar>
        <w:tblLook w:val="0000"/>
      </w:tblPr>
      <w:tblGrid>
        <w:gridCol w:w="3870"/>
        <w:gridCol w:w="1170"/>
        <w:gridCol w:w="1440"/>
      </w:tblGrid>
      <w:tr w14:paraId="391B835B" w14:textId="77777777" w:rsidTr="009F75C9">
        <w:tblPrEx>
          <w:tblW w:w="0" w:type="auto"/>
          <w:tblInd w:w="-10" w:type="dxa"/>
          <w:tblCellMar>
            <w:left w:w="0" w:type="dxa"/>
            <w:right w:w="0" w:type="dxa"/>
          </w:tblCellMar>
          <w:tblLook w:val="0000"/>
        </w:tblPrEx>
        <w:tc>
          <w:tcPr>
            <w:tcW w:w="38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012FB9" w:rsidRPr="00012FB9" w:rsidP="0079224E" w14:paraId="3AE83374" w14:textId="77777777">
            <w:pPr>
              <w:rPr>
                <w:b/>
              </w:rPr>
            </w:pPr>
            <w:r w:rsidRPr="00012FB9">
              <w:rPr>
                <w:b/>
                <w:color w:val="000000"/>
              </w:rPr>
              <w:t xml:space="preserve">Cost Component </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012FB9" w:rsidP="0079224E" w14:paraId="790ACDC4" w14:textId="77777777">
            <w:pPr>
              <w:jc w:val="center"/>
              <w:rPr>
                <w:b/>
              </w:rPr>
            </w:pPr>
            <w:r w:rsidRPr="00012FB9">
              <w:rPr>
                <w:b/>
              </w:rPr>
              <w:t>Total Cost</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012FB9" w:rsidRPr="00012FB9" w:rsidP="0079224E" w14:paraId="2E84D63C" w14:textId="77777777">
            <w:pPr>
              <w:jc w:val="center"/>
              <w:rPr>
                <w:b/>
              </w:rPr>
            </w:pPr>
            <w:r w:rsidRPr="00012FB9">
              <w:rPr>
                <w:b/>
              </w:rPr>
              <w:t>Annualized Cost</w:t>
            </w:r>
          </w:p>
        </w:tc>
      </w:tr>
      <w:tr w14:paraId="55A3A79B" w14:textId="77777777" w:rsidTr="009F75C9">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B4D43" w:rsidP="00AB4D43" w14:paraId="6F8AFF71" w14:textId="77777777">
            <w:r>
              <w:t xml:space="preserve">Application </w:t>
            </w:r>
            <w:r>
              <w:t>Review</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B4D43" w:rsidP="00AB4D43" w14:paraId="42767388" w14:textId="6F968C60">
            <w:pPr>
              <w:jc w:val="right"/>
            </w:pPr>
            <w:r>
              <w:t>$</w:t>
            </w:r>
            <w:r w:rsidR="00D3674D">
              <w:t>26</w:t>
            </w:r>
            <w:r w:rsidR="00592FEB">
              <w:t>,700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B4D43" w:rsidP="00AB4D43" w14:paraId="553B0E62" w14:textId="069FD68A">
            <w:pPr>
              <w:jc w:val="right"/>
            </w:pPr>
            <w:r>
              <w:t>$</w:t>
            </w:r>
            <w:r w:rsidR="000B0F9B">
              <w:t>8</w:t>
            </w:r>
            <w:r w:rsidR="00D3674D">
              <w:t>,900</w:t>
            </w:r>
          </w:p>
        </w:tc>
      </w:tr>
      <w:tr w14:paraId="712BBB2C" w14:textId="77777777" w:rsidTr="009F75C9">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B4D43" w:rsidP="00AB4D43" w14:paraId="0261D5A1" w14:textId="77777777">
            <w:r>
              <w:t>Maintenance</w:t>
            </w:r>
            <w:r w:rsidR="006E56B3">
              <w:t>/Troubleshooting</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B4D43" w:rsidRPr="00E21373" w:rsidP="00AB4D43" w14:paraId="7E4D3FAD" w14:textId="3A3B452D">
            <w:pPr>
              <w:jc w:val="right"/>
            </w:pPr>
            <w:r w:rsidRPr="00E21373">
              <w:t>$</w:t>
            </w:r>
            <w:r w:rsidRPr="00E21373" w:rsidR="008533C6">
              <w:t>27,444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B4D43" w:rsidRPr="00E21373" w:rsidP="00AB4D43" w14:paraId="7490C6E8" w14:textId="6DCCEA27">
            <w:pPr>
              <w:jc w:val="right"/>
            </w:pPr>
            <w:r w:rsidRPr="00E21373">
              <w:t>$</w:t>
            </w:r>
            <w:r w:rsidRPr="00E21373" w:rsidR="00075C69">
              <w:t>9,148</w:t>
            </w:r>
          </w:p>
        </w:tc>
      </w:tr>
      <w:tr w14:paraId="39C53AD5" w14:textId="77777777" w:rsidTr="009F75C9">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B4D43" w:rsidP="00AB4D43" w14:paraId="35B881CB" w14:textId="77777777">
            <w:r>
              <w:t>Customer Inquiries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B4D43" w:rsidP="00AB4D43" w14:paraId="02581780" w14:textId="44095CFF">
            <w:pPr>
              <w:jc w:val="right"/>
            </w:pPr>
            <w:r>
              <w:t>$</w:t>
            </w:r>
            <w:r w:rsidR="007B6110">
              <w:t>46,800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B4D43" w:rsidP="00AB4D43" w14:paraId="088A394F" w14:textId="11FF2002">
            <w:pPr>
              <w:jc w:val="right"/>
            </w:pPr>
            <w:r>
              <w:t>$</w:t>
            </w:r>
            <w:r w:rsidR="00DC3237">
              <w:t>15,600</w:t>
            </w:r>
          </w:p>
        </w:tc>
      </w:tr>
      <w:tr w14:paraId="55376E8C" w14:textId="77777777" w:rsidTr="009F75C9">
        <w:tblPrEx>
          <w:tblW w:w="0" w:type="auto"/>
          <w:tblInd w:w="-10" w:type="dxa"/>
          <w:tblCellMar>
            <w:left w:w="0" w:type="dxa"/>
            <w:right w:w="0" w:type="dxa"/>
          </w:tblCellMar>
          <w:tblLook w:val="0000"/>
        </w:tblPrEx>
        <w:tc>
          <w:tcPr>
            <w:tcW w:w="38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AB4D43" w:rsidRPr="006D1C5E" w:rsidP="00AB4D43" w14:paraId="5E6ED183" w14:textId="77777777">
            <w:r w:rsidRPr="006D1C5E">
              <w:rPr>
                <w:b/>
                <w:bCs/>
                <w:color w:val="000000"/>
              </w:rPr>
              <w:t>Total</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B4D43" w:rsidP="00AB4D43" w14:paraId="5C687ED5" w14:textId="4B17457D">
            <w:pPr>
              <w:jc w:val="right"/>
            </w:pPr>
            <w:r>
              <w:t>$</w:t>
            </w:r>
            <w:r w:rsidR="00723B87">
              <w:t>101,154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AB4D43" w:rsidP="00AB4D43" w14:paraId="2FD68EF7" w14:textId="12DE89C3">
            <w:pPr>
              <w:jc w:val="right"/>
            </w:pPr>
            <w:r>
              <w:t>$</w:t>
            </w:r>
            <w:r w:rsidR="005B1683">
              <w:t>33,64</w:t>
            </w:r>
            <w:r w:rsidR="00987E3D">
              <w:t>8</w:t>
            </w:r>
          </w:p>
        </w:tc>
      </w:tr>
    </w:tbl>
    <w:p w:rsidR="00011FD9" w:rsidRPr="00011FD9" w:rsidP="0079224E" w14:paraId="4A98E260" w14:textId="77777777"/>
    <w:p w:rsidR="00363C3A" w:rsidRPr="00DA79B5" w:rsidP="009F75C9" w14:paraId="66315DD5" w14:textId="77777777">
      <w:pPr>
        <w:rPr>
          <w:b/>
        </w:rPr>
      </w:pPr>
      <w:r w:rsidRPr="00DA79B5">
        <w:rPr>
          <w:b/>
        </w:rPr>
        <w:t xml:space="preserve">Exhibit </w:t>
      </w:r>
      <w:r w:rsidR="004E0FB1">
        <w:rPr>
          <w:b/>
        </w:rPr>
        <w:t>4</w:t>
      </w:r>
      <w:r w:rsidRPr="00DA79B5">
        <w:rPr>
          <w:b/>
        </w:rPr>
        <w:t xml:space="preserve">. Federal Government Personnel </w:t>
      </w:r>
      <w:r w:rsidR="001952BB">
        <w:rPr>
          <w:b/>
        </w:rPr>
        <w:t xml:space="preserve">Annual </w:t>
      </w:r>
      <w:r w:rsidRPr="00DA79B5">
        <w:rPr>
          <w:b/>
        </w:rPr>
        <w:t>Cost</w:t>
      </w:r>
    </w:p>
    <w:tbl>
      <w:tblPr>
        <w:tblW w:w="10123" w:type="dxa"/>
        <w:tblInd w:w="-8" w:type="dxa"/>
        <w:tblLayout w:type="fixed"/>
        <w:tblCellMar>
          <w:left w:w="100" w:type="dxa"/>
          <w:right w:w="100" w:type="dxa"/>
        </w:tblCellMar>
        <w:tblLook w:val="04A0"/>
      </w:tblPr>
      <w:tblGrid>
        <w:gridCol w:w="1350"/>
        <w:gridCol w:w="1478"/>
        <w:gridCol w:w="2369"/>
        <w:gridCol w:w="1013"/>
        <w:gridCol w:w="1350"/>
        <w:gridCol w:w="1350"/>
        <w:gridCol w:w="1213"/>
      </w:tblGrid>
      <w:tr w14:paraId="4ADF7ECA" w14:textId="77777777" w:rsidTr="00333436">
        <w:tblPrEx>
          <w:tblW w:w="10123" w:type="dxa"/>
          <w:tblInd w:w="-8" w:type="dxa"/>
          <w:tblLayout w:type="fixed"/>
          <w:tblCellMar>
            <w:left w:w="100" w:type="dxa"/>
            <w:right w:w="100" w:type="dxa"/>
          </w:tblCellMar>
          <w:tblLook w:val="04A0"/>
        </w:tblPrEx>
        <w:trPr>
          <w:cantSplit/>
          <w:trHeight w:val="403"/>
        </w:trPr>
        <w:tc>
          <w:tcPr>
            <w:tcW w:w="2828" w:type="dxa"/>
            <w:gridSpan w:val="2"/>
            <w:tcBorders>
              <w:top w:val="single" w:sz="6" w:space="0" w:color="auto"/>
              <w:left w:val="single" w:sz="6" w:space="0" w:color="auto"/>
              <w:bottom w:val="nil"/>
              <w:right w:val="nil"/>
            </w:tcBorders>
            <w:vAlign w:val="bottom"/>
          </w:tcPr>
          <w:p w:rsidR="00333436" w:rsidRPr="00DA79B5" w:rsidP="0079224E" w14:paraId="0EE98FDF" w14:textId="77777777">
            <w:pPr>
              <w:jc w:val="center"/>
              <w:rPr>
                <w:b/>
                <w:bCs/>
              </w:rPr>
            </w:pPr>
            <w:bookmarkStart w:id="51" w:name="_Hlk206760546"/>
            <w:r w:rsidRPr="00DA79B5">
              <w:rPr>
                <w:b/>
                <w:bCs/>
              </w:rPr>
              <w:t>Activity</w:t>
            </w:r>
          </w:p>
        </w:tc>
        <w:tc>
          <w:tcPr>
            <w:tcW w:w="2369" w:type="dxa"/>
            <w:tcBorders>
              <w:top w:val="single" w:sz="6" w:space="0" w:color="auto"/>
              <w:left w:val="single" w:sz="6" w:space="0" w:color="auto"/>
              <w:bottom w:val="single" w:sz="6" w:space="0" w:color="auto"/>
              <w:right w:val="nil"/>
            </w:tcBorders>
            <w:vAlign w:val="bottom"/>
          </w:tcPr>
          <w:p w:rsidR="00333436" w:rsidRPr="00DA79B5" w:rsidP="0079224E" w14:paraId="3141092C" w14:textId="77777777">
            <w:pPr>
              <w:jc w:val="center"/>
              <w:rPr>
                <w:b/>
                <w:bCs/>
              </w:rPr>
            </w:pPr>
            <w:r w:rsidRPr="00DA79B5">
              <w:rPr>
                <w:b/>
                <w:bCs/>
              </w:rPr>
              <w:t>Federal Personnel</w:t>
            </w:r>
          </w:p>
        </w:tc>
        <w:tc>
          <w:tcPr>
            <w:tcW w:w="1013" w:type="dxa"/>
            <w:tcBorders>
              <w:top w:val="single" w:sz="6" w:space="0" w:color="auto"/>
              <w:left w:val="single" w:sz="6" w:space="0" w:color="auto"/>
              <w:bottom w:val="single" w:sz="6" w:space="0" w:color="auto"/>
              <w:right w:val="single" w:sz="6" w:space="0" w:color="auto"/>
            </w:tcBorders>
            <w:vAlign w:val="bottom"/>
          </w:tcPr>
          <w:p w:rsidR="00333436" w:rsidRPr="00DA79B5" w:rsidP="0079224E" w14:paraId="2709A870" w14:textId="77777777">
            <w:pPr>
              <w:jc w:val="center"/>
              <w:rPr>
                <w:b/>
                <w:bCs/>
              </w:rPr>
            </w:pPr>
            <w:r w:rsidRPr="00DA79B5">
              <w:rPr>
                <w:b/>
                <w:bCs/>
              </w:rPr>
              <w:t>Hourly Rate</w:t>
            </w:r>
            <w:r>
              <w:rPr>
                <w:b/>
                <w:bCs/>
              </w:rPr>
              <w:t>*</w:t>
            </w:r>
          </w:p>
        </w:tc>
        <w:tc>
          <w:tcPr>
            <w:tcW w:w="1350" w:type="dxa"/>
            <w:tcBorders>
              <w:top w:val="single" w:sz="6" w:space="0" w:color="auto"/>
              <w:left w:val="single" w:sz="6" w:space="0" w:color="auto"/>
              <w:bottom w:val="single" w:sz="6" w:space="0" w:color="auto"/>
              <w:right w:val="single" w:sz="6" w:space="0" w:color="auto"/>
            </w:tcBorders>
          </w:tcPr>
          <w:p w:rsidR="00333436" w:rsidRPr="00DA79B5" w:rsidP="0079224E" w14:paraId="3584391C" w14:textId="510046B5">
            <w:pPr>
              <w:jc w:val="center"/>
              <w:rPr>
                <w:b/>
                <w:bCs/>
              </w:rPr>
            </w:pPr>
            <w:r>
              <w:rPr>
                <w:b/>
                <w:bCs/>
              </w:rPr>
              <w:t>Adjusted Hourly Rate**</w:t>
            </w:r>
          </w:p>
        </w:tc>
        <w:tc>
          <w:tcPr>
            <w:tcW w:w="1350" w:type="dxa"/>
            <w:tcBorders>
              <w:top w:val="single" w:sz="6" w:space="0" w:color="auto"/>
              <w:left w:val="single" w:sz="6" w:space="0" w:color="auto"/>
              <w:bottom w:val="single" w:sz="6" w:space="0" w:color="auto"/>
              <w:right w:val="nil"/>
            </w:tcBorders>
            <w:vAlign w:val="bottom"/>
          </w:tcPr>
          <w:p w:rsidR="00333436" w:rsidRPr="00DA79B5" w:rsidP="0079224E" w14:paraId="388FA728" w14:textId="35B6811E">
            <w:pPr>
              <w:jc w:val="center"/>
              <w:rPr>
                <w:b/>
                <w:bCs/>
              </w:rPr>
            </w:pPr>
            <w:r w:rsidRPr="00DA79B5">
              <w:rPr>
                <w:b/>
                <w:bCs/>
              </w:rPr>
              <w:t>Estimated Hours</w:t>
            </w:r>
          </w:p>
        </w:tc>
        <w:tc>
          <w:tcPr>
            <w:tcW w:w="1213" w:type="dxa"/>
            <w:tcBorders>
              <w:top w:val="single" w:sz="6" w:space="0" w:color="auto"/>
              <w:left w:val="single" w:sz="6" w:space="0" w:color="auto"/>
              <w:bottom w:val="single" w:sz="6" w:space="0" w:color="auto"/>
              <w:right w:val="single" w:sz="6" w:space="0" w:color="auto"/>
            </w:tcBorders>
            <w:vAlign w:val="bottom"/>
          </w:tcPr>
          <w:p w:rsidR="00333436" w:rsidRPr="00DA79B5" w:rsidP="0079224E" w14:paraId="7A0C7488" w14:textId="77777777">
            <w:pPr>
              <w:jc w:val="center"/>
              <w:rPr>
                <w:b/>
                <w:bCs/>
              </w:rPr>
            </w:pPr>
            <w:r w:rsidRPr="00DA79B5">
              <w:rPr>
                <w:b/>
                <w:bCs/>
              </w:rPr>
              <w:t>Cost</w:t>
            </w:r>
          </w:p>
        </w:tc>
      </w:tr>
      <w:tr w14:paraId="187A26E8" w14:textId="77777777" w:rsidTr="00333436">
        <w:tblPrEx>
          <w:tblW w:w="10123" w:type="dxa"/>
          <w:tblInd w:w="-8" w:type="dxa"/>
          <w:tblLayout w:type="fixed"/>
          <w:tblCellMar>
            <w:left w:w="100" w:type="dxa"/>
            <w:right w:w="100" w:type="dxa"/>
          </w:tblCellMar>
          <w:tblLook w:val="04A0"/>
        </w:tblPrEx>
        <w:trPr>
          <w:cantSplit/>
          <w:trHeight w:val="327"/>
        </w:trPr>
        <w:tc>
          <w:tcPr>
            <w:tcW w:w="2828" w:type="dxa"/>
            <w:gridSpan w:val="2"/>
            <w:tcBorders>
              <w:top w:val="single" w:sz="6" w:space="0" w:color="auto"/>
              <w:left w:val="single" w:sz="6" w:space="0" w:color="auto"/>
              <w:bottom w:val="nil"/>
              <w:right w:val="nil"/>
            </w:tcBorders>
            <w:vAlign w:val="center"/>
          </w:tcPr>
          <w:p w:rsidR="00333436" w:rsidRPr="00971D05" w:rsidP="00971D05" w14:paraId="7B0FEF1C" w14:textId="77777777">
            <w:pPr>
              <w:jc w:val="center"/>
            </w:pPr>
            <w:r w:rsidRPr="00971D05">
              <w:t>Data Collection Oversight</w:t>
            </w:r>
          </w:p>
        </w:tc>
        <w:tc>
          <w:tcPr>
            <w:tcW w:w="2369" w:type="dxa"/>
            <w:tcBorders>
              <w:top w:val="single" w:sz="6" w:space="0" w:color="auto"/>
              <w:left w:val="single" w:sz="6" w:space="0" w:color="auto"/>
              <w:bottom w:val="single" w:sz="6" w:space="0" w:color="auto"/>
              <w:right w:val="nil"/>
            </w:tcBorders>
            <w:vAlign w:val="center"/>
          </w:tcPr>
          <w:p w:rsidR="00333436" w:rsidRPr="00971D05" w:rsidP="00971D05" w14:paraId="2D54FC4F" w14:textId="77777777">
            <w:pPr>
              <w:tabs>
                <w:tab w:val="left" w:pos="453"/>
                <w:tab w:val="center" w:pos="961"/>
              </w:tabs>
              <w:jc w:val="center"/>
            </w:pPr>
            <w:r w:rsidRPr="00971D05">
              <w:t>1 (GS-13 Step 9)</w:t>
            </w:r>
          </w:p>
        </w:tc>
        <w:tc>
          <w:tcPr>
            <w:tcW w:w="1013" w:type="dxa"/>
            <w:tcBorders>
              <w:top w:val="single" w:sz="6" w:space="0" w:color="auto"/>
              <w:left w:val="single" w:sz="6" w:space="0" w:color="auto"/>
              <w:bottom w:val="single" w:sz="6" w:space="0" w:color="auto"/>
              <w:right w:val="single" w:sz="6" w:space="0" w:color="auto"/>
            </w:tcBorders>
            <w:vAlign w:val="center"/>
          </w:tcPr>
          <w:p w:rsidR="00333436" w:rsidRPr="00971D05" w:rsidP="00971D05" w14:paraId="30603559" w14:textId="42DA4DC9">
            <w:pPr>
              <w:jc w:val="center"/>
            </w:pPr>
            <w:r w:rsidRPr="00971D05">
              <w:t>$7</w:t>
            </w:r>
            <w:r w:rsidR="00850F80">
              <w:t>3</w:t>
            </w:r>
            <w:r w:rsidRPr="00971D05">
              <w:t>.</w:t>
            </w:r>
            <w:r w:rsidR="00D96464">
              <w:t>43</w:t>
            </w:r>
          </w:p>
        </w:tc>
        <w:tc>
          <w:tcPr>
            <w:tcW w:w="1350" w:type="dxa"/>
            <w:tcBorders>
              <w:top w:val="single" w:sz="6" w:space="0" w:color="auto"/>
              <w:left w:val="single" w:sz="6" w:space="0" w:color="auto"/>
              <w:bottom w:val="single" w:sz="6" w:space="0" w:color="auto"/>
              <w:right w:val="single" w:sz="6" w:space="0" w:color="auto"/>
            </w:tcBorders>
          </w:tcPr>
          <w:p w:rsidR="00333436" w:rsidRPr="00971D05" w:rsidP="00971D05" w14:paraId="21B2E45A" w14:textId="7EDCE80B">
            <w:pPr>
              <w:jc w:val="center"/>
            </w:pPr>
            <w:r>
              <w:t>$146.86</w:t>
            </w:r>
          </w:p>
        </w:tc>
        <w:tc>
          <w:tcPr>
            <w:tcW w:w="1350" w:type="dxa"/>
            <w:tcBorders>
              <w:top w:val="single" w:sz="6" w:space="0" w:color="auto"/>
              <w:left w:val="single" w:sz="6" w:space="0" w:color="auto"/>
              <w:bottom w:val="single" w:sz="6" w:space="0" w:color="auto"/>
              <w:right w:val="nil"/>
            </w:tcBorders>
            <w:vAlign w:val="center"/>
          </w:tcPr>
          <w:p w:rsidR="00333436" w:rsidRPr="00971D05" w:rsidP="00971D05" w14:paraId="75EB5838" w14:textId="2C8FBF84">
            <w:pPr>
              <w:jc w:val="center"/>
            </w:pPr>
            <w:r w:rsidRPr="00971D05">
              <w:t>440</w:t>
            </w:r>
          </w:p>
        </w:tc>
        <w:tc>
          <w:tcPr>
            <w:tcW w:w="1213" w:type="dxa"/>
            <w:tcBorders>
              <w:top w:val="single" w:sz="6" w:space="0" w:color="auto"/>
              <w:left w:val="single" w:sz="6" w:space="0" w:color="auto"/>
              <w:bottom w:val="single" w:sz="6" w:space="0" w:color="auto"/>
              <w:right w:val="single" w:sz="6" w:space="0" w:color="auto"/>
            </w:tcBorders>
            <w:vAlign w:val="center"/>
          </w:tcPr>
          <w:p w:rsidR="00333436" w:rsidRPr="00971D05" w:rsidP="00971D05" w14:paraId="60A441B8" w14:textId="4C1FD2F5">
            <w:pPr>
              <w:jc w:val="center"/>
            </w:pPr>
            <w:r>
              <w:t>$64,618</w:t>
            </w:r>
          </w:p>
        </w:tc>
      </w:tr>
      <w:tr w14:paraId="5D9F5318" w14:textId="77777777" w:rsidTr="00333436">
        <w:tblPrEx>
          <w:tblW w:w="10123" w:type="dxa"/>
          <w:tblInd w:w="-8" w:type="dxa"/>
          <w:tblLayout w:type="fixed"/>
          <w:tblCellMar>
            <w:left w:w="100" w:type="dxa"/>
            <w:right w:w="100" w:type="dxa"/>
          </w:tblCellMar>
          <w:tblLook w:val="04A0"/>
        </w:tblPrEx>
        <w:trPr>
          <w:cantSplit/>
          <w:trHeight w:val="403"/>
        </w:trPr>
        <w:tc>
          <w:tcPr>
            <w:tcW w:w="1350" w:type="dxa"/>
            <w:tcBorders>
              <w:top w:val="single" w:sz="6" w:space="0" w:color="auto"/>
              <w:left w:val="single" w:sz="6" w:space="0" w:color="auto"/>
              <w:bottom w:val="single" w:sz="6" w:space="0" w:color="auto"/>
              <w:right w:val="nil"/>
            </w:tcBorders>
          </w:tcPr>
          <w:p w:rsidR="00333436" w:rsidRPr="00971D05" w:rsidP="004916B9" w14:paraId="7B49149A" w14:textId="77777777">
            <w:pPr>
              <w:rPr>
                <w:b/>
                <w:bCs/>
              </w:rPr>
            </w:pPr>
          </w:p>
        </w:tc>
        <w:tc>
          <w:tcPr>
            <w:tcW w:w="7560" w:type="dxa"/>
            <w:gridSpan w:val="5"/>
            <w:tcBorders>
              <w:top w:val="single" w:sz="6" w:space="0" w:color="auto"/>
              <w:left w:val="single" w:sz="6" w:space="0" w:color="auto"/>
              <w:bottom w:val="single" w:sz="6" w:space="0" w:color="auto"/>
              <w:right w:val="nil"/>
            </w:tcBorders>
            <w:vAlign w:val="bottom"/>
            <w:hideMark/>
          </w:tcPr>
          <w:p w:rsidR="00333436" w:rsidRPr="00971D05" w:rsidP="004916B9" w14:paraId="21335DD0" w14:textId="66EF096A">
            <w:pPr>
              <w:rPr>
                <w:b/>
                <w:bCs/>
              </w:rPr>
            </w:pPr>
            <w:r w:rsidRPr="00971D05">
              <w:rPr>
                <w:b/>
                <w:bCs/>
              </w:rPr>
              <w:t>Total</w:t>
            </w:r>
          </w:p>
        </w:tc>
        <w:tc>
          <w:tcPr>
            <w:tcW w:w="1213" w:type="dxa"/>
            <w:tcBorders>
              <w:top w:val="single" w:sz="6" w:space="0" w:color="auto"/>
              <w:left w:val="single" w:sz="6" w:space="0" w:color="auto"/>
              <w:bottom w:val="single" w:sz="6" w:space="0" w:color="auto"/>
              <w:right w:val="single" w:sz="6" w:space="0" w:color="auto"/>
            </w:tcBorders>
            <w:vAlign w:val="bottom"/>
            <w:hideMark/>
          </w:tcPr>
          <w:p w:rsidR="00333436" w:rsidRPr="00971D05" w:rsidP="004916B9" w14:paraId="4AA2ABA2" w14:textId="69FBA1E6">
            <w:pPr>
              <w:jc w:val="center"/>
              <w:rPr>
                <w:b/>
                <w:bCs/>
              </w:rPr>
            </w:pPr>
            <w:r w:rsidRPr="00971D05">
              <w:rPr>
                <w:b/>
                <w:bCs/>
              </w:rPr>
              <w:t xml:space="preserve"> $</w:t>
            </w:r>
            <w:r w:rsidR="00CC4E38">
              <w:rPr>
                <w:b/>
                <w:bCs/>
              </w:rPr>
              <w:t>64,618</w:t>
            </w:r>
          </w:p>
        </w:tc>
      </w:tr>
    </w:tbl>
    <w:bookmarkEnd w:id="51"/>
    <w:p w:rsidR="001A2110" w:rsidP="00A3611E" w14:paraId="538B014D" w14:textId="4BE6F8C0">
      <w:pPr>
        <w:rPr>
          <w:rStyle w:val="Hyperlink"/>
          <w:sz w:val="22"/>
          <w:szCs w:val="22"/>
        </w:rPr>
      </w:pPr>
      <w:r w:rsidRPr="00167E04">
        <w:rPr>
          <w:color w:val="000000"/>
          <w:sz w:val="22"/>
          <w:szCs w:val="22"/>
        </w:rPr>
        <w:t xml:space="preserve">* Based </w:t>
      </w:r>
      <w:bookmarkStart w:id="52" w:name="_Hlk206763802"/>
      <w:r w:rsidRPr="00167E04">
        <w:rPr>
          <w:color w:val="000000"/>
          <w:sz w:val="22"/>
          <w:szCs w:val="22"/>
        </w:rPr>
        <w:t>on a</w:t>
      </w:r>
      <w:r w:rsidRPr="00167E04" w:rsidR="00363C3A">
        <w:rPr>
          <w:color w:val="000000"/>
          <w:sz w:val="22"/>
          <w:szCs w:val="22"/>
        </w:rPr>
        <w:t xml:space="preserve">nnual salaries </w:t>
      </w:r>
      <w:r w:rsidRPr="00167E04">
        <w:rPr>
          <w:color w:val="000000"/>
          <w:sz w:val="22"/>
          <w:szCs w:val="22"/>
        </w:rPr>
        <w:t>from the</w:t>
      </w:r>
      <w:r w:rsidRPr="00167E04" w:rsidR="00363C3A">
        <w:rPr>
          <w:color w:val="000000"/>
          <w:sz w:val="22"/>
          <w:szCs w:val="22"/>
        </w:rPr>
        <w:t xml:space="preserve"> </w:t>
      </w:r>
      <w:r w:rsidRPr="00167E04" w:rsidR="00A3611E">
        <w:rPr>
          <w:color w:val="000000"/>
          <w:sz w:val="22"/>
          <w:szCs w:val="22"/>
        </w:rPr>
        <w:t>202</w:t>
      </w:r>
      <w:r w:rsidR="00850F80">
        <w:rPr>
          <w:color w:val="000000"/>
          <w:sz w:val="22"/>
          <w:szCs w:val="22"/>
        </w:rPr>
        <w:t>5</w:t>
      </w:r>
      <w:r w:rsidRPr="00167E04" w:rsidR="00A3611E">
        <w:rPr>
          <w:color w:val="000000"/>
          <w:sz w:val="22"/>
          <w:szCs w:val="22"/>
        </w:rPr>
        <w:t xml:space="preserve"> </w:t>
      </w:r>
      <w:r w:rsidRPr="00167E04" w:rsidR="00363C3A">
        <w:rPr>
          <w:color w:val="000000"/>
          <w:sz w:val="22"/>
          <w:szCs w:val="22"/>
        </w:rPr>
        <w:t>OPM Pay Schedule for Washington/DC area:</w:t>
      </w:r>
      <w:r w:rsidRPr="00167E04" w:rsidR="00FC0B85">
        <w:rPr>
          <w:sz w:val="22"/>
          <w:szCs w:val="22"/>
        </w:rPr>
        <w:t xml:space="preserve"> </w:t>
      </w:r>
      <w:bookmarkEnd w:id="52"/>
    </w:p>
    <w:p w:rsidR="00850F80" w:rsidP="00A3611E" w14:paraId="735F15F2" w14:textId="5B91DC0F">
      <w:pPr>
        <w:rPr>
          <w:rStyle w:val="Hyperlink"/>
          <w:sz w:val="22"/>
          <w:szCs w:val="22"/>
        </w:rPr>
      </w:pPr>
      <w:hyperlink r:id="rId7" w:history="1">
        <w:r w:rsidRPr="00850F80">
          <w:rPr>
            <w:rStyle w:val="Hyperlink"/>
            <w:sz w:val="22"/>
            <w:szCs w:val="22"/>
          </w:rPr>
          <w:t>http://www.opm.gov/policy-data-oversight/pay-leave/salaries-wages/salary-tables/pdf/2025/DCB.pdf</w:t>
        </w:r>
      </w:hyperlink>
    </w:p>
    <w:p w:rsidR="0056236D" w:rsidP="00A3611E" w14:paraId="1677A6A2" w14:textId="77777777">
      <w:pPr>
        <w:rPr>
          <w:rStyle w:val="Hyperlink"/>
          <w:sz w:val="22"/>
          <w:szCs w:val="22"/>
        </w:rPr>
      </w:pPr>
    </w:p>
    <w:p w:rsidR="0056236D" w:rsidRPr="00167E04" w:rsidP="00A3611E" w14:paraId="181079D9" w14:textId="75ECEBB4">
      <w:pPr>
        <w:rPr>
          <w:sz w:val="22"/>
          <w:szCs w:val="22"/>
        </w:rPr>
      </w:pPr>
      <w:r w:rsidRPr="0056236D">
        <w:rPr>
          <w:sz w:val="22"/>
          <w:szCs w:val="22"/>
        </w:rPr>
        <w:t xml:space="preserve">**The Adjusted Hourly Rate was estimated at </w:t>
      </w:r>
      <w:r w:rsidRPr="00CC4E38" w:rsidR="00CC4E38">
        <w:rPr>
          <w:sz w:val="22"/>
          <w:szCs w:val="22"/>
        </w:rPr>
        <w:t>2</w:t>
      </w:r>
      <w:r w:rsidRPr="00CC4E38">
        <w:rPr>
          <w:sz w:val="22"/>
          <w:szCs w:val="22"/>
        </w:rPr>
        <w:t>00%</w:t>
      </w:r>
      <w:r w:rsidRPr="0056236D">
        <w:rPr>
          <w:sz w:val="22"/>
          <w:szCs w:val="22"/>
        </w:rPr>
        <w:t xml:space="preserve"> of the hourly wage.</w:t>
      </w:r>
    </w:p>
    <w:p w:rsidR="002A2ABA" w:rsidRPr="009F75C9" w:rsidP="009F75C9" w14:paraId="2D293A3D" w14:textId="4732C97A">
      <w:pPr>
        <w:pStyle w:val="Heading2"/>
        <w:rPr>
          <w:sz w:val="24"/>
          <w:szCs w:val="24"/>
        </w:rPr>
      </w:pPr>
      <w:r w:rsidRPr="009F75C9">
        <w:rPr>
          <w:sz w:val="24"/>
          <w:szCs w:val="24"/>
        </w:rPr>
        <w:t>15. Changes in Hour Burden</w:t>
      </w:r>
      <w:bookmarkEnd w:id="49"/>
      <w:bookmarkEnd w:id="50"/>
    </w:p>
    <w:p w:rsidR="00D01056" w:rsidRPr="00D01056" w:rsidP="0079224E" w14:paraId="3523E693" w14:textId="16DF216C">
      <w:r>
        <w:t>There have been no changes in</w:t>
      </w:r>
      <w:r w:rsidR="00E87F29">
        <w:t xml:space="preserve"> public use of the system </w:t>
      </w:r>
      <w:r>
        <w:t>(</w:t>
      </w:r>
      <w:r w:rsidR="00B95EAD">
        <w:t>i.e.</w:t>
      </w:r>
      <w:r>
        <w:t>, the number of respondents)</w:t>
      </w:r>
      <w:bookmarkStart w:id="53" w:name="_Hlk184642646"/>
      <w:r w:rsidR="00846EEE">
        <w:t xml:space="preserve">, however there is an increase in the burden hours with this ICR, from 900 to 1,050 hours. </w:t>
      </w:r>
      <w:r w:rsidRPr="00CC4E38" w:rsidR="00846EEE">
        <w:t>This increase in burden is due to a more accurate accounting of the burden associated with the individual steps in the ordering process.</w:t>
      </w:r>
    </w:p>
    <w:p w:rsidR="009B633D" w:rsidRPr="00412C6F" w:rsidP="0079224E" w14:paraId="3D5169D9" w14:textId="77777777">
      <w:pPr>
        <w:pStyle w:val="Heading2"/>
        <w:rPr>
          <w:sz w:val="24"/>
        </w:rPr>
      </w:pPr>
      <w:bookmarkStart w:id="54" w:name="_Toc151782191"/>
      <w:bookmarkStart w:id="55" w:name="_Toc158526231"/>
      <w:bookmarkEnd w:id="53"/>
      <w:r w:rsidRPr="00412C6F">
        <w:rPr>
          <w:sz w:val="24"/>
        </w:rPr>
        <w:t>16. Time Schedule, Publication and Analysis Plans</w:t>
      </w:r>
      <w:bookmarkEnd w:id="54"/>
      <w:bookmarkEnd w:id="55"/>
    </w:p>
    <w:p w:rsidR="009B633D" w:rsidRPr="006E1DF8" w:rsidP="0079224E" w14:paraId="77567881" w14:textId="77777777">
      <w:pPr>
        <w:spacing w:before="120"/>
        <w:rPr>
          <w:b/>
        </w:rPr>
      </w:pPr>
      <w:bookmarkStart w:id="56" w:name="_Toc151782192"/>
      <w:r>
        <w:t>T</w:t>
      </w:r>
      <w:r w:rsidRPr="006E1DF8" w:rsidR="00D01056">
        <w:t xml:space="preserve">he </w:t>
      </w:r>
      <w:r w:rsidR="00C60824">
        <w:t>Online Application Form for HCUP Products</w:t>
      </w:r>
      <w:r w:rsidRPr="006E1DF8" w:rsidR="00C60824">
        <w:t xml:space="preserve"> </w:t>
      </w:r>
      <w:r>
        <w:t xml:space="preserve">and </w:t>
      </w:r>
      <w:r w:rsidR="00C60824">
        <w:t xml:space="preserve">the related </w:t>
      </w:r>
      <w:r w:rsidRPr="006E1DF8" w:rsidR="00D01056">
        <w:t xml:space="preserve">order </w:t>
      </w:r>
      <w:r w:rsidR="00C60824">
        <w:t xml:space="preserve">tracking </w:t>
      </w:r>
      <w:r w:rsidR="00035CC2">
        <w:t>system</w:t>
      </w:r>
      <w:r w:rsidRPr="006E1DF8" w:rsidR="00D01056">
        <w:t xml:space="preserve"> </w:t>
      </w:r>
      <w:r>
        <w:t xml:space="preserve">was implemented </w:t>
      </w:r>
      <w:r w:rsidRPr="006E1DF8" w:rsidR="006E1DF8">
        <w:t xml:space="preserve">in the fall of 2012 </w:t>
      </w:r>
      <w:r w:rsidRPr="006E1DF8" w:rsidR="00D01056">
        <w:t xml:space="preserve">and </w:t>
      </w:r>
      <w:r w:rsidR="00F94EFB">
        <w:t>is</w:t>
      </w:r>
      <w:r w:rsidRPr="006E1DF8" w:rsidR="00D01056">
        <w:t xml:space="preserve"> on-going.</w:t>
      </w:r>
    </w:p>
    <w:p w:rsidR="009B633D" w:rsidRPr="00424E6E" w:rsidP="0079224E" w14:paraId="4B59E26D" w14:textId="77777777">
      <w:pPr>
        <w:pStyle w:val="Heading2"/>
        <w:rPr>
          <w:sz w:val="24"/>
        </w:rPr>
      </w:pPr>
      <w:bookmarkStart w:id="57" w:name="_Toc151782196"/>
      <w:bookmarkStart w:id="58" w:name="_Toc158526232"/>
      <w:bookmarkEnd w:id="56"/>
      <w:r w:rsidRPr="00424E6E">
        <w:rPr>
          <w:sz w:val="24"/>
        </w:rPr>
        <w:t>17. Exemption for Display of Expiration Date</w:t>
      </w:r>
      <w:bookmarkEnd w:id="57"/>
      <w:bookmarkEnd w:id="58"/>
    </w:p>
    <w:p w:rsidR="00167E04" w:rsidP="0086177C" w14:paraId="0EE011A7" w14:textId="1E4194FA">
      <w:r w:rsidRPr="004F03D2">
        <w:t>AHRQ does not seek this exemption</w:t>
      </w:r>
      <w:r>
        <w:t>.</w:t>
      </w:r>
    </w:p>
    <w:p w:rsidR="00363C3A" w:rsidRPr="001E74F9" w:rsidP="0079224E" w14:paraId="5B191207" w14:textId="0161CA26">
      <w:pPr>
        <w:pStyle w:val="NormalWeb"/>
        <w:rPr>
          <w:rFonts w:ascii="Arial" w:hAnsi="Arial" w:cs="Arial"/>
          <w:b/>
        </w:rPr>
      </w:pPr>
      <w:r w:rsidRPr="001E74F9">
        <w:rPr>
          <w:rFonts w:ascii="Arial" w:hAnsi="Arial" w:cs="Arial"/>
          <w:b/>
        </w:rPr>
        <w:t>List of Attachments:</w:t>
      </w:r>
    </w:p>
    <w:p w:rsidR="00B075C6" w:rsidP="007916F3" w14:paraId="50F24D13" w14:textId="616CDFFB">
      <w:pPr>
        <w:pStyle w:val="EndnoteText"/>
        <w:tabs>
          <w:tab w:val="left" w:pos="360"/>
          <w:tab w:val="left" w:pos="720"/>
          <w:tab w:val="left" w:pos="1080"/>
          <w:tab w:val="left" w:pos="4680"/>
          <w:tab w:val="left" w:pos="5940"/>
        </w:tabs>
        <w:rPr>
          <w:sz w:val="24"/>
          <w:szCs w:val="24"/>
        </w:rPr>
      </w:pPr>
      <w:r>
        <w:rPr>
          <w:sz w:val="24"/>
          <w:szCs w:val="24"/>
        </w:rPr>
        <w:t>Attachment A – HCUP D</w:t>
      </w:r>
      <w:r w:rsidR="009765FD">
        <w:rPr>
          <w:sz w:val="24"/>
          <w:szCs w:val="24"/>
        </w:rPr>
        <w:t xml:space="preserve">AU </w:t>
      </w:r>
      <w:r>
        <w:rPr>
          <w:sz w:val="24"/>
          <w:szCs w:val="24"/>
        </w:rPr>
        <w:t>Training Course</w:t>
      </w:r>
    </w:p>
    <w:p w:rsidR="00B075C6" w:rsidP="007916F3" w14:paraId="30FBF08F" w14:textId="0D440429">
      <w:pPr>
        <w:pStyle w:val="EndnoteText"/>
        <w:tabs>
          <w:tab w:val="left" w:pos="360"/>
          <w:tab w:val="left" w:pos="720"/>
          <w:tab w:val="left" w:pos="1080"/>
          <w:tab w:val="left" w:pos="4680"/>
          <w:tab w:val="left" w:pos="5940"/>
        </w:tabs>
        <w:rPr>
          <w:sz w:val="24"/>
          <w:szCs w:val="24"/>
        </w:rPr>
      </w:pPr>
      <w:r>
        <w:rPr>
          <w:sz w:val="24"/>
          <w:szCs w:val="24"/>
        </w:rPr>
        <w:t>Attachment B</w:t>
      </w:r>
      <w:r w:rsidR="00167E04">
        <w:rPr>
          <w:sz w:val="24"/>
          <w:szCs w:val="24"/>
        </w:rPr>
        <w:t xml:space="preserve"> –</w:t>
      </w:r>
      <w:r w:rsidR="00457A71">
        <w:rPr>
          <w:sz w:val="24"/>
          <w:szCs w:val="24"/>
        </w:rPr>
        <w:t>D</w:t>
      </w:r>
      <w:r w:rsidR="009765FD">
        <w:rPr>
          <w:sz w:val="24"/>
          <w:szCs w:val="24"/>
        </w:rPr>
        <w:t xml:space="preserve">AU </w:t>
      </w:r>
      <w:r w:rsidRPr="00B075C6">
        <w:rPr>
          <w:sz w:val="24"/>
          <w:szCs w:val="24"/>
        </w:rPr>
        <w:t>for the Nationwide Databases</w:t>
      </w:r>
      <w:r w:rsidR="00457A71">
        <w:rPr>
          <w:sz w:val="24"/>
          <w:szCs w:val="24"/>
        </w:rPr>
        <w:t xml:space="preserve"> from HCUP</w:t>
      </w:r>
    </w:p>
    <w:p w:rsidR="00B075C6" w:rsidP="007916F3" w14:paraId="3505FD7C" w14:textId="757D6B96">
      <w:pPr>
        <w:pStyle w:val="EndnoteText"/>
        <w:tabs>
          <w:tab w:val="left" w:pos="360"/>
          <w:tab w:val="left" w:pos="720"/>
          <w:tab w:val="left" w:pos="1080"/>
          <w:tab w:val="left" w:pos="4680"/>
          <w:tab w:val="left" w:pos="5940"/>
        </w:tabs>
        <w:rPr>
          <w:sz w:val="24"/>
          <w:szCs w:val="24"/>
        </w:rPr>
      </w:pPr>
      <w:r>
        <w:rPr>
          <w:sz w:val="24"/>
          <w:szCs w:val="24"/>
        </w:rPr>
        <w:t xml:space="preserve">Attachment C </w:t>
      </w:r>
      <w:r w:rsidR="00167E04">
        <w:rPr>
          <w:sz w:val="24"/>
          <w:szCs w:val="24"/>
        </w:rPr>
        <w:t>–</w:t>
      </w:r>
      <w:r w:rsidR="00457A71">
        <w:rPr>
          <w:sz w:val="24"/>
          <w:szCs w:val="24"/>
        </w:rPr>
        <w:t>D</w:t>
      </w:r>
      <w:r w:rsidR="009765FD">
        <w:rPr>
          <w:sz w:val="24"/>
          <w:szCs w:val="24"/>
        </w:rPr>
        <w:t>AU</w:t>
      </w:r>
      <w:r w:rsidR="00457A71">
        <w:rPr>
          <w:sz w:val="24"/>
          <w:szCs w:val="24"/>
        </w:rPr>
        <w:t xml:space="preserve"> </w:t>
      </w:r>
      <w:r w:rsidRPr="00B075C6">
        <w:rPr>
          <w:sz w:val="24"/>
          <w:szCs w:val="24"/>
        </w:rPr>
        <w:t>for the State Databases</w:t>
      </w:r>
      <w:r w:rsidR="00457A71">
        <w:rPr>
          <w:sz w:val="24"/>
          <w:szCs w:val="24"/>
        </w:rPr>
        <w:t xml:space="preserve"> from HCUP</w:t>
      </w:r>
    </w:p>
    <w:p w:rsidR="007916F3" w:rsidRPr="001E74F9" w:rsidP="007916F3" w14:paraId="6BD58A74" w14:textId="6615223C">
      <w:pPr>
        <w:pStyle w:val="EndnoteText"/>
        <w:tabs>
          <w:tab w:val="left" w:pos="360"/>
          <w:tab w:val="left" w:pos="720"/>
          <w:tab w:val="left" w:pos="1080"/>
          <w:tab w:val="left" w:pos="4680"/>
          <w:tab w:val="left" w:pos="5940"/>
        </w:tabs>
        <w:rPr>
          <w:sz w:val="24"/>
          <w:szCs w:val="24"/>
        </w:rPr>
      </w:pPr>
      <w:r w:rsidRPr="001E74F9">
        <w:rPr>
          <w:sz w:val="24"/>
          <w:szCs w:val="24"/>
        </w:rPr>
        <w:t xml:space="preserve">Attachment </w:t>
      </w:r>
      <w:r w:rsidR="00B075C6">
        <w:rPr>
          <w:sz w:val="24"/>
          <w:szCs w:val="24"/>
        </w:rPr>
        <w:t xml:space="preserve">D </w:t>
      </w:r>
      <w:r w:rsidRPr="001E74F9" w:rsidR="00011FD9">
        <w:rPr>
          <w:sz w:val="24"/>
          <w:szCs w:val="24"/>
        </w:rPr>
        <w:t xml:space="preserve">- </w:t>
      </w:r>
      <w:r w:rsidRPr="001E74F9">
        <w:rPr>
          <w:sz w:val="24"/>
          <w:szCs w:val="24"/>
        </w:rPr>
        <w:t xml:space="preserve">Online Application Order Form </w:t>
      </w:r>
    </w:p>
    <w:p w:rsidR="00A328AD" w:rsidP="0079224E" w14:paraId="4FC753D7" w14:textId="4956CAD9">
      <w:r w:rsidRPr="001E74F9">
        <w:t xml:space="preserve">Attachment </w:t>
      </w:r>
      <w:r w:rsidR="00B075C6">
        <w:t>E</w:t>
      </w:r>
      <w:r w:rsidR="0051330A">
        <w:t xml:space="preserve"> - </w:t>
      </w:r>
      <w:r w:rsidR="002405B4">
        <w:t xml:space="preserve">60 Day </w:t>
      </w:r>
      <w:r w:rsidRPr="001E74F9">
        <w:t>Federal Register Notice</w:t>
      </w:r>
    </w:p>
    <w:p w:rsidR="00DA25D3" w:rsidRPr="001E74F9" w:rsidP="0079224E" w14:paraId="6C4F8590" w14:textId="39189510">
      <w:r>
        <w:t>Attachment F- 30 Day Federal Register Notice</w:t>
      </w:r>
    </w:p>
    <w:p w:rsidR="00A328AD" w:rsidRPr="00BC0DAF" w:rsidP="0079224E" w14:paraId="2CE84994" w14:textId="77777777">
      <w:pPr>
        <w:rPr>
          <w:highlight w:val="yellow"/>
        </w:rPr>
      </w:pPr>
    </w:p>
    <w:p w:rsidR="007916F3" w:rsidP="00DA7499" w14:paraId="665B90E0" w14:textId="77777777">
      <w:pPr>
        <w:pStyle w:val="EndnoteText"/>
        <w:tabs>
          <w:tab w:val="left" w:pos="360"/>
          <w:tab w:val="left" w:pos="720"/>
          <w:tab w:val="left" w:pos="1080"/>
          <w:tab w:val="left" w:pos="4680"/>
          <w:tab w:val="left" w:pos="5940"/>
        </w:tabs>
        <w:rPr>
          <w:sz w:val="24"/>
          <w:szCs w:val="24"/>
        </w:rPr>
      </w:pPr>
    </w:p>
    <w:p w:rsidR="007916F3" w:rsidRPr="00DA7499" w:rsidP="00DA7499" w14:paraId="61D1C09B" w14:textId="77777777">
      <w:pPr>
        <w:pStyle w:val="EndnoteText"/>
        <w:tabs>
          <w:tab w:val="left" w:pos="360"/>
          <w:tab w:val="left" w:pos="720"/>
          <w:tab w:val="left" w:pos="1080"/>
          <w:tab w:val="left" w:pos="4680"/>
          <w:tab w:val="left" w:pos="5940"/>
        </w:tabs>
        <w:rPr>
          <w:sz w:val="24"/>
          <w:szCs w:val="24"/>
        </w:rPr>
      </w:pPr>
    </w:p>
    <w:sectPr w:rsidSect="009B633D">
      <w:footerReference w:type="even" r:id="rId8"/>
      <w:footerReference w:type="default" r:id="rId9"/>
      <w:endnotePr>
        <w:numFmt w:val="decimal"/>
      </w:endnotePr>
      <w:pgSz w:w="12240" w:h="15840"/>
      <w:pgMar w:top="1440" w:right="1800" w:bottom="1260" w:left="180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5C0" w:rsidP="009B633D" w14:paraId="421DE8C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B65C0" w14:paraId="107751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65C0" w:rsidP="009B633D" w14:paraId="1E4CDEB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- 10 -</w:t>
    </w:r>
    <w:r>
      <w:rPr>
        <w:rStyle w:val="PageNumber"/>
      </w:rPr>
      <w:fldChar w:fldCharType="end"/>
    </w:r>
  </w:p>
  <w:p w:rsidR="004B65C0" w14:paraId="0607F58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AD7417"/>
    <w:multiLevelType w:val="hybridMultilevel"/>
    <w:tmpl w:val="DD2EBFCC"/>
    <w:lvl w:ilvl="0">
      <w:start w:val="1"/>
      <w:numFmt w:val="bullet"/>
      <w:lvlText w:val=""/>
      <w:lvlJc w:val="left"/>
      <w:pPr>
        <w:ind w:left="845" w:hanging="360"/>
      </w:pPr>
      <w:rPr>
        <w:rFonts w:ascii="Symbol" w:hAnsi="Symbol" w:hint="default"/>
      </w:rPr>
    </w:lvl>
    <w:lvl w:ilvl="1" w:tentative="1">
      <w:start w:val="1"/>
      <w:numFmt w:val="bullet"/>
      <w:lvlText w:val="o"/>
      <w:lvlJc w:val="left"/>
      <w:pPr>
        <w:ind w:left="1565" w:hanging="360"/>
      </w:pPr>
      <w:rPr>
        <w:rFonts w:ascii="Courier New" w:hAnsi="Courier New" w:cs="Courier New" w:hint="default"/>
      </w:rPr>
    </w:lvl>
    <w:lvl w:ilvl="2" w:tentative="1">
      <w:start w:val="1"/>
      <w:numFmt w:val="bullet"/>
      <w:lvlText w:val=""/>
      <w:lvlJc w:val="left"/>
      <w:pPr>
        <w:ind w:left="2285" w:hanging="360"/>
      </w:pPr>
      <w:rPr>
        <w:rFonts w:ascii="Wingdings" w:hAnsi="Wingdings" w:hint="default"/>
      </w:rPr>
    </w:lvl>
    <w:lvl w:ilvl="3" w:tentative="1">
      <w:start w:val="1"/>
      <w:numFmt w:val="bullet"/>
      <w:lvlText w:val=""/>
      <w:lvlJc w:val="left"/>
      <w:pPr>
        <w:ind w:left="3005" w:hanging="360"/>
      </w:pPr>
      <w:rPr>
        <w:rFonts w:ascii="Symbol" w:hAnsi="Symbol" w:hint="default"/>
      </w:rPr>
    </w:lvl>
    <w:lvl w:ilvl="4" w:tentative="1">
      <w:start w:val="1"/>
      <w:numFmt w:val="bullet"/>
      <w:lvlText w:val="o"/>
      <w:lvlJc w:val="left"/>
      <w:pPr>
        <w:ind w:left="3725" w:hanging="360"/>
      </w:pPr>
      <w:rPr>
        <w:rFonts w:ascii="Courier New" w:hAnsi="Courier New" w:cs="Courier New" w:hint="default"/>
      </w:rPr>
    </w:lvl>
    <w:lvl w:ilvl="5" w:tentative="1">
      <w:start w:val="1"/>
      <w:numFmt w:val="bullet"/>
      <w:lvlText w:val=""/>
      <w:lvlJc w:val="left"/>
      <w:pPr>
        <w:ind w:left="4445" w:hanging="360"/>
      </w:pPr>
      <w:rPr>
        <w:rFonts w:ascii="Wingdings" w:hAnsi="Wingdings" w:hint="default"/>
      </w:rPr>
    </w:lvl>
    <w:lvl w:ilvl="6" w:tentative="1">
      <w:start w:val="1"/>
      <w:numFmt w:val="bullet"/>
      <w:lvlText w:val=""/>
      <w:lvlJc w:val="left"/>
      <w:pPr>
        <w:ind w:left="5165" w:hanging="360"/>
      </w:pPr>
      <w:rPr>
        <w:rFonts w:ascii="Symbol" w:hAnsi="Symbol" w:hint="default"/>
      </w:rPr>
    </w:lvl>
    <w:lvl w:ilvl="7" w:tentative="1">
      <w:start w:val="1"/>
      <w:numFmt w:val="bullet"/>
      <w:lvlText w:val="o"/>
      <w:lvlJc w:val="left"/>
      <w:pPr>
        <w:ind w:left="5885" w:hanging="360"/>
      </w:pPr>
      <w:rPr>
        <w:rFonts w:ascii="Courier New" w:hAnsi="Courier New" w:cs="Courier New" w:hint="default"/>
      </w:rPr>
    </w:lvl>
    <w:lvl w:ilvl="8" w:tentative="1">
      <w:start w:val="1"/>
      <w:numFmt w:val="bullet"/>
      <w:lvlText w:val=""/>
      <w:lvlJc w:val="left"/>
      <w:pPr>
        <w:ind w:left="6605" w:hanging="360"/>
      </w:pPr>
      <w:rPr>
        <w:rFonts w:ascii="Wingdings" w:hAnsi="Wingdings" w:hint="default"/>
      </w:rPr>
    </w:lvl>
  </w:abstractNum>
  <w:abstractNum w:abstractNumId="1">
    <w:nsid w:val="11076B59"/>
    <w:multiLevelType w:val="hybridMultilevel"/>
    <w:tmpl w:val="01E657C2"/>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2">
    <w:nsid w:val="35327043"/>
    <w:multiLevelType w:val="hybridMultilevel"/>
    <w:tmpl w:val="F8EE4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4">
    <w:nsid w:val="5D1B0FBC"/>
    <w:multiLevelType w:val="hybridMultilevel"/>
    <w:tmpl w:val="369A2C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5802A9"/>
    <w:multiLevelType w:val="hybridMultilevel"/>
    <w:tmpl w:val="5E869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AB61256"/>
    <w:multiLevelType w:val="hybridMultilevel"/>
    <w:tmpl w:val="508C866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16cid:durableId="322973994">
    <w:abstractNumId w:val="7"/>
  </w:num>
  <w:num w:numId="2" w16cid:durableId="2144762357">
    <w:abstractNumId w:val="3"/>
  </w:num>
  <w:num w:numId="3" w16cid:durableId="575865759">
    <w:abstractNumId w:val="2"/>
  </w:num>
  <w:num w:numId="4" w16cid:durableId="786003026">
    <w:abstractNumId w:val="5"/>
  </w:num>
  <w:num w:numId="5" w16cid:durableId="1844739605">
    <w:abstractNumId w:val="1"/>
  </w:num>
  <w:num w:numId="6" w16cid:durableId="838228327">
    <w:abstractNumId w:val="0"/>
  </w:num>
  <w:num w:numId="7" w16cid:durableId="682587636">
    <w:abstractNumId w:val="4"/>
  </w:num>
  <w:num w:numId="8" w16cid:durableId="199865330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03C13"/>
    <w:rsid w:val="00004CAA"/>
    <w:rsid w:val="000112B1"/>
    <w:rsid w:val="00011E85"/>
    <w:rsid w:val="00011FD9"/>
    <w:rsid w:val="00012FB9"/>
    <w:rsid w:val="00014D1E"/>
    <w:rsid w:val="00015AAF"/>
    <w:rsid w:val="00016560"/>
    <w:rsid w:val="00023665"/>
    <w:rsid w:val="00024FEE"/>
    <w:rsid w:val="00027404"/>
    <w:rsid w:val="00033301"/>
    <w:rsid w:val="0003371C"/>
    <w:rsid w:val="00034806"/>
    <w:rsid w:val="0003491D"/>
    <w:rsid w:val="00035CC2"/>
    <w:rsid w:val="0003696B"/>
    <w:rsid w:val="00037998"/>
    <w:rsid w:val="00043473"/>
    <w:rsid w:val="000450B9"/>
    <w:rsid w:val="00045959"/>
    <w:rsid w:val="00046359"/>
    <w:rsid w:val="00047159"/>
    <w:rsid w:val="0006207D"/>
    <w:rsid w:val="000700EF"/>
    <w:rsid w:val="000707EB"/>
    <w:rsid w:val="00073913"/>
    <w:rsid w:val="00074C5D"/>
    <w:rsid w:val="00075C69"/>
    <w:rsid w:val="000769F7"/>
    <w:rsid w:val="000779A9"/>
    <w:rsid w:val="000803CF"/>
    <w:rsid w:val="00082047"/>
    <w:rsid w:val="000841B3"/>
    <w:rsid w:val="00084421"/>
    <w:rsid w:val="00084E91"/>
    <w:rsid w:val="000854B5"/>
    <w:rsid w:val="0008774E"/>
    <w:rsid w:val="00094648"/>
    <w:rsid w:val="000A140E"/>
    <w:rsid w:val="000A3475"/>
    <w:rsid w:val="000A7D79"/>
    <w:rsid w:val="000B0F9B"/>
    <w:rsid w:val="000B2CFF"/>
    <w:rsid w:val="000B59F8"/>
    <w:rsid w:val="000B78CB"/>
    <w:rsid w:val="000C08AD"/>
    <w:rsid w:val="000C1025"/>
    <w:rsid w:val="000C734A"/>
    <w:rsid w:val="000D417E"/>
    <w:rsid w:val="000D429E"/>
    <w:rsid w:val="000D47A2"/>
    <w:rsid w:val="000E01D1"/>
    <w:rsid w:val="000E0886"/>
    <w:rsid w:val="000E4300"/>
    <w:rsid w:val="000E46EF"/>
    <w:rsid w:val="000F1328"/>
    <w:rsid w:val="000F1D03"/>
    <w:rsid w:val="000F2B59"/>
    <w:rsid w:val="000F3929"/>
    <w:rsid w:val="000F55E5"/>
    <w:rsid w:val="001011BD"/>
    <w:rsid w:val="0010511D"/>
    <w:rsid w:val="00107891"/>
    <w:rsid w:val="00112DF2"/>
    <w:rsid w:val="00114C9B"/>
    <w:rsid w:val="00115C52"/>
    <w:rsid w:val="00120A0C"/>
    <w:rsid w:val="0012146E"/>
    <w:rsid w:val="00124917"/>
    <w:rsid w:val="00127CF1"/>
    <w:rsid w:val="001301AA"/>
    <w:rsid w:val="00130B5E"/>
    <w:rsid w:val="00131443"/>
    <w:rsid w:val="001332CA"/>
    <w:rsid w:val="00136DCD"/>
    <w:rsid w:val="00137F02"/>
    <w:rsid w:val="0015439E"/>
    <w:rsid w:val="00164221"/>
    <w:rsid w:val="00166A69"/>
    <w:rsid w:val="00167607"/>
    <w:rsid w:val="00167E04"/>
    <w:rsid w:val="00171ACE"/>
    <w:rsid w:val="00175AF5"/>
    <w:rsid w:val="00176AA3"/>
    <w:rsid w:val="00176BA1"/>
    <w:rsid w:val="00180E30"/>
    <w:rsid w:val="0018183F"/>
    <w:rsid w:val="00186858"/>
    <w:rsid w:val="00187A50"/>
    <w:rsid w:val="00191BD0"/>
    <w:rsid w:val="001952BB"/>
    <w:rsid w:val="00197E8A"/>
    <w:rsid w:val="00197F79"/>
    <w:rsid w:val="001A2110"/>
    <w:rsid w:val="001A28C0"/>
    <w:rsid w:val="001A4C26"/>
    <w:rsid w:val="001A6525"/>
    <w:rsid w:val="001A683F"/>
    <w:rsid w:val="001B1C61"/>
    <w:rsid w:val="001B3684"/>
    <w:rsid w:val="001B3E52"/>
    <w:rsid w:val="001C28C5"/>
    <w:rsid w:val="001C2DC8"/>
    <w:rsid w:val="001C59E4"/>
    <w:rsid w:val="001C61AB"/>
    <w:rsid w:val="001C6FD9"/>
    <w:rsid w:val="001D0454"/>
    <w:rsid w:val="001D0EC5"/>
    <w:rsid w:val="001D3CC8"/>
    <w:rsid w:val="001E0766"/>
    <w:rsid w:val="001E181E"/>
    <w:rsid w:val="001E4164"/>
    <w:rsid w:val="001E74F9"/>
    <w:rsid w:val="001F051B"/>
    <w:rsid w:val="001F4C77"/>
    <w:rsid w:val="00207F59"/>
    <w:rsid w:val="00211007"/>
    <w:rsid w:val="00216F88"/>
    <w:rsid w:val="00220338"/>
    <w:rsid w:val="0022260B"/>
    <w:rsid w:val="0022366A"/>
    <w:rsid w:val="00233561"/>
    <w:rsid w:val="00235F6C"/>
    <w:rsid w:val="002405B4"/>
    <w:rsid w:val="002406C3"/>
    <w:rsid w:val="00243103"/>
    <w:rsid w:val="00252464"/>
    <w:rsid w:val="00253A49"/>
    <w:rsid w:val="00260B47"/>
    <w:rsid w:val="0026424E"/>
    <w:rsid w:val="002649DF"/>
    <w:rsid w:val="00272E29"/>
    <w:rsid w:val="00284DFA"/>
    <w:rsid w:val="00287813"/>
    <w:rsid w:val="00291B73"/>
    <w:rsid w:val="0029734C"/>
    <w:rsid w:val="002A2ABA"/>
    <w:rsid w:val="002A2B21"/>
    <w:rsid w:val="002A3D8B"/>
    <w:rsid w:val="002A6BF3"/>
    <w:rsid w:val="002B1762"/>
    <w:rsid w:val="002B382B"/>
    <w:rsid w:val="002B4BD3"/>
    <w:rsid w:val="002B7635"/>
    <w:rsid w:val="002C1468"/>
    <w:rsid w:val="002C6F31"/>
    <w:rsid w:val="002D2736"/>
    <w:rsid w:val="002D5EC8"/>
    <w:rsid w:val="002E54EF"/>
    <w:rsid w:val="002F235B"/>
    <w:rsid w:val="002F31B1"/>
    <w:rsid w:val="002F449B"/>
    <w:rsid w:val="002F4DE8"/>
    <w:rsid w:val="002F56EC"/>
    <w:rsid w:val="00302384"/>
    <w:rsid w:val="003105B4"/>
    <w:rsid w:val="00312A6E"/>
    <w:rsid w:val="00312A8D"/>
    <w:rsid w:val="00313BE4"/>
    <w:rsid w:val="00317A7A"/>
    <w:rsid w:val="00317E46"/>
    <w:rsid w:val="0032108F"/>
    <w:rsid w:val="003249CD"/>
    <w:rsid w:val="00325B9C"/>
    <w:rsid w:val="0032683D"/>
    <w:rsid w:val="00327D41"/>
    <w:rsid w:val="003307EB"/>
    <w:rsid w:val="00333436"/>
    <w:rsid w:val="00334552"/>
    <w:rsid w:val="003360B8"/>
    <w:rsid w:val="00336318"/>
    <w:rsid w:val="00337BFF"/>
    <w:rsid w:val="00340D97"/>
    <w:rsid w:val="0034325D"/>
    <w:rsid w:val="0034750E"/>
    <w:rsid w:val="00350A1C"/>
    <w:rsid w:val="003514E0"/>
    <w:rsid w:val="00355E0E"/>
    <w:rsid w:val="00361F52"/>
    <w:rsid w:val="00363C3A"/>
    <w:rsid w:val="00365B7B"/>
    <w:rsid w:val="00367B01"/>
    <w:rsid w:val="003702B1"/>
    <w:rsid w:val="00373305"/>
    <w:rsid w:val="0037427A"/>
    <w:rsid w:val="00374492"/>
    <w:rsid w:val="00377301"/>
    <w:rsid w:val="0037771B"/>
    <w:rsid w:val="0038033F"/>
    <w:rsid w:val="003819F6"/>
    <w:rsid w:val="0038217D"/>
    <w:rsid w:val="00383823"/>
    <w:rsid w:val="00396034"/>
    <w:rsid w:val="003A0A7F"/>
    <w:rsid w:val="003A16C4"/>
    <w:rsid w:val="003A6086"/>
    <w:rsid w:val="003B1A3F"/>
    <w:rsid w:val="003B36D5"/>
    <w:rsid w:val="003B3B19"/>
    <w:rsid w:val="003B5859"/>
    <w:rsid w:val="003B6B41"/>
    <w:rsid w:val="003C27F5"/>
    <w:rsid w:val="003C2A71"/>
    <w:rsid w:val="003C60BD"/>
    <w:rsid w:val="003D21A7"/>
    <w:rsid w:val="003D3452"/>
    <w:rsid w:val="003D3937"/>
    <w:rsid w:val="003D5848"/>
    <w:rsid w:val="003D73D8"/>
    <w:rsid w:val="003D7691"/>
    <w:rsid w:val="003D7A46"/>
    <w:rsid w:val="003E0A7F"/>
    <w:rsid w:val="003E23E8"/>
    <w:rsid w:val="003E2801"/>
    <w:rsid w:val="003F203D"/>
    <w:rsid w:val="003F38D3"/>
    <w:rsid w:val="003F5921"/>
    <w:rsid w:val="00404C83"/>
    <w:rsid w:val="00412C6F"/>
    <w:rsid w:val="004130CF"/>
    <w:rsid w:val="00413CED"/>
    <w:rsid w:val="00414C80"/>
    <w:rsid w:val="004155E1"/>
    <w:rsid w:val="00417998"/>
    <w:rsid w:val="00424E6E"/>
    <w:rsid w:val="00425974"/>
    <w:rsid w:val="00426069"/>
    <w:rsid w:val="0043596B"/>
    <w:rsid w:val="0044769A"/>
    <w:rsid w:val="00450538"/>
    <w:rsid w:val="00452268"/>
    <w:rsid w:val="00456179"/>
    <w:rsid w:val="00457A71"/>
    <w:rsid w:val="00461B7C"/>
    <w:rsid w:val="004670C2"/>
    <w:rsid w:val="00467101"/>
    <w:rsid w:val="00467163"/>
    <w:rsid w:val="0047504D"/>
    <w:rsid w:val="00475806"/>
    <w:rsid w:val="004771E5"/>
    <w:rsid w:val="004811AD"/>
    <w:rsid w:val="00482D1B"/>
    <w:rsid w:val="0048300C"/>
    <w:rsid w:val="004834DE"/>
    <w:rsid w:val="0048725D"/>
    <w:rsid w:val="004916B9"/>
    <w:rsid w:val="004A2A69"/>
    <w:rsid w:val="004A624D"/>
    <w:rsid w:val="004B65C0"/>
    <w:rsid w:val="004C1EE8"/>
    <w:rsid w:val="004C3BA7"/>
    <w:rsid w:val="004C4A74"/>
    <w:rsid w:val="004D1023"/>
    <w:rsid w:val="004D49D2"/>
    <w:rsid w:val="004D5035"/>
    <w:rsid w:val="004D5A89"/>
    <w:rsid w:val="004E0FB1"/>
    <w:rsid w:val="004E3A1B"/>
    <w:rsid w:val="004E538C"/>
    <w:rsid w:val="004F03D2"/>
    <w:rsid w:val="004F3824"/>
    <w:rsid w:val="004F7B95"/>
    <w:rsid w:val="0050111E"/>
    <w:rsid w:val="00501FD6"/>
    <w:rsid w:val="0050252E"/>
    <w:rsid w:val="00510909"/>
    <w:rsid w:val="005128F9"/>
    <w:rsid w:val="00512E65"/>
    <w:rsid w:val="0051330A"/>
    <w:rsid w:val="005133E2"/>
    <w:rsid w:val="00516227"/>
    <w:rsid w:val="005164D6"/>
    <w:rsid w:val="00520CE0"/>
    <w:rsid w:val="00527BBD"/>
    <w:rsid w:val="005311E3"/>
    <w:rsid w:val="00531857"/>
    <w:rsid w:val="005346C7"/>
    <w:rsid w:val="00535B56"/>
    <w:rsid w:val="00540568"/>
    <w:rsid w:val="00540B3C"/>
    <w:rsid w:val="005468AC"/>
    <w:rsid w:val="00556066"/>
    <w:rsid w:val="0055632B"/>
    <w:rsid w:val="005578D6"/>
    <w:rsid w:val="00562360"/>
    <w:rsid w:val="0056236D"/>
    <w:rsid w:val="0056238F"/>
    <w:rsid w:val="0057723F"/>
    <w:rsid w:val="00580F6C"/>
    <w:rsid w:val="00581FD2"/>
    <w:rsid w:val="00592521"/>
    <w:rsid w:val="00592FEB"/>
    <w:rsid w:val="00593E67"/>
    <w:rsid w:val="00597EFB"/>
    <w:rsid w:val="005A14A8"/>
    <w:rsid w:val="005B05CD"/>
    <w:rsid w:val="005B1683"/>
    <w:rsid w:val="005B2955"/>
    <w:rsid w:val="005B3C01"/>
    <w:rsid w:val="005B3DA8"/>
    <w:rsid w:val="005B5928"/>
    <w:rsid w:val="005B62CF"/>
    <w:rsid w:val="005B6FAA"/>
    <w:rsid w:val="005B715B"/>
    <w:rsid w:val="005B7F3F"/>
    <w:rsid w:val="005C1098"/>
    <w:rsid w:val="005C359C"/>
    <w:rsid w:val="005C659B"/>
    <w:rsid w:val="005E49B8"/>
    <w:rsid w:val="005E5B01"/>
    <w:rsid w:val="005F1E9B"/>
    <w:rsid w:val="005F28B2"/>
    <w:rsid w:val="005F4B12"/>
    <w:rsid w:val="005F5F6B"/>
    <w:rsid w:val="005F64C9"/>
    <w:rsid w:val="0060047D"/>
    <w:rsid w:val="006014DB"/>
    <w:rsid w:val="00604437"/>
    <w:rsid w:val="00606400"/>
    <w:rsid w:val="00613C05"/>
    <w:rsid w:val="00620B93"/>
    <w:rsid w:val="00620DFC"/>
    <w:rsid w:val="00621E8F"/>
    <w:rsid w:val="0062420F"/>
    <w:rsid w:val="00625C1B"/>
    <w:rsid w:val="0063109B"/>
    <w:rsid w:val="00631C81"/>
    <w:rsid w:val="00635119"/>
    <w:rsid w:val="00636A0C"/>
    <w:rsid w:val="006503AA"/>
    <w:rsid w:val="00655A17"/>
    <w:rsid w:val="00656EDD"/>
    <w:rsid w:val="00673146"/>
    <w:rsid w:val="00677912"/>
    <w:rsid w:val="00677A0B"/>
    <w:rsid w:val="006913BD"/>
    <w:rsid w:val="006920E0"/>
    <w:rsid w:val="0069626A"/>
    <w:rsid w:val="00697031"/>
    <w:rsid w:val="00697D59"/>
    <w:rsid w:val="006A1779"/>
    <w:rsid w:val="006A18E7"/>
    <w:rsid w:val="006A28E1"/>
    <w:rsid w:val="006A4D4E"/>
    <w:rsid w:val="006B6C69"/>
    <w:rsid w:val="006B7682"/>
    <w:rsid w:val="006C395E"/>
    <w:rsid w:val="006C45D0"/>
    <w:rsid w:val="006C7E81"/>
    <w:rsid w:val="006D06D7"/>
    <w:rsid w:val="006D1C5E"/>
    <w:rsid w:val="006E1DF8"/>
    <w:rsid w:val="006E56B3"/>
    <w:rsid w:val="006E78A4"/>
    <w:rsid w:val="006F0BAD"/>
    <w:rsid w:val="0070072D"/>
    <w:rsid w:val="007021F9"/>
    <w:rsid w:val="00703573"/>
    <w:rsid w:val="007109B1"/>
    <w:rsid w:val="00711039"/>
    <w:rsid w:val="00717634"/>
    <w:rsid w:val="00720534"/>
    <w:rsid w:val="007208E0"/>
    <w:rsid w:val="00723075"/>
    <w:rsid w:val="00723B87"/>
    <w:rsid w:val="00743056"/>
    <w:rsid w:val="00744D19"/>
    <w:rsid w:val="007470C4"/>
    <w:rsid w:val="00747A7E"/>
    <w:rsid w:val="00747D2F"/>
    <w:rsid w:val="00752EA8"/>
    <w:rsid w:val="00756A6E"/>
    <w:rsid w:val="007629AA"/>
    <w:rsid w:val="0076555D"/>
    <w:rsid w:val="00765D1A"/>
    <w:rsid w:val="007700A7"/>
    <w:rsid w:val="007721F3"/>
    <w:rsid w:val="00776654"/>
    <w:rsid w:val="00787AF2"/>
    <w:rsid w:val="00787EE2"/>
    <w:rsid w:val="007916F3"/>
    <w:rsid w:val="0079224E"/>
    <w:rsid w:val="0079425C"/>
    <w:rsid w:val="007943D8"/>
    <w:rsid w:val="0079480B"/>
    <w:rsid w:val="00794DA7"/>
    <w:rsid w:val="00796337"/>
    <w:rsid w:val="007A0102"/>
    <w:rsid w:val="007A4EC5"/>
    <w:rsid w:val="007B0CF3"/>
    <w:rsid w:val="007B0D80"/>
    <w:rsid w:val="007B3A8E"/>
    <w:rsid w:val="007B4120"/>
    <w:rsid w:val="007B58C3"/>
    <w:rsid w:val="007B6009"/>
    <w:rsid w:val="007B6110"/>
    <w:rsid w:val="007B6D13"/>
    <w:rsid w:val="007B7D3B"/>
    <w:rsid w:val="007C1ECB"/>
    <w:rsid w:val="007C491B"/>
    <w:rsid w:val="007D34F5"/>
    <w:rsid w:val="007D4F9F"/>
    <w:rsid w:val="007D703D"/>
    <w:rsid w:val="007E14AC"/>
    <w:rsid w:val="007E4359"/>
    <w:rsid w:val="007E7B8B"/>
    <w:rsid w:val="00802708"/>
    <w:rsid w:val="00803987"/>
    <w:rsid w:val="0080408F"/>
    <w:rsid w:val="00805DC2"/>
    <w:rsid w:val="0080612B"/>
    <w:rsid w:val="008124C0"/>
    <w:rsid w:val="00812B1E"/>
    <w:rsid w:val="00817DA0"/>
    <w:rsid w:val="00820A4A"/>
    <w:rsid w:val="008219B9"/>
    <w:rsid w:val="00825DA9"/>
    <w:rsid w:val="00826FD5"/>
    <w:rsid w:val="0082744E"/>
    <w:rsid w:val="008309B3"/>
    <w:rsid w:val="00834367"/>
    <w:rsid w:val="00836D67"/>
    <w:rsid w:val="008403E7"/>
    <w:rsid w:val="00840AE3"/>
    <w:rsid w:val="00844C66"/>
    <w:rsid w:val="008450C0"/>
    <w:rsid w:val="00845CE4"/>
    <w:rsid w:val="00846EEE"/>
    <w:rsid w:val="00850F80"/>
    <w:rsid w:val="00851869"/>
    <w:rsid w:val="008533C6"/>
    <w:rsid w:val="0085545B"/>
    <w:rsid w:val="008573ED"/>
    <w:rsid w:val="0086177C"/>
    <w:rsid w:val="00861E61"/>
    <w:rsid w:val="00862963"/>
    <w:rsid w:val="00867481"/>
    <w:rsid w:val="00873957"/>
    <w:rsid w:val="00873F74"/>
    <w:rsid w:val="00874A6C"/>
    <w:rsid w:val="008759CE"/>
    <w:rsid w:val="00877A01"/>
    <w:rsid w:val="00877AD3"/>
    <w:rsid w:val="00880DFE"/>
    <w:rsid w:val="00887F65"/>
    <w:rsid w:val="00892655"/>
    <w:rsid w:val="00894E37"/>
    <w:rsid w:val="008A30B9"/>
    <w:rsid w:val="008B1ECD"/>
    <w:rsid w:val="008B48A7"/>
    <w:rsid w:val="008B593F"/>
    <w:rsid w:val="008C03D1"/>
    <w:rsid w:val="008C580E"/>
    <w:rsid w:val="008C65C9"/>
    <w:rsid w:val="008E305F"/>
    <w:rsid w:val="008E567E"/>
    <w:rsid w:val="008F0B8B"/>
    <w:rsid w:val="008F1FE9"/>
    <w:rsid w:val="00904B13"/>
    <w:rsid w:val="00907F60"/>
    <w:rsid w:val="0091320D"/>
    <w:rsid w:val="00913513"/>
    <w:rsid w:val="00915085"/>
    <w:rsid w:val="00916489"/>
    <w:rsid w:val="0092325C"/>
    <w:rsid w:val="00923FE1"/>
    <w:rsid w:val="00925296"/>
    <w:rsid w:val="00925857"/>
    <w:rsid w:val="009325C5"/>
    <w:rsid w:val="00933A59"/>
    <w:rsid w:val="00933D37"/>
    <w:rsid w:val="00933F20"/>
    <w:rsid w:val="009374DF"/>
    <w:rsid w:val="00940ABB"/>
    <w:rsid w:val="00941FB9"/>
    <w:rsid w:val="00950184"/>
    <w:rsid w:val="00955553"/>
    <w:rsid w:val="00965FB4"/>
    <w:rsid w:val="009671AD"/>
    <w:rsid w:val="00971D05"/>
    <w:rsid w:val="00972810"/>
    <w:rsid w:val="009746A1"/>
    <w:rsid w:val="009765FD"/>
    <w:rsid w:val="009778E8"/>
    <w:rsid w:val="00980CC6"/>
    <w:rsid w:val="00983636"/>
    <w:rsid w:val="00987E3D"/>
    <w:rsid w:val="00991423"/>
    <w:rsid w:val="00991CB8"/>
    <w:rsid w:val="009943E2"/>
    <w:rsid w:val="009943E4"/>
    <w:rsid w:val="00994C16"/>
    <w:rsid w:val="00995384"/>
    <w:rsid w:val="009964B7"/>
    <w:rsid w:val="0099715C"/>
    <w:rsid w:val="009A237A"/>
    <w:rsid w:val="009A4072"/>
    <w:rsid w:val="009A49A7"/>
    <w:rsid w:val="009A4F0C"/>
    <w:rsid w:val="009A742A"/>
    <w:rsid w:val="009B1AC4"/>
    <w:rsid w:val="009B2623"/>
    <w:rsid w:val="009B4AC9"/>
    <w:rsid w:val="009B4EC8"/>
    <w:rsid w:val="009B633D"/>
    <w:rsid w:val="009C47B0"/>
    <w:rsid w:val="009C4881"/>
    <w:rsid w:val="009C6570"/>
    <w:rsid w:val="009C7DDF"/>
    <w:rsid w:val="009D2AEB"/>
    <w:rsid w:val="009D3DBB"/>
    <w:rsid w:val="009D4796"/>
    <w:rsid w:val="009E2359"/>
    <w:rsid w:val="009F299E"/>
    <w:rsid w:val="009F43EA"/>
    <w:rsid w:val="009F4611"/>
    <w:rsid w:val="009F597D"/>
    <w:rsid w:val="009F6BBC"/>
    <w:rsid w:val="009F75C9"/>
    <w:rsid w:val="00A02E7C"/>
    <w:rsid w:val="00A030D7"/>
    <w:rsid w:val="00A03751"/>
    <w:rsid w:val="00A04CBF"/>
    <w:rsid w:val="00A10192"/>
    <w:rsid w:val="00A13CF6"/>
    <w:rsid w:val="00A13D8D"/>
    <w:rsid w:val="00A153A9"/>
    <w:rsid w:val="00A15D49"/>
    <w:rsid w:val="00A2179C"/>
    <w:rsid w:val="00A27979"/>
    <w:rsid w:val="00A30D9A"/>
    <w:rsid w:val="00A3170B"/>
    <w:rsid w:val="00A328AD"/>
    <w:rsid w:val="00A33DC6"/>
    <w:rsid w:val="00A3611E"/>
    <w:rsid w:val="00A4694A"/>
    <w:rsid w:val="00A50B63"/>
    <w:rsid w:val="00A50C88"/>
    <w:rsid w:val="00A5668E"/>
    <w:rsid w:val="00A574A0"/>
    <w:rsid w:val="00A65884"/>
    <w:rsid w:val="00A66180"/>
    <w:rsid w:val="00A725B6"/>
    <w:rsid w:val="00A76671"/>
    <w:rsid w:val="00A835E4"/>
    <w:rsid w:val="00A870EF"/>
    <w:rsid w:val="00A905D8"/>
    <w:rsid w:val="00A94219"/>
    <w:rsid w:val="00AA0B6B"/>
    <w:rsid w:val="00AA11D5"/>
    <w:rsid w:val="00AA1DDC"/>
    <w:rsid w:val="00AA3F0B"/>
    <w:rsid w:val="00AA6E71"/>
    <w:rsid w:val="00AA6FEC"/>
    <w:rsid w:val="00AA788A"/>
    <w:rsid w:val="00AB3E02"/>
    <w:rsid w:val="00AB4D43"/>
    <w:rsid w:val="00AC0CAC"/>
    <w:rsid w:val="00AC4D93"/>
    <w:rsid w:val="00AD251D"/>
    <w:rsid w:val="00AD6516"/>
    <w:rsid w:val="00AD69AB"/>
    <w:rsid w:val="00AE25AB"/>
    <w:rsid w:val="00AE4702"/>
    <w:rsid w:val="00AF66CF"/>
    <w:rsid w:val="00AF6B36"/>
    <w:rsid w:val="00B00478"/>
    <w:rsid w:val="00B049F1"/>
    <w:rsid w:val="00B05B97"/>
    <w:rsid w:val="00B075C6"/>
    <w:rsid w:val="00B11E47"/>
    <w:rsid w:val="00B13A3E"/>
    <w:rsid w:val="00B15243"/>
    <w:rsid w:val="00B238AD"/>
    <w:rsid w:val="00B250C8"/>
    <w:rsid w:val="00B257FE"/>
    <w:rsid w:val="00B52533"/>
    <w:rsid w:val="00B53733"/>
    <w:rsid w:val="00B61FEB"/>
    <w:rsid w:val="00B645ED"/>
    <w:rsid w:val="00B702BD"/>
    <w:rsid w:val="00B720EC"/>
    <w:rsid w:val="00B7276D"/>
    <w:rsid w:val="00B7561D"/>
    <w:rsid w:val="00B762E0"/>
    <w:rsid w:val="00B825D0"/>
    <w:rsid w:val="00B83929"/>
    <w:rsid w:val="00B915F1"/>
    <w:rsid w:val="00B95EAD"/>
    <w:rsid w:val="00BA7DEC"/>
    <w:rsid w:val="00BB1C2F"/>
    <w:rsid w:val="00BB2479"/>
    <w:rsid w:val="00BB7136"/>
    <w:rsid w:val="00BC0DAF"/>
    <w:rsid w:val="00BC2E2E"/>
    <w:rsid w:val="00BC46B6"/>
    <w:rsid w:val="00BD2DF3"/>
    <w:rsid w:val="00BD357C"/>
    <w:rsid w:val="00BE0430"/>
    <w:rsid w:val="00BF5803"/>
    <w:rsid w:val="00BF731F"/>
    <w:rsid w:val="00BF735E"/>
    <w:rsid w:val="00C00208"/>
    <w:rsid w:val="00C00D7D"/>
    <w:rsid w:val="00C02FFD"/>
    <w:rsid w:val="00C04591"/>
    <w:rsid w:val="00C0644C"/>
    <w:rsid w:val="00C07988"/>
    <w:rsid w:val="00C110B0"/>
    <w:rsid w:val="00C11D13"/>
    <w:rsid w:val="00C170AD"/>
    <w:rsid w:val="00C205C8"/>
    <w:rsid w:val="00C255B1"/>
    <w:rsid w:val="00C4006D"/>
    <w:rsid w:val="00C53511"/>
    <w:rsid w:val="00C53AC7"/>
    <w:rsid w:val="00C57636"/>
    <w:rsid w:val="00C60824"/>
    <w:rsid w:val="00C6410C"/>
    <w:rsid w:val="00C65B05"/>
    <w:rsid w:val="00C73F08"/>
    <w:rsid w:val="00C768AA"/>
    <w:rsid w:val="00C77433"/>
    <w:rsid w:val="00C801DE"/>
    <w:rsid w:val="00C84911"/>
    <w:rsid w:val="00C929D4"/>
    <w:rsid w:val="00C933ED"/>
    <w:rsid w:val="00CA136B"/>
    <w:rsid w:val="00CA45ED"/>
    <w:rsid w:val="00CA65D6"/>
    <w:rsid w:val="00CA7470"/>
    <w:rsid w:val="00CA7865"/>
    <w:rsid w:val="00CC1211"/>
    <w:rsid w:val="00CC23E9"/>
    <w:rsid w:val="00CC3CE1"/>
    <w:rsid w:val="00CC4E38"/>
    <w:rsid w:val="00CD2E7B"/>
    <w:rsid w:val="00CD4012"/>
    <w:rsid w:val="00CD54F5"/>
    <w:rsid w:val="00CE259C"/>
    <w:rsid w:val="00CF3861"/>
    <w:rsid w:val="00D00EFC"/>
    <w:rsid w:val="00D01056"/>
    <w:rsid w:val="00D042CF"/>
    <w:rsid w:val="00D0660C"/>
    <w:rsid w:val="00D11271"/>
    <w:rsid w:val="00D1465F"/>
    <w:rsid w:val="00D14B4B"/>
    <w:rsid w:val="00D150A9"/>
    <w:rsid w:val="00D2521F"/>
    <w:rsid w:val="00D252DD"/>
    <w:rsid w:val="00D27D52"/>
    <w:rsid w:val="00D30775"/>
    <w:rsid w:val="00D3674D"/>
    <w:rsid w:val="00D401CF"/>
    <w:rsid w:val="00D41006"/>
    <w:rsid w:val="00D41B1C"/>
    <w:rsid w:val="00D43405"/>
    <w:rsid w:val="00D434A3"/>
    <w:rsid w:val="00D538AF"/>
    <w:rsid w:val="00D53C58"/>
    <w:rsid w:val="00D543D5"/>
    <w:rsid w:val="00D55F88"/>
    <w:rsid w:val="00D61054"/>
    <w:rsid w:val="00D61C46"/>
    <w:rsid w:val="00D66E74"/>
    <w:rsid w:val="00D6721C"/>
    <w:rsid w:val="00D71264"/>
    <w:rsid w:val="00D733B6"/>
    <w:rsid w:val="00D74C63"/>
    <w:rsid w:val="00D83E1D"/>
    <w:rsid w:val="00D85C5B"/>
    <w:rsid w:val="00D96464"/>
    <w:rsid w:val="00D9694A"/>
    <w:rsid w:val="00DA097F"/>
    <w:rsid w:val="00DA25D3"/>
    <w:rsid w:val="00DA28A4"/>
    <w:rsid w:val="00DA3E7C"/>
    <w:rsid w:val="00DA3F15"/>
    <w:rsid w:val="00DA73A3"/>
    <w:rsid w:val="00DA7499"/>
    <w:rsid w:val="00DA79B5"/>
    <w:rsid w:val="00DB3948"/>
    <w:rsid w:val="00DB49A0"/>
    <w:rsid w:val="00DC25D4"/>
    <w:rsid w:val="00DC3237"/>
    <w:rsid w:val="00DD0A49"/>
    <w:rsid w:val="00DD3208"/>
    <w:rsid w:val="00DE67CA"/>
    <w:rsid w:val="00DF4F3C"/>
    <w:rsid w:val="00DF4F6F"/>
    <w:rsid w:val="00E033B4"/>
    <w:rsid w:val="00E06A47"/>
    <w:rsid w:val="00E0757E"/>
    <w:rsid w:val="00E076A3"/>
    <w:rsid w:val="00E14FC3"/>
    <w:rsid w:val="00E16DE6"/>
    <w:rsid w:val="00E21373"/>
    <w:rsid w:val="00E2391A"/>
    <w:rsid w:val="00E2592B"/>
    <w:rsid w:val="00E329EE"/>
    <w:rsid w:val="00E47851"/>
    <w:rsid w:val="00E52235"/>
    <w:rsid w:val="00E56FC6"/>
    <w:rsid w:val="00E57F50"/>
    <w:rsid w:val="00E633E8"/>
    <w:rsid w:val="00E706B3"/>
    <w:rsid w:val="00E71858"/>
    <w:rsid w:val="00E7422B"/>
    <w:rsid w:val="00E74ED0"/>
    <w:rsid w:val="00E82846"/>
    <w:rsid w:val="00E846BF"/>
    <w:rsid w:val="00E84C07"/>
    <w:rsid w:val="00E86158"/>
    <w:rsid w:val="00E87F29"/>
    <w:rsid w:val="00E943AB"/>
    <w:rsid w:val="00E94889"/>
    <w:rsid w:val="00E97584"/>
    <w:rsid w:val="00EA3874"/>
    <w:rsid w:val="00EB3F75"/>
    <w:rsid w:val="00EB5083"/>
    <w:rsid w:val="00EB58F3"/>
    <w:rsid w:val="00EC20B8"/>
    <w:rsid w:val="00EC4402"/>
    <w:rsid w:val="00EC4A34"/>
    <w:rsid w:val="00EC4B30"/>
    <w:rsid w:val="00ED0EBB"/>
    <w:rsid w:val="00EE4455"/>
    <w:rsid w:val="00EE4C9D"/>
    <w:rsid w:val="00EF001B"/>
    <w:rsid w:val="00EF0423"/>
    <w:rsid w:val="00EF13C5"/>
    <w:rsid w:val="00EF1C00"/>
    <w:rsid w:val="00EF31B7"/>
    <w:rsid w:val="00EF7B47"/>
    <w:rsid w:val="00F00EF3"/>
    <w:rsid w:val="00F04055"/>
    <w:rsid w:val="00F122B9"/>
    <w:rsid w:val="00F13BA0"/>
    <w:rsid w:val="00F149E7"/>
    <w:rsid w:val="00F20AD5"/>
    <w:rsid w:val="00F21131"/>
    <w:rsid w:val="00F21CD9"/>
    <w:rsid w:val="00F22750"/>
    <w:rsid w:val="00F22DF3"/>
    <w:rsid w:val="00F25405"/>
    <w:rsid w:val="00F278A3"/>
    <w:rsid w:val="00F312B7"/>
    <w:rsid w:val="00F31A91"/>
    <w:rsid w:val="00F31EBA"/>
    <w:rsid w:val="00F3207F"/>
    <w:rsid w:val="00F32530"/>
    <w:rsid w:val="00F3541A"/>
    <w:rsid w:val="00F46275"/>
    <w:rsid w:val="00F51786"/>
    <w:rsid w:val="00F52A88"/>
    <w:rsid w:val="00F5665F"/>
    <w:rsid w:val="00F60488"/>
    <w:rsid w:val="00F61809"/>
    <w:rsid w:val="00F631B6"/>
    <w:rsid w:val="00F63BC0"/>
    <w:rsid w:val="00F640FB"/>
    <w:rsid w:val="00F65E6D"/>
    <w:rsid w:val="00F719B8"/>
    <w:rsid w:val="00F72D80"/>
    <w:rsid w:val="00F878D6"/>
    <w:rsid w:val="00F90271"/>
    <w:rsid w:val="00F9049B"/>
    <w:rsid w:val="00F94B00"/>
    <w:rsid w:val="00F94EFB"/>
    <w:rsid w:val="00FA03AD"/>
    <w:rsid w:val="00FA2E89"/>
    <w:rsid w:val="00FB4BFF"/>
    <w:rsid w:val="00FB6500"/>
    <w:rsid w:val="00FC0B85"/>
    <w:rsid w:val="00FC2654"/>
    <w:rsid w:val="00FC430C"/>
    <w:rsid w:val="00FC7332"/>
    <w:rsid w:val="00FD09D0"/>
    <w:rsid w:val="00FD1D9C"/>
    <w:rsid w:val="00FD3DA2"/>
    <w:rsid w:val="00FD4104"/>
    <w:rsid w:val="00FD44B9"/>
    <w:rsid w:val="00FE0D9B"/>
    <w:rsid w:val="00FE4A2D"/>
    <w:rsid w:val="00FF3A58"/>
    <w:rsid w:val="00FF7037"/>
  </w:rsids>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61EA0B"/>
  <w15:chartTrackingRefBased/>
  <w15:docId w15:val="{600BB5FE-9A44-49E6-AB40-100AC8DCD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character" w:customStyle="1" w:styleId="CommentTextChar">
    <w:name w:val="Comment Text Char"/>
    <w:basedOn w:val="DefaultParagraphFont"/>
    <w:link w:val="CommentText"/>
    <w:uiPriority w:val="99"/>
    <w:semiHidden/>
    <w:locked/>
    <w:rsid w:val="00E076A3"/>
  </w:style>
  <w:style w:type="paragraph" w:customStyle="1" w:styleId="HCUPBodytext">
    <w:name w:val="HCUP:Body text"/>
    <w:basedOn w:val="Normal"/>
    <w:rsid w:val="000707EB"/>
    <w:pPr>
      <w:overflowPunct w:val="0"/>
      <w:autoSpaceDE w:val="0"/>
      <w:autoSpaceDN w:val="0"/>
      <w:adjustRightInd w:val="0"/>
      <w:spacing w:before="240"/>
      <w:textAlignment w:val="baseline"/>
    </w:pPr>
    <w:rPr>
      <w:rFonts w:ascii="Calibri" w:hAnsi="Calibri" w:cs="Arial"/>
    </w:rPr>
  </w:style>
  <w:style w:type="paragraph" w:customStyle="1" w:styleId="Default">
    <w:name w:val="Default"/>
    <w:rsid w:val="00D9694A"/>
    <w:pPr>
      <w:autoSpaceDE w:val="0"/>
      <w:autoSpaceDN w:val="0"/>
      <w:adjustRightInd w:val="0"/>
    </w:pPr>
    <w:rPr>
      <w:color w:val="000000"/>
      <w:sz w:val="24"/>
      <w:szCs w:val="24"/>
    </w:rPr>
  </w:style>
  <w:style w:type="paragraph" w:styleId="Revision">
    <w:name w:val="Revision"/>
    <w:hidden/>
    <w:uiPriority w:val="99"/>
    <w:semiHidden/>
    <w:rsid w:val="000B59F8"/>
    <w:rPr>
      <w:sz w:val="24"/>
      <w:szCs w:val="24"/>
    </w:rPr>
  </w:style>
  <w:style w:type="paragraph" w:styleId="ListParagraph">
    <w:name w:val="List Paragraph"/>
    <w:basedOn w:val="Normal"/>
    <w:uiPriority w:val="34"/>
    <w:qFormat/>
    <w:rsid w:val="00812B1E"/>
    <w:pPr>
      <w:spacing w:before="100" w:beforeAutospacing="1" w:after="100" w:afterAutospacing="1"/>
    </w:pPr>
    <w:rPr>
      <w:rFonts w:eastAsia="Calibri"/>
    </w:rPr>
  </w:style>
  <w:style w:type="paragraph" w:customStyle="1" w:styleId="4Document">
    <w:name w:val="4Document"/>
    <w:rsid w:val="0063109B"/>
    <w:pPr>
      <w:widowControl w:val="0"/>
    </w:pPr>
    <w:rPr>
      <w:snapToGrid w:val="0"/>
      <w:sz w:val="24"/>
    </w:rPr>
  </w:style>
  <w:style w:type="character" w:customStyle="1" w:styleId="Heading2Char">
    <w:name w:val="Heading 2 Char"/>
    <w:link w:val="Heading2"/>
    <w:locked/>
    <w:rsid w:val="00CA7865"/>
    <w:rPr>
      <w:rFonts w:ascii="Arial" w:hAnsi="Arial" w:cs="Arial"/>
      <w:b/>
      <w:bCs/>
      <w:i/>
      <w:iCs/>
      <w:sz w:val="28"/>
      <w:szCs w:val="28"/>
    </w:rPr>
  </w:style>
  <w:style w:type="character" w:styleId="UnresolvedMention">
    <w:name w:val="Unresolved Mention"/>
    <w:uiPriority w:val="99"/>
    <w:semiHidden/>
    <w:unhideWhenUsed/>
    <w:rsid w:val="00A66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ahrq.gov/policymakers/hrqa99a.html" TargetMode="External" /><Relationship Id="rId6" Type="http://schemas.openxmlformats.org/officeDocument/2006/relationships/hyperlink" Target="https://www.ntis.gov/about/about-us.xhtml" TargetMode="External" /><Relationship Id="rId7" Type="http://schemas.openxmlformats.org/officeDocument/2006/relationships/hyperlink" Target="https://www.opm.gov/policy-data-oversight/pay-leave/salaries-wages/salary-tables/pdf/2025/DCB.pdf"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D5E0D-9A66-45D0-AE87-2B4E9A82BC14}">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2905</Words>
  <Characters>16646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Shofer, Margie (AHRQ/CQuIPS)</cp:lastModifiedBy>
  <cp:revision>2</cp:revision>
  <cp:lastPrinted>2025-08-20T13:50:00Z</cp:lastPrinted>
  <dcterms:created xsi:type="dcterms:W3CDTF">2025-09-10T13:40:00Z</dcterms:created>
  <dcterms:modified xsi:type="dcterms:W3CDTF">2025-09-10T13:40:00Z</dcterms:modified>
</cp:coreProperties>
</file>