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1E06" w14:paraId="080781E7" w14:textId="77777777">
      <w:pPr>
        <w:spacing w:before="60"/>
        <w:ind w:left="27"/>
        <w:jc w:val="center"/>
        <w:rPr>
          <w:b/>
          <w:sz w:val="28"/>
        </w:rPr>
      </w:pPr>
      <w:bookmarkStart w:id="0" w:name="Supporting_Statement_–_Quality_Standards"/>
      <w:bookmarkEnd w:id="0"/>
      <w:r>
        <w:rPr>
          <w:b/>
          <w:sz w:val="28"/>
        </w:rPr>
        <w:t>Supporting</w:t>
      </w:r>
      <w:r>
        <w:rPr>
          <w:b/>
          <w:spacing w:val="-6"/>
          <w:sz w:val="28"/>
        </w:rPr>
        <w:t xml:space="preserve"> </w:t>
      </w:r>
      <w:r>
        <w:rPr>
          <w:b/>
          <w:sz w:val="28"/>
        </w:rPr>
        <w:t>Statement</w:t>
      </w:r>
      <w:r>
        <w:rPr>
          <w:b/>
          <w:spacing w:val="-6"/>
          <w:sz w:val="28"/>
        </w:rPr>
        <w:t xml:space="preserve"> </w:t>
      </w:r>
      <w:r>
        <w:rPr>
          <w:b/>
          <w:sz w:val="28"/>
        </w:rPr>
        <w:t>–</w:t>
      </w:r>
      <w:r>
        <w:rPr>
          <w:b/>
          <w:spacing w:val="-5"/>
          <w:sz w:val="28"/>
        </w:rPr>
        <w:t xml:space="preserve"> </w:t>
      </w:r>
      <w:r>
        <w:rPr>
          <w:b/>
          <w:sz w:val="28"/>
        </w:rPr>
        <w:t>Quality</w:t>
      </w:r>
      <w:r>
        <w:rPr>
          <w:b/>
          <w:spacing w:val="-6"/>
          <w:sz w:val="28"/>
        </w:rPr>
        <w:t xml:space="preserve"> </w:t>
      </w:r>
      <w:r>
        <w:rPr>
          <w:b/>
          <w:spacing w:val="-2"/>
          <w:sz w:val="28"/>
        </w:rPr>
        <w:t>Standards</w:t>
      </w:r>
    </w:p>
    <w:p w:rsidR="00B41E06" w14:paraId="230F282D" w14:textId="77777777">
      <w:pPr>
        <w:pStyle w:val="ListParagraph"/>
        <w:numPr>
          <w:ilvl w:val="0"/>
          <w:numId w:val="6"/>
        </w:numPr>
        <w:tabs>
          <w:tab w:val="left" w:pos="906"/>
        </w:tabs>
        <w:spacing w:before="240"/>
        <w:ind w:left="906" w:hanging="546"/>
        <w:rPr>
          <w:b/>
          <w:sz w:val="28"/>
        </w:rPr>
      </w:pPr>
      <w:bookmarkStart w:id="1" w:name="A._Background"/>
      <w:bookmarkEnd w:id="1"/>
      <w:r>
        <w:rPr>
          <w:b/>
          <w:spacing w:val="-2"/>
          <w:sz w:val="28"/>
        </w:rPr>
        <w:t>Background</w:t>
      </w:r>
    </w:p>
    <w:p w:rsidR="00B41E06" w14:paraId="1785151A" w14:textId="77777777">
      <w:pPr>
        <w:pStyle w:val="BodyText"/>
        <w:spacing w:before="118"/>
        <w:ind w:left="360" w:right="365"/>
      </w:pPr>
      <w:r>
        <w:rPr>
          <w:noProof/>
        </w:rPr>
        <mc:AlternateContent>
          <mc:Choice Requires="wps">
            <w:drawing>
              <wp:anchor distT="0" distB="0" distL="0" distR="0" simplePos="0" relativeHeight="251658240" behindDoc="1" locked="0" layoutInCell="1" allowOverlap="1">
                <wp:simplePos x="0" y="0"/>
                <wp:positionH relativeFrom="page">
                  <wp:posOffset>2877311</wp:posOffset>
                </wp:positionH>
                <wp:positionV relativeFrom="paragraph">
                  <wp:posOffset>556393</wp:posOffset>
                </wp:positionV>
                <wp:extent cx="15240" cy="14604"/>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 cy="14604"/>
                        </a:xfrm>
                        <a:prstGeom prst="rect">
                          <a:avLst/>
                        </a:prstGeom>
                      </wps:spPr>
                      <wps:txbx>
                        <w:txbxContent>
                          <w:p w:rsidR="00B41E06" w14:textId="77777777">
                            <w:pPr>
                              <w:spacing w:line="23" w:lineRule="exact"/>
                              <w:rPr>
                                <w:rFonts w:ascii="Cambria"/>
                                <w:sz w:val="2"/>
                              </w:rPr>
                            </w:pPr>
                            <w:r>
                              <w:rPr>
                                <w:rFonts w:ascii="Cambria"/>
                                <w:spacing w:val="-5"/>
                                <w:sz w:val="2"/>
                              </w:rPr>
                              <w:t>0F</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5" type="#_x0000_t202" style="width:1.2pt;height:1.15pt;margin-top:43.8pt;margin-left:226.55pt;mso-position-horizontal-relative:page;mso-wrap-distance-bottom:0;mso-wrap-distance-left:0;mso-wrap-distance-right:0;mso-wrap-distance-top:0;mso-wrap-style:square;position:absolute;visibility:visible;v-text-anchor:top;z-index:-251657216" filled="f" stroked="f">
                <v:textbox inset="0,0,0,0">
                  <w:txbxContent>
                    <w:p w:rsidR="00B41E06" w14:paraId="48ACD75E" w14:textId="77777777">
                      <w:pPr>
                        <w:spacing w:line="23" w:lineRule="exact"/>
                        <w:rPr>
                          <w:rFonts w:ascii="Cambria"/>
                          <w:sz w:val="2"/>
                        </w:rPr>
                      </w:pPr>
                      <w:r>
                        <w:rPr>
                          <w:rFonts w:ascii="Cambria"/>
                          <w:spacing w:val="-5"/>
                          <w:sz w:val="2"/>
                        </w:rPr>
                        <w:t>0F</w:t>
                      </w:r>
                    </w:p>
                  </w:txbxContent>
                </v:textbox>
              </v:shape>
            </w:pict>
          </mc:Fallback>
        </mc:AlternateContent>
      </w:r>
      <w:r>
        <w:t>The Department of Health and Human Services (HHS) goals for improving access to high- quality,</w:t>
      </w:r>
      <w:r>
        <w:rPr>
          <w:spacing w:val="-3"/>
        </w:rPr>
        <w:t xml:space="preserve"> </w:t>
      </w:r>
      <w:r>
        <w:t>affordable</w:t>
      </w:r>
      <w:r>
        <w:rPr>
          <w:spacing w:val="-4"/>
        </w:rPr>
        <w:t xml:space="preserve"> </w:t>
      </w:r>
      <w:r>
        <w:t>care,</w:t>
      </w:r>
      <w:r>
        <w:rPr>
          <w:spacing w:val="-1"/>
        </w:rPr>
        <w:t xml:space="preserve"> </w:t>
      </w:r>
      <w:r>
        <w:t>and</w:t>
      </w:r>
      <w:r>
        <w:rPr>
          <w:spacing w:val="-3"/>
        </w:rPr>
        <w:t xml:space="preserve"> </w:t>
      </w:r>
      <w:r>
        <w:t>for</w:t>
      </w:r>
      <w:r>
        <w:rPr>
          <w:spacing w:val="-4"/>
        </w:rPr>
        <w:t xml:space="preserve"> </w:t>
      </w:r>
      <w:r>
        <w:t>supporting</w:t>
      </w:r>
      <w:r>
        <w:rPr>
          <w:spacing w:val="-3"/>
        </w:rPr>
        <w:t xml:space="preserve"> </w:t>
      </w:r>
      <w:r>
        <w:t>healthier</w:t>
      </w:r>
      <w:r>
        <w:rPr>
          <w:spacing w:val="-4"/>
        </w:rPr>
        <w:t xml:space="preserve"> </w:t>
      </w:r>
      <w:r>
        <w:t>people</w:t>
      </w:r>
      <w:r>
        <w:rPr>
          <w:spacing w:val="-4"/>
        </w:rPr>
        <w:t xml:space="preserve"> </w:t>
      </w:r>
      <w:r>
        <w:t>and</w:t>
      </w:r>
      <w:r>
        <w:rPr>
          <w:spacing w:val="-1"/>
        </w:rPr>
        <w:t xml:space="preserve"> </w:t>
      </w:r>
      <w:r>
        <w:t>communities,</w:t>
      </w:r>
      <w:r>
        <w:rPr>
          <w:spacing w:val="-3"/>
        </w:rPr>
        <w:t xml:space="preserve"> </w:t>
      </w:r>
      <w:r>
        <w:t>as</w:t>
      </w:r>
      <w:r>
        <w:rPr>
          <w:spacing w:val="-3"/>
        </w:rPr>
        <w:t xml:space="preserve"> </w:t>
      </w:r>
      <w:r>
        <w:t>described</w:t>
      </w:r>
      <w:r>
        <w:rPr>
          <w:spacing w:val="-3"/>
        </w:rPr>
        <w:t xml:space="preserve"> </w:t>
      </w:r>
      <w:r>
        <w:t>in</w:t>
      </w:r>
      <w:r>
        <w:rPr>
          <w:spacing w:val="-3"/>
        </w:rPr>
        <w:t xml:space="preserve"> </w:t>
      </w:r>
      <w:r>
        <w:t>the CMS</w:t>
      </w:r>
      <w:r>
        <w:rPr>
          <w:spacing w:val="-1"/>
        </w:rPr>
        <w:t xml:space="preserve"> </w:t>
      </w:r>
      <w:r>
        <w:t>National</w:t>
      </w:r>
      <w:r>
        <w:rPr>
          <w:spacing w:val="-1"/>
        </w:rPr>
        <w:t xml:space="preserve"> </w:t>
      </w:r>
      <w:r>
        <w:t>Quality</w:t>
      </w:r>
      <w:r>
        <w:rPr>
          <w:spacing w:val="-1"/>
        </w:rPr>
        <w:t xml:space="preserve"> </w:t>
      </w:r>
      <w:r>
        <w:t>Strategy,</w:t>
      </w:r>
      <w:r>
        <w:rPr>
          <w:spacing w:val="-36"/>
        </w:rPr>
        <w:t xml:space="preserve"> </w:t>
      </w:r>
      <w:r>
        <w:rPr>
          <w:vertAlign w:val="superscript"/>
        </w:rPr>
        <w:t>1</w:t>
      </w:r>
      <w:r>
        <w:t xml:space="preserve"> continue</w:t>
      </w:r>
      <w:r>
        <w:rPr>
          <w:spacing w:val="-2"/>
        </w:rPr>
        <w:t xml:space="preserve"> </w:t>
      </w:r>
      <w:r>
        <w:t>to</w:t>
      </w:r>
      <w:r>
        <w:rPr>
          <w:spacing w:val="-1"/>
        </w:rPr>
        <w:t xml:space="preserve"> </w:t>
      </w:r>
      <w:r>
        <w:t>guide</w:t>
      </w:r>
      <w:r>
        <w:rPr>
          <w:spacing w:val="-2"/>
        </w:rPr>
        <w:t xml:space="preserve"> </w:t>
      </w:r>
      <w:r>
        <w:t>the</w:t>
      </w:r>
      <w:r>
        <w:rPr>
          <w:spacing w:val="-2"/>
        </w:rPr>
        <w:t xml:space="preserve"> </w:t>
      </w:r>
      <w:r>
        <w:t>establishment</w:t>
      </w:r>
      <w:r>
        <w:rPr>
          <w:spacing w:val="-1"/>
        </w:rPr>
        <w:t xml:space="preserve"> </w:t>
      </w:r>
      <w:r>
        <w:t>of</w:t>
      </w:r>
      <w:r>
        <w:rPr>
          <w:spacing w:val="-2"/>
        </w:rPr>
        <w:t xml:space="preserve"> </w:t>
      </w:r>
      <w:r>
        <w:t>quality</w:t>
      </w:r>
      <w:r>
        <w:rPr>
          <w:spacing w:val="-1"/>
        </w:rPr>
        <w:t xml:space="preserve"> </w:t>
      </w:r>
      <w:r>
        <w:t>standards</w:t>
      </w:r>
      <w:r>
        <w:rPr>
          <w:spacing w:val="-1"/>
        </w:rPr>
        <w:t xml:space="preserve"> </w:t>
      </w:r>
      <w:r>
        <w:t>for</w:t>
      </w:r>
      <w:r>
        <w:rPr>
          <w:spacing w:val="-2"/>
        </w:rPr>
        <w:t xml:space="preserve"> </w:t>
      </w:r>
      <w:r>
        <w:t>the Health Insurance Exchanges and for Qualified Health Plans (QHPs).</w:t>
      </w:r>
    </w:p>
    <w:p w:rsidR="00B41E06" w14:paraId="6787363F" w14:textId="77777777">
      <w:pPr>
        <w:pStyle w:val="BodyText"/>
        <w:ind w:left="359" w:right="365"/>
      </w:pPr>
      <w:r>
        <w:t>HHS</w:t>
      </w:r>
      <w:r>
        <w:rPr>
          <w:spacing w:val="-4"/>
        </w:rPr>
        <w:t xml:space="preserve"> </w:t>
      </w:r>
      <w:r>
        <w:t>is</w:t>
      </w:r>
      <w:r>
        <w:rPr>
          <w:spacing w:val="-4"/>
        </w:rPr>
        <w:t xml:space="preserve"> </w:t>
      </w:r>
      <w:r>
        <w:t>requesting</w:t>
      </w:r>
      <w:r>
        <w:rPr>
          <w:spacing w:val="-13"/>
        </w:rPr>
        <w:t xml:space="preserve"> </w:t>
      </w:r>
      <w:r>
        <w:t>approval,</w:t>
      </w:r>
      <w:r>
        <w:rPr>
          <w:spacing w:val="-7"/>
        </w:rPr>
        <w:t xml:space="preserve"> </w:t>
      </w:r>
      <w:r>
        <w:t>by</w:t>
      </w:r>
      <w:r>
        <w:rPr>
          <w:spacing w:val="-13"/>
        </w:rPr>
        <w:t xml:space="preserve"> </w:t>
      </w:r>
      <w:r>
        <w:t>the</w:t>
      </w:r>
      <w:r>
        <w:rPr>
          <w:spacing w:val="-8"/>
        </w:rPr>
        <w:t xml:space="preserve"> </w:t>
      </w:r>
      <w:r>
        <w:t>Office</w:t>
      </w:r>
      <w:r>
        <w:rPr>
          <w:spacing w:val="-8"/>
        </w:rPr>
        <w:t xml:space="preserve"> </w:t>
      </w:r>
      <w:r>
        <w:t>of</w:t>
      </w:r>
      <w:r>
        <w:rPr>
          <w:spacing w:val="-5"/>
        </w:rPr>
        <w:t xml:space="preserve"> </w:t>
      </w:r>
      <w:r>
        <w:t>Management</w:t>
      </w:r>
      <w:r>
        <w:rPr>
          <w:spacing w:val="-13"/>
        </w:rPr>
        <w:t xml:space="preserve"> </w:t>
      </w:r>
      <w:r>
        <w:t>and</w:t>
      </w:r>
      <w:r>
        <w:rPr>
          <w:spacing w:val="-4"/>
        </w:rPr>
        <w:t xml:space="preserve"> </w:t>
      </w:r>
      <w:r>
        <w:t>Budget</w:t>
      </w:r>
      <w:r>
        <w:rPr>
          <w:spacing w:val="-4"/>
        </w:rPr>
        <w:t xml:space="preserve"> </w:t>
      </w:r>
      <w:r>
        <w:t>(OMB),</w:t>
      </w:r>
      <w:r>
        <w:rPr>
          <w:spacing w:val="-7"/>
        </w:rPr>
        <w:t xml:space="preserve"> </w:t>
      </w:r>
      <w:r>
        <w:t>for</w:t>
      </w:r>
      <w:r>
        <w:rPr>
          <w:spacing w:val="-8"/>
        </w:rPr>
        <w:t xml:space="preserve"> </w:t>
      </w:r>
      <w:r>
        <w:t>the</w:t>
      </w:r>
      <w:r>
        <w:rPr>
          <w:spacing w:val="-8"/>
        </w:rPr>
        <w:t xml:space="preserve"> </w:t>
      </w:r>
      <w:r>
        <w:t>revisions associated with</w:t>
      </w:r>
      <w:r>
        <w:rPr>
          <w:spacing w:val="-1"/>
        </w:rPr>
        <w:t xml:space="preserve"> </w:t>
      </w:r>
      <w:r>
        <w:t>Parts I, II, III, and IV of this supporting statement. This supporting statement details the information collection associated with the following processes:</w:t>
      </w:r>
    </w:p>
    <w:p w:rsidR="00B41E06" w14:paraId="49390ABE" w14:textId="77777777">
      <w:pPr>
        <w:pStyle w:val="ListParagraph"/>
        <w:numPr>
          <w:ilvl w:val="1"/>
          <w:numId w:val="6"/>
        </w:numPr>
        <w:tabs>
          <w:tab w:val="left" w:pos="1180"/>
        </w:tabs>
        <w:jc w:val="left"/>
        <w:rPr>
          <w:sz w:val="24"/>
        </w:rPr>
      </w:pPr>
      <w:r>
        <w:rPr>
          <w:sz w:val="24"/>
        </w:rPr>
        <w:t>Implementation</w:t>
      </w:r>
      <w:r>
        <w:rPr>
          <w:spacing w:val="-4"/>
          <w:sz w:val="24"/>
        </w:rPr>
        <w:t xml:space="preserve"> </w:t>
      </w:r>
      <w:r>
        <w:rPr>
          <w:sz w:val="24"/>
        </w:rPr>
        <w:t>and</w:t>
      </w:r>
      <w:r>
        <w:rPr>
          <w:spacing w:val="-2"/>
          <w:sz w:val="24"/>
        </w:rPr>
        <w:t xml:space="preserve"> </w:t>
      </w:r>
      <w:r>
        <w:rPr>
          <w:sz w:val="24"/>
        </w:rPr>
        <w:t>reporting</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Quality</w:t>
      </w:r>
      <w:r>
        <w:rPr>
          <w:spacing w:val="-1"/>
          <w:sz w:val="24"/>
        </w:rPr>
        <w:t xml:space="preserve"> </w:t>
      </w:r>
      <w:r>
        <w:rPr>
          <w:sz w:val="24"/>
        </w:rPr>
        <w:t>Rating</w:t>
      </w:r>
      <w:r>
        <w:rPr>
          <w:spacing w:val="-2"/>
          <w:sz w:val="24"/>
        </w:rPr>
        <w:t xml:space="preserve"> </w:t>
      </w:r>
      <w:r>
        <w:rPr>
          <w:sz w:val="24"/>
        </w:rPr>
        <w:t>System</w:t>
      </w:r>
      <w:r>
        <w:rPr>
          <w:spacing w:val="-1"/>
          <w:sz w:val="24"/>
        </w:rPr>
        <w:t xml:space="preserve"> </w:t>
      </w:r>
      <w:r>
        <w:rPr>
          <w:spacing w:val="-2"/>
          <w:sz w:val="24"/>
        </w:rPr>
        <w:t>(QRS),</w:t>
      </w:r>
    </w:p>
    <w:p w:rsidR="00B41E06" w14:paraId="2C5DFE88" w14:textId="77777777">
      <w:pPr>
        <w:pStyle w:val="ListParagraph"/>
        <w:numPr>
          <w:ilvl w:val="1"/>
          <w:numId w:val="6"/>
        </w:numPr>
        <w:tabs>
          <w:tab w:val="left" w:pos="1180"/>
        </w:tabs>
        <w:ind w:right="554" w:hanging="502"/>
        <w:jc w:val="left"/>
        <w:rPr>
          <w:sz w:val="24"/>
        </w:rPr>
      </w:pPr>
      <w:r>
        <w:rPr>
          <w:sz w:val="24"/>
        </w:rPr>
        <w:t>Implementation</w:t>
      </w:r>
      <w:r>
        <w:rPr>
          <w:spacing w:val="-4"/>
          <w:sz w:val="24"/>
        </w:rPr>
        <w:t xml:space="preserve"> </w:t>
      </w:r>
      <w:r>
        <w:rPr>
          <w:sz w:val="24"/>
        </w:rPr>
        <w:t>and</w:t>
      </w:r>
      <w:r>
        <w:rPr>
          <w:spacing w:val="-4"/>
          <w:sz w:val="24"/>
        </w:rPr>
        <w:t xml:space="preserve"> </w:t>
      </w:r>
      <w:r>
        <w:rPr>
          <w:sz w:val="24"/>
        </w:rPr>
        <w:t>reporting</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QHP</w:t>
      </w:r>
      <w:r>
        <w:rPr>
          <w:spacing w:val="-4"/>
          <w:sz w:val="24"/>
        </w:rPr>
        <w:t xml:space="preserve"> </w:t>
      </w:r>
      <w:r>
        <w:rPr>
          <w:sz w:val="24"/>
        </w:rPr>
        <w:t>Enrollee</w:t>
      </w:r>
      <w:r>
        <w:rPr>
          <w:spacing w:val="-5"/>
          <w:sz w:val="24"/>
        </w:rPr>
        <w:t xml:space="preserve"> </w:t>
      </w:r>
      <w:r>
        <w:rPr>
          <w:sz w:val="24"/>
        </w:rPr>
        <w:t>Experience</w:t>
      </w:r>
      <w:r>
        <w:rPr>
          <w:spacing w:val="-5"/>
          <w:sz w:val="24"/>
        </w:rPr>
        <w:t xml:space="preserve"> </w:t>
      </w:r>
      <w:r>
        <w:rPr>
          <w:sz w:val="24"/>
        </w:rPr>
        <w:t>Survey</w:t>
      </w:r>
      <w:r>
        <w:rPr>
          <w:spacing w:val="-2"/>
          <w:sz w:val="24"/>
        </w:rPr>
        <w:t xml:space="preserve"> </w:t>
      </w:r>
      <w:r>
        <w:rPr>
          <w:sz w:val="24"/>
        </w:rPr>
        <w:t>(QHP</w:t>
      </w:r>
      <w:r>
        <w:rPr>
          <w:spacing w:val="-4"/>
          <w:sz w:val="24"/>
        </w:rPr>
        <w:t xml:space="preserve"> </w:t>
      </w:r>
      <w:r>
        <w:rPr>
          <w:sz w:val="24"/>
        </w:rPr>
        <w:t xml:space="preserve">Enrollee </w:t>
      </w:r>
      <w:r>
        <w:rPr>
          <w:spacing w:val="-2"/>
          <w:sz w:val="24"/>
        </w:rPr>
        <w:t>Survey),</w:t>
      </w:r>
    </w:p>
    <w:p w:rsidR="00B41E06" w14:paraId="2CFA6347" w14:textId="77777777">
      <w:pPr>
        <w:pStyle w:val="ListParagraph"/>
        <w:numPr>
          <w:ilvl w:val="1"/>
          <w:numId w:val="6"/>
        </w:numPr>
        <w:tabs>
          <w:tab w:val="left" w:pos="1180"/>
        </w:tabs>
        <w:ind w:hanging="581"/>
        <w:jc w:val="left"/>
        <w:rPr>
          <w:sz w:val="24"/>
        </w:rPr>
      </w:pPr>
      <w:r>
        <w:rPr>
          <w:sz w:val="24"/>
        </w:rPr>
        <w:t>Monitoring</w:t>
      </w:r>
      <w:r>
        <w:rPr>
          <w:spacing w:val="-1"/>
          <w:sz w:val="24"/>
        </w:rPr>
        <w:t xml:space="preserve"> </w:t>
      </w:r>
      <w:r>
        <w:rPr>
          <w:sz w:val="24"/>
        </w:rPr>
        <w:t>and</w:t>
      </w:r>
      <w:r>
        <w:rPr>
          <w:spacing w:val="-1"/>
          <w:sz w:val="24"/>
        </w:rPr>
        <w:t xml:space="preserve"> </w:t>
      </w:r>
      <w:r>
        <w:rPr>
          <w:sz w:val="24"/>
        </w:rPr>
        <w:t>appeals process</w:t>
      </w:r>
      <w:r>
        <w:rPr>
          <w:spacing w:val="-1"/>
          <w:sz w:val="24"/>
        </w:rPr>
        <w:t xml:space="preserve"> </w:t>
      </w:r>
      <w:r>
        <w:rPr>
          <w:sz w:val="24"/>
        </w:rPr>
        <w:t>for</w:t>
      </w:r>
      <w:r>
        <w:rPr>
          <w:spacing w:val="-1"/>
          <w:sz w:val="24"/>
        </w:rPr>
        <w:t xml:space="preserve"> </w:t>
      </w:r>
      <w:r>
        <w:rPr>
          <w:sz w:val="24"/>
        </w:rPr>
        <w:t>survey</w:t>
      </w:r>
      <w:r>
        <w:rPr>
          <w:spacing w:val="-1"/>
          <w:sz w:val="24"/>
        </w:rPr>
        <w:t xml:space="preserve"> </w:t>
      </w:r>
      <w:r>
        <w:rPr>
          <w:sz w:val="24"/>
        </w:rPr>
        <w:t>vendors,</w:t>
      </w:r>
      <w:r>
        <w:rPr>
          <w:spacing w:val="-1"/>
          <w:sz w:val="24"/>
        </w:rPr>
        <w:t xml:space="preserve"> </w:t>
      </w:r>
      <w:r>
        <w:rPr>
          <w:spacing w:val="-5"/>
          <w:sz w:val="24"/>
        </w:rPr>
        <w:t>and</w:t>
      </w:r>
    </w:p>
    <w:p w:rsidR="00B41E06" w14:paraId="1CBF534B" w14:textId="77777777">
      <w:pPr>
        <w:pStyle w:val="ListParagraph"/>
        <w:numPr>
          <w:ilvl w:val="1"/>
          <w:numId w:val="6"/>
        </w:numPr>
        <w:tabs>
          <w:tab w:val="left" w:pos="1180"/>
        </w:tabs>
        <w:ind w:hanging="595"/>
        <w:jc w:val="left"/>
        <w:rPr>
          <w:sz w:val="24"/>
        </w:rPr>
      </w:pPr>
      <w:r>
        <w:rPr>
          <w:sz w:val="24"/>
        </w:rPr>
        <w:t>Patient</w:t>
      </w:r>
      <w:r>
        <w:rPr>
          <w:spacing w:val="-3"/>
          <w:sz w:val="24"/>
        </w:rPr>
        <w:t xml:space="preserve"> </w:t>
      </w:r>
      <w:r>
        <w:rPr>
          <w:sz w:val="24"/>
        </w:rPr>
        <w:t>safety</w:t>
      </w:r>
      <w:r>
        <w:rPr>
          <w:spacing w:val="-2"/>
          <w:sz w:val="24"/>
        </w:rPr>
        <w:t xml:space="preserve"> </w:t>
      </w:r>
      <w:r>
        <w:rPr>
          <w:sz w:val="24"/>
        </w:rPr>
        <w:t>reporting</w:t>
      </w:r>
      <w:r>
        <w:rPr>
          <w:spacing w:val="-2"/>
          <w:sz w:val="24"/>
        </w:rPr>
        <w:t xml:space="preserve"> </w:t>
      </w:r>
      <w:r>
        <w:rPr>
          <w:sz w:val="24"/>
        </w:rPr>
        <w:t>standards</w:t>
      </w:r>
      <w:r>
        <w:rPr>
          <w:spacing w:val="-2"/>
          <w:sz w:val="24"/>
        </w:rPr>
        <w:t xml:space="preserve"> </w:t>
      </w:r>
      <w:r>
        <w:rPr>
          <w:sz w:val="24"/>
        </w:rPr>
        <w:t>for</w:t>
      </w:r>
      <w:r>
        <w:rPr>
          <w:spacing w:val="-1"/>
          <w:sz w:val="24"/>
        </w:rPr>
        <w:t xml:space="preserve"> </w:t>
      </w:r>
      <w:r>
        <w:rPr>
          <w:sz w:val="24"/>
        </w:rPr>
        <w:t>QHP</w:t>
      </w:r>
      <w:r>
        <w:rPr>
          <w:spacing w:val="-2"/>
          <w:sz w:val="24"/>
        </w:rPr>
        <w:t xml:space="preserve"> issuers.</w:t>
      </w:r>
    </w:p>
    <w:p w:rsidR="00B41E06" w14:paraId="72EB1612" w14:textId="77777777">
      <w:pPr>
        <w:pStyle w:val="ListParagraph"/>
        <w:numPr>
          <w:ilvl w:val="0"/>
          <w:numId w:val="6"/>
        </w:numPr>
        <w:tabs>
          <w:tab w:val="left" w:pos="907"/>
        </w:tabs>
        <w:spacing w:before="241"/>
        <w:rPr>
          <w:b/>
          <w:sz w:val="28"/>
        </w:rPr>
      </w:pPr>
      <w:bookmarkStart w:id="2" w:name="B._Justification"/>
      <w:bookmarkEnd w:id="2"/>
      <w:r>
        <w:rPr>
          <w:b/>
          <w:spacing w:val="-2"/>
          <w:sz w:val="28"/>
        </w:rPr>
        <w:t>Justification</w:t>
      </w:r>
    </w:p>
    <w:p w:rsidR="00B41E06" w14:paraId="3FBAA8B9" w14:textId="77777777">
      <w:pPr>
        <w:pStyle w:val="Heading1"/>
        <w:numPr>
          <w:ilvl w:val="0"/>
          <w:numId w:val="5"/>
        </w:numPr>
        <w:tabs>
          <w:tab w:val="left" w:pos="907"/>
        </w:tabs>
        <w:spacing w:before="119"/>
        <w:ind w:hanging="547"/>
      </w:pPr>
      <w:bookmarkStart w:id="3" w:name="1.__Need_and_Legal_Basis"/>
      <w:bookmarkEnd w:id="3"/>
      <w:r>
        <w:t>Need</w:t>
      </w:r>
      <w:r>
        <w:rPr>
          <w:spacing w:val="-2"/>
        </w:rPr>
        <w:t xml:space="preserve"> </w:t>
      </w:r>
      <w:r>
        <w:t>and</w:t>
      </w:r>
      <w:r>
        <w:rPr>
          <w:spacing w:val="-1"/>
        </w:rPr>
        <w:t xml:space="preserve"> </w:t>
      </w:r>
      <w:r>
        <w:t>Legal</w:t>
      </w:r>
      <w:r>
        <w:rPr>
          <w:spacing w:val="-1"/>
        </w:rPr>
        <w:t xml:space="preserve"> </w:t>
      </w:r>
      <w:r>
        <w:rPr>
          <w:spacing w:val="-4"/>
        </w:rPr>
        <w:t>Basis</w:t>
      </w:r>
    </w:p>
    <w:p w:rsidR="00B41E06" w14:paraId="76E7A888" w14:textId="77777777">
      <w:pPr>
        <w:pStyle w:val="BodyText"/>
        <w:ind w:left="359" w:right="419"/>
      </w:pPr>
      <w:r>
        <w:rPr>
          <w:noProof/>
        </w:rPr>
        <mc:AlternateContent>
          <mc:Choice Requires="wps">
            <w:drawing>
              <wp:anchor distT="0" distB="0" distL="0" distR="0" simplePos="0" relativeHeight="251660288" behindDoc="1" locked="0" layoutInCell="1" allowOverlap="1">
                <wp:simplePos x="0" y="0"/>
                <wp:positionH relativeFrom="page">
                  <wp:posOffset>6316979</wp:posOffset>
                </wp:positionH>
                <wp:positionV relativeFrom="paragraph">
                  <wp:posOffset>382360</wp:posOffset>
                </wp:positionV>
                <wp:extent cx="12065" cy="14604"/>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65" cy="14604"/>
                        </a:xfrm>
                        <a:prstGeom prst="rect">
                          <a:avLst/>
                        </a:prstGeom>
                      </wps:spPr>
                      <wps:txbx>
                        <w:txbxContent>
                          <w:p w:rsidR="00B41E06" w14:textId="77777777">
                            <w:pPr>
                              <w:spacing w:line="23" w:lineRule="exact"/>
                              <w:rPr>
                                <w:rFonts w:ascii="Cambria"/>
                                <w:sz w:val="2"/>
                              </w:rPr>
                            </w:pPr>
                            <w:r>
                              <w:rPr>
                                <w:rFonts w:ascii="Cambria"/>
                                <w:spacing w:val="-8"/>
                                <w:sz w:val="2"/>
                              </w:rPr>
                              <w:t>1F</w:t>
                            </w:r>
                          </w:p>
                        </w:txbxContent>
                      </wps:txbx>
                      <wps:bodyPr wrap="square" lIns="0" tIns="0" rIns="0" bIns="0" rtlCol="0"/>
                    </wps:wsp>
                  </a:graphicData>
                </a:graphic>
              </wp:anchor>
            </w:drawing>
          </mc:Choice>
          <mc:Fallback>
            <w:pict>
              <v:shape id="Textbox 2" o:spid="_x0000_s1026" type="#_x0000_t202" style="width:0.95pt;height:1.15pt;margin-top:30.1pt;margin-left:497.4pt;mso-position-horizontal-relative:page;mso-wrap-distance-bottom:0;mso-wrap-distance-left:0;mso-wrap-distance-right:0;mso-wrap-distance-top:0;mso-wrap-style:square;position:absolute;visibility:visible;v-text-anchor:top;z-index:-251655168" filled="f" stroked="f">
                <v:textbox inset="0,0,0,0">
                  <w:txbxContent>
                    <w:p w:rsidR="00B41E06" w14:paraId="08890AB4" w14:textId="77777777">
                      <w:pPr>
                        <w:spacing w:line="23" w:lineRule="exact"/>
                        <w:rPr>
                          <w:rFonts w:ascii="Cambria"/>
                          <w:sz w:val="2"/>
                        </w:rPr>
                      </w:pPr>
                      <w:r>
                        <w:rPr>
                          <w:rFonts w:ascii="Cambria"/>
                          <w:spacing w:val="-8"/>
                          <w:sz w:val="2"/>
                        </w:rPr>
                        <w:t>1F</w:t>
                      </w:r>
                    </w:p>
                  </w:txbxContent>
                </v:textbox>
              </v:shape>
            </w:pict>
          </mc:Fallback>
        </mc:AlternateContent>
      </w:r>
      <w:r>
        <w:t>The</w:t>
      </w:r>
      <w:r>
        <w:rPr>
          <w:spacing w:val="-5"/>
        </w:rPr>
        <w:t xml:space="preserve"> </w:t>
      </w:r>
      <w:r>
        <w:t>Patient</w:t>
      </w:r>
      <w:r>
        <w:rPr>
          <w:spacing w:val="-4"/>
        </w:rPr>
        <w:t xml:space="preserve"> </w:t>
      </w:r>
      <w:r>
        <w:t>Protection</w:t>
      </w:r>
      <w:r>
        <w:rPr>
          <w:spacing w:val="-4"/>
        </w:rPr>
        <w:t xml:space="preserve"> </w:t>
      </w:r>
      <w:r>
        <w:t>and</w:t>
      </w:r>
      <w:r>
        <w:rPr>
          <w:spacing w:val="-4"/>
        </w:rPr>
        <w:t xml:space="preserve"> </w:t>
      </w:r>
      <w:r>
        <w:t>Affordable</w:t>
      </w:r>
      <w:r>
        <w:rPr>
          <w:spacing w:val="-5"/>
        </w:rPr>
        <w:t xml:space="preserve"> </w:t>
      </w:r>
      <w:r>
        <w:t>Care</w:t>
      </w:r>
      <w:r>
        <w:rPr>
          <w:spacing w:val="-3"/>
        </w:rPr>
        <w:t xml:space="preserve"> </w:t>
      </w:r>
      <w:r>
        <w:t>Act</w:t>
      </w:r>
      <w:r>
        <w:rPr>
          <w:spacing w:val="-4"/>
        </w:rPr>
        <w:t xml:space="preserve"> </w:t>
      </w:r>
      <w:r>
        <w:t>establishes</w:t>
      </w:r>
      <w:r>
        <w:rPr>
          <w:spacing w:val="-4"/>
        </w:rPr>
        <w:t xml:space="preserve"> </w:t>
      </w:r>
      <w:r>
        <w:t>requirements</w:t>
      </w:r>
      <w:r>
        <w:rPr>
          <w:spacing w:val="-4"/>
        </w:rPr>
        <w:t xml:space="preserve"> </w:t>
      </w:r>
      <w:r>
        <w:t>to</w:t>
      </w:r>
      <w:r>
        <w:rPr>
          <w:spacing w:val="-2"/>
        </w:rPr>
        <w:t xml:space="preserve"> </w:t>
      </w:r>
      <w:r>
        <w:t>support</w:t>
      </w:r>
      <w:r>
        <w:rPr>
          <w:spacing w:val="-4"/>
        </w:rPr>
        <w:t xml:space="preserve"> </w:t>
      </w:r>
      <w:r>
        <w:t>the</w:t>
      </w:r>
      <w:r>
        <w:rPr>
          <w:spacing w:val="-5"/>
        </w:rPr>
        <w:t xml:space="preserve"> </w:t>
      </w:r>
      <w:r>
        <w:t>delivery of quality health care coverage for health insurance issuers offering QHPs in Exchanges.</w:t>
      </w:r>
      <w:r>
        <w:rPr>
          <w:spacing w:val="-32"/>
        </w:rPr>
        <w:t xml:space="preserve"> </w:t>
      </w:r>
      <w:r>
        <w:rPr>
          <w:vertAlign w:val="superscript"/>
        </w:rPr>
        <w:t>2</w:t>
      </w:r>
    </w:p>
    <w:p w:rsidR="00B41E06" w14:paraId="303955C1" w14:textId="77777777">
      <w:pPr>
        <w:pStyle w:val="ListParagraph"/>
        <w:numPr>
          <w:ilvl w:val="1"/>
          <w:numId w:val="5"/>
        </w:numPr>
        <w:tabs>
          <w:tab w:val="left" w:pos="719"/>
        </w:tabs>
        <w:ind w:left="719" w:right="463"/>
        <w:rPr>
          <w:sz w:val="24"/>
        </w:rPr>
      </w:pPr>
      <w:r>
        <w:rPr>
          <w:sz w:val="24"/>
        </w:rPr>
        <w:t>Section</w:t>
      </w:r>
      <w:r>
        <w:rPr>
          <w:spacing w:val="-3"/>
          <w:sz w:val="24"/>
        </w:rPr>
        <w:t xml:space="preserve"> </w:t>
      </w:r>
      <w:r>
        <w:rPr>
          <w:sz w:val="24"/>
        </w:rPr>
        <w:t>1311(c)(3)</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Patient</w:t>
      </w:r>
      <w:r>
        <w:rPr>
          <w:spacing w:val="-3"/>
          <w:sz w:val="24"/>
        </w:rPr>
        <w:t xml:space="preserve"> </w:t>
      </w:r>
      <w:r>
        <w:rPr>
          <w:sz w:val="24"/>
        </w:rPr>
        <w:t>Protection</w:t>
      </w:r>
      <w:r>
        <w:rPr>
          <w:spacing w:val="-3"/>
          <w:sz w:val="24"/>
        </w:rPr>
        <w:t xml:space="preserve"> </w:t>
      </w:r>
      <w:r>
        <w:rPr>
          <w:sz w:val="24"/>
        </w:rPr>
        <w:t>and</w:t>
      </w:r>
      <w:r>
        <w:rPr>
          <w:spacing w:val="-3"/>
          <w:sz w:val="24"/>
        </w:rPr>
        <w:t xml:space="preserve"> </w:t>
      </w:r>
      <w:r>
        <w:rPr>
          <w:sz w:val="24"/>
        </w:rPr>
        <w:t>Affordable</w:t>
      </w:r>
      <w:r>
        <w:rPr>
          <w:spacing w:val="-4"/>
          <w:sz w:val="24"/>
        </w:rPr>
        <w:t xml:space="preserve"> </w:t>
      </w:r>
      <w:r>
        <w:rPr>
          <w:sz w:val="24"/>
        </w:rPr>
        <w:t>Care</w:t>
      </w:r>
      <w:r>
        <w:rPr>
          <w:spacing w:val="-4"/>
          <w:sz w:val="24"/>
        </w:rPr>
        <w:t xml:space="preserve"> </w:t>
      </w:r>
      <w:r>
        <w:rPr>
          <w:sz w:val="24"/>
        </w:rPr>
        <w:t>Act</w:t>
      </w:r>
      <w:r>
        <w:rPr>
          <w:spacing w:val="-3"/>
          <w:sz w:val="24"/>
        </w:rPr>
        <w:t xml:space="preserve"> </w:t>
      </w:r>
      <w:r>
        <w:rPr>
          <w:sz w:val="24"/>
        </w:rPr>
        <w:t>directs</w:t>
      </w:r>
      <w:r>
        <w:rPr>
          <w:spacing w:val="-3"/>
          <w:sz w:val="24"/>
        </w:rPr>
        <w:t xml:space="preserve"> </w:t>
      </w:r>
      <w:r>
        <w:rPr>
          <w:sz w:val="24"/>
        </w:rPr>
        <w:t>the</w:t>
      </w:r>
      <w:r>
        <w:rPr>
          <w:spacing w:val="-4"/>
          <w:sz w:val="24"/>
        </w:rPr>
        <w:t xml:space="preserve"> </w:t>
      </w:r>
      <w:r>
        <w:rPr>
          <w:sz w:val="24"/>
        </w:rPr>
        <w:t>Secretary</w:t>
      </w:r>
      <w:r>
        <w:rPr>
          <w:spacing w:val="-3"/>
          <w:sz w:val="24"/>
        </w:rPr>
        <w:t xml:space="preserve"> </w:t>
      </w:r>
      <w:r>
        <w:rPr>
          <w:sz w:val="24"/>
        </w:rPr>
        <w:t>to develop a system to rate QHPs on the basis of quality and price and requires Exchanges to display this quality rating information on their respective websites.</w:t>
      </w:r>
    </w:p>
    <w:p w:rsidR="00B41E06" w14:paraId="229B99C4" w14:textId="77777777">
      <w:pPr>
        <w:pStyle w:val="ListParagraph"/>
        <w:numPr>
          <w:ilvl w:val="1"/>
          <w:numId w:val="5"/>
        </w:numPr>
        <w:tabs>
          <w:tab w:val="left" w:pos="719"/>
        </w:tabs>
        <w:spacing w:before="118"/>
        <w:ind w:left="719" w:right="578"/>
        <w:rPr>
          <w:sz w:val="24"/>
        </w:rPr>
      </w:pPr>
      <w:r>
        <w:rPr>
          <w:sz w:val="24"/>
        </w:rPr>
        <w:t>Section</w:t>
      </w:r>
      <w:r>
        <w:rPr>
          <w:spacing w:val="-4"/>
          <w:sz w:val="24"/>
        </w:rPr>
        <w:t xml:space="preserve"> </w:t>
      </w:r>
      <w:r>
        <w:rPr>
          <w:sz w:val="24"/>
        </w:rPr>
        <w:t>1311(c)(4)</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Patient</w:t>
      </w:r>
      <w:r>
        <w:rPr>
          <w:spacing w:val="-4"/>
          <w:sz w:val="24"/>
        </w:rPr>
        <w:t xml:space="preserve"> </w:t>
      </w:r>
      <w:r>
        <w:rPr>
          <w:sz w:val="24"/>
        </w:rPr>
        <w:t>Protection</w:t>
      </w:r>
      <w:r>
        <w:rPr>
          <w:spacing w:val="-4"/>
          <w:sz w:val="24"/>
        </w:rPr>
        <w:t xml:space="preserve"> </w:t>
      </w:r>
      <w:r>
        <w:rPr>
          <w:sz w:val="24"/>
        </w:rPr>
        <w:t>and</w:t>
      </w:r>
      <w:r>
        <w:rPr>
          <w:spacing w:val="-4"/>
          <w:sz w:val="24"/>
        </w:rPr>
        <w:t xml:space="preserve"> </w:t>
      </w:r>
      <w:r>
        <w:rPr>
          <w:sz w:val="24"/>
        </w:rPr>
        <w:t>Affordable</w:t>
      </w:r>
      <w:r>
        <w:rPr>
          <w:spacing w:val="-5"/>
          <w:sz w:val="24"/>
        </w:rPr>
        <w:t xml:space="preserve"> </w:t>
      </w:r>
      <w:r>
        <w:rPr>
          <w:sz w:val="24"/>
        </w:rPr>
        <w:t>Care</w:t>
      </w:r>
      <w:r>
        <w:rPr>
          <w:spacing w:val="-5"/>
          <w:sz w:val="24"/>
        </w:rPr>
        <w:t xml:space="preserve"> </w:t>
      </w:r>
      <w:r>
        <w:rPr>
          <w:sz w:val="24"/>
        </w:rPr>
        <w:t>Act</w:t>
      </w:r>
      <w:r>
        <w:rPr>
          <w:spacing w:val="-4"/>
          <w:sz w:val="24"/>
        </w:rPr>
        <w:t xml:space="preserve"> </w:t>
      </w:r>
      <w:r>
        <w:rPr>
          <w:sz w:val="24"/>
        </w:rPr>
        <w:t>requires</w:t>
      </w:r>
      <w:r>
        <w:rPr>
          <w:spacing w:val="-4"/>
          <w:sz w:val="24"/>
        </w:rPr>
        <w:t xml:space="preserve"> </w:t>
      </w:r>
      <w:r>
        <w:rPr>
          <w:sz w:val="24"/>
        </w:rPr>
        <w:t>the</w:t>
      </w:r>
      <w:r>
        <w:rPr>
          <w:spacing w:val="-5"/>
          <w:sz w:val="24"/>
        </w:rPr>
        <w:t xml:space="preserve"> </w:t>
      </w:r>
      <w:r>
        <w:rPr>
          <w:sz w:val="24"/>
        </w:rPr>
        <w:t>Secretary to develop an enrollee satisfaction survey system to assess enrollee experience with each QHP (with more than 500 enrollees in the previous year) offered through an Exchange. Section 1311(h) requires QHPs to contract with certain hospitals that meet specific patient safety and health care quality standards beginning January 1, 2015.</w:t>
      </w:r>
    </w:p>
    <w:p w:rsidR="00B41E06" w14:paraId="4666C713" w14:textId="77777777">
      <w:pPr>
        <w:pStyle w:val="BodyText"/>
        <w:spacing w:before="122"/>
        <w:ind w:left="359" w:right="365"/>
      </w:pPr>
      <w:r>
        <w:t>This Information Collection Request (ICR) was approved under OMB Control Number 0938- 1249</w:t>
      </w:r>
      <w:r>
        <w:rPr>
          <w:spacing w:val="-3"/>
        </w:rPr>
        <w:t xml:space="preserve"> </w:t>
      </w:r>
      <w:r>
        <w:t>so</w:t>
      </w:r>
      <w:r>
        <w:rPr>
          <w:spacing w:val="-3"/>
        </w:rPr>
        <w:t xml:space="preserve"> </w:t>
      </w:r>
      <w:r>
        <w:t>that</w:t>
      </w:r>
      <w:r>
        <w:rPr>
          <w:spacing w:val="-3"/>
        </w:rPr>
        <w:t xml:space="preserve"> </w:t>
      </w:r>
      <w:r>
        <w:t>HHS</w:t>
      </w:r>
      <w:r>
        <w:rPr>
          <w:spacing w:val="-3"/>
        </w:rPr>
        <w:t xml:space="preserve"> </w:t>
      </w:r>
      <w:r>
        <w:t>may</w:t>
      </w:r>
      <w:r>
        <w:rPr>
          <w:spacing w:val="-3"/>
        </w:rPr>
        <w:t xml:space="preserve"> </w:t>
      </w:r>
      <w:r>
        <w:t>collect</w:t>
      </w:r>
      <w:r>
        <w:rPr>
          <w:spacing w:val="-3"/>
        </w:rPr>
        <w:t xml:space="preserve"> </w:t>
      </w:r>
      <w:r>
        <w:t>required</w:t>
      </w:r>
      <w:r>
        <w:rPr>
          <w:spacing w:val="-3"/>
        </w:rPr>
        <w:t xml:space="preserve"> </w:t>
      </w:r>
      <w:r>
        <w:t>information</w:t>
      </w:r>
      <w:r>
        <w:rPr>
          <w:spacing w:val="-3"/>
        </w:rPr>
        <w:t xml:space="preserve"> </w:t>
      </w:r>
      <w:r>
        <w:t>to</w:t>
      </w:r>
      <w:r>
        <w:rPr>
          <w:spacing w:val="-3"/>
        </w:rPr>
        <w:t xml:space="preserve"> </w:t>
      </w:r>
      <w:r>
        <w:t>implement</w:t>
      </w:r>
      <w:r>
        <w:rPr>
          <w:spacing w:val="-3"/>
        </w:rPr>
        <w:t xml:space="preserve"> </w:t>
      </w:r>
      <w:r>
        <w:t>the</w:t>
      </w:r>
      <w:r>
        <w:rPr>
          <w:spacing w:val="-4"/>
        </w:rPr>
        <w:t xml:space="preserve"> </w:t>
      </w:r>
      <w:r>
        <w:t>proposed</w:t>
      </w:r>
      <w:r>
        <w:rPr>
          <w:spacing w:val="-3"/>
        </w:rPr>
        <w:t xml:space="preserve"> </w:t>
      </w:r>
      <w:r>
        <w:t>quality</w:t>
      </w:r>
      <w:r>
        <w:rPr>
          <w:spacing w:val="-3"/>
        </w:rPr>
        <w:t xml:space="preserve"> </w:t>
      </w:r>
      <w:r>
        <w:t>standards outlined in Code of Federal Regulations (CFR) §156.1105, §156.1110, §156.1120, and</w:t>
      </w:r>
    </w:p>
    <w:p w:rsidR="00B41E06" w14:paraId="6FEFF9B1" w14:textId="77777777">
      <w:pPr>
        <w:pStyle w:val="BodyText"/>
        <w:spacing w:before="0"/>
        <w:ind w:left="359"/>
      </w:pPr>
      <w:r>
        <w:rPr>
          <w:spacing w:val="-2"/>
        </w:rPr>
        <w:t>§155.1125.</w:t>
      </w:r>
    </w:p>
    <w:p w:rsidR="00B41E06" w14:paraId="644AFAAD" w14:textId="77777777">
      <w:pPr>
        <w:pStyle w:val="BodyText"/>
        <w:ind w:left="359" w:right="419"/>
      </w:pPr>
      <w:r>
        <w:t>This collection of information is necessary to provide adequate and timely health care quality information</w:t>
      </w:r>
      <w:r>
        <w:rPr>
          <w:spacing w:val="-4"/>
        </w:rPr>
        <w:t xml:space="preserve"> </w:t>
      </w:r>
      <w:r>
        <w:t>for</w:t>
      </w:r>
      <w:r>
        <w:rPr>
          <w:spacing w:val="-5"/>
        </w:rPr>
        <w:t xml:space="preserve"> </w:t>
      </w:r>
      <w:r>
        <w:t>consumers,</w:t>
      </w:r>
      <w:r>
        <w:rPr>
          <w:spacing w:val="-4"/>
        </w:rPr>
        <w:t xml:space="preserve"> </w:t>
      </w:r>
      <w:r>
        <w:t>regulators,</w:t>
      </w:r>
      <w:r>
        <w:rPr>
          <w:spacing w:val="-2"/>
        </w:rPr>
        <w:t xml:space="preserve"> </w:t>
      </w:r>
      <w:r>
        <w:t>and</w:t>
      </w:r>
      <w:r>
        <w:rPr>
          <w:spacing w:val="-4"/>
        </w:rPr>
        <w:t xml:space="preserve"> </w:t>
      </w:r>
      <w:r>
        <w:t>Exchanges.</w:t>
      </w:r>
      <w:r>
        <w:rPr>
          <w:spacing w:val="-2"/>
        </w:rPr>
        <w:t xml:space="preserve"> </w:t>
      </w:r>
      <w:r>
        <w:t>It</w:t>
      </w:r>
      <w:r>
        <w:rPr>
          <w:spacing w:val="-4"/>
        </w:rPr>
        <w:t xml:space="preserve"> </w:t>
      </w:r>
      <w:r>
        <w:t>is</w:t>
      </w:r>
      <w:r>
        <w:rPr>
          <w:spacing w:val="-4"/>
        </w:rPr>
        <w:t xml:space="preserve"> </w:t>
      </w:r>
      <w:r>
        <w:t>also</w:t>
      </w:r>
      <w:r>
        <w:rPr>
          <w:spacing w:val="-4"/>
        </w:rPr>
        <w:t xml:space="preserve"> </w:t>
      </w:r>
      <w:r>
        <w:t>necessary</w:t>
      </w:r>
      <w:r>
        <w:rPr>
          <w:spacing w:val="-2"/>
        </w:rPr>
        <w:t xml:space="preserve"> </w:t>
      </w:r>
      <w:r>
        <w:t>to</w:t>
      </w:r>
      <w:r>
        <w:rPr>
          <w:spacing w:val="-4"/>
        </w:rPr>
        <w:t xml:space="preserve"> </w:t>
      </w:r>
      <w:r>
        <w:t>collect</w:t>
      </w:r>
      <w:r>
        <w:rPr>
          <w:spacing w:val="-4"/>
        </w:rPr>
        <w:t xml:space="preserve"> </w:t>
      </w:r>
      <w:r>
        <w:t>information to appropriately monitor and provide a process for a survey vendor to appeal HHS’ decision to not approve a QHP Enrollee Survey vendor application.</w:t>
      </w:r>
    </w:p>
    <w:p w:rsidR="00B41E06" w14:paraId="2B7FB6F6" w14:textId="77777777">
      <w:pPr>
        <w:pStyle w:val="BodyText"/>
        <w:spacing w:before="0"/>
        <w:rPr>
          <w:sz w:val="20"/>
        </w:rPr>
      </w:pPr>
    </w:p>
    <w:p w:rsidR="00B41E06" w14:paraId="5D9AB55C" w14:textId="77777777">
      <w:pPr>
        <w:pStyle w:val="BodyText"/>
        <w:spacing w:before="0"/>
        <w:rPr>
          <w:sz w:val="20"/>
        </w:rPr>
      </w:pPr>
    </w:p>
    <w:p w:rsidR="00B41E06" w14:paraId="132C7AE4" w14:textId="77777777">
      <w:pPr>
        <w:pStyle w:val="BodyText"/>
        <w:spacing w:before="0"/>
        <w:rPr>
          <w:sz w:val="20"/>
        </w:rPr>
      </w:pPr>
    </w:p>
    <w:p w:rsidR="00B41E06" w14:paraId="2C7348F5" w14:textId="77777777">
      <w:pPr>
        <w:pStyle w:val="BodyText"/>
        <w:spacing w:before="0"/>
        <w:rPr>
          <w:sz w:val="20"/>
        </w:rPr>
      </w:pPr>
    </w:p>
    <w:p w:rsidR="00B41E06" w14:paraId="5DC2A775" w14:textId="77777777">
      <w:pPr>
        <w:pStyle w:val="BodyText"/>
        <w:spacing w:before="106"/>
        <w:rPr>
          <w:sz w:val="20"/>
        </w:rPr>
      </w:pPr>
      <w:r>
        <w:rPr>
          <w:noProof/>
          <w:sz w:val="20"/>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229116</wp:posOffset>
                </wp:positionV>
                <wp:extent cx="1828800" cy="762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7" style="width:2in;height:0.6pt;margin-top:18.05pt;margin-left:1in;mso-position-horizontal-relative:page;mso-wrap-distance-bottom:0;mso-wrap-distance-left:0;mso-wrap-distance-right:0;mso-wrap-distance-top:0;mso-wrap-style:square;position:absolute;visibility:visible;v-text-anchor:top;z-index:-251642880" coordsize="1828800,7620" path="m1828800,l,,,7607l1828800,7607l1828800,xe" fillcolor="black" stroked="f">
                <v:path arrowok="t"/>
                <w10:wrap type="topAndBottom"/>
              </v:shape>
            </w:pict>
          </mc:Fallback>
        </mc:AlternateContent>
      </w:r>
    </w:p>
    <w:p w:rsidR="00B41E06" w14:paraId="0F9F2626" w14:textId="77777777">
      <w:pPr>
        <w:spacing w:before="101"/>
        <w:ind w:left="360" w:right="2300" w:hanging="1"/>
        <w:rPr>
          <w:sz w:val="20"/>
        </w:rPr>
      </w:pPr>
      <w:r>
        <w:rPr>
          <w:sz w:val="20"/>
          <w:vertAlign w:val="superscript"/>
        </w:rPr>
        <w:t>1</w:t>
      </w:r>
      <w:r>
        <w:rPr>
          <w:sz w:val="20"/>
        </w:rPr>
        <w:t xml:space="preserve"> For more information regarding the CMS National Quality Strategy, please visit: </w:t>
      </w:r>
      <w:r>
        <w:rPr>
          <w:spacing w:val="-2"/>
          <w:sz w:val="20"/>
        </w:rPr>
        <w:t>https</w:t>
      </w:r>
      <w:hyperlink r:id="rId4">
        <w:r>
          <w:rPr>
            <w:spacing w:val="-2"/>
            <w:sz w:val="20"/>
          </w:rPr>
          <w:t>://www.cms.gov/medicare/quality/meaningful-measures-initiative/cms-quality-strategy.</w:t>
        </w:r>
      </w:hyperlink>
    </w:p>
    <w:p w:rsidR="00B41E06" w14:paraId="67872FD5" w14:textId="77777777">
      <w:pPr>
        <w:spacing w:before="61"/>
        <w:ind w:left="360"/>
        <w:rPr>
          <w:sz w:val="20"/>
        </w:rPr>
      </w:pPr>
      <w:r>
        <w:rPr>
          <w:sz w:val="20"/>
          <w:vertAlign w:val="superscript"/>
        </w:rPr>
        <w:t>2</w:t>
      </w:r>
      <w:r>
        <w:rPr>
          <w:spacing w:val="-6"/>
          <w:sz w:val="20"/>
        </w:rPr>
        <w:t xml:space="preserve"> </w:t>
      </w:r>
      <w:r>
        <w:rPr>
          <w:sz w:val="20"/>
        </w:rPr>
        <w:t>The</w:t>
      </w:r>
      <w:r>
        <w:rPr>
          <w:spacing w:val="-5"/>
          <w:sz w:val="20"/>
        </w:rPr>
        <w:t xml:space="preserve"> </w:t>
      </w:r>
      <w:r>
        <w:rPr>
          <w:sz w:val="20"/>
        </w:rPr>
        <w:t>Exchanges</w:t>
      </w:r>
      <w:r>
        <w:rPr>
          <w:spacing w:val="-6"/>
          <w:sz w:val="20"/>
        </w:rPr>
        <w:t xml:space="preserve"> </w:t>
      </w:r>
      <w:r>
        <w:rPr>
          <w:sz w:val="20"/>
        </w:rPr>
        <w:t>are</w:t>
      </w:r>
      <w:r>
        <w:rPr>
          <w:spacing w:val="-5"/>
          <w:sz w:val="20"/>
        </w:rPr>
        <w:t xml:space="preserve"> </w:t>
      </w:r>
      <w:r>
        <w:rPr>
          <w:sz w:val="20"/>
        </w:rPr>
        <w:t>also</w:t>
      </w:r>
      <w:r>
        <w:rPr>
          <w:spacing w:val="-6"/>
          <w:sz w:val="20"/>
        </w:rPr>
        <w:t xml:space="preserve"> </w:t>
      </w:r>
      <w:r>
        <w:rPr>
          <w:sz w:val="20"/>
        </w:rPr>
        <w:t>referred</w:t>
      </w:r>
      <w:r>
        <w:rPr>
          <w:spacing w:val="-4"/>
          <w:sz w:val="20"/>
        </w:rPr>
        <w:t xml:space="preserve"> </w:t>
      </w:r>
      <w:r>
        <w:rPr>
          <w:sz w:val="20"/>
        </w:rPr>
        <w:t>to</w:t>
      </w:r>
      <w:r>
        <w:rPr>
          <w:spacing w:val="-4"/>
          <w:sz w:val="20"/>
        </w:rPr>
        <w:t xml:space="preserve"> </w:t>
      </w:r>
      <w:r>
        <w:rPr>
          <w:sz w:val="20"/>
        </w:rPr>
        <w:t>as</w:t>
      </w:r>
      <w:r>
        <w:rPr>
          <w:spacing w:val="-6"/>
          <w:sz w:val="20"/>
        </w:rPr>
        <w:t xml:space="preserve"> </w:t>
      </w:r>
      <w:r>
        <w:rPr>
          <w:sz w:val="20"/>
        </w:rPr>
        <w:t>the</w:t>
      </w:r>
      <w:r>
        <w:rPr>
          <w:spacing w:val="-5"/>
          <w:sz w:val="20"/>
        </w:rPr>
        <w:t xml:space="preserve"> </w:t>
      </w:r>
      <w:r>
        <w:rPr>
          <w:sz w:val="20"/>
        </w:rPr>
        <w:t>“Marketplace”</w:t>
      </w:r>
      <w:r>
        <w:rPr>
          <w:spacing w:val="-6"/>
          <w:sz w:val="20"/>
        </w:rPr>
        <w:t xml:space="preserve"> </w:t>
      </w:r>
      <w:r>
        <w:rPr>
          <w:sz w:val="20"/>
        </w:rPr>
        <w:t>or</w:t>
      </w:r>
      <w:r>
        <w:rPr>
          <w:spacing w:val="-4"/>
          <w:sz w:val="20"/>
        </w:rPr>
        <w:t xml:space="preserve"> </w:t>
      </w:r>
      <w:r>
        <w:rPr>
          <w:sz w:val="20"/>
        </w:rPr>
        <w:t>the</w:t>
      </w:r>
      <w:r>
        <w:rPr>
          <w:spacing w:val="-5"/>
          <w:sz w:val="20"/>
        </w:rPr>
        <w:t xml:space="preserve"> </w:t>
      </w:r>
      <w:r>
        <w:rPr>
          <w:sz w:val="20"/>
        </w:rPr>
        <w:t>“Marketplaces”</w:t>
      </w:r>
      <w:r>
        <w:rPr>
          <w:spacing w:val="-5"/>
          <w:sz w:val="20"/>
        </w:rPr>
        <w:t xml:space="preserve"> </w:t>
      </w:r>
      <w:r>
        <w:rPr>
          <w:sz w:val="20"/>
        </w:rPr>
        <w:t>within</w:t>
      </w:r>
      <w:r>
        <w:rPr>
          <w:spacing w:val="-4"/>
          <w:sz w:val="20"/>
        </w:rPr>
        <w:t xml:space="preserve"> </w:t>
      </w:r>
      <w:r>
        <w:rPr>
          <w:sz w:val="20"/>
        </w:rPr>
        <w:t>this</w:t>
      </w:r>
      <w:r>
        <w:rPr>
          <w:spacing w:val="-8"/>
          <w:sz w:val="20"/>
        </w:rPr>
        <w:t xml:space="preserve"> </w:t>
      </w:r>
      <w:r>
        <w:rPr>
          <w:spacing w:val="-2"/>
          <w:sz w:val="20"/>
        </w:rPr>
        <w:t>document.</w:t>
      </w:r>
    </w:p>
    <w:p w:rsidR="00B41E06" w14:paraId="4842E8C7" w14:textId="77777777">
      <w:pPr>
        <w:rPr>
          <w:sz w:val="20"/>
        </w:rPr>
        <w:sectPr>
          <w:type w:val="continuous"/>
          <w:pgSz w:w="12240" w:h="15840"/>
          <w:pgMar w:top="1380" w:right="1080" w:bottom="280" w:left="1080" w:header="720" w:footer="720" w:gutter="0"/>
          <w:cols w:space="720"/>
        </w:sectPr>
      </w:pPr>
    </w:p>
    <w:p w:rsidR="00B41E06" w14:paraId="49E8F16F" w14:textId="77777777">
      <w:pPr>
        <w:pStyle w:val="BodyText"/>
        <w:spacing w:before="79"/>
        <w:ind w:left="360" w:right="419"/>
      </w:pPr>
      <w:r>
        <w:t>We updated this ICR to account for the associated burden of the refinements to the QRS program,</w:t>
      </w:r>
      <w:r>
        <w:rPr>
          <w:spacing w:val="-3"/>
        </w:rPr>
        <w:t xml:space="preserve"> </w:t>
      </w:r>
      <w:r>
        <w:t>including</w:t>
      </w:r>
      <w:r>
        <w:rPr>
          <w:spacing w:val="-3"/>
        </w:rPr>
        <w:t xml:space="preserve"> </w:t>
      </w:r>
      <w:r>
        <w:t>changes</w:t>
      </w:r>
      <w:r>
        <w:rPr>
          <w:spacing w:val="-3"/>
        </w:rPr>
        <w:t xml:space="preserve"> </w:t>
      </w:r>
      <w:r>
        <w:t>to</w:t>
      </w:r>
      <w:r>
        <w:rPr>
          <w:spacing w:val="-3"/>
        </w:rPr>
        <w:t xml:space="preserve"> </w:t>
      </w:r>
      <w:r>
        <w:t>the</w:t>
      </w:r>
      <w:r>
        <w:rPr>
          <w:spacing w:val="-4"/>
        </w:rPr>
        <w:t xml:space="preserve"> </w:t>
      </w:r>
      <w:r>
        <w:t>QRS</w:t>
      </w:r>
      <w:r>
        <w:rPr>
          <w:spacing w:val="-3"/>
        </w:rPr>
        <w:t xml:space="preserve"> </w:t>
      </w:r>
      <w:r>
        <w:t>measure</w:t>
      </w:r>
      <w:r>
        <w:rPr>
          <w:spacing w:val="-2"/>
        </w:rPr>
        <w:t xml:space="preserve"> </w:t>
      </w:r>
      <w:r>
        <w:t>set,</w:t>
      </w:r>
      <w:r>
        <w:rPr>
          <w:spacing w:val="-3"/>
        </w:rPr>
        <w:t xml:space="preserve"> </w:t>
      </w:r>
      <w:r>
        <w:t>data</w:t>
      </w:r>
      <w:r>
        <w:rPr>
          <w:spacing w:val="-4"/>
        </w:rPr>
        <w:t xml:space="preserve"> </w:t>
      </w:r>
      <w:r>
        <w:t>collection</w:t>
      </w:r>
      <w:r>
        <w:rPr>
          <w:spacing w:val="-3"/>
        </w:rPr>
        <w:t xml:space="preserve"> </w:t>
      </w:r>
      <w:r>
        <w:t>process,</w:t>
      </w:r>
      <w:r>
        <w:rPr>
          <w:spacing w:val="-3"/>
        </w:rPr>
        <w:t xml:space="preserve"> </w:t>
      </w:r>
      <w:r>
        <w:t>and</w:t>
      </w:r>
      <w:r>
        <w:rPr>
          <w:spacing w:val="-3"/>
        </w:rPr>
        <w:t xml:space="preserve"> </w:t>
      </w:r>
      <w:r>
        <w:t>number</w:t>
      </w:r>
      <w:r>
        <w:rPr>
          <w:spacing w:val="-4"/>
        </w:rPr>
        <w:t xml:space="preserve"> </w:t>
      </w:r>
      <w:r>
        <w:t>of QHPs participating in the QRS and QHP Enrollee Survey annually.</w:t>
      </w:r>
    </w:p>
    <w:p w:rsidR="00B41E06" w14:paraId="088312AF" w14:textId="77777777">
      <w:pPr>
        <w:pStyle w:val="BodyText"/>
        <w:ind w:left="360" w:right="365"/>
      </w:pPr>
      <w:r>
        <w:t>We</w:t>
      </w:r>
      <w:r>
        <w:rPr>
          <w:spacing w:val="-4"/>
        </w:rPr>
        <w:t xml:space="preserve"> </w:t>
      </w:r>
      <w:r>
        <w:t>are</w:t>
      </w:r>
      <w:r>
        <w:rPr>
          <w:spacing w:val="-4"/>
        </w:rPr>
        <w:t xml:space="preserve"> </w:t>
      </w:r>
      <w:r>
        <w:t>requesting</w:t>
      </w:r>
      <w:r>
        <w:rPr>
          <w:spacing w:val="-3"/>
        </w:rPr>
        <w:t xml:space="preserve"> </w:t>
      </w:r>
      <w:r>
        <w:t>approval</w:t>
      </w:r>
      <w:r>
        <w:rPr>
          <w:spacing w:val="-3"/>
        </w:rPr>
        <w:t xml:space="preserve"> </w:t>
      </w:r>
      <w:r>
        <w:t>for</w:t>
      </w:r>
      <w:r>
        <w:rPr>
          <w:spacing w:val="-4"/>
        </w:rPr>
        <w:t xml:space="preserve"> </w:t>
      </w:r>
      <w:r>
        <w:t>this</w:t>
      </w:r>
      <w:r>
        <w:rPr>
          <w:spacing w:val="-3"/>
        </w:rPr>
        <w:t xml:space="preserve"> </w:t>
      </w:r>
      <w:r>
        <w:t>updated</w:t>
      </w:r>
      <w:r>
        <w:rPr>
          <w:spacing w:val="-1"/>
        </w:rPr>
        <w:t xml:space="preserve"> </w:t>
      </w:r>
      <w:r>
        <w:t>ICR</w:t>
      </w:r>
      <w:r>
        <w:rPr>
          <w:spacing w:val="-3"/>
        </w:rPr>
        <w:t xml:space="preserve"> </w:t>
      </w:r>
      <w:r>
        <w:t>to</w:t>
      </w:r>
      <w:r>
        <w:rPr>
          <w:spacing w:val="-3"/>
        </w:rPr>
        <w:t xml:space="preserve"> </w:t>
      </w:r>
      <w:r>
        <w:t>extend</w:t>
      </w:r>
      <w:r>
        <w:rPr>
          <w:spacing w:val="-3"/>
        </w:rPr>
        <w:t xml:space="preserve"> </w:t>
      </w:r>
      <w:r>
        <w:t>past</w:t>
      </w:r>
      <w:r>
        <w:rPr>
          <w:spacing w:val="-3"/>
        </w:rPr>
        <w:t xml:space="preserve"> </w:t>
      </w:r>
      <w:r>
        <w:t>the</w:t>
      </w:r>
      <w:r>
        <w:rPr>
          <w:spacing w:val="-5"/>
        </w:rPr>
        <w:t xml:space="preserve"> </w:t>
      </w:r>
      <w:r>
        <w:t>current</w:t>
      </w:r>
      <w:r>
        <w:rPr>
          <w:spacing w:val="-1"/>
        </w:rPr>
        <w:t xml:space="preserve"> </w:t>
      </w:r>
      <w:r>
        <w:t>expiration</w:t>
      </w:r>
      <w:r>
        <w:rPr>
          <w:spacing w:val="-3"/>
        </w:rPr>
        <w:t xml:space="preserve"> </w:t>
      </w:r>
      <w:r>
        <w:t>date (August 31, 2025) for an additional three years (2025–2028).</w:t>
      </w:r>
    </w:p>
    <w:p w:rsidR="00B41E06" w14:paraId="27707182" w14:textId="77777777">
      <w:pPr>
        <w:pStyle w:val="Heading1"/>
        <w:numPr>
          <w:ilvl w:val="0"/>
          <w:numId w:val="5"/>
        </w:numPr>
        <w:tabs>
          <w:tab w:val="left" w:pos="907"/>
        </w:tabs>
        <w:ind w:hanging="547"/>
      </w:pPr>
      <w:bookmarkStart w:id="4" w:name="2._Information_Users"/>
      <w:bookmarkEnd w:id="4"/>
      <w:r>
        <w:t>Information</w:t>
      </w:r>
      <w:r>
        <w:rPr>
          <w:spacing w:val="-2"/>
        </w:rPr>
        <w:t xml:space="preserve"> </w:t>
      </w:r>
      <w:r>
        <w:rPr>
          <w:spacing w:val="-4"/>
        </w:rPr>
        <w:t>Users</w:t>
      </w:r>
    </w:p>
    <w:p w:rsidR="00B41E06" w14:paraId="1FBF48F8" w14:textId="77777777">
      <w:pPr>
        <w:pStyle w:val="ListParagraph"/>
        <w:numPr>
          <w:ilvl w:val="0"/>
          <w:numId w:val="4"/>
        </w:numPr>
        <w:tabs>
          <w:tab w:val="left" w:pos="1439"/>
        </w:tabs>
        <w:ind w:left="1439" w:hanging="499"/>
        <w:jc w:val="left"/>
        <w:rPr>
          <w:i/>
          <w:sz w:val="24"/>
        </w:rPr>
      </w:pPr>
      <w:r>
        <w:rPr>
          <w:i/>
          <w:sz w:val="24"/>
        </w:rPr>
        <w:t>Implementation</w:t>
      </w:r>
      <w:r>
        <w:rPr>
          <w:i/>
          <w:spacing w:val="-4"/>
          <w:sz w:val="24"/>
        </w:rPr>
        <w:t xml:space="preserve"> </w:t>
      </w:r>
      <w:r>
        <w:rPr>
          <w:i/>
          <w:sz w:val="24"/>
        </w:rPr>
        <w:t>and</w:t>
      </w:r>
      <w:r>
        <w:rPr>
          <w:i/>
          <w:spacing w:val="-2"/>
          <w:sz w:val="24"/>
        </w:rPr>
        <w:t xml:space="preserve"> </w:t>
      </w:r>
      <w:r>
        <w:rPr>
          <w:i/>
          <w:sz w:val="24"/>
        </w:rPr>
        <w:t>Reporting</w:t>
      </w:r>
      <w:r>
        <w:rPr>
          <w:i/>
          <w:spacing w:val="-1"/>
          <w:sz w:val="24"/>
        </w:rPr>
        <w:t xml:space="preserve"> </w:t>
      </w:r>
      <w:r>
        <w:rPr>
          <w:i/>
          <w:sz w:val="24"/>
        </w:rPr>
        <w:t>for</w:t>
      </w:r>
      <w:r>
        <w:rPr>
          <w:i/>
          <w:spacing w:val="-2"/>
          <w:sz w:val="24"/>
        </w:rPr>
        <w:t xml:space="preserve"> </w:t>
      </w:r>
      <w:r>
        <w:rPr>
          <w:i/>
          <w:sz w:val="24"/>
        </w:rPr>
        <w:t>the</w:t>
      </w:r>
      <w:r>
        <w:rPr>
          <w:i/>
          <w:spacing w:val="-3"/>
          <w:sz w:val="24"/>
        </w:rPr>
        <w:t xml:space="preserve"> </w:t>
      </w:r>
      <w:r>
        <w:rPr>
          <w:i/>
          <w:sz w:val="24"/>
        </w:rPr>
        <w:t>Quality</w:t>
      </w:r>
      <w:r>
        <w:rPr>
          <w:i/>
          <w:spacing w:val="-2"/>
          <w:sz w:val="24"/>
        </w:rPr>
        <w:t xml:space="preserve"> </w:t>
      </w:r>
      <w:r>
        <w:rPr>
          <w:i/>
          <w:sz w:val="24"/>
        </w:rPr>
        <w:t>Rating</w:t>
      </w:r>
      <w:r>
        <w:rPr>
          <w:i/>
          <w:spacing w:val="-2"/>
          <w:sz w:val="24"/>
        </w:rPr>
        <w:t xml:space="preserve"> </w:t>
      </w:r>
      <w:r>
        <w:rPr>
          <w:i/>
          <w:sz w:val="24"/>
        </w:rPr>
        <w:t>System</w:t>
      </w:r>
      <w:r>
        <w:rPr>
          <w:i/>
          <w:spacing w:val="-2"/>
          <w:sz w:val="24"/>
        </w:rPr>
        <w:t xml:space="preserve"> (QRS)</w:t>
      </w:r>
    </w:p>
    <w:p w:rsidR="00B41E06" w14:paraId="085F032D" w14:textId="77777777">
      <w:pPr>
        <w:pStyle w:val="BodyText"/>
        <w:ind w:left="360" w:right="427"/>
      </w:pPr>
      <w:r>
        <w:t>The QRS quality measure data will be collected from QHP issuers on an annual basis so HHS can calculate scores and quality ratings for QHPs, as required by section 1311(c)(3) of the Patient Protection and Affordable Care Act. This quality rating information will be displayed on Exchange</w:t>
      </w:r>
      <w:r>
        <w:rPr>
          <w:spacing w:val="-4"/>
        </w:rPr>
        <w:t xml:space="preserve"> </w:t>
      </w:r>
      <w:r>
        <w:t>websites</w:t>
      </w:r>
      <w:r>
        <w:rPr>
          <w:spacing w:val="-3"/>
        </w:rPr>
        <w:t xml:space="preserve"> </w:t>
      </w:r>
      <w:r>
        <w:t>for</w:t>
      </w:r>
      <w:r>
        <w:rPr>
          <w:spacing w:val="-3"/>
        </w:rPr>
        <w:t xml:space="preserve"> </w:t>
      </w:r>
      <w:r>
        <w:t>consumers</w:t>
      </w:r>
      <w:r>
        <w:rPr>
          <w:spacing w:val="-3"/>
        </w:rPr>
        <w:t xml:space="preserve"> </w:t>
      </w:r>
      <w:r>
        <w:t>to</w:t>
      </w:r>
      <w:r>
        <w:rPr>
          <w:spacing w:val="-3"/>
        </w:rPr>
        <w:t xml:space="preserve"> </w:t>
      </w:r>
      <w:r>
        <w:t>have</w:t>
      </w:r>
      <w:r>
        <w:rPr>
          <w:spacing w:val="-4"/>
        </w:rPr>
        <w:t xml:space="preserve"> </w:t>
      </w:r>
      <w:r>
        <w:t>QHP</w:t>
      </w:r>
      <w:r>
        <w:rPr>
          <w:spacing w:val="-3"/>
        </w:rPr>
        <w:t xml:space="preserve"> </w:t>
      </w:r>
      <w:r>
        <w:t>rating</w:t>
      </w:r>
      <w:r>
        <w:rPr>
          <w:spacing w:val="-3"/>
        </w:rPr>
        <w:t xml:space="preserve"> </w:t>
      </w:r>
      <w:r>
        <w:t>information,</w:t>
      </w:r>
      <w:r>
        <w:rPr>
          <w:spacing w:val="-4"/>
        </w:rPr>
        <w:t xml:space="preserve"> </w:t>
      </w:r>
      <w:r>
        <w:t>including</w:t>
      </w:r>
      <w:r>
        <w:rPr>
          <w:spacing w:val="-3"/>
        </w:rPr>
        <w:t xml:space="preserve"> </w:t>
      </w:r>
      <w:r>
        <w:t>health</w:t>
      </w:r>
      <w:r>
        <w:rPr>
          <w:spacing w:val="-3"/>
        </w:rPr>
        <w:t xml:space="preserve"> </w:t>
      </w:r>
      <w:r>
        <w:t>care</w:t>
      </w:r>
      <w:r>
        <w:rPr>
          <w:spacing w:val="-4"/>
        </w:rPr>
        <w:t xml:space="preserve"> </w:t>
      </w:r>
      <w:r>
        <w:t>quality, health outcomes, consumer experience, accessibility of care, and affordability of care. This information is essential to inform consumer</w:t>
      </w:r>
      <w:r>
        <w:rPr>
          <w:spacing w:val="-1"/>
        </w:rPr>
        <w:t xml:space="preserve"> </w:t>
      </w:r>
      <w:r>
        <w:t>choices and to perform certain required functions of an</w:t>
      </w:r>
      <w:r>
        <w:rPr>
          <w:spacing w:val="-2"/>
        </w:rPr>
        <w:t xml:space="preserve"> </w:t>
      </w:r>
      <w:r>
        <w:t>Exchange</w:t>
      </w:r>
      <w:r>
        <w:rPr>
          <w:spacing w:val="-3"/>
        </w:rPr>
        <w:t xml:space="preserve"> </w:t>
      </w:r>
      <w:r>
        <w:t>(e.g., QHP</w:t>
      </w:r>
      <w:r>
        <w:rPr>
          <w:spacing w:val="-2"/>
        </w:rPr>
        <w:t xml:space="preserve"> </w:t>
      </w:r>
      <w:r>
        <w:t>certification).</w:t>
      </w:r>
      <w:r>
        <w:rPr>
          <w:spacing w:val="-2"/>
        </w:rPr>
        <w:t xml:space="preserve"> </w:t>
      </w:r>
      <w:r>
        <w:t>HHS</w:t>
      </w:r>
      <w:r>
        <w:rPr>
          <w:spacing w:val="-2"/>
        </w:rPr>
        <w:t xml:space="preserve"> </w:t>
      </w:r>
      <w:r>
        <w:t>will</w:t>
      </w:r>
      <w:r>
        <w:rPr>
          <w:spacing w:val="-2"/>
        </w:rPr>
        <w:t xml:space="preserve"> </w:t>
      </w:r>
      <w:r>
        <w:t>use</w:t>
      </w:r>
      <w:r>
        <w:rPr>
          <w:spacing w:val="-3"/>
        </w:rPr>
        <w:t xml:space="preserve"> </w:t>
      </w:r>
      <w:r>
        <w:t>the</w:t>
      </w:r>
      <w:r>
        <w:rPr>
          <w:spacing w:val="-3"/>
        </w:rPr>
        <w:t xml:space="preserve"> </w:t>
      </w:r>
      <w:r>
        <w:t>validated</w:t>
      </w:r>
      <w:r>
        <w:rPr>
          <w:spacing w:val="-2"/>
        </w:rPr>
        <w:t xml:space="preserve"> </w:t>
      </w:r>
      <w:r>
        <w:t>data</w:t>
      </w:r>
      <w:r>
        <w:rPr>
          <w:spacing w:val="-3"/>
        </w:rPr>
        <w:t xml:space="preserve"> </w:t>
      </w:r>
      <w:r>
        <w:t>that is</w:t>
      </w:r>
      <w:r>
        <w:rPr>
          <w:spacing w:val="-2"/>
        </w:rPr>
        <w:t xml:space="preserve"> </w:t>
      </w:r>
      <w:r>
        <w:t>submitted</w:t>
      </w:r>
      <w:r>
        <w:rPr>
          <w:spacing w:val="-2"/>
        </w:rPr>
        <w:t xml:space="preserve"> </w:t>
      </w:r>
      <w:r>
        <w:t>by</w:t>
      </w:r>
      <w:r>
        <w:rPr>
          <w:spacing w:val="-2"/>
        </w:rPr>
        <w:t xml:space="preserve"> </w:t>
      </w:r>
      <w:r>
        <w:t>QHP issuers to calculate scores and ratings based on a standardized methodology found in the annual QRS and QHP Enrollee Survey Technical Guidance.</w:t>
      </w:r>
    </w:p>
    <w:p w:rsidR="00B41E06" w14:paraId="400987DA" w14:textId="77777777">
      <w:pPr>
        <w:pStyle w:val="ListParagraph"/>
        <w:numPr>
          <w:ilvl w:val="0"/>
          <w:numId w:val="4"/>
        </w:numPr>
        <w:tabs>
          <w:tab w:val="left" w:pos="1440"/>
        </w:tabs>
        <w:ind w:right="781" w:hanging="581"/>
        <w:jc w:val="left"/>
        <w:rPr>
          <w:i/>
          <w:sz w:val="24"/>
        </w:rPr>
      </w:pPr>
      <w:r>
        <w:rPr>
          <w:i/>
          <w:sz w:val="24"/>
        </w:rPr>
        <w:t>Implementation</w:t>
      </w:r>
      <w:r>
        <w:rPr>
          <w:i/>
          <w:spacing w:val="-4"/>
          <w:sz w:val="24"/>
        </w:rPr>
        <w:t xml:space="preserve"> </w:t>
      </w:r>
      <w:r>
        <w:rPr>
          <w:i/>
          <w:sz w:val="24"/>
        </w:rPr>
        <w:t>and</w:t>
      </w:r>
      <w:r>
        <w:rPr>
          <w:i/>
          <w:spacing w:val="-4"/>
          <w:sz w:val="24"/>
        </w:rPr>
        <w:t xml:space="preserve"> </w:t>
      </w:r>
      <w:r>
        <w:rPr>
          <w:i/>
          <w:sz w:val="24"/>
        </w:rPr>
        <w:t>Reporting</w:t>
      </w:r>
      <w:r>
        <w:rPr>
          <w:i/>
          <w:spacing w:val="-4"/>
          <w:sz w:val="24"/>
        </w:rPr>
        <w:t xml:space="preserve"> </w:t>
      </w:r>
      <w:r>
        <w:rPr>
          <w:i/>
          <w:sz w:val="24"/>
        </w:rPr>
        <w:t>for</w:t>
      </w:r>
      <w:r>
        <w:rPr>
          <w:i/>
          <w:spacing w:val="-4"/>
          <w:sz w:val="24"/>
        </w:rPr>
        <w:t xml:space="preserve"> </w:t>
      </w:r>
      <w:r>
        <w:rPr>
          <w:i/>
          <w:sz w:val="24"/>
        </w:rPr>
        <w:t>the</w:t>
      </w:r>
      <w:r>
        <w:rPr>
          <w:i/>
          <w:spacing w:val="-5"/>
          <w:sz w:val="24"/>
        </w:rPr>
        <w:t xml:space="preserve"> </w:t>
      </w:r>
      <w:r>
        <w:rPr>
          <w:i/>
          <w:sz w:val="24"/>
        </w:rPr>
        <w:t>Qualified</w:t>
      </w:r>
      <w:r>
        <w:rPr>
          <w:i/>
          <w:spacing w:val="-7"/>
          <w:sz w:val="24"/>
        </w:rPr>
        <w:t xml:space="preserve"> </w:t>
      </w:r>
      <w:r>
        <w:rPr>
          <w:i/>
          <w:sz w:val="24"/>
        </w:rPr>
        <w:t>Health</w:t>
      </w:r>
      <w:r>
        <w:rPr>
          <w:i/>
          <w:spacing w:val="-4"/>
          <w:sz w:val="24"/>
        </w:rPr>
        <w:t xml:space="preserve"> </w:t>
      </w:r>
      <w:r>
        <w:rPr>
          <w:i/>
          <w:sz w:val="24"/>
        </w:rPr>
        <w:t>Plan</w:t>
      </w:r>
      <w:r>
        <w:rPr>
          <w:i/>
          <w:spacing w:val="-4"/>
          <w:sz w:val="24"/>
        </w:rPr>
        <w:t xml:space="preserve"> </w:t>
      </w:r>
      <w:r>
        <w:rPr>
          <w:i/>
          <w:sz w:val="24"/>
        </w:rPr>
        <w:t>Enrollee</w:t>
      </w:r>
      <w:r>
        <w:rPr>
          <w:i/>
          <w:spacing w:val="-5"/>
          <w:sz w:val="24"/>
        </w:rPr>
        <w:t xml:space="preserve"> </w:t>
      </w:r>
      <w:r>
        <w:rPr>
          <w:i/>
          <w:sz w:val="24"/>
        </w:rPr>
        <w:t>Experience Survey (QHP Enrollee Survey)</w:t>
      </w:r>
    </w:p>
    <w:p w:rsidR="00B41E06" w14:paraId="48AD7A01" w14:textId="77777777">
      <w:pPr>
        <w:pStyle w:val="BodyText"/>
        <w:ind w:left="360" w:right="405"/>
      </w:pPr>
      <w:r>
        <w:rPr>
          <w:noProof/>
        </w:rPr>
        <mc:AlternateContent>
          <mc:Choice Requires="wps">
            <w:drawing>
              <wp:anchor distT="0" distB="0" distL="0" distR="0" simplePos="0" relativeHeight="251662336" behindDoc="1" locked="0" layoutInCell="1" allowOverlap="1">
                <wp:simplePos x="0" y="0"/>
                <wp:positionH relativeFrom="page">
                  <wp:posOffset>1257300</wp:posOffset>
                </wp:positionH>
                <wp:positionV relativeFrom="paragraph">
                  <wp:posOffset>1258810</wp:posOffset>
                </wp:positionV>
                <wp:extent cx="12065" cy="14604"/>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65" cy="14604"/>
                        </a:xfrm>
                        <a:prstGeom prst="rect">
                          <a:avLst/>
                        </a:prstGeom>
                      </wps:spPr>
                      <wps:txbx>
                        <w:txbxContent>
                          <w:p w:rsidR="00B41E06" w14:textId="77777777">
                            <w:pPr>
                              <w:spacing w:line="23" w:lineRule="exact"/>
                              <w:rPr>
                                <w:rFonts w:ascii="Cambria"/>
                                <w:sz w:val="2"/>
                              </w:rPr>
                            </w:pPr>
                            <w:r>
                              <w:rPr>
                                <w:rFonts w:ascii="Cambria"/>
                                <w:spacing w:val="-8"/>
                                <w:sz w:val="2"/>
                              </w:rPr>
                              <w:t>2F</w:t>
                            </w:r>
                          </w:p>
                        </w:txbxContent>
                      </wps:txbx>
                      <wps:bodyPr wrap="square" lIns="0" tIns="0" rIns="0" bIns="0" rtlCol="0"/>
                    </wps:wsp>
                  </a:graphicData>
                </a:graphic>
              </wp:anchor>
            </w:drawing>
          </mc:Choice>
          <mc:Fallback>
            <w:pict>
              <v:shape id="Textbox 5" o:spid="_x0000_s1028" type="#_x0000_t202" style="width:0.95pt;height:1.15pt;margin-top:99.1pt;margin-left:99pt;mso-position-horizontal-relative:page;mso-wrap-distance-bottom:0;mso-wrap-distance-left:0;mso-wrap-distance-right:0;mso-wrap-distance-top:0;mso-wrap-style:square;position:absolute;visibility:visible;v-text-anchor:top;z-index:-251653120" filled="f" stroked="f">
                <v:textbox inset="0,0,0,0">
                  <w:txbxContent>
                    <w:p w:rsidR="00B41E06" w14:paraId="33DAD826" w14:textId="77777777">
                      <w:pPr>
                        <w:spacing w:line="23" w:lineRule="exact"/>
                        <w:rPr>
                          <w:rFonts w:ascii="Cambria"/>
                          <w:sz w:val="2"/>
                        </w:rPr>
                      </w:pPr>
                      <w:r>
                        <w:rPr>
                          <w:rFonts w:ascii="Cambria"/>
                          <w:spacing w:val="-8"/>
                          <w:sz w:val="2"/>
                        </w:rPr>
                        <w:t>2F</w:t>
                      </w:r>
                    </w:p>
                  </w:txbxContent>
                </v:textbox>
              </v:shape>
            </w:pict>
          </mc:Fallback>
        </mc:AlternateContent>
      </w:r>
      <w:r>
        <w:t>The information collection associated with the implementation and reporting for the QHP Enrollee Survey, as outlined in §156.1125, includes the collection, validation, and submission of QHP Enrollee Survey data on an annual basis. The QHP Enrollee Survey provides member experience data, which is a fundamental aspect of measuring the overall quality of a QHP. The burden</w:t>
      </w:r>
      <w:r>
        <w:rPr>
          <w:spacing w:val="-4"/>
        </w:rPr>
        <w:t xml:space="preserve"> </w:t>
      </w:r>
      <w:r>
        <w:t>estimates</w:t>
      </w:r>
      <w:r>
        <w:rPr>
          <w:spacing w:val="-4"/>
        </w:rPr>
        <w:t xml:space="preserve"> </w:t>
      </w:r>
      <w:r>
        <w:t>and</w:t>
      </w:r>
      <w:r>
        <w:rPr>
          <w:spacing w:val="-2"/>
        </w:rPr>
        <w:t xml:space="preserve"> </w:t>
      </w:r>
      <w:r>
        <w:t>costs</w:t>
      </w:r>
      <w:r>
        <w:rPr>
          <w:spacing w:val="-4"/>
        </w:rPr>
        <w:t xml:space="preserve"> </w:t>
      </w:r>
      <w:r>
        <w:t>regarding</w:t>
      </w:r>
      <w:r>
        <w:rPr>
          <w:spacing w:val="-4"/>
        </w:rPr>
        <w:t xml:space="preserve"> </w:t>
      </w:r>
      <w:r>
        <w:t>survey</w:t>
      </w:r>
      <w:r>
        <w:rPr>
          <w:spacing w:val="-4"/>
        </w:rPr>
        <w:t xml:space="preserve"> </w:t>
      </w:r>
      <w:r>
        <w:t>respondents</w:t>
      </w:r>
      <w:r>
        <w:rPr>
          <w:spacing w:val="-4"/>
        </w:rPr>
        <w:t xml:space="preserve"> </w:t>
      </w:r>
      <w:r>
        <w:t>are</w:t>
      </w:r>
      <w:r>
        <w:rPr>
          <w:spacing w:val="-3"/>
        </w:rPr>
        <w:t xml:space="preserve"> </w:t>
      </w:r>
      <w:r>
        <w:t>already</w:t>
      </w:r>
      <w:r>
        <w:rPr>
          <w:spacing w:val="-2"/>
        </w:rPr>
        <w:t xml:space="preserve"> </w:t>
      </w:r>
      <w:r>
        <w:t>accounted</w:t>
      </w:r>
      <w:r>
        <w:rPr>
          <w:spacing w:val="-4"/>
        </w:rPr>
        <w:t xml:space="preserve"> </w:t>
      </w:r>
      <w:r>
        <w:t>for</w:t>
      </w:r>
      <w:r>
        <w:rPr>
          <w:spacing w:val="-5"/>
        </w:rPr>
        <w:t xml:space="preserve"> </w:t>
      </w:r>
      <w:r>
        <w:t>in</w:t>
      </w:r>
      <w:r>
        <w:rPr>
          <w:spacing w:val="-4"/>
        </w:rPr>
        <w:t xml:space="preserve"> </w:t>
      </w:r>
      <w:r>
        <w:t>the</w:t>
      </w:r>
      <w:r>
        <w:rPr>
          <w:spacing w:val="-5"/>
        </w:rPr>
        <w:t xml:space="preserve"> </w:t>
      </w:r>
      <w:r>
        <w:t>Federal Register Notice (FRN) dated July 7, 2023, and are approved under OMB Control No 0938-</w:t>
      </w:r>
      <w:r>
        <w:rPr>
          <w:spacing w:val="40"/>
        </w:rPr>
        <w:t xml:space="preserve"> </w:t>
      </w:r>
      <w:r>
        <w:t>1221.</w:t>
      </w:r>
      <w:r>
        <w:rPr>
          <w:spacing w:val="-39"/>
        </w:rPr>
        <w:t xml:space="preserve"> </w:t>
      </w:r>
      <w:r>
        <w:rPr>
          <w:vertAlign w:val="superscript"/>
        </w:rPr>
        <w:t>3</w:t>
      </w:r>
    </w:p>
    <w:p w:rsidR="00B41E06" w14:paraId="422E60F7" w14:textId="77777777">
      <w:pPr>
        <w:pStyle w:val="BodyText"/>
        <w:ind w:left="360" w:right="448"/>
        <w:jc w:val="both"/>
      </w:pPr>
      <w:r>
        <w:t>The</w:t>
      </w:r>
      <w:r>
        <w:rPr>
          <w:spacing w:val="-4"/>
        </w:rPr>
        <w:t xml:space="preserve"> </w:t>
      </w:r>
      <w:r>
        <w:t>QHP</w:t>
      </w:r>
      <w:r>
        <w:rPr>
          <w:spacing w:val="-3"/>
        </w:rPr>
        <w:t xml:space="preserve"> </w:t>
      </w:r>
      <w:r>
        <w:t>Enrollee</w:t>
      </w:r>
      <w:r>
        <w:rPr>
          <w:spacing w:val="-4"/>
        </w:rPr>
        <w:t xml:space="preserve"> </w:t>
      </w:r>
      <w:r>
        <w:t>Survey</w:t>
      </w:r>
      <w:r>
        <w:rPr>
          <w:spacing w:val="-3"/>
        </w:rPr>
        <w:t xml:space="preserve"> </w:t>
      </w:r>
      <w:r>
        <w:t>information</w:t>
      </w:r>
      <w:r>
        <w:rPr>
          <w:spacing w:val="-3"/>
        </w:rPr>
        <w:t xml:space="preserve"> </w:t>
      </w:r>
      <w:r>
        <w:t>submitted</w:t>
      </w:r>
      <w:r>
        <w:rPr>
          <w:spacing w:val="-3"/>
        </w:rPr>
        <w:t xml:space="preserve"> </w:t>
      </w:r>
      <w:r>
        <w:t>to</w:t>
      </w:r>
      <w:r>
        <w:rPr>
          <w:spacing w:val="-3"/>
        </w:rPr>
        <w:t xml:space="preserve"> </w:t>
      </w:r>
      <w:r>
        <w:t>HHS</w:t>
      </w:r>
      <w:r>
        <w:rPr>
          <w:spacing w:val="-3"/>
        </w:rPr>
        <w:t xml:space="preserve"> </w:t>
      </w:r>
      <w:r>
        <w:t>will</w:t>
      </w:r>
      <w:r>
        <w:rPr>
          <w:spacing w:val="-3"/>
        </w:rPr>
        <w:t xml:space="preserve"> </w:t>
      </w:r>
      <w:r>
        <w:t>be</w:t>
      </w:r>
      <w:r>
        <w:rPr>
          <w:spacing w:val="-4"/>
        </w:rPr>
        <w:t xml:space="preserve"> </w:t>
      </w:r>
      <w:r>
        <w:t>used</w:t>
      </w:r>
      <w:r>
        <w:rPr>
          <w:spacing w:val="-3"/>
        </w:rPr>
        <w:t xml:space="preserve"> </w:t>
      </w:r>
      <w:r>
        <w:t>by</w:t>
      </w:r>
      <w:r>
        <w:rPr>
          <w:spacing w:val="-3"/>
        </w:rPr>
        <w:t xml:space="preserve"> </w:t>
      </w:r>
      <w:r>
        <w:t>HHS</w:t>
      </w:r>
      <w:r>
        <w:rPr>
          <w:spacing w:val="-3"/>
        </w:rPr>
        <w:t xml:space="preserve"> </w:t>
      </w:r>
      <w:r>
        <w:t>to</w:t>
      </w:r>
      <w:r>
        <w:rPr>
          <w:spacing w:val="-3"/>
        </w:rPr>
        <w:t xml:space="preserve"> </w:t>
      </w:r>
      <w:r>
        <w:t>calculate</w:t>
      </w:r>
      <w:r>
        <w:rPr>
          <w:spacing w:val="-4"/>
        </w:rPr>
        <w:t xml:space="preserve"> </w:t>
      </w:r>
      <w:r>
        <w:t>QHP Enrollee</w:t>
      </w:r>
      <w:r>
        <w:rPr>
          <w:spacing w:val="-4"/>
        </w:rPr>
        <w:t xml:space="preserve"> </w:t>
      </w:r>
      <w:r>
        <w:t>Survey</w:t>
      </w:r>
      <w:r>
        <w:rPr>
          <w:spacing w:val="-3"/>
        </w:rPr>
        <w:t xml:space="preserve"> </w:t>
      </w:r>
      <w:r>
        <w:t>scores</w:t>
      </w:r>
      <w:r>
        <w:rPr>
          <w:spacing w:val="-3"/>
        </w:rPr>
        <w:t xml:space="preserve"> </w:t>
      </w:r>
      <w:r>
        <w:t>and</w:t>
      </w:r>
      <w:r>
        <w:rPr>
          <w:spacing w:val="-3"/>
        </w:rPr>
        <w:t xml:space="preserve"> </w:t>
      </w:r>
      <w:r>
        <w:t>benchmarks</w:t>
      </w:r>
      <w:r>
        <w:rPr>
          <w:spacing w:val="-3"/>
        </w:rPr>
        <w:t xml:space="preserve"> </w:t>
      </w:r>
      <w:r>
        <w:t>to</w:t>
      </w:r>
      <w:r>
        <w:rPr>
          <w:spacing w:val="-3"/>
        </w:rPr>
        <w:t xml:space="preserve"> </w:t>
      </w:r>
      <w:r>
        <w:t>send</w:t>
      </w:r>
      <w:r>
        <w:rPr>
          <w:spacing w:val="-3"/>
        </w:rPr>
        <w:t xml:space="preserve"> </w:t>
      </w:r>
      <w:r>
        <w:t>to</w:t>
      </w:r>
      <w:r>
        <w:rPr>
          <w:spacing w:val="-1"/>
        </w:rPr>
        <w:t xml:space="preserve"> </w:t>
      </w:r>
      <w:r>
        <w:t>Exchanges</w:t>
      </w:r>
      <w:r>
        <w:rPr>
          <w:spacing w:val="-1"/>
        </w:rPr>
        <w:t xml:space="preserve"> </w:t>
      </w:r>
      <w:r>
        <w:t>and</w:t>
      </w:r>
      <w:r>
        <w:rPr>
          <w:spacing w:val="-3"/>
        </w:rPr>
        <w:t xml:space="preserve"> </w:t>
      </w:r>
      <w:r>
        <w:t>to</w:t>
      </w:r>
      <w:r>
        <w:rPr>
          <w:spacing w:val="-3"/>
        </w:rPr>
        <w:t xml:space="preserve"> </w:t>
      </w:r>
      <w:r>
        <w:t>QHPs.</w:t>
      </w:r>
      <w:r>
        <w:rPr>
          <w:spacing w:val="-3"/>
        </w:rPr>
        <w:t xml:space="preserve"> </w:t>
      </w:r>
      <w:r>
        <w:t>In</w:t>
      </w:r>
      <w:r>
        <w:rPr>
          <w:spacing w:val="-1"/>
        </w:rPr>
        <w:t xml:space="preserve"> </w:t>
      </w:r>
      <w:r>
        <w:t>addition,</w:t>
      </w:r>
      <w:r>
        <w:rPr>
          <w:spacing w:val="-3"/>
        </w:rPr>
        <w:t xml:space="preserve"> </w:t>
      </w:r>
      <w:r>
        <w:t>a</w:t>
      </w:r>
      <w:r>
        <w:rPr>
          <w:spacing w:val="-4"/>
        </w:rPr>
        <w:t xml:space="preserve"> </w:t>
      </w:r>
      <w:r>
        <w:t>subset of the QHP Enrollee Survey scores will be used as part of the quality ratings for QHPs.</w:t>
      </w:r>
    </w:p>
    <w:p w:rsidR="00B41E06" w14:paraId="084AAD17" w14:textId="77777777">
      <w:pPr>
        <w:pStyle w:val="ListParagraph"/>
        <w:numPr>
          <w:ilvl w:val="0"/>
          <w:numId w:val="4"/>
        </w:numPr>
        <w:tabs>
          <w:tab w:val="left" w:pos="1438"/>
        </w:tabs>
        <w:ind w:left="1438" w:hanging="658"/>
        <w:jc w:val="both"/>
        <w:rPr>
          <w:i/>
          <w:sz w:val="24"/>
        </w:rPr>
      </w:pPr>
      <w:r>
        <w:rPr>
          <w:i/>
          <w:sz w:val="24"/>
        </w:rPr>
        <w:t>Monitoring</w:t>
      </w:r>
      <w:r>
        <w:rPr>
          <w:i/>
          <w:spacing w:val="-2"/>
          <w:sz w:val="24"/>
        </w:rPr>
        <w:t xml:space="preserve"> </w:t>
      </w:r>
      <w:r>
        <w:rPr>
          <w:i/>
          <w:sz w:val="24"/>
        </w:rPr>
        <w:t>and</w:t>
      </w:r>
      <w:r>
        <w:rPr>
          <w:i/>
          <w:spacing w:val="-2"/>
          <w:sz w:val="24"/>
        </w:rPr>
        <w:t xml:space="preserve"> </w:t>
      </w:r>
      <w:r>
        <w:rPr>
          <w:i/>
          <w:sz w:val="24"/>
        </w:rPr>
        <w:t>Appeals</w:t>
      </w:r>
      <w:r>
        <w:rPr>
          <w:i/>
          <w:spacing w:val="-2"/>
          <w:sz w:val="24"/>
        </w:rPr>
        <w:t xml:space="preserve"> </w:t>
      </w:r>
      <w:r>
        <w:rPr>
          <w:i/>
          <w:sz w:val="24"/>
        </w:rPr>
        <w:t>Process</w:t>
      </w:r>
      <w:r>
        <w:rPr>
          <w:i/>
          <w:spacing w:val="-2"/>
          <w:sz w:val="24"/>
        </w:rPr>
        <w:t xml:space="preserve"> </w:t>
      </w:r>
      <w:r>
        <w:rPr>
          <w:i/>
          <w:sz w:val="24"/>
        </w:rPr>
        <w:t>for</w:t>
      </w:r>
      <w:r>
        <w:rPr>
          <w:i/>
          <w:spacing w:val="-2"/>
          <w:sz w:val="24"/>
        </w:rPr>
        <w:t xml:space="preserve"> </w:t>
      </w:r>
      <w:r>
        <w:rPr>
          <w:i/>
          <w:sz w:val="24"/>
        </w:rPr>
        <w:t>Survey</w:t>
      </w:r>
      <w:r>
        <w:rPr>
          <w:i/>
          <w:spacing w:val="-1"/>
          <w:sz w:val="24"/>
        </w:rPr>
        <w:t xml:space="preserve"> </w:t>
      </w:r>
      <w:r>
        <w:rPr>
          <w:i/>
          <w:spacing w:val="-2"/>
          <w:sz w:val="24"/>
        </w:rPr>
        <w:t>Vendors</w:t>
      </w:r>
    </w:p>
    <w:p w:rsidR="00B41E06" w14:paraId="33DEF82A" w14:textId="77777777">
      <w:pPr>
        <w:pStyle w:val="BodyText"/>
        <w:spacing w:before="121"/>
        <w:ind w:left="360" w:right="427"/>
      </w:pPr>
      <w:r>
        <w:t>HHS</w:t>
      </w:r>
      <w:r>
        <w:rPr>
          <w:spacing w:val="-4"/>
        </w:rPr>
        <w:t xml:space="preserve"> </w:t>
      </w:r>
      <w:r>
        <w:t>monitors</w:t>
      </w:r>
      <w:r>
        <w:rPr>
          <w:spacing w:val="-4"/>
        </w:rPr>
        <w:t xml:space="preserve"> </w:t>
      </w:r>
      <w:r>
        <w:t>approved</w:t>
      </w:r>
      <w:r>
        <w:rPr>
          <w:spacing w:val="-2"/>
        </w:rPr>
        <w:t xml:space="preserve"> </w:t>
      </w:r>
      <w:r>
        <w:t>survey</w:t>
      </w:r>
      <w:r>
        <w:rPr>
          <w:spacing w:val="-4"/>
        </w:rPr>
        <w:t xml:space="preserve"> </w:t>
      </w:r>
      <w:r>
        <w:t>vendors</w:t>
      </w:r>
      <w:r>
        <w:rPr>
          <w:spacing w:val="-2"/>
        </w:rPr>
        <w:t xml:space="preserve"> </w:t>
      </w:r>
      <w:r>
        <w:t>for</w:t>
      </w:r>
      <w:r>
        <w:rPr>
          <w:spacing w:val="-5"/>
        </w:rPr>
        <w:t xml:space="preserve"> </w:t>
      </w:r>
      <w:r>
        <w:t>ongoing</w:t>
      </w:r>
      <w:r>
        <w:rPr>
          <w:spacing w:val="-4"/>
        </w:rPr>
        <w:t xml:space="preserve"> </w:t>
      </w:r>
      <w:r>
        <w:t>compliance.</w:t>
      </w:r>
      <w:r>
        <w:rPr>
          <w:spacing w:val="-4"/>
        </w:rPr>
        <w:t xml:space="preserve"> </w:t>
      </w:r>
      <w:r>
        <w:t>HHS</w:t>
      </w:r>
      <w:r>
        <w:rPr>
          <w:spacing w:val="-4"/>
        </w:rPr>
        <w:t xml:space="preserve"> </w:t>
      </w:r>
      <w:r>
        <w:t>may</w:t>
      </w:r>
      <w:r>
        <w:rPr>
          <w:spacing w:val="-4"/>
        </w:rPr>
        <w:t xml:space="preserve"> </w:t>
      </w:r>
      <w:r>
        <w:t>require</w:t>
      </w:r>
      <w:r>
        <w:rPr>
          <w:spacing w:val="-3"/>
        </w:rPr>
        <w:t xml:space="preserve"> </w:t>
      </w:r>
      <w:r>
        <w:t>additional information from approved vendors be submitted, as needed, to verify continued compliance with standards listed in §156.1105(b)(1) through (11). HHS will use this information to determine whether vendors should remain on the approved list.</w:t>
      </w:r>
    </w:p>
    <w:p w:rsidR="00B41E06" w14:paraId="0BE32E90" w14:textId="77777777">
      <w:pPr>
        <w:pStyle w:val="BodyText"/>
        <w:ind w:left="359" w:right="365"/>
      </w:pPr>
      <w:r>
        <w:t>Vendors</w:t>
      </w:r>
      <w:r>
        <w:rPr>
          <w:spacing w:val="-3"/>
        </w:rPr>
        <w:t xml:space="preserve"> </w:t>
      </w:r>
      <w:r>
        <w:t>not</w:t>
      </w:r>
      <w:r>
        <w:rPr>
          <w:spacing w:val="-3"/>
        </w:rPr>
        <w:t xml:space="preserve"> </w:t>
      </w:r>
      <w:r>
        <w:t>approved</w:t>
      </w:r>
      <w:r>
        <w:rPr>
          <w:spacing w:val="-3"/>
        </w:rPr>
        <w:t xml:space="preserve"> </w:t>
      </w:r>
      <w:r>
        <w:t>by</w:t>
      </w:r>
      <w:r>
        <w:rPr>
          <w:spacing w:val="-1"/>
        </w:rPr>
        <w:t xml:space="preserve"> </w:t>
      </w:r>
      <w:r>
        <w:t>HHS</w:t>
      </w:r>
      <w:r>
        <w:rPr>
          <w:spacing w:val="-3"/>
        </w:rPr>
        <w:t xml:space="preserve"> </w:t>
      </w:r>
      <w:r>
        <w:t>have</w:t>
      </w:r>
      <w:r>
        <w:rPr>
          <w:spacing w:val="-4"/>
        </w:rPr>
        <w:t xml:space="preserve"> </w:t>
      </w:r>
      <w:r>
        <w:t>the</w:t>
      </w:r>
      <w:r>
        <w:rPr>
          <w:spacing w:val="-4"/>
        </w:rPr>
        <w:t xml:space="preserve"> </w:t>
      </w:r>
      <w:r>
        <w:t>opportunity</w:t>
      </w:r>
      <w:r>
        <w:rPr>
          <w:spacing w:val="-3"/>
        </w:rPr>
        <w:t xml:space="preserve"> </w:t>
      </w:r>
      <w:r>
        <w:t>to</w:t>
      </w:r>
      <w:r>
        <w:rPr>
          <w:spacing w:val="-3"/>
        </w:rPr>
        <w:t xml:space="preserve"> </w:t>
      </w:r>
      <w:r>
        <w:t>appeal</w:t>
      </w:r>
      <w:r>
        <w:rPr>
          <w:spacing w:val="-3"/>
        </w:rPr>
        <w:t xml:space="preserve"> </w:t>
      </w:r>
      <w:r>
        <w:t>HHS’s</w:t>
      </w:r>
      <w:r>
        <w:rPr>
          <w:spacing w:val="-3"/>
        </w:rPr>
        <w:t xml:space="preserve"> </w:t>
      </w:r>
      <w:r>
        <w:t>determination.</w:t>
      </w:r>
      <w:r>
        <w:rPr>
          <w:spacing w:val="-3"/>
        </w:rPr>
        <w:t xml:space="preserve"> </w:t>
      </w:r>
      <w:r>
        <w:t>The</w:t>
      </w:r>
      <w:r>
        <w:rPr>
          <w:spacing w:val="-4"/>
        </w:rPr>
        <w:t xml:space="preserve"> </w:t>
      </w:r>
      <w:r>
        <w:t>appeals process requires vendors who plan to appeal HHS’s decision to submit a completed Request for Appeal</w:t>
      </w:r>
      <w:r>
        <w:rPr>
          <w:spacing w:val="-2"/>
        </w:rPr>
        <w:t xml:space="preserve"> </w:t>
      </w:r>
      <w:r>
        <w:t>Form</w:t>
      </w:r>
      <w:r>
        <w:rPr>
          <w:spacing w:val="-2"/>
        </w:rPr>
        <w:t xml:space="preserve"> </w:t>
      </w:r>
      <w:r>
        <w:t>with</w:t>
      </w:r>
      <w:r>
        <w:rPr>
          <w:spacing w:val="-2"/>
        </w:rPr>
        <w:t xml:space="preserve"> </w:t>
      </w:r>
      <w:r>
        <w:t>new</w:t>
      </w:r>
      <w:r>
        <w:rPr>
          <w:spacing w:val="-3"/>
        </w:rPr>
        <w:t xml:space="preserve"> </w:t>
      </w:r>
      <w:r>
        <w:t>or</w:t>
      </w:r>
      <w:r>
        <w:rPr>
          <w:spacing w:val="-3"/>
        </w:rPr>
        <w:t xml:space="preserve"> </w:t>
      </w:r>
      <w:r>
        <w:t>additional</w:t>
      </w:r>
      <w:r>
        <w:rPr>
          <w:spacing w:val="-2"/>
        </w:rPr>
        <w:t xml:space="preserve"> </w:t>
      </w:r>
      <w:r>
        <w:t>information</w:t>
      </w:r>
      <w:r>
        <w:rPr>
          <w:spacing w:val="-2"/>
        </w:rPr>
        <w:t xml:space="preserve"> </w:t>
      </w:r>
      <w:r>
        <w:t>for</w:t>
      </w:r>
      <w:r>
        <w:rPr>
          <w:spacing w:val="-3"/>
        </w:rPr>
        <w:t xml:space="preserve"> </w:t>
      </w:r>
      <w:r>
        <w:t>each criterion</w:t>
      </w:r>
      <w:r>
        <w:rPr>
          <w:spacing w:val="-2"/>
        </w:rPr>
        <w:t xml:space="preserve"> </w:t>
      </w:r>
      <w:r>
        <w:t>not</w:t>
      </w:r>
      <w:r>
        <w:rPr>
          <w:spacing w:val="-2"/>
        </w:rPr>
        <w:t xml:space="preserve"> </w:t>
      </w:r>
      <w:r>
        <w:t>met and</w:t>
      </w:r>
      <w:r>
        <w:rPr>
          <w:spacing w:val="-2"/>
        </w:rPr>
        <w:t xml:space="preserve"> </w:t>
      </w:r>
      <w:r>
        <w:t>a</w:t>
      </w:r>
      <w:r>
        <w:rPr>
          <w:spacing w:val="-3"/>
        </w:rPr>
        <w:t xml:space="preserve"> </w:t>
      </w:r>
      <w:r>
        <w:t>justification</w:t>
      </w:r>
      <w:r>
        <w:rPr>
          <w:spacing w:val="-2"/>
        </w:rPr>
        <w:t xml:space="preserve"> </w:t>
      </w:r>
      <w:r>
        <w:t>for why this information was not included in the</w:t>
      </w:r>
      <w:r>
        <w:rPr>
          <w:spacing w:val="-1"/>
        </w:rPr>
        <w:t xml:space="preserve"> </w:t>
      </w:r>
      <w:r>
        <w:t>vendor’s original Participation Form. HHS will use</w:t>
      </w:r>
    </w:p>
    <w:p w:rsidR="00B41E06" w14:paraId="257E12D8" w14:textId="77777777">
      <w:pPr>
        <w:pStyle w:val="BodyText"/>
        <w:spacing w:before="0"/>
        <w:rPr>
          <w:sz w:val="20"/>
        </w:rPr>
      </w:pPr>
    </w:p>
    <w:p w:rsidR="00B41E06" w14:paraId="70A5BBB6" w14:textId="77777777">
      <w:pPr>
        <w:pStyle w:val="BodyText"/>
        <w:spacing w:before="0"/>
        <w:rPr>
          <w:sz w:val="20"/>
        </w:rPr>
      </w:pPr>
    </w:p>
    <w:p w:rsidR="00B41E06" w14:paraId="211F2DC1" w14:textId="77777777">
      <w:pPr>
        <w:pStyle w:val="BodyText"/>
        <w:spacing w:before="18"/>
        <w:rPr>
          <w:sz w:val="20"/>
        </w:rPr>
      </w:pPr>
      <w:r>
        <w:rPr>
          <w:noProof/>
          <w:sz w:val="20"/>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173308</wp:posOffset>
                </wp:positionV>
                <wp:extent cx="1828800" cy="762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9" style="width:2in;height:0.6pt;margin-top:13.65pt;margin-left:1in;mso-position-horizontal-relative:page;mso-wrap-distance-bottom:0;mso-wrap-distance-left:0;mso-wrap-distance-right:0;mso-wrap-distance-top:0;mso-wrap-style:square;position:absolute;visibility:visible;v-text-anchor:top;z-index:-251640832" coordsize="1828800,7620" path="m1828800,l,,,7607l1828800,7607l1828800,xe" fillcolor="black" stroked="f">
                <v:path arrowok="t"/>
                <w10:wrap type="topAndBottom"/>
              </v:shape>
            </w:pict>
          </mc:Fallback>
        </mc:AlternateContent>
      </w:r>
    </w:p>
    <w:p w:rsidR="00B41E06" w14:paraId="442B09AC" w14:textId="77777777">
      <w:pPr>
        <w:spacing w:before="161"/>
        <w:ind w:left="359" w:right="402"/>
        <w:rPr>
          <w:sz w:val="20"/>
        </w:rPr>
      </w:pPr>
      <w:r>
        <w:rPr>
          <w:sz w:val="20"/>
          <w:vertAlign w:val="superscript"/>
        </w:rPr>
        <w:t>3</w:t>
      </w:r>
      <w:r>
        <w:rPr>
          <w:spacing w:val="-3"/>
          <w:sz w:val="20"/>
        </w:rPr>
        <w:t xml:space="preserve"> </w:t>
      </w:r>
      <w:r>
        <w:rPr>
          <w:sz w:val="20"/>
        </w:rPr>
        <w:t>Agency</w:t>
      </w:r>
      <w:r>
        <w:rPr>
          <w:spacing w:val="-2"/>
          <w:sz w:val="20"/>
        </w:rPr>
        <w:t xml:space="preserve"> </w:t>
      </w:r>
      <w:r>
        <w:rPr>
          <w:sz w:val="20"/>
        </w:rPr>
        <w:t>Information</w:t>
      </w:r>
      <w:r>
        <w:rPr>
          <w:spacing w:val="-2"/>
          <w:sz w:val="20"/>
        </w:rPr>
        <w:t xml:space="preserve"> </w:t>
      </w:r>
      <w:r>
        <w:rPr>
          <w:sz w:val="20"/>
        </w:rPr>
        <w:t>Collection</w:t>
      </w:r>
      <w:r>
        <w:rPr>
          <w:spacing w:val="-2"/>
          <w:sz w:val="20"/>
        </w:rPr>
        <w:t xml:space="preserve"> </w:t>
      </w:r>
      <w:r>
        <w:rPr>
          <w:sz w:val="20"/>
        </w:rPr>
        <w:t>Activities:</w:t>
      </w:r>
      <w:r>
        <w:rPr>
          <w:spacing w:val="-3"/>
          <w:sz w:val="20"/>
        </w:rPr>
        <w:t xml:space="preserve"> </w:t>
      </w:r>
      <w:r>
        <w:rPr>
          <w:sz w:val="20"/>
        </w:rPr>
        <w:t>Submission</w:t>
      </w:r>
      <w:r>
        <w:rPr>
          <w:spacing w:val="-2"/>
          <w:sz w:val="20"/>
        </w:rPr>
        <w:t xml:space="preserve"> </w:t>
      </w:r>
      <w:r>
        <w:rPr>
          <w:sz w:val="20"/>
        </w:rPr>
        <w:t>for</w:t>
      </w:r>
      <w:r>
        <w:rPr>
          <w:spacing w:val="-5"/>
          <w:sz w:val="20"/>
        </w:rPr>
        <w:t xml:space="preserve"> </w:t>
      </w:r>
      <w:r>
        <w:rPr>
          <w:sz w:val="20"/>
        </w:rPr>
        <w:t>OMB</w:t>
      </w:r>
      <w:r>
        <w:rPr>
          <w:spacing w:val="-4"/>
          <w:sz w:val="20"/>
        </w:rPr>
        <w:t xml:space="preserve"> </w:t>
      </w:r>
      <w:r>
        <w:rPr>
          <w:sz w:val="20"/>
        </w:rPr>
        <w:t>Review;</w:t>
      </w:r>
      <w:r>
        <w:rPr>
          <w:spacing w:val="-1"/>
          <w:sz w:val="20"/>
        </w:rPr>
        <w:t xml:space="preserve"> </w:t>
      </w:r>
      <w:r>
        <w:rPr>
          <w:sz w:val="20"/>
        </w:rPr>
        <w:t>Comment</w:t>
      </w:r>
      <w:r>
        <w:rPr>
          <w:spacing w:val="-3"/>
          <w:sz w:val="20"/>
        </w:rPr>
        <w:t xml:space="preserve"> </w:t>
      </w:r>
      <w:r>
        <w:rPr>
          <w:sz w:val="20"/>
        </w:rPr>
        <w:t>Request;</w:t>
      </w:r>
      <w:r>
        <w:rPr>
          <w:spacing w:val="-3"/>
          <w:sz w:val="20"/>
        </w:rPr>
        <w:t xml:space="preserve"> </w:t>
      </w:r>
      <w:r>
        <w:rPr>
          <w:sz w:val="20"/>
        </w:rPr>
        <w:t>Notice,</w:t>
      </w:r>
      <w:r>
        <w:rPr>
          <w:spacing w:val="-2"/>
          <w:sz w:val="20"/>
        </w:rPr>
        <w:t xml:space="preserve"> </w:t>
      </w:r>
      <w:r>
        <w:rPr>
          <w:sz w:val="20"/>
        </w:rPr>
        <w:t>88</w:t>
      </w:r>
      <w:r>
        <w:rPr>
          <w:spacing w:val="-2"/>
          <w:sz w:val="20"/>
        </w:rPr>
        <w:t xml:space="preserve"> </w:t>
      </w:r>
      <w:r>
        <w:rPr>
          <w:sz w:val="20"/>
        </w:rPr>
        <w:t>FR</w:t>
      </w:r>
      <w:r>
        <w:rPr>
          <w:spacing w:val="-4"/>
          <w:sz w:val="20"/>
        </w:rPr>
        <w:t xml:space="preserve"> </w:t>
      </w:r>
      <w:r>
        <w:rPr>
          <w:sz w:val="20"/>
        </w:rPr>
        <w:t>43355 (July 7, 2023). https://</w:t>
      </w:r>
      <w:hyperlink r:id="rId5">
        <w:r>
          <w:rPr>
            <w:sz w:val="20"/>
          </w:rPr>
          <w:t>www.federalregister.gov/documents/2023/07/07/2023-14306/agency-information-collection-</w:t>
        </w:r>
      </w:hyperlink>
      <w:r>
        <w:rPr>
          <w:sz w:val="20"/>
        </w:rPr>
        <w:t xml:space="preserve"> </w:t>
      </w:r>
      <w:r>
        <w:rPr>
          <w:spacing w:val="-2"/>
          <w:sz w:val="20"/>
        </w:rPr>
        <w:t>activities-submission-for-omb-review-comment-request.</w:t>
      </w:r>
    </w:p>
    <w:p w:rsidR="00B41E06" w14:paraId="421EED0B" w14:textId="77777777">
      <w:pPr>
        <w:rPr>
          <w:sz w:val="20"/>
        </w:rPr>
        <w:sectPr>
          <w:footerReference w:type="default" r:id="rId6"/>
          <w:pgSz w:w="12240" w:h="15840"/>
          <w:pgMar w:top="1360" w:right="1080" w:bottom="980" w:left="1080" w:header="0" w:footer="787" w:gutter="0"/>
          <w:pgNumType w:start="2"/>
          <w:cols w:space="720"/>
        </w:sectPr>
      </w:pPr>
    </w:p>
    <w:p w:rsidR="00B41E06" w14:paraId="37788581" w14:textId="77777777">
      <w:pPr>
        <w:pStyle w:val="BodyText"/>
        <w:spacing w:before="79"/>
        <w:ind w:left="360" w:right="365"/>
      </w:pPr>
      <w:r>
        <w:t>information</w:t>
      </w:r>
      <w:r>
        <w:rPr>
          <w:spacing w:val="-3"/>
        </w:rPr>
        <w:t xml:space="preserve"> </w:t>
      </w:r>
      <w:r>
        <w:t>in</w:t>
      </w:r>
      <w:r>
        <w:rPr>
          <w:spacing w:val="-3"/>
        </w:rPr>
        <w:t xml:space="preserve"> </w:t>
      </w:r>
      <w:r>
        <w:t>the</w:t>
      </w:r>
      <w:r>
        <w:rPr>
          <w:spacing w:val="-4"/>
        </w:rPr>
        <w:t xml:space="preserve"> </w:t>
      </w:r>
      <w:r>
        <w:t>appeal</w:t>
      </w:r>
      <w:r>
        <w:rPr>
          <w:spacing w:val="-1"/>
        </w:rPr>
        <w:t xml:space="preserve"> </w:t>
      </w:r>
      <w:r>
        <w:t>form</w:t>
      </w:r>
      <w:r>
        <w:rPr>
          <w:spacing w:val="-3"/>
        </w:rPr>
        <w:t xml:space="preserve"> </w:t>
      </w:r>
      <w:r>
        <w:t>to</w:t>
      </w:r>
      <w:r>
        <w:rPr>
          <w:spacing w:val="-3"/>
        </w:rPr>
        <w:t xml:space="preserve"> </w:t>
      </w:r>
      <w:r>
        <w:t>make</w:t>
      </w:r>
      <w:r>
        <w:rPr>
          <w:spacing w:val="-4"/>
        </w:rPr>
        <w:t xml:space="preserve"> </w:t>
      </w:r>
      <w:r>
        <w:t>a</w:t>
      </w:r>
      <w:r>
        <w:rPr>
          <w:spacing w:val="-4"/>
        </w:rPr>
        <w:t xml:space="preserve"> </w:t>
      </w:r>
      <w:r>
        <w:t>final</w:t>
      </w:r>
      <w:r>
        <w:rPr>
          <w:spacing w:val="-3"/>
        </w:rPr>
        <w:t xml:space="preserve"> </w:t>
      </w:r>
      <w:r>
        <w:t>approval</w:t>
      </w:r>
      <w:r>
        <w:rPr>
          <w:spacing w:val="-3"/>
        </w:rPr>
        <w:t xml:space="preserve"> </w:t>
      </w:r>
      <w:r>
        <w:t>determination</w:t>
      </w:r>
      <w:r>
        <w:rPr>
          <w:spacing w:val="-3"/>
        </w:rPr>
        <w:t xml:space="preserve"> </w:t>
      </w:r>
      <w:r>
        <w:t>of</w:t>
      </w:r>
      <w:r>
        <w:rPr>
          <w:spacing w:val="-4"/>
        </w:rPr>
        <w:t xml:space="preserve"> </w:t>
      </w:r>
      <w:r>
        <w:t>whether</w:t>
      </w:r>
      <w:r>
        <w:rPr>
          <w:spacing w:val="-4"/>
        </w:rPr>
        <w:t xml:space="preserve"> </w:t>
      </w:r>
      <w:r>
        <w:t>to</w:t>
      </w:r>
      <w:r>
        <w:rPr>
          <w:spacing w:val="-3"/>
        </w:rPr>
        <w:t xml:space="preserve"> </w:t>
      </w:r>
      <w:r>
        <w:t>list</w:t>
      </w:r>
      <w:r>
        <w:rPr>
          <w:spacing w:val="-3"/>
        </w:rPr>
        <w:t xml:space="preserve"> </w:t>
      </w:r>
      <w:r>
        <w:t>the vendor as an HHS-approved QHP Enrollee Survey vendor.</w:t>
      </w:r>
    </w:p>
    <w:p w:rsidR="00B41E06" w14:paraId="25A67CC8" w14:textId="77777777">
      <w:pPr>
        <w:pStyle w:val="ListParagraph"/>
        <w:numPr>
          <w:ilvl w:val="0"/>
          <w:numId w:val="4"/>
        </w:numPr>
        <w:tabs>
          <w:tab w:val="left" w:pos="1439"/>
        </w:tabs>
        <w:ind w:left="1439" w:hanging="645"/>
        <w:jc w:val="left"/>
        <w:rPr>
          <w:i/>
          <w:sz w:val="24"/>
        </w:rPr>
      </w:pPr>
      <w:r>
        <w:rPr>
          <w:i/>
          <w:sz w:val="24"/>
        </w:rPr>
        <w:t>Patient</w:t>
      </w:r>
      <w:r>
        <w:rPr>
          <w:i/>
          <w:spacing w:val="-3"/>
          <w:sz w:val="24"/>
        </w:rPr>
        <w:t xml:space="preserve"> </w:t>
      </w:r>
      <w:r>
        <w:rPr>
          <w:i/>
          <w:sz w:val="24"/>
        </w:rPr>
        <w:t>Safety</w:t>
      </w:r>
      <w:r>
        <w:rPr>
          <w:i/>
          <w:spacing w:val="-3"/>
          <w:sz w:val="24"/>
        </w:rPr>
        <w:t xml:space="preserve"> </w:t>
      </w:r>
      <w:r>
        <w:rPr>
          <w:i/>
          <w:sz w:val="24"/>
        </w:rPr>
        <w:t>Reporting</w:t>
      </w:r>
      <w:r>
        <w:rPr>
          <w:i/>
          <w:spacing w:val="-2"/>
          <w:sz w:val="24"/>
        </w:rPr>
        <w:t xml:space="preserve"> </w:t>
      </w:r>
      <w:r>
        <w:rPr>
          <w:i/>
          <w:sz w:val="24"/>
        </w:rPr>
        <w:t>Standards</w:t>
      </w:r>
      <w:r>
        <w:rPr>
          <w:i/>
          <w:spacing w:val="-3"/>
          <w:sz w:val="24"/>
        </w:rPr>
        <w:t xml:space="preserve"> </w:t>
      </w:r>
      <w:r>
        <w:rPr>
          <w:i/>
          <w:sz w:val="24"/>
        </w:rPr>
        <w:t>for</w:t>
      </w:r>
      <w:r>
        <w:rPr>
          <w:i/>
          <w:spacing w:val="-2"/>
          <w:sz w:val="24"/>
        </w:rPr>
        <w:t xml:space="preserve"> </w:t>
      </w:r>
      <w:r>
        <w:rPr>
          <w:i/>
          <w:sz w:val="24"/>
        </w:rPr>
        <w:t>QHP</w:t>
      </w:r>
      <w:r>
        <w:rPr>
          <w:i/>
          <w:spacing w:val="-3"/>
          <w:sz w:val="24"/>
        </w:rPr>
        <w:t xml:space="preserve"> </w:t>
      </w:r>
      <w:r>
        <w:rPr>
          <w:i/>
          <w:spacing w:val="-2"/>
          <w:sz w:val="24"/>
        </w:rPr>
        <w:t>Issuers</w:t>
      </w:r>
    </w:p>
    <w:p w:rsidR="00B41E06" w14:paraId="7F0DD31A" w14:textId="77777777">
      <w:pPr>
        <w:pStyle w:val="BodyText"/>
        <w:ind w:left="359" w:right="427"/>
      </w:pPr>
      <w:r>
        <w:t>HHS finalized amendments to QHP patient safety reporting standards in the</w:t>
      </w:r>
      <w:r>
        <w:rPr>
          <w:spacing w:val="-1"/>
        </w:rPr>
        <w:t xml:space="preserve"> </w:t>
      </w:r>
      <w:r>
        <w:t>Patient Protection and Affordable Care Act; HHS Notice of Benefit and Payment Parameters for 2017 (81 FR 12203), March 2016. We finalized the documentation requirement in §156.1110(b) to require QHP issuers to collect and maintain information like a hospital attestation or a copy of the current</w:t>
      </w:r>
      <w:r>
        <w:rPr>
          <w:spacing w:val="-2"/>
        </w:rPr>
        <w:t xml:space="preserve"> </w:t>
      </w:r>
      <w:r>
        <w:t>agreement</w:t>
      </w:r>
      <w:r>
        <w:rPr>
          <w:spacing w:val="-4"/>
        </w:rPr>
        <w:t xml:space="preserve"> </w:t>
      </w:r>
      <w:r>
        <w:t>to</w:t>
      </w:r>
      <w:r>
        <w:rPr>
          <w:spacing w:val="-4"/>
        </w:rPr>
        <w:t xml:space="preserve"> </w:t>
      </w:r>
      <w:r>
        <w:t>partner</w:t>
      </w:r>
      <w:r>
        <w:rPr>
          <w:spacing w:val="-5"/>
        </w:rPr>
        <w:t xml:space="preserve"> </w:t>
      </w:r>
      <w:r>
        <w:t>with</w:t>
      </w:r>
      <w:r>
        <w:rPr>
          <w:spacing w:val="-4"/>
        </w:rPr>
        <w:t xml:space="preserve"> </w:t>
      </w:r>
      <w:r>
        <w:t>a</w:t>
      </w:r>
      <w:r>
        <w:rPr>
          <w:spacing w:val="-5"/>
        </w:rPr>
        <w:t xml:space="preserve"> </w:t>
      </w:r>
      <w:r>
        <w:t>Patient</w:t>
      </w:r>
      <w:r>
        <w:rPr>
          <w:spacing w:val="-4"/>
        </w:rPr>
        <w:t xml:space="preserve"> </w:t>
      </w:r>
      <w:r>
        <w:t>Safety</w:t>
      </w:r>
      <w:r>
        <w:rPr>
          <w:spacing w:val="-2"/>
        </w:rPr>
        <w:t xml:space="preserve"> </w:t>
      </w:r>
      <w:r>
        <w:t>Organization</w:t>
      </w:r>
      <w:r>
        <w:rPr>
          <w:spacing w:val="-4"/>
        </w:rPr>
        <w:t xml:space="preserve"> </w:t>
      </w:r>
      <w:r>
        <w:t>(PSO),</w:t>
      </w:r>
      <w:r>
        <w:rPr>
          <w:spacing w:val="-2"/>
        </w:rPr>
        <w:t xml:space="preserve"> </w:t>
      </w:r>
      <w:r>
        <w:t>a</w:t>
      </w:r>
      <w:r>
        <w:rPr>
          <w:spacing w:val="-5"/>
        </w:rPr>
        <w:t xml:space="preserve"> </w:t>
      </w:r>
      <w:r>
        <w:t>Hospital</w:t>
      </w:r>
      <w:r>
        <w:rPr>
          <w:spacing w:val="-4"/>
        </w:rPr>
        <w:t xml:space="preserve"> </w:t>
      </w:r>
      <w:r>
        <w:t>Engagement Network, or a Quality Improvement Organization.</w:t>
      </w:r>
    </w:p>
    <w:p w:rsidR="00B41E06" w14:paraId="50689377" w14:textId="77777777">
      <w:pPr>
        <w:pStyle w:val="BodyText"/>
        <w:ind w:left="359" w:right="365"/>
      </w:pPr>
      <w:r>
        <w:t>This documentation should reflect implementation of PSO activities, such as PSOs and hospitals working together to collect, report, and analyze patient safety events, and to implement a comprehensive person-centered hospital discharge program that demonstrates compliance with the proposed requirements in §156.1110(a)(2)(i). Such documentation may also reflect implementation</w:t>
      </w:r>
      <w:r>
        <w:rPr>
          <w:spacing w:val="-3"/>
        </w:rPr>
        <w:t xml:space="preserve"> </w:t>
      </w:r>
      <w:r>
        <w:t>of</w:t>
      </w:r>
      <w:r>
        <w:rPr>
          <w:spacing w:val="-4"/>
        </w:rPr>
        <w:t xml:space="preserve"> </w:t>
      </w:r>
      <w:r>
        <w:t>a</w:t>
      </w:r>
      <w:r>
        <w:rPr>
          <w:spacing w:val="-4"/>
        </w:rPr>
        <w:t xml:space="preserve"> </w:t>
      </w:r>
      <w:r>
        <w:t>patient</w:t>
      </w:r>
      <w:r>
        <w:rPr>
          <w:spacing w:val="-3"/>
        </w:rPr>
        <w:t xml:space="preserve"> </w:t>
      </w:r>
      <w:r>
        <w:t>safety</w:t>
      </w:r>
      <w:r>
        <w:rPr>
          <w:spacing w:val="-3"/>
        </w:rPr>
        <w:t xml:space="preserve"> </w:t>
      </w:r>
      <w:r>
        <w:t>initiative</w:t>
      </w:r>
      <w:r>
        <w:rPr>
          <w:spacing w:val="-4"/>
        </w:rPr>
        <w:t xml:space="preserve"> </w:t>
      </w:r>
      <w:r>
        <w:t>to</w:t>
      </w:r>
      <w:r>
        <w:rPr>
          <w:spacing w:val="-3"/>
        </w:rPr>
        <w:t xml:space="preserve"> </w:t>
      </w:r>
      <w:r>
        <w:t>improve</w:t>
      </w:r>
      <w:r>
        <w:rPr>
          <w:spacing w:val="-4"/>
        </w:rPr>
        <w:t xml:space="preserve"> </w:t>
      </w:r>
      <w:r>
        <w:t>health</w:t>
      </w:r>
      <w:r>
        <w:rPr>
          <w:spacing w:val="-3"/>
        </w:rPr>
        <w:t xml:space="preserve"> </w:t>
      </w:r>
      <w:r>
        <w:t>care</w:t>
      </w:r>
      <w:r>
        <w:rPr>
          <w:spacing w:val="-4"/>
        </w:rPr>
        <w:t xml:space="preserve"> </w:t>
      </w:r>
      <w:r>
        <w:t>quality</w:t>
      </w:r>
      <w:r>
        <w:rPr>
          <w:spacing w:val="-3"/>
        </w:rPr>
        <w:t xml:space="preserve"> </w:t>
      </w:r>
      <w:r>
        <w:t>through</w:t>
      </w:r>
      <w:r>
        <w:rPr>
          <w:spacing w:val="-3"/>
        </w:rPr>
        <w:t xml:space="preserve"> </w:t>
      </w:r>
      <w:r>
        <w:t>the</w:t>
      </w:r>
      <w:r>
        <w:rPr>
          <w:spacing w:val="-4"/>
        </w:rPr>
        <w:t xml:space="preserve"> </w:t>
      </w:r>
      <w:r>
        <w:t>collection, management, and analysis of patient safety events that reduces all cause preventable harm, prevents</w:t>
      </w:r>
      <w:r>
        <w:rPr>
          <w:spacing w:val="-3"/>
        </w:rPr>
        <w:t xml:space="preserve"> </w:t>
      </w:r>
      <w:r>
        <w:t>hospital</w:t>
      </w:r>
      <w:r>
        <w:rPr>
          <w:spacing w:val="-3"/>
        </w:rPr>
        <w:t xml:space="preserve"> </w:t>
      </w:r>
      <w:r>
        <w:t>readmission,</w:t>
      </w:r>
      <w:r>
        <w:rPr>
          <w:spacing w:val="-3"/>
        </w:rPr>
        <w:t xml:space="preserve"> </w:t>
      </w:r>
      <w:r>
        <w:t>or</w:t>
      </w:r>
      <w:r>
        <w:rPr>
          <w:spacing w:val="-4"/>
        </w:rPr>
        <w:t xml:space="preserve"> </w:t>
      </w:r>
      <w:r>
        <w:t>improves</w:t>
      </w:r>
      <w:r>
        <w:rPr>
          <w:spacing w:val="-3"/>
        </w:rPr>
        <w:t xml:space="preserve"> </w:t>
      </w:r>
      <w:r>
        <w:t>care</w:t>
      </w:r>
      <w:r>
        <w:rPr>
          <w:spacing w:val="-4"/>
        </w:rPr>
        <w:t xml:space="preserve"> </w:t>
      </w:r>
      <w:r>
        <w:t>coordination</w:t>
      </w:r>
      <w:r>
        <w:rPr>
          <w:spacing w:val="-3"/>
        </w:rPr>
        <w:t xml:space="preserve"> </w:t>
      </w:r>
      <w:r>
        <w:t>to</w:t>
      </w:r>
      <w:r>
        <w:rPr>
          <w:spacing w:val="-3"/>
        </w:rPr>
        <w:t xml:space="preserve"> </w:t>
      </w:r>
      <w:r>
        <w:t>demonstrate</w:t>
      </w:r>
      <w:r>
        <w:rPr>
          <w:spacing w:val="-4"/>
        </w:rPr>
        <w:t xml:space="preserve"> </w:t>
      </w:r>
      <w:r>
        <w:t>compliance</w:t>
      </w:r>
      <w:r>
        <w:rPr>
          <w:spacing w:val="-2"/>
        </w:rPr>
        <w:t xml:space="preserve"> </w:t>
      </w:r>
      <w:r>
        <w:t>with</w:t>
      </w:r>
      <w:r>
        <w:rPr>
          <w:spacing w:val="-3"/>
        </w:rPr>
        <w:t xml:space="preserve"> </w:t>
      </w:r>
      <w:r>
        <w:t>the reasonable exception provision finalized in §156.1110(a)(2)(ii). An Exchange may request this information and may use the information as demonstration of compliance by QHP issuers with patient safety reporting standards outlined in §156.1110.</w:t>
      </w:r>
    </w:p>
    <w:p w:rsidR="00B41E06" w14:paraId="56EE225B" w14:textId="77777777">
      <w:pPr>
        <w:pStyle w:val="Heading1"/>
        <w:numPr>
          <w:ilvl w:val="0"/>
          <w:numId w:val="5"/>
        </w:numPr>
        <w:tabs>
          <w:tab w:val="left" w:pos="907"/>
        </w:tabs>
      </w:pPr>
      <w:bookmarkStart w:id="5" w:name="3._Use_of_Improved_Information_Technolog"/>
      <w:bookmarkEnd w:id="5"/>
      <w:r>
        <w:t>Use</w:t>
      </w:r>
      <w:r>
        <w:rPr>
          <w:spacing w:val="-8"/>
        </w:rPr>
        <w:t xml:space="preserve"> </w:t>
      </w:r>
      <w:r>
        <w:t>of</w:t>
      </w:r>
      <w:r>
        <w:rPr>
          <w:spacing w:val="2"/>
        </w:rPr>
        <w:t xml:space="preserve"> </w:t>
      </w:r>
      <w:r>
        <w:t>Improved</w:t>
      </w:r>
      <w:r>
        <w:rPr>
          <w:spacing w:val="-6"/>
        </w:rPr>
        <w:t xml:space="preserve"> </w:t>
      </w:r>
      <w:r>
        <w:t>Information</w:t>
      </w:r>
      <w:r>
        <w:rPr>
          <w:spacing w:val="-5"/>
        </w:rPr>
        <w:t xml:space="preserve"> </w:t>
      </w:r>
      <w:r>
        <w:t>Technology</w:t>
      </w:r>
      <w:r>
        <w:rPr>
          <w:spacing w:val="-10"/>
        </w:rPr>
        <w:t xml:space="preserve"> </w:t>
      </w:r>
      <w:r>
        <w:t>and</w:t>
      </w:r>
      <w:r>
        <w:rPr>
          <w:spacing w:val="-6"/>
        </w:rPr>
        <w:t xml:space="preserve"> </w:t>
      </w:r>
      <w:r>
        <w:t>Burden</w:t>
      </w:r>
      <w:r>
        <w:rPr>
          <w:spacing w:val="-1"/>
        </w:rPr>
        <w:t xml:space="preserve"> </w:t>
      </w:r>
      <w:r>
        <w:rPr>
          <w:spacing w:val="-2"/>
        </w:rPr>
        <w:t>Reduction</w:t>
      </w:r>
    </w:p>
    <w:p w:rsidR="00B41E06" w14:paraId="08A8ED01" w14:textId="77777777">
      <w:pPr>
        <w:pStyle w:val="BodyText"/>
        <w:ind w:left="359" w:right="365"/>
      </w:pPr>
      <w:r>
        <w:t>All</w:t>
      </w:r>
      <w:r>
        <w:rPr>
          <w:spacing w:val="-15"/>
        </w:rPr>
        <w:t xml:space="preserve"> </w:t>
      </w:r>
      <w:r>
        <w:t>information</w:t>
      </w:r>
      <w:r>
        <w:rPr>
          <w:spacing w:val="-15"/>
        </w:rPr>
        <w:t xml:space="preserve"> </w:t>
      </w:r>
      <w:r>
        <w:t>collected</w:t>
      </w:r>
      <w:r>
        <w:rPr>
          <w:spacing w:val="-15"/>
        </w:rPr>
        <w:t xml:space="preserve"> </w:t>
      </w:r>
      <w:r>
        <w:t>from</w:t>
      </w:r>
      <w:r>
        <w:rPr>
          <w:spacing w:val="-15"/>
        </w:rPr>
        <w:t xml:space="preserve"> </w:t>
      </w:r>
      <w:r>
        <w:t>QHP</w:t>
      </w:r>
      <w:r>
        <w:rPr>
          <w:spacing w:val="-15"/>
        </w:rPr>
        <w:t xml:space="preserve"> </w:t>
      </w:r>
      <w:r>
        <w:t>issuers</w:t>
      </w:r>
      <w:r>
        <w:rPr>
          <w:spacing w:val="-15"/>
        </w:rPr>
        <w:t xml:space="preserve"> </w:t>
      </w:r>
      <w:r>
        <w:t>for</w:t>
      </w:r>
      <w:r>
        <w:rPr>
          <w:spacing w:val="-15"/>
        </w:rPr>
        <w:t xml:space="preserve"> </w:t>
      </w:r>
      <w:r>
        <w:t>implementation</w:t>
      </w:r>
      <w:r>
        <w:rPr>
          <w:spacing w:val="-10"/>
        </w:rPr>
        <w:t xml:space="preserve"> </w:t>
      </w:r>
      <w:r>
        <w:t>and</w:t>
      </w:r>
      <w:r>
        <w:rPr>
          <w:spacing w:val="-9"/>
        </w:rPr>
        <w:t xml:space="preserve"> </w:t>
      </w:r>
      <w:r>
        <w:t>reporting</w:t>
      </w:r>
      <w:r>
        <w:rPr>
          <w:spacing w:val="-9"/>
        </w:rPr>
        <w:t xml:space="preserve"> </w:t>
      </w:r>
      <w:r>
        <w:t>of</w:t>
      </w:r>
      <w:r>
        <w:rPr>
          <w:spacing w:val="-10"/>
        </w:rPr>
        <w:t xml:space="preserve"> </w:t>
      </w:r>
      <w:r>
        <w:t>the</w:t>
      </w:r>
      <w:r>
        <w:rPr>
          <w:spacing w:val="-10"/>
        </w:rPr>
        <w:t xml:space="preserve"> </w:t>
      </w:r>
      <w:r>
        <w:t>QRS,</w:t>
      </w:r>
      <w:r>
        <w:rPr>
          <w:spacing w:val="-9"/>
        </w:rPr>
        <w:t xml:space="preserve"> </w:t>
      </w:r>
      <w:r>
        <w:t>QHP Enrollee Survey, and patient safety standards</w:t>
      </w:r>
      <w:r>
        <w:rPr>
          <w:spacing w:val="-2"/>
        </w:rPr>
        <w:t xml:space="preserve"> </w:t>
      </w:r>
      <w:r>
        <w:t>will be submitted electronically. HHS staff will analyze the data electronically</w:t>
      </w:r>
      <w:r>
        <w:rPr>
          <w:spacing w:val="-11"/>
        </w:rPr>
        <w:t xml:space="preserve"> </w:t>
      </w:r>
      <w:r>
        <w:t>and communicate</w:t>
      </w:r>
      <w:r>
        <w:rPr>
          <w:spacing w:val="-6"/>
        </w:rPr>
        <w:t xml:space="preserve"> </w:t>
      </w:r>
      <w:r>
        <w:t>with issuers and State-based Exchanges, if necessary, by email and telephone. Information collected from survey vendors regarding the monitoring and appeals process will be electronic as well.</w:t>
      </w:r>
    </w:p>
    <w:p w:rsidR="00B41E06" w14:paraId="53990113" w14:textId="77777777">
      <w:pPr>
        <w:pStyle w:val="Heading1"/>
        <w:numPr>
          <w:ilvl w:val="0"/>
          <w:numId w:val="5"/>
        </w:numPr>
        <w:tabs>
          <w:tab w:val="left" w:pos="907"/>
        </w:tabs>
      </w:pPr>
      <w:bookmarkStart w:id="6" w:name="4._Efforts_to_Identify_Duplication_and_U"/>
      <w:bookmarkEnd w:id="6"/>
      <w:r>
        <w:t>Efforts</w:t>
      </w:r>
      <w:r>
        <w:rPr>
          <w:spacing w:val="-7"/>
        </w:rPr>
        <w:t xml:space="preserve"> </w:t>
      </w:r>
      <w:r>
        <w:t>to</w:t>
      </w:r>
      <w:r>
        <w:rPr>
          <w:spacing w:val="-2"/>
        </w:rPr>
        <w:t xml:space="preserve"> </w:t>
      </w:r>
      <w:r>
        <w:t>Identify</w:t>
      </w:r>
      <w:r>
        <w:rPr>
          <w:spacing w:val="-7"/>
        </w:rPr>
        <w:t xml:space="preserve"> </w:t>
      </w:r>
      <w:r>
        <w:t>Duplication</w:t>
      </w:r>
      <w:r>
        <w:rPr>
          <w:spacing w:val="-4"/>
        </w:rPr>
        <w:t xml:space="preserve"> </w:t>
      </w:r>
      <w:r>
        <w:t>and</w:t>
      </w:r>
      <w:r>
        <w:rPr>
          <w:spacing w:val="-2"/>
        </w:rPr>
        <w:t xml:space="preserve"> </w:t>
      </w:r>
      <w:r>
        <w:t>Use</w:t>
      </w:r>
      <w:r>
        <w:rPr>
          <w:spacing w:val="-6"/>
        </w:rPr>
        <w:t xml:space="preserve"> </w:t>
      </w:r>
      <w:r>
        <w:t>of</w:t>
      </w:r>
      <w:r>
        <w:rPr>
          <w:spacing w:val="-3"/>
        </w:rPr>
        <w:t xml:space="preserve"> </w:t>
      </w:r>
      <w:r>
        <w:t>Similar</w:t>
      </w:r>
      <w:r>
        <w:rPr>
          <w:spacing w:val="-7"/>
        </w:rPr>
        <w:t xml:space="preserve"> </w:t>
      </w:r>
      <w:r>
        <w:rPr>
          <w:spacing w:val="-2"/>
        </w:rPr>
        <w:t>Information</w:t>
      </w:r>
    </w:p>
    <w:p w:rsidR="00B41E06" w14:paraId="2FCB1B35" w14:textId="77777777">
      <w:pPr>
        <w:pStyle w:val="BodyText"/>
        <w:ind w:left="359" w:right="365"/>
      </w:pPr>
      <w:r>
        <w:t>The quality reporting standards and programs included in this supporting statement were established by the Patient Protection and Affordable</w:t>
      </w:r>
      <w:r>
        <w:rPr>
          <w:spacing w:val="-1"/>
        </w:rPr>
        <w:t xml:space="preserve"> </w:t>
      </w:r>
      <w:r>
        <w:t>Care Act. The information has never been collected</w:t>
      </w:r>
      <w:r>
        <w:rPr>
          <w:spacing w:val="-4"/>
        </w:rPr>
        <w:t xml:space="preserve"> </w:t>
      </w:r>
      <w:r>
        <w:t>by</w:t>
      </w:r>
      <w:r>
        <w:rPr>
          <w:spacing w:val="-4"/>
        </w:rPr>
        <w:t xml:space="preserve"> </w:t>
      </w:r>
      <w:r>
        <w:t>the</w:t>
      </w:r>
      <w:r>
        <w:rPr>
          <w:spacing w:val="-3"/>
        </w:rPr>
        <w:t xml:space="preserve"> </w:t>
      </w:r>
      <w:r>
        <w:t>Federal</w:t>
      </w:r>
      <w:r>
        <w:rPr>
          <w:spacing w:val="-2"/>
        </w:rPr>
        <w:t xml:space="preserve"> </w:t>
      </w:r>
      <w:r>
        <w:t>Government</w:t>
      </w:r>
      <w:r>
        <w:rPr>
          <w:spacing w:val="-4"/>
        </w:rPr>
        <w:t xml:space="preserve"> </w:t>
      </w:r>
      <w:r>
        <w:t>for</w:t>
      </w:r>
      <w:r>
        <w:rPr>
          <w:spacing w:val="-5"/>
        </w:rPr>
        <w:t xml:space="preserve"> </w:t>
      </w:r>
      <w:r>
        <w:t>purposes</w:t>
      </w:r>
      <w:r>
        <w:rPr>
          <w:spacing w:val="-2"/>
        </w:rPr>
        <w:t xml:space="preserve"> </w:t>
      </w:r>
      <w:r>
        <w:t>including</w:t>
      </w:r>
      <w:r>
        <w:rPr>
          <w:spacing w:val="-4"/>
        </w:rPr>
        <w:t xml:space="preserve"> </w:t>
      </w:r>
      <w:r>
        <w:t>providing</w:t>
      </w:r>
      <w:r>
        <w:rPr>
          <w:spacing w:val="-4"/>
        </w:rPr>
        <w:t xml:space="preserve"> </w:t>
      </w:r>
      <w:r>
        <w:t>quality</w:t>
      </w:r>
      <w:r>
        <w:rPr>
          <w:spacing w:val="-4"/>
        </w:rPr>
        <w:t xml:space="preserve"> </w:t>
      </w:r>
      <w:r>
        <w:t>ratings</w:t>
      </w:r>
      <w:r>
        <w:rPr>
          <w:spacing w:val="-4"/>
        </w:rPr>
        <w:t xml:space="preserve"> </w:t>
      </w:r>
      <w:r>
        <w:t>and</w:t>
      </w:r>
      <w:r>
        <w:rPr>
          <w:spacing w:val="-4"/>
        </w:rPr>
        <w:t xml:space="preserve"> </w:t>
      </w:r>
      <w:r>
        <w:t>QHP Enrollee Survey results for QHPs, monitoring and conducting appeals processes for QHP Enrollee Survey vendors, and patient safety reporting by QHPs.</w:t>
      </w:r>
    </w:p>
    <w:p w:rsidR="00B41E06" w14:paraId="1DDF89E9" w14:textId="77777777">
      <w:pPr>
        <w:pStyle w:val="BodyText"/>
        <w:spacing w:before="121"/>
        <w:ind w:left="360" w:right="427"/>
      </w:pPr>
      <w:r>
        <w:t>While certain quality measures are used in other CMS quality reporting programs, such as the Medicare Star Ratings, Medicaid Adult Core Measures, Initial Children’s Core Set, and Medicare</w:t>
      </w:r>
      <w:r>
        <w:rPr>
          <w:spacing w:val="-4"/>
        </w:rPr>
        <w:t xml:space="preserve"> </w:t>
      </w:r>
      <w:r>
        <w:t>Part</w:t>
      </w:r>
      <w:r>
        <w:rPr>
          <w:spacing w:val="-3"/>
        </w:rPr>
        <w:t xml:space="preserve"> </w:t>
      </w:r>
      <w:r>
        <w:t>C&amp;D</w:t>
      </w:r>
      <w:r>
        <w:rPr>
          <w:spacing w:val="-4"/>
        </w:rPr>
        <w:t xml:space="preserve"> </w:t>
      </w:r>
      <w:r>
        <w:t>programs;</w:t>
      </w:r>
      <w:r>
        <w:rPr>
          <w:spacing w:val="-3"/>
        </w:rPr>
        <w:t xml:space="preserve"> </w:t>
      </w:r>
      <w:r>
        <w:t>the</w:t>
      </w:r>
      <w:r>
        <w:rPr>
          <w:spacing w:val="-4"/>
        </w:rPr>
        <w:t xml:space="preserve"> </w:t>
      </w:r>
      <w:r>
        <w:t>information</w:t>
      </w:r>
      <w:r>
        <w:rPr>
          <w:spacing w:val="-3"/>
        </w:rPr>
        <w:t xml:space="preserve"> </w:t>
      </w:r>
      <w:r>
        <w:t>for</w:t>
      </w:r>
      <w:r>
        <w:rPr>
          <w:spacing w:val="-2"/>
        </w:rPr>
        <w:t xml:space="preserve"> </w:t>
      </w:r>
      <w:r>
        <w:t>the</w:t>
      </w:r>
      <w:r>
        <w:rPr>
          <w:spacing w:val="-4"/>
        </w:rPr>
        <w:t xml:space="preserve"> </w:t>
      </w:r>
      <w:r>
        <w:t>QRS</w:t>
      </w:r>
      <w:r>
        <w:rPr>
          <w:spacing w:val="-3"/>
        </w:rPr>
        <w:t xml:space="preserve"> </w:t>
      </w:r>
      <w:r>
        <w:t>and</w:t>
      </w:r>
      <w:r>
        <w:rPr>
          <w:spacing w:val="-3"/>
        </w:rPr>
        <w:t xml:space="preserve"> </w:t>
      </w:r>
      <w:r>
        <w:t>QHP</w:t>
      </w:r>
      <w:r>
        <w:rPr>
          <w:spacing w:val="-3"/>
        </w:rPr>
        <w:t xml:space="preserve"> </w:t>
      </w:r>
      <w:r>
        <w:t>Enrollee</w:t>
      </w:r>
      <w:r>
        <w:rPr>
          <w:spacing w:val="-4"/>
        </w:rPr>
        <w:t xml:space="preserve"> </w:t>
      </w:r>
      <w:r>
        <w:t>Survey</w:t>
      </w:r>
      <w:r>
        <w:rPr>
          <w:spacing w:val="-3"/>
        </w:rPr>
        <w:t xml:space="preserve"> </w:t>
      </w:r>
      <w:r>
        <w:t>provides important data specific to the Exchange population – a comparatively new and evolving population separate from both Medicare and Medicaid.</w:t>
      </w:r>
    </w:p>
    <w:p w:rsidR="00B41E06" w14:paraId="23BA7854" w14:textId="77777777">
      <w:pPr>
        <w:pStyle w:val="Heading1"/>
        <w:numPr>
          <w:ilvl w:val="0"/>
          <w:numId w:val="5"/>
        </w:numPr>
        <w:tabs>
          <w:tab w:val="left" w:pos="907"/>
        </w:tabs>
        <w:ind w:hanging="547"/>
      </w:pPr>
      <w:bookmarkStart w:id="7" w:name="5.__Impact_on_Small_Businesses_or_Other_"/>
      <w:bookmarkEnd w:id="7"/>
      <w:r>
        <w:t>Impact</w:t>
      </w:r>
      <w:r>
        <w:rPr>
          <w:spacing w:val="-4"/>
        </w:rPr>
        <w:t xml:space="preserve"> </w:t>
      </w:r>
      <w:r>
        <w:t>on</w:t>
      </w:r>
      <w:r>
        <w:rPr>
          <w:spacing w:val="-3"/>
        </w:rPr>
        <w:t xml:space="preserve"> </w:t>
      </w:r>
      <w:r>
        <w:t>Small</w:t>
      </w:r>
      <w:r>
        <w:rPr>
          <w:spacing w:val="-4"/>
        </w:rPr>
        <w:t xml:space="preserve"> </w:t>
      </w:r>
      <w:r>
        <w:t>Businesses</w:t>
      </w:r>
      <w:r>
        <w:rPr>
          <w:spacing w:val="-5"/>
        </w:rPr>
        <w:t xml:space="preserve"> </w:t>
      </w:r>
      <w:r>
        <w:t>or</w:t>
      </w:r>
      <w:r>
        <w:rPr>
          <w:spacing w:val="-7"/>
        </w:rPr>
        <w:t xml:space="preserve"> </w:t>
      </w:r>
      <w:r>
        <w:t>Other</w:t>
      </w:r>
      <w:r>
        <w:rPr>
          <w:spacing w:val="-8"/>
        </w:rPr>
        <w:t xml:space="preserve"> </w:t>
      </w:r>
      <w:r>
        <w:t>Small</w:t>
      </w:r>
      <w:r>
        <w:rPr>
          <w:spacing w:val="-4"/>
        </w:rPr>
        <w:t xml:space="preserve"> </w:t>
      </w:r>
      <w:r>
        <w:rPr>
          <w:spacing w:val="-2"/>
        </w:rPr>
        <w:t>Entities</w:t>
      </w:r>
    </w:p>
    <w:p w:rsidR="00B41E06" w14:paraId="43A6E956" w14:textId="77777777">
      <w:pPr>
        <w:pStyle w:val="BodyText"/>
        <w:ind w:left="359"/>
      </w:pPr>
      <w:r>
        <w:t>No</w:t>
      </w:r>
      <w:r>
        <w:rPr>
          <w:spacing w:val="-4"/>
        </w:rPr>
        <w:t xml:space="preserve"> </w:t>
      </w:r>
      <w:r>
        <w:t>impact</w:t>
      </w:r>
      <w:r>
        <w:rPr>
          <w:spacing w:val="-5"/>
        </w:rPr>
        <w:t xml:space="preserve"> </w:t>
      </w:r>
      <w:r>
        <w:t>on</w:t>
      </w:r>
      <w:r>
        <w:rPr>
          <w:spacing w:val="-2"/>
        </w:rPr>
        <w:t xml:space="preserve"> </w:t>
      </w:r>
      <w:r>
        <w:t>small</w:t>
      </w:r>
      <w:r>
        <w:rPr>
          <w:spacing w:val="-5"/>
        </w:rPr>
        <w:t xml:space="preserve"> </w:t>
      </w:r>
      <w:r>
        <w:rPr>
          <w:spacing w:val="-2"/>
        </w:rPr>
        <w:t>business.</w:t>
      </w:r>
    </w:p>
    <w:p w:rsidR="00B41E06" w14:paraId="75525245" w14:textId="77777777">
      <w:pPr>
        <w:pStyle w:val="Heading1"/>
        <w:numPr>
          <w:ilvl w:val="0"/>
          <w:numId w:val="5"/>
        </w:numPr>
        <w:tabs>
          <w:tab w:val="left" w:pos="907"/>
        </w:tabs>
      </w:pPr>
      <w:bookmarkStart w:id="8" w:name="6.__Consequences_of_Collecting_the_Infor"/>
      <w:bookmarkEnd w:id="8"/>
      <w:r>
        <w:t>Consequences</w:t>
      </w:r>
      <w:r>
        <w:rPr>
          <w:spacing w:val="-10"/>
        </w:rPr>
        <w:t xml:space="preserve"> </w:t>
      </w:r>
      <w:r>
        <w:t>of</w:t>
      </w:r>
      <w:r>
        <w:rPr>
          <w:spacing w:val="-1"/>
        </w:rPr>
        <w:t xml:space="preserve"> </w:t>
      </w:r>
      <w:r>
        <w:t>Collecting</w:t>
      </w:r>
      <w:r>
        <w:rPr>
          <w:spacing w:val="-9"/>
        </w:rPr>
        <w:t xml:space="preserve"> </w:t>
      </w:r>
      <w:r>
        <w:t>the</w:t>
      </w:r>
      <w:r>
        <w:rPr>
          <w:spacing w:val="-8"/>
        </w:rPr>
        <w:t xml:space="preserve"> </w:t>
      </w:r>
      <w:r>
        <w:t>Information</w:t>
      </w:r>
      <w:r>
        <w:rPr>
          <w:spacing w:val="-6"/>
        </w:rPr>
        <w:t xml:space="preserve"> </w:t>
      </w:r>
      <w:r>
        <w:t>Less</w:t>
      </w:r>
      <w:r>
        <w:rPr>
          <w:spacing w:val="-7"/>
        </w:rPr>
        <w:t xml:space="preserve"> </w:t>
      </w:r>
      <w:r>
        <w:rPr>
          <w:spacing w:val="-2"/>
        </w:rPr>
        <w:t>Frequently</w:t>
      </w:r>
    </w:p>
    <w:p w:rsidR="00B41E06" w14:paraId="722B0C96" w14:textId="77777777">
      <w:pPr>
        <w:pStyle w:val="BodyText"/>
        <w:ind w:left="360" w:right="365"/>
      </w:pPr>
      <w:r>
        <w:t>If</w:t>
      </w:r>
      <w:r>
        <w:rPr>
          <w:spacing w:val="-2"/>
        </w:rPr>
        <w:t xml:space="preserve"> </w:t>
      </w:r>
      <w:r>
        <w:t>HHS</w:t>
      </w:r>
      <w:r>
        <w:rPr>
          <w:spacing w:val="-1"/>
        </w:rPr>
        <w:t xml:space="preserve"> </w:t>
      </w:r>
      <w:r>
        <w:t>does</w:t>
      </w:r>
      <w:r>
        <w:rPr>
          <w:spacing w:val="-4"/>
        </w:rPr>
        <w:t xml:space="preserve"> </w:t>
      </w:r>
      <w:r>
        <w:t>not</w:t>
      </w:r>
      <w:r>
        <w:rPr>
          <w:spacing w:val="-3"/>
        </w:rPr>
        <w:t xml:space="preserve"> </w:t>
      </w:r>
      <w:r>
        <w:t>collect</w:t>
      </w:r>
      <w:r>
        <w:rPr>
          <w:spacing w:val="-8"/>
        </w:rPr>
        <w:t xml:space="preserve"> </w:t>
      </w:r>
      <w:r>
        <w:t>the</w:t>
      </w:r>
      <w:r>
        <w:rPr>
          <w:spacing w:val="-7"/>
        </w:rPr>
        <w:t xml:space="preserve"> </w:t>
      </w:r>
      <w:r>
        <w:t>QRS</w:t>
      </w:r>
      <w:r>
        <w:rPr>
          <w:spacing w:val="-5"/>
        </w:rPr>
        <w:t xml:space="preserve"> </w:t>
      </w:r>
      <w:r>
        <w:t>and</w:t>
      </w:r>
      <w:r>
        <w:rPr>
          <w:spacing w:val="-6"/>
        </w:rPr>
        <w:t xml:space="preserve"> </w:t>
      </w:r>
      <w:r>
        <w:t>QHP</w:t>
      </w:r>
      <w:r>
        <w:rPr>
          <w:spacing w:val="-5"/>
        </w:rPr>
        <w:t xml:space="preserve"> </w:t>
      </w:r>
      <w:r>
        <w:t>Enrollee</w:t>
      </w:r>
      <w:r>
        <w:rPr>
          <w:spacing w:val="-7"/>
        </w:rPr>
        <w:t xml:space="preserve"> </w:t>
      </w:r>
      <w:r>
        <w:t>Survey</w:t>
      </w:r>
      <w:r>
        <w:rPr>
          <w:spacing w:val="-6"/>
        </w:rPr>
        <w:t xml:space="preserve"> </w:t>
      </w:r>
      <w:r>
        <w:t>information</w:t>
      </w:r>
      <w:r>
        <w:rPr>
          <w:spacing w:val="-6"/>
        </w:rPr>
        <w:t xml:space="preserve"> </w:t>
      </w:r>
      <w:r>
        <w:t>on an</w:t>
      </w:r>
      <w:r>
        <w:rPr>
          <w:spacing w:val="-6"/>
        </w:rPr>
        <w:t xml:space="preserve"> </w:t>
      </w:r>
      <w:r>
        <w:t>annual</w:t>
      </w:r>
      <w:r>
        <w:rPr>
          <w:spacing w:val="-6"/>
        </w:rPr>
        <w:t xml:space="preserve"> </w:t>
      </w:r>
      <w:r>
        <w:t>basis,</w:t>
      </w:r>
      <w:r>
        <w:rPr>
          <w:spacing w:val="-4"/>
        </w:rPr>
        <w:t xml:space="preserve"> </w:t>
      </w:r>
      <w:r>
        <w:t>HHS will be unable to calculate scores and ratings for QHPs as required by section 1311(c)(3) and (c)(4)</w:t>
      </w:r>
      <w:r>
        <w:rPr>
          <w:spacing w:val="-4"/>
        </w:rPr>
        <w:t xml:space="preserve"> </w:t>
      </w:r>
      <w:r>
        <w:t>of</w:t>
      </w:r>
      <w:r>
        <w:rPr>
          <w:spacing w:val="-4"/>
        </w:rPr>
        <w:t xml:space="preserve"> </w:t>
      </w:r>
      <w:r>
        <w:t>the</w:t>
      </w:r>
      <w:r>
        <w:rPr>
          <w:spacing w:val="-4"/>
        </w:rPr>
        <w:t xml:space="preserve"> </w:t>
      </w:r>
      <w:r>
        <w:t>Patient</w:t>
      </w:r>
      <w:r>
        <w:rPr>
          <w:spacing w:val="-3"/>
        </w:rPr>
        <w:t xml:space="preserve"> </w:t>
      </w:r>
      <w:r>
        <w:t>Protection</w:t>
      </w:r>
      <w:r>
        <w:rPr>
          <w:spacing w:val="-3"/>
        </w:rPr>
        <w:t xml:space="preserve"> </w:t>
      </w:r>
      <w:r>
        <w:t>and</w:t>
      </w:r>
      <w:r>
        <w:rPr>
          <w:spacing w:val="-3"/>
        </w:rPr>
        <w:t xml:space="preserve"> </w:t>
      </w:r>
      <w:r>
        <w:t>Affordable</w:t>
      </w:r>
      <w:r>
        <w:rPr>
          <w:spacing w:val="-4"/>
        </w:rPr>
        <w:t xml:space="preserve"> </w:t>
      </w:r>
      <w:r>
        <w:t>Care</w:t>
      </w:r>
      <w:r>
        <w:rPr>
          <w:spacing w:val="-4"/>
        </w:rPr>
        <w:t xml:space="preserve"> </w:t>
      </w:r>
      <w:r>
        <w:t>Act.</w:t>
      </w:r>
      <w:r>
        <w:rPr>
          <w:spacing w:val="-1"/>
        </w:rPr>
        <w:t xml:space="preserve"> </w:t>
      </w:r>
      <w:r>
        <w:t>In</w:t>
      </w:r>
      <w:r>
        <w:rPr>
          <w:spacing w:val="-3"/>
        </w:rPr>
        <w:t xml:space="preserve"> </w:t>
      </w:r>
      <w:r>
        <w:t>addition,</w:t>
      </w:r>
      <w:r>
        <w:rPr>
          <w:spacing w:val="-3"/>
        </w:rPr>
        <w:t xml:space="preserve"> </w:t>
      </w:r>
      <w:r>
        <w:t>HHS will</w:t>
      </w:r>
      <w:r>
        <w:rPr>
          <w:spacing w:val="-3"/>
        </w:rPr>
        <w:t xml:space="preserve"> </w:t>
      </w:r>
      <w:r>
        <w:t>be</w:t>
      </w:r>
      <w:r>
        <w:rPr>
          <w:spacing w:val="-4"/>
        </w:rPr>
        <w:t xml:space="preserve"> </w:t>
      </w:r>
      <w:r>
        <w:t>unable</w:t>
      </w:r>
      <w:r>
        <w:rPr>
          <w:spacing w:val="-4"/>
        </w:rPr>
        <w:t xml:space="preserve"> </w:t>
      </w:r>
      <w:r>
        <w:t>to</w:t>
      </w:r>
      <w:r>
        <w:rPr>
          <w:spacing w:val="-3"/>
        </w:rPr>
        <w:t xml:space="preserve"> </w:t>
      </w:r>
      <w:r>
        <w:t>send</w:t>
      </w:r>
    </w:p>
    <w:p w:rsidR="00B41E06" w14:paraId="788EC981" w14:textId="77777777">
      <w:pPr>
        <w:pStyle w:val="BodyText"/>
        <w:sectPr>
          <w:pgSz w:w="12240" w:h="15840"/>
          <w:pgMar w:top="1360" w:right="1080" w:bottom="980" w:left="1080" w:header="0" w:footer="787" w:gutter="0"/>
          <w:cols w:space="720"/>
        </w:sectPr>
      </w:pPr>
    </w:p>
    <w:p w:rsidR="00B41E06" w14:paraId="18D5532D" w14:textId="77777777">
      <w:pPr>
        <w:pStyle w:val="BodyText"/>
        <w:spacing w:before="79"/>
        <w:ind w:left="359" w:right="427"/>
      </w:pPr>
      <w:r>
        <w:t>the appropriate QHP quality information to Exchanges for display on their websites as is also required. If HHS does not collect information to monitor QHP Enrollee Survey vendors, then there may be increased risk of noncompliance by vendors, which could impact the integrity of the</w:t>
      </w:r>
      <w:r>
        <w:rPr>
          <w:spacing w:val="-4"/>
        </w:rPr>
        <w:t xml:space="preserve"> </w:t>
      </w:r>
      <w:r>
        <w:t>QHP</w:t>
      </w:r>
      <w:r>
        <w:rPr>
          <w:spacing w:val="-3"/>
        </w:rPr>
        <w:t xml:space="preserve"> </w:t>
      </w:r>
      <w:r>
        <w:t>Enrollee</w:t>
      </w:r>
      <w:r>
        <w:rPr>
          <w:spacing w:val="-4"/>
        </w:rPr>
        <w:t xml:space="preserve"> </w:t>
      </w:r>
      <w:r>
        <w:t>Survey</w:t>
      </w:r>
      <w:r>
        <w:rPr>
          <w:spacing w:val="-1"/>
        </w:rPr>
        <w:t xml:space="preserve"> </w:t>
      </w:r>
      <w:r>
        <w:t>scores</w:t>
      </w:r>
      <w:r>
        <w:rPr>
          <w:spacing w:val="-3"/>
        </w:rPr>
        <w:t xml:space="preserve"> </w:t>
      </w:r>
      <w:r>
        <w:t>and</w:t>
      </w:r>
      <w:r>
        <w:rPr>
          <w:spacing w:val="-3"/>
        </w:rPr>
        <w:t xml:space="preserve"> </w:t>
      </w:r>
      <w:r>
        <w:t>the</w:t>
      </w:r>
      <w:r>
        <w:rPr>
          <w:spacing w:val="-4"/>
        </w:rPr>
        <w:t xml:space="preserve"> </w:t>
      </w:r>
      <w:r>
        <w:t>QRS</w:t>
      </w:r>
      <w:r>
        <w:rPr>
          <w:spacing w:val="-3"/>
        </w:rPr>
        <w:t xml:space="preserve"> </w:t>
      </w:r>
      <w:r>
        <w:t>ratings.</w:t>
      </w:r>
      <w:r>
        <w:rPr>
          <w:spacing w:val="-3"/>
        </w:rPr>
        <w:t xml:space="preserve"> </w:t>
      </w:r>
      <w:r>
        <w:t>Additionally,</w:t>
      </w:r>
      <w:r>
        <w:rPr>
          <w:spacing w:val="-3"/>
        </w:rPr>
        <w:t xml:space="preserve"> </w:t>
      </w:r>
      <w:r>
        <w:t>it</w:t>
      </w:r>
      <w:r>
        <w:rPr>
          <w:spacing w:val="-3"/>
        </w:rPr>
        <w:t xml:space="preserve"> </w:t>
      </w:r>
      <w:r>
        <w:t>is</w:t>
      </w:r>
      <w:r>
        <w:rPr>
          <w:spacing w:val="-3"/>
        </w:rPr>
        <w:t xml:space="preserve"> </w:t>
      </w:r>
      <w:r>
        <w:t>important</w:t>
      </w:r>
      <w:r>
        <w:rPr>
          <w:spacing w:val="-3"/>
        </w:rPr>
        <w:t xml:space="preserve"> </w:t>
      </w:r>
      <w:r>
        <w:t>that</w:t>
      </w:r>
      <w:r>
        <w:rPr>
          <w:spacing w:val="-3"/>
        </w:rPr>
        <w:t xml:space="preserve"> </w:t>
      </w:r>
      <w:r>
        <w:t>measure data</w:t>
      </w:r>
      <w:r>
        <w:rPr>
          <w:spacing w:val="-1"/>
        </w:rPr>
        <w:t xml:space="preserve"> </w:t>
      </w:r>
      <w:r>
        <w:t>is collected timely in order</w:t>
      </w:r>
      <w:r>
        <w:rPr>
          <w:spacing w:val="-1"/>
        </w:rPr>
        <w:t xml:space="preserve"> </w:t>
      </w:r>
      <w:r>
        <w:t>to reflect relevant information of</w:t>
      </w:r>
      <w:r>
        <w:rPr>
          <w:spacing w:val="-1"/>
        </w:rPr>
        <w:t xml:space="preserve"> </w:t>
      </w:r>
      <w:r>
        <w:t>the</w:t>
      </w:r>
      <w:r>
        <w:rPr>
          <w:spacing w:val="-1"/>
        </w:rPr>
        <w:t xml:space="preserve"> </w:t>
      </w:r>
      <w:r>
        <w:t>Exchange</w:t>
      </w:r>
      <w:r>
        <w:rPr>
          <w:spacing w:val="-1"/>
        </w:rPr>
        <w:t xml:space="preserve"> </w:t>
      </w:r>
      <w:r>
        <w:t>population as it continues to evolve.</w:t>
      </w:r>
    </w:p>
    <w:p w:rsidR="00B41E06" w14:paraId="4AE49BD2" w14:textId="77777777">
      <w:pPr>
        <w:pStyle w:val="BodyText"/>
        <w:spacing w:before="240"/>
      </w:pPr>
    </w:p>
    <w:p w:rsidR="00B41E06" w14:paraId="3F3AA327" w14:textId="77777777">
      <w:pPr>
        <w:pStyle w:val="Heading1"/>
        <w:numPr>
          <w:ilvl w:val="0"/>
          <w:numId w:val="5"/>
        </w:numPr>
        <w:tabs>
          <w:tab w:val="left" w:pos="907"/>
        </w:tabs>
        <w:spacing w:before="0"/>
      </w:pPr>
      <w:bookmarkStart w:id="9" w:name="7.__Special_Circumstances"/>
      <w:bookmarkEnd w:id="9"/>
      <w:r>
        <w:t>Special</w:t>
      </w:r>
      <w:r>
        <w:rPr>
          <w:spacing w:val="-2"/>
        </w:rPr>
        <w:t xml:space="preserve"> Circumstances</w:t>
      </w:r>
    </w:p>
    <w:p w:rsidR="00B41E06" w14:paraId="4791DD2B" w14:textId="77777777">
      <w:pPr>
        <w:pStyle w:val="BodyText"/>
        <w:ind w:left="359"/>
      </w:pPr>
      <w:r>
        <w:t>Not</w:t>
      </w:r>
      <w:r>
        <w:rPr>
          <w:spacing w:val="-1"/>
        </w:rPr>
        <w:t xml:space="preserve"> </w:t>
      </w:r>
      <w:r>
        <w:rPr>
          <w:spacing w:val="-2"/>
        </w:rPr>
        <w:t>applicable.</w:t>
      </w:r>
    </w:p>
    <w:p w:rsidR="00B41E06" w14:paraId="41DE97D5" w14:textId="77777777">
      <w:pPr>
        <w:pStyle w:val="BodyText"/>
        <w:spacing w:before="240"/>
      </w:pPr>
    </w:p>
    <w:p w:rsidR="00B41E06" w14:paraId="13739EB9" w14:textId="77777777">
      <w:pPr>
        <w:pStyle w:val="Heading1"/>
        <w:numPr>
          <w:ilvl w:val="0"/>
          <w:numId w:val="5"/>
        </w:numPr>
        <w:tabs>
          <w:tab w:val="left" w:pos="907"/>
        </w:tabs>
        <w:spacing w:before="0"/>
      </w:pPr>
      <w:bookmarkStart w:id="10" w:name="8.__Federal_Register_Notice/Outside_Cons"/>
      <w:bookmarkEnd w:id="10"/>
      <w:r>
        <w:t>Federal</w:t>
      </w:r>
      <w:r>
        <w:rPr>
          <w:spacing w:val="-10"/>
        </w:rPr>
        <w:t xml:space="preserve"> </w:t>
      </w:r>
      <w:r>
        <w:t>Register</w:t>
      </w:r>
      <w:r>
        <w:rPr>
          <w:spacing w:val="-10"/>
        </w:rPr>
        <w:t xml:space="preserve"> </w:t>
      </w:r>
      <w:r>
        <w:t>Notice/Outside</w:t>
      </w:r>
      <w:r>
        <w:rPr>
          <w:spacing w:val="-15"/>
        </w:rPr>
        <w:t xml:space="preserve"> </w:t>
      </w:r>
      <w:r>
        <w:rPr>
          <w:spacing w:val="-2"/>
        </w:rPr>
        <w:t>Consultation</w:t>
      </w:r>
    </w:p>
    <w:p w:rsidR="00B41E06" w14:paraId="559CD89A" w14:textId="13BDC20F">
      <w:pPr>
        <w:pStyle w:val="BodyText"/>
        <w:ind w:left="360" w:right="365"/>
      </w:pPr>
      <w:r>
        <w:t>As</w:t>
      </w:r>
      <w:r>
        <w:rPr>
          <w:spacing w:val="-3"/>
        </w:rPr>
        <w:t xml:space="preserve"> </w:t>
      </w:r>
      <w:r>
        <w:t>required</w:t>
      </w:r>
      <w:r>
        <w:rPr>
          <w:spacing w:val="-3"/>
        </w:rPr>
        <w:t xml:space="preserve"> </w:t>
      </w:r>
      <w:r>
        <w:t>by</w:t>
      </w:r>
      <w:r>
        <w:rPr>
          <w:spacing w:val="-3"/>
        </w:rPr>
        <w:t xml:space="preserve"> </w:t>
      </w:r>
      <w:r>
        <w:t>5</w:t>
      </w:r>
      <w:r>
        <w:rPr>
          <w:spacing w:val="-3"/>
        </w:rPr>
        <w:t xml:space="preserve"> </w:t>
      </w:r>
      <w:r>
        <w:t>CFR</w:t>
      </w:r>
      <w:r>
        <w:rPr>
          <w:spacing w:val="-3"/>
        </w:rPr>
        <w:t xml:space="preserve"> </w:t>
      </w:r>
      <w:r>
        <w:t>1320.8(d),</w:t>
      </w:r>
      <w:r>
        <w:rPr>
          <w:spacing w:val="-3"/>
        </w:rPr>
        <w:t xml:space="preserve"> </w:t>
      </w:r>
      <w:r>
        <w:t>CMS</w:t>
      </w:r>
      <w:r>
        <w:rPr>
          <w:spacing w:val="-3"/>
        </w:rPr>
        <w:t xml:space="preserve"> </w:t>
      </w:r>
      <w:r>
        <w:t>provided</w:t>
      </w:r>
      <w:r>
        <w:rPr>
          <w:spacing w:val="-3"/>
        </w:rPr>
        <w:t xml:space="preserve"> </w:t>
      </w:r>
      <w:r>
        <w:t>an</w:t>
      </w:r>
      <w:r>
        <w:rPr>
          <w:spacing w:val="-3"/>
        </w:rPr>
        <w:t xml:space="preserve"> </w:t>
      </w:r>
      <w:r>
        <w:t>opportunity</w:t>
      </w:r>
      <w:r>
        <w:rPr>
          <w:spacing w:val="-3"/>
        </w:rPr>
        <w:t xml:space="preserve"> </w:t>
      </w:r>
      <w:r>
        <w:t>for</w:t>
      </w:r>
      <w:r>
        <w:rPr>
          <w:spacing w:val="-4"/>
        </w:rPr>
        <w:t xml:space="preserve"> </w:t>
      </w:r>
      <w:r>
        <w:t>the</w:t>
      </w:r>
      <w:r>
        <w:rPr>
          <w:spacing w:val="-4"/>
        </w:rPr>
        <w:t xml:space="preserve"> </w:t>
      </w:r>
      <w:r>
        <w:t>public</w:t>
      </w:r>
      <w:r>
        <w:rPr>
          <w:spacing w:val="-4"/>
        </w:rPr>
        <w:t xml:space="preserve"> </w:t>
      </w:r>
      <w:r>
        <w:t>to</w:t>
      </w:r>
      <w:r>
        <w:rPr>
          <w:spacing w:val="-3"/>
        </w:rPr>
        <w:t xml:space="preserve"> </w:t>
      </w:r>
      <w:r>
        <w:t>comment</w:t>
      </w:r>
      <w:r>
        <w:rPr>
          <w:spacing w:val="-3"/>
        </w:rPr>
        <w:t xml:space="preserve"> </w:t>
      </w:r>
      <w:r>
        <w:t>for</w:t>
      </w:r>
      <w:r>
        <w:rPr>
          <w:spacing w:val="-4"/>
        </w:rPr>
        <w:t xml:space="preserve"> </w:t>
      </w:r>
      <w:r>
        <w:t>60 days through publication of a Federal Register Notice on November 1, 2024 (89 FR 87374) and no comments were received.</w:t>
      </w:r>
      <w:r>
        <w:rPr>
          <w:spacing w:val="40"/>
        </w:rPr>
        <w:t xml:space="preserve"> </w:t>
      </w:r>
      <w:r>
        <w:t>A 30-day Notice published on June 27, 2025</w:t>
      </w:r>
      <w:r w:rsidR="00925368">
        <w:t xml:space="preserve"> (90 FR 27539)</w:t>
      </w:r>
      <w:r>
        <w:t>.</w:t>
      </w:r>
    </w:p>
    <w:p w:rsidR="00B41E06" w14:paraId="7D2E6B07" w14:textId="77777777">
      <w:pPr>
        <w:pStyle w:val="BodyText"/>
        <w:spacing w:before="240"/>
      </w:pPr>
    </w:p>
    <w:p w:rsidR="00B41E06" w14:paraId="78CCD8A3" w14:textId="77777777">
      <w:pPr>
        <w:pStyle w:val="Heading1"/>
        <w:numPr>
          <w:ilvl w:val="0"/>
          <w:numId w:val="5"/>
        </w:numPr>
        <w:tabs>
          <w:tab w:val="left" w:pos="907"/>
        </w:tabs>
        <w:spacing w:before="0"/>
        <w:ind w:hanging="547"/>
      </w:pPr>
      <w:bookmarkStart w:id="11" w:name="9._Payment/Gift_to_Respondents"/>
      <w:bookmarkEnd w:id="11"/>
      <w:r>
        <w:t>Payment/Gift</w:t>
      </w:r>
      <w:r>
        <w:rPr>
          <w:spacing w:val="-13"/>
        </w:rPr>
        <w:t xml:space="preserve"> </w:t>
      </w:r>
      <w:r>
        <w:t>to</w:t>
      </w:r>
      <w:r>
        <w:rPr>
          <w:spacing w:val="-5"/>
        </w:rPr>
        <w:t xml:space="preserve"> </w:t>
      </w:r>
      <w:r>
        <w:rPr>
          <w:spacing w:val="-2"/>
        </w:rPr>
        <w:t>Respondents</w:t>
      </w:r>
    </w:p>
    <w:p w:rsidR="00B41E06" w14:paraId="659FD109" w14:textId="77777777">
      <w:pPr>
        <w:pStyle w:val="BodyText"/>
        <w:ind w:left="360"/>
      </w:pPr>
      <w:r>
        <w:t>Respondents</w:t>
      </w:r>
      <w:r>
        <w:rPr>
          <w:spacing w:val="-3"/>
        </w:rPr>
        <w:t xml:space="preserve"> </w:t>
      </w:r>
      <w:r>
        <w:t>will</w:t>
      </w:r>
      <w:r>
        <w:rPr>
          <w:spacing w:val="-1"/>
        </w:rPr>
        <w:t xml:space="preserve"> </w:t>
      </w:r>
      <w:r>
        <w:t>not</w:t>
      </w:r>
      <w:r>
        <w:rPr>
          <w:spacing w:val="-1"/>
        </w:rPr>
        <w:t xml:space="preserve"> </w:t>
      </w:r>
      <w:r>
        <w:t>receive</w:t>
      </w:r>
      <w:r>
        <w:rPr>
          <w:spacing w:val="-2"/>
        </w:rPr>
        <w:t xml:space="preserve"> </w:t>
      </w:r>
      <w:r>
        <w:t>payments</w:t>
      </w:r>
      <w:r>
        <w:rPr>
          <w:spacing w:val="-1"/>
        </w:rPr>
        <w:t xml:space="preserve"> </w:t>
      </w:r>
      <w:r>
        <w:t>or</w:t>
      </w:r>
      <w:r>
        <w:rPr>
          <w:spacing w:val="-1"/>
        </w:rPr>
        <w:t xml:space="preserve"> </w:t>
      </w:r>
      <w:r>
        <w:t>gifts</w:t>
      </w:r>
      <w:r>
        <w:rPr>
          <w:spacing w:val="-1"/>
        </w:rPr>
        <w:t xml:space="preserve"> </w:t>
      </w:r>
      <w:r>
        <w:t>for</w:t>
      </w:r>
      <w:r>
        <w:rPr>
          <w:spacing w:val="-2"/>
        </w:rPr>
        <w:t xml:space="preserve"> </w:t>
      </w:r>
      <w:r>
        <w:t>completion</w:t>
      </w:r>
      <w:r>
        <w:rPr>
          <w:spacing w:val="-1"/>
        </w:rPr>
        <w:t xml:space="preserve"> </w:t>
      </w:r>
      <w:r>
        <w:t>of</w:t>
      </w:r>
      <w:r>
        <w:rPr>
          <w:spacing w:val="-2"/>
        </w:rPr>
        <w:t xml:space="preserve"> </w:t>
      </w:r>
      <w:r>
        <w:t>this</w:t>
      </w:r>
      <w:r>
        <w:rPr>
          <w:spacing w:val="-1"/>
        </w:rPr>
        <w:t xml:space="preserve"> </w:t>
      </w:r>
      <w:r>
        <w:t>data</w:t>
      </w:r>
      <w:r>
        <w:rPr>
          <w:spacing w:val="1"/>
        </w:rPr>
        <w:t xml:space="preserve"> </w:t>
      </w:r>
      <w:r>
        <w:rPr>
          <w:spacing w:val="-2"/>
        </w:rPr>
        <w:t>collection.</w:t>
      </w:r>
    </w:p>
    <w:p w:rsidR="00B41E06" w14:paraId="3F232ECB" w14:textId="77777777">
      <w:pPr>
        <w:pStyle w:val="Heading1"/>
        <w:numPr>
          <w:ilvl w:val="0"/>
          <w:numId w:val="5"/>
        </w:numPr>
        <w:tabs>
          <w:tab w:val="left" w:pos="907"/>
        </w:tabs>
        <w:ind w:hanging="547"/>
      </w:pPr>
      <w:bookmarkStart w:id="12" w:name="10._Confidentiality"/>
      <w:bookmarkEnd w:id="12"/>
      <w:r>
        <w:rPr>
          <w:spacing w:val="-2"/>
        </w:rPr>
        <w:t>Confidentiality</w:t>
      </w:r>
    </w:p>
    <w:p w:rsidR="00B41E06" w14:paraId="43C70A7F" w14:textId="77777777">
      <w:pPr>
        <w:pStyle w:val="BodyText"/>
        <w:ind w:left="359" w:right="365"/>
      </w:pPr>
      <w:r>
        <w:t>No</w:t>
      </w:r>
      <w:r>
        <w:rPr>
          <w:spacing w:val="-3"/>
        </w:rPr>
        <w:t xml:space="preserve"> </w:t>
      </w:r>
      <w:r>
        <w:t>personal</w:t>
      </w:r>
      <w:r>
        <w:rPr>
          <w:spacing w:val="-10"/>
        </w:rPr>
        <w:t xml:space="preserve"> </w:t>
      </w:r>
      <w:r>
        <w:t>information</w:t>
      </w:r>
      <w:r>
        <w:rPr>
          <w:spacing w:val="-8"/>
        </w:rPr>
        <w:t xml:space="preserve"> </w:t>
      </w:r>
      <w:r>
        <w:t>will</w:t>
      </w:r>
      <w:r>
        <w:rPr>
          <w:spacing w:val="-5"/>
        </w:rPr>
        <w:t xml:space="preserve"> </w:t>
      </w:r>
      <w:r>
        <w:t>be</w:t>
      </w:r>
      <w:r>
        <w:rPr>
          <w:spacing w:val="-7"/>
        </w:rPr>
        <w:t xml:space="preserve"> </w:t>
      </w:r>
      <w:r>
        <w:t>collected.</w:t>
      </w:r>
      <w:r>
        <w:rPr>
          <w:spacing w:val="-3"/>
        </w:rPr>
        <w:t xml:space="preserve"> </w:t>
      </w:r>
      <w:r>
        <w:t>All</w:t>
      </w:r>
      <w:r>
        <w:rPr>
          <w:spacing w:val="-5"/>
        </w:rPr>
        <w:t xml:space="preserve"> </w:t>
      </w:r>
      <w:r>
        <w:t>information</w:t>
      </w:r>
      <w:r>
        <w:rPr>
          <w:spacing w:val="-8"/>
        </w:rPr>
        <w:t xml:space="preserve"> </w:t>
      </w:r>
      <w:r>
        <w:t>will</w:t>
      </w:r>
      <w:r>
        <w:rPr>
          <w:spacing w:val="-5"/>
        </w:rPr>
        <w:t xml:space="preserve"> </w:t>
      </w:r>
      <w:r>
        <w:t>be</w:t>
      </w:r>
      <w:r>
        <w:rPr>
          <w:spacing w:val="-7"/>
        </w:rPr>
        <w:t xml:space="preserve"> </w:t>
      </w:r>
      <w:r>
        <w:t>kept</w:t>
      </w:r>
      <w:r>
        <w:rPr>
          <w:spacing w:val="-8"/>
        </w:rPr>
        <w:t xml:space="preserve"> </w:t>
      </w:r>
      <w:r>
        <w:t>private</w:t>
      </w:r>
      <w:r>
        <w:rPr>
          <w:spacing w:val="-12"/>
        </w:rPr>
        <w:t xml:space="preserve"> </w:t>
      </w:r>
      <w:r>
        <w:t>to</w:t>
      </w:r>
      <w:r>
        <w:rPr>
          <w:spacing w:val="-3"/>
        </w:rPr>
        <w:t xml:space="preserve"> </w:t>
      </w:r>
      <w:r>
        <w:t>the</w:t>
      </w:r>
      <w:r>
        <w:rPr>
          <w:spacing w:val="-7"/>
        </w:rPr>
        <w:t xml:space="preserve"> </w:t>
      </w:r>
      <w:r>
        <w:t>extent allowed by applicable laws/regulations.</w:t>
      </w:r>
    </w:p>
    <w:p w:rsidR="00B41E06" w14:paraId="45EA816E" w14:textId="77777777">
      <w:pPr>
        <w:pStyle w:val="Heading1"/>
        <w:numPr>
          <w:ilvl w:val="0"/>
          <w:numId w:val="5"/>
        </w:numPr>
        <w:tabs>
          <w:tab w:val="left" w:pos="907"/>
        </w:tabs>
      </w:pPr>
      <w:bookmarkStart w:id="13" w:name="11.__Sensitive_Questions"/>
      <w:bookmarkEnd w:id="13"/>
      <w:r>
        <w:t>Sensitive</w:t>
      </w:r>
      <w:r>
        <w:rPr>
          <w:spacing w:val="-15"/>
        </w:rPr>
        <w:t xml:space="preserve"> </w:t>
      </w:r>
      <w:r>
        <w:rPr>
          <w:spacing w:val="-2"/>
        </w:rPr>
        <w:t>Questions</w:t>
      </w:r>
    </w:p>
    <w:p w:rsidR="00B41E06" w14:paraId="507423E3" w14:textId="77777777">
      <w:pPr>
        <w:pStyle w:val="BodyText"/>
        <w:ind w:left="359"/>
      </w:pPr>
      <w:r>
        <w:t>No</w:t>
      </w:r>
      <w:r>
        <w:rPr>
          <w:spacing w:val="-3"/>
        </w:rPr>
        <w:t xml:space="preserve"> </w:t>
      </w:r>
      <w:r>
        <w:t>sensitive</w:t>
      </w:r>
      <w:r>
        <w:rPr>
          <w:spacing w:val="-8"/>
        </w:rPr>
        <w:t xml:space="preserve"> </w:t>
      </w:r>
      <w:r>
        <w:t>information</w:t>
      </w:r>
      <w:r>
        <w:rPr>
          <w:spacing w:val="-6"/>
        </w:rPr>
        <w:t xml:space="preserve"> </w:t>
      </w:r>
      <w:r>
        <w:t>will</w:t>
      </w:r>
      <w:r>
        <w:rPr>
          <w:spacing w:val="-5"/>
        </w:rPr>
        <w:t xml:space="preserve"> </w:t>
      </w:r>
      <w:r>
        <w:t>be</w:t>
      </w:r>
      <w:r>
        <w:rPr>
          <w:spacing w:val="-5"/>
        </w:rPr>
        <w:t xml:space="preserve"> </w:t>
      </w:r>
      <w:r>
        <w:rPr>
          <w:spacing w:val="-2"/>
        </w:rPr>
        <w:t>collected.</w:t>
      </w:r>
    </w:p>
    <w:p w:rsidR="00B41E06" w14:paraId="1291ADE2" w14:textId="77777777">
      <w:pPr>
        <w:pStyle w:val="Heading1"/>
        <w:numPr>
          <w:ilvl w:val="0"/>
          <w:numId w:val="5"/>
        </w:numPr>
        <w:tabs>
          <w:tab w:val="left" w:pos="907"/>
        </w:tabs>
      </w:pPr>
      <w:bookmarkStart w:id="14" w:name="12._Estimates_of_Annualized_Burden_Hours"/>
      <w:bookmarkEnd w:id="14"/>
      <w:r>
        <w:t>Estimates</w:t>
      </w:r>
      <w:r>
        <w:rPr>
          <w:spacing w:val="-9"/>
        </w:rPr>
        <w:t xml:space="preserve"> </w:t>
      </w:r>
      <w:r>
        <w:t>of</w:t>
      </w:r>
      <w:r>
        <w:rPr>
          <w:spacing w:val="1"/>
        </w:rPr>
        <w:t xml:space="preserve"> </w:t>
      </w:r>
      <w:r>
        <w:t>Annualized</w:t>
      </w:r>
      <w:r>
        <w:rPr>
          <w:spacing w:val="-7"/>
        </w:rPr>
        <w:t xml:space="preserve"> </w:t>
      </w:r>
      <w:r>
        <w:t>Burden</w:t>
      </w:r>
      <w:r>
        <w:rPr>
          <w:spacing w:val="-3"/>
        </w:rPr>
        <w:t xml:space="preserve"> </w:t>
      </w:r>
      <w:r>
        <w:t>Hours</w:t>
      </w:r>
      <w:r>
        <w:rPr>
          <w:spacing w:val="-6"/>
        </w:rPr>
        <w:t xml:space="preserve"> </w:t>
      </w:r>
      <w:r>
        <w:t>(Total</w:t>
      </w:r>
      <w:r>
        <w:rPr>
          <w:spacing w:val="-8"/>
        </w:rPr>
        <w:t xml:space="preserve"> </w:t>
      </w:r>
      <w:r>
        <w:t>Hours</w:t>
      </w:r>
      <w:r>
        <w:rPr>
          <w:spacing w:val="-6"/>
        </w:rPr>
        <w:t xml:space="preserve"> </w:t>
      </w:r>
      <w:r>
        <w:t>&amp;</w:t>
      </w:r>
      <w:r>
        <w:rPr>
          <w:spacing w:val="-4"/>
        </w:rPr>
        <w:t xml:space="preserve"> </w:t>
      </w:r>
      <w:r>
        <w:rPr>
          <w:spacing w:val="-2"/>
        </w:rPr>
        <w:t>Wages)</w:t>
      </w:r>
    </w:p>
    <w:p w:rsidR="00B41E06" w14:paraId="79C87896" w14:textId="77777777">
      <w:pPr>
        <w:pStyle w:val="ListParagraph"/>
        <w:numPr>
          <w:ilvl w:val="0"/>
          <w:numId w:val="3"/>
        </w:numPr>
        <w:tabs>
          <w:tab w:val="left" w:pos="1439"/>
        </w:tabs>
        <w:ind w:left="1439" w:hanging="499"/>
        <w:jc w:val="left"/>
        <w:rPr>
          <w:i/>
          <w:sz w:val="24"/>
        </w:rPr>
      </w:pPr>
      <w:bookmarkStart w:id="15" w:name="I._Implementation_and_Reporting_for_the_"/>
      <w:bookmarkEnd w:id="15"/>
      <w:r>
        <w:rPr>
          <w:i/>
          <w:sz w:val="24"/>
        </w:rPr>
        <w:t>Implementation</w:t>
      </w:r>
      <w:r>
        <w:rPr>
          <w:i/>
          <w:spacing w:val="-4"/>
          <w:sz w:val="24"/>
        </w:rPr>
        <w:t xml:space="preserve"> </w:t>
      </w:r>
      <w:r>
        <w:rPr>
          <w:i/>
          <w:sz w:val="24"/>
        </w:rPr>
        <w:t>and</w:t>
      </w:r>
      <w:r>
        <w:rPr>
          <w:i/>
          <w:spacing w:val="-2"/>
          <w:sz w:val="24"/>
        </w:rPr>
        <w:t xml:space="preserve"> </w:t>
      </w:r>
      <w:r>
        <w:rPr>
          <w:i/>
          <w:sz w:val="24"/>
        </w:rPr>
        <w:t>Reporting</w:t>
      </w:r>
      <w:r>
        <w:rPr>
          <w:i/>
          <w:spacing w:val="-1"/>
          <w:sz w:val="24"/>
        </w:rPr>
        <w:t xml:space="preserve"> </w:t>
      </w:r>
      <w:r>
        <w:rPr>
          <w:i/>
          <w:sz w:val="24"/>
        </w:rPr>
        <w:t>for</w:t>
      </w:r>
      <w:r>
        <w:rPr>
          <w:i/>
          <w:spacing w:val="-2"/>
          <w:sz w:val="24"/>
        </w:rPr>
        <w:t xml:space="preserve"> </w:t>
      </w:r>
      <w:r>
        <w:rPr>
          <w:i/>
          <w:sz w:val="24"/>
        </w:rPr>
        <w:t>the</w:t>
      </w:r>
      <w:r>
        <w:rPr>
          <w:i/>
          <w:spacing w:val="-3"/>
          <w:sz w:val="24"/>
        </w:rPr>
        <w:t xml:space="preserve"> </w:t>
      </w:r>
      <w:r>
        <w:rPr>
          <w:i/>
          <w:sz w:val="24"/>
        </w:rPr>
        <w:t>Quality</w:t>
      </w:r>
      <w:r>
        <w:rPr>
          <w:i/>
          <w:spacing w:val="-2"/>
          <w:sz w:val="24"/>
        </w:rPr>
        <w:t xml:space="preserve"> </w:t>
      </w:r>
      <w:r>
        <w:rPr>
          <w:i/>
          <w:sz w:val="24"/>
        </w:rPr>
        <w:t>Rating</w:t>
      </w:r>
      <w:r>
        <w:rPr>
          <w:i/>
          <w:spacing w:val="-2"/>
          <w:sz w:val="24"/>
        </w:rPr>
        <w:t xml:space="preserve"> </w:t>
      </w:r>
      <w:r>
        <w:rPr>
          <w:i/>
          <w:sz w:val="24"/>
        </w:rPr>
        <w:t>System</w:t>
      </w:r>
      <w:r>
        <w:rPr>
          <w:i/>
          <w:spacing w:val="-2"/>
          <w:sz w:val="24"/>
        </w:rPr>
        <w:t xml:space="preserve"> (QRS)</w:t>
      </w:r>
    </w:p>
    <w:p w:rsidR="00B41E06" w14:paraId="1AC70942" w14:textId="77777777">
      <w:pPr>
        <w:pStyle w:val="BodyText"/>
        <w:ind w:left="359" w:right="384"/>
      </w:pPr>
      <w:r>
        <w:t>The burden estimates detail the costs associated with QRS measure data collection, validation, and submission to CMS for a QHP issuer (issuer) operating in the Health Insurance Exchange. The estimate assumes 380 issuers, based on the number of issuers that have participated in the Marketplace</w:t>
      </w:r>
      <w:r>
        <w:rPr>
          <w:spacing w:val="-4"/>
        </w:rPr>
        <w:t xml:space="preserve"> </w:t>
      </w:r>
      <w:r>
        <w:t>Quality</w:t>
      </w:r>
      <w:r>
        <w:rPr>
          <w:spacing w:val="-1"/>
        </w:rPr>
        <w:t xml:space="preserve"> </w:t>
      </w:r>
      <w:r>
        <w:t>Initiatives</w:t>
      </w:r>
      <w:r>
        <w:rPr>
          <w:spacing w:val="-3"/>
        </w:rPr>
        <w:t xml:space="preserve"> </w:t>
      </w:r>
      <w:r>
        <w:t>programs</w:t>
      </w:r>
      <w:r>
        <w:rPr>
          <w:spacing w:val="-3"/>
        </w:rPr>
        <w:t xml:space="preserve"> </w:t>
      </w:r>
      <w:r>
        <w:t>annually,</w:t>
      </w:r>
      <w:r>
        <w:rPr>
          <w:spacing w:val="-3"/>
        </w:rPr>
        <w:t xml:space="preserve"> </w:t>
      </w:r>
      <w:r>
        <w:t>and</w:t>
      </w:r>
      <w:r>
        <w:rPr>
          <w:spacing w:val="-3"/>
        </w:rPr>
        <w:t xml:space="preserve"> </w:t>
      </w:r>
      <w:r>
        <w:t>covers</w:t>
      </w:r>
      <w:r>
        <w:rPr>
          <w:spacing w:val="-3"/>
        </w:rPr>
        <w:t xml:space="preserve"> </w:t>
      </w:r>
      <w:r>
        <w:t>the</w:t>
      </w:r>
      <w:r>
        <w:rPr>
          <w:spacing w:val="-4"/>
        </w:rPr>
        <w:t xml:space="preserve"> </w:t>
      </w:r>
      <w:r>
        <w:t>annual</w:t>
      </w:r>
      <w:r>
        <w:rPr>
          <w:spacing w:val="-1"/>
        </w:rPr>
        <w:t xml:space="preserve"> </w:t>
      </w:r>
      <w:r>
        <w:t>costs</w:t>
      </w:r>
      <w:r>
        <w:rPr>
          <w:spacing w:val="-3"/>
        </w:rPr>
        <w:t xml:space="preserve"> </w:t>
      </w:r>
      <w:r>
        <w:t>for</w:t>
      </w:r>
      <w:r>
        <w:rPr>
          <w:spacing w:val="-4"/>
        </w:rPr>
        <w:t xml:space="preserve"> </w:t>
      </w:r>
      <w:r>
        <w:t>an</w:t>
      </w:r>
      <w:r>
        <w:rPr>
          <w:spacing w:val="-3"/>
        </w:rPr>
        <w:t xml:space="preserve"> </w:t>
      </w:r>
      <w:r>
        <w:t>issuer</w:t>
      </w:r>
      <w:r>
        <w:rPr>
          <w:spacing w:val="-4"/>
        </w:rPr>
        <w:t xml:space="preserve"> </w:t>
      </w:r>
      <w:r>
        <w:t>over a three-year period (2025-2028). The estimate relies on the assumption that each issuer will report the QRS measure set only.</w:t>
      </w:r>
    </w:p>
    <w:p w:rsidR="00B41E06" w14:paraId="60BAD8B4" w14:textId="77777777">
      <w:pPr>
        <w:pStyle w:val="BodyText"/>
        <w:spacing w:before="121"/>
        <w:ind w:left="360" w:right="365"/>
      </w:pPr>
      <w:r>
        <w:rPr>
          <w:noProof/>
        </w:rPr>
        <mc:AlternateContent>
          <mc:Choice Requires="wps">
            <w:drawing>
              <wp:anchor distT="0" distB="0" distL="0" distR="0" simplePos="0" relativeHeight="251664384" behindDoc="1" locked="0" layoutInCell="1" allowOverlap="1">
                <wp:simplePos x="0" y="0"/>
                <wp:positionH relativeFrom="page">
                  <wp:posOffset>1924811</wp:posOffset>
                </wp:positionH>
                <wp:positionV relativeFrom="paragraph">
                  <wp:posOffset>733208</wp:posOffset>
                </wp:positionV>
                <wp:extent cx="15240" cy="14604"/>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 cy="14604"/>
                        </a:xfrm>
                        <a:prstGeom prst="rect">
                          <a:avLst/>
                        </a:prstGeom>
                      </wps:spPr>
                      <wps:txbx>
                        <w:txbxContent>
                          <w:p w:rsidR="00B41E06" w14:textId="77777777">
                            <w:pPr>
                              <w:spacing w:line="23" w:lineRule="exact"/>
                              <w:rPr>
                                <w:rFonts w:ascii="Cambria"/>
                                <w:sz w:val="2"/>
                              </w:rPr>
                            </w:pPr>
                            <w:r>
                              <w:rPr>
                                <w:rFonts w:ascii="Cambria"/>
                                <w:spacing w:val="-5"/>
                                <w:sz w:val="2"/>
                              </w:rPr>
                              <w:t>3F</w:t>
                            </w:r>
                          </w:p>
                        </w:txbxContent>
                      </wps:txbx>
                      <wps:bodyPr wrap="square" lIns="0" tIns="0" rIns="0" bIns="0" rtlCol="0"/>
                    </wps:wsp>
                  </a:graphicData>
                </a:graphic>
              </wp:anchor>
            </w:drawing>
          </mc:Choice>
          <mc:Fallback>
            <w:pict>
              <v:shape id="Textbox 7" o:spid="_x0000_s1030" type="#_x0000_t202" style="width:1.2pt;height:1.15pt;margin-top:57.75pt;margin-left:151.55pt;mso-position-horizontal-relative:page;mso-wrap-distance-bottom:0;mso-wrap-distance-left:0;mso-wrap-distance-right:0;mso-wrap-distance-top:0;mso-wrap-style:square;position:absolute;visibility:visible;v-text-anchor:top;z-index:-251651072" filled="f" stroked="f">
                <v:textbox inset="0,0,0,0">
                  <w:txbxContent>
                    <w:p w:rsidR="00B41E06" w14:paraId="1D631592" w14:textId="77777777">
                      <w:pPr>
                        <w:spacing w:line="23" w:lineRule="exact"/>
                        <w:rPr>
                          <w:rFonts w:ascii="Cambria"/>
                          <w:sz w:val="2"/>
                        </w:rPr>
                      </w:pPr>
                      <w:r>
                        <w:rPr>
                          <w:rFonts w:ascii="Cambria"/>
                          <w:spacing w:val="-5"/>
                          <w:sz w:val="2"/>
                        </w:rPr>
                        <w:t>3F</w:t>
                      </w:r>
                    </w:p>
                  </w:txbxContent>
                </v:textbox>
              </v:shape>
            </w:pict>
          </mc:Fallback>
        </mc:AlternateContent>
      </w:r>
      <w:r>
        <w:t>Though the QRS measure set consists of 39 measures, this burden estimate only considers the level of effort associated with 30 measures that specify data collection using administrative data sources and/or</w:t>
      </w:r>
      <w:r>
        <w:rPr>
          <w:spacing w:val="-1"/>
        </w:rPr>
        <w:t xml:space="preserve"> </w:t>
      </w:r>
      <w:r>
        <w:t>medical records. The</w:t>
      </w:r>
      <w:r>
        <w:rPr>
          <w:spacing w:val="-1"/>
        </w:rPr>
        <w:t xml:space="preserve"> </w:t>
      </w:r>
      <w:r>
        <w:t>burden estimates for</w:t>
      </w:r>
      <w:r>
        <w:rPr>
          <w:spacing w:val="-1"/>
        </w:rPr>
        <w:t xml:space="preserve"> </w:t>
      </w:r>
      <w:r>
        <w:t>survey respondents for</w:t>
      </w:r>
      <w:r>
        <w:rPr>
          <w:spacing w:val="-1"/>
        </w:rPr>
        <w:t xml:space="preserve"> </w:t>
      </w:r>
      <w:r>
        <w:t>the</w:t>
      </w:r>
      <w:r>
        <w:rPr>
          <w:spacing w:val="-1"/>
        </w:rPr>
        <w:t xml:space="preserve"> </w:t>
      </w:r>
      <w:r>
        <w:t>remaining 9 survey</w:t>
      </w:r>
      <w:r>
        <w:rPr>
          <w:spacing w:val="-4"/>
        </w:rPr>
        <w:t xml:space="preserve"> </w:t>
      </w:r>
      <w:r>
        <w:t>measures</w:t>
      </w:r>
      <w:r>
        <w:rPr>
          <w:spacing w:val="-36"/>
        </w:rPr>
        <w:t xml:space="preserve"> </w:t>
      </w:r>
      <w:r>
        <w:rPr>
          <w:vertAlign w:val="superscript"/>
        </w:rPr>
        <w:t>4</w:t>
      </w:r>
      <w:r>
        <w:rPr>
          <w:spacing w:val="-2"/>
        </w:rPr>
        <w:t xml:space="preserve"> </w:t>
      </w:r>
      <w:r>
        <w:t>in</w:t>
      </w:r>
      <w:r>
        <w:rPr>
          <w:spacing w:val="-3"/>
        </w:rPr>
        <w:t xml:space="preserve"> </w:t>
      </w:r>
      <w:r>
        <w:t>the</w:t>
      </w:r>
      <w:r>
        <w:rPr>
          <w:spacing w:val="-4"/>
        </w:rPr>
        <w:t xml:space="preserve"> </w:t>
      </w:r>
      <w:r>
        <w:t>QRS</w:t>
      </w:r>
      <w:r>
        <w:rPr>
          <w:spacing w:val="-3"/>
        </w:rPr>
        <w:t xml:space="preserve"> </w:t>
      </w:r>
      <w:r>
        <w:t>measure</w:t>
      </w:r>
      <w:r>
        <w:rPr>
          <w:spacing w:val="-4"/>
        </w:rPr>
        <w:t xml:space="preserve"> </w:t>
      </w:r>
      <w:r>
        <w:t>set</w:t>
      </w:r>
      <w:r>
        <w:rPr>
          <w:spacing w:val="-3"/>
        </w:rPr>
        <w:t xml:space="preserve"> </w:t>
      </w:r>
      <w:r>
        <w:t>was</w:t>
      </w:r>
      <w:r>
        <w:rPr>
          <w:spacing w:val="-1"/>
        </w:rPr>
        <w:t xml:space="preserve"> </w:t>
      </w:r>
      <w:r>
        <w:t>accounted</w:t>
      </w:r>
      <w:r>
        <w:rPr>
          <w:spacing w:val="-4"/>
        </w:rPr>
        <w:t xml:space="preserve"> </w:t>
      </w:r>
      <w:r>
        <w:t>for</w:t>
      </w:r>
      <w:r>
        <w:rPr>
          <w:spacing w:val="-4"/>
        </w:rPr>
        <w:t xml:space="preserve"> </w:t>
      </w:r>
      <w:r>
        <w:t>in</w:t>
      </w:r>
      <w:r>
        <w:rPr>
          <w:spacing w:val="-3"/>
        </w:rPr>
        <w:t xml:space="preserve"> </w:t>
      </w:r>
      <w:r>
        <w:t>a</w:t>
      </w:r>
      <w:r>
        <w:rPr>
          <w:spacing w:val="-4"/>
        </w:rPr>
        <w:t xml:space="preserve"> </w:t>
      </w:r>
      <w:r>
        <w:t>separate</w:t>
      </w:r>
      <w:r>
        <w:rPr>
          <w:spacing w:val="-2"/>
        </w:rPr>
        <w:t xml:space="preserve"> </w:t>
      </w:r>
      <w:r>
        <w:t>Information</w:t>
      </w:r>
      <w:r>
        <w:rPr>
          <w:spacing w:val="-3"/>
        </w:rPr>
        <w:t xml:space="preserve"> </w:t>
      </w:r>
      <w:r>
        <w:t>Collection Request (ICR) approved under OMB Control No. 0938-1221 related to the QHP Enrollee</w:t>
      </w:r>
    </w:p>
    <w:p w:rsidR="00B41E06" w14:paraId="7B186647" w14:textId="77777777">
      <w:pPr>
        <w:pStyle w:val="BodyText"/>
        <w:spacing w:before="229"/>
        <w:rPr>
          <w:sz w:val="20"/>
        </w:rPr>
      </w:pPr>
      <w:r>
        <w:rPr>
          <w:noProof/>
          <w:sz w:val="20"/>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306844</wp:posOffset>
                </wp:positionV>
                <wp:extent cx="1828800" cy="762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31" style="width:2in;height:0.6pt;margin-top:24.15pt;margin-left:1in;mso-position-horizontal-relative:page;mso-wrap-distance-bottom:0;mso-wrap-distance-left:0;mso-wrap-distance-right:0;mso-wrap-distance-top:0;mso-wrap-style:square;position:absolute;visibility:visible;v-text-anchor:top;z-index:-251638784" coordsize="1828800,7620" path="m1828800,l,,,7619l1828800,7619l1828800,xe" fillcolor="black" stroked="f">
                <v:path arrowok="t"/>
                <w10:wrap type="topAndBottom"/>
              </v:shape>
            </w:pict>
          </mc:Fallback>
        </mc:AlternateContent>
      </w:r>
    </w:p>
    <w:p w:rsidR="00B41E06" w14:paraId="7218996B" w14:textId="77777777">
      <w:pPr>
        <w:spacing w:before="103"/>
        <w:ind w:left="359" w:right="402"/>
        <w:jc w:val="both"/>
        <w:rPr>
          <w:sz w:val="20"/>
        </w:rPr>
      </w:pPr>
      <w:r>
        <w:rPr>
          <w:sz w:val="20"/>
          <w:vertAlign w:val="superscript"/>
        </w:rPr>
        <w:t>4</w:t>
      </w:r>
      <w:r>
        <w:rPr>
          <w:spacing w:val="-1"/>
          <w:sz w:val="20"/>
        </w:rPr>
        <w:t xml:space="preserve"> </w:t>
      </w:r>
      <w:r>
        <w:rPr>
          <w:sz w:val="20"/>
        </w:rPr>
        <w:t>The</w:t>
      </w:r>
      <w:r>
        <w:rPr>
          <w:spacing w:val="-1"/>
          <w:sz w:val="20"/>
        </w:rPr>
        <w:t xml:space="preserve"> </w:t>
      </w:r>
      <w:r>
        <w:rPr>
          <w:sz w:val="20"/>
        </w:rPr>
        <w:t>2025 QRS</w:t>
      </w:r>
      <w:r>
        <w:rPr>
          <w:spacing w:val="-1"/>
          <w:sz w:val="20"/>
        </w:rPr>
        <w:t xml:space="preserve"> </w:t>
      </w:r>
      <w:r>
        <w:rPr>
          <w:sz w:val="20"/>
        </w:rPr>
        <w:t>measure</w:t>
      </w:r>
      <w:r>
        <w:rPr>
          <w:spacing w:val="-1"/>
          <w:sz w:val="20"/>
        </w:rPr>
        <w:t xml:space="preserve"> </w:t>
      </w:r>
      <w:r>
        <w:rPr>
          <w:sz w:val="20"/>
        </w:rPr>
        <w:t>set</w:t>
      </w:r>
      <w:r>
        <w:rPr>
          <w:spacing w:val="-1"/>
          <w:sz w:val="20"/>
        </w:rPr>
        <w:t xml:space="preserve"> </w:t>
      </w:r>
      <w:r>
        <w:rPr>
          <w:sz w:val="20"/>
        </w:rPr>
        <w:t>includes</w:t>
      </w:r>
      <w:r>
        <w:rPr>
          <w:spacing w:val="-2"/>
          <w:sz w:val="20"/>
        </w:rPr>
        <w:t xml:space="preserve"> </w:t>
      </w:r>
      <w:r>
        <w:rPr>
          <w:sz w:val="20"/>
        </w:rPr>
        <w:t>9 survey measures, including:</w:t>
      </w:r>
      <w:r>
        <w:rPr>
          <w:spacing w:val="-1"/>
          <w:sz w:val="20"/>
        </w:rPr>
        <w:t xml:space="preserve"> </w:t>
      </w:r>
      <w:r>
        <w:rPr>
          <w:i/>
          <w:sz w:val="20"/>
        </w:rPr>
        <w:t>Medical</w:t>
      </w:r>
      <w:r>
        <w:rPr>
          <w:i/>
          <w:spacing w:val="-1"/>
          <w:sz w:val="20"/>
        </w:rPr>
        <w:t xml:space="preserve"> </w:t>
      </w:r>
      <w:r>
        <w:rPr>
          <w:i/>
          <w:sz w:val="20"/>
        </w:rPr>
        <w:t>Assistance</w:t>
      </w:r>
      <w:r>
        <w:rPr>
          <w:i/>
          <w:spacing w:val="-1"/>
          <w:sz w:val="20"/>
        </w:rPr>
        <w:t xml:space="preserve"> </w:t>
      </w:r>
      <w:r>
        <w:rPr>
          <w:i/>
          <w:sz w:val="20"/>
        </w:rPr>
        <w:t>with Smoking</w:t>
      </w:r>
      <w:r>
        <w:rPr>
          <w:i/>
          <w:spacing w:val="-2"/>
          <w:sz w:val="20"/>
        </w:rPr>
        <w:t xml:space="preserve"> </w:t>
      </w:r>
      <w:r>
        <w:rPr>
          <w:i/>
          <w:sz w:val="20"/>
        </w:rPr>
        <w:t>and Tobacco Use</w:t>
      </w:r>
      <w:r>
        <w:rPr>
          <w:i/>
          <w:spacing w:val="-3"/>
          <w:sz w:val="20"/>
        </w:rPr>
        <w:t xml:space="preserve"> </w:t>
      </w:r>
      <w:r>
        <w:rPr>
          <w:i/>
          <w:sz w:val="20"/>
        </w:rPr>
        <w:t>Cessation</w:t>
      </w:r>
      <w:r>
        <w:rPr>
          <w:sz w:val="20"/>
        </w:rPr>
        <w:t>,</w:t>
      </w:r>
      <w:r>
        <w:rPr>
          <w:spacing w:val="-2"/>
          <w:sz w:val="20"/>
        </w:rPr>
        <w:t xml:space="preserve"> </w:t>
      </w:r>
      <w:r>
        <w:rPr>
          <w:i/>
          <w:sz w:val="20"/>
        </w:rPr>
        <w:t>Access</w:t>
      </w:r>
      <w:r>
        <w:rPr>
          <w:i/>
          <w:spacing w:val="-4"/>
          <w:sz w:val="20"/>
        </w:rPr>
        <w:t xml:space="preserve"> </w:t>
      </w:r>
      <w:r>
        <w:rPr>
          <w:i/>
          <w:sz w:val="20"/>
        </w:rPr>
        <w:t>to</w:t>
      </w:r>
      <w:r>
        <w:rPr>
          <w:i/>
          <w:spacing w:val="-2"/>
          <w:sz w:val="20"/>
        </w:rPr>
        <w:t xml:space="preserve"> </w:t>
      </w:r>
      <w:r>
        <w:rPr>
          <w:i/>
          <w:sz w:val="20"/>
        </w:rPr>
        <w:t>Care</w:t>
      </w:r>
      <w:r>
        <w:rPr>
          <w:sz w:val="20"/>
        </w:rPr>
        <w:t>,</w:t>
      </w:r>
      <w:r>
        <w:rPr>
          <w:spacing w:val="-2"/>
          <w:sz w:val="20"/>
        </w:rPr>
        <w:t xml:space="preserve"> </w:t>
      </w:r>
      <w:r>
        <w:rPr>
          <w:i/>
          <w:sz w:val="20"/>
        </w:rPr>
        <w:t>Care</w:t>
      </w:r>
      <w:r>
        <w:rPr>
          <w:i/>
          <w:spacing w:val="-3"/>
          <w:sz w:val="20"/>
        </w:rPr>
        <w:t xml:space="preserve"> </w:t>
      </w:r>
      <w:r>
        <w:rPr>
          <w:i/>
          <w:sz w:val="20"/>
        </w:rPr>
        <w:t>Coordination</w:t>
      </w:r>
      <w:r>
        <w:rPr>
          <w:sz w:val="20"/>
        </w:rPr>
        <w:t>,</w:t>
      </w:r>
      <w:r>
        <w:rPr>
          <w:spacing w:val="-2"/>
          <w:sz w:val="20"/>
        </w:rPr>
        <w:t xml:space="preserve"> </w:t>
      </w:r>
      <w:r>
        <w:rPr>
          <w:i/>
          <w:sz w:val="20"/>
        </w:rPr>
        <w:t>Rating</w:t>
      </w:r>
      <w:r>
        <w:rPr>
          <w:i/>
          <w:spacing w:val="-2"/>
          <w:sz w:val="20"/>
        </w:rPr>
        <w:t xml:space="preserve"> </w:t>
      </w:r>
      <w:r>
        <w:rPr>
          <w:i/>
          <w:sz w:val="20"/>
        </w:rPr>
        <w:t>of</w:t>
      </w:r>
      <w:r>
        <w:rPr>
          <w:i/>
          <w:spacing w:val="-3"/>
          <w:sz w:val="20"/>
        </w:rPr>
        <w:t xml:space="preserve"> </w:t>
      </w:r>
      <w:r>
        <w:rPr>
          <w:i/>
          <w:sz w:val="20"/>
        </w:rPr>
        <w:t>All</w:t>
      </w:r>
      <w:r>
        <w:rPr>
          <w:i/>
          <w:spacing w:val="-3"/>
          <w:sz w:val="20"/>
        </w:rPr>
        <w:t xml:space="preserve"> </w:t>
      </w:r>
      <w:r>
        <w:rPr>
          <w:i/>
          <w:sz w:val="20"/>
        </w:rPr>
        <w:t>Health</w:t>
      </w:r>
      <w:r>
        <w:rPr>
          <w:i/>
          <w:spacing w:val="-2"/>
          <w:sz w:val="20"/>
        </w:rPr>
        <w:t xml:space="preserve"> </w:t>
      </w:r>
      <w:r>
        <w:rPr>
          <w:i/>
          <w:sz w:val="20"/>
        </w:rPr>
        <w:t>Care</w:t>
      </w:r>
      <w:r>
        <w:rPr>
          <w:sz w:val="20"/>
        </w:rPr>
        <w:t>,</w:t>
      </w:r>
      <w:r>
        <w:rPr>
          <w:spacing w:val="-2"/>
          <w:sz w:val="20"/>
        </w:rPr>
        <w:t xml:space="preserve"> </w:t>
      </w:r>
      <w:r>
        <w:rPr>
          <w:i/>
          <w:sz w:val="20"/>
        </w:rPr>
        <w:t>Rating</w:t>
      </w:r>
      <w:r>
        <w:rPr>
          <w:i/>
          <w:spacing w:val="-2"/>
          <w:sz w:val="20"/>
        </w:rPr>
        <w:t xml:space="preserve"> </w:t>
      </w:r>
      <w:r>
        <w:rPr>
          <w:i/>
          <w:sz w:val="20"/>
        </w:rPr>
        <w:t>of</w:t>
      </w:r>
      <w:r>
        <w:rPr>
          <w:i/>
          <w:spacing w:val="-3"/>
          <w:sz w:val="20"/>
        </w:rPr>
        <w:t xml:space="preserve"> </w:t>
      </w:r>
      <w:r>
        <w:rPr>
          <w:i/>
          <w:sz w:val="20"/>
        </w:rPr>
        <w:t>Personal</w:t>
      </w:r>
      <w:r>
        <w:rPr>
          <w:i/>
          <w:spacing w:val="-3"/>
          <w:sz w:val="20"/>
        </w:rPr>
        <w:t xml:space="preserve"> </w:t>
      </w:r>
      <w:r>
        <w:rPr>
          <w:i/>
          <w:sz w:val="20"/>
        </w:rPr>
        <w:t>Doctor</w:t>
      </w:r>
      <w:r>
        <w:rPr>
          <w:sz w:val="20"/>
        </w:rPr>
        <w:t>,</w:t>
      </w:r>
      <w:r>
        <w:rPr>
          <w:spacing w:val="-2"/>
          <w:sz w:val="20"/>
        </w:rPr>
        <w:t xml:space="preserve"> </w:t>
      </w:r>
      <w:r>
        <w:rPr>
          <w:i/>
          <w:sz w:val="20"/>
        </w:rPr>
        <w:t>Rating</w:t>
      </w:r>
      <w:r>
        <w:rPr>
          <w:i/>
          <w:spacing w:val="-4"/>
          <w:sz w:val="20"/>
        </w:rPr>
        <w:t xml:space="preserve"> </w:t>
      </w:r>
      <w:r>
        <w:rPr>
          <w:i/>
          <w:sz w:val="20"/>
        </w:rPr>
        <w:t>of Specialist</w:t>
      </w:r>
      <w:r>
        <w:rPr>
          <w:sz w:val="20"/>
        </w:rPr>
        <w:t xml:space="preserve">, </w:t>
      </w:r>
      <w:r>
        <w:rPr>
          <w:i/>
          <w:sz w:val="20"/>
        </w:rPr>
        <w:t>Access to Information</w:t>
      </w:r>
      <w:r>
        <w:rPr>
          <w:sz w:val="20"/>
        </w:rPr>
        <w:t xml:space="preserve">, </w:t>
      </w:r>
      <w:r>
        <w:rPr>
          <w:i/>
          <w:sz w:val="20"/>
        </w:rPr>
        <w:t>Plan Administration</w:t>
      </w:r>
      <w:r>
        <w:rPr>
          <w:sz w:val="20"/>
        </w:rPr>
        <w:t xml:space="preserve">, and </w:t>
      </w:r>
      <w:r>
        <w:rPr>
          <w:i/>
          <w:sz w:val="20"/>
        </w:rPr>
        <w:t>Rating of Health Plan</w:t>
      </w:r>
      <w:r>
        <w:rPr>
          <w:sz w:val="20"/>
        </w:rPr>
        <w:t>.</w:t>
      </w:r>
    </w:p>
    <w:p w:rsidR="00B41E06" w14:paraId="34C27FCE" w14:textId="77777777">
      <w:pPr>
        <w:jc w:val="both"/>
        <w:rPr>
          <w:sz w:val="20"/>
        </w:rPr>
        <w:sectPr>
          <w:pgSz w:w="12240" w:h="15840"/>
          <w:pgMar w:top="1360" w:right="1080" w:bottom="980" w:left="1080" w:header="0" w:footer="787" w:gutter="0"/>
          <w:cols w:space="720"/>
        </w:sectPr>
      </w:pPr>
    </w:p>
    <w:p w:rsidR="00B41E06" w14:paraId="24ADC4E6" w14:textId="77777777">
      <w:pPr>
        <w:pStyle w:val="BodyText"/>
        <w:spacing w:before="79"/>
        <w:ind w:left="360" w:right="365"/>
      </w:pPr>
      <w:r>
        <w:rPr>
          <w:noProof/>
        </w:rPr>
        <mc:AlternateContent>
          <mc:Choice Requires="wps">
            <w:drawing>
              <wp:anchor distT="0" distB="0" distL="0" distR="0" simplePos="0" relativeHeight="251666432" behindDoc="1" locked="0" layoutInCell="1" allowOverlap="1">
                <wp:simplePos x="0" y="0"/>
                <wp:positionH relativeFrom="page">
                  <wp:posOffset>5387340</wp:posOffset>
                </wp:positionH>
                <wp:positionV relativeFrom="paragraph">
                  <wp:posOffset>531467</wp:posOffset>
                </wp:positionV>
                <wp:extent cx="15240" cy="14604"/>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 cy="14604"/>
                        </a:xfrm>
                        <a:prstGeom prst="rect">
                          <a:avLst/>
                        </a:prstGeom>
                      </wps:spPr>
                      <wps:txbx>
                        <w:txbxContent>
                          <w:p w:rsidR="00B41E06" w14:textId="77777777">
                            <w:pPr>
                              <w:spacing w:line="23" w:lineRule="exact"/>
                              <w:rPr>
                                <w:rFonts w:ascii="Cambria"/>
                                <w:sz w:val="2"/>
                              </w:rPr>
                            </w:pPr>
                            <w:r>
                              <w:rPr>
                                <w:rFonts w:ascii="Cambria"/>
                                <w:spacing w:val="-5"/>
                                <w:sz w:val="2"/>
                              </w:rPr>
                              <w:t>4F</w:t>
                            </w:r>
                          </w:p>
                        </w:txbxContent>
                      </wps:txbx>
                      <wps:bodyPr wrap="square" lIns="0" tIns="0" rIns="0" bIns="0" rtlCol="0"/>
                    </wps:wsp>
                  </a:graphicData>
                </a:graphic>
              </wp:anchor>
            </w:drawing>
          </mc:Choice>
          <mc:Fallback>
            <w:pict>
              <v:shape id="Textbox 9" o:spid="_x0000_s1032" type="#_x0000_t202" style="width:1.2pt;height:1.15pt;margin-top:41.85pt;margin-left:424.2pt;mso-position-horizontal-relative:page;mso-wrap-distance-bottom:0;mso-wrap-distance-left:0;mso-wrap-distance-right:0;mso-wrap-distance-top:0;mso-wrap-style:square;position:absolute;visibility:visible;v-text-anchor:top;z-index:-251649024" filled="f" stroked="f">
                <v:textbox inset="0,0,0,0">
                  <w:txbxContent>
                    <w:p w:rsidR="00B41E06" w14:paraId="7EC0C5EE" w14:textId="77777777">
                      <w:pPr>
                        <w:spacing w:line="23" w:lineRule="exact"/>
                        <w:rPr>
                          <w:rFonts w:ascii="Cambria"/>
                          <w:sz w:val="2"/>
                        </w:rPr>
                      </w:pPr>
                      <w:r>
                        <w:rPr>
                          <w:rFonts w:ascii="Cambria"/>
                          <w:spacing w:val="-5"/>
                          <w:sz w:val="2"/>
                        </w:rPr>
                        <w:t>4F</w:t>
                      </w:r>
                    </w:p>
                  </w:txbxContent>
                </v:textbox>
              </v:shape>
            </w:pict>
          </mc:Fallback>
        </mc:AlternateContent>
      </w:r>
      <w:r>
        <w:t>Experience</w:t>
      </w:r>
      <w:r>
        <w:rPr>
          <w:spacing w:val="-4"/>
        </w:rPr>
        <w:t xml:space="preserve"> </w:t>
      </w:r>
      <w:r>
        <w:t>Survey.</w:t>
      </w:r>
      <w:r>
        <w:rPr>
          <w:spacing w:val="-3"/>
        </w:rPr>
        <w:t xml:space="preserve"> </w:t>
      </w:r>
      <w:r>
        <w:t>See</w:t>
      </w:r>
      <w:r>
        <w:rPr>
          <w:spacing w:val="-2"/>
        </w:rPr>
        <w:t xml:space="preserve"> </w:t>
      </w:r>
      <w:hyperlink w:anchor="_bookmark0" w:history="1">
        <w:r>
          <w:t>Exhibit</w:t>
        </w:r>
        <w:r>
          <w:rPr>
            <w:spacing w:val="-3"/>
          </w:rPr>
          <w:t xml:space="preserve"> </w:t>
        </w:r>
        <w:r>
          <w:t>1</w:t>
        </w:r>
      </w:hyperlink>
      <w:r>
        <w:rPr>
          <w:spacing w:val="-3"/>
        </w:rPr>
        <w:t xml:space="preserve"> </w:t>
      </w:r>
      <w:r>
        <w:t>for</w:t>
      </w:r>
      <w:r>
        <w:rPr>
          <w:spacing w:val="-4"/>
        </w:rPr>
        <w:t xml:space="preserve"> </w:t>
      </w:r>
      <w:r>
        <w:t>the</w:t>
      </w:r>
      <w:r>
        <w:rPr>
          <w:spacing w:val="-4"/>
        </w:rPr>
        <w:t xml:space="preserve"> </w:t>
      </w:r>
      <w:r>
        <w:t>QRS</w:t>
      </w:r>
      <w:r>
        <w:rPr>
          <w:spacing w:val="-3"/>
        </w:rPr>
        <w:t xml:space="preserve"> </w:t>
      </w:r>
      <w:r>
        <w:t>measure</w:t>
      </w:r>
      <w:r>
        <w:rPr>
          <w:spacing w:val="-4"/>
        </w:rPr>
        <w:t xml:space="preserve"> </w:t>
      </w:r>
      <w:r>
        <w:t>set</w:t>
      </w:r>
      <w:r>
        <w:rPr>
          <w:spacing w:val="-3"/>
        </w:rPr>
        <w:t xml:space="preserve"> </w:t>
      </w:r>
      <w:r>
        <w:t>attributes</w:t>
      </w:r>
      <w:r>
        <w:rPr>
          <w:spacing w:val="-3"/>
        </w:rPr>
        <w:t xml:space="preserve"> </w:t>
      </w:r>
      <w:r>
        <w:t>considered</w:t>
      </w:r>
      <w:r>
        <w:rPr>
          <w:spacing w:val="-3"/>
        </w:rPr>
        <w:t xml:space="preserve"> </w:t>
      </w:r>
      <w:r>
        <w:t>in</w:t>
      </w:r>
      <w:r>
        <w:rPr>
          <w:spacing w:val="-3"/>
        </w:rPr>
        <w:t xml:space="preserve"> </w:t>
      </w:r>
      <w:r>
        <w:t>estimating</w:t>
      </w:r>
      <w:r>
        <w:rPr>
          <w:spacing w:val="-3"/>
        </w:rPr>
        <w:t xml:space="preserve"> </w:t>
      </w:r>
      <w:r>
        <w:t>the burden of QRS measure data collection. The original burden estimates were made based on the draft QRS measure set released in the FRN published November 3, 2013.</w:t>
      </w:r>
      <w:r>
        <w:rPr>
          <w:spacing w:val="-32"/>
        </w:rPr>
        <w:t xml:space="preserve"> </w:t>
      </w:r>
      <w:r>
        <w:rPr>
          <w:vertAlign w:val="superscript"/>
        </w:rPr>
        <w:t>5</w:t>
      </w:r>
    </w:p>
    <w:p w:rsidR="00B41E06" w14:paraId="396774D6" w14:textId="77777777">
      <w:pPr>
        <w:pStyle w:val="BodyText"/>
        <w:spacing w:before="124" w:line="235" w:lineRule="auto"/>
        <w:ind w:left="360" w:right="419"/>
      </w:pPr>
      <w:r>
        <w:t>CMS reviewed the assumptions and data inputs used to create the original QRS burden estimates. Since publication of the ICR, the QRS measure set was revised and published shortly after</w:t>
      </w:r>
      <w:r>
        <w:rPr>
          <w:spacing w:val="-4"/>
        </w:rPr>
        <w:t xml:space="preserve"> </w:t>
      </w:r>
      <w:r>
        <w:t>the</w:t>
      </w:r>
      <w:r>
        <w:rPr>
          <w:spacing w:val="-4"/>
        </w:rPr>
        <w:t xml:space="preserve"> </w:t>
      </w:r>
      <w:r>
        <w:t>issuance</w:t>
      </w:r>
      <w:r>
        <w:rPr>
          <w:spacing w:val="-4"/>
        </w:rPr>
        <w:t xml:space="preserve"> </w:t>
      </w:r>
      <w:r>
        <w:t>of</w:t>
      </w:r>
      <w:r>
        <w:rPr>
          <w:spacing w:val="-4"/>
        </w:rPr>
        <w:t xml:space="preserve"> </w:t>
      </w:r>
      <w:r>
        <w:t>the</w:t>
      </w:r>
      <w:r>
        <w:rPr>
          <w:spacing w:val="-2"/>
        </w:rPr>
        <w:t xml:space="preserve"> </w:t>
      </w:r>
      <w:r>
        <w:t>Final</w:t>
      </w:r>
      <w:r>
        <w:rPr>
          <w:spacing w:val="-3"/>
        </w:rPr>
        <w:t xml:space="preserve"> </w:t>
      </w:r>
      <w:r>
        <w:rPr>
          <w:spacing w:val="-1"/>
          <w:w w:val="101"/>
        </w:rPr>
        <w:t>Rul</w:t>
      </w:r>
      <w:r>
        <w:rPr>
          <w:spacing w:val="-2"/>
          <w:w w:val="101"/>
        </w:rPr>
        <w:t>e</w:t>
      </w:r>
      <w:r>
        <w:rPr>
          <w:spacing w:val="-1"/>
          <w:w w:val="101"/>
        </w:rPr>
        <w:t>.</w:t>
      </w:r>
      <w:r>
        <w:rPr>
          <w:rFonts w:ascii="Cambria"/>
          <w:w w:val="97"/>
          <w:sz w:val="2"/>
        </w:rPr>
        <w:t>5F</w:t>
      </w:r>
      <w:r>
        <w:rPr>
          <w:spacing w:val="-1"/>
          <w:w w:val="101"/>
          <w:position w:val="9"/>
          <w:sz w:val="16"/>
        </w:rPr>
        <w:t>6</w:t>
      </w:r>
      <w:r>
        <w:rPr>
          <w:spacing w:val="18"/>
          <w:position w:val="9"/>
          <w:sz w:val="16"/>
        </w:rPr>
        <w:t xml:space="preserve"> </w:t>
      </w:r>
      <w:r>
        <w:t>Subsequently,</w:t>
      </w:r>
      <w:r>
        <w:rPr>
          <w:spacing w:val="-3"/>
        </w:rPr>
        <w:t xml:space="preserve"> </w:t>
      </w:r>
      <w:r>
        <w:t>several</w:t>
      </w:r>
      <w:r>
        <w:rPr>
          <w:spacing w:val="-1"/>
        </w:rPr>
        <w:t xml:space="preserve"> </w:t>
      </w:r>
      <w:r>
        <w:t>additional</w:t>
      </w:r>
      <w:r>
        <w:rPr>
          <w:spacing w:val="-3"/>
        </w:rPr>
        <w:t xml:space="preserve"> </w:t>
      </w:r>
      <w:r>
        <w:t>changes</w:t>
      </w:r>
      <w:r>
        <w:rPr>
          <w:spacing w:val="-3"/>
        </w:rPr>
        <w:t xml:space="preserve"> </w:t>
      </w:r>
      <w:r>
        <w:t>to</w:t>
      </w:r>
      <w:r>
        <w:rPr>
          <w:spacing w:val="-4"/>
        </w:rPr>
        <w:t xml:space="preserve"> </w:t>
      </w:r>
      <w:r>
        <w:t>the</w:t>
      </w:r>
      <w:r>
        <w:rPr>
          <w:spacing w:val="-4"/>
        </w:rPr>
        <w:t xml:space="preserve"> </w:t>
      </w:r>
      <w:r>
        <w:t>measure</w:t>
      </w:r>
      <w:r>
        <w:rPr>
          <w:spacing w:val="-4"/>
        </w:rPr>
        <w:t xml:space="preserve"> </w:t>
      </w:r>
      <w:r>
        <w:t>set were made through the annual QRS Call Letter p</w:t>
      </w:r>
      <w:r>
        <w:rPr>
          <w:spacing w:val="-1"/>
        </w:rPr>
        <w:t>r</w:t>
      </w:r>
      <w:r>
        <w:t>o</w:t>
      </w:r>
      <w:r>
        <w:rPr>
          <w:spacing w:val="-1"/>
        </w:rPr>
        <w:t>ce</w:t>
      </w:r>
      <w:r>
        <w:t>ss.</w:t>
      </w:r>
      <w:r>
        <w:rPr>
          <w:rFonts w:ascii="Cambria"/>
          <w:spacing w:val="1"/>
          <w:w w:val="96"/>
          <w:sz w:val="2"/>
        </w:rPr>
        <w:t>6F</w:t>
      </w:r>
      <w:r>
        <w:rPr>
          <w:position w:val="9"/>
          <w:sz w:val="16"/>
        </w:rPr>
        <w:t>7</w:t>
      </w:r>
      <w:r>
        <w:rPr>
          <w:spacing w:val="23"/>
          <w:position w:val="9"/>
          <w:sz w:val="16"/>
        </w:rPr>
        <w:t xml:space="preserve"> </w:t>
      </w:r>
      <w:r>
        <w:t>Additionally, beginning in 2019, CMS modified the QRS Measure Technical Specifications for the HEDIS measures, such that the hybrid data collection method is optional rather than a requirement as in previous years. Since 2023, CMS has incorporated the Electronic Clinical Data Systems (ECDS) reporting method as an optional reporting method for select QRS measures. Beginning in 2025, QHP issuers are required to submit data for select QRS measures using the ECDS reporting m</w:t>
      </w:r>
      <w:r>
        <w:rPr>
          <w:spacing w:val="-1"/>
        </w:rPr>
        <w:t>e</w:t>
      </w:r>
      <w:r>
        <w:t>thod</w:t>
      </w:r>
      <w:r>
        <w:rPr>
          <w:spacing w:val="-1"/>
        </w:rPr>
        <w:t>.</w:t>
      </w:r>
      <w:r>
        <w:rPr>
          <w:rFonts w:ascii="Cambria"/>
          <w:spacing w:val="-2"/>
          <w:w w:val="96"/>
          <w:sz w:val="2"/>
        </w:rPr>
        <w:t>7</w:t>
      </w:r>
      <w:r>
        <w:rPr>
          <w:rFonts w:ascii="Cambria"/>
          <w:spacing w:val="1"/>
          <w:w w:val="96"/>
          <w:sz w:val="2"/>
        </w:rPr>
        <w:t>F</w:t>
      </w:r>
      <w:r>
        <w:rPr>
          <w:position w:val="9"/>
          <w:sz w:val="16"/>
        </w:rPr>
        <w:t>8</w:t>
      </w:r>
      <w:r>
        <w:rPr>
          <w:spacing w:val="32"/>
          <w:position w:val="9"/>
          <w:sz w:val="16"/>
        </w:rPr>
        <w:t xml:space="preserve"> </w:t>
      </w:r>
      <w:r>
        <w:t>Data sources for fulfilling the ECDS reporting requirement are to the same as those used for traditional administrative reporting (i.e., claims and other administrative data).</w:t>
      </w:r>
    </w:p>
    <w:p w:rsidR="00B41E06" w14:paraId="50FA01F2" w14:textId="77777777">
      <w:pPr>
        <w:pStyle w:val="BodyText"/>
        <w:spacing w:before="131"/>
        <w:ind w:left="360" w:right="365"/>
      </w:pPr>
      <w:r>
        <w:t>Due</w:t>
      </w:r>
      <w:r>
        <w:rPr>
          <w:spacing w:val="-3"/>
        </w:rPr>
        <w:t xml:space="preserve"> </w:t>
      </w:r>
      <w:r>
        <w:t>to</w:t>
      </w:r>
      <w:r>
        <w:rPr>
          <w:spacing w:val="-2"/>
        </w:rPr>
        <w:t xml:space="preserve"> </w:t>
      </w:r>
      <w:r>
        <w:t>the</w:t>
      </w:r>
      <w:r>
        <w:rPr>
          <w:spacing w:val="-3"/>
        </w:rPr>
        <w:t xml:space="preserve"> </w:t>
      </w:r>
      <w:r>
        <w:t>changes</w:t>
      </w:r>
      <w:r>
        <w:rPr>
          <w:spacing w:val="-2"/>
        </w:rPr>
        <w:t xml:space="preserve"> </w:t>
      </w:r>
      <w:r>
        <w:t>in</w:t>
      </w:r>
      <w:r>
        <w:rPr>
          <w:spacing w:val="-2"/>
        </w:rPr>
        <w:t xml:space="preserve"> </w:t>
      </w:r>
      <w:r>
        <w:t>the</w:t>
      </w:r>
      <w:r>
        <w:rPr>
          <w:spacing w:val="-1"/>
        </w:rPr>
        <w:t xml:space="preserve"> </w:t>
      </w:r>
      <w:r>
        <w:t>QRS</w:t>
      </w:r>
      <w:r>
        <w:rPr>
          <w:spacing w:val="-2"/>
        </w:rPr>
        <w:t xml:space="preserve"> </w:t>
      </w:r>
      <w:r>
        <w:t>measure</w:t>
      </w:r>
      <w:r>
        <w:rPr>
          <w:spacing w:val="-3"/>
        </w:rPr>
        <w:t xml:space="preserve"> </w:t>
      </w:r>
      <w:r>
        <w:t>set</w:t>
      </w:r>
      <w:r>
        <w:rPr>
          <w:spacing w:val="-2"/>
        </w:rPr>
        <w:t xml:space="preserve"> </w:t>
      </w:r>
      <w:r>
        <w:t>(e.g., measure</w:t>
      </w:r>
      <w:r>
        <w:rPr>
          <w:spacing w:val="-3"/>
        </w:rPr>
        <w:t xml:space="preserve"> </w:t>
      </w:r>
      <w:r>
        <w:t>removals</w:t>
      </w:r>
      <w:r>
        <w:rPr>
          <w:spacing w:val="-2"/>
        </w:rPr>
        <w:t xml:space="preserve"> </w:t>
      </w:r>
      <w:r>
        <w:t>and additions),</w:t>
      </w:r>
      <w:r>
        <w:rPr>
          <w:spacing w:val="-2"/>
        </w:rPr>
        <w:t xml:space="preserve"> </w:t>
      </w:r>
      <w:r>
        <w:t>CMS</w:t>
      </w:r>
      <w:r>
        <w:rPr>
          <w:spacing w:val="-2"/>
        </w:rPr>
        <w:t xml:space="preserve"> </w:t>
      </w:r>
      <w:r>
        <w:t>revised the</w:t>
      </w:r>
      <w:r>
        <w:rPr>
          <w:spacing w:val="-3"/>
        </w:rPr>
        <w:t xml:space="preserve"> </w:t>
      </w:r>
      <w:r>
        <w:t>burden</w:t>
      </w:r>
      <w:r>
        <w:rPr>
          <w:spacing w:val="-2"/>
        </w:rPr>
        <w:t xml:space="preserve"> </w:t>
      </w:r>
      <w:r>
        <w:t>estimate</w:t>
      </w:r>
      <w:r>
        <w:rPr>
          <w:spacing w:val="-3"/>
        </w:rPr>
        <w:t xml:space="preserve"> </w:t>
      </w:r>
      <w:r>
        <w:t>to</w:t>
      </w:r>
      <w:r>
        <w:rPr>
          <w:spacing w:val="-2"/>
        </w:rPr>
        <w:t xml:space="preserve"> </w:t>
      </w:r>
      <w:r>
        <w:t>reflect</w:t>
      </w:r>
      <w:r>
        <w:rPr>
          <w:spacing w:val="-2"/>
        </w:rPr>
        <w:t xml:space="preserve"> </w:t>
      </w:r>
      <w:r>
        <w:t>the</w:t>
      </w:r>
      <w:r>
        <w:rPr>
          <w:spacing w:val="-3"/>
        </w:rPr>
        <w:t xml:space="preserve"> </w:t>
      </w:r>
      <w:r>
        <w:t>final</w:t>
      </w:r>
      <w:r>
        <w:rPr>
          <w:spacing w:val="-2"/>
        </w:rPr>
        <w:t xml:space="preserve"> </w:t>
      </w:r>
      <w:r>
        <w:t>2025</w:t>
      </w:r>
      <w:r>
        <w:rPr>
          <w:spacing w:val="-2"/>
        </w:rPr>
        <w:t xml:space="preserve"> </w:t>
      </w:r>
      <w:r>
        <w:t>QRS</w:t>
      </w:r>
      <w:r>
        <w:rPr>
          <w:spacing w:val="-2"/>
        </w:rPr>
        <w:t xml:space="preserve"> </w:t>
      </w:r>
      <w:r>
        <w:t>measure</w:t>
      </w:r>
      <w:r>
        <w:rPr>
          <w:spacing w:val="-3"/>
        </w:rPr>
        <w:t xml:space="preserve"> </w:t>
      </w:r>
      <w:r>
        <w:t>set.</w:t>
      </w:r>
      <w:r>
        <w:rPr>
          <w:spacing w:val="-2"/>
        </w:rPr>
        <w:t xml:space="preserve"> </w:t>
      </w:r>
      <w:hyperlink w:anchor="_bookmark1" w:history="1">
        <w:r>
          <w:t>Exhibit</w:t>
        </w:r>
        <w:r>
          <w:rPr>
            <w:spacing w:val="-2"/>
          </w:rPr>
          <w:t xml:space="preserve"> </w:t>
        </w:r>
        <w:r>
          <w:t>1</w:t>
        </w:r>
      </w:hyperlink>
      <w:r>
        <w:rPr>
          <w:spacing w:val="-2"/>
        </w:rPr>
        <w:t xml:space="preserve"> </w:t>
      </w:r>
      <w:r>
        <w:t>shows</w:t>
      </w:r>
      <w:r>
        <w:rPr>
          <w:spacing w:val="-2"/>
        </w:rPr>
        <w:t xml:space="preserve"> </w:t>
      </w:r>
      <w:r>
        <w:t>the</w:t>
      </w:r>
      <w:r>
        <w:rPr>
          <w:spacing w:val="-3"/>
        </w:rPr>
        <w:t xml:space="preserve"> </w:t>
      </w:r>
      <w:r>
        <w:t>change</w:t>
      </w:r>
      <w:r>
        <w:rPr>
          <w:spacing w:val="-3"/>
        </w:rPr>
        <w:t xml:space="preserve"> </w:t>
      </w:r>
      <w:r>
        <w:t>in</w:t>
      </w:r>
      <w:r>
        <w:rPr>
          <w:spacing w:val="-2"/>
        </w:rPr>
        <w:t xml:space="preserve"> </w:t>
      </w:r>
      <w:r>
        <w:t>key measure set attributes between the draft QRS measure set, the final 2015 beta test QRS measure set, the 2022 QRS measure set and the current QRS measure set (i.e., 2025 QRS</w:t>
      </w:r>
      <w:bookmarkStart w:id="16" w:name="_bookmark0"/>
      <w:bookmarkEnd w:id="16"/>
      <w:r>
        <w:t>).</w:t>
      </w:r>
    </w:p>
    <w:p w:rsidR="00B41E06" w14:paraId="22297057" w14:textId="77777777">
      <w:pPr>
        <w:pStyle w:val="Heading1"/>
        <w:spacing w:before="122" w:after="60"/>
        <w:ind w:left="360" w:firstLine="0"/>
        <w:rPr>
          <w:rFonts w:ascii="Arial Narrow"/>
        </w:rPr>
      </w:pPr>
      <w:bookmarkStart w:id="17" w:name="_bookmark1"/>
      <w:bookmarkEnd w:id="17"/>
      <w:r>
        <w:rPr>
          <w:rFonts w:ascii="Arial Narrow"/>
        </w:rPr>
        <w:t>Exhibit</w:t>
      </w:r>
      <w:r>
        <w:rPr>
          <w:rFonts w:ascii="Arial Narrow"/>
          <w:spacing w:val="-12"/>
        </w:rPr>
        <w:t xml:space="preserve"> </w:t>
      </w:r>
      <w:r>
        <w:rPr>
          <w:rFonts w:ascii="Arial Narrow"/>
        </w:rPr>
        <w:t>1.</w:t>
      </w:r>
      <w:r>
        <w:rPr>
          <w:rFonts w:ascii="Arial Narrow"/>
          <w:spacing w:val="-9"/>
        </w:rPr>
        <w:t xml:space="preserve"> </w:t>
      </w:r>
      <w:r>
        <w:rPr>
          <w:rFonts w:ascii="Arial Narrow"/>
        </w:rPr>
        <w:t>QRS</w:t>
      </w:r>
      <w:r>
        <w:rPr>
          <w:rFonts w:ascii="Arial Narrow"/>
          <w:spacing w:val="-6"/>
        </w:rPr>
        <w:t xml:space="preserve"> </w:t>
      </w:r>
      <w:r>
        <w:rPr>
          <w:rFonts w:ascii="Arial Narrow"/>
        </w:rPr>
        <w:t>Measure</w:t>
      </w:r>
      <w:r>
        <w:rPr>
          <w:rFonts w:ascii="Arial Narrow"/>
          <w:spacing w:val="-10"/>
        </w:rPr>
        <w:t xml:space="preserve"> </w:t>
      </w:r>
      <w:r>
        <w:rPr>
          <w:rFonts w:ascii="Arial Narrow"/>
        </w:rPr>
        <w:t>Set</w:t>
      </w:r>
      <w:r>
        <w:rPr>
          <w:rFonts w:ascii="Arial Narrow"/>
          <w:spacing w:val="-10"/>
        </w:rPr>
        <w:t xml:space="preserve"> </w:t>
      </w:r>
      <w:r>
        <w:rPr>
          <w:rFonts w:ascii="Arial Narrow"/>
        </w:rPr>
        <w:t>Attributes</w:t>
      </w:r>
      <w:r>
        <w:rPr>
          <w:rFonts w:ascii="Arial Narrow"/>
          <w:spacing w:val="-6"/>
        </w:rPr>
        <w:t xml:space="preserve"> </w:t>
      </w:r>
      <w:r>
        <w:rPr>
          <w:rFonts w:ascii="Arial Narrow"/>
        </w:rPr>
        <w:t>Related</w:t>
      </w:r>
      <w:r>
        <w:rPr>
          <w:rFonts w:ascii="Arial Narrow"/>
          <w:spacing w:val="-9"/>
        </w:rPr>
        <w:t xml:space="preserve"> </w:t>
      </w:r>
      <w:r>
        <w:rPr>
          <w:rFonts w:ascii="Arial Narrow"/>
        </w:rPr>
        <w:t>to</w:t>
      </w:r>
      <w:r>
        <w:rPr>
          <w:rFonts w:ascii="Arial Narrow"/>
          <w:spacing w:val="-10"/>
        </w:rPr>
        <w:t xml:space="preserve"> </w:t>
      </w:r>
      <w:r>
        <w:rPr>
          <w:rFonts w:ascii="Arial Narrow"/>
        </w:rPr>
        <w:t>Data</w:t>
      </w:r>
      <w:r>
        <w:rPr>
          <w:rFonts w:ascii="Arial Narrow"/>
          <w:spacing w:val="-7"/>
        </w:rPr>
        <w:t xml:space="preserve"> </w:t>
      </w:r>
      <w:r>
        <w:rPr>
          <w:rFonts w:ascii="Arial Narrow"/>
          <w:spacing w:val="-2"/>
        </w:rPr>
        <w:t>Collection</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5"/>
        <w:gridCol w:w="1214"/>
        <w:gridCol w:w="1212"/>
        <w:gridCol w:w="1214"/>
        <w:gridCol w:w="1209"/>
      </w:tblGrid>
      <w:tr w14:paraId="65B2410C"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3"/>
        </w:trPr>
        <w:tc>
          <w:tcPr>
            <w:tcW w:w="4495" w:type="dxa"/>
            <w:shd w:val="clear" w:color="auto" w:fill="1F487C"/>
          </w:tcPr>
          <w:p w:rsidR="00B41E06" w14:paraId="2AC781C3" w14:textId="77777777">
            <w:pPr>
              <w:pStyle w:val="TableParagraph"/>
              <w:rPr>
                <w:b/>
                <w:sz w:val="20"/>
              </w:rPr>
            </w:pPr>
          </w:p>
          <w:p w:rsidR="00B41E06" w14:paraId="42C9EC9B" w14:textId="77777777">
            <w:pPr>
              <w:pStyle w:val="TableParagraph"/>
              <w:spacing w:before="61"/>
              <w:rPr>
                <w:b/>
                <w:sz w:val="20"/>
              </w:rPr>
            </w:pPr>
          </w:p>
          <w:p w:rsidR="00B41E06" w14:paraId="5786DD2F" w14:textId="77777777">
            <w:pPr>
              <w:pStyle w:val="TableParagraph"/>
              <w:ind w:left="107"/>
              <w:rPr>
                <w:b/>
                <w:sz w:val="20"/>
              </w:rPr>
            </w:pPr>
            <w:r>
              <w:rPr>
                <w:b/>
                <w:color w:val="FFFFFF"/>
                <w:sz w:val="20"/>
              </w:rPr>
              <w:t>Attribute</w:t>
            </w:r>
            <w:r>
              <w:rPr>
                <w:b/>
                <w:color w:val="FFFFFF"/>
                <w:spacing w:val="-5"/>
                <w:sz w:val="20"/>
              </w:rPr>
              <w:t xml:space="preserve"> </w:t>
            </w:r>
            <w:r>
              <w:rPr>
                <w:b/>
                <w:color w:val="FFFFFF"/>
                <w:spacing w:val="-2"/>
                <w:sz w:val="20"/>
              </w:rPr>
              <w:t>Description</w:t>
            </w:r>
          </w:p>
        </w:tc>
        <w:tc>
          <w:tcPr>
            <w:tcW w:w="1214" w:type="dxa"/>
            <w:shd w:val="clear" w:color="auto" w:fill="1F487C"/>
          </w:tcPr>
          <w:p w:rsidR="00B41E06" w14:paraId="6BE03CF9" w14:textId="77777777">
            <w:pPr>
              <w:pStyle w:val="TableParagraph"/>
              <w:spacing w:before="62"/>
              <w:ind w:left="107" w:right="296"/>
              <w:rPr>
                <w:b/>
                <w:sz w:val="20"/>
              </w:rPr>
            </w:pPr>
            <w:r>
              <w:rPr>
                <w:b/>
                <w:color w:val="FFFFFF"/>
                <w:sz w:val="20"/>
              </w:rPr>
              <w:t>2013</w:t>
            </w:r>
            <w:r>
              <w:rPr>
                <w:b/>
                <w:color w:val="FFFFFF"/>
                <w:spacing w:val="-12"/>
                <w:sz w:val="20"/>
              </w:rPr>
              <w:t xml:space="preserve"> </w:t>
            </w:r>
            <w:r>
              <w:rPr>
                <w:b/>
                <w:color w:val="FFFFFF"/>
                <w:sz w:val="20"/>
              </w:rPr>
              <w:t xml:space="preserve">Draft </w:t>
            </w:r>
            <w:r>
              <w:rPr>
                <w:b/>
                <w:color w:val="FFFFFF"/>
                <w:spacing w:val="-4"/>
                <w:sz w:val="20"/>
              </w:rPr>
              <w:t>QRS</w:t>
            </w:r>
          </w:p>
          <w:p w:rsidR="00B41E06" w14:paraId="149001B0" w14:textId="77777777">
            <w:pPr>
              <w:pStyle w:val="TableParagraph"/>
              <w:spacing w:line="229" w:lineRule="exact"/>
              <w:ind w:left="107"/>
              <w:rPr>
                <w:b/>
                <w:sz w:val="20"/>
              </w:rPr>
            </w:pPr>
            <w:r>
              <w:rPr>
                <w:b/>
                <w:color w:val="FFFFFF"/>
                <w:sz w:val="20"/>
              </w:rPr>
              <w:t>Measure</w:t>
            </w:r>
            <w:r>
              <w:rPr>
                <w:b/>
                <w:color w:val="FFFFFF"/>
                <w:spacing w:val="-5"/>
                <w:sz w:val="20"/>
              </w:rPr>
              <w:t xml:space="preserve"> Set</w:t>
            </w:r>
          </w:p>
        </w:tc>
        <w:tc>
          <w:tcPr>
            <w:tcW w:w="1212" w:type="dxa"/>
            <w:shd w:val="clear" w:color="auto" w:fill="1F487C"/>
          </w:tcPr>
          <w:p w:rsidR="00B41E06" w14:paraId="739D7FB2" w14:textId="77777777">
            <w:pPr>
              <w:pStyle w:val="TableParagraph"/>
              <w:spacing w:before="62" w:line="229" w:lineRule="exact"/>
              <w:ind w:left="108"/>
              <w:rPr>
                <w:b/>
                <w:sz w:val="20"/>
              </w:rPr>
            </w:pPr>
            <w:r>
              <w:rPr>
                <w:b/>
                <w:color w:val="FFFFFF"/>
                <w:sz w:val="20"/>
              </w:rPr>
              <w:t>2015</w:t>
            </w:r>
            <w:r>
              <w:rPr>
                <w:b/>
                <w:color w:val="FFFFFF"/>
                <w:spacing w:val="-4"/>
                <w:sz w:val="20"/>
              </w:rPr>
              <w:t xml:space="preserve"> </w:t>
            </w:r>
            <w:r>
              <w:rPr>
                <w:b/>
                <w:color w:val="FFFFFF"/>
                <w:spacing w:val="-5"/>
                <w:sz w:val="20"/>
              </w:rPr>
              <w:t>QRS</w:t>
            </w:r>
          </w:p>
          <w:p w:rsidR="00B41E06" w14:paraId="7C38C9CB" w14:textId="77777777">
            <w:pPr>
              <w:pStyle w:val="TableParagraph"/>
              <w:ind w:left="108" w:right="119"/>
              <w:rPr>
                <w:b/>
                <w:sz w:val="20"/>
              </w:rPr>
            </w:pPr>
            <w:r>
              <w:rPr>
                <w:b/>
                <w:color w:val="FFFFFF"/>
                <w:sz w:val="20"/>
              </w:rPr>
              <w:t>Beta Test Measure</w:t>
            </w:r>
            <w:r>
              <w:rPr>
                <w:b/>
                <w:color w:val="FFFFFF"/>
                <w:spacing w:val="-12"/>
                <w:sz w:val="20"/>
              </w:rPr>
              <w:t xml:space="preserve"> </w:t>
            </w:r>
            <w:r>
              <w:rPr>
                <w:b/>
                <w:color w:val="FFFFFF"/>
                <w:sz w:val="20"/>
              </w:rPr>
              <w:t>Set</w:t>
            </w:r>
          </w:p>
        </w:tc>
        <w:tc>
          <w:tcPr>
            <w:tcW w:w="1214" w:type="dxa"/>
            <w:shd w:val="clear" w:color="auto" w:fill="1F487C"/>
          </w:tcPr>
          <w:p w:rsidR="00B41E06" w14:paraId="29A273F2" w14:textId="77777777">
            <w:pPr>
              <w:pStyle w:val="TableParagraph"/>
              <w:spacing w:before="60"/>
              <w:rPr>
                <w:b/>
                <w:sz w:val="20"/>
              </w:rPr>
            </w:pPr>
          </w:p>
          <w:p w:rsidR="00B41E06" w14:paraId="5846E6DA" w14:textId="77777777">
            <w:pPr>
              <w:pStyle w:val="TableParagraph"/>
              <w:ind w:left="108"/>
              <w:rPr>
                <w:b/>
                <w:sz w:val="20"/>
              </w:rPr>
            </w:pPr>
            <w:r>
              <w:rPr>
                <w:b/>
                <w:color w:val="FFFFFF"/>
                <w:sz w:val="20"/>
              </w:rPr>
              <w:t>2022</w:t>
            </w:r>
            <w:r>
              <w:rPr>
                <w:b/>
                <w:color w:val="FFFFFF"/>
                <w:spacing w:val="-4"/>
                <w:sz w:val="20"/>
              </w:rPr>
              <w:t xml:space="preserve"> </w:t>
            </w:r>
            <w:r>
              <w:rPr>
                <w:b/>
                <w:color w:val="FFFFFF"/>
                <w:spacing w:val="-5"/>
                <w:sz w:val="20"/>
              </w:rPr>
              <w:t>QRS</w:t>
            </w:r>
          </w:p>
          <w:p w:rsidR="00B41E06" w14:paraId="33130E2A" w14:textId="77777777">
            <w:pPr>
              <w:pStyle w:val="TableParagraph"/>
              <w:spacing w:before="1"/>
              <w:ind w:left="108"/>
              <w:rPr>
                <w:b/>
                <w:sz w:val="20"/>
              </w:rPr>
            </w:pPr>
            <w:r>
              <w:rPr>
                <w:b/>
                <w:color w:val="FFFFFF"/>
                <w:sz w:val="20"/>
              </w:rPr>
              <w:t>Measure</w:t>
            </w:r>
            <w:r>
              <w:rPr>
                <w:b/>
                <w:color w:val="FFFFFF"/>
                <w:spacing w:val="-5"/>
                <w:sz w:val="20"/>
              </w:rPr>
              <w:t xml:space="preserve"> Set</w:t>
            </w:r>
          </w:p>
        </w:tc>
        <w:tc>
          <w:tcPr>
            <w:tcW w:w="1209" w:type="dxa"/>
            <w:shd w:val="clear" w:color="auto" w:fill="1F487C"/>
          </w:tcPr>
          <w:p w:rsidR="00B41E06" w14:paraId="7D133A58" w14:textId="77777777">
            <w:pPr>
              <w:pStyle w:val="TableParagraph"/>
              <w:spacing w:before="62"/>
              <w:ind w:left="108" w:right="93"/>
              <w:jc w:val="both"/>
              <w:rPr>
                <w:b/>
                <w:sz w:val="20"/>
              </w:rPr>
            </w:pPr>
            <w:r>
              <w:rPr>
                <w:b/>
                <w:color w:val="FFFFFF"/>
                <w:sz w:val="20"/>
              </w:rPr>
              <w:t>Current</w:t>
            </w:r>
            <w:r>
              <w:rPr>
                <w:b/>
                <w:color w:val="FFFFFF"/>
                <w:spacing w:val="-12"/>
                <w:sz w:val="20"/>
              </w:rPr>
              <w:t xml:space="preserve"> </w:t>
            </w:r>
            <w:r>
              <w:rPr>
                <w:b/>
                <w:color w:val="FFFFFF"/>
                <w:sz w:val="20"/>
              </w:rPr>
              <w:t>QRS Measure</w:t>
            </w:r>
            <w:r>
              <w:rPr>
                <w:b/>
                <w:color w:val="FFFFFF"/>
                <w:spacing w:val="-9"/>
                <w:sz w:val="20"/>
              </w:rPr>
              <w:t xml:space="preserve"> </w:t>
            </w:r>
            <w:r>
              <w:rPr>
                <w:b/>
                <w:color w:val="FFFFFF"/>
                <w:sz w:val="20"/>
              </w:rPr>
              <w:t>Set (2025 QRS)</w:t>
            </w:r>
          </w:p>
        </w:tc>
      </w:tr>
      <w:tr w14:paraId="6917D89A" w14:textId="77777777">
        <w:tblPrEx>
          <w:tblW w:w="0" w:type="auto"/>
          <w:tblInd w:w="370" w:type="dxa"/>
          <w:tblLayout w:type="fixed"/>
          <w:tblCellMar>
            <w:left w:w="0" w:type="dxa"/>
            <w:right w:w="0" w:type="dxa"/>
          </w:tblCellMar>
          <w:tblLook w:val="01E0"/>
        </w:tblPrEx>
        <w:trPr>
          <w:trHeight w:val="585"/>
        </w:trPr>
        <w:tc>
          <w:tcPr>
            <w:tcW w:w="4495" w:type="dxa"/>
          </w:tcPr>
          <w:p w:rsidR="00B41E06" w14:paraId="0276459A" w14:textId="77777777">
            <w:pPr>
              <w:pStyle w:val="TableParagraph"/>
              <w:spacing w:before="62"/>
              <w:ind w:left="107"/>
              <w:rPr>
                <w:b/>
                <w:sz w:val="20"/>
              </w:rPr>
            </w:pPr>
            <w:r>
              <w:rPr>
                <w:b/>
                <w:sz w:val="20"/>
              </w:rPr>
              <w:t>Subset</w:t>
            </w:r>
            <w:r>
              <w:rPr>
                <w:b/>
                <w:spacing w:val="-6"/>
                <w:sz w:val="20"/>
              </w:rPr>
              <w:t xml:space="preserve"> </w:t>
            </w:r>
            <w:r>
              <w:rPr>
                <w:b/>
                <w:sz w:val="20"/>
              </w:rPr>
              <w:t>of</w:t>
            </w:r>
            <w:r>
              <w:rPr>
                <w:b/>
                <w:spacing w:val="-6"/>
                <w:sz w:val="20"/>
              </w:rPr>
              <w:t xml:space="preserve"> </w:t>
            </w:r>
            <w:r>
              <w:rPr>
                <w:b/>
                <w:sz w:val="20"/>
              </w:rPr>
              <w:t>QRS</w:t>
            </w:r>
            <w:r>
              <w:rPr>
                <w:b/>
                <w:spacing w:val="-6"/>
                <w:sz w:val="20"/>
              </w:rPr>
              <w:t xml:space="preserve"> </w:t>
            </w:r>
            <w:r>
              <w:rPr>
                <w:b/>
                <w:sz w:val="20"/>
              </w:rPr>
              <w:t>Measures</w:t>
            </w:r>
            <w:r>
              <w:rPr>
                <w:b/>
                <w:spacing w:val="-6"/>
                <w:sz w:val="20"/>
              </w:rPr>
              <w:t xml:space="preserve"> </w:t>
            </w:r>
            <w:r>
              <w:rPr>
                <w:b/>
                <w:sz w:val="20"/>
              </w:rPr>
              <w:t>Accounted</w:t>
            </w:r>
            <w:r>
              <w:rPr>
                <w:b/>
                <w:spacing w:val="-5"/>
                <w:sz w:val="20"/>
              </w:rPr>
              <w:t xml:space="preserve"> </w:t>
            </w:r>
            <w:r>
              <w:rPr>
                <w:b/>
                <w:sz w:val="20"/>
              </w:rPr>
              <w:t>for</w:t>
            </w:r>
            <w:r>
              <w:rPr>
                <w:b/>
                <w:spacing w:val="-5"/>
                <w:sz w:val="20"/>
              </w:rPr>
              <w:t xml:space="preserve"> </w:t>
            </w:r>
            <w:r>
              <w:rPr>
                <w:b/>
                <w:sz w:val="20"/>
              </w:rPr>
              <w:t>In</w:t>
            </w:r>
            <w:r>
              <w:rPr>
                <w:b/>
                <w:spacing w:val="-5"/>
                <w:sz w:val="20"/>
              </w:rPr>
              <w:t xml:space="preserve"> </w:t>
            </w:r>
            <w:r>
              <w:rPr>
                <w:b/>
                <w:sz w:val="20"/>
              </w:rPr>
              <w:t xml:space="preserve">Burden </w:t>
            </w:r>
            <w:r>
              <w:rPr>
                <w:b/>
                <w:spacing w:val="-2"/>
                <w:sz w:val="20"/>
              </w:rPr>
              <w:t>Estimate</w:t>
            </w:r>
          </w:p>
        </w:tc>
        <w:tc>
          <w:tcPr>
            <w:tcW w:w="1214" w:type="dxa"/>
          </w:tcPr>
          <w:p w:rsidR="00B41E06" w14:paraId="0E58C910" w14:textId="77777777">
            <w:pPr>
              <w:pStyle w:val="TableParagraph"/>
              <w:spacing w:before="62"/>
              <w:ind w:left="6" w:right="1"/>
              <w:jc w:val="center"/>
              <w:rPr>
                <w:sz w:val="20"/>
              </w:rPr>
            </w:pPr>
            <w:r>
              <w:rPr>
                <w:spacing w:val="-5"/>
                <w:sz w:val="20"/>
              </w:rPr>
              <w:t>29</w:t>
            </w:r>
          </w:p>
        </w:tc>
        <w:tc>
          <w:tcPr>
            <w:tcW w:w="1212" w:type="dxa"/>
          </w:tcPr>
          <w:p w:rsidR="00B41E06" w14:paraId="7F26336B" w14:textId="77777777">
            <w:pPr>
              <w:pStyle w:val="TableParagraph"/>
              <w:spacing w:before="62"/>
              <w:ind w:left="8"/>
              <w:jc w:val="center"/>
              <w:rPr>
                <w:sz w:val="20"/>
              </w:rPr>
            </w:pPr>
            <w:r>
              <w:rPr>
                <w:spacing w:val="-5"/>
                <w:sz w:val="20"/>
              </w:rPr>
              <w:t>31</w:t>
            </w:r>
          </w:p>
        </w:tc>
        <w:tc>
          <w:tcPr>
            <w:tcW w:w="1214" w:type="dxa"/>
          </w:tcPr>
          <w:p w:rsidR="00B41E06" w14:paraId="778F8116" w14:textId="77777777">
            <w:pPr>
              <w:pStyle w:val="TableParagraph"/>
              <w:spacing w:before="62"/>
              <w:ind w:left="6"/>
              <w:jc w:val="center"/>
              <w:rPr>
                <w:sz w:val="20"/>
              </w:rPr>
            </w:pPr>
            <w:r>
              <w:rPr>
                <w:spacing w:val="-5"/>
                <w:sz w:val="20"/>
              </w:rPr>
              <w:t>26</w:t>
            </w:r>
          </w:p>
        </w:tc>
        <w:tc>
          <w:tcPr>
            <w:tcW w:w="1209" w:type="dxa"/>
          </w:tcPr>
          <w:p w:rsidR="00B41E06" w14:paraId="57581483" w14:textId="77777777">
            <w:pPr>
              <w:pStyle w:val="TableParagraph"/>
              <w:spacing w:before="62"/>
              <w:ind w:left="40" w:right="28"/>
              <w:jc w:val="center"/>
              <w:rPr>
                <w:b/>
                <w:sz w:val="20"/>
              </w:rPr>
            </w:pPr>
            <w:r>
              <w:rPr>
                <w:b/>
                <w:spacing w:val="-5"/>
                <w:sz w:val="20"/>
              </w:rPr>
              <w:t>30</w:t>
            </w:r>
          </w:p>
        </w:tc>
      </w:tr>
      <w:tr w14:paraId="2688C998" w14:textId="77777777">
        <w:tblPrEx>
          <w:tblW w:w="0" w:type="auto"/>
          <w:tblInd w:w="370" w:type="dxa"/>
          <w:tblLayout w:type="fixed"/>
          <w:tblCellMar>
            <w:left w:w="0" w:type="dxa"/>
            <w:right w:w="0" w:type="dxa"/>
          </w:tblCellMar>
          <w:tblLook w:val="01E0"/>
        </w:tblPrEx>
        <w:trPr>
          <w:trHeight w:val="1065"/>
        </w:trPr>
        <w:tc>
          <w:tcPr>
            <w:tcW w:w="4495" w:type="dxa"/>
          </w:tcPr>
          <w:p w:rsidR="00B41E06" w14:paraId="52DD852E" w14:textId="77777777">
            <w:pPr>
              <w:pStyle w:val="TableParagraph"/>
              <w:spacing w:before="62"/>
              <w:ind w:left="107"/>
              <w:rPr>
                <w:b/>
                <w:sz w:val="20"/>
              </w:rPr>
            </w:pPr>
            <w:r>
              <w:rPr>
                <w:b/>
                <w:sz w:val="20"/>
              </w:rPr>
              <w:t>Administrative</w:t>
            </w:r>
            <w:r>
              <w:rPr>
                <w:b/>
                <w:spacing w:val="-9"/>
                <w:sz w:val="20"/>
              </w:rPr>
              <w:t xml:space="preserve"> </w:t>
            </w:r>
            <w:r>
              <w:rPr>
                <w:b/>
                <w:spacing w:val="-2"/>
                <w:sz w:val="20"/>
              </w:rPr>
              <w:t>Measures</w:t>
            </w:r>
          </w:p>
          <w:p w:rsidR="00B41E06" w14:paraId="174B0B82" w14:textId="77777777">
            <w:pPr>
              <w:pStyle w:val="TableParagraph"/>
              <w:spacing w:before="20"/>
              <w:ind w:left="107" w:right="126"/>
              <w:rPr>
                <w:sz w:val="20"/>
              </w:rPr>
            </w:pPr>
            <w:r>
              <w:rPr>
                <w:sz w:val="20"/>
              </w:rPr>
              <w:t>Measures that specify the use of claims or other administrative</w:t>
            </w:r>
            <w:r>
              <w:rPr>
                <w:spacing w:val="-8"/>
                <w:sz w:val="20"/>
              </w:rPr>
              <w:t xml:space="preserve"> </w:t>
            </w:r>
            <w:r>
              <w:rPr>
                <w:sz w:val="20"/>
              </w:rPr>
              <w:t>source</w:t>
            </w:r>
            <w:r>
              <w:rPr>
                <w:spacing w:val="-8"/>
                <w:sz w:val="20"/>
              </w:rPr>
              <w:t xml:space="preserve"> </w:t>
            </w:r>
            <w:r>
              <w:rPr>
                <w:sz w:val="20"/>
              </w:rPr>
              <w:t>data,</w:t>
            </w:r>
            <w:r>
              <w:rPr>
                <w:spacing w:val="-8"/>
                <w:sz w:val="20"/>
              </w:rPr>
              <w:t xml:space="preserve"> </w:t>
            </w:r>
            <w:r>
              <w:rPr>
                <w:sz w:val="20"/>
              </w:rPr>
              <w:t>including</w:t>
            </w:r>
            <w:r>
              <w:rPr>
                <w:spacing w:val="-8"/>
                <w:sz w:val="20"/>
              </w:rPr>
              <w:t xml:space="preserve"> </w:t>
            </w:r>
            <w:r>
              <w:rPr>
                <w:sz w:val="20"/>
              </w:rPr>
              <w:t>measures</w:t>
            </w:r>
            <w:r>
              <w:rPr>
                <w:spacing w:val="-9"/>
                <w:sz w:val="20"/>
              </w:rPr>
              <w:t xml:space="preserve"> </w:t>
            </w:r>
            <w:r>
              <w:rPr>
                <w:sz w:val="20"/>
              </w:rPr>
              <w:t>using ECDS reporting.</w:t>
            </w:r>
          </w:p>
        </w:tc>
        <w:tc>
          <w:tcPr>
            <w:tcW w:w="1214" w:type="dxa"/>
          </w:tcPr>
          <w:p w:rsidR="00B41E06" w14:paraId="35052CE1" w14:textId="77777777">
            <w:pPr>
              <w:pStyle w:val="TableParagraph"/>
              <w:spacing w:before="62"/>
              <w:ind w:left="6" w:right="1"/>
              <w:jc w:val="center"/>
              <w:rPr>
                <w:sz w:val="20"/>
              </w:rPr>
            </w:pPr>
            <w:r>
              <w:rPr>
                <w:spacing w:val="-5"/>
                <w:sz w:val="20"/>
              </w:rPr>
              <w:t>20</w:t>
            </w:r>
          </w:p>
        </w:tc>
        <w:tc>
          <w:tcPr>
            <w:tcW w:w="1212" w:type="dxa"/>
          </w:tcPr>
          <w:p w:rsidR="00B41E06" w14:paraId="2297857D" w14:textId="77777777">
            <w:pPr>
              <w:pStyle w:val="TableParagraph"/>
              <w:spacing w:before="62"/>
              <w:ind w:left="8"/>
              <w:jc w:val="center"/>
              <w:rPr>
                <w:sz w:val="20"/>
              </w:rPr>
            </w:pPr>
            <w:r>
              <w:rPr>
                <w:spacing w:val="-5"/>
                <w:sz w:val="20"/>
              </w:rPr>
              <w:t>18</w:t>
            </w:r>
          </w:p>
        </w:tc>
        <w:tc>
          <w:tcPr>
            <w:tcW w:w="1214" w:type="dxa"/>
          </w:tcPr>
          <w:p w:rsidR="00B41E06" w14:paraId="29E8C668" w14:textId="77777777">
            <w:pPr>
              <w:pStyle w:val="TableParagraph"/>
              <w:spacing w:before="62"/>
              <w:ind w:left="6"/>
              <w:jc w:val="center"/>
              <w:rPr>
                <w:sz w:val="20"/>
              </w:rPr>
            </w:pPr>
            <w:r>
              <w:rPr>
                <w:spacing w:val="-5"/>
                <w:sz w:val="20"/>
              </w:rPr>
              <w:t>17</w:t>
            </w:r>
          </w:p>
        </w:tc>
        <w:tc>
          <w:tcPr>
            <w:tcW w:w="1209" w:type="dxa"/>
          </w:tcPr>
          <w:p w:rsidR="00B41E06" w14:paraId="62104DE2" w14:textId="77777777">
            <w:pPr>
              <w:pStyle w:val="TableParagraph"/>
              <w:spacing w:before="62"/>
              <w:ind w:left="40" w:right="28"/>
              <w:jc w:val="center"/>
              <w:rPr>
                <w:b/>
                <w:sz w:val="20"/>
              </w:rPr>
            </w:pPr>
            <w:r>
              <w:rPr>
                <w:b/>
                <w:spacing w:val="-5"/>
                <w:sz w:val="20"/>
              </w:rPr>
              <w:t>22</w:t>
            </w:r>
          </w:p>
        </w:tc>
      </w:tr>
    </w:tbl>
    <w:p w:rsidR="00B41E06" w14:paraId="68AA94AC" w14:textId="77777777">
      <w:pPr>
        <w:pStyle w:val="BodyText"/>
        <w:spacing w:before="0"/>
        <w:rPr>
          <w:rFonts w:ascii="Arial Narrow"/>
          <w:b/>
          <w:sz w:val="20"/>
        </w:rPr>
      </w:pPr>
    </w:p>
    <w:p w:rsidR="00B41E06" w14:paraId="73167D1F" w14:textId="77777777">
      <w:pPr>
        <w:pStyle w:val="BodyText"/>
        <w:spacing w:before="0"/>
        <w:rPr>
          <w:rFonts w:ascii="Arial Narrow"/>
          <w:b/>
          <w:sz w:val="20"/>
        </w:rPr>
      </w:pPr>
    </w:p>
    <w:p w:rsidR="00B41E06" w14:paraId="40CB0B05" w14:textId="77777777">
      <w:pPr>
        <w:pStyle w:val="BodyText"/>
        <w:spacing w:before="0"/>
        <w:rPr>
          <w:rFonts w:ascii="Arial Narrow"/>
          <w:b/>
          <w:sz w:val="20"/>
        </w:rPr>
      </w:pPr>
    </w:p>
    <w:p w:rsidR="00B41E06" w14:paraId="487282ED" w14:textId="77777777">
      <w:pPr>
        <w:pStyle w:val="BodyText"/>
        <w:spacing w:before="0"/>
        <w:rPr>
          <w:rFonts w:ascii="Arial Narrow"/>
          <w:b/>
          <w:sz w:val="20"/>
        </w:rPr>
      </w:pPr>
    </w:p>
    <w:p w:rsidR="00B41E06" w14:paraId="6C159C35" w14:textId="77777777">
      <w:pPr>
        <w:pStyle w:val="BodyText"/>
        <w:spacing w:before="0"/>
        <w:rPr>
          <w:rFonts w:ascii="Arial Narrow"/>
          <w:b/>
          <w:sz w:val="20"/>
        </w:rPr>
      </w:pPr>
    </w:p>
    <w:p w:rsidR="00B41E06" w14:paraId="14167C7E" w14:textId="77777777">
      <w:pPr>
        <w:pStyle w:val="BodyText"/>
        <w:spacing w:before="34"/>
        <w:rPr>
          <w:rFonts w:ascii="Arial Narrow"/>
          <w:b/>
          <w:sz w:val="20"/>
        </w:rPr>
      </w:pPr>
      <w:r>
        <w:rPr>
          <w:rFonts w:ascii="Arial Narrow"/>
          <w:b/>
          <w:noProof/>
          <w:sz w:val="20"/>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182854</wp:posOffset>
                </wp:positionV>
                <wp:extent cx="1828800" cy="762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3" style="width:2in;height:0.6pt;margin-top:14.4pt;margin-left:1in;mso-position-horizontal-relative:page;mso-wrap-distance-bottom:0;mso-wrap-distance-left:0;mso-wrap-distance-right:0;mso-wrap-distance-top:0;mso-wrap-style:square;position:absolute;visibility:visible;v-text-anchor:top;z-index:-251636736" coordsize="1828800,7620" path="m1828800,l,,,7607l1828800,7607l1828800,xe" fillcolor="black" stroked="f">
                <v:path arrowok="t"/>
                <w10:wrap type="topAndBottom"/>
              </v:shape>
            </w:pict>
          </mc:Fallback>
        </mc:AlternateContent>
      </w:r>
    </w:p>
    <w:p w:rsidR="00B41E06" w14:paraId="3DB29C28" w14:textId="77777777">
      <w:pPr>
        <w:spacing w:before="163"/>
        <w:ind w:left="360" w:right="949"/>
        <w:rPr>
          <w:sz w:val="20"/>
        </w:rPr>
      </w:pPr>
      <w:r>
        <w:rPr>
          <w:sz w:val="20"/>
          <w:vertAlign w:val="superscript"/>
        </w:rPr>
        <w:t>5</w:t>
      </w:r>
      <w:r>
        <w:rPr>
          <w:spacing w:val="-13"/>
          <w:sz w:val="20"/>
        </w:rPr>
        <w:t xml:space="preserve"> </w:t>
      </w:r>
      <w:hyperlink r:id="rId7">
        <w:r>
          <w:rPr>
            <w:color w:val="0000FF"/>
            <w:sz w:val="20"/>
            <w:u w:val="single" w:color="0000FF"/>
          </w:rPr>
          <w:t>https</w:t>
        </w:r>
      </w:hyperlink>
      <w:hyperlink r:id="rId7">
        <w:r>
          <w:rPr>
            <w:color w:val="0000FF"/>
            <w:sz w:val="20"/>
            <w:u w:val="single" w:color="0000FF"/>
          </w:rPr>
          <w:t>://</w:t>
        </w:r>
      </w:hyperlink>
      <w:hyperlink r:id="rId7">
        <w:r>
          <w:rPr>
            <w:color w:val="0000FF"/>
            <w:sz w:val="20"/>
            <w:u w:val="single" w:color="0000FF"/>
          </w:rPr>
          <w:t>www.federalregister.gov/articles/2013/11/19/2013-27649/patient-protection-and-affordable-care-act-</w:t>
        </w:r>
      </w:hyperlink>
      <w:r>
        <w:rPr>
          <w:color w:val="0000FF"/>
          <w:sz w:val="20"/>
        </w:rPr>
        <w:t xml:space="preserve"> </w:t>
      </w:r>
      <w:hyperlink r:id="rId7">
        <w:r>
          <w:rPr>
            <w:color w:val="0000FF"/>
            <w:spacing w:val="-2"/>
            <w:sz w:val="20"/>
            <w:u w:val="single" w:color="0000FF"/>
          </w:rPr>
          <w:t>exchanges-and-qualified-health-plans-quality-rating</w:t>
        </w:r>
      </w:hyperlink>
    </w:p>
    <w:p w:rsidR="00B41E06" w14:paraId="081D6EB8" w14:textId="77777777">
      <w:pPr>
        <w:spacing w:before="121"/>
        <w:ind w:left="360" w:right="365" w:hanging="1"/>
        <w:rPr>
          <w:sz w:val="20"/>
        </w:rPr>
      </w:pPr>
      <w:r>
        <w:rPr>
          <w:sz w:val="20"/>
          <w:vertAlign w:val="superscript"/>
        </w:rPr>
        <w:t>6</w:t>
      </w:r>
      <w:r>
        <w:rPr>
          <w:spacing w:val="-3"/>
          <w:sz w:val="20"/>
        </w:rPr>
        <w:t xml:space="preserve"> </w:t>
      </w:r>
      <w:r>
        <w:rPr>
          <w:sz w:val="20"/>
        </w:rPr>
        <w:t>Patient</w:t>
      </w:r>
      <w:r>
        <w:rPr>
          <w:spacing w:val="-3"/>
          <w:sz w:val="20"/>
        </w:rPr>
        <w:t xml:space="preserve"> </w:t>
      </w:r>
      <w:r>
        <w:rPr>
          <w:sz w:val="20"/>
        </w:rPr>
        <w:t>Protection</w:t>
      </w:r>
      <w:r>
        <w:rPr>
          <w:spacing w:val="-2"/>
          <w:sz w:val="20"/>
        </w:rPr>
        <w:t xml:space="preserve"> </w:t>
      </w:r>
      <w:r>
        <w:rPr>
          <w:sz w:val="20"/>
        </w:rPr>
        <w:t>and</w:t>
      </w:r>
      <w:r>
        <w:rPr>
          <w:spacing w:val="-2"/>
          <w:sz w:val="20"/>
        </w:rPr>
        <w:t xml:space="preserve"> </w:t>
      </w:r>
      <w:r>
        <w:rPr>
          <w:sz w:val="20"/>
        </w:rPr>
        <w:t>Affordable</w:t>
      </w:r>
      <w:r>
        <w:rPr>
          <w:spacing w:val="-3"/>
          <w:sz w:val="20"/>
        </w:rPr>
        <w:t xml:space="preserve"> </w:t>
      </w:r>
      <w:r>
        <w:rPr>
          <w:sz w:val="20"/>
        </w:rPr>
        <w:t>Care</w:t>
      </w:r>
      <w:r>
        <w:rPr>
          <w:spacing w:val="-3"/>
          <w:sz w:val="20"/>
        </w:rPr>
        <w:t xml:space="preserve"> </w:t>
      </w:r>
      <w:r>
        <w:rPr>
          <w:sz w:val="20"/>
        </w:rPr>
        <w:t>Act;</w:t>
      </w:r>
      <w:r>
        <w:rPr>
          <w:spacing w:val="-3"/>
          <w:sz w:val="20"/>
        </w:rPr>
        <w:t xml:space="preserve"> </w:t>
      </w:r>
      <w:r>
        <w:rPr>
          <w:sz w:val="20"/>
        </w:rPr>
        <w:t>Exchange</w:t>
      </w:r>
      <w:r>
        <w:rPr>
          <w:spacing w:val="-5"/>
          <w:sz w:val="20"/>
        </w:rPr>
        <w:t xml:space="preserve"> </w:t>
      </w:r>
      <w:r>
        <w:rPr>
          <w:sz w:val="20"/>
        </w:rPr>
        <w:t>and</w:t>
      </w:r>
      <w:r>
        <w:rPr>
          <w:spacing w:val="-4"/>
          <w:sz w:val="20"/>
        </w:rPr>
        <w:t xml:space="preserve"> </w:t>
      </w:r>
      <w:r>
        <w:rPr>
          <w:sz w:val="20"/>
        </w:rPr>
        <w:t>Insurance</w:t>
      </w:r>
      <w:r>
        <w:rPr>
          <w:spacing w:val="-3"/>
          <w:sz w:val="20"/>
        </w:rPr>
        <w:t xml:space="preserve"> </w:t>
      </w:r>
      <w:r>
        <w:rPr>
          <w:sz w:val="20"/>
        </w:rPr>
        <w:t>Market</w:t>
      </w:r>
      <w:r>
        <w:rPr>
          <w:spacing w:val="-6"/>
          <w:sz w:val="20"/>
        </w:rPr>
        <w:t xml:space="preserve"> </w:t>
      </w:r>
      <w:r>
        <w:rPr>
          <w:sz w:val="20"/>
        </w:rPr>
        <w:t>Standards</w:t>
      </w:r>
      <w:r>
        <w:rPr>
          <w:spacing w:val="-4"/>
          <w:sz w:val="20"/>
        </w:rPr>
        <w:t xml:space="preserve"> </w:t>
      </w:r>
      <w:r>
        <w:rPr>
          <w:sz w:val="20"/>
        </w:rPr>
        <w:t>for</w:t>
      </w:r>
      <w:r>
        <w:rPr>
          <w:spacing w:val="-3"/>
          <w:sz w:val="20"/>
        </w:rPr>
        <w:t xml:space="preserve"> </w:t>
      </w:r>
      <w:r>
        <w:rPr>
          <w:sz w:val="20"/>
        </w:rPr>
        <w:t>2015</w:t>
      </w:r>
      <w:r>
        <w:rPr>
          <w:spacing w:val="-2"/>
          <w:sz w:val="20"/>
        </w:rPr>
        <w:t xml:space="preserve"> </w:t>
      </w:r>
      <w:r>
        <w:rPr>
          <w:sz w:val="20"/>
        </w:rPr>
        <w:t>and</w:t>
      </w:r>
      <w:r>
        <w:rPr>
          <w:spacing w:val="-2"/>
          <w:sz w:val="20"/>
        </w:rPr>
        <w:t xml:space="preserve"> </w:t>
      </w:r>
      <w:r>
        <w:rPr>
          <w:sz w:val="20"/>
        </w:rPr>
        <w:t>Beyond</w:t>
      </w:r>
      <w:r>
        <w:rPr>
          <w:spacing w:val="-4"/>
          <w:sz w:val="20"/>
        </w:rPr>
        <w:t xml:space="preserve"> </w:t>
      </w:r>
      <w:r>
        <w:rPr>
          <w:sz w:val="20"/>
        </w:rPr>
        <w:t>Final Rule, 79 FR 30352 (May 27, 2014).</w:t>
      </w:r>
    </w:p>
    <w:p w:rsidR="00B41E06" w14:paraId="6C2D478E" w14:textId="77777777">
      <w:pPr>
        <w:spacing w:before="39"/>
        <w:ind w:left="360" w:right="365"/>
        <w:rPr>
          <w:i/>
          <w:sz w:val="20"/>
        </w:rPr>
      </w:pPr>
      <w:r>
        <w:rPr>
          <w:sz w:val="20"/>
          <w:vertAlign w:val="superscript"/>
        </w:rPr>
        <w:t>7</w:t>
      </w:r>
      <w:r>
        <w:rPr>
          <w:sz w:val="20"/>
        </w:rPr>
        <w:t xml:space="preserve"> </w:t>
      </w:r>
      <w:hyperlink r:id="rId8">
        <w:r>
          <w:rPr>
            <w:i/>
            <w:color w:val="0000FF"/>
            <w:sz w:val="20"/>
            <w:u w:val="single" w:color="0000FF"/>
          </w:rPr>
          <w:t>Final 2021 Call Letter for the QRS and QHP Enrollee Survey</w:t>
        </w:r>
      </w:hyperlink>
      <w:r>
        <w:rPr>
          <w:color w:val="0000FF"/>
          <w:sz w:val="20"/>
          <w:u w:val="single" w:color="0000FF"/>
        </w:rPr>
        <w:t xml:space="preserve">; </w:t>
      </w:r>
      <w:hyperlink r:id="rId9">
        <w:r>
          <w:rPr>
            <w:i/>
            <w:color w:val="0000FF"/>
            <w:sz w:val="20"/>
            <w:u w:val="single" w:color="0000FF"/>
          </w:rPr>
          <w:t xml:space="preserve">Final 2022 Call Letter for the QRS and QHP </w:t>
        </w:r>
      </w:hyperlink>
      <w:r>
        <w:rPr>
          <w:i/>
          <w:color w:val="0000FF"/>
          <w:sz w:val="20"/>
        </w:rPr>
        <w:t xml:space="preserve"> </w:t>
      </w:r>
      <w:hyperlink r:id="rId9">
        <w:r>
          <w:rPr>
            <w:i/>
            <w:color w:val="0000FF"/>
            <w:sz w:val="20"/>
            <w:u w:val="single" w:color="0000FF"/>
          </w:rPr>
          <w:t>Enrollee</w:t>
        </w:r>
        <w:r>
          <w:rPr>
            <w:i/>
            <w:color w:val="0000FF"/>
            <w:spacing w:val="-2"/>
            <w:sz w:val="20"/>
            <w:u w:val="single" w:color="0000FF"/>
          </w:rPr>
          <w:t xml:space="preserve"> </w:t>
        </w:r>
        <w:r>
          <w:rPr>
            <w:i/>
            <w:color w:val="0000FF"/>
            <w:sz w:val="20"/>
            <w:u w:val="single" w:color="0000FF"/>
          </w:rPr>
          <w:t>Survey</w:t>
        </w:r>
      </w:hyperlink>
      <w:r>
        <w:rPr>
          <w:color w:val="0000FF"/>
          <w:sz w:val="20"/>
          <w:u w:val="single" w:color="0000FF"/>
        </w:rPr>
        <w:t>;</w:t>
      </w:r>
      <w:r>
        <w:rPr>
          <w:color w:val="0000FF"/>
          <w:spacing w:val="-2"/>
          <w:sz w:val="20"/>
          <w:u w:val="single" w:color="0000FF"/>
        </w:rPr>
        <w:t xml:space="preserve"> </w:t>
      </w:r>
      <w:hyperlink r:id="rId10">
        <w:r>
          <w:rPr>
            <w:i/>
            <w:color w:val="0000FF"/>
            <w:sz w:val="20"/>
            <w:u w:val="single" w:color="0000FF"/>
          </w:rPr>
          <w:t>Final</w:t>
        </w:r>
        <w:r>
          <w:rPr>
            <w:i/>
            <w:color w:val="0000FF"/>
            <w:spacing w:val="-2"/>
            <w:sz w:val="20"/>
            <w:u w:val="single" w:color="0000FF"/>
          </w:rPr>
          <w:t xml:space="preserve"> </w:t>
        </w:r>
        <w:r>
          <w:rPr>
            <w:i/>
            <w:color w:val="0000FF"/>
            <w:sz w:val="20"/>
            <w:u w:val="single" w:color="0000FF"/>
          </w:rPr>
          <w:t>2023</w:t>
        </w:r>
        <w:r>
          <w:rPr>
            <w:i/>
            <w:color w:val="0000FF"/>
            <w:spacing w:val="-3"/>
            <w:sz w:val="20"/>
            <w:u w:val="single" w:color="0000FF"/>
          </w:rPr>
          <w:t xml:space="preserve"> </w:t>
        </w:r>
        <w:r>
          <w:rPr>
            <w:i/>
            <w:color w:val="0000FF"/>
            <w:sz w:val="20"/>
            <w:u w:val="single" w:color="0000FF"/>
          </w:rPr>
          <w:t>Call</w:t>
        </w:r>
        <w:r>
          <w:rPr>
            <w:i/>
            <w:color w:val="0000FF"/>
            <w:spacing w:val="-2"/>
            <w:sz w:val="20"/>
            <w:u w:val="single" w:color="0000FF"/>
          </w:rPr>
          <w:t xml:space="preserve"> </w:t>
        </w:r>
        <w:r>
          <w:rPr>
            <w:i/>
            <w:color w:val="0000FF"/>
            <w:sz w:val="20"/>
            <w:u w:val="single" w:color="0000FF"/>
          </w:rPr>
          <w:t>Letter</w:t>
        </w:r>
        <w:r>
          <w:rPr>
            <w:i/>
            <w:color w:val="0000FF"/>
            <w:spacing w:val="-3"/>
            <w:sz w:val="20"/>
            <w:u w:val="single" w:color="0000FF"/>
          </w:rPr>
          <w:t xml:space="preserve"> </w:t>
        </w:r>
        <w:r>
          <w:rPr>
            <w:i/>
            <w:color w:val="0000FF"/>
            <w:sz w:val="20"/>
            <w:u w:val="single" w:color="0000FF"/>
          </w:rPr>
          <w:t>for</w:t>
        </w:r>
        <w:r>
          <w:rPr>
            <w:i/>
            <w:color w:val="0000FF"/>
            <w:spacing w:val="-3"/>
            <w:sz w:val="20"/>
            <w:u w:val="single" w:color="0000FF"/>
          </w:rPr>
          <w:t xml:space="preserve"> </w:t>
        </w:r>
        <w:r>
          <w:rPr>
            <w:i/>
            <w:color w:val="0000FF"/>
            <w:sz w:val="20"/>
            <w:u w:val="single" w:color="0000FF"/>
          </w:rPr>
          <w:t>the</w:t>
        </w:r>
        <w:r>
          <w:rPr>
            <w:i/>
            <w:color w:val="0000FF"/>
            <w:spacing w:val="-2"/>
            <w:sz w:val="20"/>
            <w:u w:val="single" w:color="0000FF"/>
          </w:rPr>
          <w:t xml:space="preserve"> </w:t>
        </w:r>
        <w:r>
          <w:rPr>
            <w:i/>
            <w:color w:val="0000FF"/>
            <w:sz w:val="20"/>
            <w:u w:val="single" w:color="0000FF"/>
          </w:rPr>
          <w:t>QRS</w:t>
        </w:r>
        <w:r>
          <w:rPr>
            <w:i/>
            <w:color w:val="0000FF"/>
            <w:spacing w:val="-1"/>
            <w:sz w:val="20"/>
            <w:u w:val="single" w:color="0000FF"/>
          </w:rPr>
          <w:t xml:space="preserve"> </w:t>
        </w:r>
        <w:r>
          <w:rPr>
            <w:i/>
            <w:color w:val="0000FF"/>
            <w:sz w:val="20"/>
            <w:u w:val="single" w:color="0000FF"/>
          </w:rPr>
          <w:t>and</w:t>
        </w:r>
        <w:r>
          <w:rPr>
            <w:i/>
            <w:color w:val="0000FF"/>
            <w:spacing w:val="-1"/>
            <w:sz w:val="20"/>
            <w:u w:val="single" w:color="0000FF"/>
          </w:rPr>
          <w:t xml:space="preserve"> </w:t>
        </w:r>
        <w:r>
          <w:rPr>
            <w:i/>
            <w:color w:val="0000FF"/>
            <w:sz w:val="20"/>
            <w:u w:val="single" w:color="0000FF"/>
          </w:rPr>
          <w:t>QHP</w:t>
        </w:r>
        <w:r>
          <w:rPr>
            <w:i/>
            <w:color w:val="0000FF"/>
            <w:spacing w:val="-1"/>
            <w:sz w:val="20"/>
            <w:u w:val="single" w:color="0000FF"/>
          </w:rPr>
          <w:t xml:space="preserve"> </w:t>
        </w:r>
        <w:r>
          <w:rPr>
            <w:i/>
            <w:color w:val="0000FF"/>
            <w:sz w:val="20"/>
            <w:u w:val="single" w:color="0000FF"/>
          </w:rPr>
          <w:t>Enrollee</w:t>
        </w:r>
        <w:r>
          <w:rPr>
            <w:i/>
            <w:color w:val="0000FF"/>
            <w:spacing w:val="-2"/>
            <w:sz w:val="20"/>
            <w:u w:val="single" w:color="0000FF"/>
          </w:rPr>
          <w:t xml:space="preserve"> </w:t>
        </w:r>
        <w:r>
          <w:rPr>
            <w:i/>
            <w:color w:val="0000FF"/>
            <w:sz w:val="20"/>
            <w:u w:val="single" w:color="0000FF"/>
          </w:rPr>
          <w:t>Surve</w:t>
        </w:r>
      </w:hyperlink>
      <w:r>
        <w:rPr>
          <w:i/>
          <w:color w:val="0000FF"/>
          <w:sz w:val="20"/>
          <w:u w:val="single" w:color="0000FF"/>
        </w:rPr>
        <w:t>y</w:t>
      </w:r>
      <w:r>
        <w:rPr>
          <w:color w:val="0000FF"/>
          <w:sz w:val="20"/>
          <w:u w:val="single" w:color="0000FF"/>
        </w:rPr>
        <w:t>;</w:t>
      </w:r>
      <w:r>
        <w:rPr>
          <w:color w:val="0000FF"/>
          <w:spacing w:val="-2"/>
          <w:sz w:val="20"/>
          <w:u w:val="single" w:color="0000FF"/>
        </w:rPr>
        <w:t xml:space="preserve"> </w:t>
      </w:r>
      <w:r>
        <w:rPr>
          <w:color w:val="0000FF"/>
          <w:sz w:val="20"/>
          <w:u w:val="single" w:color="0000FF"/>
        </w:rPr>
        <w:t>and</w:t>
      </w:r>
      <w:r>
        <w:rPr>
          <w:color w:val="0000FF"/>
          <w:spacing w:val="-3"/>
          <w:sz w:val="20"/>
          <w:u w:val="single" w:color="0000FF"/>
        </w:rPr>
        <w:t xml:space="preserve"> </w:t>
      </w:r>
      <w:hyperlink r:id="rId11">
        <w:r>
          <w:rPr>
            <w:i/>
            <w:color w:val="0000FF"/>
            <w:sz w:val="20"/>
            <w:u w:val="single" w:color="0000FF"/>
          </w:rPr>
          <w:t>Final</w:t>
        </w:r>
        <w:r>
          <w:rPr>
            <w:i/>
            <w:color w:val="0000FF"/>
            <w:spacing w:val="-5"/>
            <w:sz w:val="20"/>
            <w:u w:val="single" w:color="0000FF"/>
          </w:rPr>
          <w:t xml:space="preserve"> </w:t>
        </w:r>
        <w:r>
          <w:rPr>
            <w:i/>
            <w:color w:val="0000FF"/>
            <w:sz w:val="20"/>
            <w:u w:val="single" w:color="0000FF"/>
          </w:rPr>
          <w:t>2024</w:t>
        </w:r>
        <w:r>
          <w:rPr>
            <w:i/>
            <w:color w:val="0000FF"/>
            <w:spacing w:val="-1"/>
            <w:sz w:val="20"/>
            <w:u w:val="single" w:color="0000FF"/>
          </w:rPr>
          <w:t xml:space="preserve"> </w:t>
        </w:r>
        <w:r>
          <w:rPr>
            <w:i/>
            <w:color w:val="0000FF"/>
            <w:sz w:val="20"/>
            <w:u w:val="single" w:color="0000FF"/>
          </w:rPr>
          <w:t>Call</w:t>
        </w:r>
        <w:r>
          <w:rPr>
            <w:i/>
            <w:color w:val="0000FF"/>
            <w:spacing w:val="-2"/>
            <w:sz w:val="20"/>
            <w:u w:val="single" w:color="0000FF"/>
          </w:rPr>
          <w:t xml:space="preserve"> </w:t>
        </w:r>
        <w:r>
          <w:rPr>
            <w:i/>
            <w:color w:val="0000FF"/>
            <w:sz w:val="20"/>
            <w:u w:val="single" w:color="0000FF"/>
          </w:rPr>
          <w:t>Letter</w:t>
        </w:r>
        <w:r>
          <w:rPr>
            <w:i/>
            <w:color w:val="0000FF"/>
            <w:spacing w:val="-3"/>
            <w:sz w:val="20"/>
            <w:u w:val="single" w:color="0000FF"/>
          </w:rPr>
          <w:t xml:space="preserve"> </w:t>
        </w:r>
        <w:r>
          <w:rPr>
            <w:i/>
            <w:color w:val="0000FF"/>
            <w:sz w:val="20"/>
            <w:u w:val="single" w:color="0000FF"/>
          </w:rPr>
          <w:t>for</w:t>
        </w:r>
        <w:r>
          <w:rPr>
            <w:i/>
            <w:color w:val="0000FF"/>
            <w:spacing w:val="-3"/>
            <w:sz w:val="20"/>
            <w:u w:val="single" w:color="0000FF"/>
          </w:rPr>
          <w:t xml:space="preserve"> </w:t>
        </w:r>
        <w:r>
          <w:rPr>
            <w:i/>
            <w:color w:val="0000FF"/>
            <w:sz w:val="20"/>
            <w:u w:val="single" w:color="0000FF"/>
          </w:rPr>
          <w:t>the</w:t>
        </w:r>
        <w:r>
          <w:rPr>
            <w:i/>
            <w:color w:val="0000FF"/>
            <w:spacing w:val="-2"/>
            <w:sz w:val="20"/>
            <w:u w:val="single" w:color="0000FF"/>
          </w:rPr>
          <w:t xml:space="preserve"> </w:t>
        </w:r>
      </w:hyperlink>
      <w:r>
        <w:rPr>
          <w:i/>
          <w:color w:val="0000FF"/>
          <w:spacing w:val="-2"/>
          <w:sz w:val="20"/>
        </w:rPr>
        <w:t xml:space="preserve"> </w:t>
      </w:r>
      <w:hyperlink r:id="rId11">
        <w:r>
          <w:rPr>
            <w:i/>
            <w:color w:val="0000FF"/>
            <w:sz w:val="20"/>
            <w:u w:val="single" w:color="0000FF"/>
          </w:rPr>
          <w:t>QRS and QHP Enrollee Survey</w:t>
        </w:r>
        <w:r>
          <w:rPr>
            <w:i/>
            <w:sz w:val="20"/>
          </w:rPr>
          <w:t>.</w:t>
        </w:r>
      </w:hyperlink>
    </w:p>
    <w:p w:rsidR="00B41E06" w14:paraId="201F1410" w14:textId="77777777">
      <w:pPr>
        <w:spacing w:before="62"/>
        <w:ind w:left="359" w:right="365"/>
        <w:rPr>
          <w:sz w:val="20"/>
        </w:rPr>
      </w:pPr>
      <w:r>
        <w:rPr>
          <w:sz w:val="20"/>
          <w:vertAlign w:val="superscript"/>
        </w:rPr>
        <w:t>8</w:t>
      </w:r>
      <w:r>
        <w:rPr>
          <w:spacing w:val="-3"/>
          <w:sz w:val="20"/>
        </w:rPr>
        <w:t xml:space="preserve"> </w:t>
      </w:r>
      <w:r>
        <w:rPr>
          <w:sz w:val="20"/>
        </w:rPr>
        <w:t>For</w:t>
      </w:r>
      <w:r>
        <w:rPr>
          <w:spacing w:val="-2"/>
          <w:sz w:val="20"/>
        </w:rPr>
        <w:t xml:space="preserve"> </w:t>
      </w:r>
      <w:r>
        <w:rPr>
          <w:sz w:val="20"/>
        </w:rPr>
        <w:t>more</w:t>
      </w:r>
      <w:r>
        <w:rPr>
          <w:spacing w:val="-3"/>
          <w:sz w:val="20"/>
        </w:rPr>
        <w:t xml:space="preserve"> </w:t>
      </w:r>
      <w:r>
        <w:rPr>
          <w:sz w:val="20"/>
        </w:rPr>
        <w:t>information</w:t>
      </w:r>
      <w:r>
        <w:rPr>
          <w:spacing w:val="-4"/>
          <w:sz w:val="20"/>
        </w:rPr>
        <w:t xml:space="preserve"> </w:t>
      </w:r>
      <w:r>
        <w:rPr>
          <w:sz w:val="20"/>
        </w:rPr>
        <w:t>on</w:t>
      </w:r>
      <w:r>
        <w:rPr>
          <w:spacing w:val="-2"/>
          <w:sz w:val="20"/>
        </w:rPr>
        <w:t xml:space="preserve"> </w:t>
      </w:r>
      <w:r>
        <w:rPr>
          <w:sz w:val="20"/>
        </w:rPr>
        <w:t>QRS</w:t>
      </w:r>
      <w:r>
        <w:rPr>
          <w:spacing w:val="-3"/>
          <w:sz w:val="20"/>
        </w:rPr>
        <w:t xml:space="preserve"> </w:t>
      </w:r>
      <w:r>
        <w:rPr>
          <w:sz w:val="20"/>
        </w:rPr>
        <w:t>measures</w:t>
      </w:r>
      <w:r>
        <w:rPr>
          <w:spacing w:val="-4"/>
          <w:sz w:val="20"/>
        </w:rPr>
        <w:t xml:space="preserve"> </w:t>
      </w:r>
      <w:r>
        <w:rPr>
          <w:sz w:val="20"/>
        </w:rPr>
        <w:t>finalized</w:t>
      </w:r>
      <w:r>
        <w:rPr>
          <w:spacing w:val="-2"/>
          <w:sz w:val="20"/>
        </w:rPr>
        <w:t xml:space="preserve"> </w:t>
      </w:r>
      <w:r>
        <w:rPr>
          <w:sz w:val="20"/>
        </w:rPr>
        <w:t>to</w:t>
      </w:r>
      <w:r>
        <w:rPr>
          <w:spacing w:val="-2"/>
          <w:sz w:val="20"/>
        </w:rPr>
        <w:t xml:space="preserve"> </w:t>
      </w:r>
      <w:r>
        <w:rPr>
          <w:sz w:val="20"/>
        </w:rPr>
        <w:t>include</w:t>
      </w:r>
      <w:r>
        <w:rPr>
          <w:spacing w:val="-3"/>
          <w:sz w:val="20"/>
        </w:rPr>
        <w:t xml:space="preserve"> </w:t>
      </w:r>
      <w:r>
        <w:rPr>
          <w:sz w:val="20"/>
        </w:rPr>
        <w:t>optional</w:t>
      </w:r>
      <w:r>
        <w:rPr>
          <w:spacing w:val="-5"/>
          <w:sz w:val="20"/>
        </w:rPr>
        <w:t xml:space="preserve"> </w:t>
      </w:r>
      <w:r>
        <w:rPr>
          <w:sz w:val="20"/>
        </w:rPr>
        <w:t>or</w:t>
      </w:r>
      <w:r>
        <w:rPr>
          <w:spacing w:val="-2"/>
          <w:sz w:val="20"/>
        </w:rPr>
        <w:t xml:space="preserve"> </w:t>
      </w:r>
      <w:r>
        <w:rPr>
          <w:sz w:val="20"/>
        </w:rPr>
        <w:t>mandatory</w:t>
      </w:r>
      <w:r>
        <w:rPr>
          <w:spacing w:val="-2"/>
          <w:sz w:val="20"/>
        </w:rPr>
        <w:t xml:space="preserve"> </w:t>
      </w:r>
      <w:r>
        <w:rPr>
          <w:sz w:val="20"/>
        </w:rPr>
        <w:t>ECDS</w:t>
      </w:r>
      <w:r>
        <w:rPr>
          <w:spacing w:val="-3"/>
          <w:sz w:val="20"/>
        </w:rPr>
        <w:t xml:space="preserve"> </w:t>
      </w:r>
      <w:r>
        <w:rPr>
          <w:sz w:val="20"/>
        </w:rPr>
        <w:t>reporting,</w:t>
      </w:r>
      <w:r>
        <w:rPr>
          <w:spacing w:val="-4"/>
          <w:sz w:val="20"/>
        </w:rPr>
        <w:t xml:space="preserve"> </w:t>
      </w:r>
      <w:r>
        <w:rPr>
          <w:sz w:val="20"/>
        </w:rPr>
        <w:t>please</w:t>
      </w:r>
      <w:r>
        <w:rPr>
          <w:spacing w:val="-3"/>
          <w:sz w:val="20"/>
        </w:rPr>
        <w:t xml:space="preserve"> </w:t>
      </w:r>
      <w:r>
        <w:rPr>
          <w:sz w:val="20"/>
        </w:rPr>
        <w:t>see:</w:t>
      </w:r>
      <w:r>
        <w:rPr>
          <w:spacing w:val="-3"/>
          <w:sz w:val="20"/>
        </w:rPr>
        <w:t xml:space="preserve"> </w:t>
      </w:r>
      <w:r>
        <w:rPr>
          <w:sz w:val="20"/>
        </w:rPr>
        <w:t xml:space="preserve">the </w:t>
      </w:r>
      <w:r>
        <w:rPr>
          <w:i/>
          <w:sz w:val="20"/>
        </w:rPr>
        <w:t xml:space="preserve">Final 2022 Call Letter for the QRS and QHP Enrollee Experience Survey </w:t>
      </w:r>
      <w:r>
        <w:rPr>
          <w:sz w:val="20"/>
        </w:rPr>
        <w:t>(Final 2022 Call Letter): https</w:t>
      </w:r>
      <w:hyperlink r:id="rId12">
        <w:r>
          <w:rPr>
            <w:sz w:val="20"/>
          </w:rPr>
          <w:t>://www.cms.gov/files/document/final-2022-call-letter-qrs-qhp-enrollee-survey.pdf;</w:t>
        </w:r>
      </w:hyperlink>
      <w:r>
        <w:rPr>
          <w:sz w:val="20"/>
        </w:rPr>
        <w:t xml:space="preserve"> the Final 2023 Call Letter: </w:t>
      </w:r>
      <w:hyperlink r:id="rId10">
        <w:r>
          <w:rPr>
            <w:color w:val="0000FF"/>
            <w:spacing w:val="-2"/>
            <w:sz w:val="20"/>
            <w:u w:val="single" w:color="0000FF"/>
          </w:rPr>
          <w:t>https://www.cms.gov/files/document/final-2023-call-letter-quality-rating-system-and-qualified-health-plan-enrollee-</w:t>
        </w:r>
      </w:hyperlink>
      <w:r>
        <w:rPr>
          <w:color w:val="0000FF"/>
          <w:spacing w:val="-2"/>
          <w:sz w:val="20"/>
        </w:rPr>
        <w:t xml:space="preserve"> </w:t>
      </w:r>
      <w:hyperlink r:id="rId10">
        <w:r>
          <w:rPr>
            <w:color w:val="0000FF"/>
            <w:sz w:val="20"/>
            <w:u w:val="single" w:color="0000FF"/>
          </w:rPr>
          <w:t>experience-survey.pdf</w:t>
        </w:r>
        <w:r>
          <w:rPr>
            <w:sz w:val="20"/>
          </w:rPr>
          <w:t>;</w:t>
        </w:r>
      </w:hyperlink>
      <w:r>
        <w:rPr>
          <w:sz w:val="20"/>
        </w:rPr>
        <w:t xml:space="preserve"> and the Final 2024 Call Letter: https</w:t>
      </w:r>
      <w:hyperlink r:id="rId13">
        <w:r>
          <w:rPr>
            <w:sz w:val="20"/>
          </w:rPr>
          <w:t>://www.cms.gov/files/document/final-2024-call-letter-</w:t>
        </w:r>
      </w:hyperlink>
      <w:r>
        <w:rPr>
          <w:sz w:val="20"/>
        </w:rPr>
        <w:t xml:space="preserve"> </w:t>
      </w:r>
      <w:r>
        <w:rPr>
          <w:spacing w:val="-2"/>
          <w:sz w:val="20"/>
        </w:rPr>
        <w:t>june-2024.pdf.</w:t>
      </w:r>
    </w:p>
    <w:p w:rsidR="00B41E06" w14:paraId="63517EDB" w14:textId="77777777">
      <w:pPr>
        <w:rPr>
          <w:sz w:val="20"/>
        </w:rPr>
        <w:sectPr>
          <w:pgSz w:w="12240" w:h="15840"/>
          <w:pgMar w:top="1360" w:right="1080" w:bottom="980" w:left="1080" w:header="0" w:footer="787"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5"/>
        <w:gridCol w:w="1214"/>
        <w:gridCol w:w="1212"/>
        <w:gridCol w:w="1214"/>
        <w:gridCol w:w="1209"/>
      </w:tblGrid>
      <w:tr w14:paraId="6369B929"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5"/>
        </w:trPr>
        <w:tc>
          <w:tcPr>
            <w:tcW w:w="4495" w:type="dxa"/>
            <w:shd w:val="clear" w:color="auto" w:fill="1F487C"/>
          </w:tcPr>
          <w:p w:rsidR="00B41E06" w14:paraId="487C779E" w14:textId="77777777">
            <w:pPr>
              <w:pStyle w:val="TableParagraph"/>
              <w:rPr>
                <w:rFonts w:ascii="Times New Roman"/>
                <w:sz w:val="20"/>
              </w:rPr>
            </w:pPr>
          </w:p>
          <w:p w:rsidR="00B41E06" w14:paraId="6A05BCFE" w14:textId="77777777">
            <w:pPr>
              <w:pStyle w:val="TableParagraph"/>
              <w:spacing w:before="60"/>
              <w:rPr>
                <w:rFonts w:ascii="Times New Roman"/>
                <w:sz w:val="20"/>
              </w:rPr>
            </w:pPr>
          </w:p>
          <w:p w:rsidR="00B41E06" w14:paraId="793038E2" w14:textId="77777777">
            <w:pPr>
              <w:pStyle w:val="TableParagraph"/>
              <w:ind w:left="107"/>
              <w:rPr>
                <w:b/>
                <w:sz w:val="20"/>
              </w:rPr>
            </w:pPr>
            <w:r>
              <w:rPr>
                <w:b/>
                <w:color w:val="FFFFFF"/>
                <w:sz w:val="20"/>
              </w:rPr>
              <w:t>Attribute</w:t>
            </w:r>
            <w:r>
              <w:rPr>
                <w:b/>
                <w:color w:val="FFFFFF"/>
                <w:spacing w:val="-5"/>
                <w:sz w:val="20"/>
              </w:rPr>
              <w:t xml:space="preserve"> </w:t>
            </w:r>
            <w:r>
              <w:rPr>
                <w:b/>
                <w:color w:val="FFFFFF"/>
                <w:spacing w:val="-2"/>
                <w:sz w:val="20"/>
              </w:rPr>
              <w:t>Description</w:t>
            </w:r>
          </w:p>
        </w:tc>
        <w:tc>
          <w:tcPr>
            <w:tcW w:w="1214" w:type="dxa"/>
            <w:shd w:val="clear" w:color="auto" w:fill="1F487C"/>
          </w:tcPr>
          <w:p w:rsidR="00B41E06" w14:paraId="4A03236C" w14:textId="77777777">
            <w:pPr>
              <w:pStyle w:val="TableParagraph"/>
              <w:spacing w:before="62"/>
              <w:ind w:left="107" w:right="296"/>
              <w:rPr>
                <w:b/>
                <w:sz w:val="20"/>
              </w:rPr>
            </w:pPr>
            <w:r>
              <w:rPr>
                <w:b/>
                <w:color w:val="FFFFFF"/>
                <w:sz w:val="20"/>
              </w:rPr>
              <w:t>2013</w:t>
            </w:r>
            <w:r>
              <w:rPr>
                <w:b/>
                <w:color w:val="FFFFFF"/>
                <w:spacing w:val="-12"/>
                <w:sz w:val="20"/>
              </w:rPr>
              <w:t xml:space="preserve"> </w:t>
            </w:r>
            <w:r>
              <w:rPr>
                <w:b/>
                <w:color w:val="FFFFFF"/>
                <w:sz w:val="20"/>
              </w:rPr>
              <w:t xml:space="preserve">Draft </w:t>
            </w:r>
            <w:r>
              <w:rPr>
                <w:b/>
                <w:color w:val="FFFFFF"/>
                <w:spacing w:val="-4"/>
                <w:sz w:val="20"/>
              </w:rPr>
              <w:t>QRS</w:t>
            </w:r>
          </w:p>
          <w:p w:rsidR="00B41E06" w14:paraId="7572C0AB" w14:textId="77777777">
            <w:pPr>
              <w:pStyle w:val="TableParagraph"/>
              <w:spacing w:before="2"/>
              <w:ind w:left="107"/>
              <w:rPr>
                <w:b/>
                <w:sz w:val="20"/>
              </w:rPr>
            </w:pPr>
            <w:r>
              <w:rPr>
                <w:b/>
                <w:color w:val="FFFFFF"/>
                <w:sz w:val="20"/>
              </w:rPr>
              <w:t>Measure</w:t>
            </w:r>
            <w:r>
              <w:rPr>
                <w:b/>
                <w:color w:val="FFFFFF"/>
                <w:spacing w:val="-5"/>
                <w:sz w:val="20"/>
              </w:rPr>
              <w:t xml:space="preserve"> Set</w:t>
            </w:r>
          </w:p>
        </w:tc>
        <w:tc>
          <w:tcPr>
            <w:tcW w:w="1212" w:type="dxa"/>
            <w:shd w:val="clear" w:color="auto" w:fill="1F487C"/>
          </w:tcPr>
          <w:p w:rsidR="00B41E06" w14:paraId="4E56698A" w14:textId="77777777">
            <w:pPr>
              <w:pStyle w:val="TableParagraph"/>
              <w:spacing w:before="62"/>
              <w:ind w:left="108"/>
              <w:rPr>
                <w:b/>
                <w:sz w:val="20"/>
              </w:rPr>
            </w:pPr>
            <w:r>
              <w:rPr>
                <w:b/>
                <w:color w:val="FFFFFF"/>
                <w:sz w:val="20"/>
              </w:rPr>
              <w:t>2015</w:t>
            </w:r>
            <w:r>
              <w:rPr>
                <w:b/>
                <w:color w:val="FFFFFF"/>
                <w:spacing w:val="-4"/>
                <w:sz w:val="20"/>
              </w:rPr>
              <w:t xml:space="preserve"> </w:t>
            </w:r>
            <w:r>
              <w:rPr>
                <w:b/>
                <w:color w:val="FFFFFF"/>
                <w:spacing w:val="-5"/>
                <w:sz w:val="20"/>
              </w:rPr>
              <w:t>QRS</w:t>
            </w:r>
          </w:p>
          <w:p w:rsidR="00B41E06" w14:paraId="641BB211" w14:textId="77777777">
            <w:pPr>
              <w:pStyle w:val="TableParagraph"/>
              <w:spacing w:before="1"/>
              <w:ind w:left="108" w:right="119"/>
              <w:rPr>
                <w:b/>
                <w:sz w:val="20"/>
              </w:rPr>
            </w:pPr>
            <w:r>
              <w:rPr>
                <w:b/>
                <w:color w:val="FFFFFF"/>
                <w:sz w:val="20"/>
              </w:rPr>
              <w:t>Beta Test Measure</w:t>
            </w:r>
            <w:r>
              <w:rPr>
                <w:b/>
                <w:color w:val="FFFFFF"/>
                <w:spacing w:val="-12"/>
                <w:sz w:val="20"/>
              </w:rPr>
              <w:t xml:space="preserve"> </w:t>
            </w:r>
            <w:r>
              <w:rPr>
                <w:b/>
                <w:color w:val="FFFFFF"/>
                <w:sz w:val="20"/>
              </w:rPr>
              <w:t>Set</w:t>
            </w:r>
          </w:p>
        </w:tc>
        <w:tc>
          <w:tcPr>
            <w:tcW w:w="1214" w:type="dxa"/>
            <w:shd w:val="clear" w:color="auto" w:fill="1F487C"/>
          </w:tcPr>
          <w:p w:rsidR="00B41E06" w14:paraId="158B1556" w14:textId="77777777">
            <w:pPr>
              <w:pStyle w:val="TableParagraph"/>
              <w:spacing w:before="62"/>
              <w:rPr>
                <w:rFonts w:ascii="Times New Roman"/>
                <w:sz w:val="20"/>
              </w:rPr>
            </w:pPr>
          </w:p>
          <w:p w:rsidR="00B41E06" w14:paraId="13BE51F2" w14:textId="77777777">
            <w:pPr>
              <w:pStyle w:val="TableParagraph"/>
              <w:ind w:left="108"/>
              <w:rPr>
                <w:b/>
                <w:sz w:val="20"/>
              </w:rPr>
            </w:pPr>
            <w:r>
              <w:rPr>
                <w:b/>
                <w:color w:val="FFFFFF"/>
                <w:sz w:val="20"/>
              </w:rPr>
              <w:t>2022</w:t>
            </w:r>
            <w:r>
              <w:rPr>
                <w:b/>
                <w:color w:val="FFFFFF"/>
                <w:spacing w:val="-4"/>
                <w:sz w:val="20"/>
              </w:rPr>
              <w:t xml:space="preserve"> </w:t>
            </w:r>
            <w:r>
              <w:rPr>
                <w:b/>
                <w:color w:val="FFFFFF"/>
                <w:spacing w:val="-5"/>
                <w:sz w:val="20"/>
              </w:rPr>
              <w:t>QRS</w:t>
            </w:r>
          </w:p>
          <w:p w:rsidR="00B41E06" w14:paraId="075A7241" w14:textId="77777777">
            <w:pPr>
              <w:pStyle w:val="TableParagraph"/>
              <w:spacing w:before="1"/>
              <w:ind w:left="108"/>
              <w:rPr>
                <w:b/>
                <w:sz w:val="20"/>
              </w:rPr>
            </w:pPr>
            <w:r>
              <w:rPr>
                <w:b/>
                <w:color w:val="FFFFFF"/>
                <w:sz w:val="20"/>
              </w:rPr>
              <w:t>Measure</w:t>
            </w:r>
            <w:r>
              <w:rPr>
                <w:b/>
                <w:color w:val="FFFFFF"/>
                <w:spacing w:val="-5"/>
                <w:sz w:val="20"/>
              </w:rPr>
              <w:t xml:space="preserve"> Set</w:t>
            </w:r>
          </w:p>
        </w:tc>
        <w:tc>
          <w:tcPr>
            <w:tcW w:w="1209" w:type="dxa"/>
            <w:shd w:val="clear" w:color="auto" w:fill="1F487C"/>
          </w:tcPr>
          <w:p w:rsidR="00B41E06" w14:paraId="33DDEA13" w14:textId="77777777">
            <w:pPr>
              <w:pStyle w:val="TableParagraph"/>
              <w:spacing w:before="62"/>
              <w:ind w:left="108" w:right="93"/>
              <w:jc w:val="both"/>
              <w:rPr>
                <w:b/>
                <w:sz w:val="20"/>
              </w:rPr>
            </w:pPr>
            <w:r>
              <w:rPr>
                <w:b/>
                <w:color w:val="FFFFFF"/>
                <w:sz w:val="20"/>
              </w:rPr>
              <w:t>Current</w:t>
            </w:r>
            <w:r>
              <w:rPr>
                <w:b/>
                <w:color w:val="FFFFFF"/>
                <w:spacing w:val="-12"/>
                <w:sz w:val="20"/>
              </w:rPr>
              <w:t xml:space="preserve"> </w:t>
            </w:r>
            <w:r>
              <w:rPr>
                <w:b/>
                <w:color w:val="FFFFFF"/>
                <w:sz w:val="20"/>
              </w:rPr>
              <w:t>QRS Measure</w:t>
            </w:r>
            <w:r>
              <w:rPr>
                <w:b/>
                <w:color w:val="FFFFFF"/>
                <w:spacing w:val="-9"/>
                <w:sz w:val="20"/>
              </w:rPr>
              <w:t xml:space="preserve"> </w:t>
            </w:r>
            <w:r>
              <w:rPr>
                <w:b/>
                <w:color w:val="FFFFFF"/>
                <w:sz w:val="20"/>
              </w:rPr>
              <w:t>Set (2025 QRS)</w:t>
            </w:r>
          </w:p>
        </w:tc>
      </w:tr>
      <w:tr w14:paraId="168C513D" w14:textId="77777777">
        <w:tblPrEx>
          <w:tblW w:w="0" w:type="auto"/>
          <w:tblInd w:w="370" w:type="dxa"/>
          <w:tblLayout w:type="fixed"/>
          <w:tblCellMar>
            <w:left w:w="0" w:type="dxa"/>
            <w:right w:w="0" w:type="dxa"/>
          </w:tblCellMar>
          <w:tblLook w:val="01E0"/>
        </w:tblPrEx>
        <w:trPr>
          <w:trHeight w:val="832"/>
        </w:trPr>
        <w:tc>
          <w:tcPr>
            <w:tcW w:w="4495" w:type="dxa"/>
          </w:tcPr>
          <w:p w:rsidR="00B41E06" w14:paraId="69F14710" w14:textId="77777777">
            <w:pPr>
              <w:pStyle w:val="TableParagraph"/>
              <w:spacing w:before="62" w:line="252" w:lineRule="auto"/>
              <w:ind w:left="107" w:right="345"/>
              <w:jc w:val="both"/>
              <w:rPr>
                <w:sz w:val="20"/>
              </w:rPr>
            </w:pPr>
            <w:r>
              <w:rPr>
                <w:b/>
                <w:sz w:val="20"/>
              </w:rPr>
              <w:t>Hybrid Measures</w:t>
            </w:r>
            <w:r>
              <w:rPr>
                <w:b/>
                <w:spacing w:val="-1"/>
                <w:sz w:val="20"/>
              </w:rPr>
              <w:t xml:space="preserve"> </w:t>
            </w:r>
            <w:r>
              <w:rPr>
                <w:b/>
                <w:sz w:val="20"/>
              </w:rPr>
              <w:t>Where</w:t>
            </w:r>
            <w:r>
              <w:rPr>
                <w:b/>
                <w:spacing w:val="-1"/>
                <w:sz w:val="20"/>
              </w:rPr>
              <w:t xml:space="preserve"> </w:t>
            </w:r>
            <w:r>
              <w:rPr>
                <w:b/>
                <w:sz w:val="20"/>
              </w:rPr>
              <w:t>Unique</w:t>
            </w:r>
            <w:r>
              <w:rPr>
                <w:b/>
                <w:spacing w:val="-1"/>
                <w:sz w:val="20"/>
              </w:rPr>
              <w:t xml:space="preserve"> </w:t>
            </w:r>
            <w:r>
              <w:rPr>
                <w:b/>
                <w:sz w:val="20"/>
              </w:rPr>
              <w:t>Sample</w:t>
            </w:r>
            <w:r>
              <w:rPr>
                <w:b/>
                <w:spacing w:val="-1"/>
                <w:sz w:val="20"/>
              </w:rPr>
              <w:t xml:space="preserve"> </w:t>
            </w:r>
            <w:r>
              <w:rPr>
                <w:b/>
                <w:sz w:val="20"/>
              </w:rPr>
              <w:t>Is</w:t>
            </w:r>
            <w:r>
              <w:rPr>
                <w:b/>
                <w:spacing w:val="-1"/>
                <w:sz w:val="20"/>
              </w:rPr>
              <w:t xml:space="preserve"> </w:t>
            </w:r>
            <w:r>
              <w:rPr>
                <w:b/>
                <w:sz w:val="20"/>
              </w:rPr>
              <w:t xml:space="preserve">Optional </w:t>
            </w:r>
            <w:r>
              <w:rPr>
                <w:sz w:val="20"/>
              </w:rPr>
              <w:t>Measures</w:t>
            </w:r>
            <w:r>
              <w:rPr>
                <w:spacing w:val="-5"/>
                <w:sz w:val="20"/>
              </w:rPr>
              <w:t xml:space="preserve"> </w:t>
            </w:r>
            <w:r>
              <w:rPr>
                <w:sz w:val="20"/>
              </w:rPr>
              <w:t>that</w:t>
            </w:r>
            <w:r>
              <w:rPr>
                <w:spacing w:val="-5"/>
                <w:sz w:val="20"/>
              </w:rPr>
              <w:t xml:space="preserve"> </w:t>
            </w:r>
            <w:r>
              <w:rPr>
                <w:sz w:val="20"/>
              </w:rPr>
              <w:t>specify</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3"/>
                <w:sz w:val="20"/>
              </w:rPr>
              <w:t xml:space="preserve"> </w:t>
            </w:r>
            <w:r>
              <w:rPr>
                <w:sz w:val="20"/>
              </w:rPr>
              <w:t>medical</w:t>
            </w:r>
            <w:r>
              <w:rPr>
                <w:spacing w:val="-5"/>
                <w:sz w:val="20"/>
              </w:rPr>
              <w:t xml:space="preserve"> </w:t>
            </w:r>
            <w:r>
              <w:rPr>
                <w:sz w:val="20"/>
              </w:rPr>
              <w:t>record</w:t>
            </w:r>
            <w:r>
              <w:rPr>
                <w:spacing w:val="-5"/>
                <w:sz w:val="20"/>
              </w:rPr>
              <w:t xml:space="preserve"> </w:t>
            </w:r>
            <w:r>
              <w:rPr>
                <w:sz w:val="20"/>
              </w:rPr>
              <w:t>data</w:t>
            </w:r>
            <w:r>
              <w:rPr>
                <w:spacing w:val="-5"/>
                <w:sz w:val="20"/>
              </w:rPr>
              <w:t xml:space="preserve"> </w:t>
            </w:r>
            <w:r>
              <w:rPr>
                <w:sz w:val="20"/>
              </w:rPr>
              <w:t>to supplement administrative data is an option.</w:t>
            </w:r>
          </w:p>
        </w:tc>
        <w:tc>
          <w:tcPr>
            <w:tcW w:w="1214" w:type="dxa"/>
          </w:tcPr>
          <w:p w:rsidR="00B41E06" w14:paraId="6840239A" w14:textId="77777777">
            <w:pPr>
              <w:pStyle w:val="TableParagraph"/>
              <w:spacing w:before="62"/>
              <w:ind w:left="6" w:right="1"/>
              <w:jc w:val="center"/>
              <w:rPr>
                <w:sz w:val="20"/>
              </w:rPr>
            </w:pPr>
            <w:r>
              <w:rPr>
                <w:spacing w:val="-10"/>
                <w:sz w:val="20"/>
              </w:rPr>
              <w:t>9</w:t>
            </w:r>
          </w:p>
        </w:tc>
        <w:tc>
          <w:tcPr>
            <w:tcW w:w="1212" w:type="dxa"/>
          </w:tcPr>
          <w:p w:rsidR="00B41E06" w14:paraId="7FA2AF45" w14:textId="77777777">
            <w:pPr>
              <w:pStyle w:val="TableParagraph"/>
              <w:spacing w:before="62"/>
              <w:ind w:left="8"/>
              <w:jc w:val="center"/>
              <w:rPr>
                <w:sz w:val="20"/>
              </w:rPr>
            </w:pPr>
            <w:r>
              <w:rPr>
                <w:spacing w:val="-5"/>
                <w:sz w:val="20"/>
              </w:rPr>
              <w:t>10</w:t>
            </w:r>
          </w:p>
        </w:tc>
        <w:tc>
          <w:tcPr>
            <w:tcW w:w="1214" w:type="dxa"/>
          </w:tcPr>
          <w:p w:rsidR="00B41E06" w14:paraId="1F2AF297" w14:textId="77777777">
            <w:pPr>
              <w:pStyle w:val="TableParagraph"/>
              <w:spacing w:before="62"/>
              <w:ind w:left="6"/>
              <w:jc w:val="center"/>
              <w:rPr>
                <w:sz w:val="20"/>
              </w:rPr>
            </w:pPr>
            <w:r>
              <w:rPr>
                <w:spacing w:val="-10"/>
                <w:sz w:val="20"/>
              </w:rPr>
              <w:t>7</w:t>
            </w:r>
          </w:p>
        </w:tc>
        <w:tc>
          <w:tcPr>
            <w:tcW w:w="1209" w:type="dxa"/>
          </w:tcPr>
          <w:p w:rsidR="00B41E06" w14:paraId="4DA93C88" w14:textId="77777777">
            <w:pPr>
              <w:pStyle w:val="TableParagraph"/>
              <w:spacing w:before="61" w:line="180" w:lineRule="exact"/>
              <w:ind w:left="40" w:right="29"/>
              <w:jc w:val="center"/>
              <w:rPr>
                <w:b/>
                <w:sz w:val="13"/>
              </w:rPr>
            </w:pPr>
            <w:r>
              <w:rPr>
                <w:b/>
                <w:spacing w:val="5"/>
                <w:position w:val="-4"/>
                <w:sz w:val="20"/>
              </w:rPr>
              <w:t>7</w:t>
            </w:r>
            <w:r>
              <w:rPr>
                <w:b/>
                <w:spacing w:val="5"/>
                <w:sz w:val="13"/>
              </w:rPr>
              <w:t>9</w:t>
            </w:r>
          </w:p>
          <w:p w:rsidR="00B41E06" w14:paraId="708417A7" w14:textId="77777777">
            <w:pPr>
              <w:pStyle w:val="TableParagraph"/>
              <w:spacing w:line="12" w:lineRule="exact"/>
              <w:ind w:left="40"/>
              <w:jc w:val="center"/>
              <w:rPr>
                <w:rFonts w:ascii="Cambria"/>
                <w:sz w:val="2"/>
              </w:rPr>
            </w:pPr>
            <w:r>
              <w:rPr>
                <w:rFonts w:ascii="Cambria"/>
                <w:spacing w:val="-5"/>
                <w:sz w:val="2"/>
              </w:rPr>
              <w:t>8F</w:t>
            </w:r>
          </w:p>
        </w:tc>
      </w:tr>
      <w:tr w14:paraId="7696D187" w14:textId="77777777">
        <w:tblPrEx>
          <w:tblW w:w="0" w:type="auto"/>
          <w:tblInd w:w="370" w:type="dxa"/>
          <w:tblLayout w:type="fixed"/>
          <w:tblCellMar>
            <w:left w:w="0" w:type="dxa"/>
            <w:right w:w="0" w:type="dxa"/>
          </w:tblCellMar>
          <w:tblLook w:val="01E0"/>
        </w:tblPrEx>
        <w:trPr>
          <w:trHeight w:val="1295"/>
        </w:trPr>
        <w:tc>
          <w:tcPr>
            <w:tcW w:w="4495" w:type="dxa"/>
          </w:tcPr>
          <w:p w:rsidR="00B41E06" w14:paraId="20155679" w14:textId="77777777">
            <w:pPr>
              <w:pStyle w:val="TableParagraph"/>
              <w:spacing w:before="62" w:line="244" w:lineRule="auto"/>
              <w:ind w:left="107" w:right="104"/>
              <w:rPr>
                <w:sz w:val="20"/>
              </w:rPr>
            </w:pPr>
            <w:r>
              <w:rPr>
                <w:b/>
                <w:sz w:val="20"/>
              </w:rPr>
              <w:t xml:space="preserve">Average # of Medical Records Reviewed for Each Hybrid Measure where a Unique Sample is Optional </w:t>
            </w:r>
            <w:r>
              <w:rPr>
                <w:sz w:val="20"/>
              </w:rPr>
              <w:t>The</w:t>
            </w:r>
            <w:r>
              <w:rPr>
                <w:spacing w:val="-4"/>
                <w:sz w:val="20"/>
              </w:rPr>
              <w:t xml:space="preserve"> </w:t>
            </w:r>
            <w:r>
              <w:rPr>
                <w:sz w:val="20"/>
              </w:rPr>
              <w:t>number</w:t>
            </w:r>
            <w:r>
              <w:rPr>
                <w:spacing w:val="-4"/>
                <w:sz w:val="20"/>
              </w:rPr>
              <w:t xml:space="preserve"> </w:t>
            </w:r>
            <w:r>
              <w:rPr>
                <w:sz w:val="20"/>
              </w:rPr>
              <w:t>of</w:t>
            </w:r>
            <w:r>
              <w:rPr>
                <w:spacing w:val="-4"/>
                <w:sz w:val="20"/>
              </w:rPr>
              <w:t xml:space="preserve"> </w:t>
            </w:r>
            <w:r>
              <w:rPr>
                <w:sz w:val="20"/>
              </w:rPr>
              <w:t>medical</w:t>
            </w:r>
            <w:r>
              <w:rPr>
                <w:spacing w:val="-5"/>
                <w:sz w:val="20"/>
              </w:rPr>
              <w:t xml:space="preserve"> </w:t>
            </w:r>
            <w:r>
              <w:rPr>
                <w:sz w:val="20"/>
              </w:rPr>
              <w:t>records,</w:t>
            </w:r>
            <w:r>
              <w:rPr>
                <w:spacing w:val="-4"/>
                <w:sz w:val="20"/>
              </w:rPr>
              <w:t xml:space="preserve"> </w:t>
            </w:r>
            <w:r>
              <w:rPr>
                <w:sz w:val="20"/>
              </w:rPr>
              <w:t>on</w:t>
            </w:r>
            <w:r>
              <w:rPr>
                <w:spacing w:val="-4"/>
                <w:sz w:val="20"/>
              </w:rPr>
              <w:t xml:space="preserve"> </w:t>
            </w:r>
            <w:r>
              <w:rPr>
                <w:sz w:val="20"/>
              </w:rPr>
              <w:t>average,</w:t>
            </w:r>
            <w:r>
              <w:rPr>
                <w:spacing w:val="-4"/>
                <w:sz w:val="20"/>
              </w:rPr>
              <w:t xml:space="preserve"> </w:t>
            </w:r>
            <w:r>
              <w:rPr>
                <w:sz w:val="20"/>
              </w:rPr>
              <w:t>that</w:t>
            </w:r>
            <w:r>
              <w:rPr>
                <w:spacing w:val="-4"/>
                <w:sz w:val="20"/>
              </w:rPr>
              <w:t xml:space="preserve"> </w:t>
            </w:r>
            <w:r>
              <w:rPr>
                <w:sz w:val="20"/>
              </w:rPr>
              <w:t>an</w:t>
            </w:r>
            <w:r>
              <w:rPr>
                <w:spacing w:val="-4"/>
                <w:sz w:val="20"/>
              </w:rPr>
              <w:t xml:space="preserve"> </w:t>
            </w:r>
            <w:r>
              <w:rPr>
                <w:sz w:val="20"/>
              </w:rPr>
              <w:t>issuer reviews to determine measure compliance (as determined by the issuer).</w:t>
            </w:r>
          </w:p>
        </w:tc>
        <w:tc>
          <w:tcPr>
            <w:tcW w:w="1214" w:type="dxa"/>
          </w:tcPr>
          <w:p w:rsidR="00B41E06" w14:paraId="6DA3141B" w14:textId="77777777">
            <w:pPr>
              <w:pStyle w:val="TableParagraph"/>
              <w:spacing w:before="62"/>
              <w:ind w:left="6" w:right="1"/>
              <w:jc w:val="center"/>
              <w:rPr>
                <w:sz w:val="20"/>
              </w:rPr>
            </w:pPr>
            <w:r>
              <w:rPr>
                <w:spacing w:val="-5"/>
                <w:sz w:val="20"/>
              </w:rPr>
              <w:t>335</w:t>
            </w:r>
          </w:p>
        </w:tc>
        <w:tc>
          <w:tcPr>
            <w:tcW w:w="1212" w:type="dxa"/>
          </w:tcPr>
          <w:p w:rsidR="00B41E06" w14:paraId="244739D6" w14:textId="77777777">
            <w:pPr>
              <w:pStyle w:val="TableParagraph"/>
              <w:spacing w:before="62"/>
              <w:ind w:left="8"/>
              <w:jc w:val="center"/>
              <w:rPr>
                <w:sz w:val="20"/>
              </w:rPr>
            </w:pPr>
            <w:r>
              <w:rPr>
                <w:spacing w:val="-5"/>
                <w:sz w:val="20"/>
              </w:rPr>
              <w:t>330</w:t>
            </w:r>
          </w:p>
        </w:tc>
        <w:tc>
          <w:tcPr>
            <w:tcW w:w="1214" w:type="dxa"/>
          </w:tcPr>
          <w:p w:rsidR="00B41E06" w14:paraId="5B827B1E" w14:textId="77777777">
            <w:pPr>
              <w:pStyle w:val="TableParagraph"/>
              <w:spacing w:before="62"/>
              <w:ind w:left="6"/>
              <w:jc w:val="center"/>
              <w:rPr>
                <w:sz w:val="20"/>
              </w:rPr>
            </w:pPr>
            <w:r>
              <w:rPr>
                <w:spacing w:val="-5"/>
                <w:sz w:val="20"/>
              </w:rPr>
              <w:t>411</w:t>
            </w:r>
          </w:p>
        </w:tc>
        <w:tc>
          <w:tcPr>
            <w:tcW w:w="1209" w:type="dxa"/>
          </w:tcPr>
          <w:p w:rsidR="00B41E06" w14:paraId="37BA0677" w14:textId="77777777">
            <w:pPr>
              <w:pStyle w:val="TableParagraph"/>
              <w:spacing w:before="62"/>
              <w:ind w:left="40" w:right="28"/>
              <w:jc w:val="center"/>
              <w:rPr>
                <w:b/>
                <w:sz w:val="20"/>
              </w:rPr>
            </w:pPr>
            <w:r>
              <w:rPr>
                <w:b/>
                <w:spacing w:val="-5"/>
                <w:sz w:val="20"/>
              </w:rPr>
              <w:t>411</w:t>
            </w:r>
          </w:p>
        </w:tc>
      </w:tr>
    </w:tbl>
    <w:p w:rsidR="00B41E06" w14:paraId="12F12121" w14:textId="77777777">
      <w:pPr>
        <w:pStyle w:val="BodyText"/>
        <w:spacing w:before="140"/>
        <w:ind w:left="359" w:right="419"/>
      </w:pPr>
      <w:r>
        <w:t>CMS conducted interviews with issuers that had experience with performance measures data collection and other technical experts to confirm the data collection process and the associated burden.</w:t>
      </w:r>
      <w:r>
        <w:rPr>
          <w:spacing w:val="-3"/>
        </w:rPr>
        <w:t xml:space="preserve"> </w:t>
      </w:r>
      <w:r>
        <w:t>These</w:t>
      </w:r>
      <w:r>
        <w:rPr>
          <w:spacing w:val="-2"/>
        </w:rPr>
        <w:t xml:space="preserve"> </w:t>
      </w:r>
      <w:r>
        <w:t>estimates</w:t>
      </w:r>
      <w:r>
        <w:rPr>
          <w:spacing w:val="-1"/>
        </w:rPr>
        <w:t xml:space="preserve"> </w:t>
      </w:r>
      <w:r>
        <w:t>are</w:t>
      </w:r>
      <w:r>
        <w:rPr>
          <w:spacing w:val="-4"/>
        </w:rPr>
        <w:t xml:space="preserve"> </w:t>
      </w:r>
      <w:r>
        <w:t>based</w:t>
      </w:r>
      <w:r>
        <w:rPr>
          <w:spacing w:val="-3"/>
        </w:rPr>
        <w:t xml:space="preserve"> </w:t>
      </w:r>
      <w:r>
        <w:t>on</w:t>
      </w:r>
      <w:r>
        <w:rPr>
          <w:spacing w:val="-3"/>
        </w:rPr>
        <w:t xml:space="preserve"> </w:t>
      </w:r>
      <w:r>
        <w:t>similar</w:t>
      </w:r>
      <w:r>
        <w:rPr>
          <w:spacing w:val="-4"/>
        </w:rPr>
        <w:t xml:space="preserve"> </w:t>
      </w:r>
      <w:r>
        <w:t>reporting</w:t>
      </w:r>
      <w:r>
        <w:rPr>
          <w:spacing w:val="-3"/>
        </w:rPr>
        <w:t xml:space="preserve"> </w:t>
      </w:r>
      <w:r>
        <w:t>programs,</w:t>
      </w:r>
      <w:r>
        <w:rPr>
          <w:spacing w:val="-3"/>
        </w:rPr>
        <w:t xml:space="preserve"> </w:t>
      </w:r>
      <w:r>
        <w:t>and</w:t>
      </w:r>
      <w:r>
        <w:rPr>
          <w:spacing w:val="-3"/>
        </w:rPr>
        <w:t xml:space="preserve"> </w:t>
      </w:r>
      <w:r>
        <w:t>the</w:t>
      </w:r>
      <w:r>
        <w:rPr>
          <w:spacing w:val="-4"/>
        </w:rPr>
        <w:t xml:space="preserve"> </w:t>
      </w:r>
      <w:r>
        <w:t>data</w:t>
      </w:r>
      <w:r>
        <w:rPr>
          <w:spacing w:val="-4"/>
        </w:rPr>
        <w:t xml:space="preserve"> </w:t>
      </w:r>
      <w:r>
        <w:t>collection</w:t>
      </w:r>
      <w:r>
        <w:rPr>
          <w:spacing w:val="-3"/>
        </w:rPr>
        <w:t xml:space="preserve"> </w:t>
      </w:r>
      <w:r>
        <w:t>process has</w:t>
      </w:r>
      <w:r>
        <w:rPr>
          <w:spacing w:val="-2"/>
        </w:rPr>
        <w:t xml:space="preserve"> </w:t>
      </w:r>
      <w:r>
        <w:t>deviated</w:t>
      </w:r>
      <w:r>
        <w:rPr>
          <w:spacing w:val="-2"/>
        </w:rPr>
        <w:t xml:space="preserve"> </w:t>
      </w:r>
      <w:r>
        <w:t>only</w:t>
      </w:r>
      <w:r>
        <w:rPr>
          <w:spacing w:val="-2"/>
        </w:rPr>
        <w:t xml:space="preserve"> </w:t>
      </w:r>
      <w:r>
        <w:t>slightly</w:t>
      </w:r>
      <w:r>
        <w:rPr>
          <w:spacing w:val="-2"/>
        </w:rPr>
        <w:t xml:space="preserve"> </w:t>
      </w:r>
      <w:r>
        <w:t>from</w:t>
      </w:r>
      <w:r>
        <w:rPr>
          <w:spacing w:val="-2"/>
        </w:rPr>
        <w:t xml:space="preserve"> </w:t>
      </w:r>
      <w:r>
        <w:t>its</w:t>
      </w:r>
      <w:r>
        <w:rPr>
          <w:spacing w:val="-2"/>
        </w:rPr>
        <w:t xml:space="preserve"> </w:t>
      </w:r>
      <w:r>
        <w:t>original</w:t>
      </w:r>
      <w:r>
        <w:rPr>
          <w:spacing w:val="-2"/>
        </w:rPr>
        <w:t xml:space="preserve"> </w:t>
      </w:r>
      <w:r>
        <w:t>structure.</w:t>
      </w:r>
      <w:r>
        <w:rPr>
          <w:spacing w:val="-2"/>
        </w:rPr>
        <w:t xml:space="preserve"> </w:t>
      </w:r>
      <w:r>
        <w:t>The</w:t>
      </w:r>
      <w:r>
        <w:rPr>
          <w:spacing w:val="-3"/>
        </w:rPr>
        <w:t xml:space="preserve"> </w:t>
      </w:r>
      <w:r>
        <w:t>following</w:t>
      </w:r>
      <w:r>
        <w:rPr>
          <w:spacing w:val="-2"/>
        </w:rPr>
        <w:t xml:space="preserve"> </w:t>
      </w:r>
      <w:r>
        <w:t>data</w:t>
      </w:r>
      <w:r>
        <w:rPr>
          <w:spacing w:val="-3"/>
        </w:rPr>
        <w:t xml:space="preserve"> </w:t>
      </w:r>
      <w:r>
        <w:t>collection</w:t>
      </w:r>
      <w:r>
        <w:rPr>
          <w:spacing w:val="-2"/>
        </w:rPr>
        <w:t xml:space="preserve"> </w:t>
      </w:r>
      <w:r>
        <w:t>process</w:t>
      </w:r>
      <w:r>
        <w:rPr>
          <w:spacing w:val="-2"/>
        </w:rPr>
        <w:t xml:space="preserve"> </w:t>
      </w:r>
      <w:r>
        <w:t>steps served as the basis for estimating labor hours:</w:t>
      </w:r>
    </w:p>
    <w:p w:rsidR="00B41E06" w14:paraId="4790B6D8" w14:textId="77777777">
      <w:pPr>
        <w:pStyle w:val="ListParagraph"/>
        <w:numPr>
          <w:ilvl w:val="0"/>
          <w:numId w:val="2"/>
        </w:numPr>
        <w:tabs>
          <w:tab w:val="left" w:pos="719"/>
        </w:tabs>
        <w:spacing w:before="122"/>
        <w:ind w:left="719"/>
        <w:rPr>
          <w:sz w:val="24"/>
        </w:rPr>
      </w:pPr>
      <w:r>
        <w:rPr>
          <w:sz w:val="24"/>
        </w:rPr>
        <w:t>Preparation</w:t>
      </w:r>
      <w:r>
        <w:rPr>
          <w:spacing w:val="-4"/>
          <w:sz w:val="24"/>
        </w:rPr>
        <w:t xml:space="preserve"> </w:t>
      </w:r>
      <w:r>
        <w:rPr>
          <w:sz w:val="24"/>
        </w:rPr>
        <w:t>of</w:t>
      </w:r>
      <w:r>
        <w:rPr>
          <w:spacing w:val="-1"/>
          <w:sz w:val="24"/>
        </w:rPr>
        <w:t xml:space="preserve"> </w:t>
      </w:r>
      <w:r>
        <w:rPr>
          <w:sz w:val="24"/>
        </w:rPr>
        <w:t>IT</w:t>
      </w:r>
      <w:r>
        <w:rPr>
          <w:spacing w:val="-3"/>
          <w:sz w:val="24"/>
        </w:rPr>
        <w:t xml:space="preserve"> </w:t>
      </w:r>
      <w:r>
        <w:rPr>
          <w:sz w:val="24"/>
        </w:rPr>
        <w:t>Systems</w:t>
      </w:r>
      <w:r>
        <w:rPr>
          <w:spacing w:val="-1"/>
          <w:sz w:val="24"/>
        </w:rPr>
        <w:t xml:space="preserve"> </w:t>
      </w:r>
      <w:r>
        <w:rPr>
          <w:sz w:val="24"/>
        </w:rPr>
        <w:t>for</w:t>
      </w:r>
      <w:r>
        <w:rPr>
          <w:spacing w:val="-3"/>
          <w:sz w:val="24"/>
        </w:rPr>
        <w:t xml:space="preserve"> </w:t>
      </w:r>
      <w:r>
        <w:rPr>
          <w:sz w:val="24"/>
        </w:rPr>
        <w:t>Data</w:t>
      </w:r>
      <w:r>
        <w:rPr>
          <w:spacing w:val="-2"/>
          <w:sz w:val="24"/>
        </w:rPr>
        <w:t xml:space="preserve"> Collection</w:t>
      </w:r>
    </w:p>
    <w:p w:rsidR="00B41E06" w14:paraId="15C35DBB" w14:textId="77777777">
      <w:pPr>
        <w:pStyle w:val="ListParagraph"/>
        <w:numPr>
          <w:ilvl w:val="0"/>
          <w:numId w:val="2"/>
        </w:numPr>
        <w:tabs>
          <w:tab w:val="left" w:pos="719"/>
        </w:tabs>
        <w:spacing w:before="59"/>
        <w:ind w:left="719" w:hanging="359"/>
        <w:rPr>
          <w:sz w:val="24"/>
        </w:rPr>
      </w:pPr>
      <w:r>
        <w:rPr>
          <w:sz w:val="24"/>
        </w:rPr>
        <w:t>Data</w:t>
      </w:r>
      <w:r>
        <w:rPr>
          <w:spacing w:val="-5"/>
          <w:sz w:val="24"/>
        </w:rPr>
        <w:t xml:space="preserve"> </w:t>
      </w:r>
      <w:r>
        <w:rPr>
          <w:sz w:val="24"/>
        </w:rPr>
        <w:t>Collection</w:t>
      </w:r>
      <w:r>
        <w:rPr>
          <w:spacing w:val="-2"/>
          <w:sz w:val="24"/>
        </w:rPr>
        <w:t xml:space="preserve"> </w:t>
      </w:r>
      <w:r>
        <w:rPr>
          <w:sz w:val="24"/>
        </w:rPr>
        <w:t>–</w:t>
      </w:r>
      <w:r>
        <w:rPr>
          <w:spacing w:val="-2"/>
          <w:sz w:val="24"/>
        </w:rPr>
        <w:t xml:space="preserve"> </w:t>
      </w:r>
      <w:r>
        <w:rPr>
          <w:sz w:val="24"/>
        </w:rPr>
        <w:t>Administrative</w:t>
      </w:r>
      <w:r>
        <w:rPr>
          <w:spacing w:val="-2"/>
          <w:sz w:val="24"/>
        </w:rPr>
        <w:t xml:space="preserve"> Method</w:t>
      </w:r>
    </w:p>
    <w:p w:rsidR="00B41E06" w14:paraId="02EF7992" w14:textId="77777777">
      <w:pPr>
        <w:pStyle w:val="ListParagraph"/>
        <w:numPr>
          <w:ilvl w:val="0"/>
          <w:numId w:val="2"/>
        </w:numPr>
        <w:tabs>
          <w:tab w:val="left" w:pos="719"/>
        </w:tabs>
        <w:spacing w:before="59"/>
        <w:ind w:left="719" w:hanging="359"/>
        <w:rPr>
          <w:sz w:val="24"/>
        </w:rPr>
      </w:pPr>
      <w:r>
        <w:rPr>
          <w:sz w:val="24"/>
        </w:rPr>
        <w:t>Data</w:t>
      </w:r>
      <w:r>
        <w:rPr>
          <w:spacing w:val="-3"/>
          <w:sz w:val="24"/>
        </w:rPr>
        <w:t xml:space="preserve"> </w:t>
      </w:r>
      <w:r>
        <w:rPr>
          <w:sz w:val="24"/>
        </w:rPr>
        <w:t>Collection</w:t>
      </w:r>
      <w:r>
        <w:rPr>
          <w:spacing w:val="-2"/>
          <w:sz w:val="24"/>
        </w:rPr>
        <w:t xml:space="preserve"> </w:t>
      </w:r>
      <w:r>
        <w:rPr>
          <w:sz w:val="24"/>
        </w:rPr>
        <w:t>–</w:t>
      </w:r>
      <w:r>
        <w:rPr>
          <w:spacing w:val="-1"/>
          <w:sz w:val="24"/>
        </w:rPr>
        <w:t xml:space="preserve"> </w:t>
      </w:r>
      <w:r>
        <w:rPr>
          <w:sz w:val="24"/>
        </w:rPr>
        <w:t>Medical</w:t>
      </w:r>
      <w:r>
        <w:rPr>
          <w:spacing w:val="-2"/>
          <w:sz w:val="24"/>
        </w:rPr>
        <w:t xml:space="preserve"> </w:t>
      </w:r>
      <w:r>
        <w:rPr>
          <w:sz w:val="24"/>
        </w:rPr>
        <w:t>Record</w:t>
      </w:r>
      <w:r>
        <w:rPr>
          <w:spacing w:val="-1"/>
          <w:sz w:val="24"/>
        </w:rPr>
        <w:t xml:space="preserve"> </w:t>
      </w:r>
      <w:r>
        <w:rPr>
          <w:spacing w:val="-2"/>
          <w:sz w:val="24"/>
        </w:rPr>
        <w:t>Method</w:t>
      </w:r>
    </w:p>
    <w:p w:rsidR="00B41E06" w14:paraId="38179714" w14:textId="77777777">
      <w:pPr>
        <w:pStyle w:val="ListParagraph"/>
        <w:numPr>
          <w:ilvl w:val="0"/>
          <w:numId w:val="2"/>
        </w:numPr>
        <w:tabs>
          <w:tab w:val="left" w:pos="719"/>
        </w:tabs>
        <w:spacing w:before="58"/>
        <w:ind w:left="719" w:hanging="359"/>
        <w:rPr>
          <w:sz w:val="24"/>
        </w:rPr>
      </w:pPr>
      <w:r>
        <w:rPr>
          <w:sz w:val="24"/>
        </w:rPr>
        <w:t>Data</w:t>
      </w:r>
      <w:r>
        <w:rPr>
          <w:spacing w:val="-3"/>
          <w:sz w:val="24"/>
        </w:rPr>
        <w:t xml:space="preserve"> </w:t>
      </w:r>
      <w:r>
        <w:rPr>
          <w:sz w:val="24"/>
        </w:rPr>
        <w:t>Aggregation</w:t>
      </w:r>
      <w:r>
        <w:rPr>
          <w:spacing w:val="-1"/>
          <w:sz w:val="24"/>
        </w:rPr>
        <w:t xml:space="preserve"> </w:t>
      </w:r>
      <w:r>
        <w:rPr>
          <w:sz w:val="24"/>
        </w:rPr>
        <w:t>and</w:t>
      </w:r>
      <w:r>
        <w:rPr>
          <w:spacing w:val="-1"/>
          <w:sz w:val="24"/>
        </w:rPr>
        <w:t xml:space="preserve"> </w:t>
      </w:r>
      <w:r>
        <w:rPr>
          <w:sz w:val="24"/>
        </w:rPr>
        <w:t>Quality</w:t>
      </w:r>
      <w:r>
        <w:rPr>
          <w:spacing w:val="-1"/>
          <w:sz w:val="24"/>
        </w:rPr>
        <w:t xml:space="preserve"> </w:t>
      </w:r>
      <w:r>
        <w:rPr>
          <w:spacing w:val="-2"/>
          <w:sz w:val="24"/>
        </w:rPr>
        <w:t>Assurance</w:t>
      </w:r>
    </w:p>
    <w:p w:rsidR="00B41E06" w14:paraId="7C0BA737" w14:textId="77777777">
      <w:pPr>
        <w:pStyle w:val="ListParagraph"/>
        <w:numPr>
          <w:ilvl w:val="0"/>
          <w:numId w:val="2"/>
        </w:numPr>
        <w:tabs>
          <w:tab w:val="left" w:pos="719"/>
        </w:tabs>
        <w:spacing w:before="59"/>
        <w:ind w:left="719" w:hanging="359"/>
        <w:rPr>
          <w:sz w:val="24"/>
        </w:rPr>
      </w:pPr>
      <w:r>
        <w:rPr>
          <w:sz w:val="24"/>
        </w:rPr>
        <w:t>Data</w:t>
      </w:r>
      <w:r>
        <w:rPr>
          <w:spacing w:val="-3"/>
          <w:sz w:val="24"/>
        </w:rPr>
        <w:t xml:space="preserve"> </w:t>
      </w:r>
      <w:r>
        <w:rPr>
          <w:spacing w:val="-2"/>
          <w:sz w:val="24"/>
        </w:rPr>
        <w:t>Validation</w:t>
      </w:r>
    </w:p>
    <w:p w:rsidR="00B41E06" w14:paraId="661AEEBA" w14:textId="77777777">
      <w:pPr>
        <w:pStyle w:val="ListParagraph"/>
        <w:numPr>
          <w:ilvl w:val="0"/>
          <w:numId w:val="2"/>
        </w:numPr>
        <w:tabs>
          <w:tab w:val="left" w:pos="719"/>
        </w:tabs>
        <w:spacing w:before="59"/>
        <w:ind w:left="719"/>
        <w:rPr>
          <w:sz w:val="24"/>
        </w:rPr>
      </w:pPr>
      <w:r>
        <w:rPr>
          <w:sz w:val="24"/>
        </w:rPr>
        <w:t>Data</w:t>
      </w:r>
      <w:r>
        <w:rPr>
          <w:spacing w:val="-3"/>
          <w:sz w:val="24"/>
        </w:rPr>
        <w:t xml:space="preserve"> </w:t>
      </w:r>
      <w:r>
        <w:rPr>
          <w:spacing w:val="-2"/>
          <w:sz w:val="24"/>
        </w:rPr>
        <w:t>Submission</w:t>
      </w:r>
    </w:p>
    <w:p w:rsidR="00B41E06" w14:paraId="32453841" w14:textId="77777777">
      <w:pPr>
        <w:pStyle w:val="BodyText"/>
        <w:spacing w:before="119"/>
        <w:ind w:left="359" w:right="365"/>
      </w:pPr>
      <w:r>
        <w:t>Previous</w:t>
      </w:r>
      <w:r>
        <w:rPr>
          <w:spacing w:val="-3"/>
        </w:rPr>
        <w:t xml:space="preserve"> </w:t>
      </w:r>
      <w:r>
        <w:t>estimates</w:t>
      </w:r>
      <w:r>
        <w:rPr>
          <w:spacing w:val="-3"/>
        </w:rPr>
        <w:t xml:space="preserve"> </w:t>
      </w:r>
      <w:r>
        <w:t>assumed</w:t>
      </w:r>
      <w:r>
        <w:rPr>
          <w:spacing w:val="-3"/>
        </w:rPr>
        <w:t xml:space="preserve"> </w:t>
      </w:r>
      <w:r>
        <w:t>that</w:t>
      </w:r>
      <w:r>
        <w:rPr>
          <w:spacing w:val="-3"/>
        </w:rPr>
        <w:t xml:space="preserve"> </w:t>
      </w:r>
      <w:r>
        <w:t>issuers</w:t>
      </w:r>
      <w:r>
        <w:rPr>
          <w:spacing w:val="-3"/>
        </w:rPr>
        <w:t xml:space="preserve"> </w:t>
      </w:r>
      <w:r>
        <w:t>would</w:t>
      </w:r>
      <w:r>
        <w:rPr>
          <w:spacing w:val="-3"/>
        </w:rPr>
        <w:t xml:space="preserve"> </w:t>
      </w:r>
      <w:r>
        <w:t>report</w:t>
      </w:r>
      <w:r>
        <w:rPr>
          <w:spacing w:val="-3"/>
        </w:rPr>
        <w:t xml:space="preserve"> </w:t>
      </w:r>
      <w:r>
        <w:t>QRS</w:t>
      </w:r>
      <w:r>
        <w:rPr>
          <w:spacing w:val="-3"/>
        </w:rPr>
        <w:t xml:space="preserve"> </w:t>
      </w:r>
      <w:r>
        <w:t>measure</w:t>
      </w:r>
      <w:r>
        <w:rPr>
          <w:spacing w:val="-4"/>
        </w:rPr>
        <w:t xml:space="preserve"> </w:t>
      </w:r>
      <w:r>
        <w:t>data</w:t>
      </w:r>
      <w:r>
        <w:rPr>
          <w:spacing w:val="-4"/>
        </w:rPr>
        <w:t xml:space="preserve"> </w:t>
      </w:r>
      <w:r>
        <w:t>to</w:t>
      </w:r>
      <w:r>
        <w:rPr>
          <w:spacing w:val="-1"/>
        </w:rPr>
        <w:t xml:space="preserve"> </w:t>
      </w:r>
      <w:r>
        <w:t>CMS</w:t>
      </w:r>
      <w:r>
        <w:rPr>
          <w:spacing w:val="-3"/>
        </w:rPr>
        <w:t xml:space="preserve"> </w:t>
      </w:r>
      <w:r>
        <w:t>by</w:t>
      </w:r>
      <w:r>
        <w:rPr>
          <w:spacing w:val="-3"/>
        </w:rPr>
        <w:t xml:space="preserve"> </w:t>
      </w:r>
      <w:r>
        <w:t>product</w:t>
      </w:r>
      <w:r>
        <w:rPr>
          <w:spacing w:val="-3"/>
        </w:rPr>
        <w:t xml:space="preserve"> </w:t>
      </w:r>
      <w:r>
        <w:t>type (HMO, POS, PPO, and/or EPO); thus, the estimates used a weighting factor to represent the workload for issuers with multiple product types to report hybrid measures. However, the additional burden created by reporting of multiple product types is negligible for data collected via the administrative method. Because all QRS measures can be reported via the administrative method, CMS removed this weighting factor.</w:t>
      </w:r>
    </w:p>
    <w:p w:rsidR="00B41E06" w14:paraId="248BD18F" w14:textId="77777777">
      <w:pPr>
        <w:pStyle w:val="BodyText"/>
        <w:ind w:left="359" w:right="427"/>
      </w:pPr>
      <w:hyperlink w:anchor="_bookmark2" w:history="1">
        <w:r>
          <w:t>Exhibit 2</w:t>
        </w:r>
      </w:hyperlink>
      <w:r>
        <w:t xml:space="preserve"> includes the labor categories and wage rates used to derive the burden estimate. The categories are based on those cited by the Department of Labor, Bureau of Labor Statistics (BLS). A sample of issuers informed modifications to the function descriptions associated with each category so that they aligned more with data collection of performance measures. Wages are based on BLS wage statistics as of May 2023 (published in 2024). The median wage is used for</w:t>
      </w:r>
      <w:r>
        <w:rPr>
          <w:spacing w:val="-4"/>
        </w:rPr>
        <w:t xml:space="preserve"> </w:t>
      </w:r>
      <w:r>
        <w:t>hourly</w:t>
      </w:r>
      <w:r>
        <w:rPr>
          <w:spacing w:val="-3"/>
        </w:rPr>
        <w:t xml:space="preserve"> </w:t>
      </w:r>
      <w:r>
        <w:t>wages</w:t>
      </w:r>
      <w:r>
        <w:rPr>
          <w:spacing w:val="-3"/>
        </w:rPr>
        <w:t xml:space="preserve"> </w:t>
      </w:r>
      <w:r>
        <w:t>to</w:t>
      </w:r>
      <w:r>
        <w:rPr>
          <w:spacing w:val="-3"/>
        </w:rPr>
        <w:t xml:space="preserve"> </w:t>
      </w:r>
      <w:r>
        <w:t>generate</w:t>
      </w:r>
      <w:r>
        <w:rPr>
          <w:spacing w:val="-4"/>
        </w:rPr>
        <w:t xml:space="preserve"> </w:t>
      </w:r>
      <w:r>
        <w:t>a</w:t>
      </w:r>
      <w:r>
        <w:rPr>
          <w:spacing w:val="-2"/>
        </w:rPr>
        <w:t xml:space="preserve"> </w:t>
      </w:r>
      <w:r>
        <w:t>conservative</w:t>
      </w:r>
      <w:r>
        <w:rPr>
          <w:spacing w:val="-4"/>
        </w:rPr>
        <w:t xml:space="preserve"> </w:t>
      </w:r>
      <w:r>
        <w:t>burden</w:t>
      </w:r>
      <w:r>
        <w:rPr>
          <w:spacing w:val="-3"/>
        </w:rPr>
        <w:t xml:space="preserve"> </w:t>
      </w:r>
      <w:r>
        <w:t>estimate.</w:t>
      </w:r>
      <w:r>
        <w:rPr>
          <w:spacing w:val="-3"/>
        </w:rPr>
        <w:t xml:space="preserve"> </w:t>
      </w:r>
      <w:r>
        <w:t>This</w:t>
      </w:r>
      <w:r>
        <w:rPr>
          <w:spacing w:val="-3"/>
        </w:rPr>
        <w:t xml:space="preserve"> </w:t>
      </w:r>
      <w:r>
        <w:t>burden</w:t>
      </w:r>
      <w:r>
        <w:rPr>
          <w:spacing w:val="-3"/>
        </w:rPr>
        <w:t xml:space="preserve"> </w:t>
      </w:r>
      <w:r>
        <w:t>estimate</w:t>
      </w:r>
      <w:r>
        <w:rPr>
          <w:spacing w:val="-4"/>
        </w:rPr>
        <w:t xml:space="preserve"> </w:t>
      </w:r>
      <w:r>
        <w:t>represents</w:t>
      </w:r>
      <w:r>
        <w:rPr>
          <w:spacing w:val="-3"/>
        </w:rPr>
        <w:t xml:space="preserve"> </w:t>
      </w:r>
      <w:r>
        <w:t>the average, annual cost for an issuer over the 2025-2028 QRS reporting period.</w:t>
      </w:r>
    </w:p>
    <w:p w:rsidR="00B41E06" w14:paraId="22F31A6A" w14:textId="77777777">
      <w:pPr>
        <w:pStyle w:val="BodyText"/>
        <w:spacing w:before="118"/>
        <w:ind w:left="359" w:right="419"/>
      </w:pPr>
      <w:r>
        <w:t>Since wage data were taken from 2023 BLS reports (the most recent data available), the model includes</w:t>
      </w:r>
      <w:r>
        <w:rPr>
          <w:spacing w:val="-3"/>
        </w:rPr>
        <w:t xml:space="preserve"> </w:t>
      </w:r>
      <w:r>
        <w:t>a</w:t>
      </w:r>
      <w:r>
        <w:rPr>
          <w:spacing w:val="-4"/>
        </w:rPr>
        <w:t xml:space="preserve"> </w:t>
      </w:r>
      <w:r>
        <w:t>wage</w:t>
      </w:r>
      <w:r>
        <w:rPr>
          <w:spacing w:val="-4"/>
        </w:rPr>
        <w:t xml:space="preserve"> </w:t>
      </w:r>
      <w:r>
        <w:t>growth</w:t>
      </w:r>
      <w:r>
        <w:rPr>
          <w:spacing w:val="-3"/>
        </w:rPr>
        <w:t xml:space="preserve"> </w:t>
      </w:r>
      <w:r>
        <w:t>factor</w:t>
      </w:r>
      <w:r>
        <w:rPr>
          <w:spacing w:val="-4"/>
        </w:rPr>
        <w:t xml:space="preserve"> </w:t>
      </w:r>
      <w:r>
        <w:t>to</w:t>
      </w:r>
      <w:r>
        <w:rPr>
          <w:spacing w:val="-3"/>
        </w:rPr>
        <w:t xml:space="preserve"> </w:t>
      </w:r>
      <w:r>
        <w:t>account</w:t>
      </w:r>
      <w:r>
        <w:rPr>
          <w:spacing w:val="-3"/>
        </w:rPr>
        <w:t xml:space="preserve"> </w:t>
      </w:r>
      <w:r>
        <w:t>for</w:t>
      </w:r>
      <w:r>
        <w:rPr>
          <w:spacing w:val="-4"/>
        </w:rPr>
        <w:t xml:space="preserve"> </w:t>
      </w:r>
      <w:r>
        <w:t>the</w:t>
      </w:r>
      <w:r>
        <w:rPr>
          <w:spacing w:val="-2"/>
        </w:rPr>
        <w:t xml:space="preserve"> </w:t>
      </w:r>
      <w:r>
        <w:t>anticipated</w:t>
      </w:r>
      <w:r>
        <w:rPr>
          <w:spacing w:val="-3"/>
        </w:rPr>
        <w:t xml:space="preserve"> </w:t>
      </w:r>
      <w:r>
        <w:t>changes</w:t>
      </w:r>
      <w:r>
        <w:rPr>
          <w:spacing w:val="-3"/>
        </w:rPr>
        <w:t xml:space="preserve"> </w:t>
      </w:r>
      <w:r>
        <w:t>in</w:t>
      </w:r>
      <w:r>
        <w:rPr>
          <w:spacing w:val="-3"/>
        </w:rPr>
        <w:t xml:space="preserve"> </w:t>
      </w:r>
      <w:r>
        <w:t>total</w:t>
      </w:r>
      <w:r>
        <w:rPr>
          <w:spacing w:val="-3"/>
        </w:rPr>
        <w:t xml:space="preserve"> </w:t>
      </w:r>
      <w:r>
        <w:t>compensation.</w:t>
      </w:r>
      <w:r>
        <w:rPr>
          <w:spacing w:val="-3"/>
        </w:rPr>
        <w:t xml:space="preserve"> </w:t>
      </w:r>
      <w:r>
        <w:t>The wage growth factor was determined by averaging annual growth rates of total compensation between 2014 Quarter 1 to 2024 Quarter 1, as supplied by BLS. Additionally, CMS updated</w:t>
      </w:r>
    </w:p>
    <w:p w:rsidR="00B41E06" w14:paraId="63492893" w14:textId="77777777">
      <w:pPr>
        <w:pStyle w:val="BodyText"/>
        <w:spacing w:before="217"/>
        <w:rPr>
          <w:sz w:val="20"/>
        </w:rPr>
      </w:pPr>
      <w:r>
        <w:rPr>
          <w:noProof/>
          <w:sz w:val="20"/>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299577</wp:posOffset>
                </wp:positionV>
                <wp:extent cx="1828800" cy="762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34" style="width:2in;height:0.6pt;margin-top:23.6pt;margin-left:1in;mso-position-horizontal-relative:page;mso-wrap-distance-bottom:0;mso-wrap-distance-left:0;mso-wrap-distance-right:0;mso-wrap-distance-top:0;mso-wrap-style:square;position:absolute;visibility:visible;v-text-anchor:top;z-index:-251634688" coordsize="1828800,7620" path="m1828800,l,,,7619l1828800,7619l1828800,xe" fillcolor="black" stroked="f">
                <v:path arrowok="t"/>
                <w10:wrap type="topAndBottom"/>
              </v:shape>
            </w:pict>
          </mc:Fallback>
        </mc:AlternateContent>
      </w:r>
    </w:p>
    <w:p w:rsidR="00B41E06" w14:paraId="08A687F7" w14:textId="77777777">
      <w:pPr>
        <w:spacing w:before="103"/>
        <w:ind w:left="360" w:right="365" w:hanging="1"/>
        <w:rPr>
          <w:sz w:val="20"/>
        </w:rPr>
      </w:pPr>
      <w:r>
        <w:rPr>
          <w:sz w:val="20"/>
          <w:vertAlign w:val="superscript"/>
        </w:rPr>
        <w:t>9</w:t>
      </w:r>
      <w:r>
        <w:rPr>
          <w:sz w:val="20"/>
        </w:rPr>
        <w:t xml:space="preserve"> Though there are seven hybrid measures in the current QRS measure set, the use of the hybrid data collection is optional</w:t>
      </w:r>
      <w:r>
        <w:rPr>
          <w:spacing w:val="-3"/>
          <w:sz w:val="20"/>
        </w:rPr>
        <w:t xml:space="preserve"> </w:t>
      </w:r>
      <w:r>
        <w:rPr>
          <w:sz w:val="20"/>
        </w:rPr>
        <w:t>for</w:t>
      </w:r>
      <w:r>
        <w:rPr>
          <w:spacing w:val="-2"/>
          <w:sz w:val="20"/>
        </w:rPr>
        <w:t xml:space="preserve"> </w:t>
      </w:r>
      <w:r>
        <w:rPr>
          <w:sz w:val="20"/>
        </w:rPr>
        <w:t>these</w:t>
      </w:r>
      <w:r>
        <w:rPr>
          <w:spacing w:val="-3"/>
          <w:sz w:val="20"/>
        </w:rPr>
        <w:t xml:space="preserve"> </w:t>
      </w:r>
      <w:r>
        <w:rPr>
          <w:sz w:val="20"/>
        </w:rPr>
        <w:t>measures.</w:t>
      </w:r>
      <w:r>
        <w:rPr>
          <w:spacing w:val="-2"/>
          <w:sz w:val="20"/>
        </w:rPr>
        <w:t xml:space="preserve"> </w:t>
      </w:r>
      <w:r>
        <w:rPr>
          <w:sz w:val="20"/>
        </w:rPr>
        <w:t>CMS</w:t>
      </w:r>
      <w:r>
        <w:rPr>
          <w:spacing w:val="-3"/>
          <w:sz w:val="20"/>
        </w:rPr>
        <w:t xml:space="preserve"> </w:t>
      </w:r>
      <w:r>
        <w:rPr>
          <w:sz w:val="20"/>
        </w:rPr>
        <w:t>burden</w:t>
      </w:r>
      <w:r>
        <w:rPr>
          <w:spacing w:val="-2"/>
          <w:sz w:val="20"/>
        </w:rPr>
        <w:t xml:space="preserve"> </w:t>
      </w:r>
      <w:r>
        <w:rPr>
          <w:sz w:val="20"/>
        </w:rPr>
        <w:t>calculations</w:t>
      </w:r>
      <w:r>
        <w:rPr>
          <w:spacing w:val="-4"/>
          <w:sz w:val="20"/>
        </w:rPr>
        <w:t xml:space="preserve"> </w:t>
      </w:r>
      <w:r>
        <w:rPr>
          <w:sz w:val="20"/>
        </w:rPr>
        <w:t>include</w:t>
      </w:r>
      <w:r>
        <w:rPr>
          <w:spacing w:val="-3"/>
          <w:sz w:val="20"/>
        </w:rPr>
        <w:t xml:space="preserve"> </w:t>
      </w:r>
      <w:r>
        <w:rPr>
          <w:sz w:val="20"/>
        </w:rPr>
        <w:t>the</w:t>
      </w:r>
      <w:r>
        <w:rPr>
          <w:spacing w:val="-3"/>
          <w:sz w:val="20"/>
        </w:rPr>
        <w:t xml:space="preserve"> </w:t>
      </w:r>
      <w:r>
        <w:rPr>
          <w:sz w:val="20"/>
        </w:rPr>
        <w:t>hybrid</w:t>
      </w:r>
      <w:r>
        <w:rPr>
          <w:spacing w:val="-2"/>
          <w:sz w:val="20"/>
        </w:rPr>
        <w:t xml:space="preserve"> </w:t>
      </w:r>
      <w:r>
        <w:rPr>
          <w:sz w:val="20"/>
        </w:rPr>
        <w:t>data</w:t>
      </w:r>
      <w:r>
        <w:rPr>
          <w:spacing w:val="-3"/>
          <w:sz w:val="20"/>
        </w:rPr>
        <w:t xml:space="preserve"> </w:t>
      </w:r>
      <w:r>
        <w:rPr>
          <w:sz w:val="20"/>
        </w:rPr>
        <w:t>collection</w:t>
      </w:r>
      <w:r>
        <w:rPr>
          <w:spacing w:val="-2"/>
          <w:sz w:val="20"/>
        </w:rPr>
        <w:t xml:space="preserve"> </w:t>
      </w:r>
      <w:r>
        <w:rPr>
          <w:sz w:val="20"/>
        </w:rPr>
        <w:t>option</w:t>
      </w:r>
      <w:r>
        <w:rPr>
          <w:spacing w:val="-2"/>
          <w:sz w:val="20"/>
        </w:rPr>
        <w:t xml:space="preserve"> </w:t>
      </w:r>
      <w:r>
        <w:rPr>
          <w:sz w:val="20"/>
        </w:rPr>
        <w:t>for</w:t>
      </w:r>
      <w:r>
        <w:rPr>
          <w:spacing w:val="-5"/>
          <w:sz w:val="20"/>
        </w:rPr>
        <w:t xml:space="preserve"> </w:t>
      </w:r>
      <w:r>
        <w:rPr>
          <w:sz w:val="20"/>
        </w:rPr>
        <w:t>these</w:t>
      </w:r>
      <w:r>
        <w:rPr>
          <w:spacing w:val="-3"/>
          <w:sz w:val="20"/>
        </w:rPr>
        <w:t xml:space="preserve"> </w:t>
      </w:r>
      <w:r>
        <w:rPr>
          <w:sz w:val="20"/>
        </w:rPr>
        <w:t>measures</w:t>
      </w:r>
      <w:r>
        <w:rPr>
          <w:spacing w:val="-4"/>
          <w:sz w:val="20"/>
        </w:rPr>
        <w:t xml:space="preserve"> </w:t>
      </w:r>
      <w:r>
        <w:rPr>
          <w:sz w:val="20"/>
        </w:rPr>
        <w:t>to account for QHP issuers that may choose to supplement administrative data.</w:t>
      </w:r>
    </w:p>
    <w:p w:rsidR="00B41E06" w14:paraId="77BACC2B" w14:textId="77777777">
      <w:pPr>
        <w:rPr>
          <w:sz w:val="20"/>
        </w:rPr>
        <w:sectPr>
          <w:pgSz w:w="12240" w:h="15840"/>
          <w:pgMar w:top="1420" w:right="1080" w:bottom="980" w:left="1080" w:header="0" w:footer="787" w:gutter="0"/>
          <w:cols w:space="720"/>
        </w:sectPr>
      </w:pPr>
    </w:p>
    <w:p w:rsidR="00B41E06" w14:paraId="54378BB9" w14:textId="77777777">
      <w:pPr>
        <w:pStyle w:val="BodyText"/>
        <w:spacing w:before="79"/>
        <w:ind w:left="360" w:right="365"/>
      </w:pPr>
      <w:r>
        <w:t>overhead</w:t>
      </w:r>
      <w:r>
        <w:rPr>
          <w:spacing w:val="-1"/>
        </w:rPr>
        <w:t xml:space="preserve"> </w:t>
      </w:r>
      <w:r>
        <w:t>and</w:t>
      </w:r>
      <w:r>
        <w:rPr>
          <w:spacing w:val="-4"/>
        </w:rPr>
        <w:t xml:space="preserve"> </w:t>
      </w:r>
      <w:r>
        <w:t>fringe</w:t>
      </w:r>
      <w:r>
        <w:rPr>
          <w:spacing w:val="-4"/>
        </w:rPr>
        <w:t xml:space="preserve"> </w:t>
      </w:r>
      <w:r>
        <w:t>benefits</w:t>
      </w:r>
      <w:r>
        <w:rPr>
          <w:spacing w:val="-3"/>
        </w:rPr>
        <w:t xml:space="preserve"> </w:t>
      </w:r>
      <w:r>
        <w:t>to</w:t>
      </w:r>
      <w:r>
        <w:rPr>
          <w:spacing w:val="-3"/>
        </w:rPr>
        <w:t xml:space="preserve"> </w:t>
      </w:r>
      <w:r>
        <w:t>100%</w:t>
      </w:r>
      <w:r>
        <w:rPr>
          <w:spacing w:val="-4"/>
        </w:rPr>
        <w:t xml:space="preserve"> </w:t>
      </w:r>
      <w:r>
        <w:t>to</w:t>
      </w:r>
      <w:r>
        <w:rPr>
          <w:spacing w:val="-3"/>
        </w:rPr>
        <w:t xml:space="preserve"> </w:t>
      </w:r>
      <w:r>
        <w:t>calculate</w:t>
      </w:r>
      <w:r>
        <w:rPr>
          <w:spacing w:val="-2"/>
        </w:rPr>
        <w:t xml:space="preserve"> </w:t>
      </w:r>
      <w:r>
        <w:t>the</w:t>
      </w:r>
      <w:r>
        <w:rPr>
          <w:spacing w:val="-4"/>
        </w:rPr>
        <w:t xml:space="preserve"> </w:t>
      </w:r>
      <w:r>
        <w:t>total</w:t>
      </w:r>
      <w:r>
        <w:rPr>
          <w:spacing w:val="-3"/>
        </w:rPr>
        <w:t xml:space="preserve"> </w:t>
      </w:r>
      <w:r>
        <w:t>hourly</w:t>
      </w:r>
      <w:r>
        <w:rPr>
          <w:spacing w:val="-3"/>
        </w:rPr>
        <w:t xml:space="preserve"> </w:t>
      </w:r>
      <w:r>
        <w:t>wage</w:t>
      </w:r>
      <w:r>
        <w:rPr>
          <w:spacing w:val="-4"/>
        </w:rPr>
        <w:t xml:space="preserve"> </w:t>
      </w:r>
      <w:r>
        <w:t>rate</w:t>
      </w:r>
      <w:r>
        <w:rPr>
          <w:spacing w:val="-2"/>
        </w:rPr>
        <w:t xml:space="preserve"> </w:t>
      </w:r>
      <w:r>
        <w:t>based</w:t>
      </w:r>
      <w:r>
        <w:rPr>
          <w:spacing w:val="-3"/>
        </w:rPr>
        <w:t xml:space="preserve"> </w:t>
      </w:r>
      <w:r>
        <w:t>on</w:t>
      </w:r>
      <w:r>
        <w:rPr>
          <w:spacing w:val="-3"/>
        </w:rPr>
        <w:t xml:space="preserve"> </w:t>
      </w:r>
      <w:r>
        <w:t xml:space="preserve">OMB </w:t>
      </w:r>
      <w:r>
        <w:rPr>
          <w:spacing w:val="-2"/>
        </w:rPr>
        <w:t>guidance.</w:t>
      </w:r>
    </w:p>
    <w:p w:rsidR="00B41E06" w14:paraId="71F82D04" w14:textId="77777777">
      <w:pPr>
        <w:pStyle w:val="BodyText"/>
        <w:ind w:left="359" w:right="427"/>
      </w:pPr>
      <w:r>
        <w:t>Due</w:t>
      </w:r>
      <w:r>
        <w:rPr>
          <w:spacing w:val="-4"/>
        </w:rPr>
        <w:t xml:space="preserve"> </w:t>
      </w:r>
      <w:r>
        <w:t>to</w:t>
      </w:r>
      <w:r>
        <w:rPr>
          <w:spacing w:val="-3"/>
        </w:rPr>
        <w:t xml:space="preserve"> </w:t>
      </w:r>
      <w:r>
        <w:t>the</w:t>
      </w:r>
      <w:r>
        <w:rPr>
          <w:spacing w:val="-4"/>
        </w:rPr>
        <w:t xml:space="preserve"> </w:t>
      </w:r>
      <w:r>
        <w:t>increase</w:t>
      </w:r>
      <w:r>
        <w:rPr>
          <w:spacing w:val="-4"/>
        </w:rPr>
        <w:t xml:space="preserve"> </w:t>
      </w:r>
      <w:r>
        <w:t>in</w:t>
      </w:r>
      <w:r>
        <w:rPr>
          <w:spacing w:val="-3"/>
        </w:rPr>
        <w:t xml:space="preserve"> </w:t>
      </w:r>
      <w:r>
        <w:t>overall</w:t>
      </w:r>
      <w:r>
        <w:rPr>
          <w:spacing w:val="-3"/>
        </w:rPr>
        <w:t xml:space="preserve"> </w:t>
      </w:r>
      <w:r>
        <w:t>measures</w:t>
      </w:r>
      <w:r>
        <w:rPr>
          <w:spacing w:val="-3"/>
        </w:rPr>
        <w:t xml:space="preserve"> </w:t>
      </w:r>
      <w:r>
        <w:t>by</w:t>
      </w:r>
      <w:r>
        <w:rPr>
          <w:spacing w:val="-3"/>
        </w:rPr>
        <w:t xml:space="preserve"> </w:t>
      </w:r>
      <w:r>
        <w:t>15%,</w:t>
      </w:r>
      <w:r>
        <w:rPr>
          <w:spacing w:val="-1"/>
        </w:rPr>
        <w:t xml:space="preserve"> </w:t>
      </w:r>
      <w:r>
        <w:t>CMS</w:t>
      </w:r>
      <w:r>
        <w:rPr>
          <w:spacing w:val="-3"/>
        </w:rPr>
        <w:t xml:space="preserve"> </w:t>
      </w:r>
      <w:r>
        <w:t>revised</w:t>
      </w:r>
      <w:r>
        <w:rPr>
          <w:spacing w:val="-3"/>
        </w:rPr>
        <w:t xml:space="preserve"> </w:t>
      </w:r>
      <w:r>
        <w:t>the</w:t>
      </w:r>
      <w:r>
        <w:rPr>
          <w:spacing w:val="-4"/>
        </w:rPr>
        <w:t xml:space="preserve"> </w:t>
      </w:r>
      <w:r>
        <w:t>burden</w:t>
      </w:r>
      <w:r>
        <w:rPr>
          <w:spacing w:val="-1"/>
        </w:rPr>
        <w:t xml:space="preserve"> </w:t>
      </w:r>
      <w:r>
        <w:t>estimate</w:t>
      </w:r>
      <w:r>
        <w:rPr>
          <w:spacing w:val="-4"/>
        </w:rPr>
        <w:t xml:space="preserve"> </w:t>
      </w:r>
      <w:r>
        <w:t>accordingly. Prior burden estimates used the 75</w:t>
      </w:r>
      <w:r>
        <w:rPr>
          <w:vertAlign w:val="superscript"/>
        </w:rPr>
        <w:t>th</w:t>
      </w:r>
      <w:r>
        <w:t xml:space="preserve"> percentile for wages; this burden estimate uses the 50</w:t>
      </w:r>
      <w:r>
        <w:rPr>
          <w:vertAlign w:val="superscript"/>
        </w:rPr>
        <w:t>th</w:t>
      </w:r>
      <w:r>
        <w:t xml:space="preserve"> percentile (i.e., median) wage rate. The burden estimate for a QHP issuer has decreased compared to previous estimates due to this adjustment in wage rate. The revised annual labor hours and associated costs are reflected in </w:t>
      </w:r>
      <w:hyperlink w:anchor="_bookmark2" w:history="1">
        <w:r>
          <w:t>Exhibit 2</w:t>
        </w:r>
      </w:hyperlink>
      <w:r>
        <w:t>.</w:t>
      </w:r>
    </w:p>
    <w:p w:rsidR="00B41E06" w14:paraId="58E3F979" w14:textId="77777777">
      <w:pPr>
        <w:pStyle w:val="Heading1"/>
        <w:spacing w:before="122" w:after="60"/>
        <w:ind w:left="360" w:firstLine="0"/>
        <w:rPr>
          <w:rFonts w:ascii="Arial Narrow"/>
        </w:rPr>
      </w:pPr>
      <w:bookmarkStart w:id="18" w:name="_bookmark2"/>
      <w:bookmarkEnd w:id="18"/>
      <w:r>
        <w:rPr>
          <w:rFonts w:ascii="Arial Narrow"/>
        </w:rPr>
        <w:t>Exhibit</w:t>
      </w:r>
      <w:r>
        <w:rPr>
          <w:rFonts w:ascii="Arial Narrow"/>
          <w:spacing w:val="-11"/>
        </w:rPr>
        <w:t xml:space="preserve"> </w:t>
      </w:r>
      <w:r>
        <w:rPr>
          <w:rFonts w:ascii="Arial Narrow"/>
        </w:rPr>
        <w:t>2.</w:t>
      </w:r>
      <w:r>
        <w:rPr>
          <w:rFonts w:ascii="Arial Narrow"/>
          <w:spacing w:val="-7"/>
        </w:rPr>
        <w:t xml:space="preserve"> </w:t>
      </w:r>
      <w:r>
        <w:rPr>
          <w:rFonts w:ascii="Arial Narrow"/>
        </w:rPr>
        <w:t>Labor</w:t>
      </w:r>
      <w:r>
        <w:rPr>
          <w:rFonts w:ascii="Arial Narrow"/>
          <w:spacing w:val="-10"/>
        </w:rPr>
        <w:t xml:space="preserve"> </w:t>
      </w:r>
      <w:r>
        <w:rPr>
          <w:rFonts w:ascii="Arial Narrow"/>
        </w:rPr>
        <w:t>Categories</w:t>
      </w:r>
      <w:r>
        <w:rPr>
          <w:rFonts w:ascii="Arial Narrow"/>
          <w:spacing w:val="-8"/>
        </w:rPr>
        <w:t xml:space="preserve"> </w:t>
      </w:r>
      <w:r>
        <w:rPr>
          <w:rFonts w:ascii="Arial Narrow"/>
        </w:rPr>
        <w:t>and</w:t>
      </w:r>
      <w:r>
        <w:rPr>
          <w:rFonts w:ascii="Arial Narrow"/>
          <w:spacing w:val="-8"/>
        </w:rPr>
        <w:t xml:space="preserve"> </w:t>
      </w:r>
      <w:r>
        <w:rPr>
          <w:rFonts w:ascii="Arial Narrow"/>
        </w:rPr>
        <w:t>Wage</w:t>
      </w:r>
      <w:r>
        <w:rPr>
          <w:rFonts w:ascii="Arial Narrow"/>
          <w:spacing w:val="-8"/>
        </w:rPr>
        <w:t xml:space="preserve"> </w:t>
      </w:r>
      <w:r>
        <w:rPr>
          <w:rFonts w:ascii="Arial Narrow"/>
          <w:spacing w:val="-4"/>
        </w:rPr>
        <w:t>Rates</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6"/>
        <w:gridCol w:w="2306"/>
        <w:gridCol w:w="1473"/>
        <w:gridCol w:w="1965"/>
        <w:gridCol w:w="1718"/>
      </w:tblGrid>
      <w:tr w14:paraId="2BFAAAE3"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3"/>
        </w:trPr>
        <w:tc>
          <w:tcPr>
            <w:tcW w:w="1886" w:type="dxa"/>
            <w:shd w:val="clear" w:color="auto" w:fill="083E8B"/>
          </w:tcPr>
          <w:p w:rsidR="00B41E06" w14:paraId="3CE67D16" w14:textId="77777777">
            <w:pPr>
              <w:pStyle w:val="TableParagraph"/>
              <w:rPr>
                <w:b/>
                <w:sz w:val="20"/>
              </w:rPr>
            </w:pPr>
          </w:p>
          <w:p w:rsidR="00B41E06" w14:paraId="71597E92" w14:textId="77777777">
            <w:pPr>
              <w:pStyle w:val="TableParagraph"/>
              <w:spacing w:before="61"/>
              <w:rPr>
                <w:b/>
                <w:sz w:val="20"/>
              </w:rPr>
            </w:pPr>
          </w:p>
          <w:p w:rsidR="00B41E06" w14:paraId="11598F1E" w14:textId="77777777">
            <w:pPr>
              <w:pStyle w:val="TableParagraph"/>
              <w:ind w:left="107"/>
              <w:rPr>
                <w:b/>
                <w:sz w:val="20"/>
              </w:rPr>
            </w:pPr>
            <w:r>
              <w:rPr>
                <w:b/>
                <w:color w:val="FFFFFF"/>
                <w:sz w:val="20"/>
              </w:rPr>
              <w:t>Labor</w:t>
            </w:r>
            <w:r>
              <w:rPr>
                <w:b/>
                <w:color w:val="FFFFFF"/>
                <w:spacing w:val="-2"/>
                <w:sz w:val="20"/>
              </w:rPr>
              <w:t xml:space="preserve"> Category</w:t>
            </w:r>
          </w:p>
        </w:tc>
        <w:tc>
          <w:tcPr>
            <w:tcW w:w="2306" w:type="dxa"/>
            <w:shd w:val="clear" w:color="auto" w:fill="083E8B"/>
          </w:tcPr>
          <w:p w:rsidR="00B41E06" w14:paraId="33D430EA" w14:textId="77777777">
            <w:pPr>
              <w:pStyle w:val="TableParagraph"/>
              <w:rPr>
                <w:b/>
                <w:sz w:val="20"/>
              </w:rPr>
            </w:pPr>
          </w:p>
          <w:p w:rsidR="00B41E06" w14:paraId="6E6551A1" w14:textId="77777777">
            <w:pPr>
              <w:pStyle w:val="TableParagraph"/>
              <w:spacing w:before="61"/>
              <w:rPr>
                <w:b/>
                <w:sz w:val="20"/>
              </w:rPr>
            </w:pPr>
          </w:p>
          <w:p w:rsidR="00B41E06" w14:paraId="3FF97869" w14:textId="77777777">
            <w:pPr>
              <w:pStyle w:val="TableParagraph"/>
              <w:ind w:left="108"/>
              <w:rPr>
                <w:b/>
                <w:sz w:val="20"/>
              </w:rPr>
            </w:pPr>
            <w:r>
              <w:rPr>
                <w:b/>
                <w:color w:val="FFFFFF"/>
                <w:spacing w:val="-2"/>
                <w:sz w:val="20"/>
              </w:rPr>
              <w:t>Function</w:t>
            </w:r>
          </w:p>
        </w:tc>
        <w:tc>
          <w:tcPr>
            <w:tcW w:w="1473" w:type="dxa"/>
            <w:shd w:val="clear" w:color="auto" w:fill="083E8B"/>
          </w:tcPr>
          <w:p w:rsidR="00B41E06" w14:paraId="608D35C6" w14:textId="77777777">
            <w:pPr>
              <w:pStyle w:val="TableParagraph"/>
              <w:spacing w:before="60"/>
              <w:rPr>
                <w:b/>
                <w:sz w:val="20"/>
              </w:rPr>
            </w:pPr>
          </w:p>
          <w:p w:rsidR="00B41E06" w14:paraId="2454E0C5" w14:textId="77777777">
            <w:pPr>
              <w:pStyle w:val="TableParagraph"/>
              <w:ind w:left="108" w:right="217"/>
              <w:rPr>
                <w:b/>
                <w:position w:val="5"/>
                <w:sz w:val="13"/>
              </w:rPr>
            </w:pPr>
            <w:r>
              <w:rPr>
                <w:b/>
                <w:color w:val="FFFFFF"/>
                <w:sz w:val="20"/>
              </w:rPr>
              <w:t>Median</w:t>
            </w:r>
            <w:r>
              <w:rPr>
                <w:b/>
                <w:color w:val="FFFFFF"/>
                <w:spacing w:val="-12"/>
                <w:sz w:val="20"/>
              </w:rPr>
              <w:t xml:space="preserve"> </w:t>
            </w:r>
            <w:r>
              <w:rPr>
                <w:b/>
                <w:color w:val="FFFFFF"/>
                <w:sz w:val="20"/>
              </w:rPr>
              <w:t>Hourly Wage</w:t>
            </w:r>
            <w:r>
              <w:rPr>
                <w:b/>
                <w:color w:val="FFFFFF"/>
                <w:spacing w:val="-24"/>
                <w:sz w:val="20"/>
              </w:rPr>
              <w:t xml:space="preserve"> </w:t>
            </w:r>
            <w:r>
              <w:rPr>
                <w:b/>
                <w:color w:val="FFFFFF"/>
                <w:position w:val="5"/>
                <w:sz w:val="13"/>
              </w:rPr>
              <w:t>10</w:t>
            </w:r>
          </w:p>
          <w:p w:rsidR="00B41E06" w14:paraId="673FB85C" w14:textId="77777777">
            <w:pPr>
              <w:pStyle w:val="TableParagraph"/>
              <w:spacing w:line="37" w:lineRule="exact"/>
              <w:ind w:left="9" w:right="360"/>
              <w:jc w:val="center"/>
              <w:rPr>
                <w:rFonts w:ascii="Cambria"/>
                <w:sz w:val="2"/>
              </w:rPr>
            </w:pPr>
            <w:r>
              <w:rPr>
                <w:rFonts w:ascii="Cambria"/>
                <w:color w:val="FFFFFF"/>
                <w:spacing w:val="-5"/>
                <w:sz w:val="2"/>
              </w:rPr>
              <w:t>9F</w:t>
            </w:r>
          </w:p>
        </w:tc>
        <w:tc>
          <w:tcPr>
            <w:tcW w:w="1965" w:type="dxa"/>
            <w:shd w:val="clear" w:color="auto" w:fill="083E8B"/>
          </w:tcPr>
          <w:p w:rsidR="00B41E06" w14:paraId="1290969D" w14:textId="77777777">
            <w:pPr>
              <w:pStyle w:val="TableParagraph"/>
              <w:spacing w:before="62"/>
              <w:ind w:left="109"/>
              <w:rPr>
                <w:b/>
                <w:sz w:val="20"/>
              </w:rPr>
            </w:pPr>
            <w:r>
              <w:rPr>
                <w:b/>
                <w:color w:val="FFFFFF"/>
                <w:sz w:val="20"/>
              </w:rPr>
              <w:t>Average</w:t>
            </w:r>
            <w:r>
              <w:rPr>
                <w:b/>
                <w:color w:val="FFFFFF"/>
                <w:spacing w:val="-12"/>
                <w:sz w:val="20"/>
              </w:rPr>
              <w:t xml:space="preserve"> </w:t>
            </w:r>
            <w:r>
              <w:rPr>
                <w:b/>
                <w:color w:val="FFFFFF"/>
                <w:sz w:val="20"/>
              </w:rPr>
              <w:t>Hourly</w:t>
            </w:r>
            <w:r>
              <w:rPr>
                <w:b/>
                <w:color w:val="FFFFFF"/>
                <w:spacing w:val="-11"/>
                <w:sz w:val="20"/>
              </w:rPr>
              <w:t xml:space="preserve"> </w:t>
            </w:r>
            <w:r>
              <w:rPr>
                <w:b/>
                <w:color w:val="FFFFFF"/>
                <w:sz w:val="20"/>
              </w:rPr>
              <w:t>Wage Rate for Period</w:t>
            </w:r>
          </w:p>
          <w:p w:rsidR="00B41E06" w14:paraId="4FEEBBCF" w14:textId="77777777">
            <w:pPr>
              <w:pStyle w:val="TableParagraph"/>
              <w:spacing w:line="179" w:lineRule="exact"/>
              <w:ind w:left="109"/>
              <w:rPr>
                <w:b/>
                <w:position w:val="5"/>
                <w:sz w:val="13"/>
              </w:rPr>
            </w:pPr>
            <w:r>
              <w:rPr>
                <w:b/>
                <w:color w:val="FFFFFF"/>
                <w:spacing w:val="-2"/>
                <w:sz w:val="20"/>
              </w:rPr>
              <w:t xml:space="preserve">2025-2028 </w:t>
            </w:r>
            <w:r>
              <w:rPr>
                <w:b/>
                <w:color w:val="FFFFFF"/>
                <w:spacing w:val="-5"/>
                <w:position w:val="5"/>
                <w:sz w:val="13"/>
              </w:rPr>
              <w:t>11</w:t>
            </w:r>
          </w:p>
          <w:p w:rsidR="00B41E06" w14:paraId="14A7C593" w14:textId="77777777">
            <w:pPr>
              <w:pStyle w:val="TableParagraph"/>
              <w:spacing w:line="12" w:lineRule="exact"/>
              <w:ind w:left="13" w:right="146"/>
              <w:jc w:val="center"/>
              <w:rPr>
                <w:rFonts w:ascii="Cambria"/>
                <w:sz w:val="2"/>
              </w:rPr>
            </w:pPr>
            <w:r>
              <w:rPr>
                <w:rFonts w:ascii="Cambria"/>
                <w:color w:val="FFFFFF"/>
                <w:spacing w:val="-5"/>
                <w:sz w:val="2"/>
              </w:rPr>
              <w:t>10F</w:t>
            </w:r>
          </w:p>
        </w:tc>
        <w:tc>
          <w:tcPr>
            <w:tcW w:w="1718" w:type="dxa"/>
            <w:shd w:val="clear" w:color="auto" w:fill="083E8B"/>
          </w:tcPr>
          <w:p w:rsidR="00B41E06" w14:paraId="035355EC" w14:textId="77777777">
            <w:pPr>
              <w:pStyle w:val="TableParagraph"/>
              <w:spacing w:before="62"/>
              <w:ind w:left="109" w:right="153"/>
              <w:rPr>
                <w:b/>
                <w:position w:val="5"/>
                <w:sz w:val="13"/>
              </w:rPr>
            </w:pPr>
            <w:r>
              <w:rPr>
                <w:b/>
                <w:color w:val="FFFFFF"/>
                <w:sz w:val="20"/>
              </w:rPr>
              <w:t>Total</w:t>
            </w:r>
            <w:r>
              <w:rPr>
                <w:b/>
                <w:color w:val="FFFFFF"/>
                <w:spacing w:val="-12"/>
                <w:sz w:val="20"/>
              </w:rPr>
              <w:t xml:space="preserve"> </w:t>
            </w:r>
            <w:r>
              <w:rPr>
                <w:b/>
                <w:color w:val="FFFFFF"/>
                <w:sz w:val="20"/>
              </w:rPr>
              <w:t>Hourly</w:t>
            </w:r>
            <w:r>
              <w:rPr>
                <w:b/>
                <w:color w:val="FFFFFF"/>
                <w:spacing w:val="-11"/>
                <w:sz w:val="20"/>
              </w:rPr>
              <w:t xml:space="preserve"> </w:t>
            </w:r>
            <w:r>
              <w:rPr>
                <w:b/>
                <w:color w:val="FFFFFF"/>
                <w:sz w:val="20"/>
              </w:rPr>
              <w:t>Wage Rate for Period 2025-2028</w:t>
            </w:r>
            <w:r>
              <w:rPr>
                <w:b/>
                <w:color w:val="FFFFFF"/>
                <w:spacing w:val="-12"/>
                <w:sz w:val="20"/>
              </w:rPr>
              <w:t xml:space="preserve"> </w:t>
            </w:r>
            <w:r>
              <w:rPr>
                <w:b/>
                <w:color w:val="FFFFFF"/>
                <w:position w:val="5"/>
                <w:sz w:val="13"/>
              </w:rPr>
              <w:t>12</w:t>
            </w:r>
          </w:p>
          <w:p w:rsidR="00B41E06" w14:paraId="2F13F715" w14:textId="77777777">
            <w:pPr>
              <w:pStyle w:val="TableParagraph"/>
              <w:spacing w:line="38" w:lineRule="exact"/>
              <w:ind w:left="113"/>
              <w:jc w:val="center"/>
              <w:rPr>
                <w:rFonts w:ascii="Cambria"/>
                <w:sz w:val="2"/>
              </w:rPr>
            </w:pPr>
            <w:r>
              <w:rPr>
                <w:rFonts w:ascii="Cambria"/>
                <w:color w:val="FFFFFF"/>
                <w:spacing w:val="-5"/>
                <w:sz w:val="2"/>
              </w:rPr>
              <w:t>11F</w:t>
            </w:r>
          </w:p>
        </w:tc>
      </w:tr>
      <w:tr w14:paraId="3D7DCC85" w14:textId="77777777">
        <w:tblPrEx>
          <w:tblW w:w="0" w:type="auto"/>
          <w:tblInd w:w="370" w:type="dxa"/>
          <w:tblLayout w:type="fixed"/>
          <w:tblCellMar>
            <w:left w:w="0" w:type="dxa"/>
            <w:right w:w="0" w:type="dxa"/>
          </w:tblCellMar>
          <w:tblLook w:val="01E0"/>
        </w:tblPrEx>
        <w:trPr>
          <w:trHeight w:val="1043"/>
        </w:trPr>
        <w:tc>
          <w:tcPr>
            <w:tcW w:w="1886" w:type="dxa"/>
          </w:tcPr>
          <w:p w:rsidR="00B41E06" w14:paraId="4A7A912B" w14:textId="77777777">
            <w:pPr>
              <w:pStyle w:val="TableParagraph"/>
              <w:spacing w:before="62"/>
              <w:ind w:left="107" w:right="175"/>
              <w:rPr>
                <w:b/>
                <w:sz w:val="20"/>
              </w:rPr>
            </w:pPr>
            <w:hyperlink r:id="rId14">
              <w:r>
                <w:rPr>
                  <w:b/>
                  <w:color w:val="0000FF"/>
                  <w:sz w:val="20"/>
                  <w:u w:val="single" w:color="0000FF"/>
                </w:rPr>
                <w:t xml:space="preserve">General and </w:t>
              </w:r>
            </w:hyperlink>
            <w:r>
              <w:rPr>
                <w:b/>
                <w:color w:val="0000FF"/>
                <w:sz w:val="20"/>
              </w:rPr>
              <w:t xml:space="preserve"> </w:t>
            </w:r>
            <w:hyperlink r:id="rId14">
              <w:r>
                <w:rPr>
                  <w:b/>
                  <w:color w:val="0000FF"/>
                  <w:sz w:val="20"/>
                  <w:u w:val="single" w:color="0000FF"/>
                </w:rPr>
                <w:t>Operations</w:t>
              </w:r>
              <w:r>
                <w:rPr>
                  <w:b/>
                  <w:color w:val="0000FF"/>
                  <w:spacing w:val="-12"/>
                  <w:sz w:val="20"/>
                  <w:u w:val="single" w:color="0000FF"/>
                </w:rPr>
                <w:t xml:space="preserve"> </w:t>
              </w:r>
              <w:r>
                <w:rPr>
                  <w:b/>
                  <w:color w:val="0000FF"/>
                  <w:sz w:val="20"/>
                  <w:u w:val="single" w:color="0000FF"/>
                </w:rPr>
                <w:t>Manager</w:t>
              </w:r>
            </w:hyperlink>
          </w:p>
        </w:tc>
        <w:tc>
          <w:tcPr>
            <w:tcW w:w="2306" w:type="dxa"/>
          </w:tcPr>
          <w:p w:rsidR="00B41E06" w14:paraId="5B1FFC21" w14:textId="77777777">
            <w:pPr>
              <w:pStyle w:val="TableParagraph"/>
              <w:spacing w:before="62"/>
              <w:ind w:left="108" w:right="118"/>
              <w:rPr>
                <w:sz w:val="20"/>
              </w:rPr>
            </w:pPr>
            <w:r>
              <w:rPr>
                <w:sz w:val="20"/>
              </w:rPr>
              <w:t>Formulate</w:t>
            </w:r>
            <w:r>
              <w:rPr>
                <w:spacing w:val="-12"/>
                <w:sz w:val="20"/>
              </w:rPr>
              <w:t xml:space="preserve"> </w:t>
            </w:r>
            <w:r>
              <w:rPr>
                <w:sz w:val="20"/>
              </w:rPr>
              <w:t>policies,</w:t>
            </w:r>
            <w:r>
              <w:rPr>
                <w:spacing w:val="-11"/>
                <w:sz w:val="20"/>
              </w:rPr>
              <w:t xml:space="preserve"> </w:t>
            </w:r>
            <w:r>
              <w:rPr>
                <w:sz w:val="20"/>
              </w:rPr>
              <w:t>manage daily operations, and plan the use of materials and human resources.</w:t>
            </w:r>
          </w:p>
        </w:tc>
        <w:tc>
          <w:tcPr>
            <w:tcW w:w="1473" w:type="dxa"/>
          </w:tcPr>
          <w:p w:rsidR="00B41E06" w14:paraId="75187233" w14:textId="77777777">
            <w:pPr>
              <w:pStyle w:val="TableParagraph"/>
              <w:spacing w:before="178"/>
              <w:rPr>
                <w:b/>
                <w:sz w:val="20"/>
              </w:rPr>
            </w:pPr>
          </w:p>
          <w:p w:rsidR="00B41E06" w14:paraId="45E2042A" w14:textId="77777777">
            <w:pPr>
              <w:pStyle w:val="TableParagraph"/>
              <w:ind w:left="360" w:right="351"/>
              <w:jc w:val="center"/>
              <w:rPr>
                <w:sz w:val="20"/>
              </w:rPr>
            </w:pPr>
            <w:r>
              <w:rPr>
                <w:spacing w:val="-2"/>
                <w:sz w:val="20"/>
              </w:rPr>
              <w:t>$48.69</w:t>
            </w:r>
          </w:p>
        </w:tc>
        <w:tc>
          <w:tcPr>
            <w:tcW w:w="1965" w:type="dxa"/>
          </w:tcPr>
          <w:p w:rsidR="00B41E06" w14:paraId="0AC69FFE" w14:textId="77777777">
            <w:pPr>
              <w:pStyle w:val="TableParagraph"/>
              <w:spacing w:before="178"/>
              <w:rPr>
                <w:b/>
                <w:sz w:val="20"/>
              </w:rPr>
            </w:pPr>
          </w:p>
          <w:p w:rsidR="00B41E06" w14:paraId="00F499DC" w14:textId="77777777">
            <w:pPr>
              <w:pStyle w:val="TableParagraph"/>
              <w:ind w:left="146" w:right="133"/>
              <w:jc w:val="center"/>
              <w:rPr>
                <w:sz w:val="20"/>
              </w:rPr>
            </w:pPr>
            <w:r>
              <w:rPr>
                <w:spacing w:val="-2"/>
                <w:sz w:val="20"/>
              </w:rPr>
              <w:t>$54.55</w:t>
            </w:r>
          </w:p>
        </w:tc>
        <w:tc>
          <w:tcPr>
            <w:tcW w:w="1718" w:type="dxa"/>
          </w:tcPr>
          <w:p w:rsidR="00B41E06" w14:paraId="42BF4472" w14:textId="77777777">
            <w:pPr>
              <w:pStyle w:val="TableParagraph"/>
              <w:spacing w:before="178"/>
              <w:rPr>
                <w:b/>
                <w:sz w:val="20"/>
              </w:rPr>
            </w:pPr>
          </w:p>
          <w:p w:rsidR="00B41E06" w14:paraId="3EB193BF" w14:textId="77777777">
            <w:pPr>
              <w:pStyle w:val="TableParagraph"/>
              <w:ind w:left="113" w:right="102"/>
              <w:jc w:val="center"/>
              <w:rPr>
                <w:sz w:val="20"/>
              </w:rPr>
            </w:pPr>
            <w:r>
              <w:rPr>
                <w:spacing w:val="-2"/>
                <w:sz w:val="20"/>
              </w:rPr>
              <w:t>$109.10</w:t>
            </w:r>
          </w:p>
        </w:tc>
      </w:tr>
      <w:tr w14:paraId="2F7303BF" w14:textId="77777777">
        <w:tblPrEx>
          <w:tblW w:w="0" w:type="auto"/>
          <w:tblInd w:w="370" w:type="dxa"/>
          <w:tblLayout w:type="fixed"/>
          <w:tblCellMar>
            <w:left w:w="0" w:type="dxa"/>
            <w:right w:w="0" w:type="dxa"/>
          </w:tblCellMar>
          <w:tblLook w:val="01E0"/>
        </w:tblPrEx>
        <w:trPr>
          <w:trHeight w:val="1045"/>
        </w:trPr>
        <w:tc>
          <w:tcPr>
            <w:tcW w:w="1886" w:type="dxa"/>
          </w:tcPr>
          <w:p w:rsidR="00B41E06" w14:paraId="1E1BE4C2" w14:textId="77777777">
            <w:pPr>
              <w:pStyle w:val="TableParagraph"/>
              <w:spacing w:before="62"/>
              <w:ind w:left="107" w:right="175"/>
              <w:rPr>
                <w:b/>
                <w:sz w:val="20"/>
              </w:rPr>
            </w:pPr>
            <w:hyperlink r:id="rId15">
              <w:r>
                <w:rPr>
                  <w:b/>
                  <w:color w:val="0000FF"/>
                  <w:sz w:val="20"/>
                  <w:u w:val="single" w:color="0000FF"/>
                </w:rPr>
                <w:t xml:space="preserve">Computer </w:t>
              </w:r>
            </w:hyperlink>
            <w:r>
              <w:rPr>
                <w:b/>
                <w:color w:val="0000FF"/>
                <w:sz w:val="20"/>
              </w:rPr>
              <w:t xml:space="preserve"> </w:t>
            </w:r>
            <w:hyperlink r:id="rId15">
              <w:r>
                <w:rPr>
                  <w:b/>
                  <w:color w:val="0000FF"/>
                  <w:spacing w:val="-2"/>
                  <w:sz w:val="20"/>
                  <w:u w:val="single" w:color="0000FF"/>
                </w:rPr>
                <w:t>Programmer</w:t>
              </w:r>
            </w:hyperlink>
          </w:p>
        </w:tc>
        <w:tc>
          <w:tcPr>
            <w:tcW w:w="2306" w:type="dxa"/>
          </w:tcPr>
          <w:p w:rsidR="00B41E06" w14:paraId="2F23A32B" w14:textId="77777777">
            <w:pPr>
              <w:pStyle w:val="TableParagraph"/>
              <w:spacing w:before="62"/>
              <w:ind w:left="108" w:right="118"/>
              <w:rPr>
                <w:sz w:val="20"/>
              </w:rPr>
            </w:pPr>
            <w:r>
              <w:rPr>
                <w:sz w:val="20"/>
              </w:rPr>
              <w:t>Modify and test code. Use statistical methods to organize,</w:t>
            </w:r>
            <w:r>
              <w:rPr>
                <w:spacing w:val="-12"/>
                <w:sz w:val="20"/>
              </w:rPr>
              <w:t xml:space="preserve"> </w:t>
            </w:r>
            <w:r>
              <w:rPr>
                <w:sz w:val="20"/>
              </w:rPr>
              <w:t>interpret,</w:t>
            </w:r>
            <w:r>
              <w:rPr>
                <w:spacing w:val="-11"/>
                <w:sz w:val="20"/>
              </w:rPr>
              <w:t xml:space="preserve"> </w:t>
            </w:r>
            <w:r>
              <w:rPr>
                <w:sz w:val="20"/>
              </w:rPr>
              <w:t>QA,</w:t>
            </w:r>
            <w:r>
              <w:rPr>
                <w:spacing w:val="-12"/>
                <w:sz w:val="20"/>
              </w:rPr>
              <w:t xml:space="preserve"> </w:t>
            </w:r>
            <w:r>
              <w:rPr>
                <w:sz w:val="20"/>
              </w:rPr>
              <w:t>and summarize data.</w:t>
            </w:r>
          </w:p>
        </w:tc>
        <w:tc>
          <w:tcPr>
            <w:tcW w:w="1473" w:type="dxa"/>
          </w:tcPr>
          <w:p w:rsidR="00B41E06" w14:paraId="05378769" w14:textId="77777777">
            <w:pPr>
              <w:pStyle w:val="TableParagraph"/>
              <w:spacing w:before="178"/>
              <w:rPr>
                <w:b/>
                <w:sz w:val="20"/>
              </w:rPr>
            </w:pPr>
          </w:p>
          <w:p w:rsidR="00B41E06" w14:paraId="3E527201" w14:textId="77777777">
            <w:pPr>
              <w:pStyle w:val="TableParagraph"/>
              <w:ind w:left="360" w:right="351"/>
              <w:jc w:val="center"/>
              <w:rPr>
                <w:sz w:val="20"/>
              </w:rPr>
            </w:pPr>
            <w:r>
              <w:rPr>
                <w:spacing w:val="-2"/>
                <w:sz w:val="20"/>
              </w:rPr>
              <w:t>$47.94</w:t>
            </w:r>
          </w:p>
        </w:tc>
        <w:tc>
          <w:tcPr>
            <w:tcW w:w="1965" w:type="dxa"/>
          </w:tcPr>
          <w:p w:rsidR="00B41E06" w14:paraId="7BEC664D" w14:textId="77777777">
            <w:pPr>
              <w:pStyle w:val="TableParagraph"/>
              <w:spacing w:before="178"/>
              <w:rPr>
                <w:b/>
                <w:sz w:val="20"/>
              </w:rPr>
            </w:pPr>
          </w:p>
          <w:p w:rsidR="00B41E06" w14:paraId="371DA54A" w14:textId="77777777">
            <w:pPr>
              <w:pStyle w:val="TableParagraph"/>
              <w:ind w:left="146" w:right="133"/>
              <w:jc w:val="center"/>
              <w:rPr>
                <w:sz w:val="20"/>
              </w:rPr>
            </w:pPr>
            <w:r>
              <w:rPr>
                <w:spacing w:val="-2"/>
                <w:sz w:val="20"/>
              </w:rPr>
              <w:t>$53.71</w:t>
            </w:r>
          </w:p>
        </w:tc>
        <w:tc>
          <w:tcPr>
            <w:tcW w:w="1718" w:type="dxa"/>
          </w:tcPr>
          <w:p w:rsidR="00B41E06" w14:paraId="075AD18B" w14:textId="77777777">
            <w:pPr>
              <w:pStyle w:val="TableParagraph"/>
              <w:spacing w:before="178"/>
              <w:rPr>
                <w:b/>
                <w:sz w:val="20"/>
              </w:rPr>
            </w:pPr>
          </w:p>
          <w:p w:rsidR="00B41E06" w14:paraId="422563D0" w14:textId="77777777">
            <w:pPr>
              <w:pStyle w:val="TableParagraph"/>
              <w:ind w:left="113" w:right="102"/>
              <w:jc w:val="center"/>
              <w:rPr>
                <w:sz w:val="20"/>
              </w:rPr>
            </w:pPr>
            <w:r>
              <w:rPr>
                <w:spacing w:val="-2"/>
                <w:sz w:val="20"/>
              </w:rPr>
              <w:t>$107.42</w:t>
            </w:r>
          </w:p>
        </w:tc>
      </w:tr>
      <w:tr w14:paraId="6DF2018E" w14:textId="77777777">
        <w:tblPrEx>
          <w:tblW w:w="0" w:type="auto"/>
          <w:tblInd w:w="370" w:type="dxa"/>
          <w:tblLayout w:type="fixed"/>
          <w:tblCellMar>
            <w:left w:w="0" w:type="dxa"/>
            <w:right w:w="0" w:type="dxa"/>
          </w:tblCellMar>
          <w:tblLook w:val="01E0"/>
        </w:tblPrEx>
        <w:trPr>
          <w:trHeight w:val="813"/>
        </w:trPr>
        <w:tc>
          <w:tcPr>
            <w:tcW w:w="1886" w:type="dxa"/>
          </w:tcPr>
          <w:p w:rsidR="00B41E06" w14:paraId="6A63806A" w14:textId="77777777">
            <w:pPr>
              <w:pStyle w:val="TableParagraph"/>
              <w:spacing w:before="62"/>
              <w:ind w:left="107" w:right="120"/>
              <w:rPr>
                <w:b/>
                <w:sz w:val="20"/>
              </w:rPr>
            </w:pPr>
            <w:hyperlink r:id="rId16">
              <w:r>
                <w:rPr>
                  <w:b/>
                  <w:color w:val="0000FF"/>
                  <w:sz w:val="20"/>
                  <w:u w:val="single" w:color="0000FF"/>
                </w:rPr>
                <w:t>Business</w:t>
              </w:r>
              <w:r>
                <w:rPr>
                  <w:b/>
                  <w:color w:val="0000FF"/>
                  <w:spacing w:val="-12"/>
                  <w:sz w:val="20"/>
                  <w:u w:val="single" w:color="0000FF"/>
                </w:rPr>
                <w:t xml:space="preserve"> </w:t>
              </w:r>
              <w:r>
                <w:rPr>
                  <w:b/>
                  <w:color w:val="0000FF"/>
                  <w:sz w:val="20"/>
                  <w:u w:val="single" w:color="0000FF"/>
                </w:rPr>
                <w:t>Operations</w:t>
              </w:r>
            </w:hyperlink>
            <w:r>
              <w:rPr>
                <w:b/>
                <w:color w:val="0000FF"/>
                <w:sz w:val="20"/>
              </w:rPr>
              <w:t xml:space="preserve"> </w:t>
            </w:r>
            <w:hyperlink r:id="rId16">
              <w:r>
                <w:rPr>
                  <w:b/>
                  <w:color w:val="0000FF"/>
                  <w:sz w:val="20"/>
                  <w:u w:val="single" w:color="0000FF"/>
                </w:rPr>
                <w:t>Specialist, Other</w:t>
              </w:r>
              <w:r>
                <w:rPr>
                  <w:b/>
                  <w:color w:val="0000FF"/>
                  <w:spacing w:val="40"/>
                  <w:sz w:val="20"/>
                  <w:u w:val="single" w:color="0000FF"/>
                </w:rPr>
                <w:t xml:space="preserve"> </w:t>
              </w:r>
            </w:hyperlink>
          </w:p>
        </w:tc>
        <w:tc>
          <w:tcPr>
            <w:tcW w:w="2306" w:type="dxa"/>
          </w:tcPr>
          <w:p w:rsidR="00B41E06" w14:paraId="06424E09" w14:textId="77777777">
            <w:pPr>
              <w:pStyle w:val="TableParagraph"/>
              <w:spacing w:before="62"/>
              <w:ind w:left="108" w:right="118"/>
              <w:rPr>
                <w:sz w:val="20"/>
              </w:rPr>
            </w:pPr>
            <w:r>
              <w:rPr>
                <w:sz w:val="20"/>
              </w:rPr>
              <w:t>Train</w:t>
            </w:r>
            <w:r>
              <w:rPr>
                <w:spacing w:val="-12"/>
                <w:sz w:val="20"/>
              </w:rPr>
              <w:t xml:space="preserve"> </w:t>
            </w:r>
            <w:r>
              <w:rPr>
                <w:sz w:val="20"/>
              </w:rPr>
              <w:t>reviewers.</w:t>
            </w:r>
            <w:r>
              <w:rPr>
                <w:spacing w:val="-11"/>
                <w:sz w:val="20"/>
              </w:rPr>
              <w:t xml:space="preserve"> </w:t>
            </w:r>
            <w:r>
              <w:rPr>
                <w:sz w:val="20"/>
              </w:rPr>
              <w:t>Review</w:t>
            </w:r>
            <w:r>
              <w:rPr>
                <w:spacing w:val="-12"/>
                <w:sz w:val="20"/>
              </w:rPr>
              <w:t xml:space="preserve"> </w:t>
            </w:r>
            <w:r>
              <w:rPr>
                <w:sz w:val="20"/>
              </w:rPr>
              <w:t xml:space="preserve">and over-read charts for quality </w:t>
            </w:r>
            <w:r>
              <w:rPr>
                <w:spacing w:val="-2"/>
                <w:sz w:val="20"/>
              </w:rPr>
              <w:t>assurance.</w:t>
            </w:r>
          </w:p>
        </w:tc>
        <w:tc>
          <w:tcPr>
            <w:tcW w:w="1473" w:type="dxa"/>
          </w:tcPr>
          <w:p w:rsidR="00B41E06" w14:paraId="38B8557C" w14:textId="77777777">
            <w:pPr>
              <w:pStyle w:val="TableParagraph"/>
              <w:spacing w:before="60"/>
              <w:rPr>
                <w:b/>
                <w:sz w:val="20"/>
              </w:rPr>
            </w:pPr>
          </w:p>
          <w:p w:rsidR="00B41E06" w14:paraId="12B441F4" w14:textId="77777777">
            <w:pPr>
              <w:pStyle w:val="TableParagraph"/>
              <w:ind w:left="360" w:right="351"/>
              <w:jc w:val="center"/>
              <w:rPr>
                <w:sz w:val="20"/>
              </w:rPr>
            </w:pPr>
            <w:r>
              <w:rPr>
                <w:spacing w:val="-2"/>
                <w:sz w:val="20"/>
              </w:rPr>
              <w:t>$38.26</w:t>
            </w:r>
          </w:p>
        </w:tc>
        <w:tc>
          <w:tcPr>
            <w:tcW w:w="1965" w:type="dxa"/>
          </w:tcPr>
          <w:p w:rsidR="00B41E06" w14:paraId="2852E131" w14:textId="77777777">
            <w:pPr>
              <w:pStyle w:val="TableParagraph"/>
              <w:spacing w:before="60"/>
              <w:rPr>
                <w:b/>
                <w:sz w:val="20"/>
              </w:rPr>
            </w:pPr>
          </w:p>
          <w:p w:rsidR="00B41E06" w14:paraId="0E95ED72" w14:textId="77777777">
            <w:pPr>
              <w:pStyle w:val="TableParagraph"/>
              <w:ind w:left="146" w:right="133"/>
              <w:jc w:val="center"/>
              <w:rPr>
                <w:sz w:val="20"/>
              </w:rPr>
            </w:pPr>
            <w:r>
              <w:rPr>
                <w:spacing w:val="-2"/>
                <w:sz w:val="20"/>
              </w:rPr>
              <w:t>$42.87</w:t>
            </w:r>
          </w:p>
        </w:tc>
        <w:tc>
          <w:tcPr>
            <w:tcW w:w="1718" w:type="dxa"/>
          </w:tcPr>
          <w:p w:rsidR="00B41E06" w14:paraId="28C2DD52" w14:textId="77777777">
            <w:pPr>
              <w:pStyle w:val="TableParagraph"/>
              <w:spacing w:before="60"/>
              <w:rPr>
                <w:b/>
                <w:sz w:val="20"/>
              </w:rPr>
            </w:pPr>
          </w:p>
          <w:p w:rsidR="00B41E06" w14:paraId="56B16163" w14:textId="77777777">
            <w:pPr>
              <w:pStyle w:val="TableParagraph"/>
              <w:ind w:left="113" w:right="102"/>
              <w:jc w:val="center"/>
              <w:rPr>
                <w:sz w:val="20"/>
              </w:rPr>
            </w:pPr>
            <w:r>
              <w:rPr>
                <w:spacing w:val="-2"/>
                <w:sz w:val="20"/>
              </w:rPr>
              <w:t>$85.73</w:t>
            </w:r>
          </w:p>
        </w:tc>
      </w:tr>
      <w:tr w14:paraId="5F419AB8" w14:textId="77777777">
        <w:tblPrEx>
          <w:tblW w:w="0" w:type="auto"/>
          <w:tblInd w:w="370" w:type="dxa"/>
          <w:tblLayout w:type="fixed"/>
          <w:tblCellMar>
            <w:left w:w="0" w:type="dxa"/>
            <w:right w:w="0" w:type="dxa"/>
          </w:tblCellMar>
          <w:tblLook w:val="01E0"/>
        </w:tblPrEx>
        <w:trPr>
          <w:trHeight w:val="585"/>
        </w:trPr>
        <w:tc>
          <w:tcPr>
            <w:tcW w:w="1886" w:type="dxa"/>
          </w:tcPr>
          <w:p w:rsidR="00B41E06" w14:paraId="7832A8AE" w14:textId="77777777">
            <w:pPr>
              <w:pStyle w:val="TableParagraph"/>
              <w:spacing w:before="62"/>
              <w:ind w:left="107"/>
              <w:rPr>
                <w:b/>
                <w:sz w:val="20"/>
              </w:rPr>
            </w:pPr>
            <w:hyperlink r:id="rId17">
              <w:r>
                <w:rPr>
                  <w:b/>
                  <w:color w:val="0000FF"/>
                  <w:sz w:val="20"/>
                  <w:u w:val="single" w:color="0000FF"/>
                </w:rPr>
                <w:t>Registered</w:t>
              </w:r>
              <w:r>
                <w:rPr>
                  <w:b/>
                  <w:color w:val="0000FF"/>
                  <w:spacing w:val="-7"/>
                  <w:sz w:val="20"/>
                  <w:u w:val="single" w:color="0000FF"/>
                </w:rPr>
                <w:t xml:space="preserve"> </w:t>
              </w:r>
              <w:r>
                <w:rPr>
                  <w:b/>
                  <w:color w:val="0000FF"/>
                  <w:spacing w:val="-4"/>
                  <w:sz w:val="20"/>
                  <w:u w:val="single" w:color="0000FF"/>
                </w:rPr>
                <w:t>Nurse</w:t>
              </w:r>
            </w:hyperlink>
          </w:p>
        </w:tc>
        <w:tc>
          <w:tcPr>
            <w:tcW w:w="2306" w:type="dxa"/>
          </w:tcPr>
          <w:p w:rsidR="00B41E06" w14:paraId="4A7E2468" w14:textId="77777777">
            <w:pPr>
              <w:pStyle w:val="TableParagraph"/>
              <w:spacing w:before="62"/>
              <w:ind w:left="108"/>
              <w:rPr>
                <w:sz w:val="20"/>
              </w:rPr>
            </w:pPr>
            <w:r>
              <w:rPr>
                <w:sz w:val="20"/>
              </w:rPr>
              <w:t>Review</w:t>
            </w:r>
            <w:r>
              <w:rPr>
                <w:spacing w:val="-12"/>
                <w:sz w:val="20"/>
              </w:rPr>
              <w:t xml:space="preserve"> </w:t>
            </w:r>
            <w:r>
              <w:rPr>
                <w:sz w:val="20"/>
              </w:rPr>
              <w:t>medical</w:t>
            </w:r>
            <w:r>
              <w:rPr>
                <w:spacing w:val="-11"/>
                <w:sz w:val="20"/>
              </w:rPr>
              <w:t xml:space="preserve"> </w:t>
            </w:r>
            <w:r>
              <w:rPr>
                <w:sz w:val="20"/>
              </w:rPr>
              <w:t>records</w:t>
            </w:r>
            <w:r>
              <w:rPr>
                <w:spacing w:val="-12"/>
                <w:sz w:val="20"/>
              </w:rPr>
              <w:t xml:space="preserve"> </w:t>
            </w:r>
            <w:r>
              <w:rPr>
                <w:sz w:val="20"/>
              </w:rPr>
              <w:t>for measure data collection.</w:t>
            </w:r>
          </w:p>
        </w:tc>
        <w:tc>
          <w:tcPr>
            <w:tcW w:w="1473" w:type="dxa"/>
          </w:tcPr>
          <w:p w:rsidR="00B41E06" w14:paraId="644773BC" w14:textId="77777777">
            <w:pPr>
              <w:pStyle w:val="TableParagraph"/>
              <w:spacing w:before="177"/>
              <w:ind w:left="360" w:right="351"/>
              <w:jc w:val="center"/>
              <w:rPr>
                <w:sz w:val="20"/>
              </w:rPr>
            </w:pPr>
            <w:r>
              <w:rPr>
                <w:spacing w:val="-2"/>
                <w:sz w:val="20"/>
              </w:rPr>
              <w:t>$41.38</w:t>
            </w:r>
          </w:p>
        </w:tc>
        <w:tc>
          <w:tcPr>
            <w:tcW w:w="1965" w:type="dxa"/>
          </w:tcPr>
          <w:p w:rsidR="00B41E06" w14:paraId="242FD7DA" w14:textId="77777777">
            <w:pPr>
              <w:pStyle w:val="TableParagraph"/>
              <w:spacing w:before="177"/>
              <w:ind w:left="146" w:right="133"/>
              <w:jc w:val="center"/>
              <w:rPr>
                <w:sz w:val="20"/>
              </w:rPr>
            </w:pPr>
            <w:r>
              <w:rPr>
                <w:spacing w:val="-2"/>
                <w:sz w:val="20"/>
              </w:rPr>
              <w:t>$46.36</w:t>
            </w:r>
          </w:p>
        </w:tc>
        <w:tc>
          <w:tcPr>
            <w:tcW w:w="1718" w:type="dxa"/>
          </w:tcPr>
          <w:p w:rsidR="00B41E06" w14:paraId="5A7896E4" w14:textId="77777777">
            <w:pPr>
              <w:pStyle w:val="TableParagraph"/>
              <w:spacing w:before="177"/>
              <w:ind w:left="113" w:right="102"/>
              <w:jc w:val="center"/>
              <w:rPr>
                <w:sz w:val="20"/>
              </w:rPr>
            </w:pPr>
            <w:r>
              <w:rPr>
                <w:spacing w:val="-2"/>
                <w:sz w:val="20"/>
              </w:rPr>
              <w:t>$92.72</w:t>
            </w:r>
          </w:p>
        </w:tc>
      </w:tr>
      <w:tr w14:paraId="340E8F17" w14:textId="77777777">
        <w:tblPrEx>
          <w:tblW w:w="0" w:type="auto"/>
          <w:tblInd w:w="370" w:type="dxa"/>
          <w:tblLayout w:type="fixed"/>
          <w:tblCellMar>
            <w:left w:w="0" w:type="dxa"/>
            <w:right w:w="0" w:type="dxa"/>
          </w:tblCellMar>
          <w:tblLook w:val="01E0"/>
        </w:tblPrEx>
        <w:trPr>
          <w:trHeight w:val="1043"/>
        </w:trPr>
        <w:tc>
          <w:tcPr>
            <w:tcW w:w="1886" w:type="dxa"/>
          </w:tcPr>
          <w:p w:rsidR="00B41E06" w14:paraId="72D96247" w14:textId="77777777">
            <w:pPr>
              <w:pStyle w:val="TableParagraph"/>
              <w:spacing w:before="62"/>
              <w:ind w:left="107" w:right="457"/>
              <w:rPr>
                <w:b/>
                <w:sz w:val="20"/>
              </w:rPr>
            </w:pPr>
            <w:hyperlink r:id="rId18">
              <w:r>
                <w:rPr>
                  <w:b/>
                  <w:color w:val="0000FF"/>
                  <w:sz w:val="20"/>
                  <w:u w:val="single" w:color="0000FF"/>
                </w:rPr>
                <w:t>Medical</w:t>
              </w:r>
              <w:r>
                <w:rPr>
                  <w:b/>
                  <w:color w:val="0000FF"/>
                  <w:spacing w:val="-12"/>
                  <w:sz w:val="20"/>
                  <w:u w:val="single" w:color="0000FF"/>
                </w:rPr>
                <w:t xml:space="preserve"> </w:t>
              </w:r>
              <w:r>
                <w:rPr>
                  <w:b/>
                  <w:color w:val="0000FF"/>
                  <w:sz w:val="20"/>
                  <w:u w:val="single" w:color="0000FF"/>
                </w:rPr>
                <w:t>Records</w:t>
              </w:r>
            </w:hyperlink>
            <w:r>
              <w:rPr>
                <w:b/>
                <w:color w:val="0000FF"/>
                <w:sz w:val="20"/>
              </w:rPr>
              <w:t xml:space="preserve"> </w:t>
            </w:r>
            <w:hyperlink r:id="rId18">
              <w:r>
                <w:rPr>
                  <w:b/>
                  <w:color w:val="0000FF"/>
                  <w:spacing w:val="-2"/>
                  <w:sz w:val="20"/>
                  <w:u w:val="single" w:color="0000FF"/>
                </w:rPr>
                <w:t>Specialist</w:t>
              </w:r>
            </w:hyperlink>
          </w:p>
        </w:tc>
        <w:tc>
          <w:tcPr>
            <w:tcW w:w="2306" w:type="dxa"/>
          </w:tcPr>
          <w:p w:rsidR="00B41E06" w14:paraId="189C2B0B" w14:textId="77777777">
            <w:pPr>
              <w:pStyle w:val="TableParagraph"/>
              <w:spacing w:before="62"/>
              <w:ind w:left="108" w:right="118"/>
              <w:rPr>
                <w:sz w:val="20"/>
              </w:rPr>
            </w:pPr>
            <w:r>
              <w:rPr>
                <w:sz w:val="20"/>
              </w:rPr>
              <w:t>Compile,</w:t>
            </w:r>
            <w:r>
              <w:rPr>
                <w:spacing w:val="-12"/>
                <w:sz w:val="20"/>
              </w:rPr>
              <w:t xml:space="preserve"> </w:t>
            </w:r>
            <w:r>
              <w:rPr>
                <w:sz w:val="20"/>
              </w:rPr>
              <w:t>process,</w:t>
            </w:r>
            <w:r>
              <w:rPr>
                <w:spacing w:val="-11"/>
                <w:sz w:val="20"/>
              </w:rPr>
              <w:t xml:space="preserve"> </w:t>
            </w:r>
            <w:r>
              <w:rPr>
                <w:sz w:val="20"/>
              </w:rPr>
              <w:t xml:space="preserve">review, and maintain medical records and patient </w:t>
            </w:r>
            <w:r>
              <w:rPr>
                <w:spacing w:val="-2"/>
                <w:sz w:val="20"/>
              </w:rPr>
              <w:t>information.</w:t>
            </w:r>
          </w:p>
        </w:tc>
        <w:tc>
          <w:tcPr>
            <w:tcW w:w="1473" w:type="dxa"/>
          </w:tcPr>
          <w:p w:rsidR="00B41E06" w14:paraId="3A2BF22E" w14:textId="77777777">
            <w:pPr>
              <w:pStyle w:val="TableParagraph"/>
              <w:spacing w:before="175"/>
              <w:rPr>
                <w:b/>
                <w:sz w:val="20"/>
              </w:rPr>
            </w:pPr>
          </w:p>
          <w:p w:rsidR="00B41E06" w14:paraId="42F6967E" w14:textId="77777777">
            <w:pPr>
              <w:pStyle w:val="TableParagraph"/>
              <w:ind w:left="360" w:right="351"/>
              <w:jc w:val="center"/>
              <w:rPr>
                <w:sz w:val="20"/>
              </w:rPr>
            </w:pPr>
            <w:r>
              <w:rPr>
                <w:spacing w:val="-2"/>
                <w:sz w:val="20"/>
              </w:rPr>
              <w:t>$23.45</w:t>
            </w:r>
          </w:p>
        </w:tc>
        <w:tc>
          <w:tcPr>
            <w:tcW w:w="1965" w:type="dxa"/>
          </w:tcPr>
          <w:p w:rsidR="00B41E06" w14:paraId="08F83A11" w14:textId="77777777">
            <w:pPr>
              <w:pStyle w:val="TableParagraph"/>
              <w:spacing w:before="175"/>
              <w:rPr>
                <w:b/>
                <w:sz w:val="20"/>
              </w:rPr>
            </w:pPr>
          </w:p>
          <w:p w:rsidR="00B41E06" w14:paraId="35D84CEF" w14:textId="77777777">
            <w:pPr>
              <w:pStyle w:val="TableParagraph"/>
              <w:ind w:left="146" w:right="133"/>
              <w:jc w:val="center"/>
              <w:rPr>
                <w:sz w:val="20"/>
              </w:rPr>
            </w:pPr>
            <w:r>
              <w:rPr>
                <w:spacing w:val="-2"/>
                <w:sz w:val="20"/>
              </w:rPr>
              <w:t>$26.27</w:t>
            </w:r>
          </w:p>
        </w:tc>
        <w:tc>
          <w:tcPr>
            <w:tcW w:w="1718" w:type="dxa"/>
          </w:tcPr>
          <w:p w:rsidR="00B41E06" w14:paraId="460C2D7D" w14:textId="77777777">
            <w:pPr>
              <w:pStyle w:val="TableParagraph"/>
              <w:spacing w:before="175"/>
              <w:rPr>
                <w:b/>
                <w:sz w:val="20"/>
              </w:rPr>
            </w:pPr>
          </w:p>
          <w:p w:rsidR="00B41E06" w14:paraId="5C39E4E2" w14:textId="77777777">
            <w:pPr>
              <w:pStyle w:val="TableParagraph"/>
              <w:ind w:left="113" w:right="102"/>
              <w:jc w:val="center"/>
              <w:rPr>
                <w:sz w:val="20"/>
              </w:rPr>
            </w:pPr>
            <w:r>
              <w:rPr>
                <w:spacing w:val="-2"/>
                <w:sz w:val="20"/>
              </w:rPr>
              <w:t>$52.55</w:t>
            </w:r>
          </w:p>
        </w:tc>
      </w:tr>
    </w:tbl>
    <w:p w:rsidR="00B41E06" w14:paraId="2D9428CB" w14:textId="77777777">
      <w:pPr>
        <w:pStyle w:val="BodyText"/>
        <w:spacing w:before="121"/>
        <w:ind w:left="359" w:right="419"/>
      </w:pPr>
      <w:r>
        <w:t>The estimated annual cost burden for issuers is based on an average of estimates provided by a sample of issuers. The sample was composed of issuers that have experience with collection of performance measure data, which represents the majority of issuers that will report QRS measures data. Each issuer estimated labor hours for each applicable labor category involved with</w:t>
      </w:r>
      <w:r>
        <w:rPr>
          <w:spacing w:val="-3"/>
        </w:rPr>
        <w:t xml:space="preserve"> </w:t>
      </w:r>
      <w:r>
        <w:t>the</w:t>
      </w:r>
      <w:r>
        <w:rPr>
          <w:spacing w:val="-4"/>
        </w:rPr>
        <w:t xml:space="preserve"> </w:t>
      </w:r>
      <w:r>
        <w:t>data</w:t>
      </w:r>
      <w:r>
        <w:rPr>
          <w:spacing w:val="-4"/>
        </w:rPr>
        <w:t xml:space="preserve"> </w:t>
      </w:r>
      <w:r>
        <w:t>collection</w:t>
      </w:r>
      <w:r>
        <w:rPr>
          <w:spacing w:val="-4"/>
        </w:rPr>
        <w:t xml:space="preserve"> </w:t>
      </w:r>
      <w:r>
        <w:t>process.</w:t>
      </w:r>
      <w:r>
        <w:rPr>
          <w:spacing w:val="-3"/>
        </w:rPr>
        <w:t xml:space="preserve"> </w:t>
      </w:r>
      <w:r>
        <w:t>Estimates</w:t>
      </w:r>
      <w:r>
        <w:rPr>
          <w:spacing w:val="-3"/>
        </w:rPr>
        <w:t xml:space="preserve"> </w:t>
      </w:r>
      <w:r>
        <w:t>assumed</w:t>
      </w:r>
      <w:r>
        <w:rPr>
          <w:spacing w:val="-3"/>
        </w:rPr>
        <w:t xml:space="preserve"> </w:t>
      </w:r>
      <w:r>
        <w:t>that</w:t>
      </w:r>
      <w:r>
        <w:rPr>
          <w:spacing w:val="-3"/>
        </w:rPr>
        <w:t xml:space="preserve"> </w:t>
      </w:r>
      <w:r>
        <w:t>issuers</w:t>
      </w:r>
      <w:r>
        <w:rPr>
          <w:spacing w:val="-3"/>
        </w:rPr>
        <w:t xml:space="preserve"> </w:t>
      </w:r>
      <w:r>
        <w:t>would</w:t>
      </w:r>
      <w:r>
        <w:rPr>
          <w:spacing w:val="-3"/>
        </w:rPr>
        <w:t xml:space="preserve"> </w:t>
      </w:r>
      <w:r>
        <w:t>follow</w:t>
      </w:r>
      <w:r>
        <w:rPr>
          <w:spacing w:val="-4"/>
        </w:rPr>
        <w:t xml:space="preserve"> </w:t>
      </w:r>
      <w:r>
        <w:t>usual</w:t>
      </w:r>
      <w:r>
        <w:rPr>
          <w:spacing w:val="-3"/>
        </w:rPr>
        <w:t xml:space="preserve"> </w:t>
      </w:r>
      <w:r>
        <w:t>practices</w:t>
      </w:r>
      <w:r>
        <w:rPr>
          <w:spacing w:val="-3"/>
        </w:rPr>
        <w:t xml:space="preserve"> </w:t>
      </w:r>
      <w:r>
        <w:t xml:space="preserve">of contracting with a third party for data validation and using existing program data submission tools with which they are familiar. </w:t>
      </w:r>
      <w:hyperlink w:anchor="_bookmark3" w:history="1">
        <w:r>
          <w:t>Exhibit 3</w:t>
        </w:r>
      </w:hyperlink>
      <w:r>
        <w:t xml:space="preserve"> displays the estimated annual cost burden for a single issuer and includes the labor hours per labor category (for internal staff).</w:t>
      </w:r>
    </w:p>
    <w:p w:rsidR="00B41E06" w14:paraId="27EDB982" w14:textId="77777777">
      <w:pPr>
        <w:pStyle w:val="BodyText"/>
        <w:spacing w:before="0"/>
        <w:rPr>
          <w:sz w:val="20"/>
        </w:rPr>
      </w:pPr>
    </w:p>
    <w:p w:rsidR="00B41E06" w14:paraId="65F267D2" w14:textId="77777777">
      <w:pPr>
        <w:pStyle w:val="BodyText"/>
        <w:spacing w:before="0"/>
        <w:rPr>
          <w:sz w:val="20"/>
        </w:rPr>
      </w:pPr>
    </w:p>
    <w:p w:rsidR="00B41E06" w14:paraId="1F85DAF4" w14:textId="77777777">
      <w:pPr>
        <w:pStyle w:val="BodyText"/>
        <w:spacing w:before="0"/>
        <w:rPr>
          <w:sz w:val="20"/>
        </w:rPr>
      </w:pPr>
    </w:p>
    <w:p w:rsidR="00B41E06" w14:paraId="6D2D7930" w14:textId="77777777">
      <w:pPr>
        <w:pStyle w:val="BodyText"/>
        <w:spacing w:before="0"/>
        <w:rPr>
          <w:sz w:val="20"/>
        </w:rPr>
      </w:pPr>
    </w:p>
    <w:p w:rsidR="00B41E06" w14:paraId="048F0946" w14:textId="77777777">
      <w:pPr>
        <w:pStyle w:val="BodyText"/>
        <w:spacing w:before="20"/>
        <w:rPr>
          <w:sz w:val="20"/>
        </w:rPr>
      </w:pPr>
      <w:r>
        <w:rPr>
          <w:noProof/>
          <w:sz w:val="20"/>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174298</wp:posOffset>
                </wp:positionV>
                <wp:extent cx="1828800" cy="762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5" style="width:2in;height:0.6pt;margin-top:13.7pt;margin-left:1in;mso-position-horizontal-relative:page;mso-wrap-distance-bottom:0;mso-wrap-distance-left:0;mso-wrap-distance-right:0;mso-wrap-distance-top:0;mso-wrap-style:square;position:absolute;visibility:visible;v-text-anchor:top;z-index:-251632640" coordsize="1828800,7620" path="m1828800,l,,,7620l1828800,7620l1828800,xe" fillcolor="black" stroked="f">
                <v:path arrowok="t"/>
                <w10:wrap type="topAndBottom"/>
              </v:shape>
            </w:pict>
          </mc:Fallback>
        </mc:AlternateContent>
      </w:r>
    </w:p>
    <w:p w:rsidR="00B41E06" w14:paraId="7E636604" w14:textId="77777777">
      <w:pPr>
        <w:spacing w:before="163"/>
        <w:ind w:left="360"/>
        <w:rPr>
          <w:sz w:val="20"/>
        </w:rPr>
      </w:pPr>
      <w:r>
        <w:rPr>
          <w:sz w:val="20"/>
          <w:vertAlign w:val="superscript"/>
        </w:rPr>
        <w:t>10</w:t>
      </w:r>
      <w:r>
        <w:rPr>
          <w:spacing w:val="-6"/>
          <w:sz w:val="20"/>
        </w:rPr>
        <w:t xml:space="preserve"> </w:t>
      </w:r>
      <w:r>
        <w:rPr>
          <w:sz w:val="20"/>
        </w:rPr>
        <w:t>50th</w:t>
      </w:r>
      <w:r>
        <w:rPr>
          <w:spacing w:val="-5"/>
          <w:sz w:val="20"/>
        </w:rPr>
        <w:t xml:space="preserve"> </w:t>
      </w:r>
      <w:r>
        <w:rPr>
          <w:sz w:val="20"/>
        </w:rPr>
        <w:t>percentile</w:t>
      </w:r>
      <w:r>
        <w:rPr>
          <w:spacing w:val="-5"/>
          <w:sz w:val="20"/>
        </w:rPr>
        <w:t xml:space="preserve"> </w:t>
      </w:r>
      <w:r>
        <w:rPr>
          <w:sz w:val="20"/>
        </w:rPr>
        <w:t>(i.e.,</w:t>
      </w:r>
      <w:r>
        <w:rPr>
          <w:spacing w:val="-8"/>
          <w:sz w:val="20"/>
        </w:rPr>
        <w:t xml:space="preserve"> </w:t>
      </w:r>
      <w:r>
        <w:rPr>
          <w:sz w:val="20"/>
        </w:rPr>
        <w:t>median)</w:t>
      </w:r>
      <w:r>
        <w:rPr>
          <w:spacing w:val="-7"/>
          <w:sz w:val="20"/>
        </w:rPr>
        <w:t xml:space="preserve"> </w:t>
      </w:r>
      <w:r>
        <w:rPr>
          <w:sz w:val="20"/>
        </w:rPr>
        <w:t>is</w:t>
      </w:r>
      <w:r>
        <w:rPr>
          <w:spacing w:val="-6"/>
          <w:sz w:val="20"/>
        </w:rPr>
        <w:t xml:space="preserve"> </w:t>
      </w:r>
      <w:r>
        <w:rPr>
          <w:sz w:val="20"/>
        </w:rPr>
        <w:t>referenced.</w:t>
      </w:r>
      <w:r>
        <w:rPr>
          <w:spacing w:val="-5"/>
          <w:sz w:val="20"/>
        </w:rPr>
        <w:t xml:space="preserve"> </w:t>
      </w:r>
      <w:r>
        <w:rPr>
          <w:sz w:val="20"/>
        </w:rPr>
        <w:t>Data</w:t>
      </w:r>
      <w:r>
        <w:rPr>
          <w:spacing w:val="-6"/>
          <w:sz w:val="20"/>
        </w:rPr>
        <w:t xml:space="preserve"> </w:t>
      </w:r>
      <w:r>
        <w:rPr>
          <w:sz w:val="20"/>
        </w:rPr>
        <w:t>source:</w:t>
      </w:r>
      <w:r>
        <w:rPr>
          <w:spacing w:val="-5"/>
          <w:sz w:val="20"/>
        </w:rPr>
        <w:t xml:space="preserve"> </w:t>
      </w:r>
      <w:hyperlink r:id="rId19">
        <w:r>
          <w:rPr>
            <w:color w:val="0000FF"/>
            <w:spacing w:val="-2"/>
            <w:sz w:val="20"/>
            <w:u w:val="single" w:color="0000FF"/>
          </w:rPr>
          <w:t>http://www.bls.gov/oes/current/oes_stru.htm</w:t>
        </w:r>
        <w:r>
          <w:rPr>
            <w:spacing w:val="-2"/>
            <w:sz w:val="20"/>
          </w:rPr>
          <w:t>.</w:t>
        </w:r>
      </w:hyperlink>
    </w:p>
    <w:p w:rsidR="00B41E06" w14:paraId="464DB25F" w14:textId="77777777">
      <w:pPr>
        <w:spacing w:before="118" w:line="242" w:lineRule="auto"/>
        <w:ind w:left="359" w:right="365"/>
        <w:rPr>
          <w:sz w:val="20"/>
        </w:rPr>
      </w:pPr>
      <w:r>
        <w:rPr>
          <w:sz w:val="20"/>
          <w:vertAlign w:val="superscript"/>
        </w:rPr>
        <w:t>11</w:t>
      </w:r>
      <w:r>
        <w:rPr>
          <w:spacing w:val="-2"/>
          <w:sz w:val="20"/>
        </w:rPr>
        <w:t xml:space="preserve"> </w:t>
      </w:r>
      <w:r>
        <w:rPr>
          <w:sz w:val="20"/>
        </w:rPr>
        <w:t>Hourly</w:t>
      </w:r>
      <w:r>
        <w:rPr>
          <w:spacing w:val="-1"/>
          <w:sz w:val="20"/>
        </w:rPr>
        <w:t xml:space="preserve"> </w:t>
      </w:r>
      <w:r>
        <w:rPr>
          <w:sz w:val="20"/>
        </w:rPr>
        <w:t>wage</w:t>
      </w:r>
      <w:r>
        <w:rPr>
          <w:spacing w:val="-4"/>
          <w:sz w:val="20"/>
        </w:rPr>
        <w:t xml:space="preserve"> </w:t>
      </w:r>
      <w:r>
        <w:rPr>
          <w:sz w:val="20"/>
        </w:rPr>
        <w:t>+</w:t>
      </w:r>
      <w:r>
        <w:rPr>
          <w:spacing w:val="-2"/>
          <w:sz w:val="20"/>
        </w:rPr>
        <w:t xml:space="preserve"> </w:t>
      </w:r>
      <w:r>
        <w:rPr>
          <w:sz w:val="20"/>
        </w:rPr>
        <w:t>wage</w:t>
      </w:r>
      <w:r>
        <w:rPr>
          <w:spacing w:val="-2"/>
          <w:sz w:val="20"/>
        </w:rPr>
        <w:t xml:space="preserve"> </w:t>
      </w:r>
      <w:r>
        <w:rPr>
          <w:sz w:val="20"/>
        </w:rPr>
        <w:t>growth</w:t>
      </w:r>
      <w:r>
        <w:rPr>
          <w:spacing w:val="-3"/>
          <w:sz w:val="20"/>
        </w:rPr>
        <w:t xml:space="preserve"> </w:t>
      </w:r>
      <w:r>
        <w:rPr>
          <w:sz w:val="20"/>
        </w:rPr>
        <w:t>factor</w:t>
      </w:r>
      <w:r>
        <w:rPr>
          <w:spacing w:val="-1"/>
          <w:sz w:val="20"/>
        </w:rPr>
        <w:t xml:space="preserve"> </w:t>
      </w:r>
      <w:r>
        <w:rPr>
          <w:sz w:val="20"/>
        </w:rPr>
        <w:t>of</w:t>
      </w:r>
      <w:r>
        <w:rPr>
          <w:spacing w:val="-4"/>
          <w:sz w:val="20"/>
        </w:rPr>
        <w:t xml:space="preserve"> </w:t>
      </w:r>
      <w:r>
        <w:rPr>
          <w:sz w:val="20"/>
        </w:rPr>
        <w:t>3.78%.</w:t>
      </w:r>
      <w:r>
        <w:rPr>
          <w:spacing w:val="-1"/>
          <w:sz w:val="20"/>
        </w:rPr>
        <w:t xml:space="preserve"> </w:t>
      </w:r>
      <w:r>
        <w:rPr>
          <w:sz w:val="20"/>
        </w:rPr>
        <w:t>Wage</w:t>
      </w:r>
      <w:r>
        <w:rPr>
          <w:spacing w:val="-2"/>
          <w:sz w:val="20"/>
        </w:rPr>
        <w:t xml:space="preserve"> </w:t>
      </w:r>
      <w:r>
        <w:rPr>
          <w:sz w:val="20"/>
        </w:rPr>
        <w:t>growth</w:t>
      </w:r>
      <w:r>
        <w:rPr>
          <w:spacing w:val="-3"/>
          <w:sz w:val="20"/>
        </w:rPr>
        <w:t xml:space="preserve"> </w:t>
      </w:r>
      <w:r>
        <w:rPr>
          <w:sz w:val="20"/>
        </w:rPr>
        <w:t>factor</w:t>
      </w:r>
      <w:r>
        <w:rPr>
          <w:spacing w:val="-1"/>
          <w:sz w:val="20"/>
        </w:rPr>
        <w:t xml:space="preserve"> </w:t>
      </w:r>
      <w:r>
        <w:rPr>
          <w:sz w:val="20"/>
        </w:rPr>
        <w:t>data</w:t>
      </w:r>
      <w:r>
        <w:rPr>
          <w:spacing w:val="-2"/>
          <w:sz w:val="20"/>
        </w:rPr>
        <w:t xml:space="preserve"> </w:t>
      </w:r>
      <w:r>
        <w:rPr>
          <w:sz w:val="20"/>
        </w:rPr>
        <w:t>source:</w:t>
      </w:r>
      <w:r>
        <w:rPr>
          <w:spacing w:val="-2"/>
          <w:sz w:val="20"/>
        </w:rPr>
        <w:t xml:space="preserve"> </w:t>
      </w:r>
      <w:r>
        <w:rPr>
          <w:sz w:val="20"/>
        </w:rPr>
        <w:t>BLS</w:t>
      </w:r>
      <w:r>
        <w:rPr>
          <w:spacing w:val="-2"/>
          <w:sz w:val="20"/>
        </w:rPr>
        <w:t xml:space="preserve"> </w:t>
      </w:r>
      <w:r>
        <w:rPr>
          <w:sz w:val="20"/>
        </w:rPr>
        <w:t>2014</w:t>
      </w:r>
      <w:r>
        <w:rPr>
          <w:spacing w:val="-4"/>
          <w:sz w:val="20"/>
        </w:rPr>
        <w:t xml:space="preserve"> </w:t>
      </w:r>
      <w:r>
        <w:rPr>
          <w:sz w:val="20"/>
        </w:rPr>
        <w:t>Q1</w:t>
      </w:r>
      <w:r>
        <w:rPr>
          <w:spacing w:val="-1"/>
          <w:sz w:val="20"/>
        </w:rPr>
        <w:t xml:space="preserve"> </w:t>
      </w:r>
      <w:r>
        <w:rPr>
          <w:sz w:val="20"/>
        </w:rPr>
        <w:t>to</w:t>
      </w:r>
      <w:r>
        <w:rPr>
          <w:spacing w:val="-1"/>
          <w:sz w:val="20"/>
        </w:rPr>
        <w:t xml:space="preserve"> </w:t>
      </w:r>
      <w:r>
        <w:rPr>
          <w:sz w:val="20"/>
        </w:rPr>
        <w:t>2024</w:t>
      </w:r>
      <w:r>
        <w:rPr>
          <w:spacing w:val="-1"/>
          <w:sz w:val="20"/>
        </w:rPr>
        <w:t xml:space="preserve"> </w:t>
      </w:r>
      <w:r>
        <w:rPr>
          <w:sz w:val="20"/>
        </w:rPr>
        <w:t>Q1</w:t>
      </w:r>
      <w:r>
        <w:rPr>
          <w:spacing w:val="-3"/>
          <w:sz w:val="20"/>
        </w:rPr>
        <w:t xml:space="preserve"> </w:t>
      </w:r>
      <w:r>
        <w:rPr>
          <w:sz w:val="20"/>
        </w:rPr>
        <w:t xml:space="preserve">- </w:t>
      </w:r>
      <w:hyperlink r:id="rId20">
        <w:r>
          <w:rPr>
            <w:color w:val="0000FF"/>
            <w:spacing w:val="-2"/>
            <w:sz w:val="20"/>
            <w:u w:val="single" w:color="0000FF"/>
          </w:rPr>
          <w:t>http://www.bls.gov/ncs/ect/data.htm</w:t>
        </w:r>
        <w:r>
          <w:rPr>
            <w:spacing w:val="-2"/>
            <w:sz w:val="20"/>
          </w:rPr>
          <w:t>.</w:t>
        </w:r>
      </w:hyperlink>
    </w:p>
    <w:p w:rsidR="00B41E06" w14:paraId="2DC0B75C" w14:textId="77777777">
      <w:pPr>
        <w:spacing w:before="117"/>
        <w:ind w:left="359" w:right="365"/>
        <w:rPr>
          <w:sz w:val="20"/>
        </w:rPr>
      </w:pPr>
      <w:r>
        <w:rPr>
          <w:sz w:val="20"/>
          <w:vertAlign w:val="superscript"/>
        </w:rPr>
        <w:t>12</w:t>
      </w:r>
      <w:r>
        <w:rPr>
          <w:spacing w:val="-2"/>
          <w:sz w:val="20"/>
        </w:rPr>
        <w:t xml:space="preserve"> </w:t>
      </w:r>
      <w:r>
        <w:rPr>
          <w:sz w:val="20"/>
        </w:rPr>
        <w:t>Hourly</w:t>
      </w:r>
      <w:r>
        <w:rPr>
          <w:spacing w:val="-1"/>
          <w:sz w:val="20"/>
        </w:rPr>
        <w:t xml:space="preserve"> </w:t>
      </w:r>
      <w:r>
        <w:rPr>
          <w:sz w:val="20"/>
        </w:rPr>
        <w:t>wage</w:t>
      </w:r>
      <w:r>
        <w:rPr>
          <w:spacing w:val="-4"/>
          <w:sz w:val="20"/>
        </w:rPr>
        <w:t xml:space="preserve"> </w:t>
      </w:r>
      <w:r>
        <w:rPr>
          <w:sz w:val="20"/>
        </w:rPr>
        <w:t>rate</w:t>
      </w:r>
      <w:r>
        <w:rPr>
          <w:spacing w:val="-2"/>
          <w:sz w:val="20"/>
        </w:rPr>
        <w:t xml:space="preserve"> </w:t>
      </w:r>
      <w:r>
        <w:rPr>
          <w:sz w:val="20"/>
        </w:rPr>
        <w:t>for</w:t>
      </w:r>
      <w:r>
        <w:rPr>
          <w:spacing w:val="-1"/>
          <w:sz w:val="20"/>
        </w:rPr>
        <w:t xml:space="preserve"> </w:t>
      </w:r>
      <w:r>
        <w:rPr>
          <w:sz w:val="20"/>
        </w:rPr>
        <w:t>period</w:t>
      </w:r>
      <w:r>
        <w:rPr>
          <w:spacing w:val="-1"/>
          <w:sz w:val="20"/>
        </w:rPr>
        <w:t xml:space="preserve"> </w:t>
      </w:r>
      <w:r>
        <w:rPr>
          <w:sz w:val="20"/>
        </w:rPr>
        <w:t>+</w:t>
      </w:r>
      <w:r>
        <w:rPr>
          <w:spacing w:val="-4"/>
          <w:sz w:val="20"/>
        </w:rPr>
        <w:t xml:space="preserve"> </w:t>
      </w:r>
      <w:r>
        <w:rPr>
          <w:sz w:val="20"/>
        </w:rPr>
        <w:t>overhead</w:t>
      </w:r>
      <w:r>
        <w:rPr>
          <w:spacing w:val="-1"/>
          <w:sz w:val="20"/>
        </w:rPr>
        <w:t xml:space="preserve"> </w:t>
      </w:r>
      <w:r>
        <w:rPr>
          <w:sz w:val="20"/>
        </w:rPr>
        <w:t>&amp;</w:t>
      </w:r>
      <w:r>
        <w:rPr>
          <w:spacing w:val="-3"/>
          <w:sz w:val="20"/>
        </w:rPr>
        <w:t xml:space="preserve"> </w:t>
      </w:r>
      <w:r>
        <w:rPr>
          <w:sz w:val="20"/>
        </w:rPr>
        <w:t>fringe</w:t>
      </w:r>
      <w:r>
        <w:rPr>
          <w:spacing w:val="-4"/>
          <w:sz w:val="20"/>
        </w:rPr>
        <w:t xml:space="preserve"> </w:t>
      </w:r>
      <w:r>
        <w:rPr>
          <w:sz w:val="20"/>
        </w:rPr>
        <w:t>benefit</w:t>
      </w:r>
      <w:r>
        <w:rPr>
          <w:spacing w:val="-2"/>
          <w:sz w:val="20"/>
        </w:rPr>
        <w:t xml:space="preserve"> </w:t>
      </w:r>
      <w:r>
        <w:rPr>
          <w:sz w:val="20"/>
        </w:rPr>
        <w:t>rate</w:t>
      </w:r>
      <w:r>
        <w:rPr>
          <w:spacing w:val="-2"/>
          <w:sz w:val="20"/>
        </w:rPr>
        <w:t xml:space="preserve"> </w:t>
      </w:r>
      <w:r>
        <w:rPr>
          <w:sz w:val="20"/>
        </w:rPr>
        <w:t>of</w:t>
      </w:r>
      <w:r>
        <w:rPr>
          <w:spacing w:val="-1"/>
          <w:sz w:val="20"/>
        </w:rPr>
        <w:t xml:space="preserve"> </w:t>
      </w:r>
      <w:r>
        <w:rPr>
          <w:sz w:val="20"/>
        </w:rPr>
        <w:t>100%.</w:t>
      </w:r>
      <w:r>
        <w:rPr>
          <w:spacing w:val="-1"/>
          <w:sz w:val="20"/>
        </w:rPr>
        <w:t xml:space="preserve"> </w:t>
      </w:r>
      <w:r>
        <w:rPr>
          <w:sz w:val="20"/>
        </w:rPr>
        <w:t>Overhead</w:t>
      </w:r>
      <w:r>
        <w:rPr>
          <w:spacing w:val="-1"/>
          <w:sz w:val="20"/>
        </w:rPr>
        <w:t xml:space="preserve"> </w:t>
      </w:r>
      <w:r>
        <w:rPr>
          <w:sz w:val="20"/>
        </w:rPr>
        <w:t>&amp;</w:t>
      </w:r>
      <w:r>
        <w:rPr>
          <w:spacing w:val="-3"/>
          <w:sz w:val="20"/>
        </w:rPr>
        <w:t xml:space="preserve"> </w:t>
      </w:r>
      <w:r>
        <w:rPr>
          <w:sz w:val="20"/>
        </w:rPr>
        <w:t>fringe</w:t>
      </w:r>
      <w:r>
        <w:rPr>
          <w:spacing w:val="-4"/>
          <w:sz w:val="20"/>
        </w:rPr>
        <w:t xml:space="preserve"> </w:t>
      </w:r>
      <w:r>
        <w:rPr>
          <w:sz w:val="20"/>
        </w:rPr>
        <w:t>benefit</w:t>
      </w:r>
      <w:r>
        <w:rPr>
          <w:spacing w:val="-2"/>
          <w:sz w:val="20"/>
        </w:rPr>
        <w:t xml:space="preserve"> </w:t>
      </w:r>
      <w:r>
        <w:rPr>
          <w:sz w:val="20"/>
        </w:rPr>
        <w:t>data</w:t>
      </w:r>
      <w:r>
        <w:rPr>
          <w:spacing w:val="-2"/>
          <w:sz w:val="20"/>
        </w:rPr>
        <w:t xml:space="preserve"> </w:t>
      </w:r>
      <w:r>
        <w:rPr>
          <w:sz w:val="20"/>
        </w:rPr>
        <w:t xml:space="preserve">source: </w:t>
      </w:r>
      <w:r>
        <w:rPr>
          <w:spacing w:val="-4"/>
          <w:sz w:val="20"/>
        </w:rPr>
        <w:t>OMB.</w:t>
      </w:r>
    </w:p>
    <w:p w:rsidR="00B41E06" w14:paraId="55471DE3" w14:textId="77777777">
      <w:pPr>
        <w:rPr>
          <w:sz w:val="20"/>
        </w:rPr>
        <w:sectPr>
          <w:pgSz w:w="12240" w:h="15840"/>
          <w:pgMar w:top="1360" w:right="1080" w:bottom="980" w:left="1080" w:header="0" w:footer="787" w:gutter="0"/>
          <w:cols w:space="720"/>
        </w:sectPr>
      </w:pPr>
    </w:p>
    <w:p w:rsidR="00B41E06" w14:paraId="245262A9" w14:textId="77777777">
      <w:pPr>
        <w:pStyle w:val="Heading1"/>
        <w:spacing w:before="80"/>
        <w:ind w:left="360" w:firstLine="0"/>
        <w:rPr>
          <w:rFonts w:ascii="Arial Narrow"/>
        </w:rPr>
      </w:pPr>
      <w:bookmarkStart w:id="19" w:name="_bookmark3"/>
      <w:bookmarkEnd w:id="19"/>
      <w:r>
        <w:rPr>
          <w:rFonts w:ascii="Arial Narrow"/>
        </w:rPr>
        <w:t>Exhibit</w:t>
      </w:r>
      <w:r>
        <w:rPr>
          <w:rFonts w:ascii="Arial Narrow"/>
          <w:spacing w:val="-10"/>
        </w:rPr>
        <w:t xml:space="preserve"> </w:t>
      </w:r>
      <w:r>
        <w:rPr>
          <w:rFonts w:ascii="Arial Narrow"/>
        </w:rPr>
        <w:t>3.</w:t>
      </w:r>
      <w:r>
        <w:rPr>
          <w:rFonts w:ascii="Arial Narrow"/>
          <w:spacing w:val="-8"/>
        </w:rPr>
        <w:t xml:space="preserve"> </w:t>
      </w:r>
      <w:r>
        <w:rPr>
          <w:rFonts w:ascii="Arial Narrow"/>
        </w:rPr>
        <w:t>Annual</w:t>
      </w:r>
      <w:r>
        <w:rPr>
          <w:rFonts w:ascii="Arial Narrow"/>
          <w:spacing w:val="-9"/>
        </w:rPr>
        <w:t xml:space="preserve"> </w:t>
      </w:r>
      <w:r>
        <w:rPr>
          <w:rFonts w:ascii="Arial Narrow"/>
        </w:rPr>
        <w:t>Estimated</w:t>
      </w:r>
      <w:r>
        <w:rPr>
          <w:rFonts w:ascii="Arial Narrow"/>
          <w:spacing w:val="-7"/>
        </w:rPr>
        <w:t xml:space="preserve"> </w:t>
      </w:r>
      <w:r>
        <w:rPr>
          <w:rFonts w:ascii="Arial Narrow"/>
        </w:rPr>
        <w:t>Cost</w:t>
      </w:r>
      <w:r>
        <w:rPr>
          <w:rFonts w:ascii="Arial Narrow"/>
          <w:spacing w:val="-10"/>
        </w:rPr>
        <w:t xml:space="preserve"> </w:t>
      </w:r>
      <w:r>
        <w:rPr>
          <w:rFonts w:ascii="Arial Narrow"/>
        </w:rPr>
        <w:t>Burden</w:t>
      </w:r>
      <w:r>
        <w:rPr>
          <w:rFonts w:ascii="Arial Narrow"/>
          <w:spacing w:val="-7"/>
        </w:rPr>
        <w:t xml:space="preserve"> </w:t>
      </w:r>
      <w:r>
        <w:rPr>
          <w:rFonts w:ascii="Arial Narrow"/>
        </w:rPr>
        <w:t>for</w:t>
      </w:r>
      <w:r>
        <w:rPr>
          <w:rFonts w:ascii="Arial Narrow"/>
          <w:spacing w:val="-9"/>
        </w:rPr>
        <w:t xml:space="preserve"> </w:t>
      </w:r>
      <w:r>
        <w:rPr>
          <w:rFonts w:ascii="Arial Narrow"/>
        </w:rPr>
        <w:t>One</w:t>
      </w:r>
      <w:r>
        <w:rPr>
          <w:rFonts w:ascii="Arial Narrow"/>
          <w:spacing w:val="-10"/>
        </w:rPr>
        <w:t xml:space="preserve"> </w:t>
      </w:r>
      <w:r>
        <w:rPr>
          <w:rFonts w:ascii="Arial Narrow"/>
          <w:spacing w:val="-2"/>
        </w:rPr>
        <w:t>Issuer</w:t>
      </w:r>
    </w:p>
    <w:p w:rsidR="00B41E06" w14:paraId="079FB508" w14:textId="77777777">
      <w:pPr>
        <w:pStyle w:val="BodyText"/>
        <w:spacing w:before="3"/>
        <w:rPr>
          <w:rFonts w:ascii="Arial Narrow"/>
          <w:b/>
          <w:sz w:val="5"/>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2"/>
        <w:gridCol w:w="1281"/>
        <w:gridCol w:w="1231"/>
        <w:gridCol w:w="1531"/>
        <w:gridCol w:w="1349"/>
        <w:gridCol w:w="1349"/>
        <w:gridCol w:w="1347"/>
      </w:tblGrid>
      <w:tr w14:paraId="3050D529"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8"/>
        </w:trPr>
        <w:tc>
          <w:tcPr>
            <w:tcW w:w="1262" w:type="dxa"/>
            <w:shd w:val="clear" w:color="auto" w:fill="083E8B"/>
          </w:tcPr>
          <w:p w:rsidR="00B41E06" w14:paraId="14F099E6" w14:textId="77777777">
            <w:pPr>
              <w:pStyle w:val="TableParagraph"/>
              <w:rPr>
                <w:rFonts w:ascii="Times New Roman"/>
              </w:rPr>
            </w:pPr>
          </w:p>
        </w:tc>
        <w:tc>
          <w:tcPr>
            <w:tcW w:w="1281" w:type="dxa"/>
            <w:shd w:val="clear" w:color="auto" w:fill="083E8B"/>
          </w:tcPr>
          <w:p w:rsidR="00B41E06" w14:paraId="6D4CC38D" w14:textId="77777777">
            <w:pPr>
              <w:pStyle w:val="TableParagraph"/>
              <w:spacing w:before="18"/>
              <w:ind w:left="11" w:right="58"/>
              <w:jc w:val="center"/>
              <w:rPr>
                <w:b/>
                <w:sz w:val="20"/>
              </w:rPr>
            </w:pPr>
            <w:r>
              <w:rPr>
                <w:b/>
                <w:color w:val="FFFFFF"/>
                <w:sz w:val="20"/>
              </w:rPr>
              <w:t>Internal</w:t>
            </w:r>
            <w:r>
              <w:rPr>
                <w:b/>
                <w:color w:val="FFFFFF"/>
                <w:spacing w:val="-3"/>
                <w:sz w:val="20"/>
              </w:rPr>
              <w:t xml:space="preserve"> </w:t>
            </w:r>
            <w:r>
              <w:rPr>
                <w:b/>
                <w:color w:val="FFFFFF"/>
                <w:spacing w:val="-2"/>
                <w:sz w:val="20"/>
              </w:rPr>
              <w:t>Staff</w:t>
            </w:r>
          </w:p>
        </w:tc>
        <w:tc>
          <w:tcPr>
            <w:tcW w:w="5460" w:type="dxa"/>
            <w:gridSpan w:val="4"/>
            <w:shd w:val="clear" w:color="auto" w:fill="083E8B"/>
          </w:tcPr>
          <w:p w:rsidR="00B41E06" w14:paraId="34F6DE80" w14:textId="77777777">
            <w:pPr>
              <w:pStyle w:val="TableParagraph"/>
              <w:rPr>
                <w:rFonts w:ascii="Times New Roman"/>
              </w:rPr>
            </w:pPr>
          </w:p>
        </w:tc>
        <w:tc>
          <w:tcPr>
            <w:tcW w:w="1347" w:type="dxa"/>
            <w:shd w:val="clear" w:color="auto" w:fill="083E8B"/>
          </w:tcPr>
          <w:p w:rsidR="00B41E06" w14:paraId="7DC2AC16" w14:textId="77777777">
            <w:pPr>
              <w:pStyle w:val="TableParagraph"/>
              <w:spacing w:before="18"/>
              <w:ind w:left="322" w:right="223" w:hanging="87"/>
              <w:rPr>
                <w:b/>
                <w:sz w:val="20"/>
              </w:rPr>
            </w:pPr>
            <w:r>
              <w:rPr>
                <w:b/>
                <w:color w:val="FFFFFF"/>
                <w:spacing w:val="-2"/>
                <w:sz w:val="20"/>
              </w:rPr>
              <w:t>Third-Party Validator</w:t>
            </w:r>
          </w:p>
        </w:tc>
      </w:tr>
      <w:tr w14:paraId="17EC26E6" w14:textId="77777777">
        <w:tblPrEx>
          <w:tblW w:w="0" w:type="auto"/>
          <w:tblInd w:w="370" w:type="dxa"/>
          <w:tblLayout w:type="fixed"/>
          <w:tblCellMar>
            <w:left w:w="0" w:type="dxa"/>
            <w:right w:w="0" w:type="dxa"/>
          </w:tblCellMar>
          <w:tblLook w:val="01E0"/>
        </w:tblPrEx>
        <w:trPr>
          <w:trHeight w:val="729"/>
        </w:trPr>
        <w:tc>
          <w:tcPr>
            <w:tcW w:w="1262" w:type="dxa"/>
          </w:tcPr>
          <w:p w:rsidR="00B41E06" w14:paraId="280E4177" w14:textId="77777777">
            <w:pPr>
              <w:pStyle w:val="TableParagraph"/>
              <w:rPr>
                <w:rFonts w:ascii="Times New Roman"/>
              </w:rPr>
            </w:pPr>
          </w:p>
        </w:tc>
        <w:tc>
          <w:tcPr>
            <w:tcW w:w="1281" w:type="dxa"/>
          </w:tcPr>
          <w:p w:rsidR="00B41E06" w14:paraId="45F23537" w14:textId="77777777">
            <w:pPr>
              <w:pStyle w:val="TableParagraph"/>
              <w:spacing w:before="19"/>
              <w:ind w:left="108" w:right="206"/>
              <w:rPr>
                <w:b/>
                <w:sz w:val="20"/>
              </w:rPr>
            </w:pPr>
            <w:r>
              <w:rPr>
                <w:b/>
                <w:sz w:val="20"/>
              </w:rPr>
              <w:t>General</w:t>
            </w:r>
            <w:r>
              <w:rPr>
                <w:b/>
                <w:spacing w:val="-12"/>
                <w:sz w:val="20"/>
              </w:rPr>
              <w:t xml:space="preserve"> </w:t>
            </w:r>
            <w:r>
              <w:rPr>
                <w:b/>
                <w:sz w:val="20"/>
              </w:rPr>
              <w:t xml:space="preserve">and </w:t>
            </w:r>
            <w:r>
              <w:rPr>
                <w:b/>
                <w:spacing w:val="-2"/>
                <w:sz w:val="20"/>
              </w:rPr>
              <w:t>Operations Manager</w:t>
            </w:r>
          </w:p>
        </w:tc>
        <w:tc>
          <w:tcPr>
            <w:tcW w:w="1231" w:type="dxa"/>
          </w:tcPr>
          <w:p w:rsidR="00B41E06" w14:paraId="77F067A7" w14:textId="77777777">
            <w:pPr>
              <w:pStyle w:val="TableParagraph"/>
              <w:spacing w:before="19"/>
              <w:ind w:left="108"/>
              <w:rPr>
                <w:b/>
                <w:sz w:val="20"/>
              </w:rPr>
            </w:pPr>
            <w:r>
              <w:rPr>
                <w:b/>
                <w:spacing w:val="-2"/>
                <w:sz w:val="20"/>
              </w:rPr>
              <w:t>Computer Programmer</w:t>
            </w:r>
          </w:p>
        </w:tc>
        <w:tc>
          <w:tcPr>
            <w:tcW w:w="1531" w:type="dxa"/>
          </w:tcPr>
          <w:p w:rsidR="00B41E06" w14:paraId="5CC5685A" w14:textId="77777777">
            <w:pPr>
              <w:pStyle w:val="TableParagraph"/>
              <w:spacing w:before="19"/>
              <w:ind w:left="108" w:right="110"/>
              <w:rPr>
                <w:b/>
                <w:sz w:val="20"/>
              </w:rPr>
            </w:pPr>
            <w:r>
              <w:rPr>
                <w:b/>
                <w:spacing w:val="-2"/>
                <w:sz w:val="20"/>
              </w:rPr>
              <w:t xml:space="preserve">Business Operations </w:t>
            </w:r>
            <w:r>
              <w:rPr>
                <w:b/>
                <w:sz w:val="20"/>
              </w:rPr>
              <w:t>Specialist,</w:t>
            </w:r>
            <w:r>
              <w:rPr>
                <w:b/>
                <w:spacing w:val="-12"/>
                <w:sz w:val="20"/>
              </w:rPr>
              <w:t xml:space="preserve"> </w:t>
            </w:r>
            <w:r>
              <w:rPr>
                <w:b/>
                <w:sz w:val="20"/>
              </w:rPr>
              <w:t>Other</w:t>
            </w:r>
          </w:p>
        </w:tc>
        <w:tc>
          <w:tcPr>
            <w:tcW w:w="1349" w:type="dxa"/>
          </w:tcPr>
          <w:p w:rsidR="00B41E06" w14:paraId="1C413A1C" w14:textId="77777777">
            <w:pPr>
              <w:pStyle w:val="TableParagraph"/>
              <w:spacing w:before="19"/>
              <w:ind w:left="109"/>
              <w:rPr>
                <w:b/>
                <w:sz w:val="20"/>
              </w:rPr>
            </w:pPr>
            <w:r>
              <w:rPr>
                <w:b/>
                <w:spacing w:val="-2"/>
                <w:sz w:val="20"/>
              </w:rPr>
              <w:t>Registered Nurse</w:t>
            </w:r>
          </w:p>
        </w:tc>
        <w:tc>
          <w:tcPr>
            <w:tcW w:w="1349" w:type="dxa"/>
          </w:tcPr>
          <w:p w:rsidR="00B41E06" w14:paraId="0D5F0FDA" w14:textId="77777777">
            <w:pPr>
              <w:pStyle w:val="TableParagraph"/>
              <w:spacing w:before="19"/>
              <w:ind w:left="108" w:right="462"/>
              <w:jc w:val="both"/>
              <w:rPr>
                <w:b/>
                <w:sz w:val="20"/>
              </w:rPr>
            </w:pPr>
            <w:r>
              <w:rPr>
                <w:b/>
                <w:spacing w:val="-2"/>
                <w:sz w:val="20"/>
              </w:rPr>
              <w:t>Medical Records Specialist</w:t>
            </w:r>
          </w:p>
        </w:tc>
        <w:tc>
          <w:tcPr>
            <w:tcW w:w="1347" w:type="dxa"/>
            <w:shd w:val="clear" w:color="auto" w:fill="808080"/>
          </w:tcPr>
          <w:p w:rsidR="00B41E06" w14:paraId="12EFE335" w14:textId="77777777">
            <w:pPr>
              <w:pStyle w:val="TableParagraph"/>
              <w:rPr>
                <w:rFonts w:ascii="Times New Roman"/>
              </w:rPr>
            </w:pPr>
          </w:p>
        </w:tc>
      </w:tr>
      <w:tr w14:paraId="2EA39447" w14:textId="77777777">
        <w:tblPrEx>
          <w:tblW w:w="0" w:type="auto"/>
          <w:tblInd w:w="370" w:type="dxa"/>
          <w:tblLayout w:type="fixed"/>
          <w:tblCellMar>
            <w:left w:w="0" w:type="dxa"/>
            <w:right w:w="0" w:type="dxa"/>
          </w:tblCellMar>
          <w:tblLook w:val="01E0"/>
        </w:tblPrEx>
        <w:trPr>
          <w:trHeight w:val="242"/>
        </w:trPr>
        <w:tc>
          <w:tcPr>
            <w:tcW w:w="1262" w:type="dxa"/>
            <w:tcBorders>
              <w:bottom w:val="nil"/>
            </w:tcBorders>
          </w:tcPr>
          <w:p w:rsidR="00B41E06" w14:paraId="599CF356" w14:textId="77777777">
            <w:pPr>
              <w:pStyle w:val="TableParagraph"/>
              <w:spacing w:before="18" w:line="204" w:lineRule="exact"/>
              <w:ind w:left="107"/>
              <w:rPr>
                <w:b/>
                <w:sz w:val="20"/>
              </w:rPr>
            </w:pPr>
            <w:r>
              <w:rPr>
                <w:b/>
                <w:sz w:val="20"/>
              </w:rPr>
              <w:t>Total</w:t>
            </w:r>
            <w:r>
              <w:rPr>
                <w:b/>
                <w:spacing w:val="-2"/>
                <w:sz w:val="20"/>
              </w:rPr>
              <w:t xml:space="preserve"> Hours</w:t>
            </w:r>
          </w:p>
        </w:tc>
        <w:tc>
          <w:tcPr>
            <w:tcW w:w="1281" w:type="dxa"/>
            <w:tcBorders>
              <w:bottom w:val="nil"/>
            </w:tcBorders>
          </w:tcPr>
          <w:p w:rsidR="00B41E06" w14:paraId="75300367" w14:textId="77777777">
            <w:pPr>
              <w:pStyle w:val="TableParagraph"/>
              <w:rPr>
                <w:rFonts w:ascii="Times New Roman"/>
                <w:sz w:val="16"/>
              </w:rPr>
            </w:pPr>
          </w:p>
        </w:tc>
        <w:tc>
          <w:tcPr>
            <w:tcW w:w="1231" w:type="dxa"/>
            <w:tcBorders>
              <w:bottom w:val="nil"/>
            </w:tcBorders>
          </w:tcPr>
          <w:p w:rsidR="00B41E06" w14:paraId="4DFF8C77" w14:textId="77777777">
            <w:pPr>
              <w:pStyle w:val="TableParagraph"/>
              <w:rPr>
                <w:rFonts w:ascii="Times New Roman"/>
                <w:sz w:val="16"/>
              </w:rPr>
            </w:pPr>
          </w:p>
        </w:tc>
        <w:tc>
          <w:tcPr>
            <w:tcW w:w="1531" w:type="dxa"/>
            <w:tcBorders>
              <w:bottom w:val="nil"/>
            </w:tcBorders>
          </w:tcPr>
          <w:p w:rsidR="00B41E06" w14:paraId="5FBC896B" w14:textId="77777777">
            <w:pPr>
              <w:pStyle w:val="TableParagraph"/>
              <w:rPr>
                <w:rFonts w:ascii="Times New Roman"/>
                <w:sz w:val="16"/>
              </w:rPr>
            </w:pPr>
          </w:p>
        </w:tc>
        <w:tc>
          <w:tcPr>
            <w:tcW w:w="1349" w:type="dxa"/>
            <w:tcBorders>
              <w:bottom w:val="nil"/>
            </w:tcBorders>
          </w:tcPr>
          <w:p w:rsidR="00B41E06" w14:paraId="5EF0C60E" w14:textId="77777777">
            <w:pPr>
              <w:pStyle w:val="TableParagraph"/>
              <w:rPr>
                <w:rFonts w:ascii="Times New Roman"/>
                <w:sz w:val="16"/>
              </w:rPr>
            </w:pPr>
          </w:p>
        </w:tc>
        <w:tc>
          <w:tcPr>
            <w:tcW w:w="1349" w:type="dxa"/>
            <w:tcBorders>
              <w:bottom w:val="nil"/>
            </w:tcBorders>
          </w:tcPr>
          <w:p w:rsidR="00B41E06" w14:paraId="55EAEE69" w14:textId="77777777">
            <w:pPr>
              <w:pStyle w:val="TableParagraph"/>
              <w:rPr>
                <w:rFonts w:ascii="Times New Roman"/>
                <w:sz w:val="16"/>
              </w:rPr>
            </w:pPr>
          </w:p>
        </w:tc>
        <w:tc>
          <w:tcPr>
            <w:tcW w:w="1347" w:type="dxa"/>
            <w:vMerge w:val="restart"/>
            <w:shd w:val="clear" w:color="auto" w:fill="808080"/>
          </w:tcPr>
          <w:p w:rsidR="00B41E06" w14:paraId="30C91E7E" w14:textId="77777777">
            <w:pPr>
              <w:pStyle w:val="TableParagraph"/>
              <w:rPr>
                <w:rFonts w:ascii="Times New Roman"/>
              </w:rPr>
            </w:pPr>
          </w:p>
        </w:tc>
      </w:tr>
      <w:tr w14:paraId="3EAF9802" w14:textId="77777777">
        <w:tblPrEx>
          <w:tblW w:w="0" w:type="auto"/>
          <w:tblInd w:w="370" w:type="dxa"/>
          <w:tblLayout w:type="fixed"/>
          <w:tblCellMar>
            <w:left w:w="0" w:type="dxa"/>
            <w:right w:w="0" w:type="dxa"/>
          </w:tblCellMar>
          <w:tblLook w:val="01E0"/>
        </w:tblPrEx>
        <w:trPr>
          <w:trHeight w:val="219"/>
        </w:trPr>
        <w:tc>
          <w:tcPr>
            <w:tcW w:w="1262" w:type="dxa"/>
            <w:tcBorders>
              <w:top w:val="nil"/>
              <w:bottom w:val="nil"/>
            </w:tcBorders>
          </w:tcPr>
          <w:p w:rsidR="00B41E06" w14:paraId="547C2CBA" w14:textId="77777777">
            <w:pPr>
              <w:pStyle w:val="TableParagraph"/>
              <w:spacing w:line="199" w:lineRule="exact"/>
              <w:ind w:left="107"/>
              <w:rPr>
                <w:b/>
                <w:sz w:val="20"/>
              </w:rPr>
            </w:pPr>
            <w:r>
              <w:rPr>
                <w:b/>
                <w:sz w:val="20"/>
              </w:rPr>
              <w:t>by</w:t>
            </w:r>
            <w:r>
              <w:rPr>
                <w:b/>
                <w:spacing w:val="-2"/>
                <w:sz w:val="20"/>
              </w:rPr>
              <w:t xml:space="preserve"> Labor</w:t>
            </w:r>
          </w:p>
        </w:tc>
        <w:tc>
          <w:tcPr>
            <w:tcW w:w="1281" w:type="dxa"/>
            <w:tcBorders>
              <w:top w:val="nil"/>
              <w:bottom w:val="nil"/>
            </w:tcBorders>
          </w:tcPr>
          <w:p w:rsidR="00B41E06" w14:paraId="3ACCB99B" w14:textId="77777777">
            <w:pPr>
              <w:pStyle w:val="TableParagraph"/>
              <w:spacing w:line="199" w:lineRule="exact"/>
              <w:ind w:left="58" w:right="47"/>
              <w:jc w:val="center"/>
              <w:rPr>
                <w:sz w:val="20"/>
              </w:rPr>
            </w:pPr>
            <w:r>
              <w:rPr>
                <w:spacing w:val="-5"/>
                <w:sz w:val="20"/>
              </w:rPr>
              <w:t>210</w:t>
            </w:r>
          </w:p>
        </w:tc>
        <w:tc>
          <w:tcPr>
            <w:tcW w:w="1231" w:type="dxa"/>
            <w:tcBorders>
              <w:top w:val="nil"/>
              <w:bottom w:val="nil"/>
            </w:tcBorders>
          </w:tcPr>
          <w:p w:rsidR="00B41E06" w14:paraId="5AF94793" w14:textId="77777777">
            <w:pPr>
              <w:pStyle w:val="TableParagraph"/>
              <w:spacing w:line="199" w:lineRule="exact"/>
              <w:ind w:left="9"/>
              <w:jc w:val="center"/>
              <w:rPr>
                <w:sz w:val="20"/>
              </w:rPr>
            </w:pPr>
            <w:r>
              <w:rPr>
                <w:spacing w:val="-5"/>
                <w:sz w:val="20"/>
              </w:rPr>
              <w:t>342</w:t>
            </w:r>
          </w:p>
        </w:tc>
        <w:tc>
          <w:tcPr>
            <w:tcW w:w="1531" w:type="dxa"/>
            <w:tcBorders>
              <w:top w:val="nil"/>
              <w:bottom w:val="nil"/>
            </w:tcBorders>
          </w:tcPr>
          <w:p w:rsidR="00B41E06" w14:paraId="283BAB32" w14:textId="77777777">
            <w:pPr>
              <w:pStyle w:val="TableParagraph"/>
              <w:spacing w:line="199" w:lineRule="exact"/>
              <w:ind w:left="12"/>
              <w:jc w:val="center"/>
              <w:rPr>
                <w:sz w:val="20"/>
              </w:rPr>
            </w:pPr>
            <w:r>
              <w:rPr>
                <w:spacing w:val="-5"/>
                <w:sz w:val="20"/>
              </w:rPr>
              <w:t>148</w:t>
            </w:r>
          </w:p>
        </w:tc>
        <w:tc>
          <w:tcPr>
            <w:tcW w:w="1349" w:type="dxa"/>
            <w:tcBorders>
              <w:top w:val="nil"/>
              <w:bottom w:val="nil"/>
            </w:tcBorders>
          </w:tcPr>
          <w:p w:rsidR="00B41E06" w14:paraId="14235A02" w14:textId="77777777">
            <w:pPr>
              <w:pStyle w:val="TableParagraph"/>
              <w:spacing w:line="174" w:lineRule="exact"/>
              <w:ind w:left="449"/>
              <w:rPr>
                <w:rFonts w:ascii="Arial"/>
                <w:position w:val="6"/>
                <w:sz w:val="13"/>
              </w:rPr>
            </w:pPr>
            <w:r>
              <w:rPr>
                <w:spacing w:val="-2"/>
                <w:sz w:val="20"/>
              </w:rPr>
              <w:t>484</w:t>
            </w:r>
            <w:r>
              <w:rPr>
                <w:spacing w:val="-9"/>
                <w:sz w:val="20"/>
              </w:rPr>
              <w:t xml:space="preserve"> </w:t>
            </w:r>
            <w:r>
              <w:rPr>
                <w:rFonts w:ascii="Arial"/>
                <w:spacing w:val="-5"/>
                <w:position w:val="6"/>
                <w:sz w:val="13"/>
              </w:rPr>
              <w:t>13</w:t>
            </w:r>
          </w:p>
          <w:p w:rsidR="00B41E06" w14:paraId="2B40C516" w14:textId="77777777">
            <w:pPr>
              <w:pStyle w:val="TableParagraph"/>
              <w:spacing w:line="12" w:lineRule="exact"/>
              <w:ind w:left="140"/>
              <w:jc w:val="center"/>
              <w:rPr>
                <w:rFonts w:ascii="Cambria"/>
                <w:sz w:val="2"/>
              </w:rPr>
            </w:pPr>
            <w:r>
              <w:rPr>
                <w:rFonts w:ascii="Cambria"/>
                <w:spacing w:val="-5"/>
                <w:sz w:val="2"/>
              </w:rPr>
              <w:t>12F</w:t>
            </w:r>
          </w:p>
        </w:tc>
        <w:tc>
          <w:tcPr>
            <w:tcW w:w="1349" w:type="dxa"/>
            <w:tcBorders>
              <w:top w:val="nil"/>
              <w:bottom w:val="nil"/>
            </w:tcBorders>
          </w:tcPr>
          <w:p w:rsidR="00B41E06" w14:paraId="6ED5A5F8" w14:textId="77777777">
            <w:pPr>
              <w:pStyle w:val="TableParagraph"/>
              <w:spacing w:line="174" w:lineRule="exact"/>
              <w:ind w:left="449"/>
              <w:rPr>
                <w:rFonts w:ascii="Arial"/>
                <w:position w:val="6"/>
                <w:sz w:val="13"/>
              </w:rPr>
            </w:pPr>
            <w:r>
              <w:rPr>
                <w:spacing w:val="-2"/>
                <w:sz w:val="20"/>
              </w:rPr>
              <w:t>137</w:t>
            </w:r>
            <w:r>
              <w:rPr>
                <w:spacing w:val="-9"/>
                <w:sz w:val="20"/>
              </w:rPr>
              <w:t xml:space="preserve"> </w:t>
            </w:r>
            <w:r>
              <w:rPr>
                <w:rFonts w:ascii="Arial"/>
                <w:spacing w:val="-5"/>
                <w:position w:val="6"/>
                <w:sz w:val="13"/>
              </w:rPr>
              <w:t>14</w:t>
            </w:r>
          </w:p>
          <w:p w:rsidR="00B41E06" w14:paraId="154D1827" w14:textId="77777777">
            <w:pPr>
              <w:pStyle w:val="TableParagraph"/>
              <w:spacing w:line="12" w:lineRule="exact"/>
              <w:ind w:left="140" w:right="1"/>
              <w:jc w:val="center"/>
              <w:rPr>
                <w:rFonts w:ascii="Cambria"/>
                <w:sz w:val="2"/>
              </w:rPr>
            </w:pPr>
            <w:r>
              <w:rPr>
                <w:rFonts w:ascii="Cambria"/>
                <w:spacing w:val="-5"/>
                <w:sz w:val="2"/>
              </w:rPr>
              <w:t>13F</w:t>
            </w:r>
          </w:p>
        </w:tc>
        <w:tc>
          <w:tcPr>
            <w:tcW w:w="1347" w:type="dxa"/>
            <w:vMerge/>
            <w:tcBorders>
              <w:top w:val="nil"/>
            </w:tcBorders>
            <w:shd w:val="clear" w:color="auto" w:fill="808080"/>
          </w:tcPr>
          <w:p w:rsidR="00B41E06" w14:paraId="49A449CA" w14:textId="77777777">
            <w:pPr>
              <w:rPr>
                <w:sz w:val="2"/>
                <w:szCs w:val="2"/>
              </w:rPr>
            </w:pPr>
          </w:p>
        </w:tc>
      </w:tr>
      <w:tr w14:paraId="1988590B" w14:textId="77777777">
        <w:tblPrEx>
          <w:tblW w:w="0" w:type="auto"/>
          <w:tblInd w:w="370" w:type="dxa"/>
          <w:tblLayout w:type="fixed"/>
          <w:tblCellMar>
            <w:left w:w="0" w:type="dxa"/>
            <w:right w:w="0" w:type="dxa"/>
          </w:tblCellMar>
          <w:tblLook w:val="01E0"/>
        </w:tblPrEx>
        <w:trPr>
          <w:trHeight w:val="244"/>
        </w:trPr>
        <w:tc>
          <w:tcPr>
            <w:tcW w:w="1262" w:type="dxa"/>
            <w:tcBorders>
              <w:top w:val="nil"/>
            </w:tcBorders>
          </w:tcPr>
          <w:p w:rsidR="00B41E06" w14:paraId="71676575" w14:textId="77777777">
            <w:pPr>
              <w:pStyle w:val="TableParagraph"/>
              <w:spacing w:line="224" w:lineRule="exact"/>
              <w:ind w:left="107"/>
              <w:rPr>
                <w:b/>
                <w:sz w:val="20"/>
              </w:rPr>
            </w:pPr>
            <w:r>
              <w:rPr>
                <w:b/>
                <w:spacing w:val="-2"/>
                <w:sz w:val="20"/>
              </w:rPr>
              <w:t>Category</w:t>
            </w:r>
          </w:p>
        </w:tc>
        <w:tc>
          <w:tcPr>
            <w:tcW w:w="1281" w:type="dxa"/>
            <w:tcBorders>
              <w:top w:val="nil"/>
            </w:tcBorders>
          </w:tcPr>
          <w:p w:rsidR="00B41E06" w14:paraId="26AC2674" w14:textId="77777777">
            <w:pPr>
              <w:pStyle w:val="TableParagraph"/>
              <w:rPr>
                <w:rFonts w:ascii="Times New Roman"/>
                <w:sz w:val="16"/>
              </w:rPr>
            </w:pPr>
          </w:p>
        </w:tc>
        <w:tc>
          <w:tcPr>
            <w:tcW w:w="1231" w:type="dxa"/>
            <w:tcBorders>
              <w:top w:val="nil"/>
            </w:tcBorders>
          </w:tcPr>
          <w:p w:rsidR="00B41E06" w14:paraId="354BE7D0" w14:textId="77777777">
            <w:pPr>
              <w:pStyle w:val="TableParagraph"/>
              <w:rPr>
                <w:rFonts w:ascii="Times New Roman"/>
                <w:sz w:val="16"/>
              </w:rPr>
            </w:pPr>
          </w:p>
        </w:tc>
        <w:tc>
          <w:tcPr>
            <w:tcW w:w="1531" w:type="dxa"/>
            <w:tcBorders>
              <w:top w:val="nil"/>
            </w:tcBorders>
          </w:tcPr>
          <w:p w:rsidR="00B41E06" w14:paraId="3C08EED4" w14:textId="77777777">
            <w:pPr>
              <w:pStyle w:val="TableParagraph"/>
              <w:rPr>
                <w:rFonts w:ascii="Times New Roman"/>
                <w:sz w:val="16"/>
              </w:rPr>
            </w:pPr>
          </w:p>
        </w:tc>
        <w:tc>
          <w:tcPr>
            <w:tcW w:w="1349" w:type="dxa"/>
            <w:tcBorders>
              <w:top w:val="nil"/>
            </w:tcBorders>
          </w:tcPr>
          <w:p w:rsidR="00B41E06" w14:paraId="3DBF13CE" w14:textId="77777777">
            <w:pPr>
              <w:pStyle w:val="TableParagraph"/>
              <w:rPr>
                <w:rFonts w:ascii="Times New Roman"/>
                <w:sz w:val="16"/>
              </w:rPr>
            </w:pPr>
          </w:p>
        </w:tc>
        <w:tc>
          <w:tcPr>
            <w:tcW w:w="1349" w:type="dxa"/>
            <w:tcBorders>
              <w:top w:val="nil"/>
            </w:tcBorders>
          </w:tcPr>
          <w:p w:rsidR="00B41E06" w14:paraId="6667A90A" w14:textId="77777777">
            <w:pPr>
              <w:pStyle w:val="TableParagraph"/>
              <w:rPr>
                <w:rFonts w:ascii="Times New Roman"/>
                <w:sz w:val="16"/>
              </w:rPr>
            </w:pPr>
          </w:p>
        </w:tc>
        <w:tc>
          <w:tcPr>
            <w:tcW w:w="1347" w:type="dxa"/>
            <w:vMerge/>
            <w:tcBorders>
              <w:top w:val="nil"/>
            </w:tcBorders>
            <w:shd w:val="clear" w:color="auto" w:fill="808080"/>
          </w:tcPr>
          <w:p w:rsidR="00B41E06" w14:paraId="31CCD15B" w14:textId="77777777">
            <w:pPr>
              <w:rPr>
                <w:sz w:val="2"/>
                <w:szCs w:val="2"/>
              </w:rPr>
            </w:pPr>
          </w:p>
        </w:tc>
      </w:tr>
      <w:tr w14:paraId="577F758F" w14:textId="77777777">
        <w:tblPrEx>
          <w:tblW w:w="0" w:type="auto"/>
          <w:tblInd w:w="370" w:type="dxa"/>
          <w:tblLayout w:type="fixed"/>
          <w:tblCellMar>
            <w:left w:w="0" w:type="dxa"/>
            <w:right w:w="0" w:type="dxa"/>
          </w:tblCellMar>
          <w:tblLook w:val="01E0"/>
        </w:tblPrEx>
        <w:trPr>
          <w:trHeight w:val="498"/>
        </w:trPr>
        <w:tc>
          <w:tcPr>
            <w:tcW w:w="1262" w:type="dxa"/>
          </w:tcPr>
          <w:p w:rsidR="00B41E06" w14:paraId="1ECCAB54" w14:textId="77777777">
            <w:pPr>
              <w:pStyle w:val="TableParagraph"/>
              <w:spacing w:before="19"/>
              <w:ind w:left="107" w:right="180"/>
              <w:rPr>
                <w:b/>
                <w:sz w:val="20"/>
              </w:rPr>
            </w:pPr>
            <w:r>
              <w:rPr>
                <w:b/>
                <w:sz w:val="20"/>
              </w:rPr>
              <w:t>Total</w:t>
            </w:r>
            <w:r>
              <w:rPr>
                <w:b/>
                <w:spacing w:val="-12"/>
                <w:sz w:val="20"/>
              </w:rPr>
              <w:t xml:space="preserve"> </w:t>
            </w:r>
            <w:r>
              <w:rPr>
                <w:b/>
                <w:sz w:val="20"/>
              </w:rPr>
              <w:t>Hourly Wage Rate</w:t>
            </w:r>
          </w:p>
        </w:tc>
        <w:tc>
          <w:tcPr>
            <w:tcW w:w="1281" w:type="dxa"/>
          </w:tcPr>
          <w:p w:rsidR="00B41E06" w14:paraId="2CD56F10" w14:textId="77777777">
            <w:pPr>
              <w:pStyle w:val="TableParagraph"/>
              <w:spacing w:before="134"/>
              <w:ind w:left="55" w:right="47"/>
              <w:jc w:val="center"/>
              <w:rPr>
                <w:sz w:val="20"/>
              </w:rPr>
            </w:pPr>
            <w:r>
              <w:rPr>
                <w:spacing w:val="-2"/>
                <w:sz w:val="20"/>
              </w:rPr>
              <w:t>$109.10</w:t>
            </w:r>
          </w:p>
        </w:tc>
        <w:tc>
          <w:tcPr>
            <w:tcW w:w="1231" w:type="dxa"/>
          </w:tcPr>
          <w:p w:rsidR="00B41E06" w14:paraId="13127F79" w14:textId="77777777">
            <w:pPr>
              <w:pStyle w:val="TableParagraph"/>
              <w:spacing w:before="134"/>
              <w:ind w:left="9" w:right="2"/>
              <w:jc w:val="center"/>
              <w:rPr>
                <w:sz w:val="20"/>
              </w:rPr>
            </w:pPr>
            <w:r>
              <w:rPr>
                <w:spacing w:val="-2"/>
                <w:sz w:val="20"/>
              </w:rPr>
              <w:t>$107.42</w:t>
            </w:r>
          </w:p>
        </w:tc>
        <w:tc>
          <w:tcPr>
            <w:tcW w:w="1531" w:type="dxa"/>
          </w:tcPr>
          <w:p w:rsidR="00B41E06" w14:paraId="47B10372" w14:textId="77777777">
            <w:pPr>
              <w:pStyle w:val="TableParagraph"/>
              <w:spacing w:before="134"/>
              <w:ind w:left="12" w:right="2"/>
              <w:jc w:val="center"/>
              <w:rPr>
                <w:sz w:val="20"/>
              </w:rPr>
            </w:pPr>
            <w:r>
              <w:rPr>
                <w:spacing w:val="-2"/>
                <w:sz w:val="20"/>
              </w:rPr>
              <w:t>$85.73</w:t>
            </w:r>
          </w:p>
        </w:tc>
        <w:tc>
          <w:tcPr>
            <w:tcW w:w="1349" w:type="dxa"/>
          </w:tcPr>
          <w:p w:rsidR="00B41E06" w14:paraId="6CDE18FC" w14:textId="77777777">
            <w:pPr>
              <w:pStyle w:val="TableParagraph"/>
              <w:spacing w:before="134"/>
              <w:ind w:left="140" w:right="130"/>
              <w:jc w:val="center"/>
              <w:rPr>
                <w:sz w:val="20"/>
              </w:rPr>
            </w:pPr>
            <w:r>
              <w:rPr>
                <w:spacing w:val="-2"/>
                <w:sz w:val="20"/>
              </w:rPr>
              <w:t>$92.72</w:t>
            </w:r>
          </w:p>
        </w:tc>
        <w:tc>
          <w:tcPr>
            <w:tcW w:w="1349" w:type="dxa"/>
          </w:tcPr>
          <w:p w:rsidR="00B41E06" w14:paraId="1F715CF5" w14:textId="77777777">
            <w:pPr>
              <w:pStyle w:val="TableParagraph"/>
              <w:spacing w:before="134"/>
              <w:ind w:left="140" w:right="131"/>
              <w:jc w:val="center"/>
              <w:rPr>
                <w:sz w:val="20"/>
              </w:rPr>
            </w:pPr>
            <w:r>
              <w:rPr>
                <w:spacing w:val="-2"/>
                <w:sz w:val="20"/>
              </w:rPr>
              <w:t>$52.55</w:t>
            </w:r>
          </w:p>
        </w:tc>
        <w:tc>
          <w:tcPr>
            <w:tcW w:w="1347" w:type="dxa"/>
            <w:shd w:val="clear" w:color="auto" w:fill="808080"/>
          </w:tcPr>
          <w:p w:rsidR="00B41E06" w14:paraId="5B07DB93" w14:textId="77777777">
            <w:pPr>
              <w:pStyle w:val="TableParagraph"/>
              <w:rPr>
                <w:rFonts w:ascii="Times New Roman"/>
              </w:rPr>
            </w:pPr>
          </w:p>
        </w:tc>
      </w:tr>
      <w:tr w14:paraId="4BCF0778" w14:textId="77777777">
        <w:tblPrEx>
          <w:tblW w:w="0" w:type="auto"/>
          <w:tblInd w:w="370" w:type="dxa"/>
          <w:tblLayout w:type="fixed"/>
          <w:tblCellMar>
            <w:left w:w="0" w:type="dxa"/>
            <w:right w:w="0" w:type="dxa"/>
          </w:tblCellMar>
          <w:tblLook w:val="01E0"/>
        </w:tblPrEx>
        <w:trPr>
          <w:trHeight w:val="498"/>
        </w:trPr>
        <w:tc>
          <w:tcPr>
            <w:tcW w:w="1262" w:type="dxa"/>
          </w:tcPr>
          <w:p w:rsidR="00B41E06" w14:paraId="4FCDE303" w14:textId="77777777">
            <w:pPr>
              <w:pStyle w:val="TableParagraph"/>
              <w:spacing w:before="18"/>
              <w:ind w:left="107" w:right="180"/>
              <w:rPr>
                <w:b/>
                <w:sz w:val="20"/>
              </w:rPr>
            </w:pPr>
            <w:r>
              <w:rPr>
                <w:b/>
                <w:spacing w:val="-2"/>
                <w:sz w:val="20"/>
              </w:rPr>
              <w:t xml:space="preserve">Subtotal </w:t>
            </w:r>
            <w:r>
              <w:rPr>
                <w:b/>
                <w:spacing w:val="-4"/>
                <w:sz w:val="20"/>
              </w:rPr>
              <w:t>Cost</w:t>
            </w:r>
          </w:p>
        </w:tc>
        <w:tc>
          <w:tcPr>
            <w:tcW w:w="1281" w:type="dxa"/>
          </w:tcPr>
          <w:p w:rsidR="00B41E06" w14:paraId="288AD1CB" w14:textId="77777777">
            <w:pPr>
              <w:pStyle w:val="TableParagraph"/>
              <w:spacing w:before="134"/>
              <w:ind w:left="55" w:right="47"/>
              <w:jc w:val="center"/>
              <w:rPr>
                <w:sz w:val="20"/>
              </w:rPr>
            </w:pPr>
            <w:r>
              <w:rPr>
                <w:spacing w:val="-2"/>
                <w:sz w:val="20"/>
              </w:rPr>
              <w:t>$22,957</w:t>
            </w:r>
          </w:p>
        </w:tc>
        <w:tc>
          <w:tcPr>
            <w:tcW w:w="1231" w:type="dxa"/>
          </w:tcPr>
          <w:p w:rsidR="00B41E06" w14:paraId="709F1B34" w14:textId="77777777">
            <w:pPr>
              <w:pStyle w:val="TableParagraph"/>
              <w:spacing w:before="134"/>
              <w:ind w:left="9" w:right="3"/>
              <w:jc w:val="center"/>
              <w:rPr>
                <w:sz w:val="20"/>
              </w:rPr>
            </w:pPr>
            <w:r>
              <w:rPr>
                <w:spacing w:val="-2"/>
                <w:sz w:val="20"/>
              </w:rPr>
              <w:t>$36,690</w:t>
            </w:r>
          </w:p>
        </w:tc>
        <w:tc>
          <w:tcPr>
            <w:tcW w:w="1531" w:type="dxa"/>
          </w:tcPr>
          <w:p w:rsidR="00B41E06" w14:paraId="22E39E84" w14:textId="77777777">
            <w:pPr>
              <w:pStyle w:val="TableParagraph"/>
              <w:spacing w:before="134"/>
              <w:ind w:left="12" w:right="3"/>
              <w:jc w:val="center"/>
              <w:rPr>
                <w:sz w:val="20"/>
              </w:rPr>
            </w:pPr>
            <w:r>
              <w:rPr>
                <w:spacing w:val="-2"/>
                <w:sz w:val="20"/>
              </w:rPr>
              <w:t>$12,674</w:t>
            </w:r>
          </w:p>
        </w:tc>
        <w:tc>
          <w:tcPr>
            <w:tcW w:w="1349" w:type="dxa"/>
          </w:tcPr>
          <w:p w:rsidR="00B41E06" w14:paraId="1144F4EA" w14:textId="77777777">
            <w:pPr>
              <w:pStyle w:val="TableParagraph"/>
              <w:spacing w:before="134"/>
              <w:ind w:left="140" w:right="131"/>
              <w:jc w:val="center"/>
              <w:rPr>
                <w:sz w:val="20"/>
              </w:rPr>
            </w:pPr>
            <w:r>
              <w:rPr>
                <w:spacing w:val="-2"/>
                <w:sz w:val="20"/>
              </w:rPr>
              <w:t>$44,903</w:t>
            </w:r>
          </w:p>
        </w:tc>
        <w:tc>
          <w:tcPr>
            <w:tcW w:w="1349" w:type="dxa"/>
          </w:tcPr>
          <w:p w:rsidR="00B41E06" w14:paraId="1D746903" w14:textId="77777777">
            <w:pPr>
              <w:pStyle w:val="TableParagraph"/>
              <w:spacing w:before="134"/>
              <w:ind w:left="140" w:right="131"/>
              <w:jc w:val="center"/>
              <w:rPr>
                <w:sz w:val="20"/>
              </w:rPr>
            </w:pPr>
            <w:r>
              <w:rPr>
                <w:spacing w:val="-2"/>
                <w:sz w:val="20"/>
              </w:rPr>
              <w:t>$7,189</w:t>
            </w:r>
          </w:p>
        </w:tc>
        <w:tc>
          <w:tcPr>
            <w:tcW w:w="1347" w:type="dxa"/>
          </w:tcPr>
          <w:p w:rsidR="00B41E06" w14:paraId="15ED4DD1" w14:textId="77777777">
            <w:pPr>
              <w:pStyle w:val="TableParagraph"/>
              <w:spacing w:before="134"/>
              <w:ind w:left="377"/>
              <w:rPr>
                <w:sz w:val="20"/>
              </w:rPr>
            </w:pPr>
            <w:r>
              <w:rPr>
                <w:spacing w:val="-2"/>
                <w:sz w:val="20"/>
              </w:rPr>
              <w:t>$12,500</w:t>
            </w:r>
          </w:p>
        </w:tc>
      </w:tr>
      <w:tr w14:paraId="17133D70" w14:textId="77777777">
        <w:tblPrEx>
          <w:tblW w:w="0" w:type="auto"/>
          <w:tblInd w:w="370" w:type="dxa"/>
          <w:tblLayout w:type="fixed"/>
          <w:tblCellMar>
            <w:left w:w="0" w:type="dxa"/>
            <w:right w:w="0" w:type="dxa"/>
          </w:tblCellMar>
          <w:tblLook w:val="01E0"/>
        </w:tblPrEx>
        <w:trPr>
          <w:trHeight w:val="270"/>
        </w:trPr>
        <w:tc>
          <w:tcPr>
            <w:tcW w:w="1262" w:type="dxa"/>
            <w:shd w:val="clear" w:color="auto" w:fill="F1F1F1"/>
          </w:tcPr>
          <w:p w:rsidR="00B41E06" w14:paraId="605E5771" w14:textId="77777777">
            <w:pPr>
              <w:pStyle w:val="TableParagraph"/>
              <w:spacing w:before="21"/>
              <w:ind w:left="107"/>
              <w:rPr>
                <w:b/>
                <w:sz w:val="20"/>
              </w:rPr>
            </w:pPr>
            <w:r>
              <w:rPr>
                <w:b/>
                <w:sz w:val="20"/>
              </w:rPr>
              <w:t>Total</w:t>
            </w:r>
            <w:r>
              <w:rPr>
                <w:b/>
                <w:spacing w:val="-2"/>
                <w:sz w:val="20"/>
              </w:rPr>
              <w:t xml:space="preserve"> </w:t>
            </w:r>
            <w:r>
              <w:rPr>
                <w:b/>
                <w:spacing w:val="-4"/>
                <w:sz w:val="20"/>
              </w:rPr>
              <w:t>Cost</w:t>
            </w:r>
          </w:p>
        </w:tc>
        <w:tc>
          <w:tcPr>
            <w:tcW w:w="1281" w:type="dxa"/>
            <w:shd w:val="clear" w:color="auto" w:fill="F1F1F1"/>
          </w:tcPr>
          <w:p w:rsidR="00B41E06" w14:paraId="1E4D6384" w14:textId="77777777">
            <w:pPr>
              <w:pStyle w:val="TableParagraph"/>
              <w:spacing w:before="21"/>
              <w:ind w:left="55" w:right="47"/>
              <w:jc w:val="center"/>
              <w:rPr>
                <w:sz w:val="20"/>
              </w:rPr>
            </w:pPr>
            <w:r>
              <w:rPr>
                <w:spacing w:val="-2"/>
                <w:sz w:val="20"/>
              </w:rPr>
              <w:t>$136,913</w:t>
            </w:r>
          </w:p>
        </w:tc>
        <w:tc>
          <w:tcPr>
            <w:tcW w:w="6807" w:type="dxa"/>
            <w:gridSpan w:val="5"/>
            <w:tcBorders>
              <w:bottom w:val="nil"/>
              <w:right w:val="nil"/>
            </w:tcBorders>
          </w:tcPr>
          <w:p w:rsidR="00B41E06" w14:paraId="19EF9426" w14:textId="77777777">
            <w:pPr>
              <w:pStyle w:val="TableParagraph"/>
              <w:rPr>
                <w:rFonts w:ascii="Times New Roman"/>
                <w:sz w:val="20"/>
              </w:rPr>
            </w:pPr>
          </w:p>
        </w:tc>
      </w:tr>
    </w:tbl>
    <w:p w:rsidR="00B41E06" w14:paraId="5828BE0A" w14:textId="77777777">
      <w:pPr>
        <w:pStyle w:val="BodyText"/>
        <w:spacing w:before="88"/>
        <w:rPr>
          <w:rFonts w:ascii="Arial Narrow"/>
          <w:b/>
        </w:rPr>
      </w:pPr>
    </w:p>
    <w:p w:rsidR="00B41E06" w14:paraId="2E0F62FF" w14:textId="77777777">
      <w:pPr>
        <w:ind w:left="360" w:right="365"/>
        <w:rPr>
          <w:b/>
          <w:sz w:val="24"/>
        </w:rPr>
      </w:pPr>
      <w:r>
        <w:rPr>
          <w:b/>
          <w:sz w:val="24"/>
        </w:rPr>
        <w:t>For</w:t>
      </w:r>
      <w:r>
        <w:rPr>
          <w:b/>
          <w:spacing w:val="-3"/>
          <w:sz w:val="24"/>
        </w:rPr>
        <w:t xml:space="preserve"> </w:t>
      </w:r>
      <w:r>
        <w:rPr>
          <w:b/>
          <w:sz w:val="24"/>
        </w:rPr>
        <w:t>one</w:t>
      </w:r>
      <w:r>
        <w:rPr>
          <w:b/>
          <w:spacing w:val="-3"/>
          <w:sz w:val="24"/>
        </w:rPr>
        <w:t xml:space="preserve"> </w:t>
      </w:r>
      <w:r>
        <w:rPr>
          <w:b/>
          <w:sz w:val="24"/>
        </w:rPr>
        <w:t>QHP</w:t>
      </w:r>
      <w:r>
        <w:rPr>
          <w:b/>
          <w:spacing w:val="-3"/>
          <w:sz w:val="24"/>
        </w:rPr>
        <w:t xml:space="preserve"> </w:t>
      </w:r>
      <w:r>
        <w:rPr>
          <w:b/>
          <w:sz w:val="24"/>
        </w:rPr>
        <w:t>issuer,</w:t>
      </w:r>
      <w:r>
        <w:rPr>
          <w:b/>
          <w:spacing w:val="-2"/>
          <w:sz w:val="24"/>
        </w:rPr>
        <w:t xml:space="preserve"> </w:t>
      </w:r>
      <w:r>
        <w:rPr>
          <w:b/>
          <w:sz w:val="24"/>
        </w:rPr>
        <w:t>the</w:t>
      </w:r>
      <w:r>
        <w:rPr>
          <w:b/>
          <w:spacing w:val="-3"/>
          <w:sz w:val="24"/>
        </w:rPr>
        <w:t xml:space="preserve"> </w:t>
      </w:r>
      <w:r>
        <w:rPr>
          <w:b/>
          <w:sz w:val="24"/>
        </w:rPr>
        <w:t>burden</w:t>
      </w:r>
      <w:r>
        <w:rPr>
          <w:b/>
          <w:spacing w:val="-2"/>
          <w:sz w:val="24"/>
        </w:rPr>
        <w:t xml:space="preserve"> </w:t>
      </w:r>
      <w:r>
        <w:rPr>
          <w:b/>
          <w:sz w:val="24"/>
        </w:rPr>
        <w:t>to</w:t>
      </w:r>
      <w:r>
        <w:rPr>
          <w:b/>
          <w:spacing w:val="-2"/>
          <w:sz w:val="24"/>
        </w:rPr>
        <w:t xml:space="preserve"> </w:t>
      </w:r>
      <w:r>
        <w:rPr>
          <w:b/>
          <w:sz w:val="24"/>
        </w:rPr>
        <w:t>collect</w:t>
      </w:r>
      <w:r>
        <w:rPr>
          <w:b/>
          <w:spacing w:val="-3"/>
          <w:sz w:val="24"/>
        </w:rPr>
        <w:t xml:space="preserve"> </w:t>
      </w:r>
      <w:r>
        <w:rPr>
          <w:b/>
          <w:sz w:val="24"/>
        </w:rPr>
        <w:t>and</w:t>
      </w:r>
      <w:r>
        <w:rPr>
          <w:b/>
          <w:spacing w:val="-2"/>
          <w:sz w:val="24"/>
        </w:rPr>
        <w:t xml:space="preserve"> </w:t>
      </w:r>
      <w:r>
        <w:rPr>
          <w:b/>
          <w:sz w:val="24"/>
        </w:rPr>
        <w:t>report</w:t>
      </w:r>
      <w:r>
        <w:rPr>
          <w:b/>
          <w:spacing w:val="-3"/>
          <w:sz w:val="24"/>
        </w:rPr>
        <w:t xml:space="preserve"> </w:t>
      </w:r>
      <w:r>
        <w:rPr>
          <w:b/>
          <w:sz w:val="24"/>
        </w:rPr>
        <w:t>data</w:t>
      </w:r>
      <w:r>
        <w:rPr>
          <w:b/>
          <w:spacing w:val="-2"/>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QRS</w:t>
      </w:r>
      <w:r>
        <w:rPr>
          <w:b/>
          <w:spacing w:val="-2"/>
          <w:sz w:val="24"/>
        </w:rPr>
        <w:t xml:space="preserve"> </w:t>
      </w:r>
      <w:r>
        <w:rPr>
          <w:b/>
          <w:sz w:val="24"/>
        </w:rPr>
        <w:t>is</w:t>
      </w:r>
      <w:r>
        <w:rPr>
          <w:b/>
          <w:spacing w:val="-2"/>
          <w:sz w:val="24"/>
        </w:rPr>
        <w:t xml:space="preserve"> </w:t>
      </w:r>
      <w:r>
        <w:rPr>
          <w:b/>
          <w:sz w:val="24"/>
        </w:rPr>
        <w:t>estimated</w:t>
      </w:r>
      <w:r>
        <w:rPr>
          <w:b/>
          <w:spacing w:val="-2"/>
          <w:sz w:val="24"/>
        </w:rPr>
        <w:t xml:space="preserve"> </w:t>
      </w:r>
      <w:r>
        <w:rPr>
          <w:b/>
          <w:sz w:val="24"/>
        </w:rPr>
        <w:t>to</w:t>
      </w:r>
      <w:r>
        <w:rPr>
          <w:b/>
          <w:spacing w:val="-2"/>
          <w:sz w:val="24"/>
        </w:rPr>
        <w:t xml:space="preserve"> </w:t>
      </w:r>
      <w:r>
        <w:rPr>
          <w:b/>
          <w:sz w:val="24"/>
        </w:rPr>
        <w:t>take approximately 1,321 hours and $136,913 each year. Therefore, the total annual cost and hour burden for 380 issuers is $52,026,959 and 501,980 hours.</w:t>
      </w:r>
    </w:p>
    <w:p w:rsidR="00B41E06" w14:paraId="1F55908E" w14:textId="77777777">
      <w:pPr>
        <w:pStyle w:val="ListParagraph"/>
        <w:numPr>
          <w:ilvl w:val="0"/>
          <w:numId w:val="3"/>
        </w:numPr>
        <w:tabs>
          <w:tab w:val="left" w:pos="1440"/>
        </w:tabs>
        <w:spacing w:before="121"/>
        <w:ind w:right="781" w:hanging="581"/>
        <w:jc w:val="left"/>
        <w:rPr>
          <w:i/>
          <w:sz w:val="24"/>
        </w:rPr>
      </w:pPr>
      <w:bookmarkStart w:id="20" w:name="II._Implementation_and_Reporting_for_the"/>
      <w:bookmarkEnd w:id="20"/>
      <w:r>
        <w:rPr>
          <w:i/>
          <w:sz w:val="24"/>
        </w:rPr>
        <w:t>Implementation</w:t>
      </w:r>
      <w:r>
        <w:rPr>
          <w:i/>
          <w:spacing w:val="-4"/>
          <w:sz w:val="24"/>
        </w:rPr>
        <w:t xml:space="preserve"> </w:t>
      </w:r>
      <w:r>
        <w:rPr>
          <w:i/>
          <w:sz w:val="24"/>
        </w:rPr>
        <w:t>and</w:t>
      </w:r>
      <w:r>
        <w:rPr>
          <w:i/>
          <w:spacing w:val="-4"/>
          <w:sz w:val="24"/>
        </w:rPr>
        <w:t xml:space="preserve"> </w:t>
      </w:r>
      <w:r>
        <w:rPr>
          <w:i/>
          <w:sz w:val="24"/>
        </w:rPr>
        <w:t>Reporting</w:t>
      </w:r>
      <w:r>
        <w:rPr>
          <w:i/>
          <w:spacing w:val="-4"/>
          <w:sz w:val="24"/>
        </w:rPr>
        <w:t xml:space="preserve"> </w:t>
      </w:r>
      <w:r>
        <w:rPr>
          <w:i/>
          <w:sz w:val="24"/>
        </w:rPr>
        <w:t>for</w:t>
      </w:r>
      <w:r>
        <w:rPr>
          <w:i/>
          <w:spacing w:val="-4"/>
          <w:sz w:val="24"/>
        </w:rPr>
        <w:t xml:space="preserve"> </w:t>
      </w:r>
      <w:r>
        <w:rPr>
          <w:i/>
          <w:sz w:val="24"/>
        </w:rPr>
        <w:t>the</w:t>
      </w:r>
      <w:r>
        <w:rPr>
          <w:i/>
          <w:spacing w:val="-5"/>
          <w:sz w:val="24"/>
        </w:rPr>
        <w:t xml:space="preserve"> </w:t>
      </w:r>
      <w:r>
        <w:rPr>
          <w:i/>
          <w:sz w:val="24"/>
        </w:rPr>
        <w:t>Qualified</w:t>
      </w:r>
      <w:r>
        <w:rPr>
          <w:i/>
          <w:spacing w:val="-7"/>
          <w:sz w:val="24"/>
        </w:rPr>
        <w:t xml:space="preserve"> </w:t>
      </w:r>
      <w:r>
        <w:rPr>
          <w:i/>
          <w:sz w:val="24"/>
        </w:rPr>
        <w:t>Health</w:t>
      </w:r>
      <w:r>
        <w:rPr>
          <w:i/>
          <w:spacing w:val="-4"/>
          <w:sz w:val="24"/>
        </w:rPr>
        <w:t xml:space="preserve"> </w:t>
      </w:r>
      <w:r>
        <w:rPr>
          <w:i/>
          <w:sz w:val="24"/>
        </w:rPr>
        <w:t>Plan</w:t>
      </w:r>
      <w:r>
        <w:rPr>
          <w:i/>
          <w:spacing w:val="-4"/>
          <w:sz w:val="24"/>
        </w:rPr>
        <w:t xml:space="preserve"> </w:t>
      </w:r>
      <w:r>
        <w:rPr>
          <w:i/>
          <w:sz w:val="24"/>
        </w:rPr>
        <w:t>Enrollee</w:t>
      </w:r>
      <w:r>
        <w:rPr>
          <w:i/>
          <w:spacing w:val="-5"/>
          <w:sz w:val="24"/>
        </w:rPr>
        <w:t xml:space="preserve"> </w:t>
      </w:r>
      <w:r>
        <w:rPr>
          <w:i/>
          <w:sz w:val="24"/>
        </w:rPr>
        <w:t>Experience Survey (QHP Enrollee Survey)</w:t>
      </w:r>
    </w:p>
    <w:p w:rsidR="00B41E06" w14:paraId="309748BD" w14:textId="77777777">
      <w:pPr>
        <w:pStyle w:val="BodyText"/>
        <w:ind w:left="360" w:right="365"/>
      </w:pPr>
      <w:r>
        <w:t>The estimated annual hour and cost burden for an issuer to collect, validate, and submit data for the QHP Enrollee Survey includes contracting with an HHS-approved QHP Enrollee Survey vendor, contracting with an auditor, generating the sampling frame data, reviewing survey materials,</w:t>
      </w:r>
      <w:r>
        <w:rPr>
          <w:spacing w:val="-3"/>
        </w:rPr>
        <w:t xml:space="preserve"> </w:t>
      </w:r>
      <w:r>
        <w:t>authorizing</w:t>
      </w:r>
      <w:r>
        <w:rPr>
          <w:spacing w:val="-3"/>
        </w:rPr>
        <w:t xml:space="preserve"> </w:t>
      </w:r>
      <w:r>
        <w:t>its</w:t>
      </w:r>
      <w:r>
        <w:rPr>
          <w:spacing w:val="-3"/>
        </w:rPr>
        <w:t xml:space="preserve"> </w:t>
      </w:r>
      <w:r>
        <w:t>contracted</w:t>
      </w:r>
      <w:r>
        <w:rPr>
          <w:spacing w:val="-3"/>
        </w:rPr>
        <w:t xml:space="preserve"> </w:t>
      </w:r>
      <w:r>
        <w:t>survey</w:t>
      </w:r>
      <w:r>
        <w:rPr>
          <w:spacing w:val="-3"/>
        </w:rPr>
        <w:t xml:space="preserve"> </w:t>
      </w:r>
      <w:r>
        <w:t>vendor,</w:t>
      </w:r>
      <w:r>
        <w:rPr>
          <w:spacing w:val="-3"/>
        </w:rPr>
        <w:t xml:space="preserve"> </w:t>
      </w:r>
      <w:r>
        <w:t>and</w:t>
      </w:r>
      <w:r>
        <w:rPr>
          <w:spacing w:val="-3"/>
        </w:rPr>
        <w:t xml:space="preserve"> </w:t>
      </w:r>
      <w:r>
        <w:t>signing</w:t>
      </w:r>
      <w:r>
        <w:rPr>
          <w:spacing w:val="-3"/>
        </w:rPr>
        <w:t xml:space="preserve"> </w:t>
      </w:r>
      <w:r>
        <w:t>off</w:t>
      </w:r>
      <w:r>
        <w:rPr>
          <w:spacing w:val="-4"/>
        </w:rPr>
        <w:t xml:space="preserve"> </w:t>
      </w:r>
      <w:r>
        <w:t>on</w:t>
      </w:r>
      <w:r>
        <w:rPr>
          <w:spacing w:val="-3"/>
        </w:rPr>
        <w:t xml:space="preserve"> </w:t>
      </w:r>
      <w:r>
        <w:t>the</w:t>
      </w:r>
      <w:r>
        <w:rPr>
          <w:spacing w:val="-4"/>
        </w:rPr>
        <w:t xml:space="preserve"> </w:t>
      </w:r>
      <w:r>
        <w:t>sampling</w:t>
      </w:r>
      <w:r>
        <w:rPr>
          <w:spacing w:val="-3"/>
        </w:rPr>
        <w:t xml:space="preserve"> </w:t>
      </w:r>
      <w:r>
        <w:t>frame</w:t>
      </w:r>
      <w:r>
        <w:rPr>
          <w:spacing w:val="-4"/>
        </w:rPr>
        <w:t xml:space="preserve"> </w:t>
      </w:r>
      <w:r>
        <w:t>data</w:t>
      </w:r>
      <w:r>
        <w:rPr>
          <w:spacing w:val="-4"/>
        </w:rPr>
        <w:t xml:space="preserve"> </w:t>
      </w:r>
      <w:r>
        <w:t>to be submitted to HHS.</w:t>
      </w:r>
    </w:p>
    <w:p w:rsidR="00B41E06" w14:paraId="36CE5A7F" w14:textId="77777777">
      <w:pPr>
        <w:spacing w:before="120"/>
        <w:ind w:left="360" w:right="409"/>
        <w:rPr>
          <w:b/>
          <w:sz w:val="24"/>
        </w:rPr>
      </w:pPr>
      <w:r>
        <w:rPr>
          <w:sz w:val="24"/>
        </w:rPr>
        <w:t>The</w:t>
      </w:r>
      <w:r>
        <w:rPr>
          <w:spacing w:val="-4"/>
          <w:sz w:val="24"/>
        </w:rPr>
        <w:t xml:space="preserve"> </w:t>
      </w:r>
      <w:r>
        <w:rPr>
          <w:sz w:val="24"/>
        </w:rPr>
        <w:t>QHP</w:t>
      </w:r>
      <w:r>
        <w:rPr>
          <w:spacing w:val="-3"/>
          <w:sz w:val="24"/>
        </w:rPr>
        <w:t xml:space="preserve"> </w:t>
      </w:r>
      <w:r>
        <w:rPr>
          <w:sz w:val="24"/>
        </w:rPr>
        <w:t>Enrollee</w:t>
      </w:r>
      <w:r>
        <w:rPr>
          <w:spacing w:val="-4"/>
          <w:sz w:val="24"/>
        </w:rPr>
        <w:t xml:space="preserve"> </w:t>
      </w:r>
      <w:r>
        <w:rPr>
          <w:sz w:val="24"/>
        </w:rPr>
        <w:t>Survey</w:t>
      </w:r>
      <w:r>
        <w:rPr>
          <w:spacing w:val="-3"/>
          <w:sz w:val="24"/>
        </w:rPr>
        <w:t xml:space="preserve"> </w:t>
      </w:r>
      <w:r>
        <w:rPr>
          <w:sz w:val="24"/>
        </w:rPr>
        <w:t>is</w:t>
      </w:r>
      <w:r>
        <w:rPr>
          <w:spacing w:val="-3"/>
          <w:sz w:val="24"/>
        </w:rPr>
        <w:t xml:space="preserve"> </w:t>
      </w:r>
      <w:r>
        <w:rPr>
          <w:sz w:val="24"/>
        </w:rPr>
        <w:t>largely</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Consumer</w:t>
      </w:r>
      <w:r>
        <w:rPr>
          <w:spacing w:val="-4"/>
          <w:sz w:val="24"/>
        </w:rPr>
        <w:t xml:space="preserve"> </w:t>
      </w:r>
      <w:r>
        <w:rPr>
          <w:sz w:val="24"/>
        </w:rPr>
        <w:t>Assessment</w:t>
      </w:r>
      <w:r>
        <w:rPr>
          <w:spacing w:val="-3"/>
          <w:sz w:val="24"/>
        </w:rPr>
        <w:t xml:space="preserve"> </w:t>
      </w:r>
      <w:r>
        <w:rPr>
          <w:sz w:val="24"/>
        </w:rPr>
        <w:t>of</w:t>
      </w:r>
      <w:r>
        <w:rPr>
          <w:spacing w:val="-2"/>
          <w:sz w:val="24"/>
        </w:rPr>
        <w:t xml:space="preserve"> </w:t>
      </w:r>
      <w:r>
        <w:rPr>
          <w:sz w:val="24"/>
        </w:rPr>
        <w:t>Healthcare</w:t>
      </w:r>
      <w:r>
        <w:rPr>
          <w:spacing w:val="-4"/>
          <w:sz w:val="24"/>
        </w:rPr>
        <w:t xml:space="preserve"> </w:t>
      </w:r>
      <w:r>
        <w:rPr>
          <w:sz w:val="24"/>
        </w:rPr>
        <w:t>Providers and Systems (CAHPS</w:t>
      </w:r>
      <w:r>
        <w:rPr>
          <w:sz w:val="24"/>
          <w:vertAlign w:val="superscript"/>
        </w:rPr>
        <w:t>®</w:t>
      </w:r>
      <w:r>
        <w:rPr>
          <w:sz w:val="24"/>
        </w:rPr>
        <w:t xml:space="preserve">) 5.0 Health Plan Survey, which the majority of issuers already have experience with. Therefore, the burden estimates are similar to established CAHPS survey estimates for health plans, such as those approved under OMB Control Number 0938-0732 (Medicare CAHPS surveys). </w:t>
      </w:r>
      <w:r>
        <w:rPr>
          <w:b/>
          <w:sz w:val="24"/>
        </w:rPr>
        <w:t xml:space="preserve">It is estimated that an issuer takes an average of 50 hours a year for the QHP Enrollee Survey. For the estimated 380 QHP issuers, the total annual burden is 15,000 hours. As summarized in </w:t>
      </w:r>
      <w:hyperlink w:anchor="_bookmark4" w:history="1">
        <w:r>
          <w:rPr>
            <w:b/>
            <w:sz w:val="24"/>
          </w:rPr>
          <w:t>Exhibit 4</w:t>
        </w:r>
      </w:hyperlink>
      <w:r>
        <w:rPr>
          <w:b/>
          <w:sz w:val="24"/>
        </w:rPr>
        <w:t>, it is estimated that it costs an issuer</w:t>
      </w:r>
    </w:p>
    <w:p w:rsidR="00B41E06" w14:paraId="257279D4" w14:textId="77777777">
      <w:pPr>
        <w:pStyle w:val="Heading1"/>
        <w:spacing w:before="0"/>
        <w:ind w:left="360" w:firstLine="0"/>
        <w:rPr>
          <w:b w:val="0"/>
        </w:rPr>
      </w:pPr>
      <w:r>
        <w:rPr>
          <w:b w:val="0"/>
          <w:noProof/>
        </w:rPr>
        <mc:AlternateContent>
          <mc:Choice Requires="wps">
            <w:drawing>
              <wp:anchor distT="0" distB="0" distL="0" distR="0" simplePos="0" relativeHeight="251668480" behindDoc="1" locked="0" layoutInCell="1" allowOverlap="1">
                <wp:simplePos x="0" y="0"/>
                <wp:positionH relativeFrom="page">
                  <wp:posOffset>5548884</wp:posOffset>
                </wp:positionH>
                <wp:positionV relativeFrom="paragraph">
                  <wp:posOffset>130810</wp:posOffset>
                </wp:positionV>
                <wp:extent cx="19685" cy="14604"/>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85" cy="14604"/>
                        </a:xfrm>
                        <a:prstGeom prst="rect">
                          <a:avLst/>
                        </a:prstGeom>
                      </wps:spPr>
                      <wps:txbx>
                        <w:txbxContent>
                          <w:p w:rsidR="00B41E06" w14:textId="77777777">
                            <w:pPr>
                              <w:spacing w:line="23" w:lineRule="exact"/>
                              <w:rPr>
                                <w:rFonts w:ascii="Cambria"/>
                                <w:sz w:val="2"/>
                              </w:rPr>
                            </w:pPr>
                            <w:r>
                              <w:rPr>
                                <w:rFonts w:ascii="Cambria"/>
                                <w:spacing w:val="-5"/>
                                <w:sz w:val="2"/>
                              </w:rPr>
                              <w:t>14F</w:t>
                            </w:r>
                          </w:p>
                        </w:txbxContent>
                      </wps:txbx>
                      <wps:bodyPr wrap="square" lIns="0" tIns="0" rIns="0" bIns="0" rtlCol="0"/>
                    </wps:wsp>
                  </a:graphicData>
                </a:graphic>
              </wp:anchor>
            </w:drawing>
          </mc:Choice>
          <mc:Fallback>
            <w:pict>
              <v:shape id="Textbox 13" o:spid="_x0000_s1036" type="#_x0000_t202" style="width:1.55pt;height:1.15pt;margin-top:10.3pt;margin-left:436.9pt;mso-position-horizontal-relative:page;mso-wrap-distance-bottom:0;mso-wrap-distance-left:0;mso-wrap-distance-right:0;mso-wrap-distance-top:0;mso-wrap-style:square;position:absolute;visibility:visible;v-text-anchor:top;z-index:-251646976" filled="f" stroked="f">
                <v:textbox inset="0,0,0,0">
                  <w:txbxContent>
                    <w:p w:rsidR="00B41E06" w14:paraId="05BC4771" w14:textId="77777777">
                      <w:pPr>
                        <w:spacing w:line="23" w:lineRule="exact"/>
                        <w:rPr>
                          <w:rFonts w:ascii="Cambria"/>
                          <w:sz w:val="2"/>
                        </w:rPr>
                      </w:pPr>
                      <w:r>
                        <w:rPr>
                          <w:rFonts w:ascii="Cambria"/>
                          <w:spacing w:val="-5"/>
                          <w:sz w:val="2"/>
                        </w:rPr>
                        <w:t>14F</w:t>
                      </w:r>
                    </w:p>
                  </w:txbxContent>
                </v:textbox>
              </v:shape>
            </w:pict>
          </mc:Fallback>
        </mc:AlternateContent>
      </w:r>
      <w:r>
        <w:t>$4,286.50</w:t>
      </w:r>
      <w:r>
        <w:rPr>
          <w:spacing w:val="-4"/>
        </w:rPr>
        <w:t xml:space="preserve"> </w:t>
      </w:r>
      <w:r>
        <w:t>each</w:t>
      </w:r>
      <w:r>
        <w:rPr>
          <w:spacing w:val="-1"/>
        </w:rPr>
        <w:t xml:space="preserve"> </w:t>
      </w:r>
      <w:r>
        <w:t>year for a</w:t>
      </w:r>
      <w:r>
        <w:rPr>
          <w:spacing w:val="-1"/>
        </w:rPr>
        <w:t xml:space="preserve"> </w:t>
      </w:r>
      <w:r>
        <w:t>total</w:t>
      </w:r>
      <w:r>
        <w:rPr>
          <w:spacing w:val="-1"/>
        </w:rPr>
        <w:t xml:space="preserve"> </w:t>
      </w:r>
      <w:r>
        <w:t>annual</w:t>
      </w:r>
      <w:r>
        <w:rPr>
          <w:spacing w:val="-1"/>
        </w:rPr>
        <w:t xml:space="preserve"> </w:t>
      </w:r>
      <w:r>
        <w:t>cost</w:t>
      </w:r>
      <w:r>
        <w:rPr>
          <w:spacing w:val="-2"/>
        </w:rPr>
        <w:t xml:space="preserve"> </w:t>
      </w:r>
      <w:r>
        <w:t>of</w:t>
      </w:r>
      <w:r>
        <w:rPr>
          <w:spacing w:val="-2"/>
        </w:rPr>
        <w:t xml:space="preserve"> </w:t>
      </w:r>
      <w:r>
        <w:t>$1,628,870</w:t>
      </w:r>
      <w:r>
        <w:rPr>
          <w:spacing w:val="-1"/>
        </w:rPr>
        <w:t xml:space="preserve"> </w:t>
      </w:r>
      <w:r>
        <w:t>for</w:t>
      </w:r>
      <w:r>
        <w:rPr>
          <w:spacing w:val="-2"/>
        </w:rPr>
        <w:t xml:space="preserve"> </w:t>
      </w:r>
      <w:r>
        <w:t>380 issuers.</w:t>
      </w:r>
      <w:r>
        <w:rPr>
          <w:spacing w:val="-27"/>
        </w:rPr>
        <w:t xml:space="preserve"> </w:t>
      </w:r>
      <w:r>
        <w:rPr>
          <w:b w:val="0"/>
          <w:spacing w:val="-5"/>
          <w:vertAlign w:val="superscript"/>
        </w:rPr>
        <w:t>15</w:t>
      </w:r>
    </w:p>
    <w:p w:rsidR="00B41E06" w14:paraId="33B87CA1" w14:textId="77777777">
      <w:pPr>
        <w:pStyle w:val="BodyText"/>
        <w:spacing w:before="0"/>
        <w:rPr>
          <w:sz w:val="20"/>
        </w:rPr>
      </w:pPr>
    </w:p>
    <w:p w:rsidR="00B41E06" w14:paraId="4791F252" w14:textId="77777777">
      <w:pPr>
        <w:pStyle w:val="BodyText"/>
        <w:spacing w:before="0"/>
        <w:rPr>
          <w:sz w:val="20"/>
        </w:rPr>
      </w:pPr>
    </w:p>
    <w:p w:rsidR="00B41E06" w14:paraId="450A18B8" w14:textId="77777777">
      <w:pPr>
        <w:pStyle w:val="BodyText"/>
        <w:spacing w:before="0"/>
        <w:rPr>
          <w:sz w:val="20"/>
        </w:rPr>
      </w:pPr>
    </w:p>
    <w:p w:rsidR="00B41E06" w14:paraId="2F631805" w14:textId="77777777">
      <w:pPr>
        <w:pStyle w:val="BodyText"/>
        <w:spacing w:before="0"/>
        <w:rPr>
          <w:sz w:val="20"/>
        </w:rPr>
      </w:pPr>
    </w:p>
    <w:p w:rsidR="00B41E06" w14:paraId="079D551B" w14:textId="77777777">
      <w:pPr>
        <w:pStyle w:val="BodyText"/>
        <w:spacing w:before="0"/>
        <w:rPr>
          <w:sz w:val="20"/>
        </w:rPr>
      </w:pPr>
    </w:p>
    <w:p w:rsidR="00B41E06" w14:paraId="39D6A5C1" w14:textId="77777777">
      <w:pPr>
        <w:pStyle w:val="BodyText"/>
        <w:spacing w:before="0"/>
        <w:rPr>
          <w:sz w:val="20"/>
        </w:rPr>
      </w:pPr>
    </w:p>
    <w:p w:rsidR="00B41E06" w14:paraId="7AA1B8BF" w14:textId="77777777">
      <w:pPr>
        <w:pStyle w:val="BodyText"/>
        <w:spacing w:before="73"/>
        <w:rPr>
          <w:sz w:val="20"/>
        </w:rPr>
      </w:pPr>
      <w:r>
        <w:rPr>
          <w:noProof/>
          <w:sz w:val="20"/>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208016</wp:posOffset>
                </wp:positionV>
                <wp:extent cx="1828800" cy="762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 o:spid="_x0000_s1037" style="width:2in;height:0.6pt;margin-top:16.4pt;margin-left:1in;mso-position-horizontal-relative:page;mso-wrap-distance-bottom:0;mso-wrap-distance-left:0;mso-wrap-distance-right:0;mso-wrap-distance-top:0;mso-wrap-style:square;position:absolute;visibility:visible;v-text-anchor:top;z-index:-251630592" coordsize="1828800,7620" path="m1828800,l,,,7620l1828800,7620l1828800,xe" fillcolor="black" stroked="f">
                <v:path arrowok="t"/>
                <w10:wrap type="topAndBottom"/>
              </v:shape>
            </w:pict>
          </mc:Fallback>
        </mc:AlternateContent>
      </w:r>
    </w:p>
    <w:p w:rsidR="00B41E06" w14:paraId="29397D36" w14:textId="77777777">
      <w:pPr>
        <w:spacing w:before="183"/>
        <w:ind w:left="359" w:right="427"/>
        <w:rPr>
          <w:sz w:val="20"/>
        </w:rPr>
      </w:pPr>
      <w:r>
        <w:rPr>
          <w:sz w:val="20"/>
          <w:vertAlign w:val="superscript"/>
        </w:rPr>
        <w:t>13</w:t>
      </w:r>
      <w:r>
        <w:rPr>
          <w:spacing w:val="-3"/>
          <w:sz w:val="20"/>
        </w:rPr>
        <w:t xml:space="preserve"> </w:t>
      </w:r>
      <w:r>
        <w:rPr>
          <w:sz w:val="20"/>
        </w:rPr>
        <w:t>The</w:t>
      </w:r>
      <w:r>
        <w:rPr>
          <w:spacing w:val="-3"/>
          <w:sz w:val="20"/>
        </w:rPr>
        <w:t xml:space="preserve"> </w:t>
      </w:r>
      <w:r>
        <w:rPr>
          <w:sz w:val="20"/>
        </w:rPr>
        <w:t>total</w:t>
      </w:r>
      <w:r>
        <w:rPr>
          <w:spacing w:val="-3"/>
          <w:sz w:val="20"/>
        </w:rPr>
        <w:t xml:space="preserve"> </w:t>
      </w:r>
      <w:r>
        <w:rPr>
          <w:sz w:val="20"/>
        </w:rPr>
        <w:t>hours</w:t>
      </w:r>
      <w:r>
        <w:rPr>
          <w:spacing w:val="-4"/>
          <w:sz w:val="20"/>
        </w:rPr>
        <w:t xml:space="preserve"> </w:t>
      </w:r>
      <w:r>
        <w:rPr>
          <w:sz w:val="20"/>
        </w:rPr>
        <w:t>estimate</w:t>
      </w:r>
      <w:r>
        <w:rPr>
          <w:spacing w:val="-3"/>
          <w:sz w:val="20"/>
        </w:rPr>
        <w:t xml:space="preserve"> </w:t>
      </w:r>
      <w:r>
        <w:rPr>
          <w:sz w:val="20"/>
        </w:rPr>
        <w:t>for</w:t>
      </w:r>
      <w:r>
        <w:rPr>
          <w:spacing w:val="-2"/>
          <w:sz w:val="20"/>
        </w:rPr>
        <w:t xml:space="preserve"> </w:t>
      </w:r>
      <w:r>
        <w:rPr>
          <w:sz w:val="20"/>
        </w:rPr>
        <w:t>registered</w:t>
      </w:r>
      <w:r>
        <w:rPr>
          <w:spacing w:val="-2"/>
          <w:sz w:val="20"/>
        </w:rPr>
        <w:t xml:space="preserve"> </w:t>
      </w:r>
      <w:r>
        <w:rPr>
          <w:sz w:val="20"/>
        </w:rPr>
        <w:t>nurses</w:t>
      </w:r>
      <w:r>
        <w:rPr>
          <w:spacing w:val="-4"/>
          <w:sz w:val="20"/>
        </w:rPr>
        <w:t xml:space="preserve"> </w:t>
      </w:r>
      <w:r>
        <w:rPr>
          <w:sz w:val="20"/>
        </w:rPr>
        <w:t>was</w:t>
      </w:r>
      <w:r>
        <w:rPr>
          <w:spacing w:val="-4"/>
          <w:sz w:val="20"/>
        </w:rPr>
        <w:t xml:space="preserve"> </w:t>
      </w:r>
      <w:r>
        <w:rPr>
          <w:sz w:val="20"/>
        </w:rPr>
        <w:t>calculated</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assumption</w:t>
      </w:r>
      <w:r>
        <w:rPr>
          <w:spacing w:val="-4"/>
          <w:sz w:val="20"/>
        </w:rPr>
        <w:t xml:space="preserve"> </w:t>
      </w:r>
      <w:r>
        <w:rPr>
          <w:sz w:val="20"/>
        </w:rPr>
        <w:t>that,</w:t>
      </w:r>
      <w:r>
        <w:rPr>
          <w:spacing w:val="-2"/>
          <w:sz w:val="20"/>
        </w:rPr>
        <w:t xml:space="preserve"> </w:t>
      </w:r>
      <w:r>
        <w:rPr>
          <w:sz w:val="20"/>
        </w:rPr>
        <w:t>collectively,</w:t>
      </w:r>
      <w:r>
        <w:rPr>
          <w:spacing w:val="-2"/>
          <w:sz w:val="20"/>
        </w:rPr>
        <w:t xml:space="preserve"> </w:t>
      </w:r>
      <w:r>
        <w:rPr>
          <w:sz w:val="20"/>
        </w:rPr>
        <w:t xml:space="preserve">QHP issuers will elect to submit hybrid measures via the hybrid method for approximately 50% of the applicable </w:t>
      </w:r>
      <w:r>
        <w:rPr>
          <w:spacing w:val="-2"/>
          <w:sz w:val="20"/>
        </w:rPr>
        <w:t>measures.</w:t>
      </w:r>
    </w:p>
    <w:p w:rsidR="00B41E06" w14:paraId="1D8543FB" w14:textId="77777777">
      <w:pPr>
        <w:spacing w:before="118"/>
        <w:ind w:left="359" w:right="365"/>
        <w:rPr>
          <w:sz w:val="20"/>
        </w:rPr>
      </w:pPr>
      <w:r>
        <w:rPr>
          <w:sz w:val="20"/>
          <w:vertAlign w:val="superscript"/>
        </w:rPr>
        <w:t>14</w:t>
      </w:r>
      <w:r>
        <w:rPr>
          <w:spacing w:val="-3"/>
          <w:sz w:val="20"/>
        </w:rPr>
        <w:t xml:space="preserve"> </w:t>
      </w:r>
      <w:r>
        <w:rPr>
          <w:sz w:val="20"/>
        </w:rPr>
        <w:t>The</w:t>
      </w:r>
      <w:r>
        <w:rPr>
          <w:spacing w:val="-3"/>
          <w:sz w:val="20"/>
        </w:rPr>
        <w:t xml:space="preserve"> </w:t>
      </w:r>
      <w:r>
        <w:rPr>
          <w:sz w:val="20"/>
        </w:rPr>
        <w:t>total</w:t>
      </w:r>
      <w:r>
        <w:rPr>
          <w:spacing w:val="-3"/>
          <w:sz w:val="20"/>
        </w:rPr>
        <w:t xml:space="preserve"> </w:t>
      </w:r>
      <w:r>
        <w:rPr>
          <w:sz w:val="20"/>
        </w:rPr>
        <w:t>hours</w:t>
      </w:r>
      <w:r>
        <w:rPr>
          <w:spacing w:val="-3"/>
          <w:sz w:val="20"/>
        </w:rPr>
        <w:t xml:space="preserve"> </w:t>
      </w:r>
      <w:r>
        <w:rPr>
          <w:sz w:val="20"/>
        </w:rPr>
        <w:t>estimate</w:t>
      </w:r>
      <w:r>
        <w:rPr>
          <w:spacing w:val="-3"/>
          <w:sz w:val="20"/>
        </w:rPr>
        <w:t xml:space="preserve"> </w:t>
      </w:r>
      <w:r>
        <w:rPr>
          <w:sz w:val="20"/>
        </w:rPr>
        <w:t>for</w:t>
      </w:r>
      <w:r>
        <w:rPr>
          <w:spacing w:val="-4"/>
          <w:sz w:val="20"/>
        </w:rPr>
        <w:t xml:space="preserve"> </w:t>
      </w:r>
      <w:r>
        <w:rPr>
          <w:sz w:val="20"/>
        </w:rPr>
        <w:t>medical</w:t>
      </w:r>
      <w:r>
        <w:rPr>
          <w:spacing w:val="-3"/>
          <w:sz w:val="20"/>
        </w:rPr>
        <w:t xml:space="preserve"> </w:t>
      </w:r>
      <w:r>
        <w:rPr>
          <w:sz w:val="20"/>
        </w:rPr>
        <w:t>records</w:t>
      </w:r>
      <w:r>
        <w:rPr>
          <w:spacing w:val="-3"/>
          <w:sz w:val="20"/>
        </w:rPr>
        <w:t xml:space="preserve"> </w:t>
      </w:r>
      <w:r>
        <w:rPr>
          <w:sz w:val="20"/>
        </w:rPr>
        <w:t>and</w:t>
      </w:r>
      <w:r>
        <w:rPr>
          <w:spacing w:val="-2"/>
          <w:sz w:val="20"/>
        </w:rPr>
        <w:t xml:space="preserve"> </w:t>
      </w:r>
      <w:r>
        <w:rPr>
          <w:sz w:val="20"/>
        </w:rPr>
        <w:t>health</w:t>
      </w:r>
      <w:r>
        <w:rPr>
          <w:spacing w:val="-2"/>
          <w:sz w:val="20"/>
        </w:rPr>
        <w:t xml:space="preserve"> </w:t>
      </w:r>
      <w:r>
        <w:rPr>
          <w:sz w:val="20"/>
        </w:rPr>
        <w:t>information</w:t>
      </w:r>
      <w:r>
        <w:rPr>
          <w:spacing w:val="-2"/>
          <w:sz w:val="20"/>
        </w:rPr>
        <w:t xml:space="preserve"> </w:t>
      </w:r>
      <w:r>
        <w:rPr>
          <w:sz w:val="20"/>
        </w:rPr>
        <w:t>analysts</w:t>
      </w:r>
      <w:r>
        <w:rPr>
          <w:spacing w:val="-3"/>
          <w:sz w:val="20"/>
        </w:rPr>
        <w:t xml:space="preserve"> </w:t>
      </w:r>
      <w:r>
        <w:rPr>
          <w:sz w:val="20"/>
        </w:rPr>
        <w:t>was</w:t>
      </w:r>
      <w:r>
        <w:rPr>
          <w:spacing w:val="-3"/>
          <w:sz w:val="20"/>
        </w:rPr>
        <w:t xml:space="preserve"> </w:t>
      </w:r>
      <w:r>
        <w:rPr>
          <w:sz w:val="20"/>
        </w:rPr>
        <w:t>calculated</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the assumption that, collectively, QHP issuers will elect to submit hybrid measures via the hybrid method for approximately 50% of the applicable measures.</w:t>
      </w:r>
    </w:p>
    <w:p w:rsidR="00B41E06" w14:paraId="1C8DB2FA" w14:textId="77777777">
      <w:pPr>
        <w:spacing w:before="42"/>
        <w:ind w:left="360"/>
        <w:rPr>
          <w:sz w:val="20"/>
        </w:rPr>
      </w:pPr>
      <w:r>
        <w:rPr>
          <w:sz w:val="20"/>
          <w:vertAlign w:val="superscript"/>
        </w:rPr>
        <w:t>15</w:t>
      </w:r>
      <w:r>
        <w:rPr>
          <w:spacing w:val="-4"/>
          <w:sz w:val="20"/>
        </w:rPr>
        <w:t xml:space="preserve"> </w:t>
      </w:r>
      <w:r>
        <w:rPr>
          <w:sz w:val="20"/>
        </w:rPr>
        <w:t>100%</w:t>
      </w:r>
      <w:r>
        <w:rPr>
          <w:spacing w:val="-4"/>
          <w:sz w:val="20"/>
        </w:rPr>
        <w:t xml:space="preserve"> </w:t>
      </w:r>
      <w:r>
        <w:rPr>
          <w:sz w:val="20"/>
        </w:rPr>
        <w:t>overhead</w:t>
      </w:r>
      <w:r>
        <w:rPr>
          <w:spacing w:val="-5"/>
          <w:sz w:val="20"/>
        </w:rPr>
        <w:t xml:space="preserve"> </w:t>
      </w:r>
      <w:r>
        <w:rPr>
          <w:sz w:val="20"/>
        </w:rPr>
        <w:t>and</w:t>
      </w:r>
      <w:r>
        <w:rPr>
          <w:spacing w:val="-5"/>
          <w:sz w:val="20"/>
        </w:rPr>
        <w:t xml:space="preserve"> </w:t>
      </w:r>
      <w:r>
        <w:rPr>
          <w:sz w:val="20"/>
        </w:rPr>
        <w:t>fringe</w:t>
      </w:r>
      <w:r>
        <w:rPr>
          <w:spacing w:val="-4"/>
          <w:sz w:val="20"/>
        </w:rPr>
        <w:t xml:space="preserve"> </w:t>
      </w:r>
      <w:r>
        <w:rPr>
          <w:sz w:val="20"/>
        </w:rPr>
        <w:t>benefit</w:t>
      </w:r>
      <w:r>
        <w:rPr>
          <w:spacing w:val="-4"/>
          <w:sz w:val="20"/>
        </w:rPr>
        <w:t xml:space="preserve"> </w:t>
      </w:r>
      <w:r>
        <w:rPr>
          <w:sz w:val="20"/>
        </w:rPr>
        <w:t>rate</w:t>
      </w:r>
      <w:r>
        <w:rPr>
          <w:spacing w:val="-4"/>
          <w:sz w:val="20"/>
        </w:rPr>
        <w:t xml:space="preserve"> </w:t>
      </w:r>
      <w:r>
        <w:rPr>
          <w:sz w:val="20"/>
        </w:rPr>
        <w:t>is</w:t>
      </w:r>
      <w:r>
        <w:rPr>
          <w:spacing w:val="-5"/>
          <w:sz w:val="20"/>
        </w:rPr>
        <w:t xml:space="preserve"> </w:t>
      </w:r>
      <w:r>
        <w:rPr>
          <w:sz w:val="20"/>
        </w:rPr>
        <w:t>being</w:t>
      </w:r>
      <w:r>
        <w:rPr>
          <w:spacing w:val="-5"/>
          <w:sz w:val="20"/>
        </w:rPr>
        <w:t xml:space="preserve"> </w:t>
      </w:r>
      <w:r>
        <w:rPr>
          <w:spacing w:val="-4"/>
          <w:sz w:val="20"/>
        </w:rPr>
        <w:t>used.</w:t>
      </w:r>
    </w:p>
    <w:p w:rsidR="00B41E06" w14:paraId="0317DC8B" w14:textId="77777777">
      <w:pPr>
        <w:rPr>
          <w:sz w:val="20"/>
        </w:rPr>
        <w:sectPr>
          <w:pgSz w:w="12240" w:h="15840"/>
          <w:pgMar w:top="1360" w:right="1080" w:bottom="980" w:left="1080" w:header="0" w:footer="787" w:gutter="0"/>
          <w:cols w:space="720"/>
        </w:sectPr>
      </w:pPr>
    </w:p>
    <w:p w:rsidR="00B41E06" w14:paraId="45746B0E" w14:textId="77777777">
      <w:pPr>
        <w:pStyle w:val="Heading1"/>
        <w:spacing w:before="80" w:after="56"/>
        <w:ind w:left="360" w:firstLine="0"/>
        <w:rPr>
          <w:rFonts w:ascii="Arial Narrow"/>
        </w:rPr>
      </w:pPr>
      <w:bookmarkStart w:id="21" w:name="_bookmark4"/>
      <w:bookmarkEnd w:id="21"/>
      <w:r>
        <w:rPr>
          <w:rFonts w:ascii="Arial Narrow"/>
        </w:rPr>
        <w:t>Exhibit</w:t>
      </w:r>
      <w:r>
        <w:rPr>
          <w:rFonts w:ascii="Arial Narrow"/>
          <w:spacing w:val="-11"/>
        </w:rPr>
        <w:t xml:space="preserve"> </w:t>
      </w:r>
      <w:r>
        <w:rPr>
          <w:rFonts w:ascii="Arial Narrow"/>
        </w:rPr>
        <w:t>4.</w:t>
      </w:r>
      <w:r>
        <w:rPr>
          <w:rFonts w:ascii="Arial Narrow"/>
          <w:spacing w:val="-7"/>
        </w:rPr>
        <w:t xml:space="preserve"> </w:t>
      </w:r>
      <w:r>
        <w:rPr>
          <w:rFonts w:ascii="Arial Narrow"/>
        </w:rPr>
        <w:t>Annual</w:t>
      </w:r>
      <w:r>
        <w:rPr>
          <w:rFonts w:ascii="Arial Narrow"/>
          <w:spacing w:val="-8"/>
        </w:rPr>
        <w:t xml:space="preserve"> </w:t>
      </w:r>
      <w:r>
        <w:rPr>
          <w:rFonts w:ascii="Arial Narrow"/>
        </w:rPr>
        <w:t>Estimated</w:t>
      </w:r>
      <w:r>
        <w:rPr>
          <w:rFonts w:ascii="Arial Narrow"/>
          <w:spacing w:val="-6"/>
        </w:rPr>
        <w:t xml:space="preserve"> </w:t>
      </w:r>
      <w:r>
        <w:rPr>
          <w:rFonts w:ascii="Arial Narrow"/>
        </w:rPr>
        <w:t>Hour</w:t>
      </w:r>
      <w:r>
        <w:rPr>
          <w:rFonts w:ascii="Arial Narrow"/>
          <w:spacing w:val="-11"/>
        </w:rPr>
        <w:t xml:space="preserve"> </w:t>
      </w:r>
      <w:r>
        <w:rPr>
          <w:rFonts w:ascii="Arial Narrow"/>
        </w:rPr>
        <w:t>and</w:t>
      </w:r>
      <w:r>
        <w:rPr>
          <w:rFonts w:ascii="Arial Narrow"/>
          <w:spacing w:val="-9"/>
        </w:rPr>
        <w:t xml:space="preserve"> </w:t>
      </w:r>
      <w:r>
        <w:rPr>
          <w:rFonts w:ascii="Arial Narrow"/>
        </w:rPr>
        <w:t>Cost</w:t>
      </w:r>
      <w:r>
        <w:rPr>
          <w:rFonts w:ascii="Arial Narrow"/>
          <w:spacing w:val="-9"/>
        </w:rPr>
        <w:t xml:space="preserve"> </w:t>
      </w:r>
      <w:r>
        <w:rPr>
          <w:rFonts w:ascii="Arial Narrow"/>
        </w:rPr>
        <w:t>Burden</w:t>
      </w:r>
      <w:r>
        <w:rPr>
          <w:rFonts w:ascii="Arial Narrow"/>
          <w:spacing w:val="-6"/>
        </w:rPr>
        <w:t xml:space="preserve"> </w:t>
      </w:r>
      <w:r>
        <w:rPr>
          <w:rFonts w:ascii="Arial Narrow"/>
        </w:rPr>
        <w:t>for</w:t>
      </w:r>
      <w:r>
        <w:rPr>
          <w:rFonts w:ascii="Arial Narrow"/>
          <w:spacing w:val="-8"/>
        </w:rPr>
        <w:t xml:space="preserve"> </w:t>
      </w:r>
      <w:r>
        <w:rPr>
          <w:rFonts w:ascii="Arial Narrow"/>
        </w:rPr>
        <w:t>QHP</w:t>
      </w:r>
      <w:r>
        <w:rPr>
          <w:rFonts w:ascii="Arial Narrow"/>
          <w:spacing w:val="-9"/>
        </w:rPr>
        <w:t xml:space="preserve"> </w:t>
      </w:r>
      <w:r>
        <w:rPr>
          <w:rFonts w:ascii="Arial Narrow"/>
        </w:rPr>
        <w:t>Issuers</w:t>
      </w:r>
      <w:r>
        <w:rPr>
          <w:rFonts w:ascii="Arial Narrow"/>
          <w:spacing w:val="-7"/>
        </w:rPr>
        <w:t xml:space="preserve"> </w:t>
      </w:r>
      <w:r>
        <w:rPr>
          <w:rFonts w:ascii="Arial Narrow"/>
        </w:rPr>
        <w:t>for</w:t>
      </w:r>
      <w:r>
        <w:rPr>
          <w:rFonts w:ascii="Arial Narrow"/>
          <w:spacing w:val="-8"/>
        </w:rPr>
        <w:t xml:space="preserve"> </w:t>
      </w:r>
      <w:r>
        <w:rPr>
          <w:rFonts w:ascii="Arial Narrow"/>
        </w:rPr>
        <w:t>the</w:t>
      </w:r>
      <w:r>
        <w:rPr>
          <w:rFonts w:ascii="Arial Narrow"/>
          <w:spacing w:val="-7"/>
        </w:rPr>
        <w:t xml:space="preserve"> </w:t>
      </w:r>
      <w:r>
        <w:rPr>
          <w:rFonts w:ascii="Arial Narrow"/>
        </w:rPr>
        <w:t>QHP</w:t>
      </w:r>
      <w:r>
        <w:rPr>
          <w:rFonts w:ascii="Arial Narrow"/>
          <w:spacing w:val="-8"/>
        </w:rPr>
        <w:t xml:space="preserve"> </w:t>
      </w:r>
      <w:r>
        <w:rPr>
          <w:rFonts w:ascii="Arial Narrow"/>
        </w:rPr>
        <w:t>Enrollee</w:t>
      </w:r>
      <w:r>
        <w:rPr>
          <w:rFonts w:ascii="Arial Narrow"/>
          <w:spacing w:val="-7"/>
        </w:rPr>
        <w:t xml:space="preserve"> </w:t>
      </w:r>
      <w:r>
        <w:rPr>
          <w:rFonts w:ascii="Arial Narrow"/>
          <w:spacing w:val="-2"/>
        </w:rPr>
        <w:t>Survey</w:t>
      </w:r>
    </w:p>
    <w:tbl>
      <w:tblPr>
        <w:tblW w:w="0" w:type="auto"/>
        <w:tblInd w:w="380" w:type="dxa"/>
        <w:tblBorders>
          <w:top w:val="single" w:sz="8" w:space="0" w:color="002C5F"/>
          <w:left w:val="single" w:sz="8" w:space="0" w:color="002C5F"/>
          <w:bottom w:val="single" w:sz="8" w:space="0" w:color="002C5F"/>
          <w:right w:val="single" w:sz="8" w:space="0" w:color="002C5F"/>
          <w:insideH w:val="single" w:sz="8" w:space="0" w:color="002C5F"/>
          <w:insideV w:val="single" w:sz="8" w:space="0" w:color="002C5F"/>
        </w:tblBorders>
        <w:tblLayout w:type="fixed"/>
        <w:tblCellMar>
          <w:left w:w="0" w:type="dxa"/>
          <w:right w:w="0" w:type="dxa"/>
        </w:tblCellMar>
        <w:tblLook w:val="01E0"/>
      </w:tblPr>
      <w:tblGrid>
        <w:gridCol w:w="2150"/>
        <w:gridCol w:w="1351"/>
        <w:gridCol w:w="1080"/>
        <w:gridCol w:w="1260"/>
        <w:gridCol w:w="2160"/>
        <w:gridCol w:w="1358"/>
      </w:tblGrid>
      <w:tr w14:paraId="7C3DD43B" w14:textId="77777777">
        <w:tblPrEx>
          <w:tblW w:w="0" w:type="auto"/>
          <w:tblInd w:w="380" w:type="dxa"/>
          <w:tblBorders>
            <w:top w:val="single" w:sz="8" w:space="0" w:color="002C5F"/>
            <w:left w:val="single" w:sz="8" w:space="0" w:color="002C5F"/>
            <w:bottom w:val="single" w:sz="8" w:space="0" w:color="002C5F"/>
            <w:right w:val="single" w:sz="8" w:space="0" w:color="002C5F"/>
            <w:insideH w:val="single" w:sz="8" w:space="0" w:color="002C5F"/>
            <w:insideV w:val="single" w:sz="8" w:space="0" w:color="002C5F"/>
          </w:tblBorders>
          <w:tblLayout w:type="fixed"/>
          <w:tblCellMar>
            <w:left w:w="0" w:type="dxa"/>
            <w:right w:w="0" w:type="dxa"/>
          </w:tblCellMar>
          <w:tblLook w:val="01E0"/>
        </w:tblPrEx>
        <w:trPr>
          <w:trHeight w:val="1062"/>
        </w:trPr>
        <w:tc>
          <w:tcPr>
            <w:tcW w:w="2150" w:type="dxa"/>
            <w:tcBorders>
              <w:top w:val="nil"/>
              <w:bottom w:val="single" w:sz="4" w:space="0" w:color="000000"/>
              <w:right w:val="single" w:sz="8" w:space="0" w:color="FFFFFF"/>
            </w:tcBorders>
            <w:shd w:val="clear" w:color="auto" w:fill="002C5F"/>
          </w:tcPr>
          <w:p w:rsidR="00B41E06" w14:paraId="1E3BD886" w14:textId="77777777">
            <w:pPr>
              <w:pStyle w:val="TableParagraph"/>
              <w:rPr>
                <w:b/>
                <w:sz w:val="20"/>
              </w:rPr>
            </w:pPr>
          </w:p>
          <w:p w:rsidR="00B41E06" w14:paraId="78EE4E63" w14:textId="77777777">
            <w:pPr>
              <w:pStyle w:val="TableParagraph"/>
              <w:rPr>
                <w:b/>
                <w:sz w:val="20"/>
              </w:rPr>
            </w:pPr>
          </w:p>
          <w:p w:rsidR="00B41E06" w14:paraId="694237A1" w14:textId="77777777">
            <w:pPr>
              <w:pStyle w:val="TableParagraph"/>
              <w:spacing w:before="81"/>
              <w:rPr>
                <w:b/>
                <w:sz w:val="20"/>
              </w:rPr>
            </w:pPr>
          </w:p>
          <w:p w:rsidR="00B41E06" w14:paraId="2C5D0B82" w14:textId="77777777">
            <w:pPr>
              <w:pStyle w:val="TableParagraph"/>
              <w:ind w:left="107"/>
              <w:rPr>
                <w:b/>
                <w:sz w:val="20"/>
              </w:rPr>
            </w:pPr>
            <w:r>
              <w:rPr>
                <w:b/>
                <w:color w:val="FFFFFF"/>
                <w:sz w:val="20"/>
              </w:rPr>
              <w:t>Issuer</w:t>
            </w:r>
            <w:r>
              <w:rPr>
                <w:b/>
                <w:color w:val="FFFFFF"/>
                <w:spacing w:val="-3"/>
                <w:sz w:val="20"/>
              </w:rPr>
              <w:t xml:space="preserve"> </w:t>
            </w:r>
            <w:r>
              <w:rPr>
                <w:b/>
                <w:color w:val="FFFFFF"/>
                <w:spacing w:val="-2"/>
                <w:sz w:val="20"/>
              </w:rPr>
              <w:t>Activity</w:t>
            </w:r>
          </w:p>
        </w:tc>
        <w:tc>
          <w:tcPr>
            <w:tcW w:w="1351" w:type="dxa"/>
            <w:tcBorders>
              <w:top w:val="nil"/>
              <w:left w:val="single" w:sz="8" w:space="0" w:color="FFFFFF"/>
              <w:bottom w:val="single" w:sz="4" w:space="0" w:color="000000"/>
              <w:right w:val="single" w:sz="8" w:space="0" w:color="FFFFFF"/>
            </w:tcBorders>
            <w:shd w:val="clear" w:color="auto" w:fill="002C5F"/>
          </w:tcPr>
          <w:p w:rsidR="00B41E06" w14:paraId="088F42E9" w14:textId="77777777">
            <w:pPr>
              <w:pStyle w:val="TableParagraph"/>
              <w:rPr>
                <w:b/>
                <w:sz w:val="20"/>
              </w:rPr>
            </w:pPr>
          </w:p>
          <w:p w:rsidR="00B41E06" w14:paraId="7B069F76" w14:textId="77777777">
            <w:pPr>
              <w:pStyle w:val="TableParagraph"/>
              <w:spacing w:before="80"/>
              <w:rPr>
                <w:b/>
                <w:sz w:val="20"/>
              </w:rPr>
            </w:pPr>
          </w:p>
          <w:p w:rsidR="00B41E06" w14:paraId="48206242" w14:textId="77777777">
            <w:pPr>
              <w:pStyle w:val="TableParagraph"/>
              <w:ind w:left="108"/>
              <w:rPr>
                <w:b/>
                <w:sz w:val="20"/>
              </w:rPr>
            </w:pPr>
            <w:r>
              <w:rPr>
                <w:b/>
                <w:color w:val="FFFFFF"/>
                <w:sz w:val="20"/>
              </w:rPr>
              <w:t xml:space="preserve">Number of </w:t>
            </w:r>
            <w:r>
              <w:rPr>
                <w:b/>
                <w:color w:val="FFFFFF"/>
                <w:spacing w:val="-2"/>
                <w:sz w:val="20"/>
              </w:rPr>
              <w:t>Respondents</w:t>
            </w:r>
          </w:p>
        </w:tc>
        <w:tc>
          <w:tcPr>
            <w:tcW w:w="1080" w:type="dxa"/>
            <w:tcBorders>
              <w:top w:val="nil"/>
              <w:left w:val="single" w:sz="8" w:space="0" w:color="FFFFFF"/>
              <w:bottom w:val="single" w:sz="4" w:space="0" w:color="000000"/>
              <w:right w:val="nil"/>
            </w:tcBorders>
            <w:shd w:val="clear" w:color="auto" w:fill="002C5F"/>
          </w:tcPr>
          <w:p w:rsidR="00B41E06" w14:paraId="1D666980" w14:textId="77777777">
            <w:pPr>
              <w:pStyle w:val="TableParagraph"/>
              <w:rPr>
                <w:b/>
                <w:sz w:val="20"/>
              </w:rPr>
            </w:pPr>
          </w:p>
          <w:p w:rsidR="00B41E06" w14:paraId="7CEA2013" w14:textId="77777777">
            <w:pPr>
              <w:pStyle w:val="TableParagraph"/>
              <w:spacing w:before="80"/>
              <w:rPr>
                <w:b/>
                <w:sz w:val="20"/>
              </w:rPr>
            </w:pPr>
          </w:p>
          <w:p w:rsidR="00B41E06" w14:paraId="3CDD6B2B" w14:textId="77777777">
            <w:pPr>
              <w:pStyle w:val="TableParagraph"/>
              <w:ind w:left="105" w:right="182"/>
              <w:rPr>
                <w:b/>
                <w:sz w:val="20"/>
              </w:rPr>
            </w:pPr>
            <w:r>
              <w:rPr>
                <w:b/>
                <w:color w:val="FFFFFF"/>
                <w:sz w:val="20"/>
              </w:rPr>
              <w:t>Hours</w:t>
            </w:r>
            <w:r>
              <w:rPr>
                <w:b/>
                <w:color w:val="FFFFFF"/>
                <w:spacing w:val="-12"/>
                <w:sz w:val="20"/>
              </w:rPr>
              <w:t xml:space="preserve"> </w:t>
            </w:r>
            <w:r>
              <w:rPr>
                <w:b/>
                <w:color w:val="FFFFFF"/>
                <w:sz w:val="20"/>
              </w:rPr>
              <w:t xml:space="preserve">per </w:t>
            </w:r>
            <w:r>
              <w:rPr>
                <w:b/>
                <w:color w:val="FFFFFF"/>
                <w:spacing w:val="-2"/>
                <w:sz w:val="20"/>
              </w:rPr>
              <w:t>response</w:t>
            </w:r>
          </w:p>
        </w:tc>
        <w:tc>
          <w:tcPr>
            <w:tcW w:w="1260" w:type="dxa"/>
            <w:tcBorders>
              <w:top w:val="nil"/>
              <w:left w:val="nil"/>
              <w:bottom w:val="single" w:sz="4" w:space="0" w:color="000000"/>
              <w:right w:val="single" w:sz="8" w:space="0" w:color="FFFFFF"/>
            </w:tcBorders>
            <w:shd w:val="clear" w:color="auto" w:fill="002C5F"/>
          </w:tcPr>
          <w:p w:rsidR="00B41E06" w14:paraId="15652A9D" w14:textId="77777777">
            <w:pPr>
              <w:pStyle w:val="TableParagraph"/>
              <w:rPr>
                <w:b/>
                <w:sz w:val="20"/>
              </w:rPr>
            </w:pPr>
          </w:p>
          <w:p w:rsidR="00B41E06" w14:paraId="65208247" w14:textId="77777777">
            <w:pPr>
              <w:pStyle w:val="TableParagraph"/>
              <w:spacing w:before="80"/>
              <w:rPr>
                <w:b/>
                <w:sz w:val="20"/>
              </w:rPr>
            </w:pPr>
          </w:p>
          <w:p w:rsidR="00B41E06" w14:paraId="2B32D54E" w14:textId="77777777">
            <w:pPr>
              <w:pStyle w:val="TableParagraph"/>
              <w:ind w:left="115" w:right="115"/>
              <w:rPr>
                <w:b/>
                <w:sz w:val="20"/>
              </w:rPr>
            </w:pPr>
            <w:r>
              <w:rPr>
                <w:b/>
                <w:color w:val="FFFFFF"/>
                <w:sz w:val="20"/>
              </w:rPr>
              <w:t>Total</w:t>
            </w:r>
            <w:r>
              <w:rPr>
                <w:b/>
                <w:color w:val="FFFFFF"/>
                <w:spacing w:val="-12"/>
                <w:sz w:val="20"/>
              </w:rPr>
              <w:t xml:space="preserve"> </w:t>
            </w:r>
            <w:r>
              <w:rPr>
                <w:b/>
                <w:color w:val="FFFFFF"/>
                <w:sz w:val="20"/>
              </w:rPr>
              <w:t xml:space="preserve">Burden </w:t>
            </w:r>
            <w:r>
              <w:rPr>
                <w:b/>
                <w:color w:val="FFFFFF"/>
                <w:spacing w:val="-2"/>
                <w:sz w:val="20"/>
              </w:rPr>
              <w:t>Hours</w:t>
            </w:r>
          </w:p>
        </w:tc>
        <w:tc>
          <w:tcPr>
            <w:tcW w:w="2160" w:type="dxa"/>
            <w:tcBorders>
              <w:top w:val="nil"/>
              <w:left w:val="single" w:sz="8" w:space="0" w:color="FFFFFF"/>
              <w:bottom w:val="single" w:sz="4" w:space="0" w:color="000000"/>
              <w:right w:val="single" w:sz="8" w:space="0" w:color="FFFFFF"/>
            </w:tcBorders>
            <w:shd w:val="clear" w:color="auto" w:fill="002C5F"/>
          </w:tcPr>
          <w:p w:rsidR="00B41E06" w14:paraId="582DE04F" w14:textId="77777777">
            <w:pPr>
              <w:pStyle w:val="TableParagraph"/>
              <w:spacing w:before="81"/>
              <w:ind w:left="105" w:right="87"/>
              <w:rPr>
                <w:rFonts w:ascii="Arial" w:hAnsi="Arial"/>
                <w:b/>
                <w:sz w:val="20"/>
              </w:rPr>
            </w:pPr>
            <w:r>
              <w:rPr>
                <w:b/>
                <w:color w:val="FFFFFF"/>
                <w:sz w:val="20"/>
              </w:rPr>
              <w:t>Total</w:t>
            </w:r>
            <w:r>
              <w:rPr>
                <w:b/>
                <w:color w:val="FFFFFF"/>
                <w:spacing w:val="-12"/>
                <w:sz w:val="20"/>
              </w:rPr>
              <w:t xml:space="preserve"> </w:t>
            </w:r>
            <w:r>
              <w:rPr>
                <w:b/>
                <w:color w:val="FFFFFF"/>
                <w:sz w:val="20"/>
              </w:rPr>
              <w:t>Hourly</w:t>
            </w:r>
            <w:r>
              <w:rPr>
                <w:b/>
                <w:color w:val="FFFFFF"/>
                <w:spacing w:val="-11"/>
                <w:sz w:val="20"/>
              </w:rPr>
              <w:t xml:space="preserve"> </w:t>
            </w:r>
            <w:r>
              <w:rPr>
                <w:b/>
                <w:color w:val="FFFFFF"/>
                <w:sz w:val="20"/>
              </w:rPr>
              <w:t>Wage</w:t>
            </w:r>
            <w:r>
              <w:rPr>
                <w:b/>
                <w:color w:val="FFFFFF"/>
                <w:spacing w:val="-12"/>
                <w:sz w:val="20"/>
              </w:rPr>
              <w:t xml:space="preserve"> </w:t>
            </w:r>
            <w:r>
              <w:rPr>
                <w:b/>
                <w:color w:val="FFFFFF"/>
                <w:sz w:val="20"/>
              </w:rPr>
              <w:t xml:space="preserve">Rate for Period 2022 – 2025 (Business Operations Specialist, Other) </w:t>
            </w:r>
            <w:r>
              <w:rPr>
                <w:rFonts w:ascii="Arial" w:hAnsi="Arial"/>
                <w:b/>
                <w:color w:val="FFFFFF"/>
                <w:sz w:val="20"/>
                <w:vertAlign w:val="superscript"/>
              </w:rPr>
              <w:t>16</w:t>
            </w:r>
          </w:p>
          <w:p w:rsidR="00B41E06" w14:paraId="730321C5" w14:textId="77777777">
            <w:pPr>
              <w:pStyle w:val="TableParagraph"/>
              <w:spacing w:line="38" w:lineRule="exact"/>
              <w:ind w:right="652"/>
              <w:jc w:val="right"/>
              <w:rPr>
                <w:rFonts w:ascii="Cambria"/>
                <w:sz w:val="2"/>
              </w:rPr>
            </w:pPr>
            <w:r>
              <w:rPr>
                <w:rFonts w:ascii="Cambria"/>
                <w:color w:val="FFFFFF"/>
                <w:spacing w:val="-5"/>
                <w:sz w:val="2"/>
              </w:rPr>
              <w:t>15F</w:t>
            </w:r>
          </w:p>
        </w:tc>
        <w:tc>
          <w:tcPr>
            <w:tcW w:w="1358" w:type="dxa"/>
            <w:tcBorders>
              <w:top w:val="nil"/>
              <w:left w:val="single" w:sz="8" w:space="0" w:color="FFFFFF"/>
              <w:bottom w:val="single" w:sz="4" w:space="0" w:color="000000"/>
            </w:tcBorders>
            <w:shd w:val="clear" w:color="auto" w:fill="002C5F"/>
          </w:tcPr>
          <w:p w:rsidR="00B41E06" w14:paraId="5A33720F" w14:textId="77777777">
            <w:pPr>
              <w:pStyle w:val="TableParagraph"/>
              <w:rPr>
                <w:b/>
                <w:sz w:val="20"/>
              </w:rPr>
            </w:pPr>
          </w:p>
          <w:p w:rsidR="00B41E06" w14:paraId="02AB8E15" w14:textId="77777777">
            <w:pPr>
              <w:pStyle w:val="TableParagraph"/>
              <w:spacing w:before="80"/>
              <w:rPr>
                <w:b/>
                <w:sz w:val="20"/>
              </w:rPr>
            </w:pPr>
          </w:p>
          <w:p w:rsidR="00B41E06" w14:paraId="0A766CEF" w14:textId="77777777">
            <w:pPr>
              <w:pStyle w:val="TableParagraph"/>
              <w:ind w:left="105" w:right="423"/>
              <w:rPr>
                <w:b/>
                <w:sz w:val="20"/>
              </w:rPr>
            </w:pPr>
            <w:r>
              <w:rPr>
                <w:b/>
                <w:color w:val="FFFFFF"/>
                <w:sz w:val="20"/>
              </w:rPr>
              <w:t>Total</w:t>
            </w:r>
            <w:r>
              <w:rPr>
                <w:b/>
                <w:color w:val="FFFFFF"/>
                <w:spacing w:val="-12"/>
                <w:sz w:val="20"/>
              </w:rPr>
              <w:t xml:space="preserve"> </w:t>
            </w:r>
            <w:r>
              <w:rPr>
                <w:b/>
                <w:color w:val="FFFFFF"/>
                <w:sz w:val="20"/>
              </w:rPr>
              <w:t xml:space="preserve">Cost </w:t>
            </w:r>
            <w:r>
              <w:rPr>
                <w:b/>
                <w:color w:val="FFFFFF"/>
                <w:spacing w:val="-2"/>
                <w:sz w:val="20"/>
              </w:rPr>
              <w:t>Burden</w:t>
            </w:r>
          </w:p>
        </w:tc>
      </w:tr>
      <w:tr w14:paraId="492464A0" w14:textId="77777777">
        <w:tblPrEx>
          <w:tblW w:w="0" w:type="auto"/>
          <w:tblInd w:w="380" w:type="dxa"/>
          <w:tblLayout w:type="fixed"/>
          <w:tblCellMar>
            <w:left w:w="0" w:type="dxa"/>
            <w:right w:w="0" w:type="dxa"/>
          </w:tblCellMar>
          <w:tblLook w:val="01E0"/>
        </w:tblPrEx>
        <w:trPr>
          <w:trHeight w:val="815"/>
        </w:trPr>
        <w:tc>
          <w:tcPr>
            <w:tcW w:w="2150" w:type="dxa"/>
            <w:tcBorders>
              <w:top w:val="single" w:sz="4" w:space="0" w:color="000000"/>
              <w:left w:val="single" w:sz="4" w:space="0" w:color="000000"/>
              <w:bottom w:val="single" w:sz="4" w:space="0" w:color="000000"/>
              <w:right w:val="single" w:sz="4" w:space="0" w:color="000000"/>
            </w:tcBorders>
          </w:tcPr>
          <w:p w:rsidR="00B41E06" w14:paraId="6B03D03C" w14:textId="77777777">
            <w:pPr>
              <w:pStyle w:val="TableParagraph"/>
              <w:spacing w:before="62"/>
              <w:ind w:left="112" w:right="87"/>
              <w:rPr>
                <w:b/>
                <w:sz w:val="20"/>
              </w:rPr>
            </w:pPr>
            <w:r>
              <w:rPr>
                <w:b/>
                <w:sz w:val="20"/>
              </w:rPr>
              <w:t>Contracting with HHS- approved</w:t>
            </w:r>
            <w:r>
              <w:rPr>
                <w:b/>
                <w:spacing w:val="-12"/>
                <w:sz w:val="20"/>
              </w:rPr>
              <w:t xml:space="preserve"> </w:t>
            </w:r>
            <w:r>
              <w:rPr>
                <w:b/>
                <w:sz w:val="20"/>
              </w:rPr>
              <w:t>QHP</w:t>
            </w:r>
            <w:r>
              <w:rPr>
                <w:b/>
                <w:spacing w:val="-11"/>
                <w:sz w:val="20"/>
              </w:rPr>
              <w:t xml:space="preserve"> </w:t>
            </w:r>
            <w:r>
              <w:rPr>
                <w:b/>
                <w:sz w:val="20"/>
              </w:rPr>
              <w:t>Enrollee Survey vendor</w:t>
            </w:r>
          </w:p>
        </w:tc>
        <w:tc>
          <w:tcPr>
            <w:tcW w:w="1351" w:type="dxa"/>
            <w:tcBorders>
              <w:top w:val="single" w:sz="4" w:space="0" w:color="000000"/>
              <w:left w:val="single" w:sz="4" w:space="0" w:color="000000"/>
              <w:bottom w:val="single" w:sz="4" w:space="0" w:color="000000"/>
              <w:right w:val="single" w:sz="4" w:space="0" w:color="000000"/>
            </w:tcBorders>
          </w:tcPr>
          <w:p w:rsidR="00B41E06" w14:paraId="0C58859C" w14:textId="77777777">
            <w:pPr>
              <w:pStyle w:val="TableParagraph"/>
              <w:spacing w:before="62"/>
              <w:rPr>
                <w:b/>
                <w:sz w:val="20"/>
              </w:rPr>
            </w:pPr>
          </w:p>
          <w:p w:rsidR="00B41E06" w14:paraId="3B0A763B" w14:textId="77777777">
            <w:pPr>
              <w:pStyle w:val="TableParagraph"/>
              <w:spacing w:before="1"/>
              <w:ind w:left="17"/>
              <w:jc w:val="center"/>
              <w:rPr>
                <w:sz w:val="20"/>
              </w:rPr>
            </w:pPr>
            <w:r>
              <w:rPr>
                <w:spacing w:val="-5"/>
                <w:sz w:val="20"/>
              </w:rPr>
              <w:t>380</w:t>
            </w:r>
          </w:p>
        </w:tc>
        <w:tc>
          <w:tcPr>
            <w:tcW w:w="1080" w:type="dxa"/>
            <w:tcBorders>
              <w:top w:val="single" w:sz="4" w:space="0" w:color="000000"/>
              <w:left w:val="single" w:sz="4" w:space="0" w:color="000000"/>
              <w:bottom w:val="single" w:sz="4" w:space="0" w:color="000000"/>
              <w:right w:val="single" w:sz="4" w:space="0" w:color="000000"/>
            </w:tcBorders>
          </w:tcPr>
          <w:p w:rsidR="00B41E06" w14:paraId="1B6696FE" w14:textId="77777777">
            <w:pPr>
              <w:pStyle w:val="TableParagraph"/>
              <w:spacing w:before="62"/>
              <w:rPr>
                <w:b/>
                <w:sz w:val="20"/>
              </w:rPr>
            </w:pPr>
          </w:p>
          <w:p w:rsidR="00B41E06" w14:paraId="49BB54C8" w14:textId="77777777">
            <w:pPr>
              <w:pStyle w:val="TableParagraph"/>
              <w:spacing w:before="1"/>
              <w:ind w:left="15"/>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41E06" w14:paraId="32B05393" w14:textId="77777777">
            <w:pPr>
              <w:pStyle w:val="TableParagraph"/>
              <w:spacing w:before="62"/>
              <w:rPr>
                <w:b/>
                <w:sz w:val="20"/>
              </w:rPr>
            </w:pPr>
          </w:p>
          <w:p w:rsidR="00B41E06" w14:paraId="3182FCDA" w14:textId="77777777">
            <w:pPr>
              <w:pStyle w:val="TableParagraph"/>
              <w:spacing w:before="1"/>
              <w:ind w:left="15"/>
              <w:jc w:val="center"/>
              <w:rPr>
                <w:sz w:val="20"/>
              </w:rPr>
            </w:pPr>
            <w:r>
              <w:rPr>
                <w:spacing w:val="-2"/>
                <w:sz w:val="20"/>
              </w:rPr>
              <w:t>2,280</w:t>
            </w:r>
          </w:p>
        </w:tc>
        <w:tc>
          <w:tcPr>
            <w:tcW w:w="2160" w:type="dxa"/>
            <w:tcBorders>
              <w:top w:val="single" w:sz="4" w:space="0" w:color="000000"/>
              <w:left w:val="single" w:sz="4" w:space="0" w:color="000000"/>
              <w:bottom w:val="single" w:sz="4" w:space="0" w:color="000000"/>
              <w:right w:val="single" w:sz="4" w:space="0" w:color="000000"/>
            </w:tcBorders>
          </w:tcPr>
          <w:p w:rsidR="00B41E06" w14:paraId="092B17DB" w14:textId="77777777">
            <w:pPr>
              <w:pStyle w:val="TableParagraph"/>
              <w:spacing w:before="62"/>
              <w:rPr>
                <w:b/>
                <w:sz w:val="20"/>
              </w:rPr>
            </w:pPr>
          </w:p>
          <w:p w:rsidR="00B41E06" w14:paraId="553EEC2C" w14:textId="77777777">
            <w:pPr>
              <w:pStyle w:val="TableParagraph"/>
              <w:spacing w:before="1"/>
              <w:ind w:left="13"/>
              <w:jc w:val="center"/>
              <w:rPr>
                <w:sz w:val="20"/>
              </w:rPr>
            </w:pPr>
            <w:r>
              <w:rPr>
                <w:spacing w:val="-2"/>
                <w:sz w:val="20"/>
              </w:rPr>
              <w:t>$85.73</w:t>
            </w:r>
          </w:p>
        </w:tc>
        <w:tc>
          <w:tcPr>
            <w:tcW w:w="1358" w:type="dxa"/>
            <w:tcBorders>
              <w:top w:val="single" w:sz="4" w:space="0" w:color="000000"/>
              <w:left w:val="single" w:sz="4" w:space="0" w:color="000000"/>
              <w:bottom w:val="single" w:sz="4" w:space="0" w:color="000000"/>
              <w:right w:val="single" w:sz="4" w:space="0" w:color="000000"/>
            </w:tcBorders>
          </w:tcPr>
          <w:p w:rsidR="00B41E06" w14:paraId="69F735FD" w14:textId="77777777">
            <w:pPr>
              <w:pStyle w:val="TableParagraph"/>
              <w:spacing w:before="62"/>
              <w:rPr>
                <w:b/>
                <w:sz w:val="20"/>
              </w:rPr>
            </w:pPr>
          </w:p>
          <w:p w:rsidR="00B41E06" w14:paraId="4BDF1B3A" w14:textId="77777777">
            <w:pPr>
              <w:pStyle w:val="TableParagraph"/>
              <w:spacing w:before="1"/>
              <w:ind w:left="18" w:right="2"/>
              <w:jc w:val="center"/>
              <w:rPr>
                <w:sz w:val="20"/>
              </w:rPr>
            </w:pPr>
            <w:r>
              <w:rPr>
                <w:spacing w:val="-2"/>
                <w:sz w:val="20"/>
              </w:rPr>
              <w:t>$195,464.40</w:t>
            </w:r>
          </w:p>
        </w:tc>
      </w:tr>
      <w:tr w14:paraId="44EC0C86" w14:textId="77777777">
        <w:tblPrEx>
          <w:tblW w:w="0" w:type="auto"/>
          <w:tblInd w:w="380" w:type="dxa"/>
          <w:tblLayout w:type="fixed"/>
          <w:tblCellMar>
            <w:left w:w="0" w:type="dxa"/>
            <w:right w:w="0" w:type="dxa"/>
          </w:tblCellMar>
          <w:tblLook w:val="01E0"/>
        </w:tblPrEx>
        <w:trPr>
          <w:trHeight w:val="400"/>
        </w:trPr>
        <w:tc>
          <w:tcPr>
            <w:tcW w:w="2150" w:type="dxa"/>
            <w:tcBorders>
              <w:top w:val="single" w:sz="4" w:space="0" w:color="000000"/>
              <w:left w:val="single" w:sz="4" w:space="0" w:color="000000"/>
              <w:bottom w:val="single" w:sz="4" w:space="0" w:color="000000"/>
              <w:right w:val="single" w:sz="4" w:space="0" w:color="000000"/>
            </w:tcBorders>
          </w:tcPr>
          <w:p w:rsidR="00B41E06" w14:paraId="14351ED3" w14:textId="77777777">
            <w:pPr>
              <w:pStyle w:val="TableParagraph"/>
              <w:spacing w:before="83"/>
              <w:ind w:left="112"/>
              <w:rPr>
                <w:b/>
                <w:sz w:val="20"/>
              </w:rPr>
            </w:pPr>
            <w:r>
              <w:rPr>
                <w:b/>
                <w:sz w:val="20"/>
              </w:rPr>
              <w:t>Contracting</w:t>
            </w:r>
            <w:r>
              <w:rPr>
                <w:b/>
                <w:spacing w:val="-6"/>
                <w:sz w:val="20"/>
              </w:rPr>
              <w:t xml:space="preserve"> </w:t>
            </w:r>
            <w:r>
              <w:rPr>
                <w:b/>
                <w:sz w:val="20"/>
              </w:rPr>
              <w:t>with</w:t>
            </w:r>
            <w:r>
              <w:rPr>
                <w:b/>
                <w:spacing w:val="-5"/>
                <w:sz w:val="20"/>
              </w:rPr>
              <w:t xml:space="preserve"> </w:t>
            </w:r>
            <w:r>
              <w:rPr>
                <w:b/>
                <w:spacing w:val="-2"/>
                <w:sz w:val="20"/>
              </w:rPr>
              <w:t>auditor</w:t>
            </w:r>
          </w:p>
        </w:tc>
        <w:tc>
          <w:tcPr>
            <w:tcW w:w="1351" w:type="dxa"/>
            <w:tcBorders>
              <w:top w:val="single" w:sz="4" w:space="0" w:color="000000"/>
              <w:left w:val="single" w:sz="4" w:space="0" w:color="000000"/>
              <w:bottom w:val="single" w:sz="4" w:space="0" w:color="000000"/>
              <w:right w:val="single" w:sz="4" w:space="0" w:color="000000"/>
            </w:tcBorders>
          </w:tcPr>
          <w:p w:rsidR="00B41E06" w14:paraId="54EC502E" w14:textId="77777777">
            <w:pPr>
              <w:pStyle w:val="TableParagraph"/>
              <w:spacing w:before="83"/>
              <w:ind w:left="17"/>
              <w:jc w:val="center"/>
              <w:rPr>
                <w:sz w:val="20"/>
              </w:rPr>
            </w:pPr>
            <w:r>
              <w:rPr>
                <w:spacing w:val="-5"/>
                <w:sz w:val="20"/>
              </w:rPr>
              <w:t>380</w:t>
            </w:r>
          </w:p>
        </w:tc>
        <w:tc>
          <w:tcPr>
            <w:tcW w:w="1080" w:type="dxa"/>
            <w:tcBorders>
              <w:top w:val="single" w:sz="4" w:space="0" w:color="000000"/>
              <w:left w:val="single" w:sz="4" w:space="0" w:color="000000"/>
              <w:bottom w:val="single" w:sz="4" w:space="0" w:color="000000"/>
              <w:right w:val="single" w:sz="4" w:space="0" w:color="000000"/>
            </w:tcBorders>
          </w:tcPr>
          <w:p w:rsidR="00B41E06" w14:paraId="08CCD226" w14:textId="77777777">
            <w:pPr>
              <w:pStyle w:val="TableParagraph"/>
              <w:spacing w:before="83"/>
              <w:ind w:left="15"/>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rsidR="00B41E06" w14:paraId="34A6C2B0" w14:textId="77777777">
            <w:pPr>
              <w:pStyle w:val="TableParagraph"/>
              <w:spacing w:before="83"/>
              <w:ind w:left="15"/>
              <w:jc w:val="center"/>
              <w:rPr>
                <w:sz w:val="20"/>
              </w:rPr>
            </w:pPr>
            <w:r>
              <w:rPr>
                <w:spacing w:val="-2"/>
                <w:sz w:val="20"/>
              </w:rPr>
              <w:t>2,280</w:t>
            </w:r>
          </w:p>
        </w:tc>
        <w:tc>
          <w:tcPr>
            <w:tcW w:w="2160" w:type="dxa"/>
            <w:tcBorders>
              <w:top w:val="single" w:sz="4" w:space="0" w:color="000000"/>
              <w:left w:val="single" w:sz="4" w:space="0" w:color="000000"/>
              <w:bottom w:val="single" w:sz="4" w:space="0" w:color="000000"/>
              <w:right w:val="single" w:sz="4" w:space="0" w:color="000000"/>
            </w:tcBorders>
          </w:tcPr>
          <w:p w:rsidR="00B41E06" w14:paraId="7C87AD54" w14:textId="77777777">
            <w:pPr>
              <w:pStyle w:val="TableParagraph"/>
              <w:spacing w:before="83"/>
              <w:ind w:left="13"/>
              <w:jc w:val="center"/>
              <w:rPr>
                <w:sz w:val="20"/>
              </w:rPr>
            </w:pPr>
            <w:r>
              <w:rPr>
                <w:spacing w:val="-2"/>
                <w:sz w:val="20"/>
              </w:rPr>
              <w:t>$85.73</w:t>
            </w:r>
          </w:p>
        </w:tc>
        <w:tc>
          <w:tcPr>
            <w:tcW w:w="1358" w:type="dxa"/>
            <w:tcBorders>
              <w:top w:val="single" w:sz="4" w:space="0" w:color="000000"/>
              <w:left w:val="single" w:sz="4" w:space="0" w:color="000000"/>
              <w:bottom w:val="single" w:sz="4" w:space="0" w:color="000000"/>
              <w:right w:val="single" w:sz="4" w:space="0" w:color="000000"/>
            </w:tcBorders>
          </w:tcPr>
          <w:p w:rsidR="00B41E06" w14:paraId="7C117615" w14:textId="77777777">
            <w:pPr>
              <w:pStyle w:val="TableParagraph"/>
              <w:spacing w:before="83"/>
              <w:ind w:left="18" w:right="2"/>
              <w:jc w:val="center"/>
              <w:rPr>
                <w:sz w:val="20"/>
              </w:rPr>
            </w:pPr>
            <w:r>
              <w:rPr>
                <w:spacing w:val="-2"/>
                <w:sz w:val="20"/>
              </w:rPr>
              <w:t>$195,464.40</w:t>
            </w:r>
          </w:p>
        </w:tc>
      </w:tr>
      <w:tr w14:paraId="5C2A541D" w14:textId="77777777">
        <w:tblPrEx>
          <w:tblW w:w="0" w:type="auto"/>
          <w:tblInd w:w="380" w:type="dxa"/>
          <w:tblLayout w:type="fixed"/>
          <w:tblCellMar>
            <w:left w:w="0" w:type="dxa"/>
            <w:right w:w="0" w:type="dxa"/>
          </w:tblCellMar>
          <w:tblLook w:val="01E0"/>
        </w:tblPrEx>
        <w:trPr>
          <w:trHeight w:val="585"/>
        </w:trPr>
        <w:tc>
          <w:tcPr>
            <w:tcW w:w="2150" w:type="dxa"/>
            <w:tcBorders>
              <w:top w:val="single" w:sz="4" w:space="0" w:color="000000"/>
              <w:left w:val="single" w:sz="4" w:space="0" w:color="000000"/>
              <w:bottom w:val="single" w:sz="4" w:space="0" w:color="000000"/>
              <w:right w:val="single" w:sz="4" w:space="0" w:color="000000"/>
            </w:tcBorders>
          </w:tcPr>
          <w:p w:rsidR="00B41E06" w14:paraId="2EA94520" w14:textId="77777777">
            <w:pPr>
              <w:pStyle w:val="TableParagraph"/>
              <w:spacing w:before="62"/>
              <w:ind w:left="112" w:right="388"/>
              <w:rPr>
                <w:b/>
                <w:sz w:val="20"/>
              </w:rPr>
            </w:pPr>
            <w:r>
              <w:rPr>
                <w:b/>
                <w:sz w:val="20"/>
              </w:rPr>
              <w:t>Generating</w:t>
            </w:r>
            <w:r>
              <w:rPr>
                <w:b/>
                <w:spacing w:val="-12"/>
                <w:sz w:val="20"/>
              </w:rPr>
              <w:t xml:space="preserve"> </w:t>
            </w:r>
            <w:r>
              <w:rPr>
                <w:b/>
                <w:sz w:val="20"/>
              </w:rPr>
              <w:t xml:space="preserve">sampling </w:t>
            </w:r>
            <w:r>
              <w:rPr>
                <w:b/>
                <w:spacing w:val="-2"/>
                <w:sz w:val="20"/>
              </w:rPr>
              <w:t>frame</w:t>
            </w:r>
          </w:p>
        </w:tc>
        <w:tc>
          <w:tcPr>
            <w:tcW w:w="1351" w:type="dxa"/>
            <w:tcBorders>
              <w:top w:val="single" w:sz="4" w:space="0" w:color="000000"/>
              <w:left w:val="single" w:sz="4" w:space="0" w:color="000000"/>
              <w:bottom w:val="single" w:sz="4" w:space="0" w:color="000000"/>
              <w:right w:val="single" w:sz="4" w:space="0" w:color="000000"/>
            </w:tcBorders>
          </w:tcPr>
          <w:p w:rsidR="00B41E06" w14:paraId="2ECDAB4D" w14:textId="77777777">
            <w:pPr>
              <w:pStyle w:val="TableParagraph"/>
              <w:spacing w:before="177"/>
              <w:ind w:left="17"/>
              <w:jc w:val="center"/>
              <w:rPr>
                <w:sz w:val="20"/>
              </w:rPr>
            </w:pPr>
            <w:r>
              <w:rPr>
                <w:spacing w:val="-5"/>
                <w:sz w:val="20"/>
              </w:rPr>
              <w:t>380</w:t>
            </w:r>
          </w:p>
        </w:tc>
        <w:tc>
          <w:tcPr>
            <w:tcW w:w="1080" w:type="dxa"/>
            <w:tcBorders>
              <w:top w:val="single" w:sz="4" w:space="0" w:color="000000"/>
              <w:left w:val="single" w:sz="4" w:space="0" w:color="000000"/>
              <w:bottom w:val="single" w:sz="4" w:space="0" w:color="000000"/>
              <w:right w:val="single" w:sz="4" w:space="0" w:color="000000"/>
            </w:tcBorders>
          </w:tcPr>
          <w:p w:rsidR="00B41E06" w14:paraId="2331782D" w14:textId="77777777">
            <w:pPr>
              <w:pStyle w:val="TableParagraph"/>
              <w:spacing w:before="177"/>
              <w:ind w:left="15"/>
              <w:jc w:val="center"/>
              <w:rPr>
                <w:sz w:val="20"/>
              </w:rPr>
            </w:pPr>
            <w:r>
              <w:rPr>
                <w:spacing w:val="-5"/>
                <w:sz w:val="20"/>
              </w:rPr>
              <w:t>32</w:t>
            </w:r>
          </w:p>
        </w:tc>
        <w:tc>
          <w:tcPr>
            <w:tcW w:w="1260" w:type="dxa"/>
            <w:tcBorders>
              <w:top w:val="single" w:sz="4" w:space="0" w:color="000000"/>
              <w:left w:val="single" w:sz="4" w:space="0" w:color="000000"/>
              <w:bottom w:val="single" w:sz="4" w:space="0" w:color="000000"/>
              <w:right w:val="single" w:sz="4" w:space="0" w:color="000000"/>
            </w:tcBorders>
          </w:tcPr>
          <w:p w:rsidR="00B41E06" w14:paraId="3BDC0999" w14:textId="77777777">
            <w:pPr>
              <w:pStyle w:val="TableParagraph"/>
              <w:spacing w:before="177"/>
              <w:ind w:left="15"/>
              <w:jc w:val="center"/>
              <w:rPr>
                <w:sz w:val="20"/>
              </w:rPr>
            </w:pPr>
            <w:r>
              <w:rPr>
                <w:spacing w:val="-2"/>
                <w:sz w:val="20"/>
              </w:rPr>
              <w:t>12,160</w:t>
            </w:r>
          </w:p>
        </w:tc>
        <w:tc>
          <w:tcPr>
            <w:tcW w:w="2160" w:type="dxa"/>
            <w:tcBorders>
              <w:top w:val="single" w:sz="4" w:space="0" w:color="000000"/>
              <w:left w:val="single" w:sz="4" w:space="0" w:color="000000"/>
              <w:bottom w:val="single" w:sz="4" w:space="0" w:color="000000"/>
              <w:right w:val="single" w:sz="4" w:space="0" w:color="000000"/>
            </w:tcBorders>
          </w:tcPr>
          <w:p w:rsidR="00B41E06" w14:paraId="036915B7" w14:textId="77777777">
            <w:pPr>
              <w:pStyle w:val="TableParagraph"/>
              <w:spacing w:before="177"/>
              <w:ind w:left="13"/>
              <w:jc w:val="center"/>
              <w:rPr>
                <w:sz w:val="20"/>
              </w:rPr>
            </w:pPr>
            <w:r>
              <w:rPr>
                <w:spacing w:val="-2"/>
                <w:sz w:val="20"/>
              </w:rPr>
              <w:t>$85.73</w:t>
            </w:r>
          </w:p>
        </w:tc>
        <w:tc>
          <w:tcPr>
            <w:tcW w:w="1358" w:type="dxa"/>
            <w:tcBorders>
              <w:top w:val="single" w:sz="4" w:space="0" w:color="000000"/>
              <w:left w:val="single" w:sz="4" w:space="0" w:color="000000"/>
              <w:bottom w:val="single" w:sz="4" w:space="0" w:color="000000"/>
              <w:right w:val="single" w:sz="4" w:space="0" w:color="000000"/>
            </w:tcBorders>
          </w:tcPr>
          <w:p w:rsidR="00B41E06" w14:paraId="7172CCDE" w14:textId="77777777">
            <w:pPr>
              <w:pStyle w:val="TableParagraph"/>
              <w:spacing w:before="177"/>
              <w:ind w:left="18"/>
              <w:jc w:val="center"/>
              <w:rPr>
                <w:sz w:val="20"/>
              </w:rPr>
            </w:pPr>
            <w:r>
              <w:rPr>
                <w:spacing w:val="-2"/>
                <w:sz w:val="20"/>
              </w:rPr>
              <w:t>$1,042,476.80</w:t>
            </w:r>
          </w:p>
        </w:tc>
      </w:tr>
      <w:tr w14:paraId="76F95C0D" w14:textId="77777777">
        <w:tblPrEx>
          <w:tblW w:w="0" w:type="auto"/>
          <w:tblInd w:w="380" w:type="dxa"/>
          <w:tblLayout w:type="fixed"/>
          <w:tblCellMar>
            <w:left w:w="0" w:type="dxa"/>
            <w:right w:w="0" w:type="dxa"/>
          </w:tblCellMar>
          <w:tblLook w:val="01E0"/>
        </w:tblPrEx>
        <w:trPr>
          <w:trHeight w:val="585"/>
        </w:trPr>
        <w:tc>
          <w:tcPr>
            <w:tcW w:w="2150" w:type="dxa"/>
            <w:tcBorders>
              <w:top w:val="single" w:sz="4" w:space="0" w:color="000000"/>
              <w:left w:val="single" w:sz="4" w:space="0" w:color="000000"/>
              <w:bottom w:val="single" w:sz="4" w:space="0" w:color="000000"/>
              <w:right w:val="single" w:sz="4" w:space="0" w:color="000000"/>
            </w:tcBorders>
          </w:tcPr>
          <w:p w:rsidR="00B41E06" w14:paraId="5EE9B2ED" w14:textId="77777777">
            <w:pPr>
              <w:pStyle w:val="TableParagraph"/>
              <w:spacing w:before="62"/>
              <w:ind w:left="112" w:right="634"/>
              <w:rPr>
                <w:b/>
                <w:sz w:val="20"/>
              </w:rPr>
            </w:pPr>
            <w:r>
              <w:rPr>
                <w:b/>
                <w:sz w:val="20"/>
              </w:rPr>
              <w:t>Reviewing</w:t>
            </w:r>
            <w:r>
              <w:rPr>
                <w:b/>
                <w:spacing w:val="-12"/>
                <w:sz w:val="20"/>
              </w:rPr>
              <w:t xml:space="preserve"> </w:t>
            </w:r>
            <w:r>
              <w:rPr>
                <w:b/>
                <w:sz w:val="20"/>
              </w:rPr>
              <w:t xml:space="preserve">survey </w:t>
            </w:r>
            <w:r>
              <w:rPr>
                <w:b/>
                <w:spacing w:val="-2"/>
                <w:sz w:val="20"/>
              </w:rPr>
              <w:t>materials</w:t>
            </w:r>
          </w:p>
        </w:tc>
        <w:tc>
          <w:tcPr>
            <w:tcW w:w="1351" w:type="dxa"/>
            <w:tcBorders>
              <w:top w:val="single" w:sz="4" w:space="0" w:color="000000"/>
              <w:left w:val="single" w:sz="4" w:space="0" w:color="000000"/>
              <w:bottom w:val="single" w:sz="4" w:space="0" w:color="000000"/>
              <w:right w:val="single" w:sz="4" w:space="0" w:color="000000"/>
            </w:tcBorders>
          </w:tcPr>
          <w:p w:rsidR="00B41E06" w14:paraId="4682187F" w14:textId="77777777">
            <w:pPr>
              <w:pStyle w:val="TableParagraph"/>
              <w:spacing w:before="177"/>
              <w:ind w:left="17"/>
              <w:jc w:val="center"/>
              <w:rPr>
                <w:sz w:val="20"/>
              </w:rPr>
            </w:pPr>
            <w:r>
              <w:rPr>
                <w:spacing w:val="-5"/>
                <w:sz w:val="20"/>
              </w:rPr>
              <w:t>380</w:t>
            </w:r>
          </w:p>
        </w:tc>
        <w:tc>
          <w:tcPr>
            <w:tcW w:w="1080" w:type="dxa"/>
            <w:tcBorders>
              <w:top w:val="single" w:sz="4" w:space="0" w:color="000000"/>
              <w:left w:val="single" w:sz="4" w:space="0" w:color="000000"/>
              <w:bottom w:val="single" w:sz="4" w:space="0" w:color="000000"/>
              <w:right w:val="single" w:sz="4" w:space="0" w:color="000000"/>
            </w:tcBorders>
          </w:tcPr>
          <w:p w:rsidR="00B41E06" w14:paraId="07F29748" w14:textId="77777777">
            <w:pPr>
              <w:pStyle w:val="TableParagraph"/>
              <w:spacing w:before="177"/>
              <w:ind w:left="15"/>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rsidR="00B41E06" w14:paraId="00A26227" w14:textId="77777777">
            <w:pPr>
              <w:pStyle w:val="TableParagraph"/>
              <w:spacing w:before="177"/>
              <w:ind w:left="15"/>
              <w:jc w:val="center"/>
              <w:rPr>
                <w:sz w:val="20"/>
              </w:rPr>
            </w:pPr>
            <w:r>
              <w:rPr>
                <w:spacing w:val="-2"/>
                <w:sz w:val="20"/>
              </w:rPr>
              <w:t>1,520</w:t>
            </w:r>
          </w:p>
        </w:tc>
        <w:tc>
          <w:tcPr>
            <w:tcW w:w="2160" w:type="dxa"/>
            <w:tcBorders>
              <w:top w:val="single" w:sz="4" w:space="0" w:color="000000"/>
              <w:left w:val="single" w:sz="4" w:space="0" w:color="000000"/>
              <w:bottom w:val="single" w:sz="4" w:space="0" w:color="000000"/>
              <w:right w:val="single" w:sz="4" w:space="0" w:color="000000"/>
            </w:tcBorders>
          </w:tcPr>
          <w:p w:rsidR="00B41E06" w14:paraId="709C2019" w14:textId="77777777">
            <w:pPr>
              <w:pStyle w:val="TableParagraph"/>
              <w:spacing w:before="177"/>
              <w:ind w:left="13"/>
              <w:jc w:val="center"/>
              <w:rPr>
                <w:sz w:val="20"/>
              </w:rPr>
            </w:pPr>
            <w:r>
              <w:rPr>
                <w:spacing w:val="-2"/>
                <w:sz w:val="20"/>
              </w:rPr>
              <w:t>$85.73</w:t>
            </w:r>
          </w:p>
        </w:tc>
        <w:tc>
          <w:tcPr>
            <w:tcW w:w="1358" w:type="dxa"/>
            <w:tcBorders>
              <w:top w:val="single" w:sz="4" w:space="0" w:color="000000"/>
              <w:left w:val="single" w:sz="4" w:space="0" w:color="000000"/>
              <w:bottom w:val="single" w:sz="4" w:space="0" w:color="000000"/>
              <w:right w:val="single" w:sz="4" w:space="0" w:color="000000"/>
            </w:tcBorders>
          </w:tcPr>
          <w:p w:rsidR="00B41E06" w14:paraId="30884630" w14:textId="77777777">
            <w:pPr>
              <w:pStyle w:val="TableParagraph"/>
              <w:spacing w:before="177"/>
              <w:ind w:left="18" w:right="2"/>
              <w:jc w:val="center"/>
              <w:rPr>
                <w:sz w:val="20"/>
              </w:rPr>
            </w:pPr>
            <w:r>
              <w:rPr>
                <w:spacing w:val="-2"/>
                <w:sz w:val="20"/>
              </w:rPr>
              <w:t>$130,309.60</w:t>
            </w:r>
          </w:p>
        </w:tc>
      </w:tr>
      <w:tr w14:paraId="2931FF0B" w14:textId="77777777">
        <w:tblPrEx>
          <w:tblW w:w="0" w:type="auto"/>
          <w:tblInd w:w="380" w:type="dxa"/>
          <w:tblLayout w:type="fixed"/>
          <w:tblCellMar>
            <w:left w:w="0" w:type="dxa"/>
            <w:right w:w="0" w:type="dxa"/>
          </w:tblCellMar>
          <w:tblLook w:val="01E0"/>
        </w:tblPrEx>
        <w:trPr>
          <w:trHeight w:val="1043"/>
        </w:trPr>
        <w:tc>
          <w:tcPr>
            <w:tcW w:w="2150" w:type="dxa"/>
            <w:tcBorders>
              <w:top w:val="single" w:sz="4" w:space="0" w:color="000000"/>
              <w:left w:val="single" w:sz="4" w:space="0" w:color="000000"/>
              <w:bottom w:val="single" w:sz="4" w:space="0" w:color="000000"/>
              <w:right w:val="single" w:sz="4" w:space="0" w:color="000000"/>
            </w:tcBorders>
          </w:tcPr>
          <w:p w:rsidR="00B41E06" w14:paraId="574D5CE7" w14:textId="77777777">
            <w:pPr>
              <w:pStyle w:val="TableParagraph"/>
              <w:spacing w:before="62"/>
              <w:ind w:left="112" w:right="87"/>
              <w:rPr>
                <w:b/>
                <w:sz w:val="20"/>
              </w:rPr>
            </w:pPr>
            <w:r>
              <w:rPr>
                <w:b/>
                <w:sz w:val="20"/>
              </w:rPr>
              <w:t>Authorizing survey vendor and signing off on</w:t>
            </w:r>
            <w:r>
              <w:rPr>
                <w:b/>
                <w:spacing w:val="-12"/>
                <w:sz w:val="20"/>
              </w:rPr>
              <w:t xml:space="preserve"> </w:t>
            </w:r>
            <w:r>
              <w:rPr>
                <w:b/>
                <w:sz w:val="20"/>
              </w:rPr>
              <w:t>sampling</w:t>
            </w:r>
            <w:r>
              <w:rPr>
                <w:b/>
                <w:spacing w:val="-11"/>
                <w:sz w:val="20"/>
              </w:rPr>
              <w:t xml:space="preserve"> </w:t>
            </w:r>
            <w:r>
              <w:rPr>
                <w:b/>
                <w:sz w:val="20"/>
              </w:rPr>
              <w:t>frame</w:t>
            </w:r>
            <w:r>
              <w:rPr>
                <w:b/>
                <w:spacing w:val="-12"/>
                <w:sz w:val="20"/>
              </w:rPr>
              <w:t xml:space="preserve"> </w:t>
            </w:r>
            <w:r>
              <w:rPr>
                <w:b/>
                <w:sz w:val="20"/>
              </w:rPr>
              <w:t>data to be submitted</w:t>
            </w:r>
          </w:p>
        </w:tc>
        <w:tc>
          <w:tcPr>
            <w:tcW w:w="1351" w:type="dxa"/>
            <w:tcBorders>
              <w:top w:val="single" w:sz="4" w:space="0" w:color="000000"/>
              <w:left w:val="single" w:sz="4" w:space="0" w:color="000000"/>
              <w:bottom w:val="single" w:sz="4" w:space="0" w:color="000000"/>
              <w:right w:val="single" w:sz="4" w:space="0" w:color="000000"/>
            </w:tcBorders>
          </w:tcPr>
          <w:p w:rsidR="00B41E06" w14:paraId="4DF1DF43" w14:textId="77777777">
            <w:pPr>
              <w:pStyle w:val="TableParagraph"/>
              <w:spacing w:before="175"/>
              <w:rPr>
                <w:b/>
                <w:sz w:val="20"/>
              </w:rPr>
            </w:pPr>
          </w:p>
          <w:p w:rsidR="00B41E06" w14:paraId="530EE2E8" w14:textId="77777777">
            <w:pPr>
              <w:pStyle w:val="TableParagraph"/>
              <w:ind w:left="17"/>
              <w:jc w:val="center"/>
              <w:rPr>
                <w:sz w:val="20"/>
              </w:rPr>
            </w:pPr>
            <w:r>
              <w:rPr>
                <w:spacing w:val="-5"/>
                <w:sz w:val="20"/>
              </w:rPr>
              <w:t>380</w:t>
            </w:r>
          </w:p>
        </w:tc>
        <w:tc>
          <w:tcPr>
            <w:tcW w:w="1080" w:type="dxa"/>
            <w:tcBorders>
              <w:top w:val="single" w:sz="4" w:space="0" w:color="000000"/>
              <w:left w:val="single" w:sz="4" w:space="0" w:color="000000"/>
              <w:bottom w:val="single" w:sz="4" w:space="0" w:color="000000"/>
              <w:right w:val="single" w:sz="4" w:space="0" w:color="000000"/>
            </w:tcBorders>
          </w:tcPr>
          <w:p w:rsidR="00B41E06" w14:paraId="7D23C8C0" w14:textId="77777777">
            <w:pPr>
              <w:pStyle w:val="TableParagraph"/>
              <w:spacing w:before="175"/>
              <w:rPr>
                <w:b/>
                <w:sz w:val="20"/>
              </w:rPr>
            </w:pPr>
          </w:p>
          <w:p w:rsidR="00B41E06" w14:paraId="60D97239" w14:textId="77777777">
            <w:pPr>
              <w:pStyle w:val="TableParagraph"/>
              <w:ind w:left="15"/>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rsidR="00B41E06" w14:paraId="10FFD3F2" w14:textId="77777777">
            <w:pPr>
              <w:pStyle w:val="TableParagraph"/>
              <w:spacing w:before="175"/>
              <w:rPr>
                <w:b/>
                <w:sz w:val="20"/>
              </w:rPr>
            </w:pPr>
          </w:p>
          <w:p w:rsidR="00B41E06" w14:paraId="41729938" w14:textId="77777777">
            <w:pPr>
              <w:pStyle w:val="TableParagraph"/>
              <w:ind w:left="15" w:right="2"/>
              <w:jc w:val="center"/>
              <w:rPr>
                <w:sz w:val="20"/>
              </w:rPr>
            </w:pPr>
            <w:r>
              <w:rPr>
                <w:spacing w:val="-5"/>
                <w:sz w:val="20"/>
              </w:rPr>
              <w:t>760</w:t>
            </w:r>
          </w:p>
        </w:tc>
        <w:tc>
          <w:tcPr>
            <w:tcW w:w="2160" w:type="dxa"/>
            <w:tcBorders>
              <w:top w:val="single" w:sz="4" w:space="0" w:color="000000"/>
              <w:left w:val="single" w:sz="4" w:space="0" w:color="000000"/>
              <w:bottom w:val="single" w:sz="4" w:space="0" w:color="000000"/>
              <w:right w:val="single" w:sz="4" w:space="0" w:color="000000"/>
            </w:tcBorders>
          </w:tcPr>
          <w:p w:rsidR="00B41E06" w14:paraId="646CDCEC" w14:textId="77777777">
            <w:pPr>
              <w:pStyle w:val="TableParagraph"/>
              <w:spacing w:before="175"/>
              <w:rPr>
                <w:b/>
                <w:sz w:val="20"/>
              </w:rPr>
            </w:pPr>
          </w:p>
          <w:p w:rsidR="00B41E06" w14:paraId="3F6432EF" w14:textId="77777777">
            <w:pPr>
              <w:pStyle w:val="TableParagraph"/>
              <w:ind w:left="13"/>
              <w:jc w:val="center"/>
              <w:rPr>
                <w:sz w:val="20"/>
              </w:rPr>
            </w:pPr>
            <w:r>
              <w:rPr>
                <w:spacing w:val="-2"/>
                <w:sz w:val="20"/>
              </w:rPr>
              <w:t>$85.73</w:t>
            </w:r>
          </w:p>
        </w:tc>
        <w:tc>
          <w:tcPr>
            <w:tcW w:w="1358" w:type="dxa"/>
            <w:tcBorders>
              <w:top w:val="single" w:sz="4" w:space="0" w:color="000000"/>
              <w:left w:val="single" w:sz="4" w:space="0" w:color="000000"/>
              <w:bottom w:val="single" w:sz="4" w:space="0" w:color="000000"/>
              <w:right w:val="single" w:sz="4" w:space="0" w:color="000000"/>
            </w:tcBorders>
          </w:tcPr>
          <w:p w:rsidR="00B41E06" w14:paraId="0202D591" w14:textId="77777777">
            <w:pPr>
              <w:pStyle w:val="TableParagraph"/>
              <w:spacing w:before="175"/>
              <w:rPr>
                <w:b/>
                <w:sz w:val="20"/>
              </w:rPr>
            </w:pPr>
          </w:p>
          <w:p w:rsidR="00B41E06" w14:paraId="41C7CDE1" w14:textId="77777777">
            <w:pPr>
              <w:pStyle w:val="TableParagraph"/>
              <w:ind w:left="18" w:right="2"/>
              <w:jc w:val="center"/>
              <w:rPr>
                <w:sz w:val="20"/>
              </w:rPr>
            </w:pPr>
            <w:r>
              <w:rPr>
                <w:spacing w:val="-2"/>
                <w:sz w:val="20"/>
              </w:rPr>
              <w:t>$65,154.80</w:t>
            </w:r>
          </w:p>
        </w:tc>
      </w:tr>
      <w:tr w14:paraId="2A04CF8C" w14:textId="77777777">
        <w:tblPrEx>
          <w:tblW w:w="0" w:type="auto"/>
          <w:tblInd w:w="380" w:type="dxa"/>
          <w:tblLayout w:type="fixed"/>
          <w:tblCellMar>
            <w:left w:w="0" w:type="dxa"/>
            <w:right w:w="0" w:type="dxa"/>
          </w:tblCellMar>
          <w:tblLook w:val="01E0"/>
        </w:tblPrEx>
        <w:trPr>
          <w:trHeight w:val="400"/>
        </w:trPr>
        <w:tc>
          <w:tcPr>
            <w:tcW w:w="2150" w:type="dxa"/>
            <w:tcBorders>
              <w:top w:val="single" w:sz="4" w:space="0" w:color="000000"/>
              <w:left w:val="single" w:sz="4" w:space="0" w:color="000000"/>
              <w:bottom w:val="single" w:sz="4" w:space="0" w:color="000000"/>
              <w:right w:val="single" w:sz="4" w:space="0" w:color="000000"/>
            </w:tcBorders>
            <w:shd w:val="clear" w:color="auto" w:fill="F1F1F1"/>
          </w:tcPr>
          <w:p w:rsidR="00B41E06" w14:paraId="7E120C5A" w14:textId="77777777">
            <w:pPr>
              <w:pStyle w:val="TableParagraph"/>
              <w:spacing w:before="86"/>
              <w:ind w:right="88"/>
              <w:jc w:val="right"/>
              <w:rPr>
                <w:b/>
                <w:sz w:val="20"/>
              </w:rPr>
            </w:pPr>
            <w:r>
              <w:rPr>
                <w:b/>
                <w:spacing w:val="-2"/>
                <w:sz w:val="20"/>
              </w:rPr>
              <w:t>Total</w:t>
            </w:r>
          </w:p>
        </w:tc>
        <w:tc>
          <w:tcPr>
            <w:tcW w:w="1351" w:type="dxa"/>
            <w:tcBorders>
              <w:top w:val="single" w:sz="4" w:space="0" w:color="000000"/>
              <w:left w:val="single" w:sz="4" w:space="0" w:color="000000"/>
              <w:bottom w:val="single" w:sz="4" w:space="0" w:color="000000"/>
              <w:right w:val="single" w:sz="4" w:space="0" w:color="000000"/>
            </w:tcBorders>
            <w:shd w:val="clear" w:color="auto" w:fill="F1F1F1"/>
          </w:tcPr>
          <w:p w:rsidR="00B41E06" w14:paraId="1570E437" w14:textId="77777777">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1F1F1"/>
          </w:tcPr>
          <w:p w:rsidR="00B41E06" w14:paraId="26EFCDDA" w14:textId="77777777">
            <w:pPr>
              <w:pStyle w:val="TableParagraph"/>
              <w:spacing w:before="62"/>
              <w:ind w:left="15"/>
              <w:jc w:val="center"/>
              <w:rPr>
                <w:sz w:val="20"/>
              </w:rPr>
            </w:pPr>
            <w:r>
              <w:rPr>
                <w:spacing w:val="-5"/>
                <w:sz w:val="20"/>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rsidR="00B41E06" w14:paraId="58B8DCB1" w14:textId="77777777">
            <w:pPr>
              <w:pStyle w:val="TableParagraph"/>
              <w:spacing w:before="86"/>
              <w:ind w:left="15"/>
              <w:jc w:val="center"/>
              <w:rPr>
                <w:sz w:val="20"/>
              </w:rPr>
            </w:pPr>
            <w:r>
              <w:rPr>
                <w:spacing w:val="-2"/>
                <w:sz w:val="20"/>
              </w:rPr>
              <w:t>19,000</w:t>
            </w:r>
          </w:p>
        </w:tc>
        <w:tc>
          <w:tcPr>
            <w:tcW w:w="2160" w:type="dxa"/>
            <w:tcBorders>
              <w:top w:val="single" w:sz="4" w:space="0" w:color="000000"/>
              <w:left w:val="single" w:sz="4" w:space="0" w:color="000000"/>
              <w:bottom w:val="single" w:sz="4" w:space="0" w:color="000000"/>
              <w:right w:val="single" w:sz="4" w:space="0" w:color="000000"/>
            </w:tcBorders>
            <w:shd w:val="clear" w:color="auto" w:fill="F1F1F1"/>
          </w:tcPr>
          <w:p w:rsidR="00B41E06" w14:paraId="46F74A7E" w14:textId="77777777">
            <w:pPr>
              <w:pStyle w:val="TableParagraph"/>
              <w:rPr>
                <w:rFonts w:ascii="Times New Roman"/>
                <w:sz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F1F1F1"/>
          </w:tcPr>
          <w:p w:rsidR="00B41E06" w14:paraId="17F19599" w14:textId="77777777">
            <w:pPr>
              <w:pStyle w:val="TableParagraph"/>
              <w:spacing w:before="86"/>
              <w:ind w:left="18" w:right="2"/>
              <w:jc w:val="center"/>
              <w:rPr>
                <w:sz w:val="20"/>
              </w:rPr>
            </w:pPr>
            <w:r>
              <w:rPr>
                <w:spacing w:val="-2"/>
                <w:sz w:val="20"/>
              </w:rPr>
              <w:t>$1,628,870</w:t>
            </w:r>
          </w:p>
        </w:tc>
      </w:tr>
    </w:tbl>
    <w:p w:rsidR="00B41E06" w14:paraId="159AF3D8" w14:textId="77777777">
      <w:pPr>
        <w:pStyle w:val="ListParagraph"/>
        <w:numPr>
          <w:ilvl w:val="0"/>
          <w:numId w:val="3"/>
        </w:numPr>
        <w:tabs>
          <w:tab w:val="left" w:pos="1439"/>
        </w:tabs>
        <w:spacing w:before="127"/>
        <w:ind w:left="1439" w:hanging="659"/>
        <w:jc w:val="left"/>
        <w:rPr>
          <w:i/>
          <w:sz w:val="24"/>
        </w:rPr>
      </w:pPr>
      <w:bookmarkStart w:id="22" w:name="III._Monitoring_and_Appeals_Process_for_"/>
      <w:bookmarkEnd w:id="22"/>
      <w:r>
        <w:rPr>
          <w:i/>
          <w:sz w:val="24"/>
        </w:rPr>
        <w:t>Monitoring</w:t>
      </w:r>
      <w:r>
        <w:rPr>
          <w:i/>
          <w:spacing w:val="-2"/>
          <w:sz w:val="24"/>
        </w:rPr>
        <w:t xml:space="preserve"> </w:t>
      </w:r>
      <w:r>
        <w:rPr>
          <w:i/>
          <w:sz w:val="24"/>
        </w:rPr>
        <w:t>and</w:t>
      </w:r>
      <w:r>
        <w:rPr>
          <w:i/>
          <w:spacing w:val="-2"/>
          <w:sz w:val="24"/>
        </w:rPr>
        <w:t xml:space="preserve"> </w:t>
      </w:r>
      <w:r>
        <w:rPr>
          <w:i/>
          <w:sz w:val="24"/>
        </w:rPr>
        <w:t>Appeals</w:t>
      </w:r>
      <w:r>
        <w:rPr>
          <w:i/>
          <w:spacing w:val="-2"/>
          <w:sz w:val="24"/>
        </w:rPr>
        <w:t xml:space="preserve"> </w:t>
      </w:r>
      <w:r>
        <w:rPr>
          <w:i/>
          <w:sz w:val="24"/>
        </w:rPr>
        <w:t>Process</w:t>
      </w:r>
      <w:r>
        <w:rPr>
          <w:i/>
          <w:spacing w:val="-2"/>
          <w:sz w:val="24"/>
        </w:rPr>
        <w:t xml:space="preserve"> </w:t>
      </w:r>
      <w:r>
        <w:rPr>
          <w:i/>
          <w:sz w:val="24"/>
        </w:rPr>
        <w:t>for</w:t>
      </w:r>
      <w:r>
        <w:rPr>
          <w:i/>
          <w:spacing w:val="-2"/>
          <w:sz w:val="24"/>
        </w:rPr>
        <w:t xml:space="preserve"> </w:t>
      </w:r>
      <w:r>
        <w:rPr>
          <w:i/>
          <w:sz w:val="24"/>
        </w:rPr>
        <w:t>Survey</w:t>
      </w:r>
      <w:r>
        <w:rPr>
          <w:i/>
          <w:spacing w:val="-1"/>
          <w:sz w:val="24"/>
        </w:rPr>
        <w:t xml:space="preserve"> </w:t>
      </w:r>
      <w:r>
        <w:rPr>
          <w:i/>
          <w:spacing w:val="-2"/>
          <w:sz w:val="24"/>
        </w:rPr>
        <w:t>Vendors</w:t>
      </w:r>
    </w:p>
    <w:p w:rsidR="00B41E06" w14:paraId="748971F8" w14:textId="77777777">
      <w:pPr>
        <w:pStyle w:val="BodyText"/>
        <w:ind w:left="360" w:right="427"/>
        <w:rPr>
          <w:b/>
        </w:rPr>
      </w:pPr>
      <w:r>
        <w:t xml:space="preserve">The estimated annual hour and cost burden for a survey vendor to provide information for HHS to determine continued compliance with approval criteria and QHP Enrollee Survey vendor minimum business requirements is approximately 5 hours and $428.65 for an estimated 5 vendors, as summarized in </w:t>
      </w:r>
      <w:hyperlink w:anchor="_bookmark5" w:history="1">
        <w:r>
          <w:t>Exhibit 5</w:t>
        </w:r>
      </w:hyperlink>
      <w:r>
        <w:t>. It is estimated that approximately one vendor may file an appeal</w:t>
      </w:r>
      <w:r>
        <w:rPr>
          <w:spacing w:val="-3"/>
        </w:rPr>
        <w:t xml:space="preserve"> </w:t>
      </w:r>
      <w:r>
        <w:t>each</w:t>
      </w:r>
      <w:r>
        <w:rPr>
          <w:spacing w:val="-3"/>
        </w:rPr>
        <w:t xml:space="preserve"> </w:t>
      </w:r>
      <w:r>
        <w:t>year,</w:t>
      </w:r>
      <w:r>
        <w:rPr>
          <w:spacing w:val="-3"/>
        </w:rPr>
        <w:t xml:space="preserve"> </w:t>
      </w:r>
      <w:r>
        <w:t>if</w:t>
      </w:r>
      <w:r>
        <w:rPr>
          <w:spacing w:val="-4"/>
        </w:rPr>
        <w:t xml:space="preserve"> </w:t>
      </w:r>
      <w:r>
        <w:t>not</w:t>
      </w:r>
      <w:r>
        <w:rPr>
          <w:spacing w:val="-3"/>
        </w:rPr>
        <w:t xml:space="preserve"> </w:t>
      </w:r>
      <w:r>
        <w:t>approved</w:t>
      </w:r>
      <w:r>
        <w:rPr>
          <w:spacing w:val="-3"/>
        </w:rPr>
        <w:t xml:space="preserve"> </w:t>
      </w:r>
      <w:r>
        <w:t>by</w:t>
      </w:r>
      <w:r>
        <w:rPr>
          <w:spacing w:val="-3"/>
        </w:rPr>
        <w:t xml:space="preserve"> </w:t>
      </w:r>
      <w:r>
        <w:t>HHS</w:t>
      </w:r>
      <w:r>
        <w:rPr>
          <w:spacing w:val="-3"/>
        </w:rPr>
        <w:t xml:space="preserve"> </w:t>
      </w:r>
      <w:r>
        <w:t>to</w:t>
      </w:r>
      <w:r>
        <w:rPr>
          <w:spacing w:val="-3"/>
        </w:rPr>
        <w:t xml:space="preserve"> </w:t>
      </w:r>
      <w:r>
        <w:t>be</w:t>
      </w:r>
      <w:r>
        <w:rPr>
          <w:spacing w:val="-4"/>
        </w:rPr>
        <w:t xml:space="preserve"> </w:t>
      </w:r>
      <w:r>
        <w:t>a</w:t>
      </w:r>
      <w:r>
        <w:rPr>
          <w:spacing w:val="-2"/>
        </w:rPr>
        <w:t xml:space="preserve"> </w:t>
      </w:r>
      <w:r>
        <w:t>QHP</w:t>
      </w:r>
      <w:r>
        <w:rPr>
          <w:spacing w:val="-3"/>
        </w:rPr>
        <w:t xml:space="preserve"> </w:t>
      </w:r>
      <w:r>
        <w:t>Enrollee</w:t>
      </w:r>
      <w:r>
        <w:rPr>
          <w:spacing w:val="-4"/>
        </w:rPr>
        <w:t xml:space="preserve"> </w:t>
      </w:r>
      <w:r>
        <w:t>Survey</w:t>
      </w:r>
      <w:r>
        <w:rPr>
          <w:spacing w:val="-3"/>
        </w:rPr>
        <w:t xml:space="preserve"> </w:t>
      </w:r>
      <w:r>
        <w:t>vendor.</w:t>
      </w:r>
      <w:r>
        <w:rPr>
          <w:spacing w:val="-3"/>
        </w:rPr>
        <w:t xml:space="preserve"> </w:t>
      </w:r>
      <w:r>
        <w:t>However,</w:t>
      </w:r>
      <w:r>
        <w:rPr>
          <w:spacing w:val="-3"/>
        </w:rPr>
        <w:t xml:space="preserve"> </w:t>
      </w:r>
      <w:r>
        <w:t>this</w:t>
      </w:r>
      <w:r>
        <w:rPr>
          <w:spacing w:val="-3"/>
        </w:rPr>
        <w:t xml:space="preserve"> </w:t>
      </w:r>
      <w:r>
        <w:t>is a conservative estimate as HHS has not received an appeal request since 2022. The annual hour and</w:t>
      </w:r>
      <w:r>
        <w:rPr>
          <w:spacing w:val="-2"/>
        </w:rPr>
        <w:t xml:space="preserve"> </w:t>
      </w:r>
      <w:r>
        <w:t>cost</w:t>
      </w:r>
      <w:r>
        <w:rPr>
          <w:spacing w:val="-2"/>
        </w:rPr>
        <w:t xml:space="preserve"> </w:t>
      </w:r>
      <w:r>
        <w:t>burden for</w:t>
      </w:r>
      <w:r>
        <w:rPr>
          <w:spacing w:val="-3"/>
        </w:rPr>
        <w:t xml:space="preserve"> </w:t>
      </w:r>
      <w:r>
        <w:t>a</w:t>
      </w:r>
      <w:r>
        <w:rPr>
          <w:spacing w:val="-3"/>
        </w:rPr>
        <w:t xml:space="preserve"> </w:t>
      </w:r>
      <w:r>
        <w:t>vendor</w:t>
      </w:r>
      <w:r>
        <w:rPr>
          <w:spacing w:val="-3"/>
        </w:rPr>
        <w:t xml:space="preserve"> </w:t>
      </w:r>
      <w:r>
        <w:t>filing</w:t>
      </w:r>
      <w:r>
        <w:rPr>
          <w:spacing w:val="-2"/>
        </w:rPr>
        <w:t xml:space="preserve"> </w:t>
      </w:r>
      <w:r>
        <w:t>an</w:t>
      </w:r>
      <w:r>
        <w:rPr>
          <w:spacing w:val="-2"/>
        </w:rPr>
        <w:t xml:space="preserve"> </w:t>
      </w:r>
      <w:r>
        <w:t>appeal</w:t>
      </w:r>
      <w:r>
        <w:rPr>
          <w:spacing w:val="-2"/>
        </w:rPr>
        <w:t xml:space="preserve"> </w:t>
      </w:r>
      <w:r>
        <w:t>is</w:t>
      </w:r>
      <w:r>
        <w:rPr>
          <w:spacing w:val="-2"/>
        </w:rPr>
        <w:t xml:space="preserve"> </w:t>
      </w:r>
      <w:r>
        <w:t>estimated</w:t>
      </w:r>
      <w:r>
        <w:rPr>
          <w:spacing w:val="-2"/>
        </w:rPr>
        <w:t xml:space="preserve"> </w:t>
      </w:r>
      <w:r>
        <w:t>to</w:t>
      </w:r>
      <w:r>
        <w:rPr>
          <w:spacing w:val="-2"/>
        </w:rPr>
        <w:t xml:space="preserve"> </w:t>
      </w:r>
      <w:r>
        <w:t>be</w:t>
      </w:r>
      <w:r>
        <w:rPr>
          <w:spacing w:val="-3"/>
        </w:rPr>
        <w:t xml:space="preserve"> </w:t>
      </w:r>
      <w:r>
        <w:t>one</w:t>
      </w:r>
      <w:r>
        <w:rPr>
          <w:spacing w:val="-3"/>
        </w:rPr>
        <w:t xml:space="preserve"> </w:t>
      </w:r>
      <w:r>
        <w:t>hour</w:t>
      </w:r>
      <w:r>
        <w:rPr>
          <w:spacing w:val="-3"/>
        </w:rPr>
        <w:t xml:space="preserve"> </w:t>
      </w:r>
      <w:r>
        <w:t>and</w:t>
      </w:r>
      <w:r>
        <w:rPr>
          <w:spacing w:val="-2"/>
        </w:rPr>
        <w:t xml:space="preserve"> </w:t>
      </w:r>
      <w:r>
        <w:t>$85.73.</w:t>
      </w:r>
      <w:r>
        <w:rPr>
          <w:spacing w:val="-2"/>
        </w:rPr>
        <w:t xml:space="preserve"> </w:t>
      </w:r>
      <w:r>
        <w:rPr>
          <w:b/>
        </w:rPr>
        <w:t>Therefore, the total annual estimated hour and cost burden for vendor monitoring and appeals is 6 hours and $514.38.</w:t>
      </w:r>
    </w:p>
    <w:p w:rsidR="00B41E06" w14:paraId="57E62264" w14:textId="77777777">
      <w:pPr>
        <w:pStyle w:val="Heading1"/>
        <w:spacing w:before="122" w:after="55"/>
        <w:ind w:left="360" w:firstLine="0"/>
        <w:rPr>
          <w:rFonts w:ascii="Arial Narrow"/>
        </w:rPr>
      </w:pPr>
      <w:bookmarkStart w:id="23" w:name="_bookmark5"/>
      <w:bookmarkEnd w:id="23"/>
      <w:r>
        <w:rPr>
          <w:rFonts w:ascii="Arial Narrow"/>
        </w:rPr>
        <w:t>Exhibit</w:t>
      </w:r>
      <w:r>
        <w:rPr>
          <w:rFonts w:ascii="Arial Narrow"/>
          <w:spacing w:val="-12"/>
        </w:rPr>
        <w:t xml:space="preserve"> </w:t>
      </w:r>
      <w:r>
        <w:rPr>
          <w:rFonts w:ascii="Arial Narrow"/>
        </w:rPr>
        <w:t>5.</w:t>
      </w:r>
      <w:r>
        <w:rPr>
          <w:rFonts w:ascii="Arial Narrow"/>
          <w:spacing w:val="-7"/>
        </w:rPr>
        <w:t xml:space="preserve"> </w:t>
      </w:r>
      <w:r>
        <w:rPr>
          <w:rFonts w:ascii="Arial Narrow"/>
        </w:rPr>
        <w:t>Annual</w:t>
      </w:r>
      <w:r>
        <w:rPr>
          <w:rFonts w:ascii="Arial Narrow"/>
          <w:spacing w:val="-9"/>
        </w:rPr>
        <w:t xml:space="preserve"> </w:t>
      </w:r>
      <w:r>
        <w:rPr>
          <w:rFonts w:ascii="Arial Narrow"/>
        </w:rPr>
        <w:t>Estimated</w:t>
      </w:r>
      <w:r>
        <w:rPr>
          <w:rFonts w:ascii="Arial Narrow"/>
          <w:spacing w:val="-7"/>
        </w:rPr>
        <w:t xml:space="preserve"> </w:t>
      </w:r>
      <w:r>
        <w:rPr>
          <w:rFonts w:ascii="Arial Narrow"/>
        </w:rPr>
        <w:t>Hour</w:t>
      </w:r>
      <w:r>
        <w:rPr>
          <w:rFonts w:ascii="Arial Narrow"/>
          <w:spacing w:val="-11"/>
        </w:rPr>
        <w:t xml:space="preserve"> </w:t>
      </w:r>
      <w:r>
        <w:rPr>
          <w:rFonts w:ascii="Arial Narrow"/>
        </w:rPr>
        <w:t>and</w:t>
      </w:r>
      <w:r>
        <w:rPr>
          <w:rFonts w:ascii="Arial Narrow"/>
          <w:spacing w:val="-10"/>
        </w:rPr>
        <w:t xml:space="preserve"> </w:t>
      </w:r>
      <w:r>
        <w:rPr>
          <w:rFonts w:ascii="Arial Narrow"/>
        </w:rPr>
        <w:t>Cost</w:t>
      </w:r>
      <w:r>
        <w:rPr>
          <w:rFonts w:ascii="Arial Narrow"/>
          <w:spacing w:val="-9"/>
        </w:rPr>
        <w:t xml:space="preserve"> </w:t>
      </w:r>
      <w:r>
        <w:rPr>
          <w:rFonts w:ascii="Arial Narrow"/>
        </w:rPr>
        <w:t>Burden</w:t>
      </w:r>
      <w:r>
        <w:rPr>
          <w:rFonts w:ascii="Arial Narrow"/>
          <w:spacing w:val="-7"/>
        </w:rPr>
        <w:t xml:space="preserve"> </w:t>
      </w:r>
      <w:r>
        <w:rPr>
          <w:rFonts w:ascii="Arial Narrow"/>
        </w:rPr>
        <w:t>for</w:t>
      </w:r>
      <w:r>
        <w:rPr>
          <w:rFonts w:ascii="Arial Narrow"/>
          <w:spacing w:val="-9"/>
        </w:rPr>
        <w:t xml:space="preserve"> </w:t>
      </w:r>
      <w:r>
        <w:rPr>
          <w:rFonts w:ascii="Arial Narrow"/>
        </w:rPr>
        <w:t>HHS</w:t>
      </w:r>
      <w:r>
        <w:rPr>
          <w:rFonts w:ascii="Arial Narrow"/>
          <w:spacing w:val="-9"/>
        </w:rPr>
        <w:t xml:space="preserve"> </w:t>
      </w:r>
      <w:r>
        <w:rPr>
          <w:rFonts w:ascii="Arial Narrow"/>
        </w:rPr>
        <w:t>Vendor</w:t>
      </w:r>
      <w:r>
        <w:rPr>
          <w:rFonts w:ascii="Arial Narrow"/>
          <w:spacing w:val="-8"/>
        </w:rPr>
        <w:t xml:space="preserve"> </w:t>
      </w:r>
      <w:r>
        <w:rPr>
          <w:rFonts w:ascii="Arial Narrow"/>
        </w:rPr>
        <w:t>Monitoring</w:t>
      </w:r>
      <w:r>
        <w:rPr>
          <w:rFonts w:ascii="Arial Narrow"/>
          <w:spacing w:val="-10"/>
        </w:rPr>
        <w:t xml:space="preserve"> </w:t>
      </w:r>
      <w:r>
        <w:rPr>
          <w:rFonts w:ascii="Arial Narrow"/>
        </w:rPr>
        <w:t>and</w:t>
      </w:r>
      <w:r>
        <w:rPr>
          <w:rFonts w:ascii="Arial Narrow"/>
          <w:spacing w:val="-9"/>
        </w:rPr>
        <w:t xml:space="preserve"> </w:t>
      </w:r>
      <w:r>
        <w:rPr>
          <w:rFonts w:ascii="Arial Narrow"/>
          <w:spacing w:val="-2"/>
        </w:rPr>
        <w:t>Appeals</w:t>
      </w:r>
    </w:p>
    <w:tbl>
      <w:tblPr>
        <w:tblW w:w="0" w:type="auto"/>
        <w:tblInd w:w="380" w:type="dxa"/>
        <w:tblBorders>
          <w:top w:val="single" w:sz="8" w:space="0" w:color="002C5F"/>
          <w:left w:val="single" w:sz="8" w:space="0" w:color="002C5F"/>
          <w:bottom w:val="single" w:sz="8" w:space="0" w:color="002C5F"/>
          <w:right w:val="single" w:sz="8" w:space="0" w:color="002C5F"/>
          <w:insideH w:val="single" w:sz="8" w:space="0" w:color="002C5F"/>
          <w:insideV w:val="single" w:sz="8" w:space="0" w:color="002C5F"/>
        </w:tblBorders>
        <w:tblLayout w:type="fixed"/>
        <w:tblCellMar>
          <w:left w:w="0" w:type="dxa"/>
          <w:right w:w="0" w:type="dxa"/>
        </w:tblCellMar>
        <w:tblLook w:val="01E0"/>
      </w:tblPr>
      <w:tblGrid>
        <w:gridCol w:w="2150"/>
        <w:gridCol w:w="1351"/>
        <w:gridCol w:w="1080"/>
        <w:gridCol w:w="1260"/>
        <w:gridCol w:w="2160"/>
        <w:gridCol w:w="1358"/>
      </w:tblGrid>
      <w:tr w14:paraId="28A78ED1" w14:textId="77777777">
        <w:tblPrEx>
          <w:tblW w:w="0" w:type="auto"/>
          <w:tblInd w:w="380" w:type="dxa"/>
          <w:tblBorders>
            <w:top w:val="single" w:sz="8" w:space="0" w:color="002C5F"/>
            <w:left w:val="single" w:sz="8" w:space="0" w:color="002C5F"/>
            <w:bottom w:val="single" w:sz="8" w:space="0" w:color="002C5F"/>
            <w:right w:val="single" w:sz="8" w:space="0" w:color="002C5F"/>
            <w:insideH w:val="single" w:sz="8" w:space="0" w:color="002C5F"/>
            <w:insideV w:val="single" w:sz="8" w:space="0" w:color="002C5F"/>
          </w:tblBorders>
          <w:tblLayout w:type="fixed"/>
          <w:tblCellMar>
            <w:left w:w="0" w:type="dxa"/>
            <w:right w:w="0" w:type="dxa"/>
          </w:tblCellMar>
          <w:tblLook w:val="01E0"/>
        </w:tblPrEx>
        <w:trPr>
          <w:trHeight w:val="1063"/>
        </w:trPr>
        <w:tc>
          <w:tcPr>
            <w:tcW w:w="2150" w:type="dxa"/>
            <w:tcBorders>
              <w:top w:val="nil"/>
              <w:bottom w:val="single" w:sz="4" w:space="0" w:color="000000"/>
              <w:right w:val="single" w:sz="8" w:space="0" w:color="FFFFFF"/>
            </w:tcBorders>
            <w:shd w:val="clear" w:color="auto" w:fill="002C5F"/>
          </w:tcPr>
          <w:p w:rsidR="00B41E06" w14:paraId="32C2345D" w14:textId="77777777">
            <w:pPr>
              <w:pStyle w:val="TableParagraph"/>
              <w:rPr>
                <w:b/>
                <w:sz w:val="20"/>
              </w:rPr>
            </w:pPr>
          </w:p>
          <w:p w:rsidR="00B41E06" w14:paraId="5F5FAC0D" w14:textId="77777777">
            <w:pPr>
              <w:pStyle w:val="TableParagraph"/>
              <w:rPr>
                <w:b/>
                <w:sz w:val="20"/>
              </w:rPr>
            </w:pPr>
          </w:p>
          <w:p w:rsidR="00B41E06" w14:paraId="74584783" w14:textId="77777777">
            <w:pPr>
              <w:pStyle w:val="TableParagraph"/>
              <w:spacing w:before="81"/>
              <w:rPr>
                <w:b/>
                <w:sz w:val="20"/>
              </w:rPr>
            </w:pPr>
          </w:p>
          <w:p w:rsidR="00B41E06" w14:paraId="79BC4FCB" w14:textId="77777777">
            <w:pPr>
              <w:pStyle w:val="TableParagraph"/>
              <w:ind w:left="107"/>
              <w:rPr>
                <w:b/>
                <w:sz w:val="20"/>
              </w:rPr>
            </w:pPr>
            <w:r>
              <w:rPr>
                <w:b/>
                <w:color w:val="FFFFFF"/>
                <w:sz w:val="20"/>
              </w:rPr>
              <w:t>Vendor</w:t>
            </w:r>
            <w:r>
              <w:rPr>
                <w:b/>
                <w:color w:val="FFFFFF"/>
                <w:spacing w:val="-3"/>
                <w:sz w:val="20"/>
              </w:rPr>
              <w:t xml:space="preserve"> </w:t>
            </w:r>
            <w:r>
              <w:rPr>
                <w:b/>
                <w:color w:val="FFFFFF"/>
                <w:spacing w:val="-2"/>
                <w:sz w:val="20"/>
              </w:rPr>
              <w:t>Activity</w:t>
            </w:r>
          </w:p>
        </w:tc>
        <w:tc>
          <w:tcPr>
            <w:tcW w:w="1351" w:type="dxa"/>
            <w:tcBorders>
              <w:top w:val="nil"/>
              <w:left w:val="single" w:sz="8" w:space="0" w:color="FFFFFF"/>
              <w:bottom w:val="single" w:sz="4" w:space="0" w:color="000000"/>
              <w:right w:val="single" w:sz="8" w:space="0" w:color="FFFFFF"/>
            </w:tcBorders>
            <w:shd w:val="clear" w:color="auto" w:fill="002C5F"/>
          </w:tcPr>
          <w:p w:rsidR="00B41E06" w14:paraId="484E0B78" w14:textId="77777777">
            <w:pPr>
              <w:pStyle w:val="TableParagraph"/>
              <w:rPr>
                <w:b/>
                <w:sz w:val="20"/>
              </w:rPr>
            </w:pPr>
          </w:p>
          <w:p w:rsidR="00B41E06" w14:paraId="751AC3A5" w14:textId="77777777">
            <w:pPr>
              <w:pStyle w:val="TableParagraph"/>
              <w:spacing w:before="83"/>
              <w:rPr>
                <w:b/>
                <w:sz w:val="20"/>
              </w:rPr>
            </w:pPr>
          </w:p>
          <w:p w:rsidR="00B41E06" w14:paraId="1ED094F8" w14:textId="77777777">
            <w:pPr>
              <w:pStyle w:val="TableParagraph"/>
              <w:ind w:left="108"/>
              <w:rPr>
                <w:b/>
                <w:sz w:val="20"/>
              </w:rPr>
            </w:pPr>
            <w:r>
              <w:rPr>
                <w:b/>
                <w:color w:val="FFFFFF"/>
                <w:sz w:val="20"/>
              </w:rPr>
              <w:t xml:space="preserve">Number of </w:t>
            </w:r>
            <w:r>
              <w:rPr>
                <w:b/>
                <w:color w:val="FFFFFF"/>
                <w:spacing w:val="-2"/>
                <w:sz w:val="20"/>
              </w:rPr>
              <w:t>Respondents</w:t>
            </w:r>
          </w:p>
        </w:tc>
        <w:tc>
          <w:tcPr>
            <w:tcW w:w="1080" w:type="dxa"/>
            <w:tcBorders>
              <w:top w:val="nil"/>
              <w:left w:val="single" w:sz="8" w:space="0" w:color="FFFFFF"/>
              <w:bottom w:val="single" w:sz="4" w:space="0" w:color="000000"/>
              <w:right w:val="nil"/>
            </w:tcBorders>
            <w:shd w:val="clear" w:color="auto" w:fill="002C5F"/>
          </w:tcPr>
          <w:p w:rsidR="00B41E06" w14:paraId="42EFA3AB" w14:textId="77777777">
            <w:pPr>
              <w:pStyle w:val="TableParagraph"/>
              <w:rPr>
                <w:b/>
                <w:sz w:val="20"/>
              </w:rPr>
            </w:pPr>
          </w:p>
          <w:p w:rsidR="00B41E06" w14:paraId="7E66AC16" w14:textId="77777777">
            <w:pPr>
              <w:pStyle w:val="TableParagraph"/>
              <w:spacing w:before="83"/>
              <w:rPr>
                <w:b/>
                <w:sz w:val="20"/>
              </w:rPr>
            </w:pPr>
          </w:p>
          <w:p w:rsidR="00B41E06" w14:paraId="43E4C772" w14:textId="77777777">
            <w:pPr>
              <w:pStyle w:val="TableParagraph"/>
              <w:ind w:left="105" w:right="182"/>
              <w:rPr>
                <w:b/>
                <w:sz w:val="20"/>
              </w:rPr>
            </w:pPr>
            <w:r>
              <w:rPr>
                <w:b/>
                <w:color w:val="FFFFFF"/>
                <w:sz w:val="20"/>
              </w:rPr>
              <w:t>Hours</w:t>
            </w:r>
            <w:r>
              <w:rPr>
                <w:b/>
                <w:color w:val="FFFFFF"/>
                <w:spacing w:val="-12"/>
                <w:sz w:val="20"/>
              </w:rPr>
              <w:t xml:space="preserve"> </w:t>
            </w:r>
            <w:r>
              <w:rPr>
                <w:b/>
                <w:color w:val="FFFFFF"/>
                <w:sz w:val="20"/>
              </w:rPr>
              <w:t xml:space="preserve">per </w:t>
            </w:r>
            <w:r>
              <w:rPr>
                <w:b/>
                <w:color w:val="FFFFFF"/>
                <w:spacing w:val="-2"/>
                <w:sz w:val="20"/>
              </w:rPr>
              <w:t>response</w:t>
            </w:r>
          </w:p>
        </w:tc>
        <w:tc>
          <w:tcPr>
            <w:tcW w:w="1260" w:type="dxa"/>
            <w:tcBorders>
              <w:top w:val="nil"/>
              <w:left w:val="nil"/>
              <w:bottom w:val="single" w:sz="4" w:space="0" w:color="000000"/>
              <w:right w:val="single" w:sz="8" w:space="0" w:color="FFFFFF"/>
            </w:tcBorders>
            <w:shd w:val="clear" w:color="auto" w:fill="002C5F"/>
          </w:tcPr>
          <w:p w:rsidR="00B41E06" w14:paraId="3AC43934" w14:textId="77777777">
            <w:pPr>
              <w:pStyle w:val="TableParagraph"/>
              <w:rPr>
                <w:b/>
                <w:sz w:val="20"/>
              </w:rPr>
            </w:pPr>
          </w:p>
          <w:p w:rsidR="00B41E06" w14:paraId="14D36319" w14:textId="77777777">
            <w:pPr>
              <w:pStyle w:val="TableParagraph"/>
              <w:spacing w:before="83"/>
              <w:rPr>
                <w:b/>
                <w:sz w:val="20"/>
              </w:rPr>
            </w:pPr>
          </w:p>
          <w:p w:rsidR="00B41E06" w14:paraId="0C8D7C71" w14:textId="77777777">
            <w:pPr>
              <w:pStyle w:val="TableParagraph"/>
              <w:ind w:left="115" w:right="115"/>
              <w:rPr>
                <w:b/>
                <w:sz w:val="20"/>
              </w:rPr>
            </w:pPr>
            <w:r>
              <w:rPr>
                <w:b/>
                <w:color w:val="FFFFFF"/>
                <w:sz w:val="20"/>
              </w:rPr>
              <w:t>Total</w:t>
            </w:r>
            <w:r>
              <w:rPr>
                <w:b/>
                <w:color w:val="FFFFFF"/>
                <w:spacing w:val="-12"/>
                <w:sz w:val="20"/>
              </w:rPr>
              <w:t xml:space="preserve"> </w:t>
            </w:r>
            <w:r>
              <w:rPr>
                <w:b/>
                <w:color w:val="FFFFFF"/>
                <w:sz w:val="20"/>
              </w:rPr>
              <w:t xml:space="preserve">Burden </w:t>
            </w:r>
            <w:r>
              <w:rPr>
                <w:b/>
                <w:color w:val="FFFFFF"/>
                <w:spacing w:val="-2"/>
                <w:sz w:val="20"/>
              </w:rPr>
              <w:t>Hours</w:t>
            </w:r>
          </w:p>
        </w:tc>
        <w:tc>
          <w:tcPr>
            <w:tcW w:w="2160" w:type="dxa"/>
            <w:tcBorders>
              <w:top w:val="nil"/>
              <w:left w:val="single" w:sz="8" w:space="0" w:color="FFFFFF"/>
              <w:bottom w:val="single" w:sz="4" w:space="0" w:color="000000"/>
              <w:right w:val="single" w:sz="8" w:space="0" w:color="FFFFFF"/>
            </w:tcBorders>
            <w:shd w:val="clear" w:color="auto" w:fill="002C5F"/>
          </w:tcPr>
          <w:p w:rsidR="00B41E06" w14:paraId="2AEBC408" w14:textId="77777777">
            <w:pPr>
              <w:pStyle w:val="TableParagraph"/>
              <w:spacing w:before="81"/>
              <w:ind w:left="105" w:right="87"/>
              <w:rPr>
                <w:b/>
                <w:sz w:val="20"/>
              </w:rPr>
            </w:pPr>
            <w:r>
              <w:rPr>
                <w:b/>
                <w:color w:val="FFFFFF"/>
                <w:sz w:val="20"/>
              </w:rPr>
              <w:t>Total</w:t>
            </w:r>
            <w:r>
              <w:rPr>
                <w:b/>
                <w:color w:val="FFFFFF"/>
                <w:spacing w:val="-12"/>
                <w:sz w:val="20"/>
              </w:rPr>
              <w:t xml:space="preserve"> </w:t>
            </w:r>
            <w:r>
              <w:rPr>
                <w:b/>
                <w:color w:val="FFFFFF"/>
                <w:sz w:val="20"/>
              </w:rPr>
              <w:t>Hourly</w:t>
            </w:r>
            <w:r>
              <w:rPr>
                <w:b/>
                <w:color w:val="FFFFFF"/>
                <w:spacing w:val="-11"/>
                <w:sz w:val="20"/>
              </w:rPr>
              <w:t xml:space="preserve"> </w:t>
            </w:r>
            <w:r>
              <w:rPr>
                <w:b/>
                <w:color w:val="FFFFFF"/>
                <w:sz w:val="20"/>
              </w:rPr>
              <w:t>Wage</w:t>
            </w:r>
            <w:r>
              <w:rPr>
                <w:b/>
                <w:color w:val="FFFFFF"/>
                <w:spacing w:val="-12"/>
                <w:sz w:val="20"/>
              </w:rPr>
              <w:t xml:space="preserve"> </w:t>
            </w:r>
            <w:r>
              <w:rPr>
                <w:b/>
                <w:color w:val="FFFFFF"/>
                <w:sz w:val="20"/>
              </w:rPr>
              <w:t>Rate for Period 2022 – 2025 (Business Operations Specialist, Other)</w:t>
            </w:r>
          </w:p>
        </w:tc>
        <w:tc>
          <w:tcPr>
            <w:tcW w:w="1358" w:type="dxa"/>
            <w:tcBorders>
              <w:top w:val="nil"/>
              <w:left w:val="single" w:sz="8" w:space="0" w:color="FFFFFF"/>
              <w:bottom w:val="single" w:sz="4" w:space="0" w:color="000000"/>
            </w:tcBorders>
            <w:shd w:val="clear" w:color="auto" w:fill="002C5F"/>
          </w:tcPr>
          <w:p w:rsidR="00B41E06" w14:paraId="31CC3D99" w14:textId="77777777">
            <w:pPr>
              <w:pStyle w:val="TableParagraph"/>
              <w:rPr>
                <w:b/>
                <w:sz w:val="20"/>
              </w:rPr>
            </w:pPr>
          </w:p>
          <w:p w:rsidR="00B41E06" w14:paraId="0363F67F" w14:textId="77777777">
            <w:pPr>
              <w:pStyle w:val="TableParagraph"/>
              <w:spacing w:before="83"/>
              <w:rPr>
                <w:b/>
                <w:sz w:val="20"/>
              </w:rPr>
            </w:pPr>
          </w:p>
          <w:p w:rsidR="00B41E06" w14:paraId="2CF4066F" w14:textId="77777777">
            <w:pPr>
              <w:pStyle w:val="TableParagraph"/>
              <w:ind w:left="105" w:right="423"/>
              <w:rPr>
                <w:b/>
                <w:sz w:val="20"/>
              </w:rPr>
            </w:pPr>
            <w:r>
              <w:rPr>
                <w:b/>
                <w:color w:val="FFFFFF"/>
                <w:sz w:val="20"/>
              </w:rPr>
              <w:t>Total</w:t>
            </w:r>
            <w:r>
              <w:rPr>
                <w:b/>
                <w:color w:val="FFFFFF"/>
                <w:spacing w:val="-12"/>
                <w:sz w:val="20"/>
              </w:rPr>
              <w:t xml:space="preserve"> </w:t>
            </w:r>
            <w:r>
              <w:rPr>
                <w:b/>
                <w:color w:val="FFFFFF"/>
                <w:sz w:val="20"/>
              </w:rPr>
              <w:t xml:space="preserve">Cost </w:t>
            </w:r>
            <w:r>
              <w:rPr>
                <w:b/>
                <w:color w:val="FFFFFF"/>
                <w:spacing w:val="-2"/>
                <w:sz w:val="20"/>
              </w:rPr>
              <w:t>Burden</w:t>
            </w:r>
          </w:p>
        </w:tc>
      </w:tr>
      <w:tr w14:paraId="36DA8BEB" w14:textId="77777777">
        <w:tblPrEx>
          <w:tblW w:w="0" w:type="auto"/>
          <w:tblInd w:w="380" w:type="dxa"/>
          <w:tblLayout w:type="fixed"/>
          <w:tblCellMar>
            <w:left w:w="0" w:type="dxa"/>
            <w:right w:w="0" w:type="dxa"/>
          </w:tblCellMar>
          <w:tblLook w:val="01E0"/>
        </w:tblPrEx>
        <w:trPr>
          <w:trHeight w:val="585"/>
        </w:trPr>
        <w:tc>
          <w:tcPr>
            <w:tcW w:w="2150" w:type="dxa"/>
            <w:tcBorders>
              <w:top w:val="single" w:sz="4" w:space="0" w:color="000000"/>
              <w:left w:val="single" w:sz="4" w:space="0" w:color="000000"/>
              <w:bottom w:val="single" w:sz="4" w:space="0" w:color="000000"/>
              <w:right w:val="single" w:sz="4" w:space="0" w:color="000000"/>
            </w:tcBorders>
          </w:tcPr>
          <w:p w:rsidR="00B41E06" w14:paraId="3F1EAE22" w14:textId="77777777">
            <w:pPr>
              <w:pStyle w:val="TableParagraph"/>
              <w:spacing w:before="62"/>
              <w:ind w:left="112" w:right="716"/>
              <w:rPr>
                <w:b/>
                <w:sz w:val="20"/>
              </w:rPr>
            </w:pPr>
            <w:r>
              <w:rPr>
                <w:b/>
                <w:sz w:val="20"/>
              </w:rPr>
              <w:t>Compliance</w:t>
            </w:r>
            <w:r>
              <w:rPr>
                <w:b/>
                <w:spacing w:val="-12"/>
                <w:sz w:val="20"/>
              </w:rPr>
              <w:t xml:space="preserve"> </w:t>
            </w:r>
            <w:r>
              <w:rPr>
                <w:b/>
                <w:sz w:val="20"/>
              </w:rPr>
              <w:t xml:space="preserve">with </w:t>
            </w:r>
            <w:r>
              <w:rPr>
                <w:b/>
                <w:spacing w:val="-2"/>
                <w:sz w:val="20"/>
              </w:rPr>
              <w:t>monitoring</w:t>
            </w:r>
          </w:p>
        </w:tc>
        <w:tc>
          <w:tcPr>
            <w:tcW w:w="1351" w:type="dxa"/>
            <w:tcBorders>
              <w:top w:val="single" w:sz="4" w:space="0" w:color="000000"/>
              <w:left w:val="single" w:sz="4" w:space="0" w:color="000000"/>
              <w:bottom w:val="single" w:sz="4" w:space="0" w:color="000000"/>
              <w:right w:val="single" w:sz="4" w:space="0" w:color="000000"/>
            </w:tcBorders>
          </w:tcPr>
          <w:p w:rsidR="00B41E06" w14:paraId="170B2FC3" w14:textId="77777777">
            <w:pPr>
              <w:pStyle w:val="TableParagraph"/>
              <w:spacing w:before="177"/>
              <w:ind w:left="17"/>
              <w:jc w:val="center"/>
              <w:rPr>
                <w:sz w:val="20"/>
              </w:rPr>
            </w:pPr>
            <w:r>
              <w:rPr>
                <w:spacing w:val="-10"/>
                <w:sz w:val="20"/>
              </w:rPr>
              <w:t>5</w:t>
            </w:r>
          </w:p>
        </w:tc>
        <w:tc>
          <w:tcPr>
            <w:tcW w:w="1080" w:type="dxa"/>
            <w:tcBorders>
              <w:top w:val="single" w:sz="4" w:space="0" w:color="000000"/>
              <w:left w:val="single" w:sz="4" w:space="0" w:color="000000"/>
              <w:bottom w:val="single" w:sz="4" w:space="0" w:color="000000"/>
              <w:right w:val="single" w:sz="4" w:space="0" w:color="000000"/>
            </w:tcBorders>
          </w:tcPr>
          <w:p w:rsidR="00B41E06" w14:paraId="2334046A" w14:textId="77777777">
            <w:pPr>
              <w:pStyle w:val="TableParagraph"/>
              <w:spacing w:before="177"/>
              <w:ind w:left="15"/>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41E06" w14:paraId="1D9A0F4E" w14:textId="77777777">
            <w:pPr>
              <w:pStyle w:val="TableParagraph"/>
              <w:spacing w:before="177"/>
              <w:ind w:left="15" w:right="3"/>
              <w:jc w:val="center"/>
              <w:rPr>
                <w:sz w:val="20"/>
              </w:rPr>
            </w:pPr>
            <w:r>
              <w:rPr>
                <w:spacing w:val="-10"/>
                <w:sz w:val="20"/>
              </w:rPr>
              <w:t>5</w:t>
            </w:r>
          </w:p>
        </w:tc>
        <w:tc>
          <w:tcPr>
            <w:tcW w:w="2160" w:type="dxa"/>
            <w:tcBorders>
              <w:top w:val="single" w:sz="4" w:space="0" w:color="000000"/>
              <w:left w:val="single" w:sz="4" w:space="0" w:color="000000"/>
              <w:bottom w:val="single" w:sz="4" w:space="0" w:color="000000"/>
              <w:right w:val="single" w:sz="4" w:space="0" w:color="000000"/>
            </w:tcBorders>
          </w:tcPr>
          <w:p w:rsidR="00B41E06" w14:paraId="3A49F10A" w14:textId="77777777">
            <w:pPr>
              <w:pStyle w:val="TableParagraph"/>
              <w:spacing w:before="177"/>
              <w:ind w:left="13"/>
              <w:jc w:val="center"/>
              <w:rPr>
                <w:sz w:val="20"/>
              </w:rPr>
            </w:pPr>
            <w:r>
              <w:rPr>
                <w:spacing w:val="-2"/>
                <w:sz w:val="20"/>
              </w:rPr>
              <w:t>$85.73</w:t>
            </w:r>
          </w:p>
        </w:tc>
        <w:tc>
          <w:tcPr>
            <w:tcW w:w="1358" w:type="dxa"/>
            <w:tcBorders>
              <w:top w:val="single" w:sz="4" w:space="0" w:color="000000"/>
              <w:left w:val="single" w:sz="4" w:space="0" w:color="000000"/>
              <w:bottom w:val="single" w:sz="4" w:space="0" w:color="000000"/>
              <w:right w:val="single" w:sz="4" w:space="0" w:color="000000"/>
            </w:tcBorders>
          </w:tcPr>
          <w:p w:rsidR="00B41E06" w14:paraId="41B0CDF8" w14:textId="77777777">
            <w:pPr>
              <w:pStyle w:val="TableParagraph"/>
              <w:spacing w:before="177"/>
              <w:ind w:left="18"/>
              <w:jc w:val="center"/>
              <w:rPr>
                <w:sz w:val="20"/>
              </w:rPr>
            </w:pPr>
            <w:r>
              <w:rPr>
                <w:spacing w:val="-2"/>
                <w:sz w:val="20"/>
              </w:rPr>
              <w:t>$428.65</w:t>
            </w:r>
          </w:p>
        </w:tc>
      </w:tr>
      <w:tr w14:paraId="2FCCFDDF" w14:textId="77777777">
        <w:tblPrEx>
          <w:tblW w:w="0" w:type="auto"/>
          <w:tblInd w:w="380" w:type="dxa"/>
          <w:tblLayout w:type="fixed"/>
          <w:tblCellMar>
            <w:left w:w="0" w:type="dxa"/>
            <w:right w:w="0" w:type="dxa"/>
          </w:tblCellMar>
          <w:tblLook w:val="01E0"/>
        </w:tblPrEx>
        <w:trPr>
          <w:trHeight w:val="402"/>
        </w:trPr>
        <w:tc>
          <w:tcPr>
            <w:tcW w:w="2150" w:type="dxa"/>
            <w:tcBorders>
              <w:top w:val="single" w:sz="4" w:space="0" w:color="000000"/>
              <w:left w:val="single" w:sz="4" w:space="0" w:color="000000"/>
              <w:bottom w:val="single" w:sz="4" w:space="0" w:color="000000"/>
              <w:right w:val="single" w:sz="4" w:space="0" w:color="000000"/>
            </w:tcBorders>
          </w:tcPr>
          <w:p w:rsidR="00B41E06" w14:paraId="793694A1" w14:textId="77777777">
            <w:pPr>
              <w:pStyle w:val="TableParagraph"/>
              <w:spacing w:before="86"/>
              <w:ind w:left="112"/>
              <w:rPr>
                <w:b/>
                <w:sz w:val="20"/>
              </w:rPr>
            </w:pPr>
            <w:r>
              <w:rPr>
                <w:b/>
                <w:sz w:val="20"/>
              </w:rPr>
              <w:t>Filing</w:t>
            </w:r>
            <w:r>
              <w:rPr>
                <w:b/>
                <w:spacing w:val="-2"/>
                <w:sz w:val="20"/>
              </w:rPr>
              <w:t xml:space="preserve"> </w:t>
            </w:r>
            <w:r>
              <w:rPr>
                <w:b/>
                <w:sz w:val="20"/>
              </w:rPr>
              <w:t>an</w:t>
            </w:r>
            <w:r>
              <w:rPr>
                <w:b/>
                <w:spacing w:val="-1"/>
                <w:sz w:val="20"/>
              </w:rPr>
              <w:t xml:space="preserve"> </w:t>
            </w:r>
            <w:r>
              <w:rPr>
                <w:b/>
                <w:spacing w:val="-2"/>
                <w:sz w:val="20"/>
              </w:rPr>
              <w:t>appeal</w:t>
            </w:r>
          </w:p>
        </w:tc>
        <w:tc>
          <w:tcPr>
            <w:tcW w:w="1351" w:type="dxa"/>
            <w:tcBorders>
              <w:top w:val="single" w:sz="4" w:space="0" w:color="000000"/>
              <w:left w:val="single" w:sz="4" w:space="0" w:color="000000"/>
              <w:bottom w:val="single" w:sz="4" w:space="0" w:color="000000"/>
              <w:right w:val="single" w:sz="4" w:space="0" w:color="000000"/>
            </w:tcBorders>
          </w:tcPr>
          <w:p w:rsidR="00B41E06" w14:paraId="3DF0D1A9" w14:textId="77777777">
            <w:pPr>
              <w:pStyle w:val="TableParagraph"/>
              <w:spacing w:before="86"/>
              <w:ind w:left="17"/>
              <w:jc w:val="center"/>
              <w:rPr>
                <w:sz w:val="20"/>
              </w:rPr>
            </w:pPr>
            <w:r>
              <w:rPr>
                <w:spacing w:val="-10"/>
                <w:sz w:val="20"/>
              </w:rPr>
              <w:t>1</w:t>
            </w:r>
          </w:p>
        </w:tc>
        <w:tc>
          <w:tcPr>
            <w:tcW w:w="1080" w:type="dxa"/>
            <w:tcBorders>
              <w:top w:val="single" w:sz="4" w:space="0" w:color="000000"/>
              <w:left w:val="single" w:sz="4" w:space="0" w:color="000000"/>
              <w:bottom w:val="single" w:sz="4" w:space="0" w:color="000000"/>
              <w:right w:val="single" w:sz="4" w:space="0" w:color="000000"/>
            </w:tcBorders>
          </w:tcPr>
          <w:p w:rsidR="00B41E06" w14:paraId="5AA80CE5" w14:textId="77777777">
            <w:pPr>
              <w:pStyle w:val="TableParagraph"/>
              <w:spacing w:before="86"/>
              <w:ind w:left="15"/>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rsidR="00B41E06" w14:paraId="7C03987C" w14:textId="77777777">
            <w:pPr>
              <w:pStyle w:val="TableParagraph"/>
              <w:spacing w:before="86"/>
              <w:ind w:left="15" w:right="3"/>
              <w:jc w:val="center"/>
              <w:rPr>
                <w:sz w:val="20"/>
              </w:rPr>
            </w:pPr>
            <w:r>
              <w:rPr>
                <w:spacing w:val="-10"/>
                <w:sz w:val="20"/>
              </w:rPr>
              <w:t>1</w:t>
            </w:r>
          </w:p>
        </w:tc>
        <w:tc>
          <w:tcPr>
            <w:tcW w:w="2160" w:type="dxa"/>
            <w:tcBorders>
              <w:top w:val="single" w:sz="4" w:space="0" w:color="000000"/>
              <w:left w:val="single" w:sz="4" w:space="0" w:color="000000"/>
              <w:bottom w:val="single" w:sz="4" w:space="0" w:color="000000"/>
              <w:right w:val="single" w:sz="4" w:space="0" w:color="000000"/>
            </w:tcBorders>
          </w:tcPr>
          <w:p w:rsidR="00B41E06" w14:paraId="30FDD172" w14:textId="77777777">
            <w:pPr>
              <w:pStyle w:val="TableParagraph"/>
              <w:spacing w:before="86"/>
              <w:ind w:left="13"/>
              <w:jc w:val="center"/>
              <w:rPr>
                <w:sz w:val="20"/>
              </w:rPr>
            </w:pPr>
            <w:r>
              <w:rPr>
                <w:spacing w:val="-2"/>
                <w:sz w:val="20"/>
              </w:rPr>
              <w:t>$85.73</w:t>
            </w:r>
          </w:p>
        </w:tc>
        <w:tc>
          <w:tcPr>
            <w:tcW w:w="1358" w:type="dxa"/>
            <w:tcBorders>
              <w:top w:val="single" w:sz="4" w:space="0" w:color="000000"/>
              <w:left w:val="single" w:sz="4" w:space="0" w:color="000000"/>
              <w:bottom w:val="single" w:sz="4" w:space="0" w:color="000000"/>
              <w:right w:val="single" w:sz="4" w:space="0" w:color="000000"/>
            </w:tcBorders>
          </w:tcPr>
          <w:p w:rsidR="00B41E06" w14:paraId="1458DAC2" w14:textId="77777777">
            <w:pPr>
              <w:pStyle w:val="TableParagraph"/>
              <w:spacing w:before="86"/>
              <w:ind w:left="18"/>
              <w:jc w:val="center"/>
              <w:rPr>
                <w:sz w:val="20"/>
              </w:rPr>
            </w:pPr>
            <w:r>
              <w:rPr>
                <w:spacing w:val="-2"/>
                <w:sz w:val="20"/>
              </w:rPr>
              <w:t>$85.73</w:t>
            </w:r>
          </w:p>
        </w:tc>
      </w:tr>
      <w:tr w14:paraId="4167948D" w14:textId="77777777">
        <w:tblPrEx>
          <w:tblW w:w="0" w:type="auto"/>
          <w:tblInd w:w="380" w:type="dxa"/>
          <w:tblLayout w:type="fixed"/>
          <w:tblCellMar>
            <w:left w:w="0" w:type="dxa"/>
            <w:right w:w="0" w:type="dxa"/>
          </w:tblCellMar>
          <w:tblLook w:val="01E0"/>
        </w:tblPrEx>
        <w:trPr>
          <w:trHeight w:val="400"/>
        </w:trPr>
        <w:tc>
          <w:tcPr>
            <w:tcW w:w="2150" w:type="dxa"/>
            <w:tcBorders>
              <w:top w:val="single" w:sz="4" w:space="0" w:color="000000"/>
              <w:left w:val="single" w:sz="4" w:space="0" w:color="000000"/>
              <w:bottom w:val="single" w:sz="4" w:space="0" w:color="000000"/>
              <w:right w:val="single" w:sz="4" w:space="0" w:color="000000"/>
            </w:tcBorders>
            <w:shd w:val="clear" w:color="auto" w:fill="F1F1F1"/>
          </w:tcPr>
          <w:p w:rsidR="00B41E06" w14:paraId="66343318" w14:textId="77777777">
            <w:pPr>
              <w:pStyle w:val="TableParagraph"/>
              <w:spacing w:before="83"/>
              <w:ind w:right="88"/>
              <w:jc w:val="right"/>
              <w:rPr>
                <w:b/>
                <w:sz w:val="20"/>
              </w:rPr>
            </w:pPr>
            <w:r>
              <w:rPr>
                <w:b/>
                <w:spacing w:val="-2"/>
                <w:sz w:val="20"/>
              </w:rPr>
              <w:t>Total</w:t>
            </w:r>
          </w:p>
        </w:tc>
        <w:tc>
          <w:tcPr>
            <w:tcW w:w="1351" w:type="dxa"/>
            <w:tcBorders>
              <w:top w:val="single" w:sz="4" w:space="0" w:color="000000"/>
              <w:left w:val="single" w:sz="4" w:space="0" w:color="000000"/>
              <w:bottom w:val="single" w:sz="4" w:space="0" w:color="000000"/>
              <w:right w:val="single" w:sz="4" w:space="0" w:color="000000"/>
            </w:tcBorders>
            <w:shd w:val="clear" w:color="auto" w:fill="F1F1F1"/>
          </w:tcPr>
          <w:p w:rsidR="00B41E06" w14:paraId="7B990CD0" w14:textId="77777777">
            <w:pPr>
              <w:pStyle w:val="TableParagraph"/>
              <w:spacing w:before="83"/>
              <w:ind w:left="17"/>
              <w:jc w:val="center"/>
              <w:rPr>
                <w:sz w:val="20"/>
              </w:rPr>
            </w:pPr>
            <w:r>
              <w:rPr>
                <w:spacing w:val="-10"/>
                <w:sz w:val="20"/>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1F1F1"/>
          </w:tcPr>
          <w:p w:rsidR="00B41E06" w14:paraId="398D7363" w14:textId="77777777">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1F1F1"/>
          </w:tcPr>
          <w:p w:rsidR="00B41E06" w14:paraId="02905F21" w14:textId="77777777">
            <w:pPr>
              <w:pStyle w:val="TableParagraph"/>
              <w:spacing w:before="83"/>
              <w:ind w:left="15" w:right="3"/>
              <w:jc w:val="center"/>
              <w:rPr>
                <w:sz w:val="20"/>
              </w:rPr>
            </w:pPr>
            <w:r>
              <w:rPr>
                <w:spacing w:val="-10"/>
                <w:sz w:val="20"/>
              </w:rPr>
              <w:t>6</w:t>
            </w:r>
          </w:p>
        </w:tc>
        <w:tc>
          <w:tcPr>
            <w:tcW w:w="2160" w:type="dxa"/>
            <w:tcBorders>
              <w:top w:val="single" w:sz="4" w:space="0" w:color="000000"/>
              <w:left w:val="single" w:sz="4" w:space="0" w:color="000000"/>
              <w:bottom w:val="single" w:sz="4" w:space="0" w:color="000000"/>
              <w:right w:val="single" w:sz="4" w:space="0" w:color="000000"/>
            </w:tcBorders>
            <w:shd w:val="clear" w:color="auto" w:fill="F1F1F1"/>
          </w:tcPr>
          <w:p w:rsidR="00B41E06" w14:paraId="779E375F" w14:textId="77777777">
            <w:pPr>
              <w:pStyle w:val="TableParagraph"/>
              <w:rPr>
                <w:rFonts w:ascii="Times New Roman"/>
                <w:sz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F1F1F1"/>
          </w:tcPr>
          <w:p w:rsidR="00B41E06" w14:paraId="0BBF352C" w14:textId="77777777">
            <w:pPr>
              <w:pStyle w:val="TableParagraph"/>
              <w:spacing w:before="83"/>
              <w:ind w:left="18"/>
              <w:jc w:val="center"/>
              <w:rPr>
                <w:sz w:val="20"/>
              </w:rPr>
            </w:pPr>
            <w:r>
              <w:rPr>
                <w:spacing w:val="-2"/>
                <w:sz w:val="20"/>
              </w:rPr>
              <w:t>$514.38</w:t>
            </w:r>
          </w:p>
        </w:tc>
      </w:tr>
    </w:tbl>
    <w:p w:rsidR="00B41E06" w14:paraId="3DBACE93" w14:textId="77777777">
      <w:pPr>
        <w:pStyle w:val="BodyText"/>
        <w:spacing w:before="0"/>
        <w:rPr>
          <w:rFonts w:ascii="Arial Narrow"/>
          <w:b/>
          <w:sz w:val="20"/>
        </w:rPr>
      </w:pPr>
    </w:p>
    <w:p w:rsidR="00B41E06" w14:paraId="42939FB7" w14:textId="77777777">
      <w:pPr>
        <w:pStyle w:val="BodyText"/>
        <w:spacing w:before="0"/>
        <w:rPr>
          <w:rFonts w:ascii="Arial Narrow"/>
          <w:b/>
          <w:sz w:val="20"/>
        </w:rPr>
      </w:pPr>
    </w:p>
    <w:p w:rsidR="00B41E06" w14:paraId="3462FFCE" w14:textId="77777777">
      <w:pPr>
        <w:pStyle w:val="BodyText"/>
        <w:spacing w:before="0"/>
        <w:rPr>
          <w:rFonts w:ascii="Arial Narrow"/>
          <w:b/>
          <w:sz w:val="20"/>
        </w:rPr>
      </w:pPr>
    </w:p>
    <w:p w:rsidR="00B41E06" w14:paraId="54FC50E2" w14:textId="77777777">
      <w:pPr>
        <w:pStyle w:val="BodyText"/>
        <w:spacing w:before="0"/>
        <w:rPr>
          <w:rFonts w:ascii="Arial Narrow"/>
          <w:b/>
          <w:sz w:val="20"/>
        </w:rPr>
      </w:pPr>
    </w:p>
    <w:p w:rsidR="00B41E06" w14:paraId="6EB7E024" w14:textId="77777777">
      <w:pPr>
        <w:pStyle w:val="BodyText"/>
        <w:spacing w:before="190"/>
        <w:rPr>
          <w:rFonts w:ascii="Arial Narrow"/>
          <w:b/>
          <w:sz w:val="20"/>
        </w:rPr>
      </w:pPr>
      <w:r>
        <w:rPr>
          <w:rFonts w:ascii="Arial Narrow"/>
          <w:b/>
          <w:noProof/>
          <w:sz w:val="20"/>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281959</wp:posOffset>
                </wp:positionV>
                <wp:extent cx="1828800" cy="762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38" style="width:2in;height:0.6pt;margin-top:22.2pt;margin-left:1in;mso-position-horizontal-relative:page;mso-wrap-distance-bottom:0;mso-wrap-distance-left:0;mso-wrap-distance-right:0;mso-wrap-distance-top:0;mso-wrap-style:square;position:absolute;visibility:visible;v-text-anchor:top;z-index:-251628544" coordsize="1828800,7620" path="m1828800,l,,,7619l1828800,7619l1828800,xe" fillcolor="black" stroked="f">
                <v:path arrowok="t"/>
                <w10:wrap type="topAndBottom"/>
              </v:shape>
            </w:pict>
          </mc:Fallback>
        </mc:AlternateContent>
      </w:r>
    </w:p>
    <w:p w:rsidR="00B41E06" w14:paraId="1F1EB074" w14:textId="77777777">
      <w:pPr>
        <w:spacing w:before="163"/>
        <w:ind w:left="360"/>
        <w:rPr>
          <w:sz w:val="20"/>
        </w:rPr>
      </w:pPr>
      <w:r>
        <w:rPr>
          <w:sz w:val="20"/>
          <w:vertAlign w:val="superscript"/>
        </w:rPr>
        <w:t>16</w:t>
      </w:r>
      <w:r>
        <w:rPr>
          <w:spacing w:val="-5"/>
          <w:sz w:val="20"/>
        </w:rPr>
        <w:t xml:space="preserve"> </w:t>
      </w:r>
      <w:r>
        <w:rPr>
          <w:sz w:val="20"/>
        </w:rPr>
        <w:t>See</w:t>
      </w:r>
      <w:r>
        <w:rPr>
          <w:spacing w:val="-4"/>
          <w:sz w:val="20"/>
        </w:rPr>
        <w:t xml:space="preserve"> </w:t>
      </w:r>
      <w:hyperlink w:anchor="_bookmark2" w:history="1">
        <w:r>
          <w:rPr>
            <w:sz w:val="20"/>
          </w:rPr>
          <w:t>Exhibit</w:t>
        </w:r>
        <w:r>
          <w:rPr>
            <w:spacing w:val="-4"/>
            <w:sz w:val="20"/>
          </w:rPr>
          <w:t xml:space="preserve"> </w:t>
        </w:r>
        <w:r>
          <w:rPr>
            <w:sz w:val="20"/>
          </w:rPr>
          <w:t>2</w:t>
        </w:r>
      </w:hyperlink>
      <w:r>
        <w:rPr>
          <w:spacing w:val="-5"/>
          <w:sz w:val="20"/>
        </w:rPr>
        <w:t xml:space="preserve"> </w:t>
      </w:r>
      <w:r>
        <w:rPr>
          <w:sz w:val="20"/>
        </w:rPr>
        <w:t>for</w:t>
      </w:r>
      <w:r>
        <w:rPr>
          <w:spacing w:val="-7"/>
          <w:sz w:val="20"/>
        </w:rPr>
        <w:t xml:space="preserve"> </w:t>
      </w:r>
      <w:r>
        <w:rPr>
          <w:sz w:val="20"/>
        </w:rPr>
        <w:t>details</w:t>
      </w:r>
      <w:r>
        <w:rPr>
          <w:spacing w:val="-5"/>
          <w:sz w:val="20"/>
        </w:rPr>
        <w:t xml:space="preserve"> </w:t>
      </w:r>
      <w:r>
        <w:rPr>
          <w:sz w:val="20"/>
        </w:rPr>
        <w:t>on</w:t>
      </w:r>
      <w:r>
        <w:rPr>
          <w:spacing w:val="-3"/>
          <w:sz w:val="20"/>
        </w:rPr>
        <w:t xml:space="preserve"> </w:t>
      </w:r>
      <w:r>
        <w:rPr>
          <w:sz w:val="20"/>
        </w:rPr>
        <w:t>Total</w:t>
      </w:r>
      <w:r>
        <w:rPr>
          <w:spacing w:val="-4"/>
          <w:sz w:val="20"/>
        </w:rPr>
        <w:t xml:space="preserve"> </w:t>
      </w:r>
      <w:r>
        <w:rPr>
          <w:sz w:val="20"/>
        </w:rPr>
        <w:t>Hourly</w:t>
      </w:r>
      <w:r>
        <w:rPr>
          <w:spacing w:val="-4"/>
          <w:sz w:val="20"/>
        </w:rPr>
        <w:t xml:space="preserve"> </w:t>
      </w:r>
      <w:r>
        <w:rPr>
          <w:sz w:val="20"/>
        </w:rPr>
        <w:t>Wage</w:t>
      </w:r>
      <w:r>
        <w:rPr>
          <w:spacing w:val="-4"/>
          <w:sz w:val="20"/>
        </w:rPr>
        <w:t xml:space="preserve"> </w:t>
      </w:r>
      <w:r>
        <w:rPr>
          <w:sz w:val="20"/>
        </w:rPr>
        <w:t>Rate</w:t>
      </w:r>
      <w:r>
        <w:rPr>
          <w:spacing w:val="-4"/>
          <w:sz w:val="20"/>
        </w:rPr>
        <w:t xml:space="preserve"> </w:t>
      </w:r>
      <w:r>
        <w:rPr>
          <w:sz w:val="20"/>
        </w:rPr>
        <w:t>for</w:t>
      </w:r>
      <w:r>
        <w:rPr>
          <w:spacing w:val="-6"/>
          <w:sz w:val="20"/>
        </w:rPr>
        <w:t xml:space="preserve"> </w:t>
      </w:r>
      <w:r>
        <w:rPr>
          <w:sz w:val="20"/>
        </w:rPr>
        <w:t>Period</w:t>
      </w:r>
      <w:r>
        <w:rPr>
          <w:spacing w:val="-4"/>
          <w:sz w:val="20"/>
        </w:rPr>
        <w:t xml:space="preserve"> </w:t>
      </w:r>
      <w:r>
        <w:rPr>
          <w:sz w:val="20"/>
        </w:rPr>
        <w:t>2019-</w:t>
      </w:r>
      <w:r>
        <w:rPr>
          <w:spacing w:val="-4"/>
          <w:sz w:val="20"/>
        </w:rPr>
        <w:t>2022</w:t>
      </w:r>
    </w:p>
    <w:p w:rsidR="00B41E06" w14:paraId="776410DA" w14:textId="77777777">
      <w:pPr>
        <w:rPr>
          <w:sz w:val="20"/>
        </w:rPr>
        <w:sectPr>
          <w:pgSz w:w="12240" w:h="15840"/>
          <w:pgMar w:top="1360" w:right="1080" w:bottom="980" w:left="1080" w:header="0" w:footer="787" w:gutter="0"/>
          <w:cols w:space="720"/>
        </w:sectPr>
      </w:pPr>
    </w:p>
    <w:p w:rsidR="00B41E06" w14:paraId="54E77CAC" w14:textId="77777777">
      <w:pPr>
        <w:pStyle w:val="ListParagraph"/>
        <w:numPr>
          <w:ilvl w:val="0"/>
          <w:numId w:val="3"/>
        </w:numPr>
        <w:tabs>
          <w:tab w:val="left" w:pos="1439"/>
        </w:tabs>
        <w:spacing w:before="79"/>
        <w:ind w:left="1439" w:hanging="645"/>
        <w:jc w:val="left"/>
        <w:rPr>
          <w:i/>
          <w:sz w:val="24"/>
        </w:rPr>
      </w:pPr>
      <w:bookmarkStart w:id="24" w:name="IV._Patient_Safety_Reporting_Standards_f"/>
      <w:bookmarkEnd w:id="24"/>
      <w:r>
        <w:rPr>
          <w:i/>
          <w:sz w:val="24"/>
        </w:rPr>
        <w:t>Patient</w:t>
      </w:r>
      <w:r>
        <w:rPr>
          <w:i/>
          <w:spacing w:val="-3"/>
          <w:sz w:val="24"/>
        </w:rPr>
        <w:t xml:space="preserve"> </w:t>
      </w:r>
      <w:r>
        <w:rPr>
          <w:i/>
          <w:sz w:val="24"/>
        </w:rPr>
        <w:t>Safety</w:t>
      </w:r>
      <w:r>
        <w:rPr>
          <w:i/>
          <w:spacing w:val="-3"/>
          <w:sz w:val="24"/>
        </w:rPr>
        <w:t xml:space="preserve"> </w:t>
      </w:r>
      <w:r>
        <w:rPr>
          <w:i/>
          <w:sz w:val="24"/>
        </w:rPr>
        <w:t>Reporting</w:t>
      </w:r>
      <w:r>
        <w:rPr>
          <w:i/>
          <w:spacing w:val="-3"/>
          <w:sz w:val="24"/>
        </w:rPr>
        <w:t xml:space="preserve"> </w:t>
      </w:r>
      <w:r>
        <w:rPr>
          <w:i/>
          <w:sz w:val="24"/>
        </w:rPr>
        <w:t>Standards</w:t>
      </w:r>
      <w:r>
        <w:rPr>
          <w:i/>
          <w:spacing w:val="-3"/>
          <w:sz w:val="24"/>
        </w:rPr>
        <w:t xml:space="preserve"> </w:t>
      </w:r>
      <w:r>
        <w:rPr>
          <w:i/>
          <w:sz w:val="24"/>
        </w:rPr>
        <w:t>for</w:t>
      </w:r>
      <w:r>
        <w:rPr>
          <w:i/>
          <w:spacing w:val="-2"/>
          <w:sz w:val="24"/>
        </w:rPr>
        <w:t xml:space="preserve"> </w:t>
      </w:r>
      <w:r>
        <w:rPr>
          <w:i/>
          <w:sz w:val="24"/>
        </w:rPr>
        <w:t>QHP</w:t>
      </w:r>
      <w:r>
        <w:rPr>
          <w:i/>
          <w:spacing w:val="-3"/>
          <w:sz w:val="24"/>
        </w:rPr>
        <w:t xml:space="preserve"> </w:t>
      </w:r>
      <w:r>
        <w:rPr>
          <w:i/>
          <w:spacing w:val="-2"/>
          <w:sz w:val="24"/>
        </w:rPr>
        <w:t>Issuers</w:t>
      </w:r>
    </w:p>
    <w:p w:rsidR="00B41E06" w14:paraId="4FA6A787" w14:textId="77777777">
      <w:pPr>
        <w:pStyle w:val="BodyText"/>
        <w:spacing w:before="105"/>
        <w:ind w:left="360" w:right="427"/>
      </w:pPr>
      <w:r>
        <w:t xml:space="preserve">In the HHS 2017 Payment Notice final </w:t>
      </w:r>
      <w:r>
        <w:rPr>
          <w:spacing w:val="-2"/>
          <w:w w:val="101"/>
        </w:rPr>
        <w:t>r</w:t>
      </w:r>
      <w:r>
        <w:rPr>
          <w:spacing w:val="-1"/>
          <w:w w:val="101"/>
        </w:rPr>
        <w:t>ul</w:t>
      </w:r>
      <w:r>
        <w:rPr>
          <w:spacing w:val="-2"/>
          <w:w w:val="101"/>
        </w:rPr>
        <w:t>e</w:t>
      </w:r>
      <w:r>
        <w:rPr>
          <w:spacing w:val="1"/>
          <w:w w:val="101"/>
        </w:rPr>
        <w:t>,</w:t>
      </w:r>
      <w:r>
        <w:rPr>
          <w:rFonts w:ascii="Cambria" w:hAnsi="Cambria"/>
          <w:spacing w:val="-3"/>
          <w:w w:val="97"/>
          <w:sz w:val="2"/>
        </w:rPr>
        <w:t>1</w:t>
      </w:r>
      <w:r>
        <w:rPr>
          <w:rFonts w:ascii="Cambria" w:hAnsi="Cambria"/>
          <w:w w:val="97"/>
          <w:sz w:val="2"/>
        </w:rPr>
        <w:t>6F</w:t>
      </w:r>
      <w:r>
        <w:rPr>
          <w:w w:val="101"/>
          <w:position w:val="9"/>
          <w:sz w:val="16"/>
        </w:rPr>
        <w:t>1</w:t>
      </w:r>
      <w:r>
        <w:rPr>
          <w:spacing w:val="-1"/>
          <w:w w:val="101"/>
          <w:position w:val="9"/>
          <w:sz w:val="16"/>
        </w:rPr>
        <w:t>7</w:t>
      </w:r>
      <w:r>
        <w:rPr>
          <w:spacing w:val="33"/>
          <w:position w:val="9"/>
          <w:sz w:val="16"/>
        </w:rPr>
        <w:t xml:space="preserve"> </w:t>
      </w:r>
      <w:r>
        <w:t>we describe the information collection, recordkeeping, and disclosure requirements a QHP issuer must meet to demonstrate compliance with the patient safety standards outlined in §156.1110. The burden estimate associated with these standards includes the time and effort required for QHP issuers to maintain and submit information, such as a hospital attestation or a copy of the current agreement to partner with a PSO,</w:t>
      </w:r>
      <w:r>
        <w:rPr>
          <w:spacing w:val="-4"/>
        </w:rPr>
        <w:t xml:space="preserve"> </w:t>
      </w:r>
      <w:r>
        <w:t>a</w:t>
      </w:r>
      <w:r>
        <w:rPr>
          <w:spacing w:val="-5"/>
        </w:rPr>
        <w:t xml:space="preserve"> </w:t>
      </w:r>
      <w:r>
        <w:t>Hospital</w:t>
      </w:r>
      <w:r>
        <w:rPr>
          <w:spacing w:val="-4"/>
        </w:rPr>
        <w:t xml:space="preserve"> </w:t>
      </w:r>
      <w:r>
        <w:t>Engagement</w:t>
      </w:r>
      <w:r>
        <w:rPr>
          <w:spacing w:val="-4"/>
        </w:rPr>
        <w:t xml:space="preserve"> </w:t>
      </w:r>
      <w:r>
        <w:t>Network,</w:t>
      </w:r>
      <w:r>
        <w:rPr>
          <w:spacing w:val="-4"/>
        </w:rPr>
        <w:t xml:space="preserve"> </w:t>
      </w:r>
      <w:r>
        <w:t>or</w:t>
      </w:r>
      <w:r>
        <w:rPr>
          <w:spacing w:val="-3"/>
        </w:rPr>
        <w:t xml:space="preserve"> </w:t>
      </w:r>
      <w:r>
        <w:t>a</w:t>
      </w:r>
      <w:r>
        <w:rPr>
          <w:spacing w:val="-5"/>
        </w:rPr>
        <w:t xml:space="preserve"> </w:t>
      </w:r>
      <w:r>
        <w:t>Quality</w:t>
      </w:r>
      <w:r>
        <w:rPr>
          <w:spacing w:val="-4"/>
        </w:rPr>
        <w:t xml:space="preserve"> </w:t>
      </w:r>
      <w:r>
        <w:t>Improvement</w:t>
      </w:r>
      <w:r>
        <w:rPr>
          <w:spacing w:val="-4"/>
        </w:rPr>
        <w:t xml:space="preserve"> </w:t>
      </w:r>
      <w:r>
        <w:t>Organization,</w:t>
      </w:r>
      <w:r>
        <w:rPr>
          <w:spacing w:val="-4"/>
        </w:rPr>
        <w:t xml:space="preserve"> </w:t>
      </w:r>
      <w:r>
        <w:t>to</w:t>
      </w:r>
      <w:r>
        <w:rPr>
          <w:spacing w:val="-4"/>
        </w:rPr>
        <w:t xml:space="preserve"> </w:t>
      </w:r>
      <w:r>
        <w:t>the</w:t>
      </w:r>
      <w:r>
        <w:rPr>
          <w:spacing w:val="-5"/>
        </w:rPr>
        <w:t xml:space="preserve"> </w:t>
      </w:r>
      <w:r>
        <w:t>Exchange that</w:t>
      </w:r>
      <w:r>
        <w:rPr>
          <w:spacing w:val="-3"/>
        </w:rPr>
        <w:t xml:space="preserve"> </w:t>
      </w:r>
      <w:r>
        <w:t>demonstrates</w:t>
      </w:r>
      <w:r>
        <w:rPr>
          <w:spacing w:val="-3"/>
        </w:rPr>
        <w:t xml:space="preserve"> </w:t>
      </w:r>
      <w:r>
        <w:t>that</w:t>
      </w:r>
      <w:r>
        <w:rPr>
          <w:spacing w:val="-3"/>
        </w:rPr>
        <w:t xml:space="preserve"> </w:t>
      </w:r>
      <w:r>
        <w:t>each</w:t>
      </w:r>
      <w:r>
        <w:rPr>
          <w:spacing w:val="-3"/>
        </w:rPr>
        <w:t xml:space="preserve"> </w:t>
      </w:r>
      <w:r>
        <w:t>of</w:t>
      </w:r>
      <w:r>
        <w:rPr>
          <w:spacing w:val="-4"/>
        </w:rPr>
        <w:t xml:space="preserve"> </w:t>
      </w:r>
      <w:r>
        <w:t>its</w:t>
      </w:r>
      <w:r>
        <w:rPr>
          <w:spacing w:val="-3"/>
        </w:rPr>
        <w:t xml:space="preserve"> </w:t>
      </w:r>
      <w:r>
        <w:t>contracted</w:t>
      </w:r>
      <w:r>
        <w:rPr>
          <w:spacing w:val="-3"/>
        </w:rPr>
        <w:t xml:space="preserve"> </w:t>
      </w:r>
      <w:r>
        <w:t>hospitals</w:t>
      </w:r>
      <w:r>
        <w:rPr>
          <w:spacing w:val="-3"/>
        </w:rPr>
        <w:t xml:space="preserve"> </w:t>
      </w:r>
      <w:r>
        <w:t>with</w:t>
      </w:r>
      <w:r>
        <w:rPr>
          <w:spacing w:val="-3"/>
        </w:rPr>
        <w:t xml:space="preserve"> </w:t>
      </w:r>
      <w:r>
        <w:t>greater</w:t>
      </w:r>
      <w:r>
        <w:rPr>
          <w:spacing w:val="-4"/>
        </w:rPr>
        <w:t xml:space="preserve"> </w:t>
      </w:r>
      <w:r>
        <w:t>than</w:t>
      </w:r>
      <w:r>
        <w:rPr>
          <w:spacing w:val="-3"/>
        </w:rPr>
        <w:t xml:space="preserve"> </w:t>
      </w:r>
      <w:r>
        <w:t>50</w:t>
      </w:r>
      <w:r>
        <w:rPr>
          <w:spacing w:val="-1"/>
        </w:rPr>
        <w:t xml:space="preserve"> </w:t>
      </w:r>
      <w:r>
        <w:t>beds</w:t>
      </w:r>
      <w:r>
        <w:rPr>
          <w:spacing w:val="-3"/>
        </w:rPr>
        <w:t xml:space="preserve"> </w:t>
      </w:r>
      <w:r>
        <w:t>meets</w:t>
      </w:r>
      <w:r>
        <w:rPr>
          <w:spacing w:val="-3"/>
        </w:rPr>
        <w:t xml:space="preserve"> </w:t>
      </w:r>
      <w:r>
        <w:t>the</w:t>
      </w:r>
      <w:r>
        <w:rPr>
          <w:spacing w:val="-4"/>
        </w:rPr>
        <w:t xml:space="preserve"> </w:t>
      </w:r>
      <w:r>
        <w:t>patient safety standards in §156.1110(a)(2) for plan years beginning on or after January 1, 2017. We expect QHP issuers to already be collecting network provider information, which is accounted for in the Supporting Statement associated with OMB Control Number 0938-1156.</w:t>
      </w:r>
    </w:p>
    <w:p w:rsidR="00B41E06" w14:paraId="4775C61A" w14:textId="77777777">
      <w:pPr>
        <w:pStyle w:val="BodyText"/>
        <w:ind w:left="360" w:right="431"/>
        <w:rPr>
          <w:b/>
        </w:rPr>
      </w:pPr>
      <w:r>
        <w:t>There is a wide range of numbers of relevant hospitals with greater than 50 beds across states, from</w:t>
      </w:r>
      <w:r>
        <w:rPr>
          <w:spacing w:val="-2"/>
        </w:rPr>
        <w:t xml:space="preserve"> </w:t>
      </w:r>
      <w:r>
        <w:t>only</w:t>
      </w:r>
      <w:r>
        <w:rPr>
          <w:spacing w:val="-2"/>
        </w:rPr>
        <w:t xml:space="preserve"> </w:t>
      </w:r>
      <w:r>
        <w:t>one</w:t>
      </w:r>
      <w:r>
        <w:rPr>
          <w:spacing w:val="-3"/>
        </w:rPr>
        <w:t xml:space="preserve"> </w:t>
      </w:r>
      <w:r>
        <w:t>in</w:t>
      </w:r>
      <w:r>
        <w:rPr>
          <w:spacing w:val="-2"/>
        </w:rPr>
        <w:t xml:space="preserve"> </w:t>
      </w:r>
      <w:r>
        <w:t>some</w:t>
      </w:r>
      <w:r>
        <w:rPr>
          <w:spacing w:val="-3"/>
        </w:rPr>
        <w:t xml:space="preserve"> </w:t>
      </w:r>
      <w:r>
        <w:t>states</w:t>
      </w:r>
      <w:r>
        <w:rPr>
          <w:spacing w:val="-2"/>
        </w:rPr>
        <w:t xml:space="preserve"> </w:t>
      </w:r>
      <w:r>
        <w:t>to</w:t>
      </w:r>
      <w:r>
        <w:rPr>
          <w:spacing w:val="-2"/>
        </w:rPr>
        <w:t xml:space="preserve"> </w:t>
      </w:r>
      <w:r>
        <w:t>more</w:t>
      </w:r>
      <w:r>
        <w:rPr>
          <w:spacing w:val="-3"/>
        </w:rPr>
        <w:t xml:space="preserve"> </w:t>
      </w:r>
      <w:r>
        <w:t>than</w:t>
      </w:r>
      <w:r>
        <w:rPr>
          <w:spacing w:val="-2"/>
        </w:rPr>
        <w:t xml:space="preserve"> </w:t>
      </w:r>
      <w:r>
        <w:t>300</w:t>
      </w:r>
      <w:r>
        <w:rPr>
          <w:spacing w:val="-2"/>
        </w:rPr>
        <w:t xml:space="preserve"> </w:t>
      </w:r>
      <w:r>
        <w:t>hospitals</w:t>
      </w:r>
      <w:r>
        <w:rPr>
          <w:spacing w:val="-2"/>
        </w:rPr>
        <w:t xml:space="preserve"> </w:t>
      </w:r>
      <w:r>
        <w:t>in</w:t>
      </w:r>
      <w:r>
        <w:rPr>
          <w:spacing w:val="-2"/>
        </w:rPr>
        <w:t xml:space="preserve"> </w:t>
      </w:r>
      <w:r>
        <w:t>other</w:t>
      </w:r>
      <w:r>
        <w:rPr>
          <w:spacing w:val="-3"/>
        </w:rPr>
        <w:t xml:space="preserve"> </w:t>
      </w:r>
      <w:r>
        <w:t>states.</w:t>
      </w:r>
      <w:r>
        <w:rPr>
          <w:spacing w:val="-2"/>
        </w:rPr>
        <w:t xml:space="preserve"> </w:t>
      </w:r>
      <w:r>
        <w:t>We</w:t>
      </w:r>
      <w:r>
        <w:rPr>
          <w:spacing w:val="-3"/>
        </w:rPr>
        <w:t xml:space="preserve"> </w:t>
      </w:r>
      <w:r>
        <w:t>estimate</w:t>
      </w:r>
      <w:r>
        <w:rPr>
          <w:spacing w:val="-3"/>
        </w:rPr>
        <w:t xml:space="preserve"> </w:t>
      </w:r>
      <w:r>
        <w:t>that</w:t>
      </w:r>
      <w:r>
        <w:rPr>
          <w:spacing w:val="-2"/>
        </w:rPr>
        <w:t xml:space="preserve"> </w:t>
      </w:r>
      <w:r>
        <w:t>a</w:t>
      </w:r>
      <w:r>
        <w:rPr>
          <w:spacing w:val="-3"/>
        </w:rPr>
        <w:t xml:space="preserve"> </w:t>
      </w:r>
      <w:r>
        <w:t xml:space="preserve">total of 300 QHP issuers, offering 15 plans as potential QHPs, would each take approximately an average of three hours to collect, maintain, and submit applicable hospital agreements or information as finalized in §156.1110 for their QHPs. At an hourly billing rate of $91.31, we estimate the total annual cost for a QHP issuer to be $273.93. </w:t>
      </w:r>
      <w:r>
        <w:rPr>
          <w:b/>
        </w:rPr>
        <w:t xml:space="preserve">Therefore, as summarized in </w:t>
      </w:r>
      <w:hyperlink w:anchor="_bookmark6" w:history="1">
        <w:r>
          <w:rPr>
            <w:b/>
          </w:rPr>
          <w:t>Exhibit 6</w:t>
        </w:r>
      </w:hyperlink>
      <w:r>
        <w:rPr>
          <w:b/>
        </w:rPr>
        <w:t xml:space="preserve">, we estimate the total annual cost and annual burden to be $82,179 and 900 </w:t>
      </w:r>
      <w:r>
        <w:rPr>
          <w:b/>
          <w:spacing w:val="-2"/>
        </w:rPr>
        <w:t>hours.</w:t>
      </w:r>
    </w:p>
    <w:p w:rsidR="00B41E06" w14:paraId="0C3DA80B" w14:textId="77777777">
      <w:pPr>
        <w:pStyle w:val="Heading1"/>
        <w:spacing w:before="122" w:after="55"/>
        <w:ind w:left="360" w:firstLine="0"/>
        <w:rPr>
          <w:rFonts w:ascii="Arial Narrow"/>
        </w:rPr>
      </w:pPr>
      <w:bookmarkStart w:id="25" w:name="_bookmark6"/>
      <w:bookmarkEnd w:id="25"/>
      <w:r>
        <w:rPr>
          <w:rFonts w:ascii="Arial Narrow"/>
        </w:rPr>
        <w:t>Exhibit</w:t>
      </w:r>
      <w:r>
        <w:rPr>
          <w:rFonts w:ascii="Arial Narrow"/>
          <w:spacing w:val="-12"/>
        </w:rPr>
        <w:t xml:space="preserve"> </w:t>
      </w:r>
      <w:r>
        <w:rPr>
          <w:rFonts w:ascii="Arial Narrow"/>
        </w:rPr>
        <w:t>6.</w:t>
      </w:r>
      <w:r>
        <w:rPr>
          <w:rFonts w:ascii="Arial Narrow"/>
          <w:spacing w:val="-7"/>
        </w:rPr>
        <w:t xml:space="preserve"> </w:t>
      </w:r>
      <w:r>
        <w:rPr>
          <w:rFonts w:ascii="Arial Narrow"/>
        </w:rPr>
        <w:t>Annual</w:t>
      </w:r>
      <w:r>
        <w:rPr>
          <w:rFonts w:ascii="Arial Narrow"/>
          <w:spacing w:val="-9"/>
        </w:rPr>
        <w:t xml:space="preserve"> </w:t>
      </w:r>
      <w:r>
        <w:rPr>
          <w:rFonts w:ascii="Arial Narrow"/>
        </w:rPr>
        <w:t>Estimated</w:t>
      </w:r>
      <w:r>
        <w:rPr>
          <w:rFonts w:ascii="Arial Narrow"/>
          <w:spacing w:val="-7"/>
        </w:rPr>
        <w:t xml:space="preserve"> </w:t>
      </w:r>
      <w:r>
        <w:rPr>
          <w:rFonts w:ascii="Arial Narrow"/>
        </w:rPr>
        <w:t>Hour</w:t>
      </w:r>
      <w:r>
        <w:rPr>
          <w:rFonts w:ascii="Arial Narrow"/>
          <w:spacing w:val="-12"/>
        </w:rPr>
        <w:t xml:space="preserve"> </w:t>
      </w:r>
      <w:r>
        <w:rPr>
          <w:rFonts w:ascii="Arial Narrow"/>
        </w:rPr>
        <w:t>and</w:t>
      </w:r>
      <w:r>
        <w:rPr>
          <w:rFonts w:ascii="Arial Narrow"/>
          <w:spacing w:val="-9"/>
        </w:rPr>
        <w:t xml:space="preserve"> </w:t>
      </w:r>
      <w:r>
        <w:rPr>
          <w:rFonts w:ascii="Arial Narrow"/>
        </w:rPr>
        <w:t>Cost</w:t>
      </w:r>
      <w:r>
        <w:rPr>
          <w:rFonts w:ascii="Arial Narrow"/>
          <w:spacing w:val="-10"/>
        </w:rPr>
        <w:t xml:space="preserve"> </w:t>
      </w:r>
      <w:r>
        <w:rPr>
          <w:rFonts w:ascii="Arial Narrow"/>
        </w:rPr>
        <w:t>Burden</w:t>
      </w:r>
      <w:r>
        <w:rPr>
          <w:rFonts w:ascii="Arial Narrow"/>
          <w:spacing w:val="-7"/>
        </w:rPr>
        <w:t xml:space="preserve"> </w:t>
      </w:r>
      <w:r>
        <w:rPr>
          <w:rFonts w:ascii="Arial Narrow"/>
        </w:rPr>
        <w:t>for</w:t>
      </w:r>
      <w:r>
        <w:rPr>
          <w:rFonts w:ascii="Arial Narrow"/>
          <w:spacing w:val="-9"/>
        </w:rPr>
        <w:t xml:space="preserve"> </w:t>
      </w:r>
      <w:r>
        <w:rPr>
          <w:rFonts w:ascii="Arial Narrow"/>
        </w:rPr>
        <w:t>QHP</w:t>
      </w:r>
      <w:r>
        <w:rPr>
          <w:rFonts w:ascii="Arial Narrow"/>
          <w:spacing w:val="-9"/>
        </w:rPr>
        <w:t xml:space="preserve"> </w:t>
      </w:r>
      <w:r>
        <w:rPr>
          <w:rFonts w:ascii="Arial Narrow"/>
        </w:rPr>
        <w:t>Issuer</w:t>
      </w:r>
      <w:r>
        <w:rPr>
          <w:rFonts w:ascii="Arial Narrow"/>
          <w:spacing w:val="-9"/>
        </w:rPr>
        <w:t xml:space="preserve"> </w:t>
      </w:r>
      <w:r>
        <w:rPr>
          <w:rFonts w:ascii="Arial Narrow"/>
        </w:rPr>
        <w:t>Patient</w:t>
      </w:r>
      <w:r>
        <w:rPr>
          <w:rFonts w:ascii="Arial Narrow"/>
          <w:spacing w:val="-10"/>
        </w:rPr>
        <w:t xml:space="preserve"> </w:t>
      </w:r>
      <w:r>
        <w:rPr>
          <w:rFonts w:ascii="Arial Narrow"/>
        </w:rPr>
        <w:t>Safety</w:t>
      </w:r>
      <w:r>
        <w:rPr>
          <w:rFonts w:ascii="Arial Narrow"/>
          <w:spacing w:val="-7"/>
        </w:rPr>
        <w:t xml:space="preserve"> </w:t>
      </w:r>
      <w:r>
        <w:rPr>
          <w:rFonts w:ascii="Arial Narrow"/>
          <w:spacing w:val="-2"/>
        </w:rPr>
        <w:t>Reporting</w:t>
      </w:r>
    </w:p>
    <w:tbl>
      <w:tblPr>
        <w:tblW w:w="0" w:type="auto"/>
        <w:tblInd w:w="380" w:type="dxa"/>
        <w:tblBorders>
          <w:top w:val="single" w:sz="8" w:space="0" w:color="002C5F"/>
          <w:left w:val="single" w:sz="8" w:space="0" w:color="002C5F"/>
          <w:bottom w:val="single" w:sz="8" w:space="0" w:color="002C5F"/>
          <w:right w:val="single" w:sz="8" w:space="0" w:color="002C5F"/>
          <w:insideH w:val="single" w:sz="8" w:space="0" w:color="002C5F"/>
          <w:insideV w:val="single" w:sz="8" w:space="0" w:color="002C5F"/>
        </w:tblBorders>
        <w:tblLayout w:type="fixed"/>
        <w:tblCellMar>
          <w:left w:w="0" w:type="dxa"/>
          <w:right w:w="0" w:type="dxa"/>
        </w:tblCellMar>
        <w:tblLook w:val="01E0"/>
      </w:tblPr>
      <w:tblGrid>
        <w:gridCol w:w="2150"/>
        <w:gridCol w:w="1442"/>
        <w:gridCol w:w="1442"/>
        <w:gridCol w:w="1442"/>
        <w:gridCol w:w="1440"/>
        <w:gridCol w:w="1442"/>
      </w:tblGrid>
      <w:tr w14:paraId="1704987C" w14:textId="77777777">
        <w:tblPrEx>
          <w:tblW w:w="0" w:type="auto"/>
          <w:tblInd w:w="380" w:type="dxa"/>
          <w:tblBorders>
            <w:top w:val="single" w:sz="8" w:space="0" w:color="002C5F"/>
            <w:left w:val="single" w:sz="8" w:space="0" w:color="002C5F"/>
            <w:bottom w:val="single" w:sz="8" w:space="0" w:color="002C5F"/>
            <w:right w:val="single" w:sz="8" w:space="0" w:color="002C5F"/>
            <w:insideH w:val="single" w:sz="8" w:space="0" w:color="002C5F"/>
            <w:insideV w:val="single" w:sz="8" w:space="0" w:color="002C5F"/>
          </w:tblBorders>
          <w:tblLayout w:type="fixed"/>
          <w:tblCellMar>
            <w:left w:w="0" w:type="dxa"/>
            <w:right w:w="0" w:type="dxa"/>
          </w:tblCellMar>
          <w:tblLook w:val="01E0"/>
        </w:tblPrEx>
        <w:trPr>
          <w:trHeight w:val="604"/>
        </w:trPr>
        <w:tc>
          <w:tcPr>
            <w:tcW w:w="2150" w:type="dxa"/>
            <w:tcBorders>
              <w:top w:val="nil"/>
              <w:bottom w:val="single" w:sz="4" w:space="0" w:color="000000"/>
              <w:right w:val="single" w:sz="8" w:space="0" w:color="FFFFFF"/>
            </w:tcBorders>
            <w:shd w:val="clear" w:color="auto" w:fill="002C5F"/>
          </w:tcPr>
          <w:p w:rsidR="00B41E06" w14:paraId="3464643F" w14:textId="77777777">
            <w:pPr>
              <w:pStyle w:val="TableParagraph"/>
              <w:spacing w:before="79"/>
              <w:rPr>
                <w:b/>
                <w:sz w:val="20"/>
              </w:rPr>
            </w:pPr>
          </w:p>
          <w:p w:rsidR="00B41E06" w14:paraId="0A668BD9" w14:textId="77777777">
            <w:pPr>
              <w:pStyle w:val="TableParagraph"/>
              <w:spacing w:before="1"/>
              <w:ind w:left="107"/>
              <w:rPr>
                <w:b/>
                <w:sz w:val="20"/>
              </w:rPr>
            </w:pPr>
            <w:r>
              <w:rPr>
                <w:b/>
                <w:color w:val="FFFFFF"/>
                <w:spacing w:val="-2"/>
                <w:sz w:val="20"/>
              </w:rPr>
              <w:t>Activity</w:t>
            </w:r>
          </w:p>
        </w:tc>
        <w:tc>
          <w:tcPr>
            <w:tcW w:w="1442" w:type="dxa"/>
            <w:tcBorders>
              <w:top w:val="nil"/>
              <w:left w:val="single" w:sz="8" w:space="0" w:color="FFFFFF"/>
              <w:bottom w:val="single" w:sz="4" w:space="0" w:color="000000"/>
              <w:right w:val="single" w:sz="8" w:space="0" w:color="FFFFFF"/>
            </w:tcBorders>
            <w:shd w:val="clear" w:color="auto" w:fill="002C5F"/>
          </w:tcPr>
          <w:p w:rsidR="00B41E06" w14:paraId="1B0FB7D6" w14:textId="77777777">
            <w:pPr>
              <w:pStyle w:val="TableParagraph"/>
              <w:spacing w:before="81"/>
              <w:ind w:left="108"/>
              <w:rPr>
                <w:b/>
                <w:sz w:val="20"/>
              </w:rPr>
            </w:pPr>
            <w:r>
              <w:rPr>
                <w:b/>
                <w:color w:val="FFFFFF"/>
                <w:sz w:val="20"/>
              </w:rPr>
              <w:t xml:space="preserve">Number of </w:t>
            </w:r>
            <w:r>
              <w:rPr>
                <w:b/>
                <w:color w:val="FFFFFF"/>
                <w:spacing w:val="-2"/>
                <w:sz w:val="20"/>
              </w:rPr>
              <w:t>Respondents</w:t>
            </w:r>
          </w:p>
        </w:tc>
        <w:tc>
          <w:tcPr>
            <w:tcW w:w="1442" w:type="dxa"/>
            <w:tcBorders>
              <w:top w:val="nil"/>
              <w:left w:val="single" w:sz="8" w:space="0" w:color="FFFFFF"/>
              <w:bottom w:val="single" w:sz="4" w:space="0" w:color="000000"/>
              <w:right w:val="nil"/>
            </w:tcBorders>
            <w:shd w:val="clear" w:color="auto" w:fill="002C5F"/>
          </w:tcPr>
          <w:p w:rsidR="00B41E06" w14:paraId="450C4277" w14:textId="77777777">
            <w:pPr>
              <w:pStyle w:val="TableParagraph"/>
              <w:spacing w:before="81"/>
              <w:ind w:left="108" w:right="541"/>
              <w:rPr>
                <w:b/>
                <w:sz w:val="20"/>
              </w:rPr>
            </w:pPr>
            <w:r>
              <w:rPr>
                <w:b/>
                <w:color w:val="FFFFFF"/>
                <w:sz w:val="20"/>
              </w:rPr>
              <w:t>Hours</w:t>
            </w:r>
            <w:r>
              <w:rPr>
                <w:b/>
                <w:color w:val="FFFFFF"/>
                <w:spacing w:val="-12"/>
                <w:sz w:val="20"/>
              </w:rPr>
              <w:t xml:space="preserve"> </w:t>
            </w:r>
            <w:r>
              <w:rPr>
                <w:b/>
                <w:color w:val="FFFFFF"/>
                <w:sz w:val="20"/>
              </w:rPr>
              <w:t xml:space="preserve">per </w:t>
            </w:r>
            <w:r>
              <w:rPr>
                <w:b/>
                <w:color w:val="FFFFFF"/>
                <w:spacing w:val="-2"/>
                <w:sz w:val="20"/>
              </w:rPr>
              <w:t>response</w:t>
            </w:r>
          </w:p>
        </w:tc>
        <w:tc>
          <w:tcPr>
            <w:tcW w:w="1442" w:type="dxa"/>
            <w:tcBorders>
              <w:top w:val="nil"/>
              <w:left w:val="nil"/>
              <w:bottom w:val="single" w:sz="4" w:space="0" w:color="000000"/>
              <w:right w:val="single" w:sz="8" w:space="0" w:color="FFFFFF"/>
            </w:tcBorders>
            <w:shd w:val="clear" w:color="auto" w:fill="002C5F"/>
          </w:tcPr>
          <w:p w:rsidR="00B41E06" w14:paraId="025EB224" w14:textId="77777777">
            <w:pPr>
              <w:pStyle w:val="TableParagraph"/>
              <w:spacing w:before="81"/>
              <w:ind w:left="118" w:right="294"/>
              <w:rPr>
                <w:b/>
                <w:sz w:val="20"/>
              </w:rPr>
            </w:pPr>
            <w:r>
              <w:rPr>
                <w:b/>
                <w:color w:val="FFFFFF"/>
                <w:sz w:val="20"/>
              </w:rPr>
              <w:t>Total</w:t>
            </w:r>
            <w:r>
              <w:rPr>
                <w:b/>
                <w:color w:val="FFFFFF"/>
                <w:spacing w:val="-12"/>
                <w:sz w:val="20"/>
              </w:rPr>
              <w:t xml:space="preserve"> </w:t>
            </w:r>
            <w:r>
              <w:rPr>
                <w:b/>
                <w:color w:val="FFFFFF"/>
                <w:sz w:val="20"/>
              </w:rPr>
              <w:t xml:space="preserve">Burden </w:t>
            </w:r>
            <w:r>
              <w:rPr>
                <w:b/>
                <w:color w:val="FFFFFF"/>
                <w:spacing w:val="-2"/>
                <w:sz w:val="20"/>
              </w:rPr>
              <w:t>Hours</w:t>
            </w:r>
          </w:p>
        </w:tc>
        <w:tc>
          <w:tcPr>
            <w:tcW w:w="1440" w:type="dxa"/>
            <w:tcBorders>
              <w:top w:val="nil"/>
              <w:left w:val="single" w:sz="8" w:space="0" w:color="FFFFFF"/>
              <w:bottom w:val="single" w:sz="4" w:space="0" w:color="000000"/>
              <w:right w:val="single" w:sz="8" w:space="0" w:color="FFFFFF"/>
            </w:tcBorders>
            <w:shd w:val="clear" w:color="auto" w:fill="002C5F"/>
          </w:tcPr>
          <w:p w:rsidR="00B41E06" w14:paraId="05E4B991" w14:textId="77777777">
            <w:pPr>
              <w:pStyle w:val="TableParagraph"/>
              <w:spacing w:before="81"/>
              <w:ind w:left="106" w:right="96"/>
              <w:rPr>
                <w:b/>
                <w:sz w:val="20"/>
              </w:rPr>
            </w:pPr>
            <w:r>
              <w:rPr>
                <w:b/>
                <w:color w:val="FFFFFF"/>
                <w:sz w:val="20"/>
              </w:rPr>
              <w:t>Average</w:t>
            </w:r>
            <w:r>
              <w:rPr>
                <w:b/>
                <w:color w:val="FFFFFF"/>
                <w:spacing w:val="-12"/>
                <w:sz w:val="20"/>
              </w:rPr>
              <w:t xml:space="preserve"> </w:t>
            </w:r>
            <w:r>
              <w:rPr>
                <w:b/>
                <w:color w:val="FFFFFF"/>
                <w:sz w:val="20"/>
              </w:rPr>
              <w:t>Hourly Wage Rate</w:t>
            </w:r>
          </w:p>
        </w:tc>
        <w:tc>
          <w:tcPr>
            <w:tcW w:w="1442" w:type="dxa"/>
            <w:tcBorders>
              <w:top w:val="nil"/>
              <w:left w:val="single" w:sz="8" w:space="0" w:color="FFFFFF"/>
              <w:bottom w:val="single" w:sz="4" w:space="0" w:color="000000"/>
            </w:tcBorders>
            <w:shd w:val="clear" w:color="auto" w:fill="002C5F"/>
          </w:tcPr>
          <w:p w:rsidR="00B41E06" w14:paraId="32AFA2C8" w14:textId="77777777">
            <w:pPr>
              <w:pStyle w:val="TableParagraph"/>
              <w:spacing w:before="81"/>
              <w:ind w:left="109" w:right="503"/>
              <w:rPr>
                <w:b/>
                <w:sz w:val="20"/>
              </w:rPr>
            </w:pPr>
            <w:r>
              <w:rPr>
                <w:b/>
                <w:color w:val="FFFFFF"/>
                <w:sz w:val="20"/>
              </w:rPr>
              <w:t>Total</w:t>
            </w:r>
            <w:r>
              <w:rPr>
                <w:b/>
                <w:color w:val="FFFFFF"/>
                <w:spacing w:val="-12"/>
                <w:sz w:val="20"/>
              </w:rPr>
              <w:t xml:space="preserve"> </w:t>
            </w:r>
            <w:r>
              <w:rPr>
                <w:b/>
                <w:color w:val="FFFFFF"/>
                <w:sz w:val="20"/>
              </w:rPr>
              <w:t xml:space="preserve">Cost </w:t>
            </w:r>
            <w:r>
              <w:rPr>
                <w:b/>
                <w:color w:val="FFFFFF"/>
                <w:spacing w:val="-2"/>
                <w:sz w:val="20"/>
              </w:rPr>
              <w:t>Burden</w:t>
            </w:r>
          </w:p>
        </w:tc>
      </w:tr>
      <w:tr w14:paraId="135AF4DD" w14:textId="77777777">
        <w:tblPrEx>
          <w:tblW w:w="0" w:type="auto"/>
          <w:tblInd w:w="380" w:type="dxa"/>
          <w:tblLayout w:type="fixed"/>
          <w:tblCellMar>
            <w:left w:w="0" w:type="dxa"/>
            <w:right w:w="0" w:type="dxa"/>
          </w:tblCellMar>
          <w:tblLook w:val="01E0"/>
        </w:tblPrEx>
        <w:trPr>
          <w:trHeight w:val="1043"/>
        </w:trPr>
        <w:tc>
          <w:tcPr>
            <w:tcW w:w="2150" w:type="dxa"/>
            <w:tcBorders>
              <w:top w:val="single" w:sz="4" w:space="0" w:color="000000"/>
              <w:left w:val="single" w:sz="4" w:space="0" w:color="000000"/>
              <w:bottom w:val="single" w:sz="4" w:space="0" w:color="000000"/>
              <w:right w:val="single" w:sz="4" w:space="0" w:color="000000"/>
            </w:tcBorders>
          </w:tcPr>
          <w:p w:rsidR="00B41E06" w14:paraId="265A7C5E" w14:textId="77777777">
            <w:pPr>
              <w:pStyle w:val="TableParagraph"/>
              <w:spacing w:before="62"/>
              <w:ind w:left="112" w:right="87"/>
              <w:rPr>
                <w:b/>
                <w:sz w:val="20"/>
              </w:rPr>
            </w:pPr>
            <w:r>
              <w:rPr>
                <w:b/>
                <w:sz w:val="20"/>
              </w:rPr>
              <w:t>QHP</w:t>
            </w:r>
            <w:r>
              <w:rPr>
                <w:b/>
                <w:spacing w:val="-12"/>
                <w:sz w:val="20"/>
              </w:rPr>
              <w:t xml:space="preserve"> </w:t>
            </w:r>
            <w:r>
              <w:rPr>
                <w:b/>
                <w:sz w:val="20"/>
              </w:rPr>
              <w:t>issuers</w:t>
            </w:r>
            <w:r>
              <w:rPr>
                <w:b/>
                <w:spacing w:val="-11"/>
                <w:sz w:val="20"/>
              </w:rPr>
              <w:t xml:space="preserve"> </w:t>
            </w:r>
            <w:r>
              <w:rPr>
                <w:b/>
                <w:sz w:val="20"/>
              </w:rPr>
              <w:t>collect</w:t>
            </w:r>
            <w:r>
              <w:rPr>
                <w:b/>
                <w:spacing w:val="-12"/>
                <w:sz w:val="20"/>
              </w:rPr>
              <w:t xml:space="preserve"> </w:t>
            </w:r>
            <w:r>
              <w:rPr>
                <w:b/>
                <w:sz w:val="20"/>
              </w:rPr>
              <w:t>and maintain information such as applicable hospital agreements</w:t>
            </w:r>
          </w:p>
        </w:tc>
        <w:tc>
          <w:tcPr>
            <w:tcW w:w="1442" w:type="dxa"/>
            <w:tcBorders>
              <w:top w:val="single" w:sz="4" w:space="0" w:color="000000"/>
              <w:left w:val="single" w:sz="4" w:space="0" w:color="000000"/>
              <w:bottom w:val="single" w:sz="4" w:space="0" w:color="000000"/>
              <w:right w:val="single" w:sz="4" w:space="0" w:color="000000"/>
            </w:tcBorders>
          </w:tcPr>
          <w:p w:rsidR="00B41E06" w14:paraId="7861DD87" w14:textId="77777777">
            <w:pPr>
              <w:pStyle w:val="TableParagraph"/>
              <w:spacing w:before="62"/>
              <w:ind w:left="22" w:right="4"/>
              <w:jc w:val="center"/>
              <w:rPr>
                <w:sz w:val="20"/>
              </w:rPr>
            </w:pPr>
            <w:r>
              <w:rPr>
                <w:spacing w:val="-5"/>
                <w:sz w:val="20"/>
              </w:rPr>
              <w:t>380</w:t>
            </w:r>
          </w:p>
        </w:tc>
        <w:tc>
          <w:tcPr>
            <w:tcW w:w="1442" w:type="dxa"/>
            <w:tcBorders>
              <w:top w:val="single" w:sz="4" w:space="0" w:color="000000"/>
              <w:left w:val="single" w:sz="4" w:space="0" w:color="000000"/>
              <w:bottom w:val="single" w:sz="4" w:space="0" w:color="000000"/>
              <w:right w:val="single" w:sz="4" w:space="0" w:color="000000"/>
            </w:tcBorders>
          </w:tcPr>
          <w:p w:rsidR="00B41E06" w14:paraId="5D7C6F27" w14:textId="77777777">
            <w:pPr>
              <w:pStyle w:val="TableParagraph"/>
              <w:spacing w:before="62"/>
              <w:ind w:left="22" w:right="4"/>
              <w:jc w:val="center"/>
              <w:rPr>
                <w:sz w:val="20"/>
              </w:rPr>
            </w:pPr>
            <w:r>
              <w:rPr>
                <w:spacing w:val="-10"/>
                <w:sz w:val="20"/>
              </w:rPr>
              <w:t>2</w:t>
            </w:r>
          </w:p>
        </w:tc>
        <w:tc>
          <w:tcPr>
            <w:tcW w:w="1442" w:type="dxa"/>
            <w:tcBorders>
              <w:top w:val="single" w:sz="4" w:space="0" w:color="000000"/>
              <w:left w:val="single" w:sz="4" w:space="0" w:color="000000"/>
              <w:bottom w:val="single" w:sz="4" w:space="0" w:color="000000"/>
              <w:right w:val="single" w:sz="4" w:space="0" w:color="000000"/>
            </w:tcBorders>
          </w:tcPr>
          <w:p w:rsidR="00B41E06" w14:paraId="09C10B01" w14:textId="77777777">
            <w:pPr>
              <w:pStyle w:val="TableParagraph"/>
              <w:spacing w:before="62"/>
              <w:ind w:left="22" w:right="3"/>
              <w:jc w:val="center"/>
              <w:rPr>
                <w:sz w:val="20"/>
              </w:rPr>
            </w:pPr>
            <w:r>
              <w:rPr>
                <w:spacing w:val="-5"/>
                <w:sz w:val="20"/>
              </w:rPr>
              <w:t>760</w:t>
            </w:r>
          </w:p>
        </w:tc>
        <w:tc>
          <w:tcPr>
            <w:tcW w:w="1440" w:type="dxa"/>
            <w:tcBorders>
              <w:top w:val="single" w:sz="4" w:space="0" w:color="000000"/>
              <w:left w:val="single" w:sz="4" w:space="0" w:color="000000"/>
              <w:bottom w:val="single" w:sz="4" w:space="0" w:color="000000"/>
              <w:right w:val="single" w:sz="4" w:space="0" w:color="000000"/>
            </w:tcBorders>
          </w:tcPr>
          <w:p w:rsidR="00B41E06" w14:paraId="4DCFE50D" w14:textId="77777777">
            <w:pPr>
              <w:pStyle w:val="TableParagraph"/>
              <w:spacing w:before="62"/>
              <w:ind w:left="20"/>
              <w:jc w:val="center"/>
              <w:rPr>
                <w:sz w:val="20"/>
              </w:rPr>
            </w:pPr>
            <w:r>
              <w:rPr>
                <w:spacing w:val="-2"/>
                <w:sz w:val="20"/>
              </w:rPr>
              <w:t>$91.31</w:t>
            </w:r>
          </w:p>
        </w:tc>
        <w:tc>
          <w:tcPr>
            <w:tcW w:w="1442" w:type="dxa"/>
            <w:tcBorders>
              <w:top w:val="single" w:sz="4" w:space="0" w:color="000000"/>
              <w:left w:val="single" w:sz="4" w:space="0" w:color="000000"/>
              <w:bottom w:val="single" w:sz="4" w:space="0" w:color="000000"/>
              <w:right w:val="single" w:sz="4" w:space="0" w:color="000000"/>
            </w:tcBorders>
          </w:tcPr>
          <w:p w:rsidR="00B41E06" w14:paraId="3B930CB3" w14:textId="77777777">
            <w:pPr>
              <w:pStyle w:val="TableParagraph"/>
              <w:spacing w:before="62"/>
              <w:ind w:left="22" w:right="2"/>
              <w:jc w:val="center"/>
              <w:rPr>
                <w:sz w:val="20"/>
              </w:rPr>
            </w:pPr>
            <w:r>
              <w:rPr>
                <w:spacing w:val="-2"/>
                <w:sz w:val="20"/>
              </w:rPr>
              <w:t>$69,395.60</w:t>
            </w:r>
          </w:p>
        </w:tc>
      </w:tr>
      <w:tr w14:paraId="3BCDEF05" w14:textId="77777777">
        <w:tblPrEx>
          <w:tblW w:w="0" w:type="auto"/>
          <w:tblInd w:w="380" w:type="dxa"/>
          <w:tblLayout w:type="fixed"/>
          <w:tblCellMar>
            <w:left w:w="0" w:type="dxa"/>
            <w:right w:w="0" w:type="dxa"/>
          </w:tblCellMar>
          <w:tblLook w:val="01E0"/>
        </w:tblPrEx>
        <w:trPr>
          <w:trHeight w:val="813"/>
        </w:trPr>
        <w:tc>
          <w:tcPr>
            <w:tcW w:w="2150" w:type="dxa"/>
            <w:tcBorders>
              <w:top w:val="single" w:sz="4" w:space="0" w:color="000000"/>
              <w:left w:val="single" w:sz="4" w:space="0" w:color="000000"/>
              <w:bottom w:val="single" w:sz="4" w:space="0" w:color="000000"/>
              <w:right w:val="single" w:sz="4" w:space="0" w:color="000000"/>
            </w:tcBorders>
          </w:tcPr>
          <w:p w:rsidR="00B41E06" w14:paraId="237080DA" w14:textId="77777777">
            <w:pPr>
              <w:pStyle w:val="TableParagraph"/>
              <w:spacing w:before="62"/>
              <w:ind w:left="112" w:right="152" w:firstLine="45"/>
              <w:rPr>
                <w:b/>
                <w:sz w:val="20"/>
              </w:rPr>
            </w:pPr>
            <w:r>
              <w:rPr>
                <w:b/>
                <w:sz w:val="20"/>
              </w:rPr>
              <w:t>QHP issuers submit this</w:t>
            </w:r>
            <w:r>
              <w:rPr>
                <w:b/>
                <w:spacing w:val="-7"/>
                <w:sz w:val="20"/>
              </w:rPr>
              <w:t xml:space="preserve"> </w:t>
            </w:r>
            <w:r>
              <w:rPr>
                <w:b/>
                <w:sz w:val="20"/>
              </w:rPr>
              <w:t>data</w:t>
            </w:r>
            <w:r>
              <w:rPr>
                <w:b/>
                <w:spacing w:val="-7"/>
                <w:sz w:val="20"/>
              </w:rPr>
              <w:t xml:space="preserve"> </w:t>
            </w:r>
            <w:r>
              <w:rPr>
                <w:b/>
                <w:sz w:val="20"/>
              </w:rPr>
              <w:t>to</w:t>
            </w:r>
            <w:r>
              <w:rPr>
                <w:b/>
                <w:spacing w:val="-7"/>
                <w:sz w:val="20"/>
              </w:rPr>
              <w:t xml:space="preserve"> </w:t>
            </w:r>
            <w:r>
              <w:rPr>
                <w:b/>
                <w:sz w:val="20"/>
              </w:rPr>
              <w:t>HHS</w:t>
            </w:r>
            <w:r>
              <w:rPr>
                <w:b/>
                <w:spacing w:val="-8"/>
                <w:sz w:val="20"/>
              </w:rPr>
              <w:t xml:space="preserve"> </w:t>
            </w:r>
            <w:r>
              <w:rPr>
                <w:b/>
                <w:sz w:val="20"/>
              </w:rPr>
              <w:t>and</w:t>
            </w:r>
            <w:r>
              <w:rPr>
                <w:b/>
                <w:spacing w:val="-7"/>
                <w:sz w:val="20"/>
              </w:rPr>
              <w:t xml:space="preserve"> </w:t>
            </w:r>
            <w:r>
              <w:rPr>
                <w:b/>
                <w:sz w:val="20"/>
              </w:rPr>
              <w:t xml:space="preserve">an </w:t>
            </w:r>
            <w:r>
              <w:rPr>
                <w:b/>
                <w:spacing w:val="-2"/>
                <w:sz w:val="20"/>
              </w:rPr>
              <w:t>Exchange</w:t>
            </w:r>
          </w:p>
        </w:tc>
        <w:tc>
          <w:tcPr>
            <w:tcW w:w="1442" w:type="dxa"/>
            <w:tcBorders>
              <w:top w:val="single" w:sz="4" w:space="0" w:color="000000"/>
              <w:left w:val="single" w:sz="4" w:space="0" w:color="000000"/>
              <w:bottom w:val="single" w:sz="4" w:space="0" w:color="000000"/>
              <w:right w:val="single" w:sz="4" w:space="0" w:color="000000"/>
            </w:tcBorders>
          </w:tcPr>
          <w:p w:rsidR="00B41E06" w14:paraId="2E0BF85F" w14:textId="77777777">
            <w:pPr>
              <w:pStyle w:val="TableParagraph"/>
              <w:spacing w:before="62"/>
              <w:ind w:left="22" w:right="4"/>
              <w:jc w:val="center"/>
              <w:rPr>
                <w:sz w:val="20"/>
              </w:rPr>
            </w:pPr>
            <w:r>
              <w:rPr>
                <w:spacing w:val="-5"/>
                <w:sz w:val="20"/>
              </w:rPr>
              <w:t>380</w:t>
            </w:r>
          </w:p>
        </w:tc>
        <w:tc>
          <w:tcPr>
            <w:tcW w:w="1442" w:type="dxa"/>
            <w:tcBorders>
              <w:top w:val="single" w:sz="4" w:space="0" w:color="000000"/>
              <w:left w:val="single" w:sz="4" w:space="0" w:color="000000"/>
              <w:bottom w:val="single" w:sz="4" w:space="0" w:color="000000"/>
              <w:right w:val="single" w:sz="4" w:space="0" w:color="000000"/>
            </w:tcBorders>
          </w:tcPr>
          <w:p w:rsidR="00B41E06" w14:paraId="1C4431CD" w14:textId="77777777">
            <w:pPr>
              <w:pStyle w:val="TableParagraph"/>
              <w:spacing w:before="62"/>
              <w:ind w:left="22" w:right="4"/>
              <w:jc w:val="center"/>
              <w:rPr>
                <w:sz w:val="20"/>
              </w:rPr>
            </w:pPr>
            <w:r>
              <w:rPr>
                <w:spacing w:val="-10"/>
                <w:sz w:val="20"/>
              </w:rPr>
              <w:t>1</w:t>
            </w:r>
          </w:p>
        </w:tc>
        <w:tc>
          <w:tcPr>
            <w:tcW w:w="1442" w:type="dxa"/>
            <w:tcBorders>
              <w:top w:val="single" w:sz="4" w:space="0" w:color="000000"/>
              <w:left w:val="single" w:sz="4" w:space="0" w:color="000000"/>
              <w:bottom w:val="single" w:sz="4" w:space="0" w:color="000000"/>
              <w:right w:val="single" w:sz="4" w:space="0" w:color="000000"/>
            </w:tcBorders>
          </w:tcPr>
          <w:p w:rsidR="00B41E06" w14:paraId="7F373E6A" w14:textId="77777777">
            <w:pPr>
              <w:pStyle w:val="TableParagraph"/>
              <w:spacing w:before="62"/>
              <w:ind w:left="22" w:right="3"/>
              <w:jc w:val="center"/>
              <w:rPr>
                <w:sz w:val="20"/>
              </w:rPr>
            </w:pPr>
            <w:r>
              <w:rPr>
                <w:spacing w:val="-5"/>
                <w:sz w:val="20"/>
              </w:rPr>
              <w:t>380</w:t>
            </w:r>
          </w:p>
        </w:tc>
        <w:tc>
          <w:tcPr>
            <w:tcW w:w="1440" w:type="dxa"/>
            <w:tcBorders>
              <w:top w:val="single" w:sz="4" w:space="0" w:color="000000"/>
              <w:left w:val="single" w:sz="4" w:space="0" w:color="000000"/>
              <w:bottom w:val="single" w:sz="4" w:space="0" w:color="000000"/>
              <w:right w:val="single" w:sz="4" w:space="0" w:color="000000"/>
            </w:tcBorders>
          </w:tcPr>
          <w:p w:rsidR="00B41E06" w14:paraId="05626A83" w14:textId="77777777">
            <w:pPr>
              <w:pStyle w:val="TableParagraph"/>
              <w:spacing w:before="62"/>
              <w:ind w:left="20"/>
              <w:jc w:val="center"/>
              <w:rPr>
                <w:sz w:val="20"/>
              </w:rPr>
            </w:pPr>
            <w:r>
              <w:rPr>
                <w:spacing w:val="-2"/>
                <w:sz w:val="20"/>
              </w:rPr>
              <w:t>$91.31</w:t>
            </w:r>
          </w:p>
        </w:tc>
        <w:tc>
          <w:tcPr>
            <w:tcW w:w="1442" w:type="dxa"/>
            <w:tcBorders>
              <w:top w:val="single" w:sz="4" w:space="0" w:color="000000"/>
              <w:left w:val="single" w:sz="4" w:space="0" w:color="000000"/>
              <w:bottom w:val="single" w:sz="4" w:space="0" w:color="000000"/>
              <w:right w:val="single" w:sz="4" w:space="0" w:color="000000"/>
            </w:tcBorders>
          </w:tcPr>
          <w:p w:rsidR="00B41E06" w14:paraId="2B9CDCC3" w14:textId="77777777">
            <w:pPr>
              <w:pStyle w:val="TableParagraph"/>
              <w:spacing w:before="62"/>
              <w:ind w:left="22" w:right="2"/>
              <w:jc w:val="center"/>
              <w:rPr>
                <w:sz w:val="20"/>
              </w:rPr>
            </w:pPr>
            <w:r>
              <w:rPr>
                <w:spacing w:val="-2"/>
                <w:sz w:val="20"/>
              </w:rPr>
              <w:t>$31,697.80</w:t>
            </w:r>
          </w:p>
        </w:tc>
      </w:tr>
      <w:tr w14:paraId="40A196C0" w14:textId="77777777">
        <w:tblPrEx>
          <w:tblW w:w="0" w:type="auto"/>
          <w:tblInd w:w="380" w:type="dxa"/>
          <w:tblLayout w:type="fixed"/>
          <w:tblCellMar>
            <w:left w:w="0" w:type="dxa"/>
            <w:right w:w="0" w:type="dxa"/>
          </w:tblCellMar>
          <w:tblLook w:val="01E0"/>
        </w:tblPrEx>
        <w:trPr>
          <w:trHeight w:val="357"/>
        </w:trPr>
        <w:tc>
          <w:tcPr>
            <w:tcW w:w="2150" w:type="dxa"/>
            <w:tcBorders>
              <w:top w:val="single" w:sz="4" w:space="0" w:color="000000"/>
              <w:left w:val="single" w:sz="4" w:space="0" w:color="000000"/>
              <w:bottom w:val="single" w:sz="4" w:space="0" w:color="000000"/>
              <w:right w:val="single" w:sz="4" w:space="0" w:color="000000"/>
            </w:tcBorders>
            <w:shd w:val="clear" w:color="auto" w:fill="F1F1F1"/>
          </w:tcPr>
          <w:p w:rsidR="00B41E06" w14:paraId="665765E9" w14:textId="77777777">
            <w:pPr>
              <w:pStyle w:val="TableParagraph"/>
              <w:spacing w:before="62"/>
              <w:ind w:right="88"/>
              <w:jc w:val="right"/>
              <w:rPr>
                <w:b/>
                <w:sz w:val="20"/>
              </w:rPr>
            </w:pPr>
            <w:r>
              <w:rPr>
                <w:b/>
                <w:spacing w:val="-2"/>
                <w:sz w:val="20"/>
              </w:rPr>
              <w:t>Total</w:t>
            </w:r>
          </w:p>
        </w:tc>
        <w:tc>
          <w:tcPr>
            <w:tcW w:w="1442" w:type="dxa"/>
            <w:tcBorders>
              <w:top w:val="single" w:sz="4" w:space="0" w:color="000000"/>
              <w:left w:val="single" w:sz="4" w:space="0" w:color="000000"/>
              <w:bottom w:val="single" w:sz="4" w:space="0" w:color="000000"/>
              <w:right w:val="single" w:sz="4" w:space="0" w:color="000000"/>
            </w:tcBorders>
            <w:shd w:val="clear" w:color="auto" w:fill="F1F1F1"/>
          </w:tcPr>
          <w:p w:rsidR="00B41E06" w14:paraId="41ED8658" w14:textId="77777777">
            <w:pPr>
              <w:pStyle w:val="TableParagraph"/>
              <w:rPr>
                <w:rFonts w:ascii="Times New Roman"/>
              </w:rPr>
            </w:pPr>
          </w:p>
        </w:tc>
        <w:tc>
          <w:tcPr>
            <w:tcW w:w="1442" w:type="dxa"/>
            <w:tcBorders>
              <w:top w:val="single" w:sz="4" w:space="0" w:color="000000"/>
              <w:left w:val="single" w:sz="4" w:space="0" w:color="000000"/>
              <w:bottom w:val="single" w:sz="4" w:space="0" w:color="000000"/>
              <w:right w:val="single" w:sz="4" w:space="0" w:color="000000"/>
            </w:tcBorders>
            <w:shd w:val="clear" w:color="auto" w:fill="F1F1F1"/>
          </w:tcPr>
          <w:p w:rsidR="00B41E06" w14:paraId="5047AA9F" w14:textId="77777777">
            <w:pPr>
              <w:pStyle w:val="TableParagraph"/>
              <w:spacing w:before="62"/>
              <w:ind w:left="22" w:right="4"/>
              <w:jc w:val="center"/>
              <w:rPr>
                <w:sz w:val="20"/>
              </w:rPr>
            </w:pPr>
            <w:r>
              <w:rPr>
                <w:spacing w:val="-10"/>
                <w:sz w:val="20"/>
              </w:rPr>
              <w:t>3</w:t>
            </w:r>
          </w:p>
        </w:tc>
        <w:tc>
          <w:tcPr>
            <w:tcW w:w="1442" w:type="dxa"/>
            <w:tcBorders>
              <w:top w:val="single" w:sz="4" w:space="0" w:color="000000"/>
              <w:left w:val="single" w:sz="4" w:space="0" w:color="000000"/>
              <w:bottom w:val="single" w:sz="4" w:space="0" w:color="000000"/>
              <w:right w:val="single" w:sz="4" w:space="0" w:color="000000"/>
            </w:tcBorders>
            <w:shd w:val="clear" w:color="auto" w:fill="F1F1F1"/>
          </w:tcPr>
          <w:p w:rsidR="00B41E06" w14:paraId="686968A1" w14:textId="77777777">
            <w:pPr>
              <w:pStyle w:val="TableParagraph"/>
              <w:spacing w:before="62"/>
              <w:ind w:left="22"/>
              <w:jc w:val="center"/>
              <w:rPr>
                <w:sz w:val="20"/>
              </w:rPr>
            </w:pPr>
            <w:r>
              <w:rPr>
                <w:spacing w:val="-2"/>
                <w:sz w:val="20"/>
              </w:rPr>
              <w:t>1,140</w:t>
            </w:r>
          </w:p>
        </w:tc>
        <w:tc>
          <w:tcPr>
            <w:tcW w:w="1440" w:type="dxa"/>
            <w:tcBorders>
              <w:top w:val="single" w:sz="4" w:space="0" w:color="000000"/>
              <w:left w:val="single" w:sz="4" w:space="0" w:color="000000"/>
              <w:bottom w:val="single" w:sz="4" w:space="0" w:color="000000"/>
              <w:right w:val="single" w:sz="4" w:space="0" w:color="000000"/>
            </w:tcBorders>
            <w:shd w:val="clear" w:color="auto" w:fill="F1F1F1"/>
          </w:tcPr>
          <w:p w:rsidR="00B41E06" w14:paraId="2EDFE4A5" w14:textId="77777777">
            <w:pPr>
              <w:pStyle w:val="TableParagraph"/>
              <w:rPr>
                <w:rFonts w:ascii="Times New Roman"/>
              </w:rPr>
            </w:pPr>
          </w:p>
        </w:tc>
        <w:tc>
          <w:tcPr>
            <w:tcW w:w="1442" w:type="dxa"/>
            <w:tcBorders>
              <w:top w:val="single" w:sz="4" w:space="0" w:color="000000"/>
              <w:left w:val="single" w:sz="4" w:space="0" w:color="000000"/>
              <w:bottom w:val="single" w:sz="4" w:space="0" w:color="000000"/>
              <w:right w:val="single" w:sz="4" w:space="0" w:color="000000"/>
            </w:tcBorders>
            <w:shd w:val="clear" w:color="auto" w:fill="F1F1F1"/>
          </w:tcPr>
          <w:p w:rsidR="00B41E06" w14:paraId="5E5366F4" w14:textId="77777777">
            <w:pPr>
              <w:pStyle w:val="TableParagraph"/>
              <w:spacing w:before="62"/>
              <w:ind w:left="22" w:right="2"/>
              <w:jc w:val="center"/>
              <w:rPr>
                <w:sz w:val="20"/>
              </w:rPr>
            </w:pPr>
            <w:r>
              <w:rPr>
                <w:spacing w:val="-2"/>
                <w:sz w:val="20"/>
              </w:rPr>
              <w:t>$104,063.40</w:t>
            </w:r>
          </w:p>
        </w:tc>
      </w:tr>
    </w:tbl>
    <w:p w:rsidR="00B41E06" w14:paraId="1221241C" w14:textId="77777777">
      <w:pPr>
        <w:pStyle w:val="ListParagraph"/>
        <w:numPr>
          <w:ilvl w:val="0"/>
          <w:numId w:val="5"/>
        </w:numPr>
        <w:tabs>
          <w:tab w:val="left" w:pos="907"/>
        </w:tabs>
        <w:spacing w:before="125"/>
        <w:ind w:right="1795"/>
        <w:rPr>
          <w:b/>
          <w:sz w:val="24"/>
        </w:rPr>
      </w:pPr>
      <w:bookmarkStart w:id="26" w:name="13._Estimates_of_other_Total_Annual_Cost"/>
      <w:bookmarkEnd w:id="26"/>
      <w:r>
        <w:rPr>
          <w:b/>
          <w:sz w:val="24"/>
        </w:rPr>
        <w:t>Estimates</w:t>
      </w:r>
      <w:r>
        <w:rPr>
          <w:b/>
          <w:spacing w:val="-4"/>
          <w:sz w:val="24"/>
        </w:rPr>
        <w:t xml:space="preserve"> </w:t>
      </w:r>
      <w:r>
        <w:rPr>
          <w:b/>
          <w:sz w:val="24"/>
        </w:rPr>
        <w:t>of</w:t>
      </w:r>
      <w:r>
        <w:rPr>
          <w:b/>
          <w:spacing w:val="-5"/>
          <w:sz w:val="24"/>
        </w:rPr>
        <w:t xml:space="preserve"> </w:t>
      </w:r>
      <w:r>
        <w:rPr>
          <w:b/>
          <w:sz w:val="24"/>
        </w:rPr>
        <w:t>other</w:t>
      </w:r>
      <w:r>
        <w:rPr>
          <w:b/>
          <w:spacing w:val="-5"/>
          <w:sz w:val="24"/>
        </w:rPr>
        <w:t xml:space="preserve"> </w:t>
      </w:r>
      <w:r>
        <w:rPr>
          <w:b/>
          <w:sz w:val="24"/>
        </w:rPr>
        <w:t>Total</w:t>
      </w:r>
      <w:r>
        <w:rPr>
          <w:b/>
          <w:spacing w:val="-4"/>
          <w:sz w:val="24"/>
        </w:rPr>
        <w:t xml:space="preserve"> </w:t>
      </w:r>
      <w:r>
        <w:rPr>
          <w:b/>
          <w:sz w:val="24"/>
        </w:rPr>
        <w:t>Annual</w:t>
      </w:r>
      <w:r>
        <w:rPr>
          <w:b/>
          <w:spacing w:val="-4"/>
          <w:sz w:val="24"/>
        </w:rPr>
        <w:t xml:space="preserve"> </w:t>
      </w:r>
      <w:r>
        <w:rPr>
          <w:b/>
          <w:sz w:val="24"/>
        </w:rPr>
        <w:t>Cost</w:t>
      </w:r>
      <w:r>
        <w:rPr>
          <w:b/>
          <w:spacing w:val="-5"/>
          <w:sz w:val="24"/>
        </w:rPr>
        <w:t xml:space="preserve"> </w:t>
      </w:r>
      <w:r>
        <w:rPr>
          <w:b/>
          <w:sz w:val="24"/>
        </w:rPr>
        <w:t>Burden</w:t>
      </w:r>
      <w:r>
        <w:rPr>
          <w:b/>
          <w:spacing w:val="-4"/>
          <w:sz w:val="24"/>
        </w:rPr>
        <w:t xml:space="preserve"> </w:t>
      </w:r>
      <w:r>
        <w:rPr>
          <w:b/>
          <w:sz w:val="24"/>
        </w:rPr>
        <w:t>to</w:t>
      </w:r>
      <w:r>
        <w:rPr>
          <w:b/>
          <w:spacing w:val="-4"/>
          <w:sz w:val="24"/>
        </w:rPr>
        <w:t xml:space="preserve"> </w:t>
      </w:r>
      <w:r>
        <w:rPr>
          <w:b/>
          <w:sz w:val="24"/>
        </w:rPr>
        <w:t>Respondents</w:t>
      </w:r>
      <w:r>
        <w:rPr>
          <w:b/>
          <w:spacing w:val="-4"/>
          <w:sz w:val="24"/>
        </w:rPr>
        <w:t xml:space="preserve"> </w:t>
      </w:r>
      <w:r>
        <w:rPr>
          <w:b/>
          <w:sz w:val="24"/>
        </w:rPr>
        <w:t>or</w:t>
      </w:r>
      <w:r>
        <w:rPr>
          <w:b/>
          <w:spacing w:val="-5"/>
          <w:sz w:val="24"/>
        </w:rPr>
        <w:t xml:space="preserve"> </w:t>
      </w:r>
      <w:r>
        <w:rPr>
          <w:b/>
          <w:sz w:val="24"/>
        </w:rPr>
        <w:t>Record Keepers/Capital Costs</w:t>
      </w:r>
    </w:p>
    <w:p w:rsidR="00B41E06" w14:paraId="1C731047" w14:textId="77777777">
      <w:pPr>
        <w:pStyle w:val="BodyText"/>
        <w:ind w:left="360" w:right="365"/>
      </w:pPr>
      <w:r>
        <w:t>We anticipate that capital costs would be incurred in the initial year(s) by issuers with limited experience in quality measure collection and submission as they develop their data collection systems</w:t>
      </w:r>
      <w:r>
        <w:rPr>
          <w:spacing w:val="-3"/>
        </w:rPr>
        <w:t xml:space="preserve"> </w:t>
      </w:r>
      <w:r>
        <w:t>and</w:t>
      </w:r>
      <w:r>
        <w:rPr>
          <w:spacing w:val="-3"/>
        </w:rPr>
        <w:t xml:space="preserve"> </w:t>
      </w:r>
      <w:r>
        <w:t>processes.</w:t>
      </w:r>
      <w:r>
        <w:rPr>
          <w:spacing w:val="-4"/>
        </w:rPr>
        <w:t xml:space="preserve"> </w:t>
      </w:r>
      <w:r>
        <w:t>These</w:t>
      </w:r>
      <w:r>
        <w:rPr>
          <w:spacing w:val="-4"/>
        </w:rPr>
        <w:t xml:space="preserve"> </w:t>
      </w:r>
      <w:r>
        <w:t>issuers</w:t>
      </w:r>
      <w:r>
        <w:rPr>
          <w:spacing w:val="-3"/>
        </w:rPr>
        <w:t xml:space="preserve"> </w:t>
      </w:r>
      <w:r>
        <w:t>will</w:t>
      </w:r>
      <w:r>
        <w:rPr>
          <w:spacing w:val="-3"/>
        </w:rPr>
        <w:t xml:space="preserve"> </w:t>
      </w:r>
      <w:r>
        <w:t>need</w:t>
      </w:r>
      <w:r>
        <w:rPr>
          <w:spacing w:val="-3"/>
        </w:rPr>
        <w:t xml:space="preserve"> </w:t>
      </w:r>
      <w:r>
        <w:t>to</w:t>
      </w:r>
      <w:r>
        <w:rPr>
          <w:spacing w:val="-2"/>
        </w:rPr>
        <w:t xml:space="preserve"> </w:t>
      </w:r>
      <w:r>
        <w:t>purchase</w:t>
      </w:r>
      <w:r>
        <w:rPr>
          <w:spacing w:val="-3"/>
        </w:rPr>
        <w:t xml:space="preserve"> </w:t>
      </w:r>
      <w:r>
        <w:t>and</w:t>
      </w:r>
      <w:r>
        <w:rPr>
          <w:spacing w:val="-3"/>
        </w:rPr>
        <w:t xml:space="preserve"> </w:t>
      </w:r>
      <w:r>
        <w:t>install</w:t>
      </w:r>
      <w:r>
        <w:rPr>
          <w:spacing w:val="-3"/>
        </w:rPr>
        <w:t xml:space="preserve"> </w:t>
      </w:r>
      <w:r>
        <w:t>software</w:t>
      </w:r>
      <w:r>
        <w:rPr>
          <w:spacing w:val="-3"/>
        </w:rPr>
        <w:t xml:space="preserve"> </w:t>
      </w:r>
      <w:r>
        <w:t>for</w:t>
      </w:r>
      <w:r>
        <w:rPr>
          <w:spacing w:val="-4"/>
        </w:rPr>
        <w:t xml:space="preserve"> </w:t>
      </w:r>
      <w:r>
        <w:t>QRS</w:t>
      </w:r>
      <w:r>
        <w:rPr>
          <w:spacing w:val="-3"/>
        </w:rPr>
        <w:t xml:space="preserve"> </w:t>
      </w:r>
      <w:r>
        <w:t>measure data collection. The anticipated cost for this purchase and installation is approximately $80,000.</w:t>
      </w:r>
    </w:p>
    <w:p w:rsidR="00B41E06" w14:paraId="05443FED" w14:textId="77777777">
      <w:pPr>
        <w:pStyle w:val="BodyText"/>
        <w:ind w:left="360" w:right="427"/>
      </w:pPr>
      <w:r>
        <w:t>These issuers would also incur an additional $10,000 cost for third-party validation since validators</w:t>
      </w:r>
      <w:r>
        <w:rPr>
          <w:spacing w:val="-3"/>
        </w:rPr>
        <w:t xml:space="preserve"> </w:t>
      </w:r>
      <w:r>
        <w:t>may</w:t>
      </w:r>
      <w:r>
        <w:rPr>
          <w:spacing w:val="-3"/>
        </w:rPr>
        <w:t xml:space="preserve"> </w:t>
      </w:r>
      <w:r>
        <w:t>initially</w:t>
      </w:r>
      <w:r>
        <w:rPr>
          <w:spacing w:val="-3"/>
        </w:rPr>
        <w:t xml:space="preserve"> </w:t>
      </w:r>
      <w:r>
        <w:t>set</w:t>
      </w:r>
      <w:r>
        <w:rPr>
          <w:spacing w:val="-3"/>
        </w:rPr>
        <w:t xml:space="preserve"> </w:t>
      </w:r>
      <w:r>
        <w:t>higher</w:t>
      </w:r>
      <w:r>
        <w:rPr>
          <w:spacing w:val="-4"/>
        </w:rPr>
        <w:t xml:space="preserve"> </w:t>
      </w:r>
      <w:r>
        <w:t>fees</w:t>
      </w:r>
      <w:r>
        <w:rPr>
          <w:spacing w:val="-3"/>
        </w:rPr>
        <w:t xml:space="preserve"> </w:t>
      </w:r>
      <w:r>
        <w:t>for</w:t>
      </w:r>
      <w:r>
        <w:rPr>
          <w:spacing w:val="-4"/>
        </w:rPr>
        <w:t xml:space="preserve"> </w:t>
      </w:r>
      <w:r>
        <w:t>these</w:t>
      </w:r>
      <w:r>
        <w:rPr>
          <w:spacing w:val="-4"/>
        </w:rPr>
        <w:t xml:space="preserve"> </w:t>
      </w:r>
      <w:r>
        <w:t>issuers,</w:t>
      </w:r>
      <w:r>
        <w:rPr>
          <w:spacing w:val="-3"/>
        </w:rPr>
        <w:t xml:space="preserve"> </w:t>
      </w:r>
      <w:r>
        <w:t>given</w:t>
      </w:r>
      <w:r>
        <w:rPr>
          <w:spacing w:val="-3"/>
        </w:rPr>
        <w:t xml:space="preserve"> </w:t>
      </w:r>
      <w:r>
        <w:t>the</w:t>
      </w:r>
      <w:r>
        <w:rPr>
          <w:spacing w:val="-4"/>
        </w:rPr>
        <w:t xml:space="preserve"> </w:t>
      </w:r>
      <w:r>
        <w:t>increased</w:t>
      </w:r>
      <w:r>
        <w:rPr>
          <w:spacing w:val="-3"/>
        </w:rPr>
        <w:t xml:space="preserve"> </w:t>
      </w:r>
      <w:r>
        <w:t>resources</w:t>
      </w:r>
      <w:r>
        <w:rPr>
          <w:spacing w:val="-3"/>
        </w:rPr>
        <w:t xml:space="preserve"> </w:t>
      </w:r>
      <w:r>
        <w:t>needed</w:t>
      </w:r>
      <w:r>
        <w:rPr>
          <w:spacing w:val="-3"/>
        </w:rPr>
        <w:t xml:space="preserve"> </w:t>
      </w:r>
      <w:r>
        <w:t>to validate new systems and processes. Capital costs also include annual third-party validation costs, which are estimated to be $12,500 for issuers. Issuers would also have to contract with a</w:t>
      </w:r>
    </w:p>
    <w:p w:rsidR="00B41E06" w14:paraId="26550931" w14:textId="77777777">
      <w:pPr>
        <w:pStyle w:val="BodyText"/>
        <w:spacing w:before="181"/>
        <w:rPr>
          <w:sz w:val="20"/>
        </w:rPr>
      </w:pPr>
      <w:r>
        <w:rPr>
          <w:noProof/>
          <w:sz w:val="20"/>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276767</wp:posOffset>
                </wp:positionV>
                <wp:extent cx="1828800" cy="762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 o:spid="_x0000_s1039" style="width:2in;height:0.6pt;margin-top:21.8pt;margin-left:1in;mso-position-horizontal-relative:page;mso-wrap-distance-bottom:0;mso-wrap-distance-left:0;mso-wrap-distance-right:0;mso-wrap-distance-top:0;mso-wrap-style:square;position:absolute;visibility:visible;v-text-anchor:top;z-index:-251626496" coordsize="1828800,7620" path="m1828800,l,,,7607l1828800,7607l1828800,xe" fillcolor="black" stroked="f">
                <v:path arrowok="t"/>
                <w10:wrap type="topAndBottom"/>
              </v:shape>
            </w:pict>
          </mc:Fallback>
        </mc:AlternateContent>
      </w:r>
    </w:p>
    <w:p w:rsidR="00B41E06" w14:paraId="274E6914" w14:textId="77777777">
      <w:pPr>
        <w:spacing w:before="183"/>
        <w:ind w:left="359" w:right="365"/>
        <w:rPr>
          <w:sz w:val="20"/>
        </w:rPr>
      </w:pPr>
      <w:r>
        <w:rPr>
          <w:sz w:val="20"/>
          <w:vertAlign w:val="superscript"/>
        </w:rPr>
        <w:t>17</w:t>
      </w:r>
      <w:r>
        <w:rPr>
          <w:spacing w:val="-3"/>
          <w:sz w:val="20"/>
        </w:rPr>
        <w:t xml:space="preserve"> </w:t>
      </w:r>
      <w:r>
        <w:rPr>
          <w:sz w:val="20"/>
        </w:rPr>
        <w:t>Patient</w:t>
      </w:r>
      <w:r>
        <w:rPr>
          <w:spacing w:val="-3"/>
          <w:sz w:val="20"/>
        </w:rPr>
        <w:t xml:space="preserve"> </w:t>
      </w:r>
      <w:r>
        <w:rPr>
          <w:sz w:val="20"/>
        </w:rPr>
        <w:t>Protection</w:t>
      </w:r>
      <w:r>
        <w:rPr>
          <w:spacing w:val="-2"/>
          <w:sz w:val="20"/>
        </w:rPr>
        <w:t xml:space="preserve"> </w:t>
      </w:r>
      <w:r>
        <w:rPr>
          <w:sz w:val="20"/>
        </w:rPr>
        <w:t>and</w:t>
      </w:r>
      <w:r>
        <w:rPr>
          <w:spacing w:val="-2"/>
          <w:sz w:val="20"/>
        </w:rPr>
        <w:t xml:space="preserve"> </w:t>
      </w:r>
      <w:r>
        <w:rPr>
          <w:sz w:val="20"/>
        </w:rPr>
        <w:t>Affordable</w:t>
      </w:r>
      <w:r>
        <w:rPr>
          <w:spacing w:val="-3"/>
          <w:sz w:val="20"/>
        </w:rPr>
        <w:t xml:space="preserve"> </w:t>
      </w:r>
      <w:r>
        <w:rPr>
          <w:sz w:val="20"/>
        </w:rPr>
        <w:t>Care</w:t>
      </w:r>
      <w:r>
        <w:rPr>
          <w:spacing w:val="-3"/>
          <w:sz w:val="20"/>
        </w:rPr>
        <w:t xml:space="preserve"> </w:t>
      </w:r>
      <w:r>
        <w:rPr>
          <w:sz w:val="20"/>
        </w:rPr>
        <w:t>Act;</w:t>
      </w:r>
      <w:r>
        <w:rPr>
          <w:spacing w:val="-3"/>
          <w:sz w:val="20"/>
        </w:rPr>
        <w:t xml:space="preserve"> </w:t>
      </w:r>
      <w:r>
        <w:rPr>
          <w:sz w:val="20"/>
        </w:rPr>
        <w:t>HHS</w:t>
      </w:r>
      <w:r>
        <w:rPr>
          <w:spacing w:val="-3"/>
          <w:sz w:val="20"/>
        </w:rPr>
        <w:t xml:space="preserve"> </w:t>
      </w:r>
      <w:r>
        <w:rPr>
          <w:sz w:val="20"/>
        </w:rPr>
        <w:t>Notice</w:t>
      </w:r>
      <w:r>
        <w:rPr>
          <w:spacing w:val="-3"/>
          <w:sz w:val="20"/>
        </w:rPr>
        <w:t xml:space="preserve"> </w:t>
      </w:r>
      <w:r>
        <w:rPr>
          <w:sz w:val="20"/>
        </w:rPr>
        <w:t>of</w:t>
      </w:r>
      <w:r>
        <w:rPr>
          <w:spacing w:val="-2"/>
          <w:sz w:val="20"/>
        </w:rPr>
        <w:t xml:space="preserve"> </w:t>
      </w:r>
      <w:r>
        <w:rPr>
          <w:sz w:val="20"/>
        </w:rPr>
        <w:t>Benefit</w:t>
      </w:r>
      <w:r>
        <w:rPr>
          <w:spacing w:val="-3"/>
          <w:sz w:val="20"/>
        </w:rPr>
        <w:t xml:space="preserve"> </w:t>
      </w:r>
      <w:r>
        <w:rPr>
          <w:sz w:val="20"/>
        </w:rPr>
        <w:t>and</w:t>
      </w:r>
      <w:r>
        <w:rPr>
          <w:spacing w:val="-2"/>
          <w:sz w:val="20"/>
        </w:rPr>
        <w:t xml:space="preserve"> </w:t>
      </w:r>
      <w:r>
        <w:rPr>
          <w:sz w:val="20"/>
        </w:rPr>
        <w:t>Payment</w:t>
      </w:r>
      <w:r>
        <w:rPr>
          <w:spacing w:val="-3"/>
          <w:sz w:val="20"/>
        </w:rPr>
        <w:t xml:space="preserve"> </w:t>
      </w:r>
      <w:r>
        <w:rPr>
          <w:sz w:val="20"/>
        </w:rPr>
        <w:t>Parameters</w:t>
      </w:r>
      <w:r>
        <w:rPr>
          <w:spacing w:val="-4"/>
          <w:sz w:val="20"/>
        </w:rPr>
        <w:t xml:space="preserve"> </w:t>
      </w:r>
      <w:r>
        <w:rPr>
          <w:sz w:val="20"/>
        </w:rPr>
        <w:t>for</w:t>
      </w:r>
      <w:r>
        <w:rPr>
          <w:spacing w:val="-2"/>
          <w:sz w:val="20"/>
        </w:rPr>
        <w:t xml:space="preserve"> </w:t>
      </w:r>
      <w:r>
        <w:rPr>
          <w:sz w:val="20"/>
        </w:rPr>
        <w:t>2017;</w:t>
      </w:r>
      <w:r>
        <w:rPr>
          <w:spacing w:val="-3"/>
          <w:sz w:val="20"/>
        </w:rPr>
        <w:t xml:space="preserve"> </w:t>
      </w:r>
      <w:r>
        <w:rPr>
          <w:sz w:val="20"/>
        </w:rPr>
        <w:t>Final</w:t>
      </w:r>
      <w:r>
        <w:rPr>
          <w:spacing w:val="-3"/>
          <w:sz w:val="20"/>
        </w:rPr>
        <w:t xml:space="preserve"> </w:t>
      </w:r>
      <w:r>
        <w:rPr>
          <w:sz w:val="20"/>
        </w:rPr>
        <w:t>Rule, 81 FR 12203 (March 8, 2016).</w:t>
      </w:r>
    </w:p>
    <w:p w:rsidR="00B41E06" w14:paraId="0621FAA9" w14:textId="77777777">
      <w:pPr>
        <w:rPr>
          <w:sz w:val="20"/>
        </w:rPr>
        <w:sectPr>
          <w:pgSz w:w="12240" w:h="15840"/>
          <w:pgMar w:top="1360" w:right="1080" w:bottom="980" w:left="1080" w:header="0" w:footer="787" w:gutter="0"/>
          <w:cols w:space="720"/>
        </w:sectPr>
      </w:pPr>
    </w:p>
    <w:p w:rsidR="00B41E06" w14:paraId="6099E96E" w14:textId="77777777">
      <w:pPr>
        <w:pStyle w:val="BodyText"/>
        <w:spacing w:before="79"/>
        <w:ind w:left="360" w:right="365"/>
      </w:pPr>
      <w:r>
        <w:t>QHP Enrollee Survey vendor, which is estimated to be approximately $5,300 annually. We estimate</w:t>
      </w:r>
      <w:r>
        <w:rPr>
          <w:spacing w:val="-4"/>
        </w:rPr>
        <w:t xml:space="preserve"> </w:t>
      </w:r>
      <w:r>
        <w:t>that</w:t>
      </w:r>
      <w:r>
        <w:rPr>
          <w:spacing w:val="-3"/>
        </w:rPr>
        <w:t xml:space="preserve"> </w:t>
      </w:r>
      <w:r>
        <w:t>these</w:t>
      </w:r>
      <w:r>
        <w:rPr>
          <w:spacing w:val="-4"/>
        </w:rPr>
        <w:t xml:space="preserve"> </w:t>
      </w:r>
      <w:r>
        <w:t>vendor</w:t>
      </w:r>
      <w:r>
        <w:rPr>
          <w:spacing w:val="-4"/>
        </w:rPr>
        <w:t xml:space="preserve"> </w:t>
      </w:r>
      <w:r>
        <w:t>contracting</w:t>
      </w:r>
      <w:r>
        <w:rPr>
          <w:spacing w:val="-3"/>
        </w:rPr>
        <w:t xml:space="preserve"> </w:t>
      </w:r>
      <w:r>
        <w:t>costs</w:t>
      </w:r>
      <w:r>
        <w:rPr>
          <w:spacing w:val="-3"/>
        </w:rPr>
        <w:t xml:space="preserve"> </w:t>
      </w:r>
      <w:r>
        <w:t>are</w:t>
      </w:r>
      <w:r>
        <w:rPr>
          <w:spacing w:val="-2"/>
        </w:rPr>
        <w:t xml:space="preserve"> </w:t>
      </w:r>
      <w:r>
        <w:t>conservative</w:t>
      </w:r>
      <w:r>
        <w:rPr>
          <w:spacing w:val="-4"/>
        </w:rPr>
        <w:t xml:space="preserve"> </w:t>
      </w:r>
      <w:r>
        <w:t>since</w:t>
      </w:r>
      <w:r>
        <w:rPr>
          <w:spacing w:val="-4"/>
        </w:rPr>
        <w:t xml:space="preserve"> </w:t>
      </w:r>
      <w:r>
        <w:t>issuers</w:t>
      </w:r>
      <w:r>
        <w:rPr>
          <w:spacing w:val="-3"/>
        </w:rPr>
        <w:t xml:space="preserve"> </w:t>
      </w:r>
      <w:r>
        <w:t>already</w:t>
      </w:r>
      <w:r>
        <w:rPr>
          <w:spacing w:val="-3"/>
        </w:rPr>
        <w:t xml:space="preserve"> </w:t>
      </w:r>
      <w:r>
        <w:t>contract</w:t>
      </w:r>
      <w:r>
        <w:rPr>
          <w:spacing w:val="-3"/>
        </w:rPr>
        <w:t xml:space="preserve"> </w:t>
      </w:r>
      <w:r>
        <w:t>with survey vendors to administer other similar CAHPS surveys and may not have to contract with additional new vendors for the QHP Enrollee Survey.</w:t>
      </w:r>
    </w:p>
    <w:p w:rsidR="00B41E06" w14:paraId="0B9CF81B" w14:textId="77777777">
      <w:pPr>
        <w:pStyle w:val="Heading1"/>
        <w:numPr>
          <w:ilvl w:val="0"/>
          <w:numId w:val="5"/>
        </w:numPr>
        <w:tabs>
          <w:tab w:val="left" w:pos="907"/>
        </w:tabs>
        <w:ind w:hanging="547"/>
      </w:pPr>
      <w:bookmarkStart w:id="27" w:name="14.__Annualized_Cost_to_Federal_Governme"/>
      <w:bookmarkEnd w:id="27"/>
      <w:r>
        <w:t>Annualized</w:t>
      </w:r>
      <w:r>
        <w:rPr>
          <w:spacing w:val="-3"/>
        </w:rPr>
        <w:t xml:space="preserve"> </w:t>
      </w:r>
      <w:r>
        <w:t>Cost</w:t>
      </w:r>
      <w:r>
        <w:rPr>
          <w:spacing w:val="-3"/>
        </w:rPr>
        <w:t xml:space="preserve"> </w:t>
      </w:r>
      <w:r>
        <w:t>to</w:t>
      </w:r>
      <w:r>
        <w:rPr>
          <w:spacing w:val="-3"/>
        </w:rPr>
        <w:t xml:space="preserve"> </w:t>
      </w:r>
      <w:r>
        <w:t>Federal</w:t>
      </w:r>
      <w:r>
        <w:rPr>
          <w:spacing w:val="-2"/>
        </w:rPr>
        <w:t xml:space="preserve"> Government</w:t>
      </w:r>
    </w:p>
    <w:p w:rsidR="00B41E06" w14:paraId="1FE6E0CD" w14:textId="77777777">
      <w:pPr>
        <w:pStyle w:val="BodyText"/>
        <w:ind w:left="360" w:right="365"/>
      </w:pPr>
      <w:r>
        <w:rPr>
          <w:noProof/>
        </w:rPr>
        <mc:AlternateContent>
          <mc:Choice Requires="wps">
            <w:drawing>
              <wp:anchor distT="0" distB="0" distL="0" distR="0" simplePos="0" relativeHeight="251670528" behindDoc="1" locked="0" layoutInCell="1" allowOverlap="1">
                <wp:simplePos x="0" y="0"/>
                <wp:positionH relativeFrom="page">
                  <wp:posOffset>4617720</wp:posOffset>
                </wp:positionH>
                <wp:positionV relativeFrom="paragraph">
                  <wp:posOffset>1083356</wp:posOffset>
                </wp:positionV>
                <wp:extent cx="20320" cy="14604"/>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320" cy="14604"/>
                        </a:xfrm>
                        <a:prstGeom prst="rect">
                          <a:avLst/>
                        </a:prstGeom>
                      </wps:spPr>
                      <wps:txbx>
                        <w:txbxContent>
                          <w:p w:rsidR="00B41E06" w14:textId="77777777">
                            <w:pPr>
                              <w:spacing w:line="23" w:lineRule="exact"/>
                              <w:rPr>
                                <w:rFonts w:ascii="Cambria"/>
                                <w:sz w:val="2"/>
                              </w:rPr>
                            </w:pPr>
                            <w:r>
                              <w:rPr>
                                <w:rFonts w:ascii="Cambria"/>
                                <w:spacing w:val="-5"/>
                                <w:sz w:val="2"/>
                              </w:rPr>
                              <w:t>17F</w:t>
                            </w:r>
                          </w:p>
                        </w:txbxContent>
                      </wps:txbx>
                      <wps:bodyPr wrap="square" lIns="0" tIns="0" rIns="0" bIns="0" rtlCol="0"/>
                    </wps:wsp>
                  </a:graphicData>
                </a:graphic>
              </wp:anchor>
            </w:drawing>
          </mc:Choice>
          <mc:Fallback>
            <w:pict>
              <v:shape id="Textbox 17" o:spid="_x0000_s1040" type="#_x0000_t202" style="width:1.6pt;height:1.15pt;margin-top:85.3pt;margin-left:363.6pt;mso-position-horizontal-relative:page;mso-wrap-distance-bottom:0;mso-wrap-distance-left:0;mso-wrap-distance-right:0;mso-wrap-distance-top:0;mso-wrap-style:square;position:absolute;visibility:visible;v-text-anchor:top;z-index:-251644928" filled="f" stroked="f">
                <v:textbox inset="0,0,0,0">
                  <w:txbxContent>
                    <w:p w:rsidR="00B41E06" w14:paraId="54AE4B89" w14:textId="77777777">
                      <w:pPr>
                        <w:spacing w:line="23" w:lineRule="exact"/>
                        <w:rPr>
                          <w:rFonts w:ascii="Cambria"/>
                          <w:sz w:val="2"/>
                        </w:rPr>
                      </w:pPr>
                      <w:r>
                        <w:rPr>
                          <w:rFonts w:ascii="Cambria"/>
                          <w:spacing w:val="-5"/>
                          <w:sz w:val="2"/>
                        </w:rPr>
                        <w:t>17F</w:t>
                      </w:r>
                    </w:p>
                  </w:txbxContent>
                </v:textbox>
              </v:shape>
            </w:pict>
          </mc:Fallback>
        </mc:AlternateContent>
      </w:r>
      <w:r>
        <w:t>We estimate that the operations, maintenance, and data collection costs associated with this information collection to the Federal Government include contract costs for the QRS measure collection</w:t>
      </w:r>
      <w:r>
        <w:rPr>
          <w:spacing w:val="-1"/>
        </w:rPr>
        <w:t xml:space="preserve"> </w:t>
      </w:r>
      <w:r>
        <w:t>and</w:t>
      </w:r>
      <w:r>
        <w:rPr>
          <w:spacing w:val="-1"/>
        </w:rPr>
        <w:t xml:space="preserve"> </w:t>
      </w:r>
      <w:r>
        <w:t>reporting,</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2"/>
        </w:rPr>
        <w:t xml:space="preserve"> </w:t>
      </w:r>
      <w:r>
        <w:t>time</w:t>
      </w:r>
      <w:r>
        <w:rPr>
          <w:spacing w:val="-2"/>
        </w:rPr>
        <w:t xml:space="preserve"> </w:t>
      </w:r>
      <w:r>
        <w:t>and cost</w:t>
      </w:r>
      <w:r>
        <w:rPr>
          <w:spacing w:val="-1"/>
        </w:rPr>
        <w:t xml:space="preserve"> </w:t>
      </w:r>
      <w:r>
        <w:t>for</w:t>
      </w:r>
      <w:r>
        <w:rPr>
          <w:spacing w:val="-2"/>
        </w:rPr>
        <w:t xml:space="preserve"> </w:t>
      </w:r>
      <w:r>
        <w:t>one</w:t>
      </w:r>
      <w:r>
        <w:rPr>
          <w:spacing w:val="-2"/>
        </w:rPr>
        <w:t xml:space="preserve"> </w:t>
      </w:r>
      <w:r>
        <w:t>GS-13,</w:t>
      </w:r>
      <w:r>
        <w:rPr>
          <w:spacing w:val="-1"/>
        </w:rPr>
        <w:t xml:space="preserve"> </w:t>
      </w:r>
      <w:r>
        <w:t>one</w:t>
      </w:r>
      <w:r>
        <w:rPr>
          <w:spacing w:val="-2"/>
        </w:rPr>
        <w:t xml:space="preserve"> </w:t>
      </w:r>
      <w:r>
        <w:t>GS-14,</w:t>
      </w:r>
      <w:r>
        <w:rPr>
          <w:spacing w:val="-1"/>
        </w:rPr>
        <w:t xml:space="preserve"> </w:t>
      </w:r>
      <w:r>
        <w:t>and</w:t>
      </w:r>
      <w:r>
        <w:rPr>
          <w:spacing w:val="-1"/>
        </w:rPr>
        <w:t xml:space="preserve"> </w:t>
      </w:r>
      <w:r>
        <w:t>one</w:t>
      </w:r>
      <w:r>
        <w:rPr>
          <w:spacing w:val="-2"/>
        </w:rPr>
        <w:t xml:space="preserve"> </w:t>
      </w:r>
      <w:r>
        <w:t>GS-15 position</w:t>
      </w:r>
      <w:r>
        <w:rPr>
          <w:spacing w:val="-4"/>
        </w:rPr>
        <w:t xml:space="preserve"> </w:t>
      </w:r>
      <w:r>
        <w:t>for</w:t>
      </w:r>
      <w:r>
        <w:rPr>
          <w:spacing w:val="-5"/>
        </w:rPr>
        <w:t xml:space="preserve"> </w:t>
      </w:r>
      <w:r>
        <w:t>data</w:t>
      </w:r>
      <w:r>
        <w:rPr>
          <w:spacing w:val="-5"/>
        </w:rPr>
        <w:t xml:space="preserve"> </w:t>
      </w:r>
      <w:r>
        <w:t>processing,</w:t>
      </w:r>
      <w:r>
        <w:rPr>
          <w:spacing w:val="-4"/>
        </w:rPr>
        <w:t xml:space="preserve"> </w:t>
      </w:r>
      <w:r>
        <w:t>managerial</w:t>
      </w:r>
      <w:r>
        <w:rPr>
          <w:spacing w:val="-2"/>
        </w:rPr>
        <w:t xml:space="preserve"> </w:t>
      </w:r>
      <w:r>
        <w:t>review,</w:t>
      </w:r>
      <w:r>
        <w:rPr>
          <w:spacing w:val="-2"/>
        </w:rPr>
        <w:t xml:space="preserve"> </w:t>
      </w:r>
      <w:r>
        <w:t>and</w:t>
      </w:r>
      <w:r>
        <w:rPr>
          <w:spacing w:val="-4"/>
        </w:rPr>
        <w:t xml:space="preserve"> </w:t>
      </w:r>
      <w:r>
        <w:t>oversight,</w:t>
      </w:r>
      <w:r>
        <w:rPr>
          <w:spacing w:val="-4"/>
        </w:rPr>
        <w:t xml:space="preserve"> </w:t>
      </w:r>
      <w:r>
        <w:t>as</w:t>
      </w:r>
      <w:r>
        <w:rPr>
          <w:spacing w:val="-4"/>
        </w:rPr>
        <w:t xml:space="preserve"> </w:t>
      </w:r>
      <w:r>
        <w:t>summarized</w:t>
      </w:r>
      <w:r>
        <w:rPr>
          <w:spacing w:val="-4"/>
        </w:rPr>
        <w:t xml:space="preserve"> </w:t>
      </w:r>
      <w:r>
        <w:t>in</w:t>
      </w:r>
      <w:r>
        <w:rPr>
          <w:spacing w:val="-4"/>
        </w:rPr>
        <w:t xml:space="preserve"> </w:t>
      </w:r>
      <w:hyperlink w:anchor="_bookmark7" w:history="1">
        <w:r>
          <w:t>Exhibit</w:t>
        </w:r>
        <w:r>
          <w:rPr>
            <w:spacing w:val="-4"/>
          </w:rPr>
          <w:t xml:space="preserve"> </w:t>
        </w:r>
        <w:r>
          <w:t>7.</w:t>
        </w:r>
      </w:hyperlink>
      <w:r>
        <w:rPr>
          <w:spacing w:val="-4"/>
        </w:rPr>
        <w:t xml:space="preserve"> </w:t>
      </w:r>
      <w:r>
        <w:t>The calculations for federal employees’ hourly salary are obtained from the OPM website, with an additional 100% to account for overhead and fringe benefits.</w:t>
      </w:r>
      <w:r>
        <w:rPr>
          <w:spacing w:val="-14"/>
        </w:rPr>
        <w:t xml:space="preserve"> </w:t>
      </w:r>
      <w:r>
        <w:rPr>
          <w:vertAlign w:val="superscript"/>
        </w:rPr>
        <w:t>18</w:t>
      </w:r>
    </w:p>
    <w:p w:rsidR="00B41E06" w14:paraId="774AECC4" w14:textId="77777777">
      <w:pPr>
        <w:pStyle w:val="Heading1"/>
        <w:spacing w:before="122" w:after="60"/>
        <w:ind w:left="360" w:firstLine="0"/>
        <w:rPr>
          <w:rFonts w:ascii="Arial Narrow"/>
        </w:rPr>
      </w:pPr>
      <w:bookmarkStart w:id="28" w:name="_bookmark7"/>
      <w:bookmarkEnd w:id="28"/>
      <w:r>
        <w:rPr>
          <w:rFonts w:ascii="Arial Narrow"/>
        </w:rPr>
        <w:t>Exhibit</w:t>
      </w:r>
      <w:r>
        <w:rPr>
          <w:rFonts w:ascii="Arial Narrow"/>
          <w:spacing w:val="-13"/>
        </w:rPr>
        <w:t xml:space="preserve"> </w:t>
      </w:r>
      <w:r>
        <w:rPr>
          <w:rFonts w:ascii="Arial Narrow"/>
        </w:rPr>
        <w:t>7.</w:t>
      </w:r>
      <w:r>
        <w:rPr>
          <w:rFonts w:ascii="Arial Narrow"/>
          <w:spacing w:val="-10"/>
        </w:rPr>
        <w:t xml:space="preserve"> </w:t>
      </w:r>
      <w:r>
        <w:rPr>
          <w:rFonts w:ascii="Arial Narrow"/>
        </w:rPr>
        <w:t>Summary</w:t>
      </w:r>
      <w:r>
        <w:rPr>
          <w:rFonts w:ascii="Arial Narrow"/>
          <w:spacing w:val="-9"/>
        </w:rPr>
        <w:t xml:space="preserve"> </w:t>
      </w:r>
      <w:r>
        <w:rPr>
          <w:rFonts w:ascii="Arial Narrow"/>
        </w:rPr>
        <w:t>of</w:t>
      </w:r>
      <w:r>
        <w:rPr>
          <w:rFonts w:ascii="Arial Narrow"/>
          <w:spacing w:val="-11"/>
        </w:rPr>
        <w:t xml:space="preserve"> </w:t>
      </w:r>
      <w:r>
        <w:rPr>
          <w:rFonts w:ascii="Arial Narrow"/>
        </w:rPr>
        <w:t>Annualized</w:t>
      </w:r>
      <w:r>
        <w:rPr>
          <w:rFonts w:ascii="Arial Narrow"/>
          <w:spacing w:val="-11"/>
        </w:rPr>
        <w:t xml:space="preserve"> </w:t>
      </w:r>
      <w:r>
        <w:rPr>
          <w:rFonts w:ascii="Arial Narrow"/>
        </w:rPr>
        <w:t>Cost</w:t>
      </w:r>
      <w:r>
        <w:rPr>
          <w:rFonts w:ascii="Arial Narrow"/>
          <w:spacing w:val="-10"/>
        </w:rPr>
        <w:t xml:space="preserve"> </w:t>
      </w:r>
      <w:r>
        <w:rPr>
          <w:rFonts w:ascii="Arial Narrow"/>
        </w:rPr>
        <w:t>for</w:t>
      </w:r>
      <w:r>
        <w:rPr>
          <w:rFonts w:ascii="Arial Narrow"/>
          <w:spacing w:val="-10"/>
        </w:rPr>
        <w:t xml:space="preserve"> </w:t>
      </w:r>
      <w:r>
        <w:rPr>
          <w:rFonts w:ascii="Arial Narrow"/>
        </w:rPr>
        <w:t>Information</w:t>
      </w:r>
      <w:r>
        <w:rPr>
          <w:rFonts w:ascii="Arial Narrow"/>
          <w:spacing w:val="-11"/>
        </w:rPr>
        <w:t xml:space="preserve"> </w:t>
      </w:r>
      <w:r>
        <w:rPr>
          <w:rFonts w:ascii="Arial Narrow"/>
        </w:rPr>
        <w:t>Collection</w:t>
      </w:r>
      <w:r>
        <w:rPr>
          <w:rFonts w:ascii="Arial Narrow"/>
          <w:spacing w:val="-8"/>
        </w:rPr>
        <w:t xml:space="preserve"> </w:t>
      </w:r>
      <w:r>
        <w:rPr>
          <w:rFonts w:ascii="Arial Narrow"/>
        </w:rPr>
        <w:t>to</w:t>
      </w:r>
      <w:r>
        <w:rPr>
          <w:rFonts w:ascii="Arial Narrow"/>
          <w:spacing w:val="-9"/>
        </w:rPr>
        <w:t xml:space="preserve"> </w:t>
      </w:r>
      <w:r>
        <w:rPr>
          <w:rFonts w:ascii="Arial Narrow"/>
        </w:rPr>
        <w:t>the</w:t>
      </w:r>
      <w:r>
        <w:rPr>
          <w:rFonts w:ascii="Arial Narrow"/>
          <w:spacing w:val="-7"/>
        </w:rPr>
        <w:t xml:space="preserve"> </w:t>
      </w:r>
      <w:r>
        <w:rPr>
          <w:rFonts w:ascii="Arial Narrow"/>
        </w:rPr>
        <w:t>Federal</w:t>
      </w:r>
      <w:r>
        <w:rPr>
          <w:rFonts w:ascii="Arial Narrow"/>
          <w:spacing w:val="-11"/>
        </w:rPr>
        <w:t xml:space="preserve"> </w:t>
      </w:r>
      <w:r>
        <w:rPr>
          <w:rFonts w:ascii="Arial Narrow"/>
          <w:spacing w:val="-2"/>
        </w:rPr>
        <w:t>Government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99"/>
        <w:gridCol w:w="4061"/>
      </w:tblGrid>
      <w:tr w14:paraId="3BD34829"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4"/>
        </w:trPr>
        <w:tc>
          <w:tcPr>
            <w:tcW w:w="5299" w:type="dxa"/>
            <w:shd w:val="clear" w:color="auto" w:fill="002C5F"/>
          </w:tcPr>
          <w:p w:rsidR="00B41E06" w14:paraId="106A024F" w14:textId="77777777">
            <w:pPr>
              <w:pStyle w:val="TableParagraph"/>
              <w:spacing w:before="62"/>
              <w:ind w:left="107"/>
              <w:rPr>
                <w:b/>
                <w:sz w:val="20"/>
              </w:rPr>
            </w:pPr>
            <w:r>
              <w:rPr>
                <w:b/>
                <w:color w:val="FFFFFF"/>
                <w:spacing w:val="-4"/>
                <w:sz w:val="20"/>
              </w:rPr>
              <w:t>Task</w:t>
            </w:r>
          </w:p>
        </w:tc>
        <w:tc>
          <w:tcPr>
            <w:tcW w:w="4061" w:type="dxa"/>
            <w:shd w:val="clear" w:color="auto" w:fill="002C5F"/>
          </w:tcPr>
          <w:p w:rsidR="00B41E06" w14:paraId="4DE741C7" w14:textId="77777777">
            <w:pPr>
              <w:pStyle w:val="TableParagraph"/>
              <w:spacing w:before="62"/>
              <w:ind w:left="108"/>
              <w:rPr>
                <w:b/>
                <w:sz w:val="20"/>
              </w:rPr>
            </w:pPr>
            <w:r>
              <w:rPr>
                <w:b/>
                <w:color w:val="FFFFFF"/>
                <w:sz w:val="20"/>
              </w:rPr>
              <w:t>Estimated</w:t>
            </w:r>
            <w:r>
              <w:rPr>
                <w:b/>
                <w:color w:val="FFFFFF"/>
                <w:spacing w:val="-7"/>
                <w:sz w:val="20"/>
              </w:rPr>
              <w:t xml:space="preserve"> </w:t>
            </w:r>
            <w:r>
              <w:rPr>
                <w:b/>
                <w:color w:val="FFFFFF"/>
                <w:spacing w:val="-4"/>
                <w:sz w:val="20"/>
              </w:rPr>
              <w:t>Cost</w:t>
            </w:r>
          </w:p>
        </w:tc>
      </w:tr>
      <w:tr w14:paraId="469626A1" w14:textId="77777777">
        <w:tblPrEx>
          <w:tblW w:w="0" w:type="auto"/>
          <w:tblInd w:w="370" w:type="dxa"/>
          <w:tblLayout w:type="fixed"/>
          <w:tblCellMar>
            <w:left w:w="0" w:type="dxa"/>
            <w:right w:w="0" w:type="dxa"/>
          </w:tblCellMar>
          <w:tblLook w:val="01E0"/>
        </w:tblPrEx>
        <w:trPr>
          <w:trHeight w:val="354"/>
        </w:trPr>
        <w:tc>
          <w:tcPr>
            <w:tcW w:w="5299" w:type="dxa"/>
          </w:tcPr>
          <w:p w:rsidR="00B41E06" w14:paraId="338410B5" w14:textId="77777777">
            <w:pPr>
              <w:pStyle w:val="TableParagraph"/>
              <w:spacing w:before="62"/>
              <w:ind w:left="107"/>
              <w:rPr>
                <w:b/>
                <w:sz w:val="20"/>
              </w:rPr>
            </w:pPr>
            <w:r>
              <w:rPr>
                <w:b/>
                <w:spacing w:val="-2"/>
                <w:sz w:val="20"/>
              </w:rPr>
              <w:t>Data</w:t>
            </w:r>
            <w:r>
              <w:rPr>
                <w:b/>
                <w:spacing w:val="1"/>
                <w:sz w:val="20"/>
              </w:rPr>
              <w:t xml:space="preserve"> </w:t>
            </w:r>
            <w:r>
              <w:rPr>
                <w:b/>
                <w:spacing w:val="-2"/>
                <w:sz w:val="20"/>
              </w:rPr>
              <w:t>Processing,</w:t>
            </w:r>
            <w:r>
              <w:rPr>
                <w:b/>
                <w:spacing w:val="2"/>
                <w:sz w:val="20"/>
              </w:rPr>
              <w:t xml:space="preserve"> </w:t>
            </w:r>
            <w:r>
              <w:rPr>
                <w:b/>
                <w:spacing w:val="-2"/>
                <w:sz w:val="20"/>
              </w:rPr>
              <w:t>Managerial</w:t>
            </w:r>
            <w:r>
              <w:rPr>
                <w:b/>
                <w:spacing w:val="1"/>
                <w:sz w:val="20"/>
              </w:rPr>
              <w:t xml:space="preserve"> </w:t>
            </w:r>
            <w:r>
              <w:rPr>
                <w:b/>
                <w:spacing w:val="-2"/>
                <w:sz w:val="20"/>
              </w:rPr>
              <w:t>Review,</w:t>
            </w:r>
            <w:r>
              <w:rPr>
                <w:b/>
                <w:spacing w:val="2"/>
                <w:sz w:val="20"/>
              </w:rPr>
              <w:t xml:space="preserve"> </w:t>
            </w:r>
            <w:r>
              <w:rPr>
                <w:b/>
                <w:spacing w:val="-2"/>
                <w:sz w:val="20"/>
              </w:rPr>
              <w:t>and</w:t>
            </w:r>
            <w:r>
              <w:rPr>
                <w:b/>
                <w:spacing w:val="2"/>
                <w:sz w:val="20"/>
              </w:rPr>
              <w:t xml:space="preserve"> </w:t>
            </w:r>
            <w:r>
              <w:rPr>
                <w:b/>
                <w:spacing w:val="-2"/>
                <w:sz w:val="20"/>
              </w:rPr>
              <w:t>Oversight</w:t>
            </w:r>
          </w:p>
        </w:tc>
        <w:tc>
          <w:tcPr>
            <w:tcW w:w="4061" w:type="dxa"/>
          </w:tcPr>
          <w:p w:rsidR="00B41E06" w14:paraId="6C81B1FD" w14:textId="77777777">
            <w:pPr>
              <w:pStyle w:val="TableParagraph"/>
              <w:rPr>
                <w:rFonts w:ascii="Times New Roman"/>
              </w:rPr>
            </w:pPr>
          </w:p>
        </w:tc>
      </w:tr>
      <w:tr w14:paraId="73C37472" w14:textId="77777777">
        <w:tblPrEx>
          <w:tblW w:w="0" w:type="auto"/>
          <w:tblInd w:w="370" w:type="dxa"/>
          <w:tblLayout w:type="fixed"/>
          <w:tblCellMar>
            <w:left w:w="0" w:type="dxa"/>
            <w:right w:w="0" w:type="dxa"/>
          </w:tblCellMar>
          <w:tblLook w:val="01E0"/>
        </w:tblPrEx>
        <w:trPr>
          <w:trHeight w:val="354"/>
        </w:trPr>
        <w:tc>
          <w:tcPr>
            <w:tcW w:w="5299" w:type="dxa"/>
          </w:tcPr>
          <w:p w:rsidR="00B41E06" w14:paraId="0954C1BD" w14:textId="77777777">
            <w:pPr>
              <w:pStyle w:val="TableParagraph"/>
              <w:spacing w:before="62"/>
              <w:ind w:left="431"/>
              <w:rPr>
                <w:sz w:val="20"/>
              </w:rPr>
            </w:pPr>
            <w:r>
              <w:rPr>
                <w:sz w:val="20"/>
              </w:rPr>
              <w:t>1</w:t>
            </w:r>
            <w:r>
              <w:rPr>
                <w:spacing w:val="-5"/>
                <w:sz w:val="20"/>
              </w:rPr>
              <w:t xml:space="preserve"> </w:t>
            </w:r>
            <w:r>
              <w:rPr>
                <w:sz w:val="20"/>
              </w:rPr>
              <w:t>GS-13,</w:t>
            </w:r>
            <w:r>
              <w:rPr>
                <w:spacing w:val="-4"/>
                <w:sz w:val="20"/>
              </w:rPr>
              <w:t xml:space="preserve"> </w:t>
            </w:r>
            <w:r>
              <w:rPr>
                <w:sz w:val="20"/>
              </w:rPr>
              <w:t>Step</w:t>
            </w:r>
            <w:r>
              <w:rPr>
                <w:spacing w:val="-4"/>
                <w:sz w:val="20"/>
              </w:rPr>
              <w:t xml:space="preserve"> </w:t>
            </w:r>
            <w:r>
              <w:rPr>
                <w:sz w:val="20"/>
              </w:rPr>
              <w:t>1:</w:t>
            </w:r>
            <w:r>
              <w:rPr>
                <w:spacing w:val="-4"/>
                <w:sz w:val="20"/>
              </w:rPr>
              <w:t xml:space="preserve"> </w:t>
            </w:r>
            <w:r>
              <w:rPr>
                <w:sz w:val="20"/>
              </w:rPr>
              <w:t>$84.82</w:t>
            </w:r>
            <w:r>
              <w:rPr>
                <w:spacing w:val="-3"/>
                <w:sz w:val="20"/>
              </w:rPr>
              <w:t xml:space="preserve"> </w:t>
            </w:r>
            <w:r>
              <w:rPr>
                <w:sz w:val="20"/>
              </w:rPr>
              <w:t>X</w:t>
            </w:r>
            <w:r>
              <w:rPr>
                <w:spacing w:val="-5"/>
                <w:sz w:val="20"/>
              </w:rPr>
              <w:t xml:space="preserve"> </w:t>
            </w:r>
            <w:r>
              <w:rPr>
                <w:sz w:val="20"/>
              </w:rPr>
              <w:t>20</w:t>
            </w:r>
            <w:r>
              <w:rPr>
                <w:spacing w:val="-4"/>
                <w:sz w:val="20"/>
              </w:rPr>
              <w:t xml:space="preserve"> </w:t>
            </w:r>
            <w:r>
              <w:rPr>
                <w:spacing w:val="-5"/>
                <w:sz w:val="20"/>
              </w:rPr>
              <w:t>hrs</w:t>
            </w:r>
          </w:p>
        </w:tc>
        <w:tc>
          <w:tcPr>
            <w:tcW w:w="4061" w:type="dxa"/>
          </w:tcPr>
          <w:p w:rsidR="00B41E06" w14:paraId="13991B92" w14:textId="77777777">
            <w:pPr>
              <w:pStyle w:val="TableParagraph"/>
              <w:spacing w:before="62"/>
              <w:ind w:left="10" w:right="3"/>
              <w:jc w:val="center"/>
              <w:rPr>
                <w:sz w:val="20"/>
              </w:rPr>
            </w:pPr>
            <w:r>
              <w:rPr>
                <w:spacing w:val="-2"/>
                <w:sz w:val="20"/>
              </w:rPr>
              <w:t>$1696.40</w:t>
            </w:r>
          </w:p>
        </w:tc>
      </w:tr>
      <w:tr w14:paraId="5DE81B01" w14:textId="77777777">
        <w:tblPrEx>
          <w:tblW w:w="0" w:type="auto"/>
          <w:tblInd w:w="370" w:type="dxa"/>
          <w:tblLayout w:type="fixed"/>
          <w:tblCellMar>
            <w:left w:w="0" w:type="dxa"/>
            <w:right w:w="0" w:type="dxa"/>
          </w:tblCellMar>
          <w:tblLook w:val="01E0"/>
        </w:tblPrEx>
        <w:trPr>
          <w:trHeight w:val="357"/>
        </w:trPr>
        <w:tc>
          <w:tcPr>
            <w:tcW w:w="5299" w:type="dxa"/>
          </w:tcPr>
          <w:p w:rsidR="00B41E06" w14:paraId="2C573366" w14:textId="77777777">
            <w:pPr>
              <w:pStyle w:val="TableParagraph"/>
              <w:spacing w:before="64"/>
              <w:ind w:left="431"/>
              <w:rPr>
                <w:sz w:val="20"/>
              </w:rPr>
            </w:pPr>
            <w:r>
              <w:rPr>
                <w:sz w:val="20"/>
              </w:rPr>
              <w:t>1</w:t>
            </w:r>
            <w:r>
              <w:rPr>
                <w:spacing w:val="-4"/>
                <w:sz w:val="20"/>
              </w:rPr>
              <w:t xml:space="preserve"> </w:t>
            </w:r>
            <w:r>
              <w:rPr>
                <w:sz w:val="20"/>
              </w:rPr>
              <w:t>GS-14,</w:t>
            </w:r>
            <w:r>
              <w:rPr>
                <w:spacing w:val="-3"/>
                <w:sz w:val="20"/>
              </w:rPr>
              <w:t xml:space="preserve"> </w:t>
            </w:r>
            <w:r>
              <w:rPr>
                <w:sz w:val="20"/>
              </w:rPr>
              <w:t>Step</w:t>
            </w:r>
            <w:r>
              <w:rPr>
                <w:spacing w:val="-3"/>
                <w:sz w:val="20"/>
              </w:rPr>
              <w:t xml:space="preserve"> </w:t>
            </w:r>
            <w:r>
              <w:rPr>
                <w:sz w:val="20"/>
              </w:rPr>
              <w:t>1:</w:t>
            </w:r>
            <w:r>
              <w:rPr>
                <w:spacing w:val="-3"/>
                <w:sz w:val="20"/>
              </w:rPr>
              <w:t xml:space="preserve"> </w:t>
            </w:r>
            <w:r>
              <w:rPr>
                <w:sz w:val="20"/>
              </w:rPr>
              <w:t>$100.24</w:t>
            </w:r>
            <w:r>
              <w:rPr>
                <w:spacing w:val="-1"/>
                <w:sz w:val="20"/>
              </w:rPr>
              <w:t xml:space="preserve"> </w:t>
            </w:r>
            <w:r>
              <w:rPr>
                <w:sz w:val="20"/>
              </w:rPr>
              <w:t>X</w:t>
            </w:r>
            <w:r>
              <w:rPr>
                <w:spacing w:val="-4"/>
                <w:sz w:val="20"/>
              </w:rPr>
              <w:t xml:space="preserve"> </w:t>
            </w:r>
            <w:r>
              <w:rPr>
                <w:sz w:val="20"/>
              </w:rPr>
              <w:t>20</w:t>
            </w:r>
            <w:r>
              <w:rPr>
                <w:spacing w:val="-3"/>
                <w:sz w:val="20"/>
              </w:rPr>
              <w:t xml:space="preserve"> </w:t>
            </w:r>
            <w:r>
              <w:rPr>
                <w:spacing w:val="-5"/>
                <w:sz w:val="20"/>
              </w:rPr>
              <w:t>hrs</w:t>
            </w:r>
          </w:p>
        </w:tc>
        <w:tc>
          <w:tcPr>
            <w:tcW w:w="4061" w:type="dxa"/>
          </w:tcPr>
          <w:p w:rsidR="00B41E06" w14:paraId="285B9ECE" w14:textId="77777777">
            <w:pPr>
              <w:pStyle w:val="TableParagraph"/>
              <w:spacing w:before="64"/>
              <w:ind w:left="10" w:right="3"/>
              <w:jc w:val="center"/>
              <w:rPr>
                <w:sz w:val="20"/>
              </w:rPr>
            </w:pPr>
            <w:r>
              <w:rPr>
                <w:spacing w:val="-2"/>
                <w:sz w:val="20"/>
              </w:rPr>
              <w:t>$2004.80</w:t>
            </w:r>
          </w:p>
        </w:tc>
      </w:tr>
      <w:tr w14:paraId="46A8A30B" w14:textId="77777777">
        <w:tblPrEx>
          <w:tblW w:w="0" w:type="auto"/>
          <w:tblInd w:w="370" w:type="dxa"/>
          <w:tblLayout w:type="fixed"/>
          <w:tblCellMar>
            <w:left w:w="0" w:type="dxa"/>
            <w:right w:w="0" w:type="dxa"/>
          </w:tblCellMar>
          <w:tblLook w:val="01E0"/>
        </w:tblPrEx>
        <w:trPr>
          <w:trHeight w:val="354"/>
        </w:trPr>
        <w:tc>
          <w:tcPr>
            <w:tcW w:w="5299" w:type="dxa"/>
          </w:tcPr>
          <w:p w:rsidR="00B41E06" w14:paraId="2C60CADC" w14:textId="77777777">
            <w:pPr>
              <w:pStyle w:val="TableParagraph"/>
              <w:spacing w:before="62"/>
              <w:ind w:left="431"/>
              <w:rPr>
                <w:sz w:val="20"/>
              </w:rPr>
            </w:pPr>
            <w:r>
              <w:rPr>
                <w:sz w:val="20"/>
              </w:rPr>
              <w:t>1</w:t>
            </w:r>
            <w:r>
              <w:rPr>
                <w:spacing w:val="-5"/>
                <w:sz w:val="20"/>
              </w:rPr>
              <w:t xml:space="preserve"> </w:t>
            </w:r>
            <w:r>
              <w:rPr>
                <w:sz w:val="20"/>
              </w:rPr>
              <w:t>GS-15,</w:t>
            </w:r>
            <w:r>
              <w:rPr>
                <w:spacing w:val="-4"/>
                <w:sz w:val="20"/>
              </w:rPr>
              <w:t xml:space="preserve"> </w:t>
            </w:r>
            <w:r>
              <w:rPr>
                <w:sz w:val="20"/>
              </w:rPr>
              <w:t>Step</w:t>
            </w:r>
            <w:r>
              <w:rPr>
                <w:spacing w:val="-4"/>
                <w:sz w:val="20"/>
              </w:rPr>
              <w:t xml:space="preserve"> </w:t>
            </w:r>
            <w:r>
              <w:rPr>
                <w:sz w:val="20"/>
              </w:rPr>
              <w:t>1:</w:t>
            </w:r>
            <w:r>
              <w:rPr>
                <w:spacing w:val="-4"/>
                <w:sz w:val="20"/>
              </w:rPr>
              <w:t xml:space="preserve"> </w:t>
            </w:r>
            <w:r>
              <w:rPr>
                <w:sz w:val="20"/>
              </w:rPr>
              <w:t>$117.92</w:t>
            </w:r>
            <w:r>
              <w:rPr>
                <w:spacing w:val="-3"/>
                <w:sz w:val="20"/>
              </w:rPr>
              <w:t xml:space="preserve"> </w:t>
            </w:r>
            <w:r>
              <w:rPr>
                <w:sz w:val="20"/>
              </w:rPr>
              <w:t>X</w:t>
            </w:r>
            <w:r>
              <w:rPr>
                <w:spacing w:val="-5"/>
                <w:sz w:val="20"/>
              </w:rPr>
              <w:t xml:space="preserve"> </w:t>
            </w:r>
            <w:r>
              <w:rPr>
                <w:sz w:val="20"/>
              </w:rPr>
              <w:t>5</w:t>
            </w:r>
            <w:r>
              <w:rPr>
                <w:spacing w:val="-4"/>
                <w:sz w:val="20"/>
              </w:rPr>
              <w:t xml:space="preserve"> </w:t>
            </w:r>
            <w:r>
              <w:rPr>
                <w:spacing w:val="-5"/>
                <w:sz w:val="20"/>
              </w:rPr>
              <w:t>hrs</w:t>
            </w:r>
          </w:p>
        </w:tc>
        <w:tc>
          <w:tcPr>
            <w:tcW w:w="4061" w:type="dxa"/>
          </w:tcPr>
          <w:p w:rsidR="00B41E06" w14:paraId="18531711" w14:textId="77777777">
            <w:pPr>
              <w:pStyle w:val="TableParagraph"/>
              <w:spacing w:before="62"/>
              <w:ind w:left="10" w:right="3"/>
              <w:jc w:val="center"/>
              <w:rPr>
                <w:sz w:val="20"/>
              </w:rPr>
            </w:pPr>
            <w:r>
              <w:rPr>
                <w:spacing w:val="-2"/>
                <w:sz w:val="20"/>
              </w:rPr>
              <w:t>$589.60</w:t>
            </w:r>
          </w:p>
        </w:tc>
      </w:tr>
      <w:tr w14:paraId="2D52CF93" w14:textId="77777777">
        <w:tblPrEx>
          <w:tblW w:w="0" w:type="auto"/>
          <w:tblInd w:w="370" w:type="dxa"/>
          <w:tblLayout w:type="fixed"/>
          <w:tblCellMar>
            <w:left w:w="0" w:type="dxa"/>
            <w:right w:w="0" w:type="dxa"/>
          </w:tblCellMar>
          <w:tblLook w:val="01E0"/>
        </w:tblPrEx>
        <w:trPr>
          <w:trHeight w:val="354"/>
        </w:trPr>
        <w:tc>
          <w:tcPr>
            <w:tcW w:w="5299" w:type="dxa"/>
          </w:tcPr>
          <w:p w:rsidR="00B41E06" w14:paraId="4E83BBDB" w14:textId="77777777">
            <w:pPr>
              <w:pStyle w:val="TableParagraph"/>
              <w:spacing w:before="62"/>
              <w:ind w:left="107"/>
              <w:rPr>
                <w:b/>
                <w:sz w:val="20"/>
              </w:rPr>
            </w:pPr>
            <w:r>
              <w:rPr>
                <w:b/>
                <w:sz w:val="20"/>
              </w:rPr>
              <w:t>QRS</w:t>
            </w:r>
            <w:r>
              <w:rPr>
                <w:b/>
                <w:spacing w:val="-5"/>
                <w:sz w:val="20"/>
              </w:rPr>
              <w:t xml:space="preserve"> </w:t>
            </w:r>
            <w:r>
              <w:rPr>
                <w:b/>
                <w:sz w:val="20"/>
              </w:rPr>
              <w:t>measure</w:t>
            </w:r>
            <w:r>
              <w:rPr>
                <w:b/>
                <w:spacing w:val="-4"/>
                <w:sz w:val="20"/>
              </w:rPr>
              <w:t xml:space="preserve"> </w:t>
            </w:r>
            <w:r>
              <w:rPr>
                <w:b/>
                <w:sz w:val="20"/>
              </w:rPr>
              <w:t>collection</w:t>
            </w:r>
            <w:r>
              <w:rPr>
                <w:b/>
                <w:spacing w:val="-4"/>
                <w:sz w:val="20"/>
              </w:rPr>
              <w:t xml:space="preserve"> </w:t>
            </w:r>
            <w:r>
              <w:rPr>
                <w:b/>
                <w:sz w:val="20"/>
              </w:rPr>
              <w:t>and</w:t>
            </w:r>
            <w:r>
              <w:rPr>
                <w:b/>
                <w:spacing w:val="-5"/>
                <w:sz w:val="20"/>
              </w:rPr>
              <w:t xml:space="preserve"> </w:t>
            </w:r>
            <w:r>
              <w:rPr>
                <w:b/>
                <w:spacing w:val="-2"/>
                <w:sz w:val="20"/>
              </w:rPr>
              <w:t>reporting</w:t>
            </w:r>
          </w:p>
        </w:tc>
        <w:tc>
          <w:tcPr>
            <w:tcW w:w="4061" w:type="dxa"/>
          </w:tcPr>
          <w:p w:rsidR="00B41E06" w14:paraId="2ECA98C0" w14:textId="77777777">
            <w:pPr>
              <w:pStyle w:val="TableParagraph"/>
              <w:spacing w:before="62"/>
              <w:ind w:left="10" w:right="1"/>
              <w:jc w:val="center"/>
              <w:rPr>
                <w:sz w:val="20"/>
              </w:rPr>
            </w:pPr>
            <w:r>
              <w:rPr>
                <w:spacing w:val="-2"/>
                <w:sz w:val="20"/>
              </w:rPr>
              <w:t>$647,155.00</w:t>
            </w:r>
          </w:p>
        </w:tc>
      </w:tr>
      <w:tr w14:paraId="55C8E3DA" w14:textId="77777777">
        <w:tblPrEx>
          <w:tblW w:w="0" w:type="auto"/>
          <w:tblInd w:w="370" w:type="dxa"/>
          <w:tblLayout w:type="fixed"/>
          <w:tblCellMar>
            <w:left w:w="0" w:type="dxa"/>
            <w:right w:w="0" w:type="dxa"/>
          </w:tblCellMar>
          <w:tblLook w:val="01E0"/>
        </w:tblPrEx>
        <w:trPr>
          <w:trHeight w:val="357"/>
        </w:trPr>
        <w:tc>
          <w:tcPr>
            <w:tcW w:w="5299" w:type="dxa"/>
          </w:tcPr>
          <w:p w:rsidR="00B41E06" w14:paraId="5CF1FB5D" w14:textId="77777777">
            <w:pPr>
              <w:pStyle w:val="TableParagraph"/>
              <w:spacing w:before="62"/>
              <w:ind w:left="107"/>
              <w:rPr>
                <w:b/>
                <w:sz w:val="20"/>
              </w:rPr>
            </w:pPr>
            <w:r>
              <w:rPr>
                <w:b/>
                <w:sz w:val="20"/>
              </w:rPr>
              <w:t>QHP</w:t>
            </w:r>
            <w:r>
              <w:rPr>
                <w:b/>
                <w:spacing w:val="-4"/>
                <w:sz w:val="20"/>
              </w:rPr>
              <w:t xml:space="preserve"> </w:t>
            </w:r>
            <w:r>
              <w:rPr>
                <w:b/>
                <w:sz w:val="20"/>
              </w:rPr>
              <w:t>Enrollee</w:t>
            </w:r>
            <w:r>
              <w:rPr>
                <w:b/>
                <w:spacing w:val="-3"/>
                <w:sz w:val="20"/>
              </w:rPr>
              <w:t xml:space="preserve"> </w:t>
            </w:r>
            <w:r>
              <w:rPr>
                <w:b/>
                <w:sz w:val="20"/>
              </w:rPr>
              <w:t>Survey</w:t>
            </w:r>
            <w:r>
              <w:rPr>
                <w:b/>
                <w:spacing w:val="-4"/>
                <w:sz w:val="20"/>
              </w:rPr>
              <w:t xml:space="preserve"> </w:t>
            </w:r>
            <w:r>
              <w:rPr>
                <w:b/>
                <w:sz w:val="20"/>
              </w:rPr>
              <w:t>data</w:t>
            </w:r>
            <w:r>
              <w:rPr>
                <w:b/>
                <w:spacing w:val="-4"/>
                <w:sz w:val="20"/>
              </w:rPr>
              <w:t xml:space="preserve"> </w:t>
            </w:r>
            <w:r>
              <w:rPr>
                <w:b/>
                <w:spacing w:val="-2"/>
                <w:sz w:val="20"/>
              </w:rPr>
              <w:t>collection</w:t>
            </w:r>
          </w:p>
        </w:tc>
        <w:tc>
          <w:tcPr>
            <w:tcW w:w="4061" w:type="dxa"/>
          </w:tcPr>
          <w:p w:rsidR="00B41E06" w14:paraId="4A450B22" w14:textId="77777777">
            <w:pPr>
              <w:pStyle w:val="TableParagraph"/>
              <w:spacing w:before="62"/>
              <w:ind w:left="187"/>
              <w:rPr>
                <w:sz w:val="20"/>
              </w:rPr>
            </w:pPr>
            <w:r>
              <w:rPr>
                <w:sz w:val="20"/>
              </w:rPr>
              <w:t>Already</w:t>
            </w:r>
            <w:r>
              <w:rPr>
                <w:spacing w:val="-7"/>
                <w:sz w:val="20"/>
              </w:rPr>
              <w:t xml:space="preserve"> </w:t>
            </w:r>
            <w:r>
              <w:rPr>
                <w:sz w:val="20"/>
              </w:rPr>
              <w:t>accounted</w:t>
            </w:r>
            <w:r>
              <w:rPr>
                <w:spacing w:val="-5"/>
                <w:sz w:val="20"/>
              </w:rPr>
              <w:t xml:space="preserve"> </w:t>
            </w:r>
            <w:r>
              <w:rPr>
                <w:sz w:val="20"/>
              </w:rPr>
              <w:t>for</w:t>
            </w:r>
            <w:r>
              <w:rPr>
                <w:spacing w:val="-5"/>
                <w:sz w:val="20"/>
              </w:rPr>
              <w:t xml:space="preserve"> </w:t>
            </w:r>
            <w:r>
              <w:rPr>
                <w:sz w:val="20"/>
              </w:rPr>
              <w:t>in</w:t>
            </w:r>
            <w:r>
              <w:rPr>
                <w:spacing w:val="-6"/>
                <w:sz w:val="20"/>
              </w:rPr>
              <w:t xml:space="preserve"> </w:t>
            </w:r>
            <w:r>
              <w:rPr>
                <w:sz w:val="20"/>
              </w:rPr>
              <w:t>OMB</w:t>
            </w:r>
            <w:r>
              <w:rPr>
                <w:spacing w:val="-7"/>
                <w:sz w:val="20"/>
              </w:rPr>
              <w:t xml:space="preserve"> </w:t>
            </w:r>
            <w:r>
              <w:rPr>
                <w:sz w:val="20"/>
              </w:rPr>
              <w:t>Control</w:t>
            </w:r>
            <w:r>
              <w:rPr>
                <w:spacing w:val="-6"/>
                <w:sz w:val="20"/>
              </w:rPr>
              <w:t xml:space="preserve"> </w:t>
            </w:r>
            <w:r>
              <w:rPr>
                <w:sz w:val="20"/>
              </w:rPr>
              <w:t>#0938-</w:t>
            </w:r>
            <w:r>
              <w:rPr>
                <w:spacing w:val="-4"/>
                <w:sz w:val="20"/>
              </w:rPr>
              <w:t>1221</w:t>
            </w:r>
          </w:p>
        </w:tc>
      </w:tr>
      <w:tr w14:paraId="4BDB7577" w14:textId="77777777">
        <w:tblPrEx>
          <w:tblW w:w="0" w:type="auto"/>
          <w:tblInd w:w="370" w:type="dxa"/>
          <w:tblLayout w:type="fixed"/>
          <w:tblCellMar>
            <w:left w:w="0" w:type="dxa"/>
            <w:right w:w="0" w:type="dxa"/>
          </w:tblCellMar>
          <w:tblLook w:val="01E0"/>
        </w:tblPrEx>
        <w:trPr>
          <w:trHeight w:val="354"/>
        </w:trPr>
        <w:tc>
          <w:tcPr>
            <w:tcW w:w="5299" w:type="dxa"/>
            <w:shd w:val="clear" w:color="auto" w:fill="F1F1F1"/>
          </w:tcPr>
          <w:p w:rsidR="00B41E06" w14:paraId="16DA0D7F" w14:textId="77777777">
            <w:pPr>
              <w:pStyle w:val="TableParagraph"/>
              <w:spacing w:before="62"/>
              <w:ind w:left="3103"/>
              <w:rPr>
                <w:b/>
                <w:sz w:val="20"/>
              </w:rPr>
            </w:pPr>
            <w:r>
              <w:rPr>
                <w:b/>
                <w:sz w:val="20"/>
              </w:rPr>
              <w:t>Total</w:t>
            </w:r>
            <w:r>
              <w:rPr>
                <w:b/>
                <w:spacing w:val="-5"/>
                <w:sz w:val="20"/>
              </w:rPr>
              <w:t xml:space="preserve"> </w:t>
            </w:r>
            <w:r>
              <w:rPr>
                <w:b/>
                <w:sz w:val="20"/>
              </w:rPr>
              <w:t>Costs</w:t>
            </w:r>
            <w:r>
              <w:rPr>
                <w:b/>
                <w:spacing w:val="-7"/>
                <w:sz w:val="20"/>
              </w:rPr>
              <w:t xml:space="preserve"> </w:t>
            </w:r>
            <w:r>
              <w:rPr>
                <w:b/>
                <w:sz w:val="20"/>
              </w:rPr>
              <w:t>to</w:t>
            </w:r>
            <w:r>
              <w:rPr>
                <w:b/>
                <w:spacing w:val="-4"/>
                <w:sz w:val="20"/>
              </w:rPr>
              <w:t xml:space="preserve"> </w:t>
            </w:r>
            <w:r>
              <w:rPr>
                <w:b/>
                <w:spacing w:val="-2"/>
                <w:sz w:val="20"/>
              </w:rPr>
              <w:t>Government</w:t>
            </w:r>
          </w:p>
        </w:tc>
        <w:tc>
          <w:tcPr>
            <w:tcW w:w="4061" w:type="dxa"/>
            <w:shd w:val="clear" w:color="auto" w:fill="F1F1F1"/>
          </w:tcPr>
          <w:p w:rsidR="00B41E06" w14:paraId="464478CF" w14:textId="77777777">
            <w:pPr>
              <w:pStyle w:val="TableParagraph"/>
              <w:spacing w:before="62"/>
              <w:ind w:left="10"/>
              <w:jc w:val="center"/>
              <w:rPr>
                <w:b/>
                <w:sz w:val="20"/>
              </w:rPr>
            </w:pPr>
            <w:r>
              <w:rPr>
                <w:b/>
                <w:spacing w:val="-2"/>
                <w:sz w:val="20"/>
              </w:rPr>
              <w:t>$651,445.80</w:t>
            </w:r>
          </w:p>
        </w:tc>
      </w:tr>
    </w:tbl>
    <w:p w:rsidR="00B41E06" w14:paraId="3D362F05" w14:textId="77777777">
      <w:pPr>
        <w:pStyle w:val="ListParagraph"/>
        <w:numPr>
          <w:ilvl w:val="0"/>
          <w:numId w:val="5"/>
        </w:numPr>
        <w:tabs>
          <w:tab w:val="left" w:pos="907"/>
        </w:tabs>
        <w:spacing w:before="124"/>
        <w:ind w:hanging="547"/>
        <w:rPr>
          <w:b/>
          <w:sz w:val="24"/>
        </w:rPr>
      </w:pPr>
      <w:bookmarkStart w:id="29" w:name="15.__Changes_to_Burden"/>
      <w:bookmarkEnd w:id="29"/>
      <w:r>
        <w:rPr>
          <w:b/>
          <w:sz w:val="24"/>
        </w:rPr>
        <w:t>Changes</w:t>
      </w:r>
      <w:r>
        <w:rPr>
          <w:b/>
          <w:spacing w:val="-2"/>
          <w:sz w:val="24"/>
        </w:rPr>
        <w:t xml:space="preserve"> </w:t>
      </w:r>
      <w:r>
        <w:rPr>
          <w:b/>
          <w:sz w:val="24"/>
        </w:rPr>
        <w:t>to</w:t>
      </w:r>
      <w:r>
        <w:rPr>
          <w:b/>
          <w:spacing w:val="-1"/>
          <w:sz w:val="24"/>
        </w:rPr>
        <w:t xml:space="preserve"> </w:t>
      </w:r>
      <w:r>
        <w:rPr>
          <w:b/>
          <w:spacing w:val="-2"/>
          <w:sz w:val="24"/>
        </w:rPr>
        <w:t>Burden</w:t>
      </w:r>
    </w:p>
    <w:p w:rsidR="00B41E06" w14:paraId="62B6B605" w14:textId="77777777">
      <w:pPr>
        <w:pStyle w:val="BodyText"/>
        <w:ind w:left="360" w:right="365"/>
      </w:pPr>
      <w:r>
        <w:t>This</w:t>
      </w:r>
      <w:r>
        <w:rPr>
          <w:spacing w:val="-3"/>
        </w:rPr>
        <w:t xml:space="preserve"> </w:t>
      </w:r>
      <w:r>
        <w:t>is</w:t>
      </w:r>
      <w:r>
        <w:rPr>
          <w:spacing w:val="-3"/>
        </w:rPr>
        <w:t xml:space="preserve"> </w:t>
      </w:r>
      <w:r>
        <w:t>an</w:t>
      </w:r>
      <w:r>
        <w:rPr>
          <w:spacing w:val="-3"/>
        </w:rPr>
        <w:t xml:space="preserve"> </w:t>
      </w:r>
      <w:r>
        <w:t>overall</w:t>
      </w:r>
      <w:r>
        <w:rPr>
          <w:spacing w:val="-3"/>
        </w:rPr>
        <w:t xml:space="preserve"> </w:t>
      </w:r>
      <w:r>
        <w:t>increase</w:t>
      </w:r>
      <w:r>
        <w:rPr>
          <w:spacing w:val="-4"/>
        </w:rPr>
        <w:t xml:space="preserve"> </w:t>
      </w:r>
      <w:r>
        <w:t>to</w:t>
      </w:r>
      <w:r>
        <w:rPr>
          <w:spacing w:val="-3"/>
        </w:rPr>
        <w:t xml:space="preserve"> </w:t>
      </w:r>
      <w:r>
        <w:t>the</w:t>
      </w:r>
      <w:r>
        <w:rPr>
          <w:spacing w:val="-4"/>
        </w:rPr>
        <w:t xml:space="preserve"> </w:t>
      </w:r>
      <w:r>
        <w:t>burden</w:t>
      </w:r>
      <w:r>
        <w:rPr>
          <w:spacing w:val="-3"/>
        </w:rPr>
        <w:t xml:space="preserve"> </w:t>
      </w:r>
      <w:r>
        <w:t>hour</w:t>
      </w:r>
      <w:r>
        <w:rPr>
          <w:spacing w:val="-2"/>
        </w:rPr>
        <w:t xml:space="preserve"> </w:t>
      </w:r>
      <w:r>
        <w:t>estimates</w:t>
      </w:r>
      <w:r>
        <w:rPr>
          <w:spacing w:val="-3"/>
        </w:rPr>
        <w:t xml:space="preserve"> </w:t>
      </w:r>
      <w:r>
        <w:t>approved</w:t>
      </w:r>
      <w:r>
        <w:rPr>
          <w:spacing w:val="-3"/>
        </w:rPr>
        <w:t xml:space="preserve"> </w:t>
      </w:r>
      <w:r>
        <w:t>in</w:t>
      </w:r>
      <w:r>
        <w:rPr>
          <w:spacing w:val="-3"/>
        </w:rPr>
        <w:t xml:space="preserve"> </w:t>
      </w:r>
      <w:r>
        <w:t>OMB Control</w:t>
      </w:r>
      <w:r>
        <w:rPr>
          <w:spacing w:val="-3"/>
        </w:rPr>
        <w:t xml:space="preserve"> </w:t>
      </w:r>
      <w:r>
        <w:t>Number</w:t>
      </w:r>
      <w:r>
        <w:rPr>
          <w:spacing w:val="-4"/>
        </w:rPr>
        <w:t xml:space="preserve"> </w:t>
      </w:r>
      <w:r>
        <w:t>0938- 1249. The</w:t>
      </w:r>
      <w:r>
        <w:rPr>
          <w:spacing w:val="-1"/>
        </w:rPr>
        <w:t xml:space="preserve"> </w:t>
      </w:r>
      <w:r>
        <w:t>modifications to the</w:t>
      </w:r>
      <w:r>
        <w:rPr>
          <w:spacing w:val="-1"/>
        </w:rPr>
        <w:t xml:space="preserve"> </w:t>
      </w:r>
      <w:r>
        <w:t>QRS and QHP Enrollee</w:t>
      </w:r>
      <w:r>
        <w:rPr>
          <w:spacing w:val="-1"/>
        </w:rPr>
        <w:t xml:space="preserve"> </w:t>
      </w:r>
      <w:r>
        <w:t>Survey and patient safety portions of</w:t>
      </w:r>
      <w:r>
        <w:rPr>
          <w:spacing w:val="-1"/>
        </w:rPr>
        <w:t xml:space="preserve"> </w:t>
      </w:r>
      <w:r>
        <w:t>this document, based on the past three years of implementation of the programs, would result in an annual estimate increase in burden hours of 138,112 hours.</w:t>
      </w:r>
    </w:p>
    <w:p w:rsidR="00B41E06" w14:paraId="1671CA8A" w14:textId="77777777">
      <w:pPr>
        <w:pStyle w:val="ListParagraph"/>
        <w:numPr>
          <w:ilvl w:val="1"/>
          <w:numId w:val="5"/>
        </w:numPr>
        <w:tabs>
          <w:tab w:val="left" w:pos="1080"/>
        </w:tabs>
        <w:spacing w:before="119"/>
        <w:ind w:left="1080" w:right="384"/>
        <w:rPr>
          <w:sz w:val="24"/>
        </w:rPr>
      </w:pPr>
      <w:r>
        <w:rPr>
          <w:sz w:val="24"/>
        </w:rPr>
        <w:t>QRS</w:t>
      </w:r>
      <w:r>
        <w:rPr>
          <w:spacing w:val="-4"/>
          <w:sz w:val="24"/>
        </w:rPr>
        <w:t xml:space="preserve"> </w:t>
      </w:r>
      <w:r>
        <w:rPr>
          <w:sz w:val="24"/>
        </w:rPr>
        <w:t>implementation</w:t>
      </w:r>
      <w:r>
        <w:rPr>
          <w:spacing w:val="-4"/>
          <w:sz w:val="24"/>
        </w:rPr>
        <w:t xml:space="preserve"> </w:t>
      </w:r>
      <w:r>
        <w:rPr>
          <w:sz w:val="24"/>
        </w:rPr>
        <w:t>and</w:t>
      </w:r>
      <w:r>
        <w:rPr>
          <w:spacing w:val="-4"/>
          <w:sz w:val="24"/>
        </w:rPr>
        <w:t xml:space="preserve"> </w:t>
      </w:r>
      <w:r>
        <w:rPr>
          <w:sz w:val="24"/>
        </w:rPr>
        <w:t>reporting</w:t>
      </w:r>
      <w:r>
        <w:rPr>
          <w:spacing w:val="-4"/>
          <w:sz w:val="24"/>
        </w:rPr>
        <w:t xml:space="preserve"> </w:t>
      </w:r>
      <w:r>
        <w:rPr>
          <w:sz w:val="24"/>
        </w:rPr>
        <w:t>increased</w:t>
      </w:r>
      <w:r>
        <w:rPr>
          <w:spacing w:val="-4"/>
          <w:sz w:val="24"/>
        </w:rPr>
        <w:t xml:space="preserve"> </w:t>
      </w:r>
      <w:r>
        <w:rPr>
          <w:sz w:val="24"/>
        </w:rPr>
        <w:t>by</w:t>
      </w:r>
      <w:r>
        <w:rPr>
          <w:spacing w:val="-4"/>
          <w:sz w:val="24"/>
        </w:rPr>
        <w:t xml:space="preserve"> </w:t>
      </w:r>
      <w:r>
        <w:rPr>
          <w:sz w:val="24"/>
        </w:rPr>
        <w:t>133,880</w:t>
      </w:r>
      <w:r>
        <w:rPr>
          <w:spacing w:val="-4"/>
          <w:sz w:val="24"/>
        </w:rPr>
        <w:t xml:space="preserve"> </w:t>
      </w:r>
      <w:r>
        <w:rPr>
          <w:sz w:val="24"/>
        </w:rPr>
        <w:t>hours</w:t>
      </w:r>
      <w:r>
        <w:rPr>
          <w:spacing w:val="-4"/>
          <w:sz w:val="24"/>
        </w:rPr>
        <w:t xml:space="preserve"> </w:t>
      </w:r>
      <w:r>
        <w:rPr>
          <w:sz w:val="24"/>
        </w:rPr>
        <w:t>[from</w:t>
      </w:r>
      <w:r>
        <w:rPr>
          <w:spacing w:val="-4"/>
          <w:sz w:val="24"/>
        </w:rPr>
        <w:t xml:space="preserve"> </w:t>
      </w:r>
      <w:r>
        <w:rPr>
          <w:sz w:val="24"/>
        </w:rPr>
        <w:t>368,100</w:t>
      </w:r>
      <w:r>
        <w:rPr>
          <w:spacing w:val="-4"/>
          <w:sz w:val="24"/>
        </w:rPr>
        <w:t xml:space="preserve"> </w:t>
      </w:r>
      <w:r>
        <w:rPr>
          <w:sz w:val="24"/>
        </w:rPr>
        <w:t>to</w:t>
      </w:r>
      <w:r>
        <w:rPr>
          <w:spacing w:val="-4"/>
          <w:sz w:val="24"/>
        </w:rPr>
        <w:t xml:space="preserve"> </w:t>
      </w:r>
      <w:r>
        <w:rPr>
          <w:sz w:val="24"/>
        </w:rPr>
        <w:t xml:space="preserve">501,980 </w:t>
      </w:r>
      <w:r>
        <w:rPr>
          <w:spacing w:val="-2"/>
          <w:sz w:val="24"/>
        </w:rPr>
        <w:t>hours];</w:t>
      </w:r>
    </w:p>
    <w:p w:rsidR="00B41E06" w14:paraId="2673D91D" w14:textId="77777777">
      <w:pPr>
        <w:pStyle w:val="ListParagraph"/>
        <w:numPr>
          <w:ilvl w:val="1"/>
          <w:numId w:val="5"/>
        </w:numPr>
        <w:tabs>
          <w:tab w:val="left" w:pos="1080"/>
        </w:tabs>
        <w:spacing w:before="119"/>
        <w:ind w:left="1080" w:right="927"/>
        <w:rPr>
          <w:sz w:val="24"/>
        </w:rPr>
      </w:pPr>
      <w:r>
        <w:rPr>
          <w:sz w:val="24"/>
        </w:rPr>
        <w:t>QHP</w:t>
      </w:r>
      <w:r>
        <w:rPr>
          <w:spacing w:val="-4"/>
          <w:sz w:val="24"/>
        </w:rPr>
        <w:t xml:space="preserve"> </w:t>
      </w:r>
      <w:r>
        <w:rPr>
          <w:sz w:val="24"/>
        </w:rPr>
        <w:t>Enrollee</w:t>
      </w:r>
      <w:r>
        <w:rPr>
          <w:spacing w:val="-5"/>
          <w:sz w:val="24"/>
        </w:rPr>
        <w:t xml:space="preserve"> </w:t>
      </w:r>
      <w:r>
        <w:rPr>
          <w:sz w:val="24"/>
        </w:rPr>
        <w:t>Survey</w:t>
      </w:r>
      <w:r>
        <w:rPr>
          <w:spacing w:val="-4"/>
          <w:sz w:val="24"/>
        </w:rPr>
        <w:t xml:space="preserve"> </w:t>
      </w:r>
      <w:r>
        <w:rPr>
          <w:sz w:val="24"/>
        </w:rPr>
        <w:t>implementation</w:t>
      </w:r>
      <w:r>
        <w:rPr>
          <w:spacing w:val="-4"/>
          <w:sz w:val="24"/>
        </w:rPr>
        <w:t xml:space="preserve"> </w:t>
      </w:r>
      <w:r>
        <w:rPr>
          <w:sz w:val="24"/>
        </w:rPr>
        <w:t>and</w:t>
      </w:r>
      <w:r>
        <w:rPr>
          <w:spacing w:val="-4"/>
          <w:sz w:val="24"/>
        </w:rPr>
        <w:t xml:space="preserve"> </w:t>
      </w:r>
      <w:r>
        <w:rPr>
          <w:sz w:val="24"/>
        </w:rPr>
        <w:t>reporting</w:t>
      </w:r>
      <w:r>
        <w:rPr>
          <w:spacing w:val="-4"/>
          <w:sz w:val="24"/>
        </w:rPr>
        <w:t xml:space="preserve"> </w:t>
      </w:r>
      <w:r>
        <w:rPr>
          <w:sz w:val="24"/>
        </w:rPr>
        <w:t>increased</w:t>
      </w:r>
      <w:r>
        <w:rPr>
          <w:spacing w:val="-4"/>
          <w:sz w:val="24"/>
        </w:rPr>
        <w:t xml:space="preserve"> </w:t>
      </w:r>
      <w:r>
        <w:rPr>
          <w:sz w:val="24"/>
        </w:rPr>
        <w:t>by</w:t>
      </w:r>
      <w:r>
        <w:rPr>
          <w:spacing w:val="-4"/>
          <w:sz w:val="24"/>
        </w:rPr>
        <w:t xml:space="preserve"> </w:t>
      </w:r>
      <w:r>
        <w:rPr>
          <w:sz w:val="24"/>
        </w:rPr>
        <w:t>4,000</w:t>
      </w:r>
      <w:r>
        <w:rPr>
          <w:spacing w:val="-4"/>
          <w:sz w:val="24"/>
        </w:rPr>
        <w:t xml:space="preserve"> </w:t>
      </w:r>
      <w:r>
        <w:rPr>
          <w:sz w:val="24"/>
        </w:rPr>
        <w:t>hours</w:t>
      </w:r>
      <w:r>
        <w:rPr>
          <w:spacing w:val="-4"/>
          <w:sz w:val="24"/>
        </w:rPr>
        <w:t xml:space="preserve"> </w:t>
      </w:r>
      <w:r>
        <w:rPr>
          <w:sz w:val="24"/>
        </w:rPr>
        <w:t>[from 15,000 to 19,000 hours];</w:t>
      </w:r>
    </w:p>
    <w:p w:rsidR="00B41E06" w14:paraId="455D043A" w14:textId="77777777">
      <w:pPr>
        <w:pStyle w:val="ListParagraph"/>
        <w:numPr>
          <w:ilvl w:val="1"/>
          <w:numId w:val="5"/>
        </w:numPr>
        <w:tabs>
          <w:tab w:val="left" w:pos="1080"/>
        </w:tabs>
        <w:spacing w:before="119"/>
        <w:ind w:left="1080" w:right="665"/>
        <w:rPr>
          <w:sz w:val="24"/>
        </w:rPr>
      </w:pPr>
      <w:r>
        <w:rPr>
          <w:sz w:val="24"/>
        </w:rPr>
        <w:t>Monitoring</w:t>
      </w:r>
      <w:r>
        <w:rPr>
          <w:spacing w:val="-3"/>
          <w:sz w:val="24"/>
        </w:rPr>
        <w:t xml:space="preserve"> </w:t>
      </w:r>
      <w:r>
        <w:rPr>
          <w:sz w:val="24"/>
        </w:rPr>
        <w:t>and</w:t>
      </w:r>
      <w:r>
        <w:rPr>
          <w:spacing w:val="-3"/>
          <w:sz w:val="24"/>
        </w:rPr>
        <w:t xml:space="preserve"> </w:t>
      </w:r>
      <w:r>
        <w:rPr>
          <w:sz w:val="24"/>
        </w:rPr>
        <w:t>appeals</w:t>
      </w:r>
      <w:r>
        <w:rPr>
          <w:spacing w:val="-1"/>
          <w:sz w:val="24"/>
        </w:rPr>
        <w:t xml:space="preserve"> </w:t>
      </w:r>
      <w:r>
        <w:rPr>
          <w:sz w:val="24"/>
        </w:rPr>
        <w:t>process</w:t>
      </w:r>
      <w:r>
        <w:rPr>
          <w:spacing w:val="-3"/>
          <w:sz w:val="24"/>
        </w:rPr>
        <w:t xml:space="preserve"> </w:t>
      </w:r>
      <w:r>
        <w:rPr>
          <w:sz w:val="24"/>
        </w:rPr>
        <w:t>for</w:t>
      </w:r>
      <w:r>
        <w:rPr>
          <w:spacing w:val="-4"/>
          <w:sz w:val="24"/>
        </w:rPr>
        <w:t xml:space="preserve"> </w:t>
      </w:r>
      <w:r>
        <w:rPr>
          <w:sz w:val="24"/>
        </w:rPr>
        <w:t>survey</w:t>
      </w:r>
      <w:r>
        <w:rPr>
          <w:spacing w:val="-3"/>
          <w:sz w:val="24"/>
        </w:rPr>
        <w:t xml:space="preserve"> </w:t>
      </w:r>
      <w:r>
        <w:rPr>
          <w:sz w:val="24"/>
        </w:rPr>
        <w:t>vendors</w:t>
      </w:r>
      <w:r>
        <w:rPr>
          <w:spacing w:val="-3"/>
          <w:sz w:val="24"/>
        </w:rPr>
        <w:t xml:space="preserve"> </w:t>
      </w:r>
      <w:r>
        <w:rPr>
          <w:sz w:val="24"/>
        </w:rPr>
        <w:t>decreased</w:t>
      </w:r>
      <w:r>
        <w:rPr>
          <w:spacing w:val="-3"/>
          <w:sz w:val="24"/>
        </w:rPr>
        <w:t xml:space="preserve"> </w:t>
      </w:r>
      <w:r>
        <w:rPr>
          <w:sz w:val="24"/>
        </w:rPr>
        <w:t>by</w:t>
      </w:r>
      <w:r>
        <w:rPr>
          <w:spacing w:val="-3"/>
          <w:sz w:val="24"/>
        </w:rPr>
        <w:t xml:space="preserve"> </w:t>
      </w:r>
      <w:r>
        <w:rPr>
          <w:sz w:val="24"/>
        </w:rPr>
        <w:t>8</w:t>
      </w:r>
      <w:r>
        <w:rPr>
          <w:spacing w:val="-3"/>
          <w:sz w:val="24"/>
        </w:rPr>
        <w:t xml:space="preserve"> </w:t>
      </w:r>
      <w:r>
        <w:rPr>
          <w:sz w:val="24"/>
        </w:rPr>
        <w:t>hours</w:t>
      </w:r>
      <w:r>
        <w:rPr>
          <w:spacing w:val="-3"/>
          <w:sz w:val="24"/>
        </w:rPr>
        <w:t xml:space="preserve"> </w:t>
      </w:r>
      <w:r>
        <w:rPr>
          <w:sz w:val="24"/>
        </w:rPr>
        <w:t>[from</w:t>
      </w:r>
      <w:r>
        <w:rPr>
          <w:spacing w:val="-3"/>
          <w:sz w:val="24"/>
        </w:rPr>
        <w:t xml:space="preserve"> </w:t>
      </w:r>
      <w:r>
        <w:rPr>
          <w:sz w:val="24"/>
        </w:rPr>
        <w:t>14</w:t>
      </w:r>
      <w:r>
        <w:rPr>
          <w:spacing w:val="-3"/>
          <w:sz w:val="24"/>
        </w:rPr>
        <w:t xml:space="preserve"> </w:t>
      </w:r>
      <w:r>
        <w:rPr>
          <w:sz w:val="24"/>
        </w:rPr>
        <w:t>to</w:t>
      </w:r>
      <w:r>
        <w:rPr>
          <w:spacing w:val="-3"/>
          <w:sz w:val="24"/>
        </w:rPr>
        <w:t xml:space="preserve"> </w:t>
      </w:r>
      <w:r>
        <w:rPr>
          <w:sz w:val="24"/>
        </w:rPr>
        <w:t xml:space="preserve">6 </w:t>
      </w:r>
      <w:r>
        <w:rPr>
          <w:spacing w:val="-2"/>
          <w:sz w:val="24"/>
        </w:rPr>
        <w:t>hours];</w:t>
      </w:r>
    </w:p>
    <w:p w:rsidR="00B41E06" w14:paraId="1C7804FB" w14:textId="77777777">
      <w:pPr>
        <w:pStyle w:val="ListParagraph"/>
        <w:numPr>
          <w:ilvl w:val="1"/>
          <w:numId w:val="5"/>
        </w:numPr>
        <w:tabs>
          <w:tab w:val="left" w:pos="1080"/>
        </w:tabs>
        <w:spacing w:before="121"/>
        <w:ind w:left="1080" w:right="463"/>
        <w:rPr>
          <w:sz w:val="24"/>
        </w:rPr>
      </w:pPr>
      <w:r>
        <w:rPr>
          <w:sz w:val="24"/>
        </w:rPr>
        <w:t>Patient</w:t>
      </w:r>
      <w:r>
        <w:rPr>
          <w:spacing w:val="-3"/>
          <w:sz w:val="24"/>
        </w:rPr>
        <w:t xml:space="preserve"> </w:t>
      </w:r>
      <w:r>
        <w:rPr>
          <w:sz w:val="24"/>
        </w:rPr>
        <w:t>safety</w:t>
      </w:r>
      <w:r>
        <w:rPr>
          <w:spacing w:val="-3"/>
          <w:sz w:val="24"/>
        </w:rPr>
        <w:t xml:space="preserve"> </w:t>
      </w:r>
      <w:r>
        <w:rPr>
          <w:sz w:val="24"/>
        </w:rPr>
        <w:t>collection</w:t>
      </w:r>
      <w:r>
        <w:rPr>
          <w:spacing w:val="-1"/>
          <w:sz w:val="24"/>
        </w:rPr>
        <w:t xml:space="preserve"> </w:t>
      </w:r>
      <w:r>
        <w:rPr>
          <w:sz w:val="24"/>
        </w:rPr>
        <w:t>and</w:t>
      </w:r>
      <w:r>
        <w:rPr>
          <w:spacing w:val="-3"/>
          <w:sz w:val="24"/>
        </w:rPr>
        <w:t xml:space="preserve"> </w:t>
      </w:r>
      <w:r>
        <w:rPr>
          <w:sz w:val="24"/>
        </w:rPr>
        <w:t>reporting</w:t>
      </w:r>
      <w:r>
        <w:rPr>
          <w:spacing w:val="-3"/>
          <w:sz w:val="24"/>
        </w:rPr>
        <w:t xml:space="preserve"> </w:t>
      </w:r>
      <w:r>
        <w:rPr>
          <w:sz w:val="24"/>
        </w:rPr>
        <w:t>increased</w:t>
      </w:r>
      <w:r>
        <w:rPr>
          <w:spacing w:val="-3"/>
          <w:sz w:val="24"/>
        </w:rPr>
        <w:t xml:space="preserve"> </w:t>
      </w:r>
      <w:r>
        <w:rPr>
          <w:sz w:val="24"/>
        </w:rPr>
        <w:t>by</w:t>
      </w:r>
      <w:r>
        <w:rPr>
          <w:spacing w:val="-3"/>
          <w:sz w:val="24"/>
        </w:rPr>
        <w:t xml:space="preserve"> </w:t>
      </w:r>
      <w:r>
        <w:rPr>
          <w:sz w:val="24"/>
        </w:rPr>
        <w:t>240</w:t>
      </w:r>
      <w:r>
        <w:rPr>
          <w:spacing w:val="-3"/>
          <w:sz w:val="24"/>
        </w:rPr>
        <w:t xml:space="preserve"> </w:t>
      </w:r>
      <w:r>
        <w:rPr>
          <w:sz w:val="24"/>
        </w:rPr>
        <w:t>burden</w:t>
      </w:r>
      <w:r>
        <w:rPr>
          <w:spacing w:val="-3"/>
          <w:sz w:val="24"/>
        </w:rPr>
        <w:t xml:space="preserve"> </w:t>
      </w:r>
      <w:r>
        <w:rPr>
          <w:sz w:val="24"/>
        </w:rPr>
        <w:t>hours</w:t>
      </w:r>
      <w:r>
        <w:rPr>
          <w:spacing w:val="-3"/>
          <w:sz w:val="24"/>
        </w:rPr>
        <w:t xml:space="preserve"> </w:t>
      </w:r>
      <w:r>
        <w:rPr>
          <w:sz w:val="24"/>
        </w:rPr>
        <w:t>[from</w:t>
      </w:r>
      <w:r>
        <w:rPr>
          <w:spacing w:val="-3"/>
          <w:sz w:val="24"/>
        </w:rPr>
        <w:t xml:space="preserve"> </w:t>
      </w:r>
      <w:r>
        <w:rPr>
          <w:sz w:val="24"/>
        </w:rPr>
        <w:t>900</w:t>
      </w:r>
      <w:r>
        <w:rPr>
          <w:spacing w:val="-3"/>
          <w:sz w:val="24"/>
        </w:rPr>
        <w:t xml:space="preserve"> </w:t>
      </w:r>
      <w:r>
        <w:rPr>
          <w:sz w:val="24"/>
        </w:rPr>
        <w:t>to</w:t>
      </w:r>
      <w:r>
        <w:rPr>
          <w:spacing w:val="-3"/>
          <w:sz w:val="24"/>
        </w:rPr>
        <w:t xml:space="preserve"> </w:t>
      </w:r>
      <w:r>
        <w:rPr>
          <w:sz w:val="24"/>
        </w:rPr>
        <w:t xml:space="preserve">1,140 </w:t>
      </w:r>
      <w:r>
        <w:rPr>
          <w:spacing w:val="-2"/>
          <w:sz w:val="24"/>
        </w:rPr>
        <w:t>hours].</w:t>
      </w:r>
    </w:p>
    <w:p w:rsidR="00B41E06" w14:paraId="4363D7D7" w14:textId="77777777">
      <w:pPr>
        <w:pStyle w:val="BodyText"/>
        <w:spacing w:before="119"/>
        <w:ind w:left="360"/>
      </w:pPr>
      <w:r>
        <w:t>There</w:t>
      </w:r>
      <w:r>
        <w:rPr>
          <w:spacing w:val="-3"/>
        </w:rPr>
        <w:t xml:space="preserve"> </w:t>
      </w:r>
      <w:r>
        <w:t>is</w:t>
      </w:r>
      <w:r>
        <w:rPr>
          <w:spacing w:val="-1"/>
        </w:rPr>
        <w:t xml:space="preserve"> </w:t>
      </w:r>
      <w:r>
        <w:t>an</w:t>
      </w:r>
      <w:r>
        <w:rPr>
          <w:spacing w:val="1"/>
        </w:rPr>
        <w:t xml:space="preserve"> </w:t>
      </w:r>
      <w:r>
        <w:t>estimated</w:t>
      </w:r>
      <w:r>
        <w:rPr>
          <w:spacing w:val="-1"/>
        </w:rPr>
        <w:t xml:space="preserve"> </w:t>
      </w:r>
      <w:r>
        <w:t>increase</w:t>
      </w:r>
      <w:r>
        <w:rPr>
          <w:spacing w:val="-2"/>
        </w:rPr>
        <w:t xml:space="preserve"> </w:t>
      </w:r>
      <w:r>
        <w:t>in cost</w:t>
      </w:r>
      <w:r>
        <w:rPr>
          <w:spacing w:val="-1"/>
        </w:rPr>
        <w:t xml:space="preserve"> </w:t>
      </w:r>
      <w:r>
        <w:t>burden</w:t>
      </w:r>
      <w:r>
        <w:rPr>
          <w:spacing w:val="-1"/>
        </w:rPr>
        <w:t xml:space="preserve"> </w:t>
      </w:r>
      <w:r>
        <w:t>of</w:t>
      </w:r>
      <w:r>
        <w:rPr>
          <w:spacing w:val="-2"/>
        </w:rPr>
        <w:t xml:space="preserve"> </w:t>
      </w:r>
      <w:r>
        <w:t>$6,490,721.08</w:t>
      </w:r>
      <w:r>
        <w:rPr>
          <w:spacing w:val="-1"/>
        </w:rPr>
        <w:t xml:space="preserve"> </w:t>
      </w:r>
      <w:r>
        <w:t>for</w:t>
      </w:r>
      <w:r>
        <w:rPr>
          <w:spacing w:val="-2"/>
        </w:rPr>
        <w:t xml:space="preserve"> </w:t>
      </w:r>
      <w:r>
        <w:t>QHP</w:t>
      </w:r>
      <w:r>
        <w:rPr>
          <w:spacing w:val="-1"/>
        </w:rPr>
        <w:t xml:space="preserve"> </w:t>
      </w:r>
      <w:r>
        <w:rPr>
          <w:spacing w:val="-2"/>
        </w:rPr>
        <w:t>issuers.</w:t>
      </w:r>
    </w:p>
    <w:p w:rsidR="00B41E06" w14:paraId="685C37F5" w14:textId="77777777">
      <w:pPr>
        <w:pStyle w:val="BodyText"/>
        <w:spacing w:before="0"/>
        <w:rPr>
          <w:sz w:val="20"/>
        </w:rPr>
      </w:pPr>
    </w:p>
    <w:p w:rsidR="00B41E06" w14:paraId="34DB9E93" w14:textId="77777777">
      <w:pPr>
        <w:pStyle w:val="BodyText"/>
        <w:spacing w:before="0"/>
        <w:rPr>
          <w:sz w:val="20"/>
        </w:rPr>
      </w:pPr>
    </w:p>
    <w:p w:rsidR="00B41E06" w14:paraId="685F4ECF" w14:textId="77777777">
      <w:pPr>
        <w:pStyle w:val="BodyText"/>
        <w:spacing w:before="0"/>
        <w:rPr>
          <w:sz w:val="20"/>
        </w:rPr>
      </w:pPr>
    </w:p>
    <w:p w:rsidR="00B41E06" w14:paraId="2B5F3A23" w14:textId="77777777">
      <w:pPr>
        <w:pStyle w:val="BodyText"/>
        <w:spacing w:before="32"/>
        <w:rPr>
          <w:sz w:val="20"/>
        </w:rPr>
      </w:pPr>
      <w:r>
        <w:rPr>
          <w:noProof/>
          <w:sz w:val="20"/>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181622</wp:posOffset>
                </wp:positionV>
                <wp:extent cx="1828800" cy="762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41" style="width:2in;height:0.6pt;margin-top:14.3pt;margin-left:1in;mso-position-horizontal-relative:page;mso-wrap-distance-bottom:0;mso-wrap-distance-left:0;mso-wrap-distance-right:0;mso-wrap-distance-top:0;mso-wrap-style:square;position:absolute;visibility:visible;v-text-anchor:top;z-index:-251624448" coordsize="1828800,7620" path="m1828800,l,,,7620l1828800,7620l1828800,xe" fillcolor="black" stroked="f">
                <v:path arrowok="t"/>
                <w10:wrap type="topAndBottom"/>
              </v:shape>
            </w:pict>
          </mc:Fallback>
        </mc:AlternateContent>
      </w:r>
    </w:p>
    <w:p w:rsidR="00B41E06" w14:paraId="7F460982" w14:textId="77777777">
      <w:pPr>
        <w:spacing w:before="103"/>
        <w:ind w:left="360" w:right="889"/>
        <w:rPr>
          <w:sz w:val="20"/>
        </w:rPr>
      </w:pPr>
      <w:r>
        <w:rPr>
          <w:sz w:val="20"/>
          <w:vertAlign w:val="superscript"/>
        </w:rPr>
        <w:t>18</w:t>
      </w:r>
      <w:r>
        <w:rPr>
          <w:spacing w:val="-3"/>
          <w:sz w:val="20"/>
        </w:rPr>
        <w:t xml:space="preserve"> </w:t>
      </w:r>
      <w:r>
        <w:rPr>
          <w:sz w:val="20"/>
        </w:rPr>
        <w:t>These</w:t>
      </w:r>
      <w:r>
        <w:rPr>
          <w:spacing w:val="-3"/>
          <w:sz w:val="20"/>
        </w:rPr>
        <w:t xml:space="preserve"> </w:t>
      </w:r>
      <w:r>
        <w:rPr>
          <w:sz w:val="20"/>
        </w:rPr>
        <w:t>data</w:t>
      </w:r>
      <w:r>
        <w:rPr>
          <w:spacing w:val="-3"/>
          <w:sz w:val="20"/>
        </w:rPr>
        <w:t xml:space="preserve"> </w:t>
      </w:r>
      <w:r>
        <w:rPr>
          <w:sz w:val="20"/>
        </w:rPr>
        <w:t>are</w:t>
      </w:r>
      <w:r>
        <w:rPr>
          <w:spacing w:val="-3"/>
          <w:sz w:val="20"/>
        </w:rPr>
        <w:t xml:space="preserve"> </w:t>
      </w:r>
      <w:r>
        <w:rPr>
          <w:sz w:val="20"/>
        </w:rPr>
        <w:t>based</w:t>
      </w:r>
      <w:r>
        <w:rPr>
          <w:spacing w:val="-4"/>
          <w:sz w:val="20"/>
        </w:rPr>
        <w:t xml:space="preserve"> </w:t>
      </w:r>
      <w:r>
        <w:rPr>
          <w:sz w:val="20"/>
        </w:rPr>
        <w:t>on</w:t>
      </w:r>
      <w:r>
        <w:rPr>
          <w:spacing w:val="-2"/>
          <w:sz w:val="20"/>
        </w:rPr>
        <w:t xml:space="preserve"> </w:t>
      </w:r>
      <w:r>
        <w:rPr>
          <w:sz w:val="20"/>
        </w:rPr>
        <w:t>the</w:t>
      </w:r>
      <w:r>
        <w:rPr>
          <w:spacing w:val="-3"/>
          <w:sz w:val="20"/>
        </w:rPr>
        <w:t xml:space="preserve"> </w:t>
      </w:r>
      <w:r>
        <w:rPr>
          <w:sz w:val="20"/>
        </w:rPr>
        <w:t>2024</w:t>
      </w:r>
      <w:r>
        <w:rPr>
          <w:spacing w:val="-2"/>
          <w:sz w:val="20"/>
        </w:rPr>
        <w:t xml:space="preserve"> </w:t>
      </w:r>
      <w:r>
        <w:rPr>
          <w:sz w:val="20"/>
        </w:rPr>
        <w:t>General</w:t>
      </w:r>
      <w:r>
        <w:rPr>
          <w:spacing w:val="-3"/>
          <w:sz w:val="20"/>
        </w:rPr>
        <w:t xml:space="preserve"> </w:t>
      </w:r>
      <w:r>
        <w:rPr>
          <w:sz w:val="20"/>
        </w:rPr>
        <w:t>Schedule</w:t>
      </w:r>
      <w:r>
        <w:rPr>
          <w:spacing w:val="-3"/>
          <w:sz w:val="20"/>
        </w:rPr>
        <w:t xml:space="preserve"> </w:t>
      </w:r>
      <w:r>
        <w:rPr>
          <w:sz w:val="20"/>
        </w:rPr>
        <w:t>Salary</w:t>
      </w:r>
      <w:r>
        <w:rPr>
          <w:spacing w:val="-4"/>
          <w:sz w:val="20"/>
        </w:rPr>
        <w:t xml:space="preserve"> </w:t>
      </w:r>
      <w:r>
        <w:rPr>
          <w:sz w:val="20"/>
        </w:rPr>
        <w:t>table.</w:t>
      </w:r>
      <w:r>
        <w:rPr>
          <w:spacing w:val="-3"/>
          <w:sz w:val="20"/>
        </w:rPr>
        <w:t xml:space="preserve"> </w:t>
      </w:r>
      <w:r>
        <w:rPr>
          <w:sz w:val="20"/>
        </w:rPr>
        <w:t>Source:</w:t>
      </w:r>
      <w:r>
        <w:rPr>
          <w:spacing w:val="-3"/>
          <w:sz w:val="20"/>
        </w:rPr>
        <w:t xml:space="preserve"> </w:t>
      </w:r>
      <w:hyperlink r:id="rId21">
        <w:r>
          <w:rPr>
            <w:color w:val="0000FF"/>
            <w:sz w:val="20"/>
            <w:u w:val="single" w:color="0000FF"/>
          </w:rPr>
          <w:t>https://www.opm.gov/policy-data-</w:t>
        </w:r>
      </w:hyperlink>
      <w:r>
        <w:rPr>
          <w:color w:val="0000FF"/>
          <w:sz w:val="20"/>
        </w:rPr>
        <w:t xml:space="preserve"> </w:t>
      </w:r>
      <w:hyperlink r:id="rId21">
        <w:r>
          <w:rPr>
            <w:color w:val="0000FF"/>
            <w:spacing w:val="-2"/>
            <w:sz w:val="20"/>
            <w:u w:val="single" w:color="0000FF"/>
          </w:rPr>
          <w:t>oversight/pay-leave/salaries-wages/salary-tables/24Tables/html/GS_h.aspx</w:t>
        </w:r>
        <w:r>
          <w:rPr>
            <w:spacing w:val="-2"/>
            <w:sz w:val="20"/>
          </w:rPr>
          <w:t>.</w:t>
        </w:r>
      </w:hyperlink>
    </w:p>
    <w:p w:rsidR="00B41E06" w14:paraId="3CE7B44A" w14:textId="77777777">
      <w:pPr>
        <w:rPr>
          <w:sz w:val="20"/>
        </w:rPr>
        <w:sectPr>
          <w:pgSz w:w="12240" w:h="15840"/>
          <w:pgMar w:top="1360" w:right="1080" w:bottom="980" w:left="1080" w:header="0" w:footer="787" w:gutter="0"/>
          <w:cols w:space="720"/>
        </w:sectPr>
      </w:pPr>
    </w:p>
    <w:p w:rsidR="00B41E06" w14:paraId="1FFC62A9" w14:textId="77777777">
      <w:pPr>
        <w:pStyle w:val="ListParagraph"/>
        <w:numPr>
          <w:ilvl w:val="0"/>
          <w:numId w:val="1"/>
        </w:numPr>
        <w:tabs>
          <w:tab w:val="left" w:pos="991"/>
        </w:tabs>
        <w:spacing w:before="78" w:line="294" w:lineRule="exact"/>
        <w:rPr>
          <w:sz w:val="24"/>
        </w:rPr>
      </w:pPr>
      <w:r>
        <w:rPr>
          <w:sz w:val="24"/>
        </w:rPr>
        <w:t>QRS</w:t>
      </w:r>
      <w:r>
        <w:rPr>
          <w:spacing w:val="-2"/>
          <w:sz w:val="24"/>
        </w:rPr>
        <w:t xml:space="preserve"> </w:t>
      </w:r>
      <w:r>
        <w:rPr>
          <w:sz w:val="24"/>
        </w:rPr>
        <w:t>implementation</w:t>
      </w:r>
      <w:r>
        <w:rPr>
          <w:spacing w:val="-1"/>
          <w:sz w:val="24"/>
        </w:rPr>
        <w:t xml:space="preserve"> </w:t>
      </w:r>
      <w:r>
        <w:rPr>
          <w:sz w:val="24"/>
        </w:rPr>
        <w:t>and</w:t>
      </w:r>
      <w:r>
        <w:rPr>
          <w:spacing w:val="-1"/>
          <w:sz w:val="24"/>
        </w:rPr>
        <w:t xml:space="preserve"> </w:t>
      </w:r>
      <w:r>
        <w:rPr>
          <w:sz w:val="24"/>
        </w:rPr>
        <w:t>reporting</w:t>
      </w:r>
      <w:r>
        <w:rPr>
          <w:spacing w:val="-1"/>
          <w:sz w:val="24"/>
        </w:rPr>
        <w:t xml:space="preserve"> </w:t>
      </w:r>
      <w:r>
        <w:rPr>
          <w:sz w:val="24"/>
        </w:rPr>
        <w:t>increased</w:t>
      </w:r>
      <w:r>
        <w:rPr>
          <w:spacing w:val="-2"/>
          <w:sz w:val="24"/>
        </w:rPr>
        <w:t xml:space="preserve"> </w:t>
      </w:r>
      <w:r>
        <w:rPr>
          <w:sz w:val="24"/>
        </w:rPr>
        <w:t>by</w:t>
      </w:r>
      <w:r>
        <w:rPr>
          <w:spacing w:val="-1"/>
          <w:sz w:val="24"/>
        </w:rPr>
        <w:t xml:space="preserve"> </w:t>
      </w:r>
      <w:r>
        <w:rPr>
          <w:sz w:val="24"/>
        </w:rPr>
        <w:t>$6,513,959</w:t>
      </w:r>
      <w:r>
        <w:rPr>
          <w:spacing w:val="-1"/>
          <w:sz w:val="24"/>
        </w:rPr>
        <w:t xml:space="preserve"> </w:t>
      </w:r>
      <w:r>
        <w:rPr>
          <w:sz w:val="24"/>
        </w:rPr>
        <w:t>[from</w:t>
      </w:r>
      <w:r>
        <w:rPr>
          <w:spacing w:val="-1"/>
          <w:sz w:val="24"/>
        </w:rPr>
        <w:t xml:space="preserve"> </w:t>
      </w:r>
      <w:r>
        <w:rPr>
          <w:sz w:val="24"/>
        </w:rPr>
        <w:t>$45,513,000</w:t>
      </w:r>
      <w:r>
        <w:rPr>
          <w:spacing w:val="-1"/>
          <w:sz w:val="24"/>
        </w:rPr>
        <w:t xml:space="preserve"> </w:t>
      </w:r>
      <w:r>
        <w:rPr>
          <w:spacing w:val="-5"/>
          <w:sz w:val="24"/>
        </w:rPr>
        <w:t>to</w:t>
      </w:r>
    </w:p>
    <w:p w:rsidR="00B41E06" w14:paraId="3061B6D3" w14:textId="77777777">
      <w:pPr>
        <w:pStyle w:val="BodyText"/>
        <w:spacing w:before="0" w:line="276" w:lineRule="exact"/>
        <w:ind w:left="991"/>
      </w:pPr>
      <w:r>
        <w:rPr>
          <w:spacing w:val="-2"/>
        </w:rPr>
        <w:t>$52,026,959];</w:t>
      </w:r>
    </w:p>
    <w:p w:rsidR="00B41E06" w14:paraId="2FAF96CB" w14:textId="77777777">
      <w:pPr>
        <w:pStyle w:val="ListParagraph"/>
        <w:numPr>
          <w:ilvl w:val="0"/>
          <w:numId w:val="1"/>
        </w:numPr>
        <w:tabs>
          <w:tab w:val="left" w:pos="991"/>
        </w:tabs>
        <w:spacing w:line="294" w:lineRule="exact"/>
        <w:rPr>
          <w:sz w:val="24"/>
        </w:rPr>
      </w:pPr>
      <w:r>
        <w:rPr>
          <w:sz w:val="24"/>
        </w:rPr>
        <w:t>QHP</w:t>
      </w:r>
      <w:r>
        <w:rPr>
          <w:spacing w:val="-2"/>
          <w:sz w:val="24"/>
        </w:rPr>
        <w:t xml:space="preserve"> </w:t>
      </w:r>
      <w:r>
        <w:rPr>
          <w:sz w:val="24"/>
        </w:rPr>
        <w:t>Enrollee</w:t>
      </w:r>
      <w:r>
        <w:rPr>
          <w:spacing w:val="-3"/>
          <w:sz w:val="24"/>
        </w:rPr>
        <w:t xml:space="preserve"> </w:t>
      </w:r>
      <w:r>
        <w:rPr>
          <w:sz w:val="24"/>
        </w:rPr>
        <w:t>Survey</w:t>
      </w:r>
      <w:r>
        <w:rPr>
          <w:spacing w:val="-1"/>
          <w:sz w:val="24"/>
        </w:rPr>
        <w:t xml:space="preserve"> </w:t>
      </w:r>
      <w:r>
        <w:rPr>
          <w:sz w:val="24"/>
        </w:rPr>
        <w:t>implementation</w:t>
      </w:r>
      <w:r>
        <w:rPr>
          <w:spacing w:val="-2"/>
          <w:sz w:val="24"/>
        </w:rPr>
        <w:t xml:space="preserve"> </w:t>
      </w:r>
      <w:r>
        <w:rPr>
          <w:sz w:val="24"/>
        </w:rPr>
        <w:t>and</w:t>
      </w:r>
      <w:r>
        <w:rPr>
          <w:spacing w:val="-1"/>
          <w:sz w:val="24"/>
        </w:rPr>
        <w:t xml:space="preserve"> </w:t>
      </w:r>
      <w:r>
        <w:rPr>
          <w:sz w:val="24"/>
        </w:rPr>
        <w:t>reporting</w:t>
      </w:r>
      <w:r>
        <w:rPr>
          <w:spacing w:val="-2"/>
          <w:sz w:val="24"/>
        </w:rPr>
        <w:t xml:space="preserve"> </w:t>
      </w:r>
      <w:r>
        <w:rPr>
          <w:sz w:val="24"/>
        </w:rPr>
        <w:t>decreased</w:t>
      </w:r>
      <w:r>
        <w:rPr>
          <w:spacing w:val="-1"/>
          <w:sz w:val="24"/>
        </w:rPr>
        <w:t xml:space="preserve"> </w:t>
      </w:r>
      <w:r>
        <w:rPr>
          <w:sz w:val="24"/>
        </w:rPr>
        <w:t>by</w:t>
      </w:r>
      <w:r>
        <w:rPr>
          <w:spacing w:val="-2"/>
          <w:sz w:val="24"/>
        </w:rPr>
        <w:t xml:space="preserve"> </w:t>
      </w:r>
      <w:r>
        <w:rPr>
          <w:sz w:val="24"/>
        </w:rPr>
        <w:t>$44,230</w:t>
      </w:r>
      <w:r>
        <w:rPr>
          <w:spacing w:val="1"/>
          <w:sz w:val="24"/>
        </w:rPr>
        <w:t xml:space="preserve"> </w:t>
      </w:r>
      <w:r>
        <w:rPr>
          <w:spacing w:val="-2"/>
          <w:sz w:val="24"/>
        </w:rPr>
        <w:t>[from</w:t>
      </w:r>
    </w:p>
    <w:p w:rsidR="00B41E06" w14:paraId="7E38B0ED" w14:textId="77777777">
      <w:pPr>
        <w:pStyle w:val="BodyText"/>
        <w:spacing w:before="0" w:line="276" w:lineRule="exact"/>
        <w:ind w:left="991"/>
      </w:pPr>
      <w:r>
        <w:t xml:space="preserve">$1,673,100 to </w:t>
      </w:r>
      <w:r>
        <w:rPr>
          <w:spacing w:val="-2"/>
        </w:rPr>
        <w:t>$1,628,870];</w:t>
      </w:r>
    </w:p>
    <w:p w:rsidR="00B41E06" w14:paraId="5FE8635D" w14:textId="77777777">
      <w:pPr>
        <w:pStyle w:val="ListParagraph"/>
        <w:numPr>
          <w:ilvl w:val="0"/>
          <w:numId w:val="1"/>
        </w:numPr>
        <w:tabs>
          <w:tab w:val="left" w:pos="991"/>
        </w:tabs>
        <w:ind w:right="929"/>
        <w:rPr>
          <w:sz w:val="24"/>
        </w:rPr>
      </w:pPr>
      <w:r>
        <w:rPr>
          <w:sz w:val="24"/>
        </w:rPr>
        <w:t>Monitoring</w:t>
      </w:r>
      <w:r>
        <w:rPr>
          <w:spacing w:val="-4"/>
          <w:sz w:val="24"/>
        </w:rPr>
        <w:t xml:space="preserve"> </w:t>
      </w:r>
      <w:r>
        <w:rPr>
          <w:sz w:val="24"/>
        </w:rPr>
        <w:t>and</w:t>
      </w:r>
      <w:r>
        <w:rPr>
          <w:spacing w:val="-4"/>
          <w:sz w:val="24"/>
        </w:rPr>
        <w:t xml:space="preserve"> </w:t>
      </w:r>
      <w:r>
        <w:rPr>
          <w:sz w:val="24"/>
        </w:rPr>
        <w:t>appeals</w:t>
      </w:r>
      <w:r>
        <w:rPr>
          <w:spacing w:val="-4"/>
          <w:sz w:val="24"/>
        </w:rPr>
        <w:t xml:space="preserve"> </w:t>
      </w:r>
      <w:r>
        <w:rPr>
          <w:sz w:val="24"/>
        </w:rPr>
        <w:t>for</w:t>
      </w:r>
      <w:r>
        <w:rPr>
          <w:spacing w:val="-5"/>
          <w:sz w:val="24"/>
        </w:rPr>
        <w:t xml:space="preserve"> </w:t>
      </w:r>
      <w:r>
        <w:rPr>
          <w:sz w:val="24"/>
        </w:rPr>
        <w:t>survey</w:t>
      </w:r>
      <w:r>
        <w:rPr>
          <w:spacing w:val="-4"/>
          <w:sz w:val="24"/>
        </w:rPr>
        <w:t xml:space="preserve"> </w:t>
      </w:r>
      <w:r>
        <w:rPr>
          <w:sz w:val="24"/>
        </w:rPr>
        <w:t>vendors</w:t>
      </w:r>
      <w:r>
        <w:rPr>
          <w:spacing w:val="-4"/>
          <w:sz w:val="24"/>
        </w:rPr>
        <w:t xml:space="preserve"> </w:t>
      </w:r>
      <w:r>
        <w:rPr>
          <w:sz w:val="24"/>
        </w:rPr>
        <w:t>decreased</w:t>
      </w:r>
      <w:r>
        <w:rPr>
          <w:spacing w:val="-5"/>
          <w:sz w:val="24"/>
        </w:rPr>
        <w:t xml:space="preserve"> </w:t>
      </w:r>
      <w:r>
        <w:rPr>
          <w:sz w:val="24"/>
        </w:rPr>
        <w:t>by</w:t>
      </w:r>
      <w:r>
        <w:rPr>
          <w:spacing w:val="-4"/>
          <w:sz w:val="24"/>
        </w:rPr>
        <w:t xml:space="preserve"> </w:t>
      </w:r>
      <w:r>
        <w:rPr>
          <w:sz w:val="24"/>
        </w:rPr>
        <w:t>$892.32</w:t>
      </w:r>
      <w:r>
        <w:rPr>
          <w:spacing w:val="-4"/>
          <w:sz w:val="24"/>
        </w:rPr>
        <w:t xml:space="preserve"> </w:t>
      </w:r>
      <w:r>
        <w:rPr>
          <w:sz w:val="24"/>
        </w:rPr>
        <w:t>[from</w:t>
      </w:r>
      <w:r>
        <w:rPr>
          <w:spacing w:val="-4"/>
          <w:sz w:val="24"/>
        </w:rPr>
        <w:t xml:space="preserve"> </w:t>
      </w:r>
      <w:r>
        <w:rPr>
          <w:sz w:val="24"/>
        </w:rPr>
        <w:t>$1,561.56</w:t>
      </w:r>
      <w:r>
        <w:rPr>
          <w:spacing w:val="-4"/>
          <w:sz w:val="24"/>
        </w:rPr>
        <w:t xml:space="preserve"> </w:t>
      </w:r>
      <w:r>
        <w:rPr>
          <w:sz w:val="24"/>
        </w:rPr>
        <w:t xml:space="preserve">to </w:t>
      </w:r>
      <w:r>
        <w:rPr>
          <w:spacing w:val="-2"/>
          <w:sz w:val="24"/>
        </w:rPr>
        <w:t>669.24]);</w:t>
      </w:r>
    </w:p>
    <w:p w:rsidR="00B41E06" w14:paraId="7138DCF2" w14:textId="77777777">
      <w:pPr>
        <w:pStyle w:val="ListParagraph"/>
        <w:numPr>
          <w:ilvl w:val="0"/>
          <w:numId w:val="1"/>
        </w:numPr>
        <w:tabs>
          <w:tab w:val="left" w:pos="991"/>
        </w:tabs>
        <w:spacing w:before="118"/>
        <w:rPr>
          <w:sz w:val="24"/>
        </w:rPr>
      </w:pPr>
      <w:r>
        <w:rPr>
          <w:sz w:val="24"/>
        </w:rPr>
        <w:t>Patient</w:t>
      </w:r>
      <w:r>
        <w:rPr>
          <w:spacing w:val="-2"/>
          <w:sz w:val="24"/>
        </w:rPr>
        <w:t xml:space="preserve"> </w:t>
      </w:r>
      <w:r>
        <w:rPr>
          <w:sz w:val="24"/>
        </w:rPr>
        <w:t>safety</w:t>
      </w:r>
      <w:r>
        <w:rPr>
          <w:spacing w:val="-1"/>
          <w:sz w:val="24"/>
        </w:rPr>
        <w:t xml:space="preserve"> </w:t>
      </w:r>
      <w:r>
        <w:rPr>
          <w:sz w:val="24"/>
        </w:rPr>
        <w:t>data collection</w:t>
      </w:r>
      <w:r>
        <w:rPr>
          <w:spacing w:val="-1"/>
          <w:sz w:val="24"/>
        </w:rPr>
        <w:t xml:space="preserve"> </w:t>
      </w:r>
      <w:r>
        <w:rPr>
          <w:sz w:val="24"/>
        </w:rPr>
        <w:t>and</w:t>
      </w:r>
      <w:r>
        <w:rPr>
          <w:spacing w:val="-1"/>
          <w:sz w:val="24"/>
        </w:rPr>
        <w:t xml:space="preserve"> </w:t>
      </w:r>
      <w:r>
        <w:rPr>
          <w:sz w:val="24"/>
        </w:rPr>
        <w:t>reporting</w:t>
      </w:r>
      <w:r>
        <w:rPr>
          <w:spacing w:val="-2"/>
          <w:sz w:val="24"/>
        </w:rPr>
        <w:t xml:space="preserve"> </w:t>
      </w:r>
      <w:r>
        <w:rPr>
          <w:sz w:val="24"/>
        </w:rPr>
        <w:t>increased</w:t>
      </w:r>
      <w:r>
        <w:rPr>
          <w:spacing w:val="-2"/>
          <w:sz w:val="24"/>
        </w:rPr>
        <w:t xml:space="preserve"> </w:t>
      </w:r>
      <w:r>
        <w:rPr>
          <w:sz w:val="24"/>
        </w:rPr>
        <w:t>in</w:t>
      </w:r>
      <w:r>
        <w:rPr>
          <w:spacing w:val="-1"/>
          <w:sz w:val="24"/>
        </w:rPr>
        <w:t xml:space="preserve"> </w:t>
      </w:r>
      <w:r>
        <w:rPr>
          <w:sz w:val="24"/>
        </w:rPr>
        <w:t>cost</w:t>
      </w:r>
      <w:r>
        <w:rPr>
          <w:spacing w:val="-1"/>
          <w:sz w:val="24"/>
        </w:rPr>
        <w:t xml:space="preserve"> </w:t>
      </w:r>
      <w:r>
        <w:rPr>
          <w:sz w:val="24"/>
        </w:rPr>
        <w:t>burden</w:t>
      </w:r>
      <w:r>
        <w:rPr>
          <w:spacing w:val="-1"/>
          <w:sz w:val="24"/>
        </w:rPr>
        <w:t xml:space="preserve"> </w:t>
      </w:r>
      <w:r>
        <w:rPr>
          <w:sz w:val="24"/>
        </w:rPr>
        <w:t>by</w:t>
      </w:r>
      <w:r>
        <w:rPr>
          <w:spacing w:val="-1"/>
          <w:sz w:val="24"/>
        </w:rPr>
        <w:t xml:space="preserve"> </w:t>
      </w:r>
      <w:r>
        <w:rPr>
          <w:sz w:val="24"/>
        </w:rPr>
        <w:t>$21,884.40</w:t>
      </w:r>
      <w:r>
        <w:rPr>
          <w:spacing w:val="-1"/>
          <w:sz w:val="24"/>
        </w:rPr>
        <w:t xml:space="preserve"> </w:t>
      </w:r>
      <w:r>
        <w:rPr>
          <w:spacing w:val="-2"/>
          <w:sz w:val="24"/>
        </w:rPr>
        <w:t>[from</w:t>
      </w:r>
    </w:p>
    <w:p w:rsidR="00B41E06" w14:paraId="2D811AEA" w14:textId="77777777">
      <w:pPr>
        <w:pStyle w:val="BodyText"/>
        <w:spacing w:before="2"/>
        <w:ind w:left="991"/>
      </w:pPr>
      <w:r>
        <w:t xml:space="preserve">$82,179 to </w:t>
      </w:r>
      <w:r>
        <w:rPr>
          <w:spacing w:val="-2"/>
        </w:rPr>
        <w:t>$104,063.40].</w:t>
      </w:r>
    </w:p>
    <w:p w:rsidR="00B41E06" w14:paraId="4CF2452B" w14:textId="77777777">
      <w:pPr>
        <w:pStyle w:val="Heading1"/>
        <w:numPr>
          <w:ilvl w:val="0"/>
          <w:numId w:val="5"/>
        </w:numPr>
        <w:tabs>
          <w:tab w:val="left" w:pos="907"/>
        </w:tabs>
      </w:pPr>
      <w:bookmarkStart w:id="30" w:name="16._Publication/Tabulation_Dates"/>
      <w:bookmarkEnd w:id="30"/>
      <w:r>
        <w:t>Publication/Tabulation</w:t>
      </w:r>
      <w:r>
        <w:rPr>
          <w:spacing w:val="-6"/>
        </w:rPr>
        <w:t xml:space="preserve"> </w:t>
      </w:r>
      <w:r>
        <w:rPr>
          <w:spacing w:val="-4"/>
        </w:rPr>
        <w:t>Dates</w:t>
      </w:r>
    </w:p>
    <w:p w:rsidR="00B41E06" w14:paraId="05546B60" w14:textId="77777777">
      <w:pPr>
        <w:pStyle w:val="BodyText"/>
        <w:ind w:left="359" w:right="365"/>
      </w:pPr>
      <w:r>
        <w:t>Using the data collected for the QRS, HHS intends to calculate ratings associated with the QRS according to a standard rating methodology. CMS displayed quality rating information during a QRS pilot test on HealthCare.gov for select states during the 2017, 2018, and 2019 plan years. Since the 2020 plan year, CMS has displayed the QHP quality rating information for all Exchanges</w:t>
      </w:r>
      <w:r>
        <w:rPr>
          <w:spacing w:val="-2"/>
        </w:rPr>
        <w:t xml:space="preserve"> </w:t>
      </w:r>
      <w:r>
        <w:t>that</w:t>
      </w:r>
      <w:r>
        <w:rPr>
          <w:spacing w:val="-2"/>
        </w:rPr>
        <w:t xml:space="preserve"> </w:t>
      </w:r>
      <w:r>
        <w:t>used</w:t>
      </w:r>
      <w:r>
        <w:rPr>
          <w:spacing w:val="-2"/>
        </w:rPr>
        <w:t xml:space="preserve"> </w:t>
      </w:r>
      <w:r>
        <w:t>the</w:t>
      </w:r>
      <w:r>
        <w:rPr>
          <w:spacing w:val="-1"/>
        </w:rPr>
        <w:t xml:space="preserve"> </w:t>
      </w:r>
      <w:r>
        <w:t>HealthCare.gov</w:t>
      </w:r>
      <w:r>
        <w:rPr>
          <w:spacing w:val="-2"/>
        </w:rPr>
        <w:t xml:space="preserve"> </w:t>
      </w:r>
      <w:r>
        <w:t>platform beginning</w:t>
      </w:r>
      <w:r>
        <w:rPr>
          <w:spacing w:val="-2"/>
        </w:rPr>
        <w:t xml:space="preserve"> </w:t>
      </w:r>
      <w:r>
        <w:t>with</w:t>
      </w:r>
      <w:r>
        <w:rPr>
          <w:spacing w:val="-2"/>
        </w:rPr>
        <w:t xml:space="preserve"> </w:t>
      </w:r>
      <w:r>
        <w:t>annual</w:t>
      </w:r>
      <w:r>
        <w:rPr>
          <w:spacing w:val="-2"/>
        </w:rPr>
        <w:t xml:space="preserve"> </w:t>
      </w:r>
      <w:r>
        <w:t>individual</w:t>
      </w:r>
      <w:r>
        <w:rPr>
          <w:spacing w:val="-2"/>
        </w:rPr>
        <w:t xml:space="preserve"> </w:t>
      </w:r>
      <w:r>
        <w:t>market</w:t>
      </w:r>
      <w:r>
        <w:rPr>
          <w:spacing w:val="-2"/>
        </w:rPr>
        <w:t xml:space="preserve"> </w:t>
      </w:r>
      <w:r>
        <w:t>open enrollment period. Beginning with the 2020 plan year, SBEs whose consumers do not use HealthCare.gov are also required to display QHP quality ratings on their respective websites beginning with the annual individual market open enrollment period. SBEs must display information in the form and manner specified by CMS or with limited state-specific customizations. Additionally, web-brokers that use direct enrollment to facilitate enrollments through</w:t>
      </w:r>
      <w:r>
        <w:rPr>
          <w:spacing w:val="-3"/>
        </w:rPr>
        <w:t xml:space="preserve"> </w:t>
      </w:r>
      <w:r>
        <w:t>the</w:t>
      </w:r>
      <w:r>
        <w:rPr>
          <w:spacing w:val="-4"/>
        </w:rPr>
        <w:t xml:space="preserve"> </w:t>
      </w:r>
      <w:r>
        <w:t>FFEs,</w:t>
      </w:r>
      <w:r>
        <w:rPr>
          <w:spacing w:val="-3"/>
        </w:rPr>
        <w:t xml:space="preserve"> </w:t>
      </w:r>
      <w:r>
        <w:t>SBE-FPs,</w:t>
      </w:r>
      <w:r>
        <w:rPr>
          <w:spacing w:val="-3"/>
        </w:rPr>
        <w:t xml:space="preserve"> </w:t>
      </w:r>
      <w:r>
        <w:t>and</w:t>
      </w:r>
      <w:r>
        <w:rPr>
          <w:spacing w:val="-3"/>
        </w:rPr>
        <w:t xml:space="preserve"> </w:t>
      </w:r>
      <w:r>
        <w:t>SBEs</w:t>
      </w:r>
      <w:r>
        <w:rPr>
          <w:spacing w:val="-3"/>
        </w:rPr>
        <w:t xml:space="preserve"> </w:t>
      </w:r>
      <w:r>
        <w:t>are</w:t>
      </w:r>
      <w:r>
        <w:rPr>
          <w:spacing w:val="-4"/>
        </w:rPr>
        <w:t xml:space="preserve"> </w:t>
      </w:r>
      <w:r>
        <w:t>directed</w:t>
      </w:r>
      <w:r>
        <w:rPr>
          <w:spacing w:val="-3"/>
        </w:rPr>
        <w:t xml:space="preserve"> </w:t>
      </w:r>
      <w:r>
        <w:t>to</w:t>
      </w:r>
      <w:r>
        <w:rPr>
          <w:spacing w:val="-3"/>
        </w:rPr>
        <w:t xml:space="preserve"> </w:t>
      </w:r>
      <w:r>
        <w:t>display</w:t>
      </w:r>
      <w:r>
        <w:rPr>
          <w:spacing w:val="-3"/>
        </w:rPr>
        <w:t xml:space="preserve"> </w:t>
      </w:r>
      <w:r>
        <w:t>QHP</w:t>
      </w:r>
      <w:r>
        <w:rPr>
          <w:spacing w:val="-3"/>
        </w:rPr>
        <w:t xml:space="preserve"> </w:t>
      </w:r>
      <w:r>
        <w:t>quality</w:t>
      </w:r>
      <w:r>
        <w:rPr>
          <w:spacing w:val="-3"/>
        </w:rPr>
        <w:t xml:space="preserve"> </w:t>
      </w:r>
      <w:r>
        <w:t>rating</w:t>
      </w:r>
      <w:r>
        <w:rPr>
          <w:spacing w:val="-3"/>
        </w:rPr>
        <w:t xml:space="preserve"> </w:t>
      </w:r>
      <w:r>
        <w:t>information</w:t>
      </w:r>
      <w:r>
        <w:rPr>
          <w:spacing w:val="-3"/>
        </w:rPr>
        <w:t xml:space="preserve"> </w:t>
      </w:r>
      <w:r>
        <w:t>on their respective websites.</w:t>
      </w:r>
    </w:p>
    <w:p w:rsidR="00B41E06" w14:paraId="12A7F2CE" w14:textId="77777777">
      <w:pPr>
        <w:pStyle w:val="BodyText"/>
        <w:spacing w:before="118"/>
        <w:ind w:left="359" w:right="419"/>
      </w:pPr>
      <w:r>
        <w:t>The publication activities for the QHP Enrollee Survey are already addressed in the Supporting Statement</w:t>
      </w:r>
      <w:r>
        <w:rPr>
          <w:spacing w:val="-3"/>
        </w:rPr>
        <w:t xml:space="preserve"> </w:t>
      </w:r>
      <w:r>
        <w:t>associated</w:t>
      </w:r>
      <w:r>
        <w:rPr>
          <w:spacing w:val="-4"/>
        </w:rPr>
        <w:t xml:space="preserve"> </w:t>
      </w:r>
      <w:r>
        <w:t>with</w:t>
      </w:r>
      <w:r>
        <w:rPr>
          <w:spacing w:val="-3"/>
        </w:rPr>
        <w:t xml:space="preserve"> </w:t>
      </w:r>
      <w:r>
        <w:t>OMB</w:t>
      </w:r>
      <w:r>
        <w:rPr>
          <w:spacing w:val="-3"/>
        </w:rPr>
        <w:t xml:space="preserve"> </w:t>
      </w:r>
      <w:r>
        <w:t>Control</w:t>
      </w:r>
      <w:r>
        <w:rPr>
          <w:spacing w:val="-3"/>
        </w:rPr>
        <w:t xml:space="preserve"> </w:t>
      </w:r>
      <w:r>
        <w:t>No.</w:t>
      </w:r>
      <w:r>
        <w:rPr>
          <w:spacing w:val="-3"/>
        </w:rPr>
        <w:t xml:space="preserve"> </w:t>
      </w:r>
      <w:r>
        <w:t>#0938-1221.</w:t>
      </w:r>
      <w:r>
        <w:rPr>
          <w:spacing w:val="-3"/>
        </w:rPr>
        <w:t xml:space="preserve"> </w:t>
      </w:r>
      <w:r>
        <w:t>We</w:t>
      </w:r>
      <w:r>
        <w:rPr>
          <w:spacing w:val="-4"/>
        </w:rPr>
        <w:t xml:space="preserve"> </w:t>
      </w:r>
      <w:r>
        <w:t>do</w:t>
      </w:r>
      <w:r>
        <w:rPr>
          <w:spacing w:val="-3"/>
        </w:rPr>
        <w:t xml:space="preserve"> </w:t>
      </w:r>
      <w:r>
        <w:t>not</w:t>
      </w:r>
      <w:r>
        <w:rPr>
          <w:spacing w:val="-3"/>
        </w:rPr>
        <w:t xml:space="preserve"> </w:t>
      </w:r>
      <w:r>
        <w:t>intend</w:t>
      </w:r>
      <w:r>
        <w:rPr>
          <w:spacing w:val="-3"/>
        </w:rPr>
        <w:t xml:space="preserve"> </w:t>
      </w:r>
      <w:r>
        <w:t>to</w:t>
      </w:r>
      <w:r>
        <w:rPr>
          <w:spacing w:val="-3"/>
        </w:rPr>
        <w:t xml:space="preserve"> </w:t>
      </w:r>
      <w:r>
        <w:t>publish</w:t>
      </w:r>
      <w:r>
        <w:rPr>
          <w:spacing w:val="-3"/>
        </w:rPr>
        <w:t xml:space="preserve"> </w:t>
      </w:r>
      <w:r>
        <w:t>any</w:t>
      </w:r>
      <w:r>
        <w:rPr>
          <w:spacing w:val="-3"/>
        </w:rPr>
        <w:t xml:space="preserve"> </w:t>
      </w:r>
      <w:r>
        <w:t>data associated with the monitoring and appeals process for survey vendors and for QHP patient safety reporting standards.</w:t>
      </w:r>
    </w:p>
    <w:p w:rsidR="00B41E06" w14:paraId="501A93C3" w14:textId="77777777">
      <w:pPr>
        <w:pStyle w:val="Heading1"/>
        <w:numPr>
          <w:ilvl w:val="0"/>
          <w:numId w:val="5"/>
        </w:numPr>
        <w:tabs>
          <w:tab w:val="left" w:pos="907"/>
        </w:tabs>
      </w:pPr>
      <w:bookmarkStart w:id="31" w:name="17.__Certification_Statement"/>
      <w:bookmarkEnd w:id="31"/>
      <w:r>
        <w:t>Certification</w:t>
      </w:r>
      <w:r>
        <w:rPr>
          <w:spacing w:val="-13"/>
        </w:rPr>
        <w:t xml:space="preserve"> </w:t>
      </w:r>
      <w:r>
        <w:rPr>
          <w:spacing w:val="-2"/>
        </w:rPr>
        <w:t>Statement</w:t>
      </w:r>
    </w:p>
    <w:p w:rsidR="00B41E06" w14:paraId="26A39242" w14:textId="77777777">
      <w:pPr>
        <w:pStyle w:val="BodyText"/>
        <w:ind w:left="359"/>
      </w:pPr>
      <w:r>
        <w:t>There</w:t>
      </w:r>
      <w:r>
        <w:rPr>
          <w:spacing w:val="-11"/>
        </w:rPr>
        <w:t xml:space="preserve"> </w:t>
      </w:r>
      <w:r>
        <w:t>are</w:t>
      </w:r>
      <w:r>
        <w:rPr>
          <w:spacing w:val="-7"/>
        </w:rPr>
        <w:t xml:space="preserve"> </w:t>
      </w:r>
      <w:r>
        <w:t>no</w:t>
      </w:r>
      <w:r>
        <w:rPr>
          <w:spacing w:val="1"/>
        </w:rPr>
        <w:t xml:space="preserve"> </w:t>
      </w:r>
      <w:r>
        <w:t>exceptions</w:t>
      </w:r>
      <w:r>
        <w:rPr>
          <w:spacing w:val="-9"/>
        </w:rPr>
        <w:t xml:space="preserve"> </w:t>
      </w:r>
      <w:r>
        <w:t>to</w:t>
      </w:r>
      <w:r>
        <w:rPr>
          <w:spacing w:val="-1"/>
        </w:rPr>
        <w:t xml:space="preserve"> </w:t>
      </w:r>
      <w:r>
        <w:t>the</w:t>
      </w:r>
      <w:r>
        <w:rPr>
          <w:spacing w:val="-7"/>
        </w:rPr>
        <w:t xml:space="preserve"> </w:t>
      </w:r>
      <w:r>
        <w:rPr>
          <w:spacing w:val="-2"/>
        </w:rPr>
        <w:t>certification.</w:t>
      </w:r>
    </w:p>
    <w:sectPr>
      <w:pgSz w:w="12240" w:h="15840"/>
      <w:pgMar w:top="1360" w:right="1080" w:bottom="980" w:left="1080" w:header="0" w:footer="78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1E06" w14:paraId="684C1F48" w14:textId="77777777">
    <w:pPr>
      <w:pStyle w:val="BodyText"/>
      <w:spacing w:before="0"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3797300</wp:posOffset>
              </wp:positionH>
              <wp:positionV relativeFrom="page">
                <wp:posOffset>9419166</wp:posOffset>
              </wp:positionV>
              <wp:extent cx="177800" cy="19431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94310"/>
                      </a:xfrm>
                      <a:prstGeom prst="rect">
                        <a:avLst/>
                      </a:prstGeom>
                    </wps:spPr>
                    <wps:txbx>
                      <w:txbxContent>
                        <w:p w:rsidR="00B41E06"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49" type="#_x0000_t202" style="width:14pt;height:15.3pt;margin-top:741.65pt;margin-left:29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41E06" w14:paraId="17762F50"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5F96"/>
    <w:multiLevelType w:val="hybridMultilevel"/>
    <w:tmpl w:val="81C605CC"/>
    <w:lvl w:ilvl="0">
      <w:start w:val="1"/>
      <w:numFmt w:val="decimal"/>
      <w:lvlText w:val="%1."/>
      <w:lvlJc w:val="left"/>
      <w:pPr>
        <w:ind w:left="907" w:hanging="548"/>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080" w:hanging="360"/>
      </w:pPr>
      <w:rPr>
        <w:rFonts w:hint="default"/>
        <w:lang w:val="en-US" w:eastAsia="en-US" w:bidi="ar-SA"/>
      </w:rPr>
    </w:lvl>
    <w:lvl w:ilvl="3">
      <w:start w:val="0"/>
      <w:numFmt w:val="bullet"/>
      <w:lvlText w:val="•"/>
      <w:lvlJc w:val="left"/>
      <w:pPr>
        <w:ind w:left="2205" w:hanging="360"/>
      </w:pPr>
      <w:rPr>
        <w:rFonts w:hint="default"/>
        <w:lang w:val="en-US" w:eastAsia="en-US" w:bidi="ar-SA"/>
      </w:rPr>
    </w:lvl>
    <w:lvl w:ilvl="4">
      <w:start w:val="0"/>
      <w:numFmt w:val="bullet"/>
      <w:lvlText w:val="•"/>
      <w:lvlJc w:val="left"/>
      <w:pPr>
        <w:ind w:left="3330" w:hanging="360"/>
      </w:pPr>
      <w:rPr>
        <w:rFonts w:hint="default"/>
        <w:lang w:val="en-US" w:eastAsia="en-US" w:bidi="ar-SA"/>
      </w:rPr>
    </w:lvl>
    <w:lvl w:ilvl="5">
      <w:start w:val="0"/>
      <w:numFmt w:val="bullet"/>
      <w:lvlText w:val="•"/>
      <w:lvlJc w:val="left"/>
      <w:pPr>
        <w:ind w:left="445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705" w:hanging="360"/>
      </w:pPr>
      <w:rPr>
        <w:rFonts w:hint="default"/>
        <w:lang w:val="en-US" w:eastAsia="en-US" w:bidi="ar-SA"/>
      </w:rPr>
    </w:lvl>
    <w:lvl w:ilvl="8">
      <w:start w:val="0"/>
      <w:numFmt w:val="bullet"/>
      <w:lvlText w:val="•"/>
      <w:lvlJc w:val="left"/>
      <w:pPr>
        <w:ind w:left="7830" w:hanging="360"/>
      </w:pPr>
      <w:rPr>
        <w:rFonts w:hint="default"/>
        <w:lang w:val="en-US" w:eastAsia="en-US" w:bidi="ar-SA"/>
      </w:rPr>
    </w:lvl>
  </w:abstractNum>
  <w:abstractNum w:abstractNumId="1">
    <w:nsid w:val="060402BD"/>
    <w:multiLevelType w:val="hybridMultilevel"/>
    <w:tmpl w:val="59BC0B36"/>
    <w:lvl w:ilvl="0">
      <w:start w:val="1"/>
      <w:numFmt w:val="upperLetter"/>
      <w:lvlText w:val="%1."/>
      <w:lvlJc w:val="left"/>
      <w:pPr>
        <w:ind w:left="907" w:hanging="547"/>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upperRoman"/>
      <w:lvlText w:val="%2."/>
      <w:lvlJc w:val="left"/>
      <w:pPr>
        <w:ind w:left="1180" w:hanging="42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2168" w:hanging="420"/>
      </w:pPr>
      <w:rPr>
        <w:rFonts w:hint="default"/>
        <w:lang w:val="en-US" w:eastAsia="en-US" w:bidi="ar-SA"/>
      </w:rPr>
    </w:lvl>
    <w:lvl w:ilvl="3">
      <w:start w:val="0"/>
      <w:numFmt w:val="bullet"/>
      <w:lvlText w:val="•"/>
      <w:lvlJc w:val="left"/>
      <w:pPr>
        <w:ind w:left="3157" w:hanging="420"/>
      </w:pPr>
      <w:rPr>
        <w:rFonts w:hint="default"/>
        <w:lang w:val="en-US" w:eastAsia="en-US" w:bidi="ar-SA"/>
      </w:rPr>
    </w:lvl>
    <w:lvl w:ilvl="4">
      <w:start w:val="0"/>
      <w:numFmt w:val="bullet"/>
      <w:lvlText w:val="•"/>
      <w:lvlJc w:val="left"/>
      <w:pPr>
        <w:ind w:left="4146" w:hanging="420"/>
      </w:pPr>
      <w:rPr>
        <w:rFonts w:hint="default"/>
        <w:lang w:val="en-US" w:eastAsia="en-US" w:bidi="ar-SA"/>
      </w:rPr>
    </w:lvl>
    <w:lvl w:ilvl="5">
      <w:start w:val="0"/>
      <w:numFmt w:val="bullet"/>
      <w:lvlText w:val="•"/>
      <w:lvlJc w:val="left"/>
      <w:pPr>
        <w:ind w:left="5135" w:hanging="420"/>
      </w:pPr>
      <w:rPr>
        <w:rFonts w:hint="default"/>
        <w:lang w:val="en-US" w:eastAsia="en-US" w:bidi="ar-SA"/>
      </w:rPr>
    </w:lvl>
    <w:lvl w:ilvl="6">
      <w:start w:val="0"/>
      <w:numFmt w:val="bullet"/>
      <w:lvlText w:val="•"/>
      <w:lvlJc w:val="left"/>
      <w:pPr>
        <w:ind w:left="6124" w:hanging="420"/>
      </w:pPr>
      <w:rPr>
        <w:rFonts w:hint="default"/>
        <w:lang w:val="en-US" w:eastAsia="en-US" w:bidi="ar-SA"/>
      </w:rPr>
    </w:lvl>
    <w:lvl w:ilvl="7">
      <w:start w:val="0"/>
      <w:numFmt w:val="bullet"/>
      <w:lvlText w:val="•"/>
      <w:lvlJc w:val="left"/>
      <w:pPr>
        <w:ind w:left="7113" w:hanging="420"/>
      </w:pPr>
      <w:rPr>
        <w:rFonts w:hint="default"/>
        <w:lang w:val="en-US" w:eastAsia="en-US" w:bidi="ar-SA"/>
      </w:rPr>
    </w:lvl>
    <w:lvl w:ilvl="8">
      <w:start w:val="0"/>
      <w:numFmt w:val="bullet"/>
      <w:lvlText w:val="•"/>
      <w:lvlJc w:val="left"/>
      <w:pPr>
        <w:ind w:left="8102" w:hanging="420"/>
      </w:pPr>
      <w:rPr>
        <w:rFonts w:hint="default"/>
        <w:lang w:val="en-US" w:eastAsia="en-US" w:bidi="ar-SA"/>
      </w:rPr>
    </w:lvl>
  </w:abstractNum>
  <w:abstractNum w:abstractNumId="2">
    <w:nsid w:val="1E4752FD"/>
    <w:multiLevelType w:val="hybridMultilevel"/>
    <w:tmpl w:val="FC00307A"/>
    <w:lvl w:ilvl="0">
      <w:start w:val="0"/>
      <w:numFmt w:val="bullet"/>
      <w:lvlText w:val=""/>
      <w:lvlJc w:val="left"/>
      <w:pPr>
        <w:ind w:left="991"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816"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632"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356" w:hanging="360"/>
      </w:pPr>
      <w:rPr>
        <w:rFonts w:hint="default"/>
        <w:lang w:val="en-US" w:eastAsia="en-US" w:bidi="ar-SA"/>
      </w:rPr>
    </w:lvl>
    <w:lvl w:ilvl="8">
      <w:start w:val="0"/>
      <w:numFmt w:val="bullet"/>
      <w:lvlText w:val="•"/>
      <w:lvlJc w:val="left"/>
      <w:pPr>
        <w:ind w:left="8264" w:hanging="360"/>
      </w:pPr>
      <w:rPr>
        <w:rFonts w:hint="default"/>
        <w:lang w:val="en-US" w:eastAsia="en-US" w:bidi="ar-SA"/>
      </w:rPr>
    </w:lvl>
  </w:abstractNum>
  <w:abstractNum w:abstractNumId="3">
    <w:nsid w:val="2F4B1649"/>
    <w:multiLevelType w:val="hybridMultilevel"/>
    <w:tmpl w:val="373EB306"/>
    <w:lvl w:ilvl="0">
      <w:start w:val="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4">
    <w:nsid w:val="3F0A2B42"/>
    <w:multiLevelType w:val="hybridMultilevel"/>
    <w:tmpl w:val="931AB992"/>
    <w:lvl w:ilvl="0">
      <w:start w:val="1"/>
      <w:numFmt w:val="upperRoman"/>
      <w:lvlText w:val="%1."/>
      <w:lvlJc w:val="left"/>
      <w:pPr>
        <w:ind w:left="1440" w:hanging="500"/>
        <w:jc w:val="right"/>
      </w:pPr>
      <w:rPr>
        <w:rFonts w:ascii="Times New Roman" w:eastAsia="Times New Roman" w:hAnsi="Times New Roman" w:cs="Times New Roman" w:hint="default"/>
        <w:b w:val="0"/>
        <w:bCs w:val="0"/>
        <w:i/>
        <w:iCs/>
        <w:spacing w:val="-1"/>
        <w:w w:val="100"/>
        <w:sz w:val="24"/>
        <w:szCs w:val="24"/>
        <w:lang w:val="en-US" w:eastAsia="en-US" w:bidi="ar-SA"/>
      </w:rPr>
    </w:lvl>
    <w:lvl w:ilvl="1">
      <w:start w:val="0"/>
      <w:numFmt w:val="bullet"/>
      <w:lvlText w:val="•"/>
      <w:lvlJc w:val="left"/>
      <w:pPr>
        <w:ind w:left="2304" w:hanging="500"/>
      </w:pPr>
      <w:rPr>
        <w:rFonts w:hint="default"/>
        <w:lang w:val="en-US" w:eastAsia="en-US" w:bidi="ar-SA"/>
      </w:rPr>
    </w:lvl>
    <w:lvl w:ilvl="2">
      <w:start w:val="0"/>
      <w:numFmt w:val="bullet"/>
      <w:lvlText w:val="•"/>
      <w:lvlJc w:val="left"/>
      <w:pPr>
        <w:ind w:left="3168" w:hanging="500"/>
      </w:pPr>
      <w:rPr>
        <w:rFonts w:hint="default"/>
        <w:lang w:val="en-US" w:eastAsia="en-US" w:bidi="ar-SA"/>
      </w:rPr>
    </w:lvl>
    <w:lvl w:ilvl="3">
      <w:start w:val="0"/>
      <w:numFmt w:val="bullet"/>
      <w:lvlText w:val="•"/>
      <w:lvlJc w:val="left"/>
      <w:pPr>
        <w:ind w:left="4032" w:hanging="500"/>
      </w:pPr>
      <w:rPr>
        <w:rFonts w:hint="default"/>
        <w:lang w:val="en-US" w:eastAsia="en-US" w:bidi="ar-SA"/>
      </w:rPr>
    </w:lvl>
    <w:lvl w:ilvl="4">
      <w:start w:val="0"/>
      <w:numFmt w:val="bullet"/>
      <w:lvlText w:val="•"/>
      <w:lvlJc w:val="left"/>
      <w:pPr>
        <w:ind w:left="4896" w:hanging="500"/>
      </w:pPr>
      <w:rPr>
        <w:rFonts w:hint="default"/>
        <w:lang w:val="en-US" w:eastAsia="en-US" w:bidi="ar-SA"/>
      </w:rPr>
    </w:lvl>
    <w:lvl w:ilvl="5">
      <w:start w:val="0"/>
      <w:numFmt w:val="bullet"/>
      <w:lvlText w:val="•"/>
      <w:lvlJc w:val="left"/>
      <w:pPr>
        <w:ind w:left="5760" w:hanging="500"/>
      </w:pPr>
      <w:rPr>
        <w:rFonts w:hint="default"/>
        <w:lang w:val="en-US" w:eastAsia="en-US" w:bidi="ar-SA"/>
      </w:rPr>
    </w:lvl>
    <w:lvl w:ilvl="6">
      <w:start w:val="0"/>
      <w:numFmt w:val="bullet"/>
      <w:lvlText w:val="•"/>
      <w:lvlJc w:val="left"/>
      <w:pPr>
        <w:ind w:left="6624" w:hanging="500"/>
      </w:pPr>
      <w:rPr>
        <w:rFonts w:hint="default"/>
        <w:lang w:val="en-US" w:eastAsia="en-US" w:bidi="ar-SA"/>
      </w:rPr>
    </w:lvl>
    <w:lvl w:ilvl="7">
      <w:start w:val="0"/>
      <w:numFmt w:val="bullet"/>
      <w:lvlText w:val="•"/>
      <w:lvlJc w:val="left"/>
      <w:pPr>
        <w:ind w:left="7488" w:hanging="500"/>
      </w:pPr>
      <w:rPr>
        <w:rFonts w:hint="default"/>
        <w:lang w:val="en-US" w:eastAsia="en-US" w:bidi="ar-SA"/>
      </w:rPr>
    </w:lvl>
    <w:lvl w:ilvl="8">
      <w:start w:val="0"/>
      <w:numFmt w:val="bullet"/>
      <w:lvlText w:val="•"/>
      <w:lvlJc w:val="left"/>
      <w:pPr>
        <w:ind w:left="8352" w:hanging="500"/>
      </w:pPr>
      <w:rPr>
        <w:rFonts w:hint="default"/>
        <w:lang w:val="en-US" w:eastAsia="en-US" w:bidi="ar-SA"/>
      </w:rPr>
    </w:lvl>
  </w:abstractNum>
  <w:abstractNum w:abstractNumId="5">
    <w:nsid w:val="533434CD"/>
    <w:multiLevelType w:val="hybridMultilevel"/>
    <w:tmpl w:val="B718B7F8"/>
    <w:lvl w:ilvl="0">
      <w:start w:val="1"/>
      <w:numFmt w:val="upperRoman"/>
      <w:lvlText w:val="%1."/>
      <w:lvlJc w:val="left"/>
      <w:pPr>
        <w:ind w:left="1440" w:hanging="500"/>
        <w:jc w:val="right"/>
      </w:pPr>
      <w:rPr>
        <w:rFonts w:ascii="Times New Roman" w:eastAsia="Times New Roman" w:hAnsi="Times New Roman" w:cs="Times New Roman" w:hint="default"/>
        <w:b w:val="0"/>
        <w:bCs w:val="0"/>
        <w:i/>
        <w:iCs/>
        <w:spacing w:val="-1"/>
        <w:w w:val="100"/>
        <w:sz w:val="24"/>
        <w:szCs w:val="24"/>
        <w:lang w:val="en-US" w:eastAsia="en-US" w:bidi="ar-SA"/>
      </w:rPr>
    </w:lvl>
    <w:lvl w:ilvl="1">
      <w:start w:val="0"/>
      <w:numFmt w:val="bullet"/>
      <w:lvlText w:val="•"/>
      <w:lvlJc w:val="left"/>
      <w:pPr>
        <w:ind w:left="2304" w:hanging="500"/>
      </w:pPr>
      <w:rPr>
        <w:rFonts w:hint="default"/>
        <w:lang w:val="en-US" w:eastAsia="en-US" w:bidi="ar-SA"/>
      </w:rPr>
    </w:lvl>
    <w:lvl w:ilvl="2">
      <w:start w:val="0"/>
      <w:numFmt w:val="bullet"/>
      <w:lvlText w:val="•"/>
      <w:lvlJc w:val="left"/>
      <w:pPr>
        <w:ind w:left="3168" w:hanging="500"/>
      </w:pPr>
      <w:rPr>
        <w:rFonts w:hint="default"/>
        <w:lang w:val="en-US" w:eastAsia="en-US" w:bidi="ar-SA"/>
      </w:rPr>
    </w:lvl>
    <w:lvl w:ilvl="3">
      <w:start w:val="0"/>
      <w:numFmt w:val="bullet"/>
      <w:lvlText w:val="•"/>
      <w:lvlJc w:val="left"/>
      <w:pPr>
        <w:ind w:left="4032" w:hanging="500"/>
      </w:pPr>
      <w:rPr>
        <w:rFonts w:hint="default"/>
        <w:lang w:val="en-US" w:eastAsia="en-US" w:bidi="ar-SA"/>
      </w:rPr>
    </w:lvl>
    <w:lvl w:ilvl="4">
      <w:start w:val="0"/>
      <w:numFmt w:val="bullet"/>
      <w:lvlText w:val="•"/>
      <w:lvlJc w:val="left"/>
      <w:pPr>
        <w:ind w:left="4896" w:hanging="500"/>
      </w:pPr>
      <w:rPr>
        <w:rFonts w:hint="default"/>
        <w:lang w:val="en-US" w:eastAsia="en-US" w:bidi="ar-SA"/>
      </w:rPr>
    </w:lvl>
    <w:lvl w:ilvl="5">
      <w:start w:val="0"/>
      <w:numFmt w:val="bullet"/>
      <w:lvlText w:val="•"/>
      <w:lvlJc w:val="left"/>
      <w:pPr>
        <w:ind w:left="5760" w:hanging="500"/>
      </w:pPr>
      <w:rPr>
        <w:rFonts w:hint="default"/>
        <w:lang w:val="en-US" w:eastAsia="en-US" w:bidi="ar-SA"/>
      </w:rPr>
    </w:lvl>
    <w:lvl w:ilvl="6">
      <w:start w:val="0"/>
      <w:numFmt w:val="bullet"/>
      <w:lvlText w:val="•"/>
      <w:lvlJc w:val="left"/>
      <w:pPr>
        <w:ind w:left="6624" w:hanging="500"/>
      </w:pPr>
      <w:rPr>
        <w:rFonts w:hint="default"/>
        <w:lang w:val="en-US" w:eastAsia="en-US" w:bidi="ar-SA"/>
      </w:rPr>
    </w:lvl>
    <w:lvl w:ilvl="7">
      <w:start w:val="0"/>
      <w:numFmt w:val="bullet"/>
      <w:lvlText w:val="•"/>
      <w:lvlJc w:val="left"/>
      <w:pPr>
        <w:ind w:left="7488" w:hanging="500"/>
      </w:pPr>
      <w:rPr>
        <w:rFonts w:hint="default"/>
        <w:lang w:val="en-US" w:eastAsia="en-US" w:bidi="ar-SA"/>
      </w:rPr>
    </w:lvl>
    <w:lvl w:ilvl="8">
      <w:start w:val="0"/>
      <w:numFmt w:val="bullet"/>
      <w:lvlText w:val="•"/>
      <w:lvlJc w:val="left"/>
      <w:pPr>
        <w:ind w:left="8352" w:hanging="500"/>
      </w:pPr>
      <w:rPr>
        <w:rFonts w:hint="default"/>
        <w:lang w:val="en-US" w:eastAsia="en-US" w:bidi="ar-SA"/>
      </w:rPr>
    </w:lvl>
  </w:abstractNum>
  <w:num w:numId="1" w16cid:durableId="955329513">
    <w:abstractNumId w:val="2"/>
  </w:num>
  <w:num w:numId="2" w16cid:durableId="562721649">
    <w:abstractNumId w:val="3"/>
  </w:num>
  <w:num w:numId="3" w16cid:durableId="1950887810">
    <w:abstractNumId w:val="4"/>
  </w:num>
  <w:num w:numId="4" w16cid:durableId="164788191">
    <w:abstractNumId w:val="5"/>
  </w:num>
  <w:num w:numId="5" w16cid:durableId="1007640070">
    <w:abstractNumId w:val="0"/>
  </w:num>
  <w:num w:numId="6" w16cid:durableId="41998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06"/>
    <w:rsid w:val="001E24DE"/>
    <w:rsid w:val="00925368"/>
    <w:rsid w:val="00B41E06"/>
    <w:rsid w:val="00DC0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81296C"/>
  <w15:docId w15:val="{47C87C63-0F90-49B0-AB82-803235A7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907" w:hanging="5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907" w:hanging="360"/>
    </w:p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gov/files/document/final-2023-call-letter-quality-rating-system-and-qualified-health-plan-enrollee-experience-survey.pdf" TargetMode="External" /><Relationship Id="rId11" Type="http://schemas.openxmlformats.org/officeDocument/2006/relationships/hyperlink" Target="https://www.cms.gov/files/document/final-2024-call-letter-june-2024.pdf" TargetMode="External" /><Relationship Id="rId12" Type="http://schemas.openxmlformats.org/officeDocument/2006/relationships/hyperlink" Target="http://www.cms.gov/files/document/final-2022-call-letter-qrs-qhp-enrollee-survey.pdf%3B" TargetMode="External" /><Relationship Id="rId13" Type="http://schemas.openxmlformats.org/officeDocument/2006/relationships/hyperlink" Target="http://www.cms.gov/files/document/final-2024-call-letter-" TargetMode="External" /><Relationship Id="rId14" Type="http://schemas.openxmlformats.org/officeDocument/2006/relationships/hyperlink" Target="https://www.bls.gov/oes/current/oes111021.htm" TargetMode="External" /><Relationship Id="rId15" Type="http://schemas.openxmlformats.org/officeDocument/2006/relationships/hyperlink" Target="https://www.bls.gov/oes/current/oes151251.htm" TargetMode="External" /><Relationship Id="rId16" Type="http://schemas.openxmlformats.org/officeDocument/2006/relationships/hyperlink" Target="https://www.bls.gov/oes/current/oes131199.htm" TargetMode="External" /><Relationship Id="rId17" Type="http://schemas.openxmlformats.org/officeDocument/2006/relationships/hyperlink" Target="https://www.bls.gov/oes/current/oes291141.htm" TargetMode="External" /><Relationship Id="rId18" Type="http://schemas.openxmlformats.org/officeDocument/2006/relationships/hyperlink" Target="https://www.bls.gov/oes/current/oes292072.htm" TargetMode="External" /><Relationship Id="rId19" Type="http://schemas.openxmlformats.org/officeDocument/2006/relationships/hyperlink" Target="http://www.bls.gov/oes/current/oes_stru.htm" TargetMode="External" /><Relationship Id="rId2" Type="http://schemas.openxmlformats.org/officeDocument/2006/relationships/webSettings" Target="webSettings.xml" /><Relationship Id="rId20" Type="http://schemas.openxmlformats.org/officeDocument/2006/relationships/hyperlink" Target="http://www.bls.gov/ncs/ect/data.htm" TargetMode="External" /><Relationship Id="rId21" Type="http://schemas.openxmlformats.org/officeDocument/2006/relationships/hyperlink" Target="https://www.opm.gov/policy-data-oversight/pay-leave/salaries-wages/salary-tables/24Tables/html/GS_h.aspx"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cms.gov/medicare/quality/meaningful-measures-initiative/cms-quality-strategy" TargetMode="External" /><Relationship Id="rId5" Type="http://schemas.openxmlformats.org/officeDocument/2006/relationships/hyperlink" Target="http://www.federalregister.gov/documents/2023/07/07/2023-14306/agency-information-collection-" TargetMode="External" /><Relationship Id="rId6" Type="http://schemas.openxmlformats.org/officeDocument/2006/relationships/footer" Target="footer1.xml" /><Relationship Id="rId7" Type="http://schemas.openxmlformats.org/officeDocument/2006/relationships/hyperlink" Target="https://www.federalregister.gov/articles/2013/11/19/2013-27649/patient-protection-and-affordable-care-act-exchanges-and-qualified-health-plans-quality-rating" TargetMode="External" /><Relationship Id="rId8" Type="http://schemas.openxmlformats.org/officeDocument/2006/relationships/hyperlink" Target="https://www.cms.gov/files/document/final-2021-call-letter-qrs-and-qhp-enrollee-survey.pdf" TargetMode="External" /><Relationship Id="rId9" Type="http://schemas.openxmlformats.org/officeDocument/2006/relationships/hyperlink" Target="https://www.cms.gov/files/document/final-2022-call-letter-qrs-qhp-enrollee-surve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5318</Words>
  <Characters>30317</Characters>
  <Application>Microsoft Office Word</Application>
  <DocSecurity>0</DocSecurity>
  <Lines>252</Lines>
  <Paragraphs>71</Paragraphs>
  <ScaleCrop>false</ScaleCrop>
  <Company>CMS</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Quality Standards</dc:title>
  <dc:subject>Quality Standards</dc:subject>
  <dc:creator>CMS`</dc:creator>
  <cp:keywords>Supporting Statement, Quality Standards</cp:keywords>
  <cp:lastModifiedBy>Hill, Jamaa (CMS/OSORA)</cp:lastModifiedBy>
  <cp:revision>2</cp:revision>
  <dcterms:created xsi:type="dcterms:W3CDTF">2025-08-13T17:23:00Z</dcterms:created>
  <dcterms:modified xsi:type="dcterms:W3CDTF">2025-08-13T17:26:00Z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0x0101004C74FD4051E750458ACCFF150892B161</vt:lpwstr>
  </property>
  <property fmtid="{D5CDD505-2E9C-101B-9397-08002B2CF9AE}" pid="3" name="Created">
    <vt:filetime>2025-07-05T00:00:00Z</vt:filetime>
  </property>
  <property fmtid="{D5CDD505-2E9C-101B-9397-08002B2CF9AE}" pid="4" name="Creator">
    <vt:lpwstr>Acrobat PDFMaker 25 for Word</vt:lpwstr>
  </property>
  <property fmtid="{D5CDD505-2E9C-101B-9397-08002B2CF9AE}" pid="5" name="LastSaved">
    <vt:filetime>2025-08-13T00:00:00Z</vt:filetime>
  </property>
  <property fmtid="{D5CDD505-2E9C-101B-9397-08002B2CF9AE}" pid="6" name="MediaServiceImageTags">
    <vt:lpwstr/>
  </property>
  <property fmtid="{D5CDD505-2E9C-101B-9397-08002B2CF9AE}" pid="7" name="Producer">
    <vt:lpwstr>Adobe PDF Library 25.1.41</vt:lpwstr>
  </property>
  <property fmtid="{D5CDD505-2E9C-101B-9397-08002B2CF9AE}" pid="8" name="SourceModified">
    <vt:lpwstr>D:20250705153854</vt:lpwstr>
  </property>
</Properties>
</file>