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27D6" w14:paraId="780F2679" w14:textId="77777777">
      <w:pPr>
        <w:spacing w:after="0" w:line="259" w:lineRule="auto"/>
        <w:jc w:val="center"/>
      </w:pPr>
      <w:r>
        <w:t xml:space="preserve">Supporting Statement A </w:t>
      </w:r>
    </w:p>
    <w:p w:rsidR="002127D6" w14:paraId="7843F58D" w14:textId="77777777">
      <w:pPr>
        <w:ind w:left="1035"/>
      </w:pPr>
      <w:r>
        <w:t xml:space="preserve">Medicare Part D Electronic Prescribing Tools (42 CFR 423.128(d)(4)-(5) and 423.160(b)(1)) </w:t>
      </w:r>
    </w:p>
    <w:p w:rsidR="002127D6" w14:paraId="62301D54" w14:textId="77777777">
      <w:pPr>
        <w:spacing w:after="0" w:line="259" w:lineRule="auto"/>
        <w:ind w:right="149"/>
        <w:jc w:val="center"/>
      </w:pPr>
      <w:r>
        <w:t xml:space="preserve">(CMS-10755, OMB 0938-1396) </w:t>
      </w:r>
    </w:p>
    <w:p w:rsidR="002127D6" w14:paraId="6AE20A23" w14:textId="77777777">
      <w:pPr>
        <w:spacing w:after="0" w:line="259" w:lineRule="auto"/>
        <w:ind w:left="0" w:firstLine="0"/>
      </w:pPr>
      <w:r>
        <w:t xml:space="preserve"> </w:t>
      </w:r>
    </w:p>
    <w:p w:rsidR="002127D6" w14:paraId="7CABCCC2" w14:textId="77777777">
      <w:pPr>
        <w:pStyle w:val="Heading1"/>
        <w:spacing w:after="254"/>
        <w:ind w:left="715"/>
      </w:pPr>
      <w:r>
        <w:t xml:space="preserve">Background </w:t>
      </w:r>
    </w:p>
    <w:p w:rsidR="002127D6" w14:paraId="65DB2BFB" w14:textId="77777777">
      <w:pPr>
        <w:ind w:left="715"/>
      </w:pPr>
      <w:r>
        <w:t xml:space="preserve">The Centers for Medicare &amp; Medicaid Services (CMS) is seeking a Revision type of OMB approval for this ongoing collection of data required by section 1860D-4(e) of the Social Security Act (the Act) and codified at 42 CFR § 423.160(b)(1) to support secure electronic prior authorization (ePA) transactions though use of the National Council for Prescription Drug Programs (NCPDP) SCRIPT standard. CMS has removed one-time costs associated with ePA implementation and is adding ongoing annual costs for maintaining a rewards and incentives program for beneficiary RTBTs. We are also revising the burden for ePA transactions to reflect an increased number of Part D contracts. </w:t>
      </w:r>
    </w:p>
    <w:p w:rsidR="002127D6" w14:paraId="24331F9E" w14:textId="77777777">
      <w:pPr>
        <w:spacing w:after="0" w:line="259" w:lineRule="auto"/>
        <w:ind w:left="0" w:firstLine="0"/>
      </w:pPr>
      <w:r>
        <w:t xml:space="preserve"> </w:t>
      </w:r>
    </w:p>
    <w:p w:rsidR="002127D6" w14:paraId="5850A54C" w14:textId="77777777">
      <w:pPr>
        <w:ind w:left="715"/>
      </w:pPr>
      <w:r>
        <w:t xml:space="preserve">The NCPDP SCRIPT standard is utilized to electronically transmit prescriptions for Part D drugs for Part D eligible individuals, as required at 42 CFR § 423.160(b)(1). This standard also includes a series of transactions which enable ePA to take place when the electronically prescribed drug requires PA. The ePA transactions within the NCPDP SCRIPT standard enable the secure exchange of information relevant to ePA between the prescriber’s electronic health record (EHR) and the insurer, specifically providing standardized information fields that are relevant for medication use, mandatory questions, transaction messaging, and standardized ePA data elements exchanging the PA questions and answers between prescribers and payers. </w:t>
      </w:r>
    </w:p>
    <w:p w:rsidR="002127D6" w14:paraId="28E23797" w14:textId="77777777">
      <w:pPr>
        <w:spacing w:after="0" w:line="259" w:lineRule="auto"/>
        <w:ind w:left="0" w:firstLine="0"/>
      </w:pPr>
      <w:r>
        <w:t xml:space="preserve"> </w:t>
      </w:r>
    </w:p>
    <w:p w:rsidR="002127D6" w14:paraId="097B73AD" w14:textId="77777777">
      <w:pPr>
        <w:ind w:left="715"/>
      </w:pPr>
      <w:r>
        <w:t xml:space="preserve">The ePA transactions within the NCPDP SCRIPT standard require that elements of the Part D sponsors PA criteria conform to a specific format which can be readily adapted by programmers, as opposed to a free-form manual PA process which requires no particular format. Conforming manual PA criteria elements to the format required for electronic PA transactions represents an additional, one-time burden for some Part D sponsors, depending on the internal programming infrastructure and logic that Part D sponsors already have in place with respect to their current PA processes. Part D sponsors will incur ongoing costs for every ePA transaction, although these costs are offset by overall savings to Part D sponsors since the ePA process is more efficient than the manual PA process. </w:t>
      </w:r>
    </w:p>
    <w:p w:rsidR="002127D6" w14:paraId="601162D3" w14:textId="77777777">
      <w:pPr>
        <w:spacing w:after="0" w:line="259" w:lineRule="auto"/>
        <w:ind w:left="0" w:firstLine="0"/>
      </w:pPr>
      <w:r>
        <w:t xml:space="preserve"> </w:t>
      </w:r>
    </w:p>
    <w:p w:rsidR="002127D6" w14:paraId="16093496" w14:textId="77777777">
      <w:pPr>
        <w:ind w:left="715"/>
      </w:pPr>
      <w:r>
        <w:t xml:space="preserve">Beneficiary real-time benefit tools (RTBTs) enable patients to directly access drug coverage information from their plan in order to be able to make informed choices and collaborate with their prescriber regarding their prescription drugs. As codified at 42 CFR 423.128(d)(4), Part D sponsors must make available to enrollees—via beneficiary-specific portal or computer application—the following complete, accurate, timely, clinically appropriate, patient-specific formulary and benefit real-time information: </w:t>
      </w:r>
    </w:p>
    <w:p w:rsidR="002127D6" w14:paraId="7A332299" w14:textId="77777777">
      <w:pPr>
        <w:numPr>
          <w:ilvl w:val="0"/>
          <w:numId w:val="1"/>
        </w:numPr>
        <w:ind w:hanging="360"/>
      </w:pPr>
      <w:r>
        <w:t xml:space="preserve">Cost-sharing amounts; </w:t>
      </w:r>
    </w:p>
    <w:p w:rsidR="002127D6" w14:paraId="16C34C0F" w14:textId="77777777">
      <w:pPr>
        <w:numPr>
          <w:ilvl w:val="0"/>
          <w:numId w:val="1"/>
        </w:numPr>
        <w:ind w:hanging="360"/>
      </w:pPr>
      <w:r>
        <w:t xml:space="preserve">Formulary medication alternatives for a given condition; and </w:t>
      </w:r>
    </w:p>
    <w:p w:rsidR="002127D6" w14:paraId="5D499451" w14:textId="77777777">
      <w:pPr>
        <w:numPr>
          <w:ilvl w:val="0"/>
          <w:numId w:val="1"/>
        </w:numPr>
        <w:spacing w:line="238" w:lineRule="auto"/>
        <w:ind w:hanging="360"/>
      </w:pPr>
      <w:r>
        <w:t xml:space="preserve">Formulary status, including utilization management requirements applicable to each alternative medication, as appropriate for each enrollee and medication presented. </w:t>
      </w:r>
    </w:p>
    <w:p w:rsidR="002127D6" w14:paraId="6ACBE275" w14:textId="77777777">
      <w:pPr>
        <w:ind w:left="715"/>
      </w:pPr>
      <w:r>
        <w:t xml:space="preserve">As codified at 42 CFR 423.128(d)(5). Part D sponsors are permitted to offer rewards and incentives to enrollees who utilize the RTBT. </w:t>
      </w:r>
    </w:p>
    <w:p w:rsidR="002127D6" w14:paraId="2ABB8616" w14:textId="77777777">
      <w:pPr>
        <w:spacing w:after="0" w:line="259" w:lineRule="auto"/>
        <w:ind w:left="0" w:firstLine="0"/>
      </w:pPr>
      <w:r>
        <w:t xml:space="preserve"> </w:t>
      </w:r>
    </w:p>
    <w:p w:rsidR="002127D6" w14:paraId="7713BCE6" w14:textId="77777777">
      <w:pPr>
        <w:pStyle w:val="Heading2"/>
        <w:ind w:left="715"/>
      </w:pPr>
      <w:r>
        <w:t xml:space="preserve">Legislative Background </w:t>
      </w:r>
    </w:p>
    <w:p w:rsidR="002127D6" w14:paraId="4B42CBA0" w14:textId="77777777">
      <w:pPr>
        <w:spacing w:after="0" w:line="259" w:lineRule="auto"/>
        <w:ind w:left="0" w:firstLine="0"/>
      </w:pPr>
      <w:r>
        <w:rPr>
          <w:i/>
        </w:rPr>
        <w:t xml:space="preserve"> </w:t>
      </w:r>
    </w:p>
    <w:p w:rsidR="002127D6" w14:paraId="5C8A8D91" w14:textId="77777777">
      <w:pPr>
        <w:ind w:left="715"/>
      </w:pPr>
      <w:r>
        <w:t xml:space="preserve">The Medicare Prescription Drug, Improvement, and Modernization Act of 2003 (MMA) (Pub. L. </w:t>
      </w:r>
    </w:p>
    <w:p w:rsidR="002127D6" w14:paraId="4A65E8B7" w14:textId="77777777">
      <w:pPr>
        <w:ind w:left="715"/>
      </w:pPr>
      <w:r>
        <w:t xml:space="preserve">108–173) was enacted on December 8, 2003. It amended Title XVIII of the Social Security Act (the Act) by redesignating Part D as Part E and inserting a new Part D to establish a voluntary prescription drug benefit program. As part of that program, section 1860D–4(e) of the Act, as added by the MMA, required the adoption of Part D e-prescribing standards for electronic prescriptions and prescription-related transactions between Part D plan sponsors, providers, and pharmacies. The Secretary’s selection of standards is informed by the National Committee on Vital and Health Statistics (NCVHS), an advisory committee that gives advice to the Secretary in accordance with the Federal Advisory Committee Act, including regarding implementation of the administrative simplification provisions of HIPAA. Under section 1860D-4(e)(4)(B) of the Act, NCVHS develops recommendations for Part D e-prescribing standards, in consultation with specified groups of organizations and entities. These recommendations are then taken into consideration when developing, adopting, recognizing, or modifying Part D e-prescribing standards. The statute further requires that the selection of standards be designed, to the extent practicable, so as not to impose an undue administrative burden on prescribers or dispensers, but to be compatible with standards established under Part C of title XI of the Act (the HIPAA standards), comport with general health information technology standards, and permit electronic exchange of drug labeling and drug listing information maintained by the Food and Drug Administration and the Library of Medicine. </w:t>
      </w:r>
    </w:p>
    <w:p w:rsidR="002127D6" w14:paraId="429D83AE" w14:textId="77777777">
      <w:pPr>
        <w:spacing w:after="0" w:line="259" w:lineRule="auto"/>
        <w:ind w:left="0" w:firstLine="0"/>
      </w:pPr>
      <w:r>
        <w:t xml:space="preserve"> </w:t>
      </w:r>
    </w:p>
    <w:p w:rsidR="002127D6" w14:paraId="2FD183D4" w14:textId="77777777">
      <w:pPr>
        <w:ind w:left="715"/>
      </w:pPr>
      <w:r>
        <w:t xml:space="preserve">The standards adopted by CMS for purposes of the Part D e-prescribing program are in § 423.160. Part D plan sponsors are required to support the Part D e-prescribing program transaction standards, and providers and pharmacies that conduct electronic transactions for which a program standard has been adopted must do so using the adopted standard. (For additional information about the MMA program authority, see the February 4, 2005 (70 FR 6256) proposed rule.) </w:t>
      </w:r>
    </w:p>
    <w:p w:rsidR="002127D6" w14:paraId="13BB18C9" w14:textId="77777777">
      <w:pPr>
        <w:spacing w:after="0" w:line="259" w:lineRule="auto"/>
        <w:ind w:left="0" w:firstLine="0"/>
      </w:pPr>
      <w:r>
        <w:t xml:space="preserve"> </w:t>
      </w:r>
    </w:p>
    <w:p w:rsidR="002127D6" w14:paraId="0BB2966A" w14:textId="77777777">
      <w:pPr>
        <w:ind w:left="715"/>
      </w:pPr>
      <w:r>
        <w:t xml:space="preserve">The Substance Use-Disorder Prevention that Promotes Opioid Recovery and Treatment for Patients and Communities Act (Pub. L. 115-271), hereinafter referred to as the “SUPPORT Act,” was enacted on October 24, 2018. Section 6062 of the SUPPORT Act amended section 1860D- 4(e)(2) of the Act to require the adoption of transaction standards for the Part D e-prescribing program to ensure secure ePA transactions between prescribers and Part D plan sponsors no later than January 1, 2021. The NCPDP SCRIPT standard includes multiple prior authorization transactions which each support a particular step in the overall ePA process. Such transactions include an ePA request transaction (for prescribers seeking an ePA from a Part D plan sponsor for a Part D-covered drug for a Part D-eligible individual, as well as an ePA response transaction for the Part D plan sponsor’s response to the prescriber. A facsimile, a proprietary payer portal that does not meet standards specified by the Secretary or an electronic form are not treated as electronic transmissions for the purposes of ePA requests. The ePA standards adopted under this authority are to be adopted in consultation with the NCPDP or other standards development organizations the Secretary finds appropriate, as well as other stakeholders. </w:t>
      </w:r>
    </w:p>
    <w:p w:rsidR="002127D6" w14:paraId="5D41073F" w14:textId="77777777">
      <w:pPr>
        <w:spacing w:line="238" w:lineRule="auto"/>
        <w:ind w:left="715" w:right="153"/>
        <w:jc w:val="both"/>
      </w:pPr>
      <w:r>
        <w:t xml:space="preserve">Finally, the SUPPORT Act also authorized the adoption of ePA transaction standards for Part D- covered drugs prescribed to Part D-eligible individuals “notwithstanding” any other provision of law. </w:t>
      </w:r>
    </w:p>
    <w:p w:rsidR="002127D6" w14:paraId="22BFD235" w14:textId="77777777">
      <w:pPr>
        <w:spacing w:after="0" w:line="259" w:lineRule="auto"/>
        <w:ind w:left="0" w:firstLine="0"/>
      </w:pPr>
      <w:r>
        <w:t xml:space="preserve"> </w:t>
      </w:r>
    </w:p>
    <w:p w:rsidR="002127D6" w14:paraId="33EFF852" w14:textId="77777777">
      <w:pPr>
        <w:ind w:left="715"/>
      </w:pPr>
      <w:r>
        <w:t xml:space="preserve">Section 1860D-12(b)(3)(D) of the Act authorizes additional contract terms not inconsistent with the Part D statute. Under this authority, CMS codified the requirement that Part D sponsors offer a beneficiary RTBT so that formulary and benefit information could be provided to enrollees in a manner similar to what is provided to prescribers via prescriber RTBTs. </w:t>
      </w:r>
    </w:p>
    <w:p w:rsidR="002127D6" w14:paraId="18163D0E" w14:textId="77777777">
      <w:pPr>
        <w:spacing w:after="0" w:line="259" w:lineRule="auto"/>
        <w:ind w:left="0" w:firstLine="0"/>
      </w:pPr>
      <w:r>
        <w:t xml:space="preserve"> </w:t>
      </w:r>
    </w:p>
    <w:p w:rsidR="002127D6" w14:paraId="2830FEB4" w14:textId="77777777">
      <w:pPr>
        <w:spacing w:after="0" w:line="259" w:lineRule="auto"/>
        <w:ind w:left="0" w:firstLine="0"/>
      </w:pPr>
      <w:r>
        <w:t xml:space="preserve"> </w:t>
      </w:r>
    </w:p>
    <w:p w:rsidR="002127D6" w14:paraId="7AA81734" w14:textId="77777777">
      <w:pPr>
        <w:pStyle w:val="Heading2"/>
        <w:ind w:left="715"/>
      </w:pPr>
      <w:r>
        <w:t xml:space="preserve">Final Regulation </w:t>
      </w:r>
    </w:p>
    <w:p w:rsidR="002127D6" w14:paraId="1D8F219A" w14:textId="77777777">
      <w:pPr>
        <w:spacing w:after="0" w:line="259" w:lineRule="auto"/>
        <w:ind w:left="0" w:firstLine="0"/>
      </w:pPr>
      <w:r>
        <w:rPr>
          <w:i/>
        </w:rPr>
        <w:t xml:space="preserve"> </w:t>
      </w:r>
    </w:p>
    <w:p w:rsidR="002127D6" w14:paraId="1708C03A" w14:textId="77777777">
      <w:pPr>
        <w:ind w:left="715"/>
      </w:pPr>
      <w:r>
        <w:t xml:space="preserve">This information collection request was initially associated with our December 31, 2020 final (85 FR 86824, CMS–4189–F), which revised § 423.160(b)(8) by requiring that Part D sponsors support version 2017071 of the NCPDP SCRIPT standard for use in ePA transactions with prescribers regarding Part D covered drugs to Part D eligible individuals. The June 17, 2024 final rule (89 FR 51238, CMS 4205-F2) updated the version of the NCPDP SCRIPT standard required for electronic prescribing, including ePA, and included technical reorganization to list the required version of the NCPDP SCRIPT standard and ePA transactions at § 423.160(b)(1). The June 17, 2024 final rule did not otherwise change burden or requirements associated with ePA. </w:t>
      </w:r>
    </w:p>
    <w:p w:rsidR="002127D6" w14:paraId="45C33C26" w14:textId="77777777">
      <w:pPr>
        <w:spacing w:after="0" w:line="259" w:lineRule="auto"/>
        <w:ind w:left="0" w:firstLine="0"/>
      </w:pPr>
      <w:r>
        <w:t xml:space="preserve"> </w:t>
      </w:r>
    </w:p>
    <w:p w:rsidR="002127D6" w14:paraId="6DE757CB" w14:textId="77777777">
      <w:pPr>
        <w:ind w:left="715"/>
      </w:pPr>
      <w:r>
        <w:t xml:space="preserve">The information collection for beneficiary RTBTs was established in the January 19, 2021 final rule (86 FR 5864, CMS-4190-F2). </w:t>
      </w:r>
    </w:p>
    <w:p w:rsidR="002127D6" w14:paraId="5F1FE65A" w14:textId="77777777">
      <w:pPr>
        <w:spacing w:after="0" w:line="259" w:lineRule="auto"/>
        <w:ind w:left="0" w:firstLine="0"/>
      </w:pPr>
      <w:r>
        <w:t xml:space="preserve"> </w:t>
      </w:r>
    </w:p>
    <w:p w:rsidR="002127D6" w14:paraId="65D50234" w14:textId="77777777">
      <w:pPr>
        <w:pStyle w:val="Heading1"/>
        <w:ind w:left="715"/>
      </w:pPr>
      <w:r>
        <w:rPr>
          <w:b w:val="0"/>
        </w:rPr>
        <w:t>A.</w:t>
      </w:r>
      <w:r>
        <w:rPr>
          <w:rFonts w:ascii="Arial" w:eastAsia="Arial" w:hAnsi="Arial" w:cs="Arial"/>
          <w:b w:val="0"/>
        </w:rPr>
        <w:t xml:space="preserve"> </w:t>
      </w:r>
      <w:r>
        <w:t>Justification</w:t>
      </w:r>
      <w:r>
        <w:rPr>
          <w:b w:val="0"/>
        </w:rPr>
        <w:t xml:space="preserve"> </w:t>
      </w:r>
    </w:p>
    <w:p w:rsidR="002127D6" w14:paraId="37C27A3B" w14:textId="77777777">
      <w:pPr>
        <w:spacing w:after="0" w:line="259" w:lineRule="auto"/>
        <w:ind w:left="0" w:firstLine="0"/>
      </w:pPr>
      <w:r>
        <w:rPr>
          <w:b/>
        </w:rPr>
        <w:t xml:space="preserve"> </w:t>
      </w:r>
    </w:p>
    <w:p w:rsidR="002127D6" w14:paraId="3AD7EE25" w14:textId="77777777">
      <w:pPr>
        <w:pStyle w:val="Heading2"/>
        <w:ind w:left="715"/>
      </w:pPr>
      <w:r>
        <w:rPr>
          <w:i w:val="0"/>
        </w:rPr>
        <w:t>1.</w:t>
      </w:r>
      <w:r>
        <w:rPr>
          <w:rFonts w:ascii="Arial" w:eastAsia="Arial" w:hAnsi="Arial" w:cs="Arial"/>
          <w:i w:val="0"/>
        </w:rPr>
        <w:t xml:space="preserve"> </w:t>
      </w:r>
      <w:r>
        <w:rPr>
          <w:i w:val="0"/>
          <w:u w:val="single" w:color="000000"/>
        </w:rPr>
        <w:t>Need and Legal Basis</w:t>
      </w:r>
      <w:r>
        <w:rPr>
          <w:i w:val="0"/>
        </w:rPr>
        <w:t xml:space="preserve"> </w:t>
      </w:r>
    </w:p>
    <w:p w:rsidR="002127D6" w14:paraId="08D7CA93" w14:textId="77777777">
      <w:pPr>
        <w:spacing w:after="0" w:line="259" w:lineRule="auto"/>
        <w:ind w:left="0" w:firstLine="0"/>
      </w:pPr>
      <w:r>
        <w:t xml:space="preserve"> </w:t>
      </w:r>
    </w:p>
    <w:p w:rsidR="002127D6" w14:paraId="598327AB" w14:textId="77777777">
      <w:pPr>
        <w:ind w:left="715"/>
      </w:pPr>
      <w:r>
        <w:t xml:space="preserve">The legal basis for the requirement that Sponsors support the NCPDP SCRIPT standard for use in ePA comes from the MMA provision mandating that Sponsors comply with the named e- prescribing standards. The naming of the specific ePA standard is required by the SUPPORT Act. The NCPDP SCRIPT standard is the only available pharmacy prescribing standard appropriate for ePA for prescription drugs that are covered under a pharmacy (e.g., Part D) benefit. </w:t>
      </w:r>
    </w:p>
    <w:p w:rsidR="002127D6" w14:paraId="1795A2CA" w14:textId="77777777">
      <w:pPr>
        <w:spacing w:after="0" w:line="259" w:lineRule="auto"/>
        <w:ind w:left="0" w:firstLine="0"/>
      </w:pPr>
      <w:r>
        <w:t xml:space="preserve"> </w:t>
      </w:r>
    </w:p>
    <w:p w:rsidR="002127D6" w14:paraId="6292E6CA" w14:textId="77777777">
      <w:pPr>
        <w:ind w:left="715"/>
      </w:pPr>
      <w:r>
        <w:t xml:space="preserve">The legal basis for beneficiary RTBT is section 1860D-12(b)(3)(D) of the Act which authorizes additional contract terms not inconsistent with the Part D statute. CMS codified the beneficiary RTBT requirement as an additional mechanism through which Part D sponsors must provide specific information about prescription drug coverage to enrollees. This patient-specific and real- time information about their plan’s formulary and benefits (i.e., cost sharing) can empower patients to work with their prescribers to select medications that are clinically appropriate and more affordable or without formulary restrictions. </w:t>
      </w:r>
    </w:p>
    <w:p w:rsidR="002127D6" w14:paraId="38ACB132" w14:textId="77777777">
      <w:pPr>
        <w:spacing w:after="0" w:line="259" w:lineRule="auto"/>
        <w:ind w:left="0" w:firstLine="0"/>
      </w:pPr>
      <w:r>
        <w:t xml:space="preserve"> </w:t>
      </w:r>
    </w:p>
    <w:p w:rsidR="002127D6" w14:paraId="54168E86" w14:textId="77777777">
      <w:pPr>
        <w:pStyle w:val="Heading2"/>
        <w:ind w:left="715"/>
      </w:pPr>
      <w:r>
        <w:rPr>
          <w:i w:val="0"/>
        </w:rPr>
        <w:t>2.</w:t>
      </w:r>
      <w:r>
        <w:rPr>
          <w:rFonts w:ascii="Arial" w:eastAsia="Arial" w:hAnsi="Arial" w:cs="Arial"/>
          <w:i w:val="0"/>
        </w:rPr>
        <w:t xml:space="preserve"> </w:t>
      </w:r>
      <w:r>
        <w:rPr>
          <w:i w:val="0"/>
          <w:u w:val="single" w:color="000000"/>
        </w:rPr>
        <w:t>Information Users</w:t>
      </w:r>
      <w:r>
        <w:rPr>
          <w:i w:val="0"/>
        </w:rPr>
        <w:t xml:space="preserve"> </w:t>
      </w:r>
    </w:p>
    <w:p w:rsidR="002127D6" w14:paraId="00668FD6" w14:textId="77777777">
      <w:pPr>
        <w:spacing w:after="0" w:line="259" w:lineRule="auto"/>
        <w:ind w:left="0" w:firstLine="0"/>
      </w:pPr>
      <w:r>
        <w:t xml:space="preserve"> </w:t>
      </w:r>
    </w:p>
    <w:p w:rsidR="002127D6" w14:paraId="79A8C075" w14:textId="77777777">
      <w:pPr>
        <w:ind w:left="715"/>
      </w:pPr>
      <w:r>
        <w:t xml:space="preserve">If the requirements of the ePA standard are to be finalized, the prior authorization information would flow from the prescriber’s EHR to the point of prescribing using plan-supported EHRs. </w:t>
      </w:r>
    </w:p>
    <w:p w:rsidR="002127D6" w14:paraId="59EC3FCA" w14:textId="77777777">
      <w:pPr>
        <w:ind w:left="715"/>
      </w:pPr>
      <w:r>
        <w:t xml:space="preserve">This information would be used to help grant prior authorization for specific medications in a more secure and efficient manner than manual prior authorization (e.g., fax or phone call). </w:t>
      </w:r>
    </w:p>
    <w:p w:rsidR="002127D6" w14:paraId="57581733" w14:textId="77777777">
      <w:pPr>
        <w:spacing w:after="0" w:line="259" w:lineRule="auto"/>
        <w:ind w:left="0" w:firstLine="0"/>
      </w:pPr>
      <w:r>
        <w:t xml:space="preserve"> </w:t>
      </w:r>
    </w:p>
    <w:p w:rsidR="002127D6" w14:paraId="697EF22A" w14:textId="77777777">
      <w:pPr>
        <w:pStyle w:val="Heading2"/>
        <w:ind w:left="715"/>
      </w:pPr>
      <w:r>
        <w:rPr>
          <w:i w:val="0"/>
        </w:rPr>
        <w:t>3.</w:t>
      </w:r>
      <w:r>
        <w:rPr>
          <w:rFonts w:ascii="Arial" w:eastAsia="Arial" w:hAnsi="Arial" w:cs="Arial"/>
          <w:i w:val="0"/>
        </w:rPr>
        <w:t xml:space="preserve"> </w:t>
      </w:r>
      <w:r>
        <w:rPr>
          <w:i w:val="0"/>
          <w:u w:val="single" w:color="000000"/>
        </w:rPr>
        <w:t>Use of Information Technology</w:t>
      </w:r>
      <w:r>
        <w:rPr>
          <w:i w:val="0"/>
        </w:rPr>
        <w:t xml:space="preserve"> </w:t>
      </w:r>
    </w:p>
    <w:p w:rsidR="002127D6" w14:paraId="461D3203" w14:textId="77777777">
      <w:pPr>
        <w:spacing w:after="0" w:line="259" w:lineRule="auto"/>
        <w:ind w:left="0" w:firstLine="0"/>
      </w:pPr>
      <w:r>
        <w:t xml:space="preserve"> </w:t>
      </w:r>
    </w:p>
    <w:p w:rsidR="002127D6" w14:paraId="6914877C" w14:textId="77777777">
      <w:pPr>
        <w:ind w:left="715"/>
      </w:pPr>
      <w:r>
        <w:t xml:space="preserve">CMS requires that the NCPDP SCRIPT standard is used to conduct ePA, but does not require prescribers to conduct ePA. Prescriber adoption of ePA is dependent on electronic health record (EHR) functionality or use of a separate ePA portal. The CMS requirement facilitates the use of information technology by requiring that Part D sponsors support the NCPDP SCRIPT standard for the electronic transmission of prior authorization transactions so that as ePA is adopted, prescriber and payer systems are compatible. </w:t>
      </w:r>
    </w:p>
    <w:p w:rsidR="002127D6" w14:paraId="539E9D8D" w14:textId="77777777">
      <w:pPr>
        <w:spacing w:after="0" w:line="259" w:lineRule="auto"/>
        <w:ind w:left="0" w:firstLine="0"/>
      </w:pPr>
      <w:r>
        <w:t xml:space="preserve"> </w:t>
      </w:r>
    </w:p>
    <w:p w:rsidR="002127D6" w14:paraId="070F0D95" w14:textId="77777777">
      <w:pPr>
        <w:ind w:left="715"/>
      </w:pPr>
      <w:r>
        <w:t xml:space="preserve">Beneficiaries can access the RTBT online or by phone from the plan’s call center. Although a goal of requiring a beneficiary RTBT is to ensure beneficiaries can readily access their formulary and benefit information, we retained a requirement for Part D sponsors to provide the same information by phone for beneficiaries who are less comfortable with computer or mobile access to their plan information. </w:t>
      </w:r>
    </w:p>
    <w:p w:rsidR="002127D6" w14:paraId="6788BB0F" w14:textId="77777777">
      <w:pPr>
        <w:spacing w:after="0" w:line="259" w:lineRule="auto"/>
        <w:ind w:left="0" w:firstLine="0"/>
      </w:pPr>
      <w:r>
        <w:t xml:space="preserve"> </w:t>
      </w:r>
    </w:p>
    <w:p w:rsidR="002127D6" w14:paraId="037D158E" w14:textId="77777777">
      <w:pPr>
        <w:pStyle w:val="Heading2"/>
        <w:ind w:left="715"/>
      </w:pPr>
      <w:r>
        <w:rPr>
          <w:i w:val="0"/>
        </w:rPr>
        <w:t>4.</w:t>
      </w:r>
      <w:r>
        <w:rPr>
          <w:rFonts w:ascii="Arial" w:eastAsia="Arial" w:hAnsi="Arial" w:cs="Arial"/>
          <w:i w:val="0"/>
        </w:rPr>
        <w:t xml:space="preserve"> </w:t>
      </w:r>
      <w:r>
        <w:rPr>
          <w:i w:val="0"/>
          <w:u w:val="single" w:color="000000"/>
        </w:rPr>
        <w:t>Duplication of Efforts</w:t>
      </w:r>
      <w:r>
        <w:rPr>
          <w:i w:val="0"/>
        </w:rPr>
        <w:t xml:space="preserve"> </w:t>
      </w:r>
    </w:p>
    <w:p w:rsidR="002127D6" w14:paraId="70B099A9" w14:textId="77777777">
      <w:pPr>
        <w:spacing w:after="0" w:line="259" w:lineRule="auto"/>
        <w:ind w:left="0" w:firstLine="0"/>
      </w:pPr>
      <w:r>
        <w:t xml:space="preserve"> </w:t>
      </w:r>
    </w:p>
    <w:p w:rsidR="002127D6" w14:paraId="4203E79F" w14:textId="77777777">
      <w:pPr>
        <w:ind w:left="715"/>
      </w:pPr>
      <w:r>
        <w:t xml:space="preserve">NCPDP SCRIPT is the industry standard for transmitting ePA between prescribers and payers/processors for drugs covered under the pharmacy benefit; therefore, there is no duplication as a result of our requirement to use the NCPDP SCRIPT standard for Part D ePA. The NCPDP Telecommunication standard named at 45 CFR § 162.1302(b)(2)(i) for authorization of retail pharmacy drugs is for claims adjudication between pharmacies and payers/processors and lacks the functionality to support complex ePA elements (e.g., clinical criteria, diagnoses) that prescribers are expected to submit with requests for prescription drug prior authorization. The X12 278 standard for ePA currently named at 45 CFR § 162.1302(b)(2)(ii) is for dental, professional and institutional prior authorizations and is not appropriate for prior authorization for drugs covered under the pharmacy benefit. </w:t>
      </w:r>
    </w:p>
    <w:p w:rsidR="002127D6" w14:paraId="2AD9A916" w14:textId="77777777">
      <w:pPr>
        <w:spacing w:after="0" w:line="259" w:lineRule="auto"/>
        <w:ind w:left="0" w:firstLine="0"/>
      </w:pPr>
      <w:r>
        <w:t xml:space="preserve"> </w:t>
      </w:r>
    </w:p>
    <w:p w:rsidR="002127D6" w14:paraId="7B38812A" w14:textId="77777777">
      <w:pPr>
        <w:ind w:left="715"/>
      </w:pPr>
      <w:r>
        <w:t xml:space="preserve">The beneficiary RTBT is the only tool to provide beneficiaries with drug-specific formulary alternatives for enrollees and beneficiary-specific prior authorization information. Although this information may be available to prescribers using the prescriber RTBT, the information is more impactful when enrollees can view it themselves. In addition, prescribers are not required to have a prescriber RTBT, so allowing beneficiaries to access this information, would increase the proliferation of this helpful data. </w:t>
      </w:r>
    </w:p>
    <w:p w:rsidR="002127D6" w14:paraId="41C00FBC" w14:textId="77777777">
      <w:pPr>
        <w:spacing w:after="0" w:line="259" w:lineRule="auto"/>
        <w:ind w:left="0" w:firstLine="0"/>
      </w:pPr>
      <w:r>
        <w:t xml:space="preserve"> </w:t>
      </w:r>
    </w:p>
    <w:p w:rsidR="002127D6" w14:paraId="0028734C" w14:textId="77777777">
      <w:pPr>
        <w:pStyle w:val="Heading2"/>
        <w:ind w:left="715"/>
      </w:pPr>
      <w:r>
        <w:rPr>
          <w:i w:val="0"/>
        </w:rPr>
        <w:t>5.</w:t>
      </w:r>
      <w:r>
        <w:rPr>
          <w:rFonts w:ascii="Arial" w:eastAsia="Arial" w:hAnsi="Arial" w:cs="Arial"/>
          <w:i w:val="0"/>
        </w:rPr>
        <w:t xml:space="preserve"> </w:t>
      </w:r>
      <w:r>
        <w:rPr>
          <w:i w:val="0"/>
          <w:u w:val="single" w:color="000000"/>
        </w:rPr>
        <w:t>Small Businesses</w:t>
      </w:r>
      <w:r>
        <w:rPr>
          <w:i w:val="0"/>
        </w:rPr>
        <w:t xml:space="preserve"> </w:t>
      </w:r>
    </w:p>
    <w:p w:rsidR="002127D6" w14:paraId="2ADBCF7A" w14:textId="77777777">
      <w:pPr>
        <w:spacing w:after="0" w:line="259" w:lineRule="auto"/>
        <w:ind w:left="0" w:firstLine="0"/>
      </w:pPr>
      <w:r>
        <w:t xml:space="preserve"> </w:t>
      </w:r>
    </w:p>
    <w:p w:rsidR="002127D6" w14:paraId="4DB33CE2" w14:textId="77777777">
      <w:pPr>
        <w:ind w:left="715"/>
      </w:pPr>
      <w:r>
        <w:t xml:space="preserve">Small businesses are not significantly affected by this collection. Our requirements for the beneficiary RTBT are designed to mirror those of the prescriber RTBT so that it would only require plans to provide data that they already have access to. The NCPDP SCRIPT standard is the industry standard for electronic prescribing of drug covered under the pharmacy benefit, therefore using this standard for ePA in addition to other electronic prescribing transactions minimizes burden associated with implementing ePA. Use of the industry standard also facilitates </w:t>
      </w:r>
      <w:r>
        <w:t xml:space="preserve">compatibility between payer and provider systems. There is no ability to further minimize the burden to small businesses. </w:t>
      </w:r>
    </w:p>
    <w:p w:rsidR="002127D6" w14:paraId="70338FDA" w14:textId="77777777">
      <w:pPr>
        <w:spacing w:after="0" w:line="259" w:lineRule="auto"/>
        <w:ind w:left="0" w:firstLine="0"/>
      </w:pPr>
      <w:r>
        <w:t xml:space="preserve"> </w:t>
      </w:r>
    </w:p>
    <w:p w:rsidR="002127D6" w14:paraId="052291AA" w14:textId="77777777">
      <w:pPr>
        <w:pStyle w:val="Heading2"/>
        <w:ind w:left="715"/>
      </w:pPr>
      <w:r>
        <w:rPr>
          <w:i w:val="0"/>
        </w:rPr>
        <w:t>6.</w:t>
      </w:r>
      <w:r>
        <w:rPr>
          <w:rFonts w:ascii="Arial" w:eastAsia="Arial" w:hAnsi="Arial" w:cs="Arial"/>
          <w:i w:val="0"/>
        </w:rPr>
        <w:t xml:space="preserve"> </w:t>
      </w:r>
      <w:r>
        <w:rPr>
          <w:i w:val="0"/>
          <w:u w:val="single" w:color="000000"/>
        </w:rPr>
        <w:t>Less Frequent Collection</w:t>
      </w:r>
      <w:r>
        <w:rPr>
          <w:i w:val="0"/>
        </w:rPr>
        <w:t xml:space="preserve"> </w:t>
      </w:r>
    </w:p>
    <w:p w:rsidR="002127D6" w14:paraId="1A3AD6CA" w14:textId="77777777">
      <w:pPr>
        <w:spacing w:after="0" w:line="259" w:lineRule="auto"/>
        <w:ind w:left="0" w:firstLine="0"/>
      </w:pPr>
      <w:r>
        <w:t xml:space="preserve"> </w:t>
      </w:r>
    </w:p>
    <w:p w:rsidR="002127D6" w14:paraId="5E4EC76B" w14:textId="77777777">
      <w:pPr>
        <w:spacing w:line="238" w:lineRule="auto"/>
        <w:ind w:left="715" w:right="10"/>
        <w:jc w:val="both"/>
      </w:pPr>
      <w:r>
        <w:t xml:space="preserve">The information provided by the NCPDP SCRIPT standard for ePA and the beneficiary RTBT are required to be in real-time on a continuous, ad hoc basis. Information that is provided less frequently would be irrelevant, since drug prices change so frequently and beneficiaries often need access to information regarding their prescription drug coverage rapidly. </w:t>
      </w:r>
    </w:p>
    <w:p w:rsidR="002127D6" w14:paraId="0F452B04" w14:textId="77777777">
      <w:pPr>
        <w:spacing w:after="0" w:line="259" w:lineRule="auto"/>
        <w:ind w:left="0" w:firstLine="0"/>
      </w:pPr>
      <w:r>
        <w:t xml:space="preserve"> </w:t>
      </w:r>
    </w:p>
    <w:p w:rsidR="002127D6" w14:paraId="6B8FF571" w14:textId="77777777">
      <w:pPr>
        <w:pStyle w:val="Heading2"/>
        <w:ind w:left="715"/>
      </w:pPr>
      <w:r>
        <w:rPr>
          <w:i w:val="0"/>
        </w:rPr>
        <w:t>7.</w:t>
      </w:r>
      <w:r>
        <w:rPr>
          <w:rFonts w:ascii="Arial" w:eastAsia="Arial" w:hAnsi="Arial" w:cs="Arial"/>
          <w:i w:val="0"/>
        </w:rPr>
        <w:t xml:space="preserve"> </w:t>
      </w:r>
      <w:r>
        <w:rPr>
          <w:i w:val="0"/>
          <w:u w:val="single" w:color="000000"/>
        </w:rPr>
        <w:t>Special Circumstances</w:t>
      </w:r>
      <w:r>
        <w:rPr>
          <w:i w:val="0"/>
        </w:rPr>
        <w:t xml:space="preserve"> </w:t>
      </w:r>
    </w:p>
    <w:p w:rsidR="002127D6" w14:paraId="0CC7EAB6" w14:textId="77777777">
      <w:pPr>
        <w:spacing w:after="0" w:line="259" w:lineRule="auto"/>
        <w:ind w:left="0" w:firstLine="0"/>
      </w:pPr>
      <w:r>
        <w:t xml:space="preserve"> </w:t>
      </w:r>
    </w:p>
    <w:p w:rsidR="002127D6" w14:paraId="6C8408EE" w14:textId="77777777">
      <w:pPr>
        <w:ind w:left="715"/>
      </w:pPr>
      <w:r>
        <w:t xml:space="preserve">There are no special circumstances that would require an information collection to be conducted in a manner that requires respondents to: </w:t>
      </w:r>
    </w:p>
    <w:p w:rsidR="002127D6" w14:paraId="205770DF" w14:textId="77777777">
      <w:pPr>
        <w:spacing w:after="0" w:line="259" w:lineRule="auto"/>
        <w:ind w:left="0" w:firstLine="0"/>
      </w:pPr>
      <w:r>
        <w:t xml:space="preserve"> </w:t>
      </w:r>
    </w:p>
    <w:p w:rsidR="002127D6" w14:paraId="5591EFC1" w14:textId="77777777">
      <w:pPr>
        <w:numPr>
          <w:ilvl w:val="0"/>
          <w:numId w:val="2"/>
        </w:numPr>
        <w:ind w:hanging="360"/>
      </w:pPr>
      <w:r>
        <w:t xml:space="preserve">Report information to the agency more often than quarterly; </w:t>
      </w:r>
    </w:p>
    <w:p w:rsidR="002127D6" w14:paraId="5AA7A9A9" w14:textId="77777777">
      <w:pPr>
        <w:numPr>
          <w:ilvl w:val="0"/>
          <w:numId w:val="2"/>
        </w:numPr>
        <w:ind w:hanging="360"/>
      </w:pPr>
      <w:r>
        <w:t xml:space="preserve">Submit more than an original and two copies of any document; </w:t>
      </w:r>
    </w:p>
    <w:p w:rsidR="002127D6" w14:paraId="6D249D78" w14:textId="77777777">
      <w:pPr>
        <w:numPr>
          <w:ilvl w:val="0"/>
          <w:numId w:val="2"/>
        </w:numPr>
        <w:ind w:hanging="360"/>
      </w:pPr>
      <w:r>
        <w:t xml:space="preserve">Retain records, other than health, medical, government contract, grant-in-aid, or tax records for more than three years; </w:t>
      </w:r>
    </w:p>
    <w:p w:rsidR="002127D6" w14:paraId="30BA0612" w14:textId="77777777">
      <w:pPr>
        <w:numPr>
          <w:ilvl w:val="0"/>
          <w:numId w:val="2"/>
        </w:numPr>
        <w:ind w:hanging="360"/>
      </w:pPr>
      <w:r>
        <w:t xml:space="preserve">Collect data in connection with a statistical survey that is not designed to produce valid and reliable results that can be generalized to the universe of study, </w:t>
      </w:r>
    </w:p>
    <w:p w:rsidR="002127D6" w14:paraId="6B87B595" w14:textId="77777777">
      <w:pPr>
        <w:numPr>
          <w:ilvl w:val="0"/>
          <w:numId w:val="2"/>
        </w:numPr>
        <w:ind w:hanging="360"/>
      </w:pPr>
      <w:r>
        <w:t xml:space="preserve">Use a statistical data classification that has not been reviewed and approved by OMB; </w:t>
      </w:r>
    </w:p>
    <w:p w:rsidR="002127D6" w14:paraId="504DF530" w14:textId="77777777">
      <w:pPr>
        <w:numPr>
          <w:ilvl w:val="0"/>
          <w:numId w:val="2"/>
        </w:numPr>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127D6" w14:paraId="59C4072E" w14:textId="77777777">
      <w:pPr>
        <w:numPr>
          <w:ilvl w:val="0"/>
          <w:numId w:val="2"/>
        </w:numPr>
        <w:spacing w:after="263"/>
        <w:ind w:hanging="360"/>
      </w:pPr>
      <w:r>
        <w:t xml:space="preserve">Submit proprietary trade secret, or other confidential information unless the agency can demonstrate that it has instituted procedures to protect the information's confidentiality to the extent permitted by law. </w:t>
      </w:r>
    </w:p>
    <w:p w:rsidR="002127D6" w14:paraId="50545A42" w14:textId="77777777">
      <w:pPr>
        <w:ind w:left="715"/>
      </w:pPr>
      <w:r>
        <w:t xml:space="preserve">Although organizations would be required to transmit information for the transaction and RTBT in real-time, this would be done regularly, since it would be a requirement for both proposals. This would not be necessitated by a special set of circumstances. </w:t>
      </w:r>
    </w:p>
    <w:p w:rsidR="002127D6" w14:paraId="4F177B0E" w14:textId="77777777">
      <w:pPr>
        <w:spacing w:after="0" w:line="259" w:lineRule="auto"/>
        <w:ind w:left="0" w:firstLine="0"/>
      </w:pPr>
      <w:r>
        <w:t xml:space="preserve"> </w:t>
      </w:r>
    </w:p>
    <w:p w:rsidR="002127D6" w14:paraId="52D8A333" w14:textId="77777777">
      <w:pPr>
        <w:spacing w:after="0" w:line="259" w:lineRule="auto"/>
        <w:ind w:left="715"/>
      </w:pPr>
      <w:r>
        <w:t>8.</w:t>
      </w:r>
      <w:r>
        <w:rPr>
          <w:rFonts w:ascii="Arial" w:eastAsia="Arial" w:hAnsi="Arial" w:cs="Arial"/>
        </w:rPr>
        <w:t xml:space="preserve"> </w:t>
      </w:r>
      <w:r>
        <w:rPr>
          <w:u w:val="single" w:color="000000"/>
        </w:rPr>
        <w:t>Federal Register/Outside Consultation</w:t>
      </w:r>
      <w:r>
        <w:t xml:space="preserve"> </w:t>
      </w:r>
    </w:p>
    <w:p w:rsidR="002127D6" w14:paraId="5BF9B092" w14:textId="77777777">
      <w:pPr>
        <w:spacing w:after="0" w:line="259" w:lineRule="auto"/>
        <w:ind w:left="0" w:firstLine="0"/>
      </w:pPr>
      <w:r>
        <w:t xml:space="preserve"> </w:t>
      </w:r>
    </w:p>
    <w:p w:rsidR="002127D6" w14:paraId="14F7B11A" w14:textId="77777777">
      <w:pPr>
        <w:spacing w:after="0" w:line="259" w:lineRule="auto"/>
        <w:ind w:left="715"/>
      </w:pPr>
      <w:r>
        <w:rPr>
          <w:i/>
        </w:rPr>
        <w:t xml:space="preserve">Federal Register </w:t>
      </w:r>
    </w:p>
    <w:p w:rsidR="002127D6" w14:paraId="7D51E0AC" w14:textId="77777777">
      <w:pPr>
        <w:spacing w:after="0" w:line="259" w:lineRule="auto"/>
        <w:ind w:left="0" w:firstLine="0"/>
      </w:pPr>
      <w:r>
        <w:rPr>
          <w:i/>
        </w:rPr>
        <w:t xml:space="preserve"> </w:t>
      </w:r>
    </w:p>
    <w:p w:rsidR="002127D6" w14:paraId="49252975" w14:textId="0822BD28">
      <w:pPr>
        <w:ind w:left="715"/>
      </w:pPr>
      <w:r>
        <w:t xml:space="preserve">The 60-day Federal Register Notice (90 </w:t>
      </w:r>
      <w:r w:rsidRPr="00D36D1B">
        <w:t>FR 22492</w:t>
      </w:r>
      <w:r>
        <w:t xml:space="preserve">) published in the Federal Register on 05/28/2025. </w:t>
      </w:r>
    </w:p>
    <w:p w:rsidR="002127D6" w14:paraId="31B45AD3" w14:textId="7C0A48EA">
      <w:pPr>
        <w:spacing w:after="0" w:line="259" w:lineRule="auto"/>
        <w:ind w:left="0" w:firstLine="0"/>
      </w:pPr>
      <w:r>
        <w:t xml:space="preserve"> </w:t>
      </w:r>
      <w:r>
        <w:tab/>
        <w:t xml:space="preserve">No comments were received during the 60-day comment period. </w:t>
      </w:r>
    </w:p>
    <w:p w:rsidR="00D36D1B" w14:paraId="74A6F0D4" w14:textId="77777777">
      <w:pPr>
        <w:spacing w:after="0" w:line="259" w:lineRule="auto"/>
        <w:ind w:left="0" w:firstLine="0"/>
      </w:pPr>
    </w:p>
    <w:p w:rsidR="00D36D1B" w:rsidP="00D36D1B" w14:paraId="4C989EE7" w14:textId="4BB50AD6">
      <w:pPr>
        <w:ind w:left="715"/>
      </w:pPr>
      <w:r>
        <w:tab/>
        <w:t xml:space="preserve">The 30-day Federal Register Notice (90 </w:t>
      </w:r>
      <w:r w:rsidRPr="00D36D1B">
        <w:t>FR</w:t>
      </w:r>
      <w:r w:rsidR="004775E5">
        <w:t xml:space="preserve"> </w:t>
      </w:r>
      <w:r w:rsidRPr="004775E5" w:rsidR="004775E5">
        <w:t>38981</w:t>
      </w:r>
      <w:r>
        <w:t xml:space="preserve">) published in the Federal Register on </w:t>
      </w:r>
      <w:r w:rsidR="004775E5">
        <w:t>8/13/2025</w:t>
      </w:r>
      <w:r>
        <w:t xml:space="preserve">. </w:t>
      </w:r>
    </w:p>
    <w:p w:rsidR="00D36D1B" w14:paraId="629B37C0" w14:textId="1614ECE5">
      <w:pPr>
        <w:spacing w:after="0" w:line="259" w:lineRule="auto"/>
        <w:ind w:left="0" w:firstLine="0"/>
      </w:pPr>
    </w:p>
    <w:p w:rsidR="002127D6" w14:paraId="6F0D2B03" w14:textId="77777777">
      <w:pPr>
        <w:spacing w:after="0" w:line="259" w:lineRule="auto"/>
        <w:ind w:left="0" w:firstLine="0"/>
      </w:pPr>
      <w:r>
        <w:t xml:space="preserve"> </w:t>
      </w:r>
    </w:p>
    <w:p w:rsidR="002127D6" w14:paraId="6738148A" w14:textId="77777777">
      <w:pPr>
        <w:pStyle w:val="Heading2"/>
        <w:ind w:left="715"/>
      </w:pPr>
      <w:r>
        <w:t xml:space="preserve">Outside Consultation </w:t>
      </w:r>
    </w:p>
    <w:p w:rsidR="002127D6" w14:paraId="6D78D51C" w14:textId="77777777">
      <w:pPr>
        <w:spacing w:after="0" w:line="259" w:lineRule="auto"/>
        <w:ind w:left="0" w:firstLine="0"/>
      </w:pPr>
      <w:r>
        <w:rPr>
          <w:i/>
        </w:rPr>
        <w:t xml:space="preserve"> </w:t>
      </w:r>
    </w:p>
    <w:p w:rsidR="002127D6" w14:paraId="4F94915A" w14:textId="77777777">
      <w:pPr>
        <w:spacing w:line="238" w:lineRule="auto"/>
        <w:ind w:left="715" w:right="96"/>
        <w:jc w:val="both"/>
      </w:pPr>
      <w:r>
        <w:t xml:space="preserve">CMS periodically meets with industry stakeholders to discuss e-prescribing requirements. CMS does this through attendance at quarterly workgroups, annual conferences, and conversations with industry leaders. CMS participates in weekly NCPDP task group meetings during which we are able to hear real-world feedback from from various members of the pharmacy industry (e.g., payers, processors, electronic health record vendors, pharmacies) with respect to electronic prescribing tools. </w:t>
      </w:r>
    </w:p>
    <w:p w:rsidR="002127D6" w14:paraId="1198FF0B" w14:textId="77777777">
      <w:pPr>
        <w:spacing w:after="0" w:line="259" w:lineRule="auto"/>
        <w:ind w:left="0" w:firstLine="0"/>
      </w:pPr>
      <w:r>
        <w:t xml:space="preserve"> </w:t>
      </w:r>
    </w:p>
    <w:p w:rsidR="002127D6" w14:paraId="357CF834" w14:textId="77777777">
      <w:pPr>
        <w:pStyle w:val="Heading3"/>
        <w:ind w:left="715"/>
      </w:pPr>
      <w:r>
        <w:rPr>
          <w:u w:val="none"/>
        </w:rPr>
        <w:t>9.</w:t>
      </w:r>
      <w:r>
        <w:rPr>
          <w:rFonts w:ascii="Arial" w:eastAsia="Arial" w:hAnsi="Arial" w:cs="Arial"/>
          <w:u w:val="none"/>
        </w:rPr>
        <w:t xml:space="preserve"> </w:t>
      </w:r>
      <w:r>
        <w:t>Payments/Gifts to Respondents</w:t>
      </w:r>
      <w:r>
        <w:rPr>
          <w:u w:val="none"/>
        </w:rPr>
        <w:t xml:space="preserve"> </w:t>
      </w:r>
    </w:p>
    <w:p w:rsidR="002127D6" w14:paraId="164AA701" w14:textId="77777777">
      <w:pPr>
        <w:spacing w:after="0" w:line="259" w:lineRule="auto"/>
        <w:ind w:left="0" w:firstLine="0"/>
      </w:pPr>
      <w:r>
        <w:t xml:space="preserve"> </w:t>
      </w:r>
    </w:p>
    <w:p w:rsidR="002127D6" w14:paraId="48F5891C" w14:textId="77777777">
      <w:pPr>
        <w:ind w:left="715"/>
      </w:pPr>
      <w:r>
        <w:t xml:space="preserve">Not applicable. Although there are no payments or gifts provided as part of completing ePA using the NCPDP SCRIPT standard, we believe there will be cost savings to plans and prescribers due to reduced administrative burden compared with manual prior authorization. Part D sponsors are permitted to offer their enrollees rewards and incentives for using the beneficiary RTBT, but we do not consider enrollees to be respondents for the purposes of this information collection since there is no requirements that beneficiaries utilize the RTBT. </w:t>
      </w:r>
    </w:p>
    <w:p w:rsidR="002127D6" w14:paraId="0E99D669" w14:textId="77777777">
      <w:pPr>
        <w:spacing w:after="0" w:line="259" w:lineRule="auto"/>
        <w:ind w:left="0" w:firstLine="0"/>
      </w:pPr>
      <w:r>
        <w:t xml:space="preserve"> </w:t>
      </w:r>
    </w:p>
    <w:p w:rsidR="002127D6" w14:paraId="3EC32873" w14:textId="77777777">
      <w:pPr>
        <w:pStyle w:val="Heading3"/>
        <w:ind w:left="715"/>
      </w:pPr>
      <w:r>
        <w:rPr>
          <w:u w:val="none"/>
        </w:rPr>
        <w:t>10.</w:t>
      </w:r>
      <w:r>
        <w:rPr>
          <w:rFonts w:ascii="Arial" w:eastAsia="Arial" w:hAnsi="Arial" w:cs="Arial"/>
          <w:u w:val="none"/>
        </w:rPr>
        <w:t xml:space="preserve"> </w:t>
      </w:r>
      <w:r>
        <w:t>Confidentiality</w:t>
      </w:r>
      <w:r>
        <w:rPr>
          <w:u w:val="none"/>
        </w:rPr>
        <w:t xml:space="preserve"> </w:t>
      </w:r>
    </w:p>
    <w:p w:rsidR="002127D6" w14:paraId="5FF3A75B" w14:textId="77777777">
      <w:pPr>
        <w:spacing w:after="0" w:line="259" w:lineRule="auto"/>
        <w:ind w:left="0" w:firstLine="0"/>
      </w:pPr>
      <w:r>
        <w:t xml:space="preserve"> </w:t>
      </w:r>
    </w:p>
    <w:p w:rsidR="002127D6" w14:paraId="21683743" w14:textId="77777777">
      <w:pPr>
        <w:spacing w:line="238" w:lineRule="auto"/>
        <w:ind w:left="715" w:right="304"/>
        <w:jc w:val="both"/>
      </w:pPr>
      <w:r>
        <w:t xml:space="preserve">Although CMS is not involved in the transmission of this information, CMS trusts that the protected health information (PHI) transmitted through ePA and beneficiary RTBTs will be transmitted securely consistent with industry standards for encryption and in a Health Insurance Portability and Accountability Act (HIPAA)-compliant manner. </w:t>
      </w:r>
    </w:p>
    <w:p w:rsidR="002127D6" w14:paraId="361CB9B7" w14:textId="77777777">
      <w:pPr>
        <w:spacing w:after="0" w:line="259" w:lineRule="auto"/>
        <w:ind w:left="0" w:firstLine="0"/>
      </w:pPr>
      <w:r>
        <w:t xml:space="preserve"> </w:t>
      </w:r>
    </w:p>
    <w:p w:rsidR="002127D6" w14:paraId="070D7A0D" w14:textId="77777777">
      <w:pPr>
        <w:pStyle w:val="Heading3"/>
        <w:ind w:left="715"/>
      </w:pPr>
      <w:r>
        <w:rPr>
          <w:u w:val="none"/>
        </w:rPr>
        <w:t>11.</w:t>
      </w:r>
      <w:r>
        <w:rPr>
          <w:rFonts w:ascii="Arial" w:eastAsia="Arial" w:hAnsi="Arial" w:cs="Arial"/>
          <w:u w:val="none"/>
        </w:rPr>
        <w:t xml:space="preserve"> </w:t>
      </w:r>
      <w:r>
        <w:t>Sensitive Questions</w:t>
      </w:r>
      <w:r>
        <w:rPr>
          <w:u w:val="none"/>
        </w:rPr>
        <w:t xml:space="preserve"> </w:t>
      </w:r>
    </w:p>
    <w:p w:rsidR="002127D6" w14:paraId="2B0FECA9" w14:textId="77777777">
      <w:pPr>
        <w:spacing w:after="0" w:line="259" w:lineRule="auto"/>
        <w:ind w:left="0" w:firstLine="0"/>
      </w:pPr>
      <w:r>
        <w:t xml:space="preserve"> </w:t>
      </w:r>
    </w:p>
    <w:p w:rsidR="002127D6" w14:paraId="1CF6E21E" w14:textId="77777777">
      <w:pPr>
        <w:ind w:left="71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2127D6" w14:paraId="464D60C1" w14:textId="77777777">
      <w:pPr>
        <w:spacing w:after="0" w:line="259" w:lineRule="auto"/>
        <w:ind w:left="0" w:firstLine="0"/>
      </w:pPr>
      <w:r>
        <w:t xml:space="preserve"> </w:t>
      </w:r>
    </w:p>
    <w:p w:rsidR="002127D6" w14:paraId="2185AD5F" w14:textId="77777777">
      <w:pPr>
        <w:spacing w:after="0" w:line="259" w:lineRule="auto"/>
        <w:ind w:left="715"/>
      </w:pPr>
      <w:r>
        <w:t>12.</w:t>
      </w:r>
      <w:r>
        <w:rPr>
          <w:rFonts w:ascii="Arial" w:eastAsia="Arial" w:hAnsi="Arial" w:cs="Arial"/>
        </w:rPr>
        <w:t xml:space="preserve"> </w:t>
      </w:r>
      <w:r>
        <w:rPr>
          <w:u w:val="single" w:color="000000"/>
        </w:rPr>
        <w:t>Collection of Information Requirements and Annual Burden Estimates</w:t>
      </w:r>
      <w:r>
        <w:t xml:space="preserve"> </w:t>
      </w:r>
    </w:p>
    <w:p w:rsidR="002127D6" w14:paraId="2058E683" w14:textId="77777777">
      <w:pPr>
        <w:spacing w:after="0" w:line="259" w:lineRule="auto"/>
        <w:ind w:left="0" w:firstLine="0"/>
      </w:pPr>
      <w:r>
        <w:t xml:space="preserve"> </w:t>
      </w:r>
    </w:p>
    <w:p w:rsidR="002127D6" w14:paraId="0D8FF0A2" w14:textId="77777777">
      <w:pPr>
        <w:pStyle w:val="Heading2"/>
        <w:ind w:left="715"/>
      </w:pPr>
      <w:r>
        <w:t xml:space="preserve">Wages </w:t>
      </w:r>
    </w:p>
    <w:p w:rsidR="002127D6" w14:paraId="660F1D70" w14:textId="77777777">
      <w:pPr>
        <w:spacing w:after="0" w:line="259" w:lineRule="auto"/>
        <w:ind w:left="0" w:firstLine="0"/>
      </w:pPr>
      <w:r>
        <w:rPr>
          <w:i/>
        </w:rPr>
        <w:t xml:space="preserve"> </w:t>
      </w:r>
    </w:p>
    <w:p w:rsidR="002127D6" w14:paraId="6CE9406E" w14:textId="77777777">
      <w:pPr>
        <w:ind w:left="715"/>
      </w:pPr>
      <w:r>
        <w:t xml:space="preserve">To derive average costs, we used data from the U.S. Bureau of Labor Statistics’ May </w:t>
      </w:r>
    </w:p>
    <w:p w:rsidR="002127D6" w14:paraId="4B59A7A2" w14:textId="77777777">
      <w:pPr>
        <w:ind w:left="715"/>
      </w:pPr>
      <w:r>
        <w:t xml:space="preserve">2024 National Occupational Employment and Wage Estimates for all salary estimates </w:t>
      </w:r>
    </w:p>
    <w:p w:rsidR="002127D6" w14:paraId="4980CC71" w14:textId="77777777">
      <w:pPr>
        <w:spacing w:line="238" w:lineRule="auto"/>
        <w:ind w:left="715" w:right="10"/>
        <w:jc w:val="both"/>
      </w:pPr>
      <w:hyperlink r:id="rId6">
        <w:r>
          <w:rPr>
            <w:color w:val="0562C1"/>
            <w:u w:val="single" w:color="0562C1"/>
          </w:rPr>
          <w:t>(http://www.bls.gov/oes/current/oes_nat.htm</w:t>
        </w:r>
      </w:hyperlink>
      <w:hyperlink r:id="rId6">
        <w:r>
          <w:rPr>
            <w:color w:val="0562C1"/>
            <w:u w:val="single" w:color="0562C1"/>
          </w:rPr>
          <w:t>)</w:t>
        </w:r>
      </w:hyperlink>
      <w:hyperlink r:id="rId6">
        <w:r>
          <w:t>.</w:t>
        </w:r>
      </w:hyperlink>
      <w:r>
        <w:t xml:space="preserve"> In this regard, the following table presents the mean hourly wage, the cost of fringe benefits (calculated at 100 percent of salary), and the adjusted hourly wage. </w:t>
      </w:r>
    </w:p>
    <w:p w:rsidR="002127D6" w14:paraId="6D2FD5AD" w14:textId="77777777">
      <w:pPr>
        <w:spacing w:after="0" w:line="259" w:lineRule="auto"/>
        <w:ind w:left="0" w:firstLine="0"/>
      </w:pPr>
      <w:r>
        <w:rPr>
          <w:sz w:val="20"/>
        </w:rPr>
        <w:t xml:space="preserve"> </w:t>
      </w:r>
    </w:p>
    <w:tbl>
      <w:tblPr>
        <w:tblStyle w:val="TableGrid"/>
        <w:tblW w:w="8294" w:type="dxa"/>
        <w:tblInd w:w="1193" w:type="dxa"/>
        <w:tblCellMar>
          <w:top w:w="53" w:type="dxa"/>
          <w:left w:w="115" w:type="dxa"/>
          <w:right w:w="18" w:type="dxa"/>
        </w:tblCellMar>
        <w:tblLook w:val="04A0"/>
      </w:tblPr>
      <w:tblGrid>
        <w:gridCol w:w="1745"/>
        <w:gridCol w:w="1687"/>
        <w:gridCol w:w="1610"/>
        <w:gridCol w:w="1608"/>
        <w:gridCol w:w="1644"/>
      </w:tblGrid>
      <w:tr w14:paraId="0EF9006C" w14:textId="77777777">
        <w:tblPrEx>
          <w:tblW w:w="8294" w:type="dxa"/>
          <w:tblInd w:w="1193" w:type="dxa"/>
          <w:tblCellMar>
            <w:top w:w="53" w:type="dxa"/>
            <w:left w:w="115" w:type="dxa"/>
            <w:right w:w="18" w:type="dxa"/>
          </w:tblCellMar>
          <w:tblLook w:val="04A0"/>
        </w:tblPrEx>
        <w:trPr>
          <w:trHeight w:val="499"/>
        </w:trPr>
        <w:tc>
          <w:tcPr>
            <w:tcW w:w="1745" w:type="dxa"/>
            <w:tcBorders>
              <w:top w:val="single" w:sz="4" w:space="0" w:color="000000"/>
              <w:left w:val="single" w:sz="4" w:space="0" w:color="000000"/>
              <w:bottom w:val="single" w:sz="4" w:space="0" w:color="000000"/>
              <w:right w:val="single" w:sz="4" w:space="0" w:color="000000"/>
            </w:tcBorders>
          </w:tcPr>
          <w:p w:rsidR="002127D6" w14:paraId="5F254AC0" w14:textId="77777777">
            <w:pPr>
              <w:spacing w:after="0" w:line="259" w:lineRule="auto"/>
              <w:ind w:left="7" w:firstLine="0"/>
            </w:pPr>
            <w:r>
              <w:rPr>
                <w:sz w:val="19"/>
              </w:rPr>
              <w:t xml:space="preserve">Occupation Title </w:t>
            </w:r>
          </w:p>
        </w:tc>
        <w:tc>
          <w:tcPr>
            <w:tcW w:w="1687" w:type="dxa"/>
            <w:tcBorders>
              <w:top w:val="single" w:sz="4" w:space="0" w:color="000000"/>
              <w:left w:val="single" w:sz="4" w:space="0" w:color="000000"/>
              <w:bottom w:val="single" w:sz="4" w:space="0" w:color="000000"/>
              <w:right w:val="single" w:sz="4" w:space="0" w:color="000000"/>
            </w:tcBorders>
          </w:tcPr>
          <w:p w:rsidR="002127D6" w14:paraId="34B1A029" w14:textId="77777777">
            <w:pPr>
              <w:spacing w:after="0" w:line="259" w:lineRule="auto"/>
              <w:ind w:left="2" w:firstLine="0"/>
            </w:pPr>
            <w:r>
              <w:rPr>
                <w:sz w:val="19"/>
              </w:rPr>
              <w:t xml:space="preserve">Occupation Code </w:t>
            </w:r>
          </w:p>
        </w:tc>
        <w:tc>
          <w:tcPr>
            <w:tcW w:w="1610" w:type="dxa"/>
            <w:tcBorders>
              <w:top w:val="single" w:sz="4" w:space="0" w:color="000000"/>
              <w:left w:val="single" w:sz="4" w:space="0" w:color="000000"/>
              <w:bottom w:val="single" w:sz="4" w:space="0" w:color="000000"/>
              <w:right w:val="single" w:sz="4" w:space="0" w:color="000000"/>
            </w:tcBorders>
          </w:tcPr>
          <w:p w:rsidR="002127D6" w14:paraId="1D5A1AC4" w14:textId="77777777">
            <w:pPr>
              <w:spacing w:line="259" w:lineRule="auto"/>
              <w:ind w:left="0" w:firstLine="0"/>
            </w:pPr>
            <w:r>
              <w:rPr>
                <w:sz w:val="19"/>
              </w:rPr>
              <w:t xml:space="preserve">Mean Hourly </w:t>
            </w:r>
          </w:p>
          <w:p w:rsidR="002127D6" w14:paraId="24C18AD3" w14:textId="77777777">
            <w:pPr>
              <w:spacing w:after="0" w:line="259" w:lineRule="auto"/>
              <w:ind w:left="0" w:firstLine="0"/>
            </w:pPr>
            <w:r>
              <w:rPr>
                <w:sz w:val="19"/>
              </w:rPr>
              <w:t xml:space="preserve">Wage ($/hr) </w:t>
            </w:r>
          </w:p>
        </w:tc>
        <w:tc>
          <w:tcPr>
            <w:tcW w:w="1608" w:type="dxa"/>
            <w:tcBorders>
              <w:top w:val="single" w:sz="4" w:space="0" w:color="000000"/>
              <w:left w:val="single" w:sz="4" w:space="0" w:color="000000"/>
              <w:bottom w:val="single" w:sz="4" w:space="0" w:color="000000"/>
              <w:right w:val="single" w:sz="4" w:space="0" w:color="000000"/>
            </w:tcBorders>
          </w:tcPr>
          <w:p w:rsidR="002127D6" w14:paraId="2FF78E48" w14:textId="77777777">
            <w:pPr>
              <w:spacing w:line="259" w:lineRule="auto"/>
              <w:ind w:left="0" w:firstLine="0"/>
            </w:pPr>
            <w:r>
              <w:rPr>
                <w:sz w:val="19"/>
              </w:rPr>
              <w:t xml:space="preserve">Fringe Benefit </w:t>
            </w:r>
          </w:p>
          <w:p w:rsidR="002127D6" w14:paraId="471A1A86" w14:textId="77777777">
            <w:pPr>
              <w:spacing w:after="0" w:line="259" w:lineRule="auto"/>
              <w:ind w:left="0" w:firstLine="0"/>
            </w:pPr>
            <w:r>
              <w:rPr>
                <w:sz w:val="19"/>
              </w:rPr>
              <w:t xml:space="preserve">($/hr) </w:t>
            </w:r>
          </w:p>
        </w:tc>
        <w:tc>
          <w:tcPr>
            <w:tcW w:w="1644" w:type="dxa"/>
            <w:tcBorders>
              <w:top w:val="single" w:sz="4" w:space="0" w:color="000000"/>
              <w:left w:val="single" w:sz="4" w:space="0" w:color="000000"/>
              <w:bottom w:val="single" w:sz="4" w:space="0" w:color="000000"/>
              <w:right w:val="single" w:sz="4" w:space="0" w:color="000000"/>
            </w:tcBorders>
          </w:tcPr>
          <w:p w:rsidR="002127D6" w14:paraId="4F7873A0" w14:textId="77777777">
            <w:pPr>
              <w:spacing w:line="259" w:lineRule="auto"/>
              <w:ind w:left="0" w:firstLine="0"/>
            </w:pPr>
            <w:r>
              <w:rPr>
                <w:sz w:val="19"/>
              </w:rPr>
              <w:t xml:space="preserve">Adjusted Hourly </w:t>
            </w:r>
          </w:p>
          <w:p w:rsidR="002127D6" w14:paraId="5AF89F02" w14:textId="77777777">
            <w:pPr>
              <w:spacing w:after="0" w:line="259" w:lineRule="auto"/>
              <w:ind w:left="0" w:firstLine="0"/>
            </w:pPr>
            <w:r>
              <w:rPr>
                <w:sz w:val="19"/>
              </w:rPr>
              <w:t xml:space="preserve">Wage ($/hr) </w:t>
            </w:r>
          </w:p>
        </w:tc>
      </w:tr>
      <w:tr w14:paraId="1CDF806A" w14:textId="77777777">
        <w:tblPrEx>
          <w:tblW w:w="8294" w:type="dxa"/>
          <w:tblInd w:w="1193" w:type="dxa"/>
          <w:tblCellMar>
            <w:top w:w="53" w:type="dxa"/>
            <w:left w:w="115" w:type="dxa"/>
            <w:right w:w="18" w:type="dxa"/>
          </w:tblCellMar>
          <w:tblLook w:val="04A0"/>
        </w:tblPrEx>
        <w:trPr>
          <w:trHeight w:val="672"/>
        </w:trPr>
        <w:tc>
          <w:tcPr>
            <w:tcW w:w="1745" w:type="dxa"/>
            <w:tcBorders>
              <w:top w:val="single" w:sz="4" w:space="0" w:color="000000"/>
              <w:left w:val="single" w:sz="4" w:space="0" w:color="000000"/>
              <w:bottom w:val="single" w:sz="4" w:space="0" w:color="000000"/>
              <w:right w:val="single" w:sz="4" w:space="0" w:color="000000"/>
            </w:tcBorders>
          </w:tcPr>
          <w:p w:rsidR="002127D6" w14:paraId="0191E9E8" w14:textId="77777777">
            <w:pPr>
              <w:spacing w:after="0" w:line="259" w:lineRule="auto"/>
              <w:ind w:left="7" w:firstLine="0"/>
            </w:pPr>
            <w:r>
              <w:rPr>
                <w:sz w:val="19"/>
              </w:rPr>
              <w:t xml:space="preserve">Business Operations </w:t>
            </w:r>
          </w:p>
          <w:p w:rsidR="002127D6" w14:paraId="55C7255F" w14:textId="77777777">
            <w:pPr>
              <w:spacing w:after="0" w:line="259" w:lineRule="auto"/>
              <w:ind w:left="7" w:firstLine="0"/>
            </w:pPr>
            <w:r>
              <w:rPr>
                <w:sz w:val="19"/>
              </w:rPr>
              <w:t xml:space="preserve">Specialists, All </w:t>
            </w:r>
          </w:p>
          <w:p w:rsidR="002127D6" w14:paraId="53F1A147" w14:textId="77777777">
            <w:pPr>
              <w:spacing w:after="0" w:line="259" w:lineRule="auto"/>
              <w:ind w:left="7" w:firstLine="0"/>
            </w:pPr>
            <w:r>
              <w:rPr>
                <w:sz w:val="19"/>
              </w:rPr>
              <w:t xml:space="preserve">Other </w:t>
            </w:r>
          </w:p>
        </w:tc>
        <w:tc>
          <w:tcPr>
            <w:tcW w:w="1687" w:type="dxa"/>
            <w:tcBorders>
              <w:top w:val="single" w:sz="4" w:space="0" w:color="000000"/>
              <w:left w:val="single" w:sz="4" w:space="0" w:color="000000"/>
              <w:bottom w:val="single" w:sz="4" w:space="0" w:color="000000"/>
              <w:right w:val="single" w:sz="4" w:space="0" w:color="000000"/>
            </w:tcBorders>
          </w:tcPr>
          <w:p w:rsidR="002127D6" w14:paraId="77C4F815" w14:textId="77777777">
            <w:pPr>
              <w:spacing w:after="0" w:line="259" w:lineRule="auto"/>
              <w:ind w:left="2" w:firstLine="0"/>
            </w:pPr>
            <w:r>
              <w:rPr>
                <w:sz w:val="19"/>
              </w:rPr>
              <w:t xml:space="preserve">13-1199 </w:t>
            </w:r>
          </w:p>
        </w:tc>
        <w:tc>
          <w:tcPr>
            <w:tcW w:w="1610" w:type="dxa"/>
            <w:tcBorders>
              <w:top w:val="single" w:sz="4" w:space="0" w:color="000000"/>
              <w:left w:val="single" w:sz="4" w:space="0" w:color="000000"/>
              <w:bottom w:val="single" w:sz="4" w:space="0" w:color="000000"/>
              <w:right w:val="single" w:sz="4" w:space="0" w:color="000000"/>
            </w:tcBorders>
          </w:tcPr>
          <w:p w:rsidR="002127D6" w14:paraId="5A6E2EEB" w14:textId="77777777">
            <w:pPr>
              <w:spacing w:after="0" w:line="259" w:lineRule="auto"/>
              <w:ind w:left="0" w:firstLine="0"/>
            </w:pPr>
            <w:r>
              <w:rPr>
                <w:sz w:val="19"/>
              </w:rPr>
              <w:t xml:space="preserve">44.41 </w:t>
            </w:r>
          </w:p>
        </w:tc>
        <w:tc>
          <w:tcPr>
            <w:tcW w:w="1608" w:type="dxa"/>
            <w:tcBorders>
              <w:top w:val="single" w:sz="4" w:space="0" w:color="000000"/>
              <w:left w:val="single" w:sz="4" w:space="0" w:color="000000"/>
              <w:bottom w:val="single" w:sz="4" w:space="0" w:color="000000"/>
              <w:right w:val="single" w:sz="4" w:space="0" w:color="000000"/>
            </w:tcBorders>
          </w:tcPr>
          <w:p w:rsidR="002127D6" w14:paraId="500ADFC9" w14:textId="77777777">
            <w:pPr>
              <w:spacing w:after="0" w:line="259" w:lineRule="auto"/>
              <w:ind w:left="0" w:firstLine="0"/>
            </w:pPr>
            <w:r>
              <w:rPr>
                <w:sz w:val="19"/>
              </w:rPr>
              <w:t xml:space="preserve">44.41 </w:t>
            </w:r>
          </w:p>
        </w:tc>
        <w:tc>
          <w:tcPr>
            <w:tcW w:w="1644" w:type="dxa"/>
            <w:tcBorders>
              <w:top w:val="single" w:sz="4" w:space="0" w:color="000000"/>
              <w:left w:val="single" w:sz="4" w:space="0" w:color="000000"/>
              <w:bottom w:val="single" w:sz="4" w:space="0" w:color="000000"/>
              <w:right w:val="single" w:sz="4" w:space="0" w:color="000000"/>
            </w:tcBorders>
          </w:tcPr>
          <w:p w:rsidR="002127D6" w14:paraId="4C3809DF" w14:textId="77777777">
            <w:pPr>
              <w:spacing w:after="0" w:line="259" w:lineRule="auto"/>
              <w:ind w:left="146" w:firstLine="0"/>
            </w:pPr>
            <w:r>
              <w:rPr>
                <w:sz w:val="19"/>
              </w:rPr>
              <w:t xml:space="preserve">88.81 </w:t>
            </w:r>
          </w:p>
        </w:tc>
      </w:tr>
    </w:tbl>
    <w:p w:rsidR="002127D6" w14:paraId="454E122A" w14:textId="77777777">
      <w:pPr>
        <w:ind w:left="71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FE2727" w14:paraId="65F1C84F" w14:textId="77777777">
      <w:pPr>
        <w:ind w:left="715"/>
      </w:pPr>
    </w:p>
    <w:p w:rsidR="002127D6" w14:paraId="5F1B9CD0" w14:textId="77777777">
      <w:pPr>
        <w:pStyle w:val="Heading2"/>
        <w:ind w:left="715"/>
      </w:pPr>
      <w:r>
        <w:t xml:space="preserve">Burden Associated with ePA (§ 423.160(b)(1)) </w:t>
      </w:r>
    </w:p>
    <w:p w:rsidR="002127D6" w14:paraId="415BC34F" w14:textId="77777777">
      <w:pPr>
        <w:spacing w:after="0" w:line="259" w:lineRule="auto"/>
        <w:ind w:left="0" w:firstLine="0"/>
      </w:pPr>
      <w:r>
        <w:rPr>
          <w:i/>
        </w:rPr>
        <w:t xml:space="preserve"> </w:t>
      </w:r>
    </w:p>
    <w:p w:rsidR="002127D6" w14:paraId="78608F2E" w14:textId="77777777">
      <w:pPr>
        <w:spacing w:after="28"/>
        <w:ind w:left="715"/>
      </w:pPr>
      <w:r>
        <w:t>Based on our informal conversations with the industry, we believe that the ongoing cost that plans will incur to process ePA transactions range from $1.20 to $2.85 per transaction, which varies based on vendor and volume. Across the pharmacy industry in general, approximately half of all prior authorizations are completed electronically while half continue to be completed manually through phone or fax.</w:t>
      </w:r>
      <w:r>
        <w:rPr>
          <w:vertAlign w:val="superscript"/>
        </w:rPr>
        <w:footnoteReference w:id="2"/>
      </w:r>
      <w:r>
        <w:t xml:space="preserve"> CMS does not collect data on the number of prescription drug prior authorization requests that prescribers submit to plans. We previously estimated that 560,430 ePAs are performed every year across 772 contracts, for an average of 724 ePAs per contract, per year. There are 968 Part D contracts as of March 2025. Therefore assuming the same number of ePAs occurring per contract we revise the estimate to 700,832 ePAs annually (724 ePAs * 968 contracts). Each authorization requires two individual transactions, one for receiving and one for responding. Using $2.03 as the average cost per transaction ([$1.20 + $2.85]/2) we estimate $4.06 per authorization ($2.03/transaction × 2 transactions/authorization). In aggregate we project an ongoing transaction (both receiving and responding) cost of $2,845,378annually ($4.06/ authorization * 700,832 ) for all plans. </w:t>
      </w:r>
    </w:p>
    <w:p w:rsidR="002127D6" w14:paraId="2B61BD9D" w14:textId="77777777">
      <w:pPr>
        <w:spacing w:after="0" w:line="259" w:lineRule="auto"/>
        <w:ind w:left="0" w:firstLine="0"/>
      </w:pPr>
      <w:r>
        <w:t xml:space="preserve"> </w:t>
      </w:r>
    </w:p>
    <w:p w:rsidR="002127D6" w14:paraId="5FB40B12" w14:textId="77777777">
      <w:pPr>
        <w:pStyle w:val="Heading2"/>
        <w:spacing w:after="254"/>
        <w:ind w:left="715"/>
      </w:pPr>
      <w:r>
        <w:t xml:space="preserve">Burden Associated with Beneficiary RTBTs (§ 423.128(d)(4)-(5)) </w:t>
      </w:r>
    </w:p>
    <w:p w:rsidR="002127D6" w14:paraId="1919A5FB" w14:textId="77777777">
      <w:pPr>
        <w:ind w:left="715"/>
      </w:pPr>
      <w:r>
        <w:t xml:space="preserve">One-time costs associated with establishing beneficiary RTBTs, developing the rewards and incentives policy, and updating RTBT systems to collect usage data for rewards and incentives were described in the January 19, 2021 final rule CMS-4190-F2 (86 FR 5864 starting at 86 FR 6064). As these one-time costs are no longer applicable, they are not included in this renewal. We are including the ongoing annual costs associated with maintaining rewards and incentives programs associated with beneficiary RTBTs. We estimated that 10 percent of Part D sponsor parent organizations would create a rewards and incentives program for use of the beneficiary RTBT. For 2025, there are 329 parent organizations associated with plans offering Part D. Therefore, we expect 33 (329 * 0.10) parent organizations to maintain rewards and incentives programs. We estimate that 2 business operations specialists will each take 15 hours every month to maintain the program for a total annual burden of 360 hours per parent organization (15 hr/month * 12 months * 2 workers) and a total of 11,880 hr for 33 parent organizations (360 hr * 33 parent organizations). The total estimated annual cost is therefore $1,055,063 (11,880 hr * $88.81/hr). </w:t>
      </w:r>
    </w:p>
    <w:p w:rsidR="002127D6" w14:paraId="08014C01" w14:textId="77777777">
      <w:pPr>
        <w:spacing w:after="0" w:line="259" w:lineRule="auto"/>
        <w:ind w:left="0" w:firstLine="0"/>
      </w:pPr>
      <w:r>
        <w:t xml:space="preserve"> </w:t>
      </w:r>
    </w:p>
    <w:p w:rsidR="002127D6" w14:paraId="34CD7038" w14:textId="77777777">
      <w:pPr>
        <w:spacing w:after="0" w:line="259" w:lineRule="auto"/>
        <w:ind w:left="0" w:firstLine="0"/>
      </w:pPr>
      <w:r>
        <w:t xml:space="preserve"> </w:t>
      </w:r>
    </w:p>
    <w:p w:rsidR="002127D6" w14:paraId="4856F47A" w14:textId="77777777">
      <w:pPr>
        <w:ind w:left="715"/>
      </w:pPr>
      <w:r>
        <w:t xml:space="preserve">The total annual costs are summarized in Table 1. </w:t>
      </w:r>
    </w:p>
    <w:p w:rsidR="002127D6" w14:paraId="4AEDC7E2" w14:textId="77777777">
      <w:pPr>
        <w:spacing w:after="0" w:line="259" w:lineRule="auto"/>
        <w:ind w:left="0" w:firstLine="0"/>
      </w:pPr>
      <w:r>
        <w:rPr>
          <w:sz w:val="20"/>
        </w:rPr>
        <w:t xml:space="preserve"> </w:t>
      </w:r>
    </w:p>
    <w:p w:rsidR="002127D6" w14:paraId="1F1A0198" w14:textId="77777777">
      <w:pPr>
        <w:spacing w:after="0" w:line="259" w:lineRule="auto"/>
        <w:ind w:left="0" w:firstLine="0"/>
      </w:pPr>
      <w:r>
        <w:rPr>
          <w:sz w:val="20"/>
        </w:rPr>
        <w:t xml:space="preserve"> </w:t>
      </w:r>
    </w:p>
    <w:p w:rsidR="002127D6" w14:paraId="43BBEB8D" w14:textId="77777777">
      <w:pPr>
        <w:spacing w:after="0" w:line="259" w:lineRule="auto"/>
        <w:ind w:left="0" w:firstLine="0"/>
      </w:pPr>
      <w:r>
        <w:rPr>
          <w:sz w:val="20"/>
        </w:rPr>
        <w:t xml:space="preserve"> </w:t>
      </w:r>
    </w:p>
    <w:p w:rsidR="002127D6" w14:paraId="1B485711" w14:textId="77777777">
      <w:pPr>
        <w:spacing w:after="0" w:line="259" w:lineRule="auto"/>
        <w:ind w:left="0" w:firstLine="0"/>
      </w:pPr>
      <w:r>
        <w:rPr>
          <w:sz w:val="20"/>
        </w:rPr>
        <w:t xml:space="preserve"> </w:t>
      </w:r>
    </w:p>
    <w:p w:rsidR="002127D6" w14:paraId="4140EEA8" w14:textId="77777777">
      <w:pPr>
        <w:spacing w:after="0" w:line="259" w:lineRule="auto"/>
        <w:ind w:left="0" w:firstLine="0"/>
      </w:pPr>
      <w:r>
        <w:rPr>
          <w:sz w:val="20"/>
        </w:rPr>
        <w:t xml:space="preserve"> </w:t>
      </w:r>
    </w:p>
    <w:p w:rsidR="002127D6" w14:paraId="731087CF" w14:textId="77777777">
      <w:pPr>
        <w:spacing w:after="0" w:line="259" w:lineRule="auto"/>
        <w:ind w:left="0" w:firstLine="0"/>
      </w:pPr>
      <w:r>
        <w:rPr>
          <w:sz w:val="20"/>
        </w:rPr>
        <w:t xml:space="preserve"> </w:t>
      </w:r>
    </w:p>
    <w:p w:rsidR="002127D6" w14:paraId="5C36F5CD" w14:textId="77777777">
      <w:pPr>
        <w:spacing w:after="0" w:line="259" w:lineRule="auto"/>
        <w:ind w:left="0" w:firstLine="0"/>
      </w:pPr>
      <w:r>
        <w:rPr>
          <w:sz w:val="20"/>
        </w:rPr>
        <w:t xml:space="preserve"> </w:t>
      </w:r>
    </w:p>
    <w:p w:rsidR="002127D6" w14:paraId="43809F00" w14:textId="77777777">
      <w:pPr>
        <w:spacing w:after="0" w:line="259" w:lineRule="auto"/>
        <w:ind w:left="0" w:firstLine="0"/>
      </w:pPr>
      <w:r>
        <w:rPr>
          <w:sz w:val="20"/>
        </w:rPr>
        <w:t xml:space="preserve"> </w:t>
      </w:r>
    </w:p>
    <w:p w:rsidR="002127D6" w14:paraId="3860A18F" w14:textId="77777777">
      <w:pPr>
        <w:spacing w:after="0" w:line="259" w:lineRule="auto"/>
        <w:ind w:left="0" w:firstLine="0"/>
      </w:pPr>
      <w:r>
        <w:rPr>
          <w:sz w:val="20"/>
        </w:rPr>
        <w:t xml:space="preserve"> </w:t>
      </w:r>
    </w:p>
    <w:p w:rsidR="002127D6" w14:paraId="6E22CDA1" w14:textId="77777777">
      <w:pPr>
        <w:spacing w:after="89" w:line="259" w:lineRule="auto"/>
        <w:ind w:left="0" w:firstLine="0"/>
      </w:pPr>
      <w:r>
        <w:rPr>
          <w:sz w:val="20"/>
        </w:rPr>
        <w:t xml:space="preserve"> </w:t>
      </w:r>
    </w:p>
    <w:p w:rsidR="002127D6" w14:paraId="48377BCB" w14:textId="77777777">
      <w:pPr>
        <w:spacing w:after="0" w:line="259" w:lineRule="auto"/>
        <w:ind w:left="0" w:firstLine="0"/>
      </w:pPr>
      <w:r>
        <w:rPr>
          <w:sz w:val="20"/>
        </w:rPr>
        <w:t xml:space="preserve"> </w:t>
      </w:r>
    </w:p>
    <w:p w:rsidR="002127D6" w14:paraId="13950094" w14:textId="77777777">
      <w:pPr>
        <w:spacing w:after="0" w:line="259" w:lineRule="auto"/>
        <w:ind w:left="720" w:firstLine="0"/>
      </w:pPr>
      <w:r>
        <w:rPr>
          <w:i/>
          <w:color w:val="44536A"/>
        </w:rPr>
        <w:t>Table 1: Burden Summary for Electronic Prescribing Tools</w:t>
      </w:r>
      <w:r>
        <w:rPr>
          <w:i/>
        </w:rPr>
        <w:t xml:space="preserve"> </w:t>
      </w:r>
    </w:p>
    <w:p w:rsidR="002127D6" w14:paraId="5643DB79" w14:textId="77777777">
      <w:pPr>
        <w:spacing w:after="0" w:line="259" w:lineRule="auto"/>
        <w:ind w:left="0" w:firstLine="0"/>
      </w:pPr>
      <w:r>
        <w:rPr>
          <w:i/>
          <w:sz w:val="17"/>
        </w:rPr>
        <w:t xml:space="preserve"> </w:t>
      </w:r>
    </w:p>
    <w:tbl>
      <w:tblPr>
        <w:tblStyle w:val="TableGrid"/>
        <w:tblW w:w="10699" w:type="dxa"/>
        <w:tblInd w:w="122" w:type="dxa"/>
        <w:tblCellMar>
          <w:top w:w="56" w:type="dxa"/>
          <w:left w:w="5" w:type="dxa"/>
          <w:right w:w="71" w:type="dxa"/>
        </w:tblCellMar>
        <w:tblLook w:val="04A0"/>
      </w:tblPr>
      <w:tblGrid>
        <w:gridCol w:w="2421"/>
        <w:gridCol w:w="1080"/>
        <w:gridCol w:w="1260"/>
        <w:gridCol w:w="1080"/>
        <w:gridCol w:w="1260"/>
        <w:gridCol w:w="1260"/>
        <w:gridCol w:w="1260"/>
        <w:gridCol w:w="1078"/>
      </w:tblGrid>
      <w:tr w14:paraId="7C746B50" w14:textId="77777777">
        <w:tblPrEx>
          <w:tblW w:w="10699" w:type="dxa"/>
          <w:tblInd w:w="122" w:type="dxa"/>
          <w:tblCellMar>
            <w:top w:w="56" w:type="dxa"/>
            <w:left w:w="5" w:type="dxa"/>
            <w:right w:w="71" w:type="dxa"/>
          </w:tblCellMar>
          <w:tblLook w:val="04A0"/>
        </w:tblPrEx>
        <w:trPr>
          <w:trHeight w:val="1507"/>
        </w:trPr>
        <w:tc>
          <w:tcPr>
            <w:tcW w:w="2421" w:type="dxa"/>
            <w:tcBorders>
              <w:top w:val="single" w:sz="6" w:space="0" w:color="000000"/>
              <w:left w:val="single" w:sz="6" w:space="0" w:color="000000"/>
              <w:bottom w:val="single" w:sz="6" w:space="0" w:color="000000"/>
              <w:right w:val="single" w:sz="6" w:space="0" w:color="000000"/>
            </w:tcBorders>
          </w:tcPr>
          <w:p w:rsidR="002127D6" w14:paraId="04478328" w14:textId="77777777">
            <w:pPr>
              <w:spacing w:after="154" w:line="259" w:lineRule="auto"/>
              <w:ind w:left="0" w:firstLine="0"/>
            </w:pPr>
            <w:r>
              <w:rPr>
                <w:i/>
                <w:sz w:val="20"/>
              </w:rPr>
              <w:t xml:space="preserve"> </w:t>
            </w:r>
          </w:p>
          <w:p w:rsidR="002127D6" w14:paraId="467F52F9" w14:textId="77777777">
            <w:pPr>
              <w:spacing w:after="0" w:line="259" w:lineRule="auto"/>
              <w:ind w:left="0" w:firstLine="0"/>
            </w:pPr>
            <w:r>
              <w:rPr>
                <w:i/>
                <w:sz w:val="20"/>
              </w:rPr>
              <w:t xml:space="preserve"> </w:t>
            </w:r>
          </w:p>
          <w:p w:rsidR="002127D6" w14:paraId="1D9EF233" w14:textId="77777777">
            <w:pPr>
              <w:spacing w:after="0" w:line="259" w:lineRule="auto"/>
              <w:ind w:left="75" w:firstLine="0"/>
              <w:jc w:val="center"/>
            </w:pPr>
            <w:r>
              <w:rPr>
                <w:sz w:val="20"/>
              </w:rPr>
              <w:t xml:space="preserve">Subject </w:t>
            </w:r>
          </w:p>
        </w:tc>
        <w:tc>
          <w:tcPr>
            <w:tcW w:w="1080" w:type="dxa"/>
            <w:tcBorders>
              <w:top w:val="single" w:sz="6" w:space="0" w:color="000000"/>
              <w:left w:val="single" w:sz="6" w:space="0" w:color="000000"/>
              <w:bottom w:val="single" w:sz="6" w:space="0" w:color="000000"/>
              <w:right w:val="single" w:sz="6" w:space="0" w:color="000000"/>
            </w:tcBorders>
          </w:tcPr>
          <w:p w:rsidR="002127D6" w14:paraId="75BE5CE6" w14:textId="77777777">
            <w:pPr>
              <w:spacing w:after="39" w:line="259" w:lineRule="auto"/>
              <w:ind w:left="3" w:firstLine="0"/>
            </w:pPr>
            <w:r>
              <w:rPr>
                <w:i/>
                <w:sz w:val="20"/>
              </w:rPr>
              <w:t xml:space="preserve"> </w:t>
            </w:r>
          </w:p>
          <w:p w:rsidR="002127D6" w14:paraId="22FEE39C" w14:textId="77777777">
            <w:pPr>
              <w:spacing w:after="0" w:line="259" w:lineRule="auto"/>
              <w:ind w:left="3" w:firstLine="0"/>
            </w:pPr>
            <w:r>
              <w:rPr>
                <w:i/>
                <w:sz w:val="20"/>
              </w:rPr>
              <w:t xml:space="preserve"> </w:t>
            </w:r>
          </w:p>
          <w:p w:rsidR="002127D6" w14:paraId="276E9B7C" w14:textId="77777777">
            <w:pPr>
              <w:spacing w:after="0" w:line="259" w:lineRule="auto"/>
              <w:ind w:left="0" w:firstLine="0"/>
              <w:jc w:val="center"/>
            </w:pPr>
            <w:r>
              <w:rPr>
                <w:sz w:val="20"/>
              </w:rPr>
              <w:t xml:space="preserve">Response Type </w:t>
            </w:r>
          </w:p>
        </w:tc>
        <w:tc>
          <w:tcPr>
            <w:tcW w:w="1260" w:type="dxa"/>
            <w:tcBorders>
              <w:top w:val="single" w:sz="6" w:space="0" w:color="000000"/>
              <w:left w:val="single" w:sz="6" w:space="0" w:color="000000"/>
              <w:bottom w:val="single" w:sz="6" w:space="0" w:color="000000"/>
              <w:right w:val="single" w:sz="6" w:space="0" w:color="000000"/>
            </w:tcBorders>
          </w:tcPr>
          <w:p w:rsidR="002127D6" w14:paraId="594FA648" w14:textId="77777777">
            <w:pPr>
              <w:spacing w:after="39" w:line="259" w:lineRule="auto"/>
              <w:ind w:left="3" w:firstLine="0"/>
            </w:pPr>
            <w:r>
              <w:rPr>
                <w:i/>
                <w:sz w:val="20"/>
              </w:rPr>
              <w:t xml:space="preserve"> </w:t>
            </w:r>
          </w:p>
          <w:p w:rsidR="002127D6" w14:paraId="5FAB07DF" w14:textId="77777777">
            <w:pPr>
              <w:spacing w:after="0" w:line="259" w:lineRule="auto"/>
              <w:ind w:left="3" w:firstLine="0"/>
            </w:pPr>
            <w:r>
              <w:rPr>
                <w:i/>
                <w:sz w:val="20"/>
              </w:rPr>
              <w:t xml:space="preserve"> </w:t>
            </w:r>
          </w:p>
          <w:p w:rsidR="002127D6" w14:paraId="3F59EF8C" w14:textId="77777777">
            <w:pPr>
              <w:spacing w:after="0" w:line="259" w:lineRule="auto"/>
              <w:ind w:left="84" w:firstLine="0"/>
              <w:jc w:val="center"/>
            </w:pPr>
            <w:r>
              <w:rPr>
                <w:sz w:val="20"/>
              </w:rPr>
              <w:t xml:space="preserve"># </w:t>
            </w:r>
          </w:p>
          <w:p w:rsidR="002127D6" w14:paraId="78479929" w14:textId="77777777">
            <w:pPr>
              <w:spacing w:after="0" w:line="259" w:lineRule="auto"/>
              <w:ind w:left="130" w:firstLine="0"/>
            </w:pPr>
            <w:r>
              <w:rPr>
                <w:sz w:val="20"/>
              </w:rPr>
              <w:t xml:space="preserve">Respondents </w:t>
            </w:r>
          </w:p>
        </w:tc>
        <w:tc>
          <w:tcPr>
            <w:tcW w:w="1080" w:type="dxa"/>
            <w:tcBorders>
              <w:top w:val="single" w:sz="6" w:space="0" w:color="000000"/>
              <w:left w:val="single" w:sz="6" w:space="0" w:color="000000"/>
              <w:bottom w:val="single" w:sz="6" w:space="0" w:color="000000"/>
              <w:right w:val="single" w:sz="6" w:space="0" w:color="000000"/>
            </w:tcBorders>
          </w:tcPr>
          <w:p w:rsidR="002127D6" w14:paraId="6DCBA8C9" w14:textId="77777777">
            <w:pPr>
              <w:spacing w:after="0" w:line="259" w:lineRule="auto"/>
              <w:ind w:left="3" w:firstLine="0"/>
            </w:pPr>
            <w:r>
              <w:rPr>
                <w:i/>
                <w:sz w:val="20"/>
              </w:rPr>
              <w:t xml:space="preserve"> </w:t>
            </w:r>
          </w:p>
          <w:p w:rsidR="002127D6" w14:paraId="391720A1" w14:textId="77777777">
            <w:pPr>
              <w:spacing w:after="0" w:line="259" w:lineRule="auto"/>
              <w:ind w:left="62" w:firstLine="0"/>
              <w:jc w:val="center"/>
            </w:pPr>
            <w:r>
              <w:rPr>
                <w:sz w:val="20"/>
              </w:rPr>
              <w:t xml:space="preserve">Time (hr per response) </w:t>
            </w:r>
          </w:p>
        </w:tc>
        <w:tc>
          <w:tcPr>
            <w:tcW w:w="1260" w:type="dxa"/>
            <w:tcBorders>
              <w:top w:val="single" w:sz="6" w:space="0" w:color="000000"/>
              <w:left w:val="single" w:sz="6" w:space="0" w:color="000000"/>
              <w:bottom w:val="single" w:sz="6" w:space="0" w:color="000000"/>
              <w:right w:val="single" w:sz="6" w:space="0" w:color="000000"/>
            </w:tcBorders>
          </w:tcPr>
          <w:p w:rsidR="002127D6" w14:paraId="474B92D6" w14:textId="77777777">
            <w:pPr>
              <w:spacing w:after="0" w:line="259" w:lineRule="auto"/>
              <w:ind w:left="3" w:firstLine="0"/>
            </w:pPr>
            <w:r>
              <w:rPr>
                <w:i/>
                <w:sz w:val="20"/>
              </w:rPr>
              <w:t xml:space="preserve"> </w:t>
            </w:r>
          </w:p>
          <w:p w:rsidR="002127D6" w14:paraId="394CE71F" w14:textId="77777777">
            <w:pPr>
              <w:spacing w:after="0" w:line="259" w:lineRule="auto"/>
              <w:ind w:left="142" w:firstLine="0"/>
            </w:pPr>
            <w:r>
              <w:rPr>
                <w:sz w:val="20"/>
              </w:rPr>
              <w:t xml:space="preserve"># Responses </w:t>
            </w:r>
          </w:p>
          <w:p w:rsidR="002127D6" w14:paraId="564B5FC2" w14:textId="77777777">
            <w:pPr>
              <w:spacing w:after="0" w:line="259" w:lineRule="auto"/>
              <w:ind w:left="19" w:firstLine="0"/>
              <w:jc w:val="center"/>
            </w:pPr>
            <w:r>
              <w:rPr>
                <w:sz w:val="20"/>
              </w:rPr>
              <w:t xml:space="preserve">(per respondent) </w:t>
            </w:r>
          </w:p>
        </w:tc>
        <w:tc>
          <w:tcPr>
            <w:tcW w:w="1260" w:type="dxa"/>
            <w:tcBorders>
              <w:top w:val="single" w:sz="6" w:space="0" w:color="000000"/>
              <w:left w:val="single" w:sz="6" w:space="0" w:color="000000"/>
              <w:bottom w:val="single" w:sz="6" w:space="0" w:color="000000"/>
              <w:right w:val="single" w:sz="6" w:space="0" w:color="000000"/>
            </w:tcBorders>
          </w:tcPr>
          <w:p w:rsidR="002127D6" w14:paraId="24A58AF7" w14:textId="77777777">
            <w:pPr>
              <w:spacing w:after="0" w:line="259" w:lineRule="auto"/>
              <w:ind w:left="3" w:firstLine="0"/>
            </w:pPr>
            <w:r>
              <w:rPr>
                <w:i/>
                <w:sz w:val="20"/>
              </w:rPr>
              <w:t xml:space="preserve"> </w:t>
            </w:r>
          </w:p>
          <w:p w:rsidR="002127D6" w14:paraId="7DD0F85F" w14:textId="77777777">
            <w:pPr>
              <w:spacing w:after="0" w:line="259" w:lineRule="auto"/>
              <w:ind w:left="85" w:firstLine="0"/>
              <w:jc w:val="center"/>
            </w:pPr>
            <w:r>
              <w:rPr>
                <w:sz w:val="20"/>
              </w:rPr>
              <w:t xml:space="preserve">Total </w:t>
            </w:r>
          </w:p>
          <w:p w:rsidR="002127D6" w14:paraId="54D56220" w14:textId="77777777">
            <w:pPr>
              <w:spacing w:after="0" w:line="259" w:lineRule="auto"/>
              <w:ind w:left="86" w:firstLine="0"/>
              <w:jc w:val="center"/>
            </w:pPr>
            <w:r>
              <w:rPr>
                <w:sz w:val="20"/>
              </w:rPr>
              <w:t xml:space="preserve">Responses </w:t>
            </w:r>
          </w:p>
          <w:p w:rsidR="002127D6" w14:paraId="19224B28" w14:textId="77777777">
            <w:pPr>
              <w:spacing w:after="0" w:line="259" w:lineRule="auto"/>
              <w:ind w:left="88" w:firstLine="0"/>
              <w:jc w:val="center"/>
            </w:pPr>
            <w:r>
              <w:rPr>
                <w:sz w:val="20"/>
              </w:rPr>
              <w:t xml:space="preserve">(all </w:t>
            </w:r>
          </w:p>
          <w:p w:rsidR="002127D6" w14:paraId="53A9F5BA" w14:textId="77777777">
            <w:pPr>
              <w:spacing w:after="0" w:line="259" w:lineRule="auto"/>
              <w:ind w:left="135" w:firstLine="0"/>
            </w:pPr>
            <w:r>
              <w:rPr>
                <w:sz w:val="20"/>
              </w:rPr>
              <w:t xml:space="preserve">respondents) </w:t>
            </w:r>
          </w:p>
        </w:tc>
        <w:tc>
          <w:tcPr>
            <w:tcW w:w="1260" w:type="dxa"/>
            <w:tcBorders>
              <w:top w:val="single" w:sz="6" w:space="0" w:color="000000"/>
              <w:left w:val="single" w:sz="6" w:space="0" w:color="000000"/>
              <w:bottom w:val="single" w:sz="6" w:space="0" w:color="000000"/>
              <w:right w:val="single" w:sz="6" w:space="0" w:color="000000"/>
            </w:tcBorders>
          </w:tcPr>
          <w:p w:rsidR="002127D6" w14:paraId="3A44C340" w14:textId="77777777">
            <w:pPr>
              <w:spacing w:after="0" w:line="259" w:lineRule="auto"/>
              <w:ind w:left="3" w:firstLine="0"/>
            </w:pPr>
            <w:r>
              <w:rPr>
                <w:i/>
                <w:sz w:val="20"/>
              </w:rPr>
              <w:t xml:space="preserve"> </w:t>
            </w:r>
          </w:p>
          <w:p w:rsidR="002127D6" w14:paraId="7B03508D" w14:textId="77777777">
            <w:pPr>
              <w:spacing w:after="0" w:line="259" w:lineRule="auto"/>
              <w:ind w:left="85" w:firstLine="0"/>
              <w:jc w:val="center"/>
            </w:pPr>
            <w:r>
              <w:rPr>
                <w:sz w:val="20"/>
              </w:rPr>
              <w:t xml:space="preserve">Total </w:t>
            </w:r>
          </w:p>
          <w:p w:rsidR="002127D6" w14:paraId="49363D6A" w14:textId="77777777">
            <w:pPr>
              <w:spacing w:after="0" w:line="259" w:lineRule="auto"/>
              <w:ind w:left="135" w:firstLine="19"/>
              <w:jc w:val="center"/>
            </w:pPr>
            <w:r>
              <w:rPr>
                <w:sz w:val="20"/>
              </w:rPr>
              <w:t xml:space="preserve">Annual Time (hr, all respondents) </w:t>
            </w:r>
          </w:p>
        </w:tc>
        <w:tc>
          <w:tcPr>
            <w:tcW w:w="1078" w:type="dxa"/>
            <w:tcBorders>
              <w:top w:val="single" w:sz="6" w:space="0" w:color="000000"/>
              <w:left w:val="single" w:sz="6" w:space="0" w:color="000000"/>
              <w:bottom w:val="single" w:sz="6" w:space="0" w:color="000000"/>
              <w:right w:val="single" w:sz="6" w:space="0" w:color="000000"/>
            </w:tcBorders>
          </w:tcPr>
          <w:p w:rsidR="002127D6" w14:paraId="40DEDFA7" w14:textId="77777777">
            <w:pPr>
              <w:spacing w:after="0" w:line="259" w:lineRule="auto"/>
              <w:ind w:left="3" w:firstLine="0"/>
            </w:pPr>
            <w:r>
              <w:rPr>
                <w:i/>
                <w:sz w:val="20"/>
              </w:rPr>
              <w:t xml:space="preserve"> </w:t>
            </w:r>
          </w:p>
          <w:p w:rsidR="002127D6" w14:paraId="4136E2D5" w14:textId="77777777">
            <w:pPr>
              <w:spacing w:after="0" w:line="259" w:lineRule="auto"/>
              <w:ind w:left="92" w:firstLine="0"/>
              <w:jc w:val="center"/>
            </w:pPr>
            <w:r>
              <w:rPr>
                <w:sz w:val="20"/>
              </w:rPr>
              <w:t xml:space="preserve">Total </w:t>
            </w:r>
          </w:p>
          <w:p w:rsidR="002127D6" w14:paraId="71A8E50F" w14:textId="77777777">
            <w:pPr>
              <w:spacing w:after="0" w:line="259" w:lineRule="auto"/>
              <w:ind w:left="87" w:firstLine="0"/>
              <w:jc w:val="center"/>
            </w:pPr>
            <w:r>
              <w:rPr>
                <w:sz w:val="20"/>
              </w:rPr>
              <w:t xml:space="preserve">Annual </w:t>
            </w:r>
          </w:p>
          <w:p w:rsidR="002127D6" w14:paraId="77686EED" w14:textId="77777777">
            <w:pPr>
              <w:spacing w:after="0" w:line="259" w:lineRule="auto"/>
              <w:ind w:left="86" w:firstLine="0"/>
              <w:jc w:val="center"/>
            </w:pPr>
            <w:r>
              <w:rPr>
                <w:sz w:val="20"/>
              </w:rPr>
              <w:t xml:space="preserve">Cost ($) </w:t>
            </w:r>
          </w:p>
        </w:tc>
      </w:tr>
      <w:tr w14:paraId="1B5F97EA" w14:textId="77777777">
        <w:tblPrEx>
          <w:tblW w:w="10699" w:type="dxa"/>
          <w:tblInd w:w="122" w:type="dxa"/>
          <w:tblCellMar>
            <w:top w:w="56" w:type="dxa"/>
            <w:left w:w="5" w:type="dxa"/>
            <w:right w:w="71" w:type="dxa"/>
          </w:tblCellMar>
          <w:tblLook w:val="04A0"/>
        </w:tblPrEx>
        <w:trPr>
          <w:trHeight w:val="496"/>
        </w:trPr>
        <w:tc>
          <w:tcPr>
            <w:tcW w:w="2421" w:type="dxa"/>
            <w:tcBorders>
              <w:top w:val="single" w:sz="6" w:space="0" w:color="000000"/>
              <w:left w:val="single" w:sz="4" w:space="0" w:color="000000"/>
              <w:bottom w:val="single" w:sz="4" w:space="0" w:color="000000"/>
              <w:right w:val="single" w:sz="4" w:space="0" w:color="000000"/>
            </w:tcBorders>
          </w:tcPr>
          <w:p w:rsidR="002127D6" w14:paraId="1945C796" w14:textId="77777777">
            <w:pPr>
              <w:spacing w:after="0" w:line="259" w:lineRule="auto"/>
              <w:ind w:left="110" w:firstLine="0"/>
            </w:pPr>
            <w:r>
              <w:rPr>
                <w:sz w:val="20"/>
              </w:rPr>
              <w:t xml:space="preserve">ePA Transactions (§ 423.160(b)(1)) </w:t>
            </w:r>
          </w:p>
        </w:tc>
        <w:tc>
          <w:tcPr>
            <w:tcW w:w="1080" w:type="dxa"/>
            <w:tcBorders>
              <w:top w:val="single" w:sz="6" w:space="0" w:color="000000"/>
              <w:left w:val="single" w:sz="4" w:space="0" w:color="000000"/>
              <w:bottom w:val="single" w:sz="4" w:space="0" w:color="000000"/>
              <w:right w:val="single" w:sz="4" w:space="0" w:color="000000"/>
            </w:tcBorders>
            <w:vAlign w:val="center"/>
          </w:tcPr>
          <w:p w:rsidR="002127D6" w14:paraId="25069225" w14:textId="77777777">
            <w:pPr>
              <w:spacing w:after="0" w:line="259" w:lineRule="auto"/>
              <w:ind w:left="79" w:firstLine="0"/>
              <w:jc w:val="center"/>
            </w:pPr>
            <w:r>
              <w:rPr>
                <w:sz w:val="20"/>
              </w:rPr>
              <w:t xml:space="preserve">RK* </w:t>
            </w:r>
          </w:p>
        </w:tc>
        <w:tc>
          <w:tcPr>
            <w:tcW w:w="1260" w:type="dxa"/>
            <w:tcBorders>
              <w:top w:val="single" w:sz="6" w:space="0" w:color="000000"/>
              <w:left w:val="single" w:sz="4" w:space="0" w:color="000000"/>
              <w:bottom w:val="single" w:sz="4" w:space="0" w:color="000000"/>
              <w:right w:val="single" w:sz="4" w:space="0" w:color="000000"/>
            </w:tcBorders>
            <w:vAlign w:val="center"/>
          </w:tcPr>
          <w:p w:rsidR="002127D6" w14:paraId="08216851" w14:textId="77777777">
            <w:pPr>
              <w:spacing w:after="0" w:line="259" w:lineRule="auto"/>
              <w:ind w:left="89" w:firstLine="0"/>
              <w:jc w:val="center"/>
            </w:pPr>
            <w:r>
              <w:rPr>
                <w:sz w:val="20"/>
              </w:rPr>
              <w:t xml:space="preserve">968 </w:t>
            </w:r>
          </w:p>
        </w:tc>
        <w:tc>
          <w:tcPr>
            <w:tcW w:w="1080" w:type="dxa"/>
            <w:tcBorders>
              <w:top w:val="single" w:sz="6" w:space="0" w:color="000000"/>
              <w:left w:val="single" w:sz="4" w:space="0" w:color="000000"/>
              <w:bottom w:val="single" w:sz="6" w:space="0" w:color="000000"/>
              <w:right w:val="single" w:sz="6" w:space="0" w:color="000000"/>
            </w:tcBorders>
            <w:vAlign w:val="center"/>
          </w:tcPr>
          <w:p w:rsidR="002127D6" w14:paraId="04AB9ADC" w14:textId="77777777">
            <w:pPr>
              <w:spacing w:after="0" w:line="259" w:lineRule="auto"/>
              <w:ind w:left="87" w:firstLine="0"/>
              <w:jc w:val="center"/>
            </w:pPr>
            <w:r>
              <w:rPr>
                <w:sz w:val="20"/>
              </w:rPr>
              <w:t xml:space="preserve">n/a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46609C93" w14:textId="77777777">
            <w:pPr>
              <w:spacing w:after="0" w:line="259" w:lineRule="auto"/>
              <w:ind w:left="89" w:firstLine="0"/>
              <w:jc w:val="center"/>
            </w:pPr>
            <w:r>
              <w:rPr>
                <w:sz w:val="20"/>
              </w:rPr>
              <w:t xml:space="preserve">724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03638527" w14:textId="77777777">
            <w:pPr>
              <w:spacing w:after="0" w:line="259" w:lineRule="auto"/>
              <w:ind w:left="82" w:firstLine="0"/>
              <w:jc w:val="center"/>
            </w:pPr>
            <w:r>
              <w:rPr>
                <w:sz w:val="20"/>
              </w:rPr>
              <w:t xml:space="preserve">700,832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1BF7E32A" w14:textId="77777777">
            <w:pPr>
              <w:spacing w:after="0" w:line="259" w:lineRule="auto"/>
              <w:ind w:left="85" w:firstLine="0"/>
              <w:jc w:val="center"/>
            </w:pPr>
            <w:r>
              <w:rPr>
                <w:sz w:val="20"/>
              </w:rPr>
              <w:t xml:space="preserve">n/a </w:t>
            </w:r>
          </w:p>
        </w:tc>
        <w:tc>
          <w:tcPr>
            <w:tcW w:w="1078" w:type="dxa"/>
            <w:tcBorders>
              <w:top w:val="single" w:sz="6" w:space="0" w:color="000000"/>
              <w:left w:val="single" w:sz="6" w:space="0" w:color="000000"/>
              <w:bottom w:val="single" w:sz="6" w:space="0" w:color="000000"/>
              <w:right w:val="single" w:sz="6" w:space="0" w:color="000000"/>
            </w:tcBorders>
          </w:tcPr>
          <w:p w:rsidR="002127D6" w14:paraId="0FD28C5D" w14:textId="77777777">
            <w:pPr>
              <w:spacing w:after="0" w:line="259" w:lineRule="auto"/>
              <w:ind w:left="53" w:firstLine="0"/>
              <w:jc w:val="center"/>
            </w:pPr>
            <w:r>
              <w:rPr>
                <w:sz w:val="20"/>
              </w:rPr>
              <w:t xml:space="preserve">2,845,378 ** </w:t>
            </w:r>
          </w:p>
        </w:tc>
      </w:tr>
      <w:tr w14:paraId="63A1E583" w14:textId="77777777">
        <w:tblPrEx>
          <w:tblW w:w="10699" w:type="dxa"/>
          <w:tblInd w:w="122" w:type="dxa"/>
          <w:tblCellMar>
            <w:top w:w="56" w:type="dxa"/>
            <w:left w:w="5" w:type="dxa"/>
            <w:right w:w="71" w:type="dxa"/>
          </w:tblCellMar>
          <w:tblLook w:val="04A0"/>
        </w:tblPrEx>
        <w:trPr>
          <w:trHeight w:val="708"/>
        </w:trPr>
        <w:tc>
          <w:tcPr>
            <w:tcW w:w="2421" w:type="dxa"/>
            <w:tcBorders>
              <w:top w:val="single" w:sz="4" w:space="0" w:color="000000"/>
              <w:left w:val="single" w:sz="4" w:space="0" w:color="000000"/>
              <w:bottom w:val="single" w:sz="6" w:space="0" w:color="000000"/>
              <w:right w:val="single" w:sz="4" w:space="0" w:color="000000"/>
            </w:tcBorders>
          </w:tcPr>
          <w:p w:rsidR="002127D6" w14:paraId="3D53B477" w14:textId="77777777">
            <w:pPr>
              <w:spacing w:after="0" w:line="259" w:lineRule="auto"/>
              <w:ind w:left="110" w:firstLine="0"/>
            </w:pPr>
            <w:r>
              <w:rPr>
                <w:sz w:val="20"/>
              </w:rPr>
              <w:t xml:space="preserve">Rewards and Incentives for </w:t>
            </w:r>
          </w:p>
          <w:p w:rsidR="002127D6" w14:paraId="4F3F0582" w14:textId="77777777">
            <w:pPr>
              <w:spacing w:after="0" w:line="259" w:lineRule="auto"/>
              <w:ind w:left="110" w:firstLine="0"/>
            </w:pPr>
            <w:r>
              <w:rPr>
                <w:sz w:val="20"/>
              </w:rPr>
              <w:t xml:space="preserve">Beneficiary RTBTs (§ </w:t>
            </w:r>
          </w:p>
          <w:p w:rsidR="002127D6" w14:paraId="3FC3229F" w14:textId="77777777">
            <w:pPr>
              <w:spacing w:after="0" w:line="259" w:lineRule="auto"/>
              <w:ind w:left="110" w:firstLine="0"/>
            </w:pPr>
            <w:r>
              <w:rPr>
                <w:sz w:val="20"/>
              </w:rPr>
              <w:t xml:space="preserve">423.128(d)(4)-(5) </w:t>
            </w:r>
          </w:p>
        </w:tc>
        <w:tc>
          <w:tcPr>
            <w:tcW w:w="1080" w:type="dxa"/>
            <w:tcBorders>
              <w:top w:val="single" w:sz="4" w:space="0" w:color="000000"/>
              <w:left w:val="single" w:sz="4" w:space="0" w:color="000000"/>
              <w:bottom w:val="single" w:sz="6" w:space="0" w:color="000000"/>
              <w:right w:val="single" w:sz="4" w:space="0" w:color="000000"/>
            </w:tcBorders>
          </w:tcPr>
          <w:p w:rsidR="002127D6" w14:paraId="3C13F1CC" w14:textId="77777777">
            <w:pPr>
              <w:spacing w:after="0" w:line="259" w:lineRule="auto"/>
              <w:ind w:left="1" w:firstLine="0"/>
            </w:pPr>
            <w:r>
              <w:rPr>
                <w:i/>
                <w:sz w:val="20"/>
              </w:rPr>
              <w:t xml:space="preserve"> </w:t>
            </w:r>
          </w:p>
          <w:p w:rsidR="002127D6" w14:paraId="642FF640" w14:textId="77777777">
            <w:pPr>
              <w:spacing w:after="0" w:line="259" w:lineRule="auto"/>
              <w:ind w:left="79" w:firstLine="0"/>
              <w:jc w:val="center"/>
            </w:pPr>
            <w:r>
              <w:rPr>
                <w:sz w:val="20"/>
              </w:rPr>
              <w:t xml:space="preserve">RK* </w:t>
            </w:r>
          </w:p>
        </w:tc>
        <w:tc>
          <w:tcPr>
            <w:tcW w:w="1260" w:type="dxa"/>
            <w:tcBorders>
              <w:top w:val="single" w:sz="4" w:space="0" w:color="000000"/>
              <w:left w:val="single" w:sz="4" w:space="0" w:color="000000"/>
              <w:bottom w:val="single" w:sz="6" w:space="0" w:color="000000"/>
              <w:right w:val="single" w:sz="4" w:space="0" w:color="000000"/>
            </w:tcBorders>
          </w:tcPr>
          <w:p w:rsidR="002127D6" w14:paraId="1F06D89B" w14:textId="77777777">
            <w:pPr>
              <w:spacing w:after="0" w:line="259" w:lineRule="auto"/>
              <w:ind w:left="1" w:firstLine="0"/>
            </w:pPr>
            <w:r>
              <w:rPr>
                <w:i/>
                <w:sz w:val="20"/>
              </w:rPr>
              <w:t xml:space="preserve"> </w:t>
            </w:r>
          </w:p>
          <w:p w:rsidR="002127D6" w14:paraId="64B0869A" w14:textId="77777777">
            <w:pPr>
              <w:spacing w:after="0" w:line="259" w:lineRule="auto"/>
              <w:ind w:left="89" w:firstLine="0"/>
              <w:jc w:val="center"/>
            </w:pPr>
            <w:r>
              <w:rPr>
                <w:sz w:val="20"/>
              </w:rPr>
              <w:t xml:space="preserve">33 </w:t>
            </w:r>
          </w:p>
        </w:tc>
        <w:tc>
          <w:tcPr>
            <w:tcW w:w="1080" w:type="dxa"/>
            <w:tcBorders>
              <w:top w:val="single" w:sz="6" w:space="0" w:color="000000"/>
              <w:left w:val="single" w:sz="4" w:space="0" w:color="000000"/>
              <w:bottom w:val="single" w:sz="6" w:space="0" w:color="000000"/>
              <w:right w:val="single" w:sz="6" w:space="0" w:color="000000"/>
            </w:tcBorders>
          </w:tcPr>
          <w:p w:rsidR="002127D6" w14:paraId="6328A90B" w14:textId="77777777">
            <w:pPr>
              <w:spacing w:after="0" w:line="259" w:lineRule="auto"/>
              <w:ind w:left="1" w:firstLine="0"/>
            </w:pPr>
            <w:r>
              <w:rPr>
                <w:i/>
                <w:sz w:val="20"/>
              </w:rPr>
              <w:t xml:space="preserve"> </w:t>
            </w:r>
          </w:p>
          <w:p w:rsidR="002127D6" w14:paraId="29EA08CD" w14:textId="77777777">
            <w:pPr>
              <w:spacing w:after="0" w:line="259" w:lineRule="auto"/>
              <w:ind w:left="86" w:firstLine="0"/>
              <w:jc w:val="center"/>
            </w:pPr>
            <w:r>
              <w:rPr>
                <w:sz w:val="20"/>
              </w:rPr>
              <w:t xml:space="preserve">360 </w:t>
            </w:r>
          </w:p>
        </w:tc>
        <w:tc>
          <w:tcPr>
            <w:tcW w:w="1260" w:type="dxa"/>
            <w:tcBorders>
              <w:top w:val="single" w:sz="6" w:space="0" w:color="000000"/>
              <w:left w:val="single" w:sz="6" w:space="0" w:color="000000"/>
              <w:bottom w:val="single" w:sz="6" w:space="0" w:color="000000"/>
              <w:right w:val="single" w:sz="6" w:space="0" w:color="000000"/>
            </w:tcBorders>
          </w:tcPr>
          <w:p w:rsidR="002127D6" w14:paraId="12607957" w14:textId="77777777">
            <w:pPr>
              <w:spacing w:after="0" w:line="259" w:lineRule="auto"/>
              <w:ind w:left="3" w:firstLine="0"/>
            </w:pPr>
            <w:r>
              <w:rPr>
                <w:i/>
                <w:sz w:val="20"/>
              </w:rPr>
              <w:t xml:space="preserve"> </w:t>
            </w:r>
          </w:p>
          <w:p w:rsidR="002127D6" w14:paraId="1A1BC26B" w14:textId="77777777">
            <w:pPr>
              <w:spacing w:after="0" w:line="259" w:lineRule="auto"/>
              <w:ind w:left="84" w:firstLine="0"/>
              <w:jc w:val="center"/>
            </w:pPr>
            <w:r>
              <w:rPr>
                <w:sz w:val="20"/>
              </w:rPr>
              <w:t xml:space="preserve">1 </w:t>
            </w:r>
          </w:p>
        </w:tc>
        <w:tc>
          <w:tcPr>
            <w:tcW w:w="1260" w:type="dxa"/>
            <w:tcBorders>
              <w:top w:val="single" w:sz="6" w:space="0" w:color="000000"/>
              <w:left w:val="single" w:sz="6" w:space="0" w:color="000000"/>
              <w:bottom w:val="single" w:sz="6" w:space="0" w:color="000000"/>
              <w:right w:val="single" w:sz="6" w:space="0" w:color="000000"/>
            </w:tcBorders>
          </w:tcPr>
          <w:p w:rsidR="002127D6" w14:paraId="35FE451C" w14:textId="77777777">
            <w:pPr>
              <w:spacing w:after="0" w:line="259" w:lineRule="auto"/>
              <w:ind w:left="3" w:firstLine="0"/>
            </w:pPr>
            <w:r>
              <w:rPr>
                <w:i/>
                <w:sz w:val="20"/>
              </w:rPr>
              <w:t xml:space="preserve"> </w:t>
            </w:r>
          </w:p>
          <w:p w:rsidR="002127D6" w14:paraId="76AE0C86" w14:textId="77777777">
            <w:pPr>
              <w:spacing w:after="0" w:line="259" w:lineRule="auto"/>
              <w:ind w:left="89" w:firstLine="0"/>
              <w:jc w:val="center"/>
            </w:pPr>
            <w:r>
              <w:rPr>
                <w:sz w:val="20"/>
              </w:rPr>
              <w:t xml:space="preserve">33 </w:t>
            </w:r>
          </w:p>
        </w:tc>
        <w:tc>
          <w:tcPr>
            <w:tcW w:w="1260" w:type="dxa"/>
            <w:tcBorders>
              <w:top w:val="single" w:sz="6" w:space="0" w:color="000000"/>
              <w:left w:val="single" w:sz="6" w:space="0" w:color="000000"/>
              <w:bottom w:val="single" w:sz="6" w:space="0" w:color="000000"/>
              <w:right w:val="single" w:sz="6" w:space="0" w:color="000000"/>
            </w:tcBorders>
          </w:tcPr>
          <w:p w:rsidR="002127D6" w14:paraId="0E236A37" w14:textId="77777777">
            <w:pPr>
              <w:spacing w:after="0" w:line="259" w:lineRule="auto"/>
              <w:ind w:left="3" w:firstLine="0"/>
            </w:pPr>
            <w:r>
              <w:rPr>
                <w:i/>
                <w:sz w:val="20"/>
              </w:rPr>
              <w:t xml:space="preserve"> </w:t>
            </w:r>
          </w:p>
          <w:p w:rsidR="002127D6" w14:paraId="7FAE8B6E" w14:textId="77777777">
            <w:pPr>
              <w:spacing w:after="0" w:line="259" w:lineRule="auto"/>
              <w:ind w:left="84" w:firstLine="0"/>
              <w:jc w:val="center"/>
            </w:pPr>
            <w:r>
              <w:rPr>
                <w:sz w:val="20"/>
              </w:rPr>
              <w:t xml:space="preserve">11,880 </w:t>
            </w:r>
          </w:p>
        </w:tc>
        <w:tc>
          <w:tcPr>
            <w:tcW w:w="1078" w:type="dxa"/>
            <w:tcBorders>
              <w:top w:val="single" w:sz="6" w:space="0" w:color="000000"/>
              <w:left w:val="single" w:sz="6" w:space="0" w:color="000000"/>
              <w:bottom w:val="single" w:sz="6" w:space="0" w:color="000000"/>
              <w:right w:val="single" w:sz="6" w:space="0" w:color="000000"/>
            </w:tcBorders>
          </w:tcPr>
          <w:p w:rsidR="002127D6" w14:paraId="6627F7CA" w14:textId="77777777">
            <w:pPr>
              <w:spacing w:after="0" w:line="259" w:lineRule="auto"/>
              <w:ind w:left="3" w:firstLine="0"/>
            </w:pPr>
            <w:r>
              <w:rPr>
                <w:i/>
                <w:sz w:val="20"/>
              </w:rPr>
              <w:t xml:space="preserve"> </w:t>
            </w:r>
          </w:p>
          <w:p w:rsidR="002127D6" w14:paraId="2659F1E7" w14:textId="77777777">
            <w:pPr>
              <w:spacing w:after="0" w:line="259" w:lineRule="auto"/>
              <w:ind w:left="149" w:firstLine="0"/>
            </w:pPr>
            <w:r>
              <w:rPr>
                <w:sz w:val="20"/>
              </w:rPr>
              <w:t xml:space="preserve">1,055,063 </w:t>
            </w:r>
          </w:p>
        </w:tc>
      </w:tr>
      <w:tr w14:paraId="533BE360" w14:textId="77777777">
        <w:tblPrEx>
          <w:tblW w:w="10699" w:type="dxa"/>
          <w:tblInd w:w="122" w:type="dxa"/>
          <w:tblCellMar>
            <w:top w:w="56" w:type="dxa"/>
            <w:left w:w="5" w:type="dxa"/>
            <w:right w:w="71" w:type="dxa"/>
          </w:tblCellMar>
          <w:tblLook w:val="04A0"/>
        </w:tblPrEx>
        <w:trPr>
          <w:trHeight w:val="496"/>
        </w:trPr>
        <w:tc>
          <w:tcPr>
            <w:tcW w:w="2421"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54EEAE14" w14:textId="77777777">
            <w:pPr>
              <w:spacing w:after="0" w:line="259" w:lineRule="auto"/>
              <w:ind w:left="80" w:firstLine="0"/>
              <w:jc w:val="center"/>
            </w:pPr>
            <w:r>
              <w:rPr>
                <w:b/>
                <w:sz w:val="20"/>
              </w:rPr>
              <w:t xml:space="preserve">Total </w:t>
            </w:r>
          </w:p>
        </w:tc>
        <w:tc>
          <w:tcPr>
            <w:tcW w:w="1080"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639906C9" w14:textId="77777777">
            <w:pPr>
              <w:spacing w:after="0" w:line="259" w:lineRule="auto"/>
              <w:ind w:left="84" w:firstLine="0"/>
              <w:jc w:val="center"/>
            </w:pPr>
            <w:r>
              <w:rPr>
                <w:b/>
                <w:sz w:val="20"/>
              </w:rPr>
              <w:t xml:space="preserve">RK* </w:t>
            </w:r>
          </w:p>
        </w:tc>
        <w:tc>
          <w:tcPr>
            <w:tcW w:w="1260"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00A63ED7" w14:textId="77777777">
            <w:pPr>
              <w:spacing w:after="0" w:line="259" w:lineRule="auto"/>
              <w:ind w:left="84" w:firstLine="0"/>
              <w:jc w:val="center"/>
            </w:pPr>
            <w:r>
              <w:rPr>
                <w:b/>
                <w:sz w:val="20"/>
              </w:rPr>
              <w:t xml:space="preserve">1001 </w:t>
            </w:r>
          </w:p>
        </w:tc>
        <w:tc>
          <w:tcPr>
            <w:tcW w:w="1080"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04C56E37" w14:textId="77777777">
            <w:pPr>
              <w:spacing w:after="0" w:line="259" w:lineRule="auto"/>
              <w:ind w:left="79" w:firstLine="0"/>
              <w:jc w:val="center"/>
            </w:pPr>
            <w:r>
              <w:rPr>
                <w:b/>
                <w:sz w:val="20"/>
              </w:rPr>
              <w:t xml:space="preserve">Varies </w:t>
            </w:r>
          </w:p>
        </w:tc>
        <w:tc>
          <w:tcPr>
            <w:tcW w:w="1260"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2521D8A0" w14:textId="77777777">
            <w:pPr>
              <w:spacing w:after="0" w:line="259" w:lineRule="auto"/>
              <w:ind w:left="81" w:firstLine="0"/>
              <w:jc w:val="center"/>
            </w:pPr>
            <w:r>
              <w:rPr>
                <w:b/>
                <w:sz w:val="20"/>
              </w:rPr>
              <w:t xml:space="preserve">Varies </w:t>
            </w:r>
          </w:p>
        </w:tc>
        <w:tc>
          <w:tcPr>
            <w:tcW w:w="1260"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1E802A48" w14:textId="77777777">
            <w:pPr>
              <w:spacing w:after="0" w:line="259" w:lineRule="auto"/>
              <w:ind w:left="86" w:firstLine="0"/>
              <w:jc w:val="center"/>
            </w:pPr>
            <w:r>
              <w:rPr>
                <w:b/>
                <w:sz w:val="20"/>
              </w:rPr>
              <w:t xml:space="preserve">700,865 </w:t>
            </w:r>
          </w:p>
        </w:tc>
        <w:tc>
          <w:tcPr>
            <w:tcW w:w="1260"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35E2D087" w14:textId="77777777">
            <w:pPr>
              <w:spacing w:after="0" w:line="259" w:lineRule="auto"/>
              <w:ind w:left="84" w:firstLine="0"/>
              <w:jc w:val="center"/>
            </w:pPr>
            <w:r>
              <w:rPr>
                <w:b/>
                <w:sz w:val="20"/>
              </w:rPr>
              <w:t xml:space="preserve">11,880 </w:t>
            </w:r>
          </w:p>
        </w:tc>
        <w:tc>
          <w:tcPr>
            <w:tcW w:w="1078" w:type="dxa"/>
            <w:tcBorders>
              <w:top w:val="single" w:sz="6" w:space="0" w:color="000000"/>
              <w:left w:val="single" w:sz="6" w:space="0" w:color="000000"/>
              <w:bottom w:val="single" w:sz="6" w:space="0" w:color="000000"/>
              <w:right w:val="single" w:sz="6" w:space="0" w:color="000000"/>
            </w:tcBorders>
            <w:shd w:val="clear" w:color="auto" w:fill="F1F1F1"/>
            <w:vAlign w:val="center"/>
          </w:tcPr>
          <w:p w:rsidR="002127D6" w14:paraId="5966AE5C" w14:textId="77777777">
            <w:pPr>
              <w:spacing w:after="0" w:line="259" w:lineRule="auto"/>
              <w:ind w:left="149" w:firstLine="0"/>
            </w:pPr>
            <w:r>
              <w:rPr>
                <w:b/>
                <w:sz w:val="20"/>
              </w:rPr>
              <w:t xml:space="preserve">3,900,441 </w:t>
            </w:r>
          </w:p>
        </w:tc>
      </w:tr>
    </w:tbl>
    <w:p w:rsidR="002127D6" w14:paraId="3B8EBF8E" w14:textId="77777777">
      <w:pPr>
        <w:spacing w:after="0" w:line="259" w:lineRule="auto"/>
        <w:ind w:left="715"/>
      </w:pPr>
      <w:r>
        <w:rPr>
          <w:sz w:val="20"/>
        </w:rPr>
        <w:t xml:space="preserve">*Recordkeeping </w:t>
      </w:r>
    </w:p>
    <w:p w:rsidR="002127D6" w14:paraId="6E5770B7" w14:textId="77777777">
      <w:pPr>
        <w:spacing w:after="0" w:line="259" w:lineRule="auto"/>
        <w:ind w:left="715"/>
      </w:pPr>
      <w:r>
        <w:rPr>
          <w:sz w:val="20"/>
        </w:rPr>
        <w:t xml:space="preserve">**Non-labor cost </w:t>
      </w:r>
    </w:p>
    <w:p w:rsidR="002127D6" w14:paraId="2B8C1D49" w14:textId="77777777">
      <w:pPr>
        <w:spacing w:after="17" w:line="259" w:lineRule="auto"/>
        <w:ind w:left="0" w:firstLine="0"/>
      </w:pPr>
      <w:r>
        <w:rPr>
          <w:sz w:val="20"/>
        </w:rPr>
        <w:t xml:space="preserve"> </w:t>
      </w:r>
    </w:p>
    <w:p w:rsidR="002127D6" w14:paraId="394C364A" w14:textId="77777777">
      <w:pPr>
        <w:pStyle w:val="Heading2"/>
        <w:ind w:left="715"/>
      </w:pPr>
      <w:r>
        <w:t xml:space="preserve">Information Collection Instruments and Instruction/Guidance Documents </w:t>
      </w:r>
    </w:p>
    <w:p w:rsidR="002127D6" w14:paraId="3BCB7446" w14:textId="77777777">
      <w:pPr>
        <w:spacing w:after="0" w:line="259" w:lineRule="auto"/>
        <w:ind w:left="0" w:firstLine="0"/>
      </w:pPr>
      <w:r>
        <w:rPr>
          <w:i/>
        </w:rPr>
        <w:t xml:space="preserve"> </w:t>
      </w:r>
    </w:p>
    <w:p w:rsidR="002127D6" w14:paraId="07386E89" w14:textId="77777777">
      <w:pPr>
        <w:ind w:left="715"/>
      </w:pPr>
      <w:r>
        <w:t xml:space="preserve">The regulation does not require the use of any specific instrument or instruction/guidance documents. CMS provided guidance to implement ePA in the December 31, 2020 final rule CMS- </w:t>
      </w:r>
    </w:p>
    <w:p w:rsidR="002127D6" w14:paraId="1AF52DBA" w14:textId="77777777">
      <w:pPr>
        <w:ind w:left="715"/>
      </w:pPr>
      <w:r>
        <w:t xml:space="preserve">4189-F (85 FR 86824) and beneficiary RTBT in the January 19, 2021 final rule CMS-4190-F2 (86 FR 5864). </w:t>
      </w:r>
    </w:p>
    <w:p w:rsidR="002127D6" w14:paraId="4AE7F5A3" w14:textId="77777777">
      <w:pPr>
        <w:spacing w:after="0" w:line="259" w:lineRule="auto"/>
        <w:ind w:left="0" w:firstLine="0"/>
      </w:pPr>
      <w:r>
        <w:t xml:space="preserve"> </w:t>
      </w:r>
    </w:p>
    <w:p w:rsidR="002127D6" w14:paraId="3FC7497A" w14:textId="77777777">
      <w:pPr>
        <w:pStyle w:val="Heading3"/>
        <w:ind w:left="715"/>
      </w:pPr>
      <w:r>
        <w:rPr>
          <w:u w:val="none"/>
        </w:rPr>
        <w:t>13.</w:t>
      </w:r>
      <w:r>
        <w:rPr>
          <w:rFonts w:ascii="Arial" w:eastAsia="Arial" w:hAnsi="Arial" w:cs="Arial"/>
          <w:u w:val="none"/>
        </w:rPr>
        <w:t xml:space="preserve"> </w:t>
      </w:r>
      <w:r>
        <w:t>Capital Costs</w:t>
      </w:r>
      <w:r>
        <w:rPr>
          <w:u w:val="none"/>
        </w:rPr>
        <w:t xml:space="preserve"> </w:t>
      </w:r>
    </w:p>
    <w:p w:rsidR="002127D6" w14:paraId="5B5AB04D" w14:textId="77777777">
      <w:pPr>
        <w:spacing w:after="0" w:line="259" w:lineRule="auto"/>
        <w:ind w:left="0" w:firstLine="0"/>
      </w:pPr>
      <w:r>
        <w:t xml:space="preserve"> </w:t>
      </w:r>
    </w:p>
    <w:p w:rsidR="002127D6" w14:paraId="412A51CA" w14:textId="77777777">
      <w:pPr>
        <w:ind w:left="715"/>
      </w:pPr>
      <w:r>
        <w:t xml:space="preserve">There are no capital or start-up costs associated with this information collection. All costs have been accounted for in section 12. Sponsors have been required to have electronic standards in place since 2005 and most Sponsors already conduct ePA transactions. </w:t>
      </w:r>
    </w:p>
    <w:p w:rsidR="002127D6" w14:paraId="0F9087BB" w14:textId="77777777">
      <w:pPr>
        <w:spacing w:after="0" w:line="259" w:lineRule="auto"/>
        <w:ind w:left="0" w:firstLine="0"/>
      </w:pPr>
      <w:r>
        <w:t xml:space="preserve"> </w:t>
      </w:r>
    </w:p>
    <w:p w:rsidR="002127D6" w14:paraId="36B3C024" w14:textId="77777777">
      <w:pPr>
        <w:pStyle w:val="Heading3"/>
        <w:ind w:left="715"/>
      </w:pPr>
      <w:r>
        <w:rPr>
          <w:u w:val="none"/>
        </w:rPr>
        <w:t>14.</w:t>
      </w:r>
      <w:r>
        <w:rPr>
          <w:rFonts w:ascii="Arial" w:eastAsia="Arial" w:hAnsi="Arial" w:cs="Arial"/>
          <w:u w:val="none"/>
        </w:rPr>
        <w:t xml:space="preserve"> </w:t>
      </w:r>
      <w:r>
        <w:t>Cost to Federal Government</w:t>
      </w:r>
      <w:r>
        <w:rPr>
          <w:u w:val="none"/>
        </w:rPr>
        <w:t xml:space="preserve"> </w:t>
      </w:r>
    </w:p>
    <w:p w:rsidR="002127D6" w14:paraId="28DEE931" w14:textId="77777777">
      <w:pPr>
        <w:spacing w:after="0" w:line="259" w:lineRule="auto"/>
        <w:ind w:left="0" w:firstLine="0"/>
      </w:pPr>
      <w:r>
        <w:t xml:space="preserve"> </w:t>
      </w:r>
    </w:p>
    <w:p w:rsidR="002127D6" w14:paraId="0AA4B48D" w14:textId="77777777">
      <w:pPr>
        <w:ind w:left="715"/>
      </w:pPr>
      <w:r>
        <w:t xml:space="preserve">The to the Federal government associated with this information collection is the labor associated with renewal of the information collection. This information collection is updated every 3 years and requires approximately 40 hours to update the supporting statement, complete the associated </w:t>
      </w:r>
      <w:r>
        <w:t xml:space="preserve">forms for posting in the Federal Register, and respond to public comments received. We use the 2025 Office of Personnel Management General Schedule (GS) locality pay adjusted for </w:t>
      </w:r>
    </w:p>
    <w:p w:rsidR="002127D6" w14:paraId="6BAF3E17" w14:textId="77777777">
      <w:pPr>
        <w:ind w:left="715"/>
      </w:pPr>
      <w:r>
        <w:t xml:space="preserve">Washington-Baltimore-Arlington, DC-MD-VA-WV-PA </w:t>
      </w:r>
      <w:hyperlink r:id="rId7">
        <w:r>
          <w:rPr>
            <w:color w:val="0562C1"/>
            <w:u w:val="single" w:color="0562C1"/>
          </w:rPr>
          <w:t>https://www.opm.gov/policy-data-</w:t>
        </w:r>
      </w:hyperlink>
      <w:hyperlink r:id="rId7">
        <w:r>
          <w:rPr>
            <w:color w:val="0562C1"/>
          </w:rPr>
          <w:t xml:space="preserve"> </w:t>
        </w:r>
      </w:hyperlink>
      <w:hyperlink r:id="rId7">
        <w:r>
          <w:rPr>
            <w:color w:val="0562C1"/>
            <w:u w:val="single" w:color="0562C1"/>
          </w:rPr>
          <w:t>oversight/pay-leave/salaries-wages/2025/general-schedule/</w:t>
        </w:r>
      </w:hyperlink>
      <w:hyperlink r:id="rId7">
        <w:r>
          <w:rPr>
            <w:color w:val="0562C1"/>
          </w:rPr>
          <w:t xml:space="preserve"> </w:t>
        </w:r>
      </w:hyperlink>
      <w:r>
        <w:t xml:space="preserve">and assume fringe benefits at 100 percent of hourly wage. </w:t>
      </w:r>
    </w:p>
    <w:p w:rsidR="002127D6" w14:paraId="3CEDF363" w14:textId="77777777">
      <w:pPr>
        <w:spacing w:after="0" w:line="259" w:lineRule="auto"/>
        <w:ind w:left="0" w:firstLine="0"/>
      </w:pPr>
      <w:r>
        <w:rPr>
          <w:sz w:val="20"/>
        </w:rPr>
        <w:t xml:space="preserve"> </w:t>
      </w:r>
    </w:p>
    <w:tbl>
      <w:tblPr>
        <w:tblStyle w:val="TableGrid"/>
        <w:tblW w:w="6607" w:type="dxa"/>
        <w:tblInd w:w="2093" w:type="dxa"/>
        <w:tblCellMar>
          <w:top w:w="53" w:type="dxa"/>
          <w:left w:w="115" w:type="dxa"/>
          <w:right w:w="115" w:type="dxa"/>
        </w:tblCellMar>
        <w:tblLook w:val="04A0"/>
      </w:tblPr>
      <w:tblGrid>
        <w:gridCol w:w="1743"/>
        <w:gridCol w:w="1610"/>
        <w:gridCol w:w="1610"/>
        <w:gridCol w:w="1644"/>
      </w:tblGrid>
      <w:tr w14:paraId="4939283B" w14:textId="77777777">
        <w:tblPrEx>
          <w:tblW w:w="6607" w:type="dxa"/>
          <w:tblInd w:w="2093" w:type="dxa"/>
          <w:tblCellMar>
            <w:top w:w="53" w:type="dxa"/>
            <w:left w:w="115" w:type="dxa"/>
            <w:right w:w="115" w:type="dxa"/>
          </w:tblCellMar>
          <w:tblLook w:val="04A0"/>
        </w:tblPrEx>
        <w:trPr>
          <w:trHeight w:val="502"/>
        </w:trPr>
        <w:tc>
          <w:tcPr>
            <w:tcW w:w="1742" w:type="dxa"/>
            <w:tcBorders>
              <w:top w:val="single" w:sz="4" w:space="0" w:color="000000"/>
              <w:left w:val="single" w:sz="4" w:space="0" w:color="000000"/>
              <w:bottom w:val="single" w:sz="4" w:space="0" w:color="000000"/>
              <w:right w:val="single" w:sz="4" w:space="0" w:color="000000"/>
            </w:tcBorders>
          </w:tcPr>
          <w:p w:rsidR="002127D6" w14:paraId="0F9F00B3" w14:textId="77777777">
            <w:pPr>
              <w:spacing w:after="0" w:line="259" w:lineRule="auto"/>
              <w:ind w:left="7" w:firstLine="0"/>
            </w:pPr>
            <w:r>
              <w:rPr>
                <w:sz w:val="19"/>
              </w:rPr>
              <w:t xml:space="preserve">Occupation Title </w:t>
            </w:r>
          </w:p>
        </w:tc>
        <w:tc>
          <w:tcPr>
            <w:tcW w:w="1610" w:type="dxa"/>
            <w:tcBorders>
              <w:top w:val="single" w:sz="4" w:space="0" w:color="000000"/>
              <w:left w:val="single" w:sz="4" w:space="0" w:color="000000"/>
              <w:bottom w:val="single" w:sz="4" w:space="0" w:color="000000"/>
              <w:right w:val="single" w:sz="4" w:space="0" w:color="000000"/>
            </w:tcBorders>
          </w:tcPr>
          <w:p w:rsidR="002127D6" w14:paraId="61EA7D6F" w14:textId="77777777">
            <w:pPr>
              <w:spacing w:after="8" w:line="259" w:lineRule="auto"/>
              <w:ind w:left="0" w:firstLine="0"/>
            </w:pPr>
            <w:r>
              <w:rPr>
                <w:sz w:val="19"/>
              </w:rPr>
              <w:t xml:space="preserve">Mean Hourly </w:t>
            </w:r>
          </w:p>
          <w:p w:rsidR="002127D6" w14:paraId="7BDB042E" w14:textId="77777777">
            <w:pPr>
              <w:spacing w:after="0" w:line="259" w:lineRule="auto"/>
              <w:ind w:left="0" w:firstLine="0"/>
            </w:pPr>
            <w:r>
              <w:rPr>
                <w:sz w:val="19"/>
              </w:rPr>
              <w:t xml:space="preserve">Wage ($/hr) </w:t>
            </w:r>
          </w:p>
        </w:tc>
        <w:tc>
          <w:tcPr>
            <w:tcW w:w="1610" w:type="dxa"/>
            <w:tcBorders>
              <w:top w:val="single" w:sz="4" w:space="0" w:color="000000"/>
              <w:left w:val="single" w:sz="4" w:space="0" w:color="000000"/>
              <w:bottom w:val="single" w:sz="4" w:space="0" w:color="000000"/>
              <w:right w:val="single" w:sz="4" w:space="0" w:color="000000"/>
            </w:tcBorders>
          </w:tcPr>
          <w:p w:rsidR="002127D6" w14:paraId="1C3C5864" w14:textId="77777777">
            <w:pPr>
              <w:spacing w:after="8" w:line="259" w:lineRule="auto"/>
              <w:ind w:left="0" w:firstLine="0"/>
            </w:pPr>
            <w:r>
              <w:rPr>
                <w:sz w:val="19"/>
              </w:rPr>
              <w:t xml:space="preserve">Fringe Benefit </w:t>
            </w:r>
          </w:p>
          <w:p w:rsidR="002127D6" w14:paraId="5217BB96" w14:textId="77777777">
            <w:pPr>
              <w:spacing w:after="0" w:line="259" w:lineRule="auto"/>
              <w:ind w:left="0" w:firstLine="0"/>
            </w:pPr>
            <w:r>
              <w:rPr>
                <w:sz w:val="19"/>
              </w:rPr>
              <w:t xml:space="preserve">($/hr) </w:t>
            </w:r>
          </w:p>
        </w:tc>
        <w:tc>
          <w:tcPr>
            <w:tcW w:w="1644" w:type="dxa"/>
            <w:tcBorders>
              <w:top w:val="single" w:sz="4" w:space="0" w:color="000000"/>
              <w:left w:val="single" w:sz="4" w:space="0" w:color="000000"/>
              <w:bottom w:val="single" w:sz="4" w:space="0" w:color="000000"/>
              <w:right w:val="single" w:sz="4" w:space="0" w:color="000000"/>
            </w:tcBorders>
          </w:tcPr>
          <w:p w:rsidR="002127D6" w14:paraId="7384395D" w14:textId="77777777">
            <w:pPr>
              <w:spacing w:after="8" w:line="259" w:lineRule="auto"/>
              <w:ind w:left="0" w:firstLine="0"/>
            </w:pPr>
            <w:r>
              <w:rPr>
                <w:sz w:val="19"/>
              </w:rPr>
              <w:t xml:space="preserve">Adjusted Hourly </w:t>
            </w:r>
          </w:p>
          <w:p w:rsidR="002127D6" w14:paraId="329996C1" w14:textId="77777777">
            <w:pPr>
              <w:spacing w:after="0" w:line="259" w:lineRule="auto"/>
              <w:ind w:left="0" w:firstLine="0"/>
            </w:pPr>
            <w:r>
              <w:rPr>
                <w:sz w:val="19"/>
              </w:rPr>
              <w:t xml:space="preserve">Wage ($/hr) </w:t>
            </w:r>
          </w:p>
        </w:tc>
      </w:tr>
      <w:tr w14:paraId="336731ED" w14:textId="77777777">
        <w:tblPrEx>
          <w:tblW w:w="6607" w:type="dxa"/>
          <w:tblInd w:w="2093" w:type="dxa"/>
          <w:tblCellMar>
            <w:top w:w="53" w:type="dxa"/>
            <w:left w:w="115" w:type="dxa"/>
            <w:right w:w="115" w:type="dxa"/>
          </w:tblCellMar>
          <w:tblLook w:val="04A0"/>
        </w:tblPrEx>
        <w:trPr>
          <w:trHeight w:val="672"/>
        </w:trPr>
        <w:tc>
          <w:tcPr>
            <w:tcW w:w="1742" w:type="dxa"/>
            <w:tcBorders>
              <w:top w:val="single" w:sz="4" w:space="0" w:color="000000"/>
              <w:left w:val="single" w:sz="4" w:space="0" w:color="000000"/>
              <w:bottom w:val="single" w:sz="4" w:space="0" w:color="000000"/>
              <w:right w:val="single" w:sz="4" w:space="0" w:color="000000"/>
            </w:tcBorders>
          </w:tcPr>
          <w:p w:rsidR="002127D6" w14:paraId="30C9292A" w14:textId="77777777">
            <w:pPr>
              <w:spacing w:after="0" w:line="259" w:lineRule="auto"/>
              <w:ind w:left="7" w:firstLine="0"/>
            </w:pPr>
            <w:r>
              <w:rPr>
                <w:sz w:val="19"/>
              </w:rPr>
              <w:t xml:space="preserve">Health Insurance </w:t>
            </w:r>
          </w:p>
          <w:p w:rsidR="002127D6" w14:paraId="303CFFE8" w14:textId="77777777">
            <w:pPr>
              <w:spacing w:after="0" w:line="259" w:lineRule="auto"/>
              <w:ind w:left="7" w:firstLine="0"/>
            </w:pPr>
            <w:r>
              <w:rPr>
                <w:sz w:val="19"/>
              </w:rPr>
              <w:t xml:space="preserve">Specialist, GS- 13/Step 1 </w:t>
            </w:r>
          </w:p>
        </w:tc>
        <w:tc>
          <w:tcPr>
            <w:tcW w:w="1610" w:type="dxa"/>
            <w:tcBorders>
              <w:top w:val="single" w:sz="4" w:space="0" w:color="000000"/>
              <w:left w:val="single" w:sz="4" w:space="0" w:color="000000"/>
              <w:bottom w:val="single" w:sz="4" w:space="0" w:color="000000"/>
              <w:right w:val="single" w:sz="4" w:space="0" w:color="000000"/>
            </w:tcBorders>
          </w:tcPr>
          <w:p w:rsidR="002127D6" w14:paraId="2F324458" w14:textId="77777777">
            <w:pPr>
              <w:spacing w:after="0" w:line="259" w:lineRule="auto"/>
              <w:ind w:left="0" w:firstLine="0"/>
            </w:pPr>
            <w:r>
              <w:rPr>
                <w:sz w:val="19"/>
              </w:rPr>
              <w:t xml:space="preserve">57.78 </w:t>
            </w:r>
          </w:p>
        </w:tc>
        <w:tc>
          <w:tcPr>
            <w:tcW w:w="1610" w:type="dxa"/>
            <w:tcBorders>
              <w:top w:val="single" w:sz="4" w:space="0" w:color="000000"/>
              <w:left w:val="single" w:sz="4" w:space="0" w:color="000000"/>
              <w:bottom w:val="single" w:sz="4" w:space="0" w:color="000000"/>
              <w:right w:val="single" w:sz="4" w:space="0" w:color="000000"/>
            </w:tcBorders>
          </w:tcPr>
          <w:p w:rsidR="002127D6" w14:paraId="3674AE60" w14:textId="77777777">
            <w:pPr>
              <w:spacing w:after="0" w:line="259" w:lineRule="auto"/>
              <w:ind w:left="0" w:firstLine="0"/>
            </w:pPr>
            <w:r>
              <w:rPr>
                <w:sz w:val="19"/>
              </w:rPr>
              <w:t xml:space="preserve">57.78 </w:t>
            </w:r>
          </w:p>
        </w:tc>
        <w:tc>
          <w:tcPr>
            <w:tcW w:w="1644" w:type="dxa"/>
            <w:tcBorders>
              <w:top w:val="single" w:sz="4" w:space="0" w:color="000000"/>
              <w:left w:val="single" w:sz="4" w:space="0" w:color="000000"/>
              <w:bottom w:val="single" w:sz="4" w:space="0" w:color="000000"/>
              <w:right w:val="single" w:sz="4" w:space="0" w:color="000000"/>
            </w:tcBorders>
          </w:tcPr>
          <w:p w:rsidR="002127D6" w14:paraId="35525A83" w14:textId="77777777">
            <w:pPr>
              <w:spacing w:after="0" w:line="259" w:lineRule="auto"/>
              <w:ind w:left="146" w:firstLine="0"/>
            </w:pPr>
            <w:r>
              <w:rPr>
                <w:sz w:val="19"/>
              </w:rPr>
              <w:t xml:space="preserve">115.56 </w:t>
            </w:r>
          </w:p>
        </w:tc>
      </w:tr>
    </w:tbl>
    <w:p w:rsidR="002127D6" w14:paraId="18F31EE0" w14:textId="77777777">
      <w:pPr>
        <w:ind w:left="715"/>
      </w:pPr>
      <w:r>
        <w:t xml:space="preserve">The total cost to the Federal government for a Health Insurance Specialist to complete this </w:t>
      </w:r>
    </w:p>
    <w:p w:rsidR="002127D6" w14:paraId="41F43FAE" w14:textId="77777777">
      <w:pPr>
        <w:ind w:left="715"/>
      </w:pPr>
      <w:r>
        <w:t xml:space="preserve">information collection is estimated at $4,622 (40 hrs * $115.56/hr) every 3 years. </w:t>
      </w:r>
    </w:p>
    <w:p w:rsidR="002127D6" w14:paraId="523BDAEA" w14:textId="77777777">
      <w:pPr>
        <w:spacing w:after="0" w:line="259" w:lineRule="auto"/>
        <w:ind w:left="0" w:firstLine="0"/>
      </w:pPr>
      <w:r>
        <w:t xml:space="preserve"> </w:t>
      </w:r>
    </w:p>
    <w:p w:rsidR="002127D6" w14:paraId="5D4A21A4" w14:textId="77777777">
      <w:pPr>
        <w:pStyle w:val="Heading3"/>
        <w:ind w:left="715"/>
      </w:pPr>
      <w:r>
        <w:rPr>
          <w:u w:val="none"/>
        </w:rPr>
        <w:t>15.</w:t>
      </w:r>
      <w:r>
        <w:rPr>
          <w:rFonts w:ascii="Arial" w:eastAsia="Arial" w:hAnsi="Arial" w:cs="Arial"/>
          <w:u w:val="none"/>
        </w:rPr>
        <w:t xml:space="preserve"> </w:t>
      </w:r>
      <w:r>
        <w:t>Changes to Collection of Information Requirements, Burden, and Instruments</w:t>
      </w:r>
      <w:r>
        <w:rPr>
          <w:u w:val="none"/>
        </w:rPr>
        <w:t xml:space="preserve"> </w:t>
      </w:r>
    </w:p>
    <w:p w:rsidR="002127D6" w14:paraId="7FF97A39" w14:textId="77777777">
      <w:pPr>
        <w:spacing w:after="0" w:line="259" w:lineRule="auto"/>
        <w:ind w:left="0" w:firstLine="0"/>
      </w:pPr>
      <w:r>
        <w:t xml:space="preserve"> </w:t>
      </w:r>
    </w:p>
    <w:p w:rsidR="002127D6" w14:paraId="20D2E142" w14:textId="77777777">
      <w:pPr>
        <w:ind w:left="715"/>
      </w:pPr>
      <w:r>
        <w:t xml:space="preserve">In this renewal, we are removing one-time costs associated with ePA implementation and adding ongoing annual costs for maintaining a rewards and incentives program for beneficiary RTBTs. We are also revising the burden for ePA transactions to reflect an increased number of Part D contracts. </w:t>
      </w:r>
    </w:p>
    <w:p w:rsidR="002127D6" w14:paraId="551860E4" w14:textId="77777777">
      <w:pPr>
        <w:spacing w:after="0" w:line="259" w:lineRule="auto"/>
        <w:ind w:left="0" w:firstLine="0"/>
      </w:pPr>
      <w:r>
        <w:t xml:space="preserve"> </w:t>
      </w:r>
    </w:p>
    <w:p w:rsidR="002127D6" w14:paraId="2349E259" w14:textId="77777777">
      <w:pPr>
        <w:spacing w:after="0" w:line="259" w:lineRule="auto"/>
        <w:ind w:left="0" w:firstLine="0"/>
      </w:pPr>
      <w:r>
        <w:t xml:space="preserve"> </w:t>
      </w:r>
    </w:p>
    <w:p w:rsidR="002127D6" w14:paraId="647D29CD" w14:textId="77777777">
      <w:pPr>
        <w:spacing w:after="0" w:line="259" w:lineRule="auto"/>
        <w:ind w:left="0" w:firstLine="0"/>
      </w:pPr>
      <w:r>
        <w:t xml:space="preserve"> </w:t>
      </w:r>
    </w:p>
    <w:p w:rsidR="002127D6" w14:paraId="30B98387" w14:textId="77777777">
      <w:pPr>
        <w:pStyle w:val="Heading2"/>
        <w:ind w:left="715"/>
      </w:pPr>
      <w:r>
        <w:t xml:space="preserve">Removed Burden </w:t>
      </w:r>
    </w:p>
    <w:p w:rsidR="002127D6" w14:paraId="57F794A7" w14:textId="77777777">
      <w:pPr>
        <w:spacing w:after="0" w:line="259" w:lineRule="auto"/>
        <w:ind w:left="0" w:firstLine="0"/>
      </w:pPr>
      <w:r>
        <w:rPr>
          <w:i/>
          <w:sz w:val="17"/>
        </w:rPr>
        <w:t xml:space="preserve"> </w:t>
      </w:r>
    </w:p>
    <w:tbl>
      <w:tblPr>
        <w:tblStyle w:val="TableGrid"/>
        <w:tblW w:w="6024" w:type="dxa"/>
        <w:tblInd w:w="2460" w:type="dxa"/>
        <w:tblCellMar>
          <w:top w:w="56" w:type="dxa"/>
          <w:left w:w="7" w:type="dxa"/>
          <w:right w:w="73" w:type="dxa"/>
        </w:tblCellMar>
        <w:tblLook w:val="04A0"/>
      </w:tblPr>
      <w:tblGrid>
        <w:gridCol w:w="2424"/>
        <w:gridCol w:w="1260"/>
        <w:gridCol w:w="1260"/>
        <w:gridCol w:w="1080"/>
      </w:tblGrid>
      <w:tr w14:paraId="491CF5D7" w14:textId="77777777">
        <w:tblPrEx>
          <w:tblW w:w="6024" w:type="dxa"/>
          <w:tblInd w:w="2460" w:type="dxa"/>
          <w:tblCellMar>
            <w:top w:w="56" w:type="dxa"/>
            <w:left w:w="7" w:type="dxa"/>
            <w:right w:w="73" w:type="dxa"/>
          </w:tblCellMar>
          <w:tblLook w:val="04A0"/>
        </w:tblPrEx>
        <w:trPr>
          <w:trHeight w:val="1510"/>
        </w:trPr>
        <w:tc>
          <w:tcPr>
            <w:tcW w:w="2424" w:type="dxa"/>
            <w:tcBorders>
              <w:top w:val="single" w:sz="6" w:space="0" w:color="000000"/>
              <w:left w:val="single" w:sz="6" w:space="0" w:color="000000"/>
              <w:bottom w:val="single" w:sz="6" w:space="0" w:color="000000"/>
              <w:right w:val="single" w:sz="6" w:space="0" w:color="000000"/>
            </w:tcBorders>
          </w:tcPr>
          <w:p w:rsidR="002127D6" w14:paraId="500EB6DD" w14:textId="77777777">
            <w:pPr>
              <w:spacing w:after="154" w:line="259" w:lineRule="auto"/>
              <w:ind w:left="0" w:firstLine="0"/>
            </w:pPr>
            <w:r>
              <w:rPr>
                <w:i/>
                <w:sz w:val="20"/>
              </w:rPr>
              <w:t xml:space="preserve"> </w:t>
            </w:r>
          </w:p>
          <w:p w:rsidR="002127D6" w14:paraId="5F8A2136" w14:textId="77777777">
            <w:pPr>
              <w:spacing w:after="0" w:line="259" w:lineRule="auto"/>
              <w:ind w:left="0" w:firstLine="0"/>
            </w:pPr>
            <w:r>
              <w:rPr>
                <w:i/>
                <w:sz w:val="20"/>
              </w:rPr>
              <w:t xml:space="preserve"> </w:t>
            </w:r>
          </w:p>
          <w:p w:rsidR="002127D6" w14:paraId="51290828" w14:textId="77777777">
            <w:pPr>
              <w:spacing w:after="0" w:line="259" w:lineRule="auto"/>
              <w:ind w:left="75" w:firstLine="0"/>
              <w:jc w:val="center"/>
            </w:pPr>
            <w:r>
              <w:rPr>
                <w:sz w:val="20"/>
              </w:rPr>
              <w:t xml:space="preserve">Subject </w:t>
            </w:r>
          </w:p>
        </w:tc>
        <w:tc>
          <w:tcPr>
            <w:tcW w:w="1260" w:type="dxa"/>
            <w:tcBorders>
              <w:top w:val="single" w:sz="6" w:space="0" w:color="000000"/>
              <w:left w:val="single" w:sz="6" w:space="0" w:color="000000"/>
              <w:bottom w:val="single" w:sz="6" w:space="0" w:color="000000"/>
              <w:right w:val="single" w:sz="6" w:space="0" w:color="000000"/>
            </w:tcBorders>
          </w:tcPr>
          <w:p w:rsidR="002127D6" w14:paraId="2E2AC3D2" w14:textId="77777777">
            <w:pPr>
              <w:spacing w:after="0" w:line="259" w:lineRule="auto"/>
              <w:ind w:left="0" w:firstLine="0"/>
            </w:pPr>
            <w:r>
              <w:rPr>
                <w:i/>
                <w:sz w:val="20"/>
              </w:rPr>
              <w:t xml:space="preserve"> </w:t>
            </w:r>
          </w:p>
          <w:p w:rsidR="002127D6" w14:paraId="39A7083C" w14:textId="77777777">
            <w:pPr>
              <w:spacing w:after="0" w:line="259" w:lineRule="auto"/>
              <w:ind w:left="82" w:firstLine="0"/>
              <w:jc w:val="center"/>
            </w:pPr>
            <w:r>
              <w:rPr>
                <w:sz w:val="20"/>
              </w:rPr>
              <w:t xml:space="preserve">Total </w:t>
            </w:r>
          </w:p>
          <w:p w:rsidR="002127D6" w14:paraId="57F3C16F" w14:textId="77777777">
            <w:pPr>
              <w:spacing w:after="0" w:line="259" w:lineRule="auto"/>
              <w:ind w:left="83" w:firstLine="0"/>
              <w:jc w:val="center"/>
            </w:pPr>
            <w:r>
              <w:rPr>
                <w:sz w:val="20"/>
              </w:rPr>
              <w:t xml:space="preserve">Responses </w:t>
            </w:r>
          </w:p>
          <w:p w:rsidR="002127D6" w14:paraId="3D509EC9" w14:textId="77777777">
            <w:pPr>
              <w:spacing w:after="0" w:line="259" w:lineRule="auto"/>
              <w:ind w:left="85" w:firstLine="0"/>
              <w:jc w:val="center"/>
            </w:pPr>
            <w:r>
              <w:rPr>
                <w:sz w:val="20"/>
              </w:rPr>
              <w:t xml:space="preserve">(all </w:t>
            </w:r>
          </w:p>
          <w:p w:rsidR="002127D6" w14:paraId="58E8483B" w14:textId="77777777">
            <w:pPr>
              <w:spacing w:after="0" w:line="259" w:lineRule="auto"/>
              <w:ind w:left="132" w:firstLine="0"/>
            </w:pPr>
            <w:r>
              <w:rPr>
                <w:sz w:val="20"/>
              </w:rPr>
              <w:t xml:space="preserve">respondents) </w:t>
            </w:r>
          </w:p>
        </w:tc>
        <w:tc>
          <w:tcPr>
            <w:tcW w:w="1260" w:type="dxa"/>
            <w:tcBorders>
              <w:top w:val="single" w:sz="6" w:space="0" w:color="000000"/>
              <w:left w:val="single" w:sz="6" w:space="0" w:color="000000"/>
              <w:bottom w:val="single" w:sz="6" w:space="0" w:color="000000"/>
              <w:right w:val="single" w:sz="6" w:space="0" w:color="000000"/>
            </w:tcBorders>
          </w:tcPr>
          <w:p w:rsidR="002127D6" w14:paraId="6227D6A6" w14:textId="77777777">
            <w:pPr>
              <w:spacing w:after="0" w:line="259" w:lineRule="auto"/>
              <w:ind w:left="0" w:firstLine="0"/>
            </w:pPr>
            <w:r>
              <w:rPr>
                <w:i/>
                <w:sz w:val="20"/>
              </w:rPr>
              <w:t xml:space="preserve"> </w:t>
            </w:r>
          </w:p>
          <w:p w:rsidR="002127D6" w14:paraId="2D6288A1" w14:textId="77777777">
            <w:pPr>
              <w:spacing w:after="0" w:line="259" w:lineRule="auto"/>
              <w:ind w:left="82" w:firstLine="0"/>
              <w:jc w:val="center"/>
            </w:pPr>
            <w:r>
              <w:rPr>
                <w:sz w:val="20"/>
              </w:rPr>
              <w:t xml:space="preserve">Total </w:t>
            </w:r>
          </w:p>
          <w:p w:rsidR="002127D6" w14:paraId="382058AA" w14:textId="77777777">
            <w:pPr>
              <w:spacing w:after="0" w:line="259" w:lineRule="auto"/>
              <w:ind w:left="132" w:firstLine="19"/>
              <w:jc w:val="center"/>
            </w:pPr>
            <w:r>
              <w:rPr>
                <w:sz w:val="20"/>
              </w:rPr>
              <w:t xml:space="preserve">Annual Time (hr, all respondents) </w:t>
            </w:r>
          </w:p>
        </w:tc>
        <w:tc>
          <w:tcPr>
            <w:tcW w:w="1080" w:type="dxa"/>
            <w:tcBorders>
              <w:top w:val="single" w:sz="6" w:space="0" w:color="000000"/>
              <w:left w:val="single" w:sz="6" w:space="0" w:color="000000"/>
              <w:bottom w:val="single" w:sz="6" w:space="0" w:color="000000"/>
              <w:right w:val="single" w:sz="6" w:space="0" w:color="000000"/>
            </w:tcBorders>
          </w:tcPr>
          <w:p w:rsidR="002127D6" w14:paraId="4BF632DF" w14:textId="77777777">
            <w:pPr>
              <w:spacing w:after="0" w:line="259" w:lineRule="auto"/>
              <w:ind w:left="0" w:firstLine="0"/>
            </w:pPr>
            <w:r>
              <w:rPr>
                <w:i/>
                <w:sz w:val="20"/>
              </w:rPr>
              <w:t xml:space="preserve"> </w:t>
            </w:r>
          </w:p>
          <w:p w:rsidR="002127D6" w14:paraId="3F0A68EF" w14:textId="77777777">
            <w:pPr>
              <w:spacing w:after="0" w:line="259" w:lineRule="auto"/>
              <w:ind w:left="87" w:firstLine="0"/>
              <w:jc w:val="center"/>
            </w:pPr>
            <w:r>
              <w:rPr>
                <w:sz w:val="20"/>
              </w:rPr>
              <w:t xml:space="preserve">Total </w:t>
            </w:r>
          </w:p>
          <w:p w:rsidR="002127D6" w14:paraId="0D685D16" w14:textId="77777777">
            <w:pPr>
              <w:spacing w:after="0" w:line="259" w:lineRule="auto"/>
              <w:ind w:left="82" w:firstLine="0"/>
              <w:jc w:val="center"/>
            </w:pPr>
            <w:r>
              <w:rPr>
                <w:sz w:val="20"/>
              </w:rPr>
              <w:t xml:space="preserve">Annual </w:t>
            </w:r>
          </w:p>
          <w:p w:rsidR="002127D6" w14:paraId="77C7DAAC" w14:textId="77777777">
            <w:pPr>
              <w:spacing w:after="0" w:line="259" w:lineRule="auto"/>
              <w:ind w:left="81" w:firstLine="0"/>
              <w:jc w:val="center"/>
            </w:pPr>
            <w:r>
              <w:rPr>
                <w:sz w:val="20"/>
              </w:rPr>
              <w:t xml:space="preserve">Cost ($) </w:t>
            </w:r>
          </w:p>
        </w:tc>
      </w:tr>
      <w:tr w14:paraId="52E258DE" w14:textId="77777777">
        <w:tblPrEx>
          <w:tblW w:w="6024" w:type="dxa"/>
          <w:tblInd w:w="2460" w:type="dxa"/>
          <w:tblCellMar>
            <w:top w:w="56" w:type="dxa"/>
            <w:left w:w="7" w:type="dxa"/>
            <w:right w:w="73" w:type="dxa"/>
          </w:tblCellMar>
          <w:tblLook w:val="04A0"/>
        </w:tblPrEx>
        <w:trPr>
          <w:trHeight w:val="496"/>
        </w:trPr>
        <w:tc>
          <w:tcPr>
            <w:tcW w:w="2424" w:type="dxa"/>
            <w:tcBorders>
              <w:top w:val="single" w:sz="6" w:space="0" w:color="000000"/>
              <w:left w:val="single" w:sz="4" w:space="0" w:color="000000"/>
              <w:bottom w:val="single" w:sz="4" w:space="0" w:color="000000"/>
              <w:right w:val="single" w:sz="6" w:space="0" w:color="000000"/>
            </w:tcBorders>
          </w:tcPr>
          <w:p w:rsidR="002127D6" w14:paraId="77100E98" w14:textId="77777777">
            <w:pPr>
              <w:spacing w:after="0" w:line="259" w:lineRule="auto"/>
              <w:ind w:left="110" w:firstLine="0"/>
            </w:pPr>
            <w:r>
              <w:rPr>
                <w:sz w:val="20"/>
              </w:rPr>
              <w:t xml:space="preserve">ePA Implementation (§ 423.160(b)(1))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3E0CE716" w14:textId="77777777">
            <w:pPr>
              <w:spacing w:after="0" w:line="259" w:lineRule="auto"/>
              <w:ind w:left="86" w:firstLine="0"/>
              <w:jc w:val="center"/>
            </w:pPr>
            <w:r>
              <w:rPr>
                <w:sz w:val="20"/>
              </w:rPr>
              <w:t xml:space="preserve">-15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100A193A" w14:textId="77777777">
            <w:pPr>
              <w:spacing w:after="0" w:line="259" w:lineRule="auto"/>
              <w:ind w:left="66" w:firstLine="0"/>
              <w:jc w:val="center"/>
            </w:pPr>
            <w:r>
              <w:rPr>
                <w:sz w:val="20"/>
              </w:rPr>
              <w:t xml:space="preserve">Varies </w:t>
            </w:r>
          </w:p>
        </w:tc>
        <w:tc>
          <w:tcPr>
            <w:tcW w:w="1080" w:type="dxa"/>
            <w:tcBorders>
              <w:top w:val="single" w:sz="6" w:space="0" w:color="000000"/>
              <w:left w:val="single" w:sz="6" w:space="0" w:color="000000"/>
              <w:bottom w:val="single" w:sz="6" w:space="0" w:color="000000"/>
              <w:right w:val="single" w:sz="6" w:space="0" w:color="000000"/>
            </w:tcBorders>
            <w:vAlign w:val="center"/>
          </w:tcPr>
          <w:p w:rsidR="002127D6" w14:paraId="6E767E90" w14:textId="77777777">
            <w:pPr>
              <w:spacing w:after="0" w:line="259" w:lineRule="auto"/>
              <w:ind w:left="67" w:firstLine="0"/>
              <w:jc w:val="center"/>
            </w:pPr>
            <w:r>
              <w:rPr>
                <w:sz w:val="20"/>
              </w:rPr>
              <w:t xml:space="preserve">-33,000 </w:t>
            </w:r>
          </w:p>
        </w:tc>
      </w:tr>
    </w:tbl>
    <w:p w:rsidR="002127D6" w14:paraId="50780E8B" w14:textId="77777777">
      <w:pPr>
        <w:spacing w:after="0" w:line="259" w:lineRule="auto"/>
        <w:ind w:left="0" w:firstLine="0"/>
      </w:pPr>
      <w:r>
        <w:rPr>
          <w:i/>
        </w:rPr>
        <w:t xml:space="preserve"> </w:t>
      </w:r>
    </w:p>
    <w:p w:rsidR="002127D6" w14:paraId="28D2D8CB" w14:textId="77777777">
      <w:pPr>
        <w:spacing w:after="0" w:line="259" w:lineRule="auto"/>
        <w:ind w:left="0" w:firstLine="0"/>
      </w:pPr>
      <w:r>
        <w:rPr>
          <w:i/>
        </w:rPr>
        <w:t xml:space="preserve"> </w:t>
      </w:r>
    </w:p>
    <w:p w:rsidR="002127D6" w14:paraId="3BD3A59C" w14:textId="77777777">
      <w:pPr>
        <w:pStyle w:val="Heading2"/>
        <w:ind w:left="715"/>
      </w:pPr>
      <w:r>
        <w:t xml:space="preserve">Revised Burden </w:t>
      </w:r>
    </w:p>
    <w:p w:rsidR="002127D6" w14:paraId="41851E8C" w14:textId="77777777">
      <w:pPr>
        <w:spacing w:after="0" w:line="259" w:lineRule="auto"/>
        <w:ind w:left="0" w:firstLine="0"/>
      </w:pPr>
      <w:r>
        <w:rPr>
          <w:i/>
          <w:sz w:val="17"/>
        </w:rPr>
        <w:t xml:space="preserve"> </w:t>
      </w:r>
    </w:p>
    <w:tbl>
      <w:tblPr>
        <w:tblStyle w:val="TableGrid"/>
        <w:tblW w:w="6024" w:type="dxa"/>
        <w:tblInd w:w="2460" w:type="dxa"/>
        <w:tblCellMar>
          <w:top w:w="56" w:type="dxa"/>
          <w:left w:w="7" w:type="dxa"/>
          <w:right w:w="73" w:type="dxa"/>
        </w:tblCellMar>
        <w:tblLook w:val="04A0"/>
      </w:tblPr>
      <w:tblGrid>
        <w:gridCol w:w="2424"/>
        <w:gridCol w:w="1260"/>
        <w:gridCol w:w="1260"/>
        <w:gridCol w:w="1080"/>
      </w:tblGrid>
      <w:tr w14:paraId="43CEC72B" w14:textId="77777777">
        <w:tblPrEx>
          <w:tblW w:w="6024" w:type="dxa"/>
          <w:tblInd w:w="2460" w:type="dxa"/>
          <w:tblCellMar>
            <w:top w:w="56" w:type="dxa"/>
            <w:left w:w="7" w:type="dxa"/>
            <w:right w:w="73" w:type="dxa"/>
          </w:tblCellMar>
          <w:tblLook w:val="04A0"/>
        </w:tblPrEx>
        <w:trPr>
          <w:trHeight w:val="1510"/>
        </w:trPr>
        <w:tc>
          <w:tcPr>
            <w:tcW w:w="2424" w:type="dxa"/>
            <w:tcBorders>
              <w:top w:val="single" w:sz="6" w:space="0" w:color="000000"/>
              <w:left w:val="single" w:sz="6" w:space="0" w:color="000000"/>
              <w:bottom w:val="single" w:sz="6" w:space="0" w:color="000000"/>
              <w:right w:val="single" w:sz="6" w:space="0" w:color="000000"/>
            </w:tcBorders>
          </w:tcPr>
          <w:p w:rsidR="002127D6" w14:paraId="2AF1C8A3" w14:textId="77777777">
            <w:pPr>
              <w:spacing w:after="154" w:line="259" w:lineRule="auto"/>
              <w:ind w:left="0" w:firstLine="0"/>
            </w:pPr>
            <w:r>
              <w:rPr>
                <w:i/>
                <w:sz w:val="20"/>
              </w:rPr>
              <w:t xml:space="preserve"> </w:t>
            </w:r>
          </w:p>
          <w:p w:rsidR="002127D6" w14:paraId="18AADEA6" w14:textId="77777777">
            <w:pPr>
              <w:spacing w:after="0" w:line="259" w:lineRule="auto"/>
              <w:ind w:left="0" w:firstLine="0"/>
            </w:pPr>
            <w:r>
              <w:rPr>
                <w:i/>
                <w:sz w:val="20"/>
              </w:rPr>
              <w:t xml:space="preserve"> </w:t>
            </w:r>
          </w:p>
          <w:p w:rsidR="002127D6" w14:paraId="6E2C3A14" w14:textId="77777777">
            <w:pPr>
              <w:spacing w:after="0" w:line="259" w:lineRule="auto"/>
              <w:ind w:left="75" w:firstLine="0"/>
              <w:jc w:val="center"/>
            </w:pPr>
            <w:r>
              <w:rPr>
                <w:sz w:val="20"/>
              </w:rPr>
              <w:t xml:space="preserve">Subject </w:t>
            </w:r>
          </w:p>
        </w:tc>
        <w:tc>
          <w:tcPr>
            <w:tcW w:w="1260" w:type="dxa"/>
            <w:tcBorders>
              <w:top w:val="single" w:sz="6" w:space="0" w:color="000000"/>
              <w:left w:val="single" w:sz="6" w:space="0" w:color="000000"/>
              <w:bottom w:val="single" w:sz="6" w:space="0" w:color="000000"/>
              <w:right w:val="single" w:sz="6" w:space="0" w:color="000000"/>
            </w:tcBorders>
          </w:tcPr>
          <w:p w:rsidR="002127D6" w14:paraId="31BCFED0" w14:textId="77777777">
            <w:pPr>
              <w:spacing w:after="0" w:line="259" w:lineRule="auto"/>
              <w:ind w:left="0" w:firstLine="0"/>
            </w:pPr>
            <w:r>
              <w:rPr>
                <w:i/>
                <w:sz w:val="20"/>
              </w:rPr>
              <w:t xml:space="preserve"> </w:t>
            </w:r>
          </w:p>
          <w:p w:rsidR="002127D6" w14:paraId="3A883A9E" w14:textId="77777777">
            <w:pPr>
              <w:spacing w:after="0" w:line="259" w:lineRule="auto"/>
              <w:ind w:left="82" w:firstLine="0"/>
              <w:jc w:val="center"/>
            </w:pPr>
            <w:r>
              <w:rPr>
                <w:sz w:val="20"/>
              </w:rPr>
              <w:t xml:space="preserve">Total </w:t>
            </w:r>
          </w:p>
          <w:p w:rsidR="002127D6" w14:paraId="173D9D10" w14:textId="77777777">
            <w:pPr>
              <w:spacing w:after="0" w:line="259" w:lineRule="auto"/>
              <w:ind w:left="83" w:firstLine="0"/>
              <w:jc w:val="center"/>
            </w:pPr>
            <w:r>
              <w:rPr>
                <w:sz w:val="20"/>
              </w:rPr>
              <w:t xml:space="preserve">Responses </w:t>
            </w:r>
          </w:p>
          <w:p w:rsidR="002127D6" w14:paraId="31BF243D" w14:textId="77777777">
            <w:pPr>
              <w:spacing w:after="0" w:line="259" w:lineRule="auto"/>
              <w:ind w:left="85" w:firstLine="0"/>
              <w:jc w:val="center"/>
            </w:pPr>
            <w:r>
              <w:rPr>
                <w:sz w:val="20"/>
              </w:rPr>
              <w:t xml:space="preserve">(all </w:t>
            </w:r>
          </w:p>
          <w:p w:rsidR="002127D6" w14:paraId="0CDDFF32" w14:textId="77777777">
            <w:pPr>
              <w:spacing w:after="0" w:line="259" w:lineRule="auto"/>
              <w:ind w:left="132" w:firstLine="0"/>
            </w:pPr>
            <w:r>
              <w:rPr>
                <w:sz w:val="20"/>
              </w:rPr>
              <w:t xml:space="preserve">respondents) </w:t>
            </w:r>
          </w:p>
        </w:tc>
        <w:tc>
          <w:tcPr>
            <w:tcW w:w="1260" w:type="dxa"/>
            <w:tcBorders>
              <w:top w:val="single" w:sz="6" w:space="0" w:color="000000"/>
              <w:left w:val="single" w:sz="6" w:space="0" w:color="000000"/>
              <w:bottom w:val="single" w:sz="6" w:space="0" w:color="000000"/>
              <w:right w:val="single" w:sz="6" w:space="0" w:color="000000"/>
            </w:tcBorders>
          </w:tcPr>
          <w:p w:rsidR="002127D6" w14:paraId="3B93DC22" w14:textId="77777777">
            <w:pPr>
              <w:spacing w:after="0" w:line="259" w:lineRule="auto"/>
              <w:ind w:left="0" w:firstLine="0"/>
            </w:pPr>
            <w:r>
              <w:rPr>
                <w:i/>
                <w:sz w:val="20"/>
              </w:rPr>
              <w:t xml:space="preserve"> </w:t>
            </w:r>
          </w:p>
          <w:p w:rsidR="002127D6" w14:paraId="3270DC52" w14:textId="77777777">
            <w:pPr>
              <w:spacing w:after="0" w:line="259" w:lineRule="auto"/>
              <w:ind w:left="82" w:firstLine="0"/>
              <w:jc w:val="center"/>
            </w:pPr>
            <w:r>
              <w:rPr>
                <w:sz w:val="20"/>
              </w:rPr>
              <w:t xml:space="preserve">Total </w:t>
            </w:r>
          </w:p>
          <w:p w:rsidR="002127D6" w14:paraId="2EC0F2B5" w14:textId="77777777">
            <w:pPr>
              <w:spacing w:after="0" w:line="259" w:lineRule="auto"/>
              <w:ind w:left="132" w:firstLine="19"/>
              <w:jc w:val="center"/>
            </w:pPr>
            <w:r>
              <w:rPr>
                <w:sz w:val="20"/>
              </w:rPr>
              <w:t xml:space="preserve">Annual Time (hr, all respondents) </w:t>
            </w:r>
          </w:p>
        </w:tc>
        <w:tc>
          <w:tcPr>
            <w:tcW w:w="1080" w:type="dxa"/>
            <w:tcBorders>
              <w:top w:val="single" w:sz="6" w:space="0" w:color="000000"/>
              <w:left w:val="single" w:sz="6" w:space="0" w:color="000000"/>
              <w:bottom w:val="single" w:sz="6" w:space="0" w:color="000000"/>
              <w:right w:val="single" w:sz="6" w:space="0" w:color="000000"/>
            </w:tcBorders>
          </w:tcPr>
          <w:p w:rsidR="002127D6" w14:paraId="3B2BD715" w14:textId="77777777">
            <w:pPr>
              <w:spacing w:after="0" w:line="259" w:lineRule="auto"/>
              <w:ind w:left="0" w:firstLine="0"/>
            </w:pPr>
            <w:r>
              <w:rPr>
                <w:i/>
                <w:sz w:val="20"/>
              </w:rPr>
              <w:t xml:space="preserve"> </w:t>
            </w:r>
          </w:p>
          <w:p w:rsidR="002127D6" w14:paraId="1BE7057E" w14:textId="77777777">
            <w:pPr>
              <w:spacing w:after="0" w:line="259" w:lineRule="auto"/>
              <w:ind w:left="87" w:firstLine="0"/>
              <w:jc w:val="center"/>
            </w:pPr>
            <w:r>
              <w:rPr>
                <w:sz w:val="20"/>
              </w:rPr>
              <w:t xml:space="preserve">Total </w:t>
            </w:r>
          </w:p>
          <w:p w:rsidR="002127D6" w14:paraId="08CA637B" w14:textId="77777777">
            <w:pPr>
              <w:spacing w:after="0" w:line="259" w:lineRule="auto"/>
              <w:ind w:left="82" w:firstLine="0"/>
              <w:jc w:val="center"/>
            </w:pPr>
            <w:r>
              <w:rPr>
                <w:sz w:val="20"/>
              </w:rPr>
              <w:t xml:space="preserve">Annual </w:t>
            </w:r>
          </w:p>
          <w:p w:rsidR="002127D6" w14:paraId="57571BB5" w14:textId="77777777">
            <w:pPr>
              <w:spacing w:after="0" w:line="259" w:lineRule="auto"/>
              <w:ind w:left="81" w:firstLine="0"/>
              <w:jc w:val="center"/>
            </w:pPr>
            <w:r>
              <w:rPr>
                <w:sz w:val="20"/>
              </w:rPr>
              <w:t xml:space="preserve">Cost ($) </w:t>
            </w:r>
          </w:p>
        </w:tc>
      </w:tr>
      <w:tr w14:paraId="6B61266E" w14:textId="77777777">
        <w:tblPrEx>
          <w:tblW w:w="6024" w:type="dxa"/>
          <w:tblInd w:w="2460" w:type="dxa"/>
          <w:tblCellMar>
            <w:top w:w="56" w:type="dxa"/>
            <w:left w:w="7" w:type="dxa"/>
            <w:right w:w="73" w:type="dxa"/>
          </w:tblCellMar>
          <w:tblLook w:val="04A0"/>
        </w:tblPrEx>
        <w:trPr>
          <w:trHeight w:val="496"/>
        </w:trPr>
        <w:tc>
          <w:tcPr>
            <w:tcW w:w="2424" w:type="dxa"/>
            <w:tcBorders>
              <w:top w:val="single" w:sz="6" w:space="0" w:color="000000"/>
              <w:left w:val="single" w:sz="4" w:space="0" w:color="000000"/>
              <w:bottom w:val="single" w:sz="4" w:space="0" w:color="000000"/>
              <w:right w:val="single" w:sz="6" w:space="0" w:color="000000"/>
            </w:tcBorders>
          </w:tcPr>
          <w:p w:rsidR="002127D6" w14:paraId="6EBBA358" w14:textId="77777777">
            <w:pPr>
              <w:spacing w:after="0" w:line="259" w:lineRule="auto"/>
              <w:ind w:left="110" w:firstLine="0"/>
            </w:pPr>
            <w:r>
              <w:rPr>
                <w:sz w:val="20"/>
              </w:rPr>
              <w:t xml:space="preserve">ePA Transactions (§ 423.160(b)(1))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2F76684C" w14:textId="77777777">
            <w:pPr>
              <w:spacing w:after="0" w:line="259" w:lineRule="auto"/>
              <w:ind w:left="64" w:firstLine="0"/>
              <w:jc w:val="center"/>
            </w:pPr>
            <w:r>
              <w:rPr>
                <w:sz w:val="20"/>
              </w:rPr>
              <w:t xml:space="preserve">+140,402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6C8BF2DD" w14:textId="77777777">
            <w:pPr>
              <w:spacing w:after="0" w:line="259" w:lineRule="auto"/>
              <w:ind w:left="82" w:firstLine="0"/>
              <w:jc w:val="center"/>
            </w:pPr>
            <w:r>
              <w:rPr>
                <w:sz w:val="20"/>
              </w:rPr>
              <w:t xml:space="preserve">n/a </w:t>
            </w:r>
          </w:p>
        </w:tc>
        <w:tc>
          <w:tcPr>
            <w:tcW w:w="1080" w:type="dxa"/>
            <w:tcBorders>
              <w:top w:val="single" w:sz="6" w:space="0" w:color="000000"/>
              <w:left w:val="single" w:sz="6" w:space="0" w:color="000000"/>
              <w:bottom w:val="single" w:sz="6" w:space="0" w:color="000000"/>
              <w:right w:val="single" w:sz="6" w:space="0" w:color="000000"/>
            </w:tcBorders>
            <w:vAlign w:val="center"/>
          </w:tcPr>
          <w:p w:rsidR="002127D6" w14:paraId="4FF0FE85" w14:textId="77777777">
            <w:pPr>
              <w:spacing w:after="0" w:line="259" w:lineRule="auto"/>
              <w:ind w:left="156" w:firstLine="0"/>
            </w:pPr>
            <w:r>
              <w:rPr>
                <w:sz w:val="20"/>
              </w:rPr>
              <w:t xml:space="preserve">+570,032 </w:t>
            </w:r>
          </w:p>
        </w:tc>
      </w:tr>
    </w:tbl>
    <w:p w:rsidR="002127D6" w14:paraId="090C3C4E" w14:textId="77777777">
      <w:pPr>
        <w:spacing w:after="0" w:line="259" w:lineRule="auto"/>
        <w:ind w:left="0" w:firstLine="0"/>
      </w:pPr>
      <w:r>
        <w:rPr>
          <w:i/>
        </w:rPr>
        <w:t xml:space="preserve"> </w:t>
      </w:r>
    </w:p>
    <w:p w:rsidR="002127D6" w14:paraId="35723701" w14:textId="77777777">
      <w:pPr>
        <w:spacing w:after="0" w:line="259" w:lineRule="auto"/>
        <w:ind w:left="0" w:firstLine="0"/>
      </w:pPr>
      <w:r>
        <w:rPr>
          <w:i/>
        </w:rPr>
        <w:t xml:space="preserve"> </w:t>
      </w:r>
    </w:p>
    <w:p w:rsidR="002127D6" w14:paraId="79B503D1" w14:textId="77777777">
      <w:pPr>
        <w:pStyle w:val="Heading2"/>
        <w:ind w:left="715"/>
      </w:pPr>
      <w:r>
        <w:t xml:space="preserve">Added Burden </w:t>
      </w:r>
    </w:p>
    <w:p w:rsidR="002127D6" w14:paraId="30605CB1" w14:textId="77777777">
      <w:pPr>
        <w:spacing w:after="0" w:line="259" w:lineRule="auto"/>
        <w:ind w:left="0" w:firstLine="0"/>
      </w:pPr>
      <w:r>
        <w:rPr>
          <w:i/>
          <w:sz w:val="17"/>
        </w:rPr>
        <w:t xml:space="preserve"> </w:t>
      </w:r>
    </w:p>
    <w:tbl>
      <w:tblPr>
        <w:tblStyle w:val="TableGrid"/>
        <w:tblW w:w="6113" w:type="dxa"/>
        <w:tblInd w:w="2417" w:type="dxa"/>
        <w:tblCellMar>
          <w:top w:w="54" w:type="dxa"/>
          <w:left w:w="7" w:type="dxa"/>
          <w:right w:w="77" w:type="dxa"/>
        </w:tblCellMar>
        <w:tblLook w:val="04A0"/>
      </w:tblPr>
      <w:tblGrid>
        <w:gridCol w:w="2424"/>
        <w:gridCol w:w="1260"/>
        <w:gridCol w:w="1260"/>
        <w:gridCol w:w="1169"/>
      </w:tblGrid>
      <w:tr w14:paraId="25A2CA7F" w14:textId="77777777">
        <w:tblPrEx>
          <w:tblW w:w="6113" w:type="dxa"/>
          <w:tblInd w:w="2417" w:type="dxa"/>
          <w:tblCellMar>
            <w:top w:w="54" w:type="dxa"/>
            <w:left w:w="7" w:type="dxa"/>
            <w:right w:w="77" w:type="dxa"/>
          </w:tblCellMar>
          <w:tblLook w:val="04A0"/>
        </w:tblPrEx>
        <w:trPr>
          <w:trHeight w:val="1510"/>
        </w:trPr>
        <w:tc>
          <w:tcPr>
            <w:tcW w:w="2424" w:type="dxa"/>
            <w:tcBorders>
              <w:top w:val="single" w:sz="6" w:space="0" w:color="000000"/>
              <w:left w:val="single" w:sz="6" w:space="0" w:color="000000"/>
              <w:bottom w:val="single" w:sz="6" w:space="0" w:color="000000"/>
              <w:right w:val="single" w:sz="6" w:space="0" w:color="000000"/>
            </w:tcBorders>
          </w:tcPr>
          <w:p w:rsidR="002127D6" w14:paraId="7BD0BE33" w14:textId="77777777">
            <w:pPr>
              <w:spacing w:after="152" w:line="259" w:lineRule="auto"/>
              <w:ind w:left="0" w:firstLine="0"/>
            </w:pPr>
            <w:r>
              <w:rPr>
                <w:i/>
                <w:sz w:val="20"/>
              </w:rPr>
              <w:t xml:space="preserve"> </w:t>
            </w:r>
          </w:p>
          <w:p w:rsidR="002127D6" w14:paraId="121DAACF" w14:textId="77777777">
            <w:pPr>
              <w:spacing w:after="0" w:line="259" w:lineRule="auto"/>
              <w:ind w:left="0" w:firstLine="0"/>
            </w:pPr>
            <w:r>
              <w:rPr>
                <w:i/>
                <w:sz w:val="20"/>
              </w:rPr>
              <w:t xml:space="preserve"> </w:t>
            </w:r>
          </w:p>
          <w:p w:rsidR="002127D6" w14:paraId="172E797B" w14:textId="77777777">
            <w:pPr>
              <w:spacing w:after="0" w:line="259" w:lineRule="auto"/>
              <w:ind w:left="80" w:firstLine="0"/>
              <w:jc w:val="center"/>
            </w:pPr>
            <w:r>
              <w:rPr>
                <w:sz w:val="20"/>
              </w:rPr>
              <w:t xml:space="preserve">Subject </w:t>
            </w:r>
          </w:p>
        </w:tc>
        <w:tc>
          <w:tcPr>
            <w:tcW w:w="1260" w:type="dxa"/>
            <w:tcBorders>
              <w:top w:val="single" w:sz="6" w:space="0" w:color="000000"/>
              <w:left w:val="single" w:sz="6" w:space="0" w:color="000000"/>
              <w:bottom w:val="single" w:sz="6" w:space="0" w:color="000000"/>
              <w:right w:val="single" w:sz="6" w:space="0" w:color="000000"/>
            </w:tcBorders>
          </w:tcPr>
          <w:p w:rsidR="002127D6" w14:paraId="6CF71296" w14:textId="77777777">
            <w:pPr>
              <w:spacing w:after="0" w:line="259" w:lineRule="auto"/>
              <w:ind w:left="0" w:firstLine="0"/>
            </w:pPr>
            <w:r>
              <w:rPr>
                <w:i/>
                <w:sz w:val="20"/>
              </w:rPr>
              <w:t xml:space="preserve"> </w:t>
            </w:r>
          </w:p>
          <w:p w:rsidR="002127D6" w14:paraId="5D90F974" w14:textId="77777777">
            <w:pPr>
              <w:spacing w:after="0" w:line="259" w:lineRule="auto"/>
              <w:ind w:left="78" w:firstLine="0"/>
              <w:jc w:val="center"/>
            </w:pPr>
            <w:r>
              <w:rPr>
                <w:sz w:val="20"/>
              </w:rPr>
              <w:t xml:space="preserve">Total </w:t>
            </w:r>
          </w:p>
          <w:p w:rsidR="002127D6" w14:paraId="1DBEC5D0" w14:textId="77777777">
            <w:pPr>
              <w:spacing w:after="0" w:line="259" w:lineRule="auto"/>
              <w:ind w:left="78" w:firstLine="0"/>
              <w:jc w:val="center"/>
            </w:pPr>
            <w:r>
              <w:rPr>
                <w:sz w:val="20"/>
              </w:rPr>
              <w:t xml:space="preserve">Responses </w:t>
            </w:r>
          </w:p>
          <w:p w:rsidR="002127D6" w14:paraId="3AB77AE7" w14:textId="77777777">
            <w:pPr>
              <w:spacing w:after="0" w:line="259" w:lineRule="auto"/>
              <w:ind w:left="80" w:firstLine="0"/>
              <w:jc w:val="center"/>
            </w:pPr>
            <w:r>
              <w:rPr>
                <w:sz w:val="20"/>
              </w:rPr>
              <w:t xml:space="preserve">(all </w:t>
            </w:r>
          </w:p>
          <w:p w:rsidR="002127D6" w14:paraId="2BF2CE8E" w14:textId="77777777">
            <w:pPr>
              <w:spacing w:after="0" w:line="259" w:lineRule="auto"/>
              <w:ind w:left="127" w:firstLine="0"/>
            </w:pPr>
            <w:r>
              <w:rPr>
                <w:sz w:val="20"/>
              </w:rPr>
              <w:t xml:space="preserve">respondents) </w:t>
            </w:r>
          </w:p>
        </w:tc>
        <w:tc>
          <w:tcPr>
            <w:tcW w:w="1260" w:type="dxa"/>
            <w:tcBorders>
              <w:top w:val="single" w:sz="6" w:space="0" w:color="000000"/>
              <w:left w:val="single" w:sz="6" w:space="0" w:color="000000"/>
              <w:bottom w:val="single" w:sz="6" w:space="0" w:color="000000"/>
              <w:right w:val="single" w:sz="6" w:space="0" w:color="000000"/>
            </w:tcBorders>
          </w:tcPr>
          <w:p w:rsidR="002127D6" w14:paraId="1CEAE0E0" w14:textId="77777777">
            <w:pPr>
              <w:spacing w:after="0" w:line="259" w:lineRule="auto"/>
              <w:ind w:left="0" w:firstLine="0"/>
            </w:pPr>
            <w:r>
              <w:rPr>
                <w:i/>
                <w:sz w:val="20"/>
              </w:rPr>
              <w:t xml:space="preserve"> </w:t>
            </w:r>
          </w:p>
          <w:p w:rsidR="002127D6" w14:paraId="79C1A932" w14:textId="77777777">
            <w:pPr>
              <w:spacing w:after="0" w:line="259" w:lineRule="auto"/>
              <w:ind w:left="78" w:firstLine="0"/>
              <w:jc w:val="center"/>
            </w:pPr>
            <w:r>
              <w:rPr>
                <w:sz w:val="20"/>
              </w:rPr>
              <w:t xml:space="preserve">Total </w:t>
            </w:r>
          </w:p>
          <w:p w:rsidR="002127D6" w14:paraId="1584C95F" w14:textId="77777777">
            <w:pPr>
              <w:spacing w:after="0" w:line="259" w:lineRule="auto"/>
              <w:ind w:left="127" w:firstLine="18"/>
              <w:jc w:val="center"/>
            </w:pPr>
            <w:r>
              <w:rPr>
                <w:sz w:val="20"/>
              </w:rPr>
              <w:t xml:space="preserve">Annual Time (hr, all respondents) </w:t>
            </w:r>
          </w:p>
        </w:tc>
        <w:tc>
          <w:tcPr>
            <w:tcW w:w="1169" w:type="dxa"/>
            <w:tcBorders>
              <w:top w:val="single" w:sz="6" w:space="0" w:color="000000"/>
              <w:left w:val="single" w:sz="6" w:space="0" w:color="000000"/>
              <w:bottom w:val="single" w:sz="6" w:space="0" w:color="000000"/>
              <w:right w:val="single" w:sz="6" w:space="0" w:color="000000"/>
            </w:tcBorders>
          </w:tcPr>
          <w:p w:rsidR="002127D6" w14:paraId="222DEBB3" w14:textId="77777777">
            <w:pPr>
              <w:spacing w:after="0" w:line="259" w:lineRule="auto"/>
              <w:ind w:left="0" w:firstLine="0"/>
            </w:pPr>
            <w:r>
              <w:rPr>
                <w:i/>
                <w:sz w:val="20"/>
              </w:rPr>
              <w:t xml:space="preserve"> </w:t>
            </w:r>
          </w:p>
          <w:p w:rsidR="002127D6" w14:paraId="56B7EF9E" w14:textId="77777777">
            <w:pPr>
              <w:spacing w:after="0" w:line="259" w:lineRule="auto"/>
              <w:ind w:left="82" w:firstLine="0"/>
              <w:jc w:val="center"/>
            </w:pPr>
            <w:r>
              <w:rPr>
                <w:sz w:val="20"/>
              </w:rPr>
              <w:t xml:space="preserve">Total </w:t>
            </w:r>
          </w:p>
          <w:p w:rsidR="002127D6" w14:paraId="69706613" w14:textId="77777777">
            <w:pPr>
              <w:spacing w:after="0" w:line="259" w:lineRule="auto"/>
              <w:ind w:left="85" w:firstLine="0"/>
              <w:jc w:val="center"/>
            </w:pPr>
            <w:r>
              <w:rPr>
                <w:sz w:val="20"/>
              </w:rPr>
              <w:t xml:space="preserve">Annual </w:t>
            </w:r>
          </w:p>
          <w:p w:rsidR="002127D6" w14:paraId="1808D367" w14:textId="77777777">
            <w:pPr>
              <w:spacing w:after="0" w:line="259" w:lineRule="auto"/>
              <w:ind w:left="83" w:firstLine="0"/>
              <w:jc w:val="center"/>
            </w:pPr>
            <w:r>
              <w:rPr>
                <w:sz w:val="20"/>
              </w:rPr>
              <w:t xml:space="preserve">Cost ($) </w:t>
            </w:r>
          </w:p>
        </w:tc>
      </w:tr>
      <w:tr w14:paraId="69AEEDBB" w14:textId="77777777">
        <w:tblPrEx>
          <w:tblW w:w="6113" w:type="dxa"/>
          <w:tblInd w:w="2417" w:type="dxa"/>
          <w:tblCellMar>
            <w:top w:w="54" w:type="dxa"/>
            <w:left w:w="7" w:type="dxa"/>
            <w:right w:w="77" w:type="dxa"/>
          </w:tblCellMar>
          <w:tblLook w:val="04A0"/>
        </w:tblPrEx>
        <w:trPr>
          <w:trHeight w:val="705"/>
        </w:trPr>
        <w:tc>
          <w:tcPr>
            <w:tcW w:w="2424" w:type="dxa"/>
            <w:tcBorders>
              <w:top w:val="single" w:sz="6" w:space="0" w:color="000000"/>
              <w:left w:val="single" w:sz="4" w:space="0" w:color="000000"/>
              <w:bottom w:val="single" w:sz="4" w:space="0" w:color="000000"/>
              <w:right w:val="single" w:sz="6" w:space="0" w:color="000000"/>
            </w:tcBorders>
          </w:tcPr>
          <w:p w:rsidR="002127D6" w14:paraId="713F26D3" w14:textId="77777777">
            <w:pPr>
              <w:spacing w:after="0" w:line="259" w:lineRule="auto"/>
              <w:ind w:left="108" w:firstLine="0"/>
            </w:pPr>
            <w:r>
              <w:rPr>
                <w:sz w:val="20"/>
              </w:rPr>
              <w:t xml:space="preserve">Rewards and Incentives for </w:t>
            </w:r>
          </w:p>
          <w:p w:rsidR="002127D6" w14:paraId="1EC171CD" w14:textId="77777777">
            <w:pPr>
              <w:spacing w:after="0" w:line="259" w:lineRule="auto"/>
              <w:ind w:left="108" w:firstLine="0"/>
            </w:pPr>
            <w:r>
              <w:rPr>
                <w:sz w:val="20"/>
              </w:rPr>
              <w:t xml:space="preserve">Beneficiary RTBTs (§ </w:t>
            </w:r>
          </w:p>
          <w:p w:rsidR="002127D6" w14:paraId="7E3796C4" w14:textId="77777777">
            <w:pPr>
              <w:spacing w:after="0" w:line="259" w:lineRule="auto"/>
              <w:ind w:left="108" w:firstLine="0"/>
            </w:pPr>
            <w:r>
              <w:rPr>
                <w:sz w:val="20"/>
              </w:rPr>
              <w:t xml:space="preserve">423.128(d)(4)-(5) </w:t>
            </w:r>
          </w:p>
        </w:tc>
        <w:tc>
          <w:tcPr>
            <w:tcW w:w="1260" w:type="dxa"/>
            <w:tcBorders>
              <w:top w:val="single" w:sz="6" w:space="0" w:color="000000"/>
              <w:left w:val="single" w:sz="6" w:space="0" w:color="000000"/>
              <w:bottom w:val="single" w:sz="6" w:space="0" w:color="000000"/>
              <w:right w:val="single" w:sz="6" w:space="0" w:color="000000"/>
            </w:tcBorders>
          </w:tcPr>
          <w:p w:rsidR="002127D6" w14:paraId="359FE07A" w14:textId="77777777">
            <w:pPr>
              <w:spacing w:after="0" w:line="259" w:lineRule="auto"/>
              <w:ind w:left="0" w:firstLine="0"/>
            </w:pPr>
            <w:r>
              <w:rPr>
                <w:i/>
                <w:sz w:val="20"/>
              </w:rPr>
              <w:t xml:space="preserve"> </w:t>
            </w:r>
          </w:p>
          <w:p w:rsidR="002127D6" w14:paraId="51738B26" w14:textId="77777777">
            <w:pPr>
              <w:spacing w:after="0" w:line="259" w:lineRule="auto"/>
              <w:ind w:left="83" w:firstLine="0"/>
              <w:jc w:val="center"/>
            </w:pPr>
            <w:r>
              <w:rPr>
                <w:sz w:val="20"/>
              </w:rPr>
              <w:t xml:space="preserve">+33 </w:t>
            </w:r>
          </w:p>
        </w:tc>
        <w:tc>
          <w:tcPr>
            <w:tcW w:w="1260" w:type="dxa"/>
            <w:tcBorders>
              <w:top w:val="single" w:sz="6" w:space="0" w:color="000000"/>
              <w:left w:val="single" w:sz="6" w:space="0" w:color="000000"/>
              <w:bottom w:val="single" w:sz="6" w:space="0" w:color="000000"/>
              <w:right w:val="single" w:sz="6" w:space="0" w:color="000000"/>
            </w:tcBorders>
          </w:tcPr>
          <w:p w:rsidR="002127D6" w14:paraId="58AE210C" w14:textId="77777777">
            <w:pPr>
              <w:spacing w:after="0" w:line="259" w:lineRule="auto"/>
              <w:ind w:left="0" w:firstLine="0"/>
            </w:pPr>
            <w:r>
              <w:rPr>
                <w:i/>
                <w:sz w:val="20"/>
              </w:rPr>
              <w:t xml:space="preserve"> </w:t>
            </w:r>
          </w:p>
          <w:p w:rsidR="002127D6" w14:paraId="2B36A6F2" w14:textId="77777777">
            <w:pPr>
              <w:spacing w:after="0" w:line="259" w:lineRule="auto"/>
              <w:ind w:left="62" w:firstLine="0"/>
              <w:jc w:val="center"/>
            </w:pPr>
            <w:r>
              <w:rPr>
                <w:sz w:val="20"/>
              </w:rPr>
              <w:t xml:space="preserve">+11,880 </w:t>
            </w:r>
          </w:p>
        </w:tc>
        <w:tc>
          <w:tcPr>
            <w:tcW w:w="1169" w:type="dxa"/>
            <w:tcBorders>
              <w:top w:val="single" w:sz="6" w:space="0" w:color="000000"/>
              <w:left w:val="single" w:sz="6" w:space="0" w:color="000000"/>
              <w:bottom w:val="single" w:sz="6" w:space="0" w:color="000000"/>
              <w:right w:val="single" w:sz="6" w:space="0" w:color="000000"/>
            </w:tcBorders>
          </w:tcPr>
          <w:p w:rsidR="002127D6" w14:paraId="6AAF66BB" w14:textId="77777777">
            <w:pPr>
              <w:spacing w:after="0" w:line="259" w:lineRule="auto"/>
              <w:ind w:left="0" w:firstLine="0"/>
            </w:pPr>
            <w:r>
              <w:rPr>
                <w:i/>
                <w:sz w:val="20"/>
              </w:rPr>
              <w:t xml:space="preserve"> </w:t>
            </w:r>
          </w:p>
          <w:p w:rsidR="002127D6" w14:paraId="66050573" w14:textId="77777777">
            <w:pPr>
              <w:spacing w:after="0" w:line="259" w:lineRule="auto"/>
              <w:ind w:left="125" w:firstLine="0"/>
            </w:pPr>
            <w:r>
              <w:rPr>
                <w:sz w:val="20"/>
              </w:rPr>
              <w:t xml:space="preserve">+1,055,063 </w:t>
            </w:r>
          </w:p>
        </w:tc>
      </w:tr>
    </w:tbl>
    <w:p w:rsidR="002127D6" w14:paraId="76E320C8" w14:textId="77777777">
      <w:pPr>
        <w:spacing w:after="0" w:line="259" w:lineRule="auto"/>
        <w:ind w:left="0" w:firstLine="0"/>
      </w:pPr>
      <w:r>
        <w:rPr>
          <w:i/>
        </w:rPr>
        <w:t xml:space="preserve"> </w:t>
      </w:r>
    </w:p>
    <w:p w:rsidR="002127D6" w14:paraId="026D908C" w14:textId="77777777">
      <w:pPr>
        <w:spacing w:after="0" w:line="259" w:lineRule="auto"/>
        <w:ind w:left="0" w:firstLine="0"/>
      </w:pPr>
      <w:r>
        <w:rPr>
          <w:i/>
        </w:rPr>
        <w:t xml:space="preserve"> </w:t>
      </w:r>
    </w:p>
    <w:p w:rsidR="002127D6" w14:paraId="404EEFF3" w14:textId="77777777">
      <w:pPr>
        <w:spacing w:after="146" w:line="259" w:lineRule="auto"/>
        <w:ind w:left="0" w:firstLine="0"/>
      </w:pPr>
      <w:r>
        <w:rPr>
          <w:i/>
        </w:rPr>
        <w:t xml:space="preserve"> </w:t>
      </w:r>
    </w:p>
    <w:p w:rsidR="002127D6" w14:paraId="2F5813C0" w14:textId="77777777">
      <w:pPr>
        <w:spacing w:after="0" w:line="259" w:lineRule="auto"/>
        <w:ind w:left="0" w:firstLine="0"/>
      </w:pPr>
      <w:r>
        <w:rPr>
          <w:i/>
        </w:rPr>
        <w:t xml:space="preserve"> </w:t>
      </w:r>
    </w:p>
    <w:p w:rsidR="002127D6" w14:paraId="60FA6864" w14:textId="77777777">
      <w:pPr>
        <w:pStyle w:val="Heading2"/>
        <w:ind w:left="715"/>
      </w:pPr>
      <w:r>
        <w:t xml:space="preserve">Net Changes </w:t>
      </w:r>
    </w:p>
    <w:p w:rsidR="002127D6" w14:paraId="0183B4A6" w14:textId="77777777">
      <w:pPr>
        <w:spacing w:after="0" w:line="259" w:lineRule="auto"/>
        <w:ind w:left="0" w:firstLine="0"/>
      </w:pPr>
      <w:r>
        <w:rPr>
          <w:i/>
          <w:sz w:val="17"/>
        </w:rPr>
        <w:t xml:space="preserve"> </w:t>
      </w:r>
    </w:p>
    <w:tbl>
      <w:tblPr>
        <w:tblStyle w:val="TableGrid"/>
        <w:tblW w:w="6113" w:type="dxa"/>
        <w:tblInd w:w="2417" w:type="dxa"/>
        <w:tblCellMar>
          <w:top w:w="56" w:type="dxa"/>
          <w:left w:w="7" w:type="dxa"/>
          <w:right w:w="77" w:type="dxa"/>
        </w:tblCellMar>
        <w:tblLook w:val="04A0"/>
      </w:tblPr>
      <w:tblGrid>
        <w:gridCol w:w="2424"/>
        <w:gridCol w:w="1260"/>
        <w:gridCol w:w="1260"/>
        <w:gridCol w:w="1169"/>
      </w:tblGrid>
      <w:tr w14:paraId="1EA027B1" w14:textId="77777777">
        <w:tblPrEx>
          <w:tblW w:w="6113" w:type="dxa"/>
          <w:tblInd w:w="2417" w:type="dxa"/>
          <w:tblCellMar>
            <w:top w:w="56" w:type="dxa"/>
            <w:left w:w="7" w:type="dxa"/>
            <w:right w:w="77" w:type="dxa"/>
          </w:tblCellMar>
          <w:tblLook w:val="04A0"/>
        </w:tblPrEx>
        <w:trPr>
          <w:trHeight w:val="1510"/>
        </w:trPr>
        <w:tc>
          <w:tcPr>
            <w:tcW w:w="2424" w:type="dxa"/>
            <w:tcBorders>
              <w:top w:val="single" w:sz="6" w:space="0" w:color="000000"/>
              <w:left w:val="single" w:sz="6" w:space="0" w:color="000000"/>
              <w:bottom w:val="single" w:sz="6" w:space="0" w:color="000000"/>
              <w:right w:val="single" w:sz="6" w:space="0" w:color="000000"/>
            </w:tcBorders>
          </w:tcPr>
          <w:p w:rsidR="002127D6" w14:paraId="34B6027F" w14:textId="77777777">
            <w:pPr>
              <w:spacing w:after="154" w:line="259" w:lineRule="auto"/>
              <w:ind w:left="0" w:firstLine="0"/>
            </w:pPr>
            <w:r>
              <w:rPr>
                <w:i/>
                <w:sz w:val="20"/>
              </w:rPr>
              <w:t xml:space="preserve"> </w:t>
            </w:r>
          </w:p>
          <w:p w:rsidR="002127D6" w14:paraId="458A92D6" w14:textId="77777777">
            <w:pPr>
              <w:spacing w:after="0" w:line="259" w:lineRule="auto"/>
              <w:ind w:left="0" w:firstLine="0"/>
            </w:pPr>
            <w:r>
              <w:rPr>
                <w:i/>
                <w:sz w:val="20"/>
              </w:rPr>
              <w:t xml:space="preserve"> </w:t>
            </w:r>
          </w:p>
          <w:p w:rsidR="002127D6" w14:paraId="702FF2C5" w14:textId="77777777">
            <w:pPr>
              <w:spacing w:after="0" w:line="259" w:lineRule="auto"/>
              <w:ind w:left="80" w:firstLine="0"/>
              <w:jc w:val="center"/>
            </w:pPr>
            <w:r>
              <w:rPr>
                <w:sz w:val="20"/>
              </w:rPr>
              <w:t xml:space="preserve">Subject </w:t>
            </w:r>
          </w:p>
        </w:tc>
        <w:tc>
          <w:tcPr>
            <w:tcW w:w="1260" w:type="dxa"/>
            <w:tcBorders>
              <w:top w:val="single" w:sz="6" w:space="0" w:color="000000"/>
              <w:left w:val="single" w:sz="6" w:space="0" w:color="000000"/>
              <w:bottom w:val="single" w:sz="6" w:space="0" w:color="000000"/>
              <w:right w:val="single" w:sz="6" w:space="0" w:color="000000"/>
            </w:tcBorders>
          </w:tcPr>
          <w:p w:rsidR="002127D6" w14:paraId="7A815B9C" w14:textId="77777777">
            <w:pPr>
              <w:spacing w:after="0" w:line="259" w:lineRule="auto"/>
              <w:ind w:left="0" w:firstLine="0"/>
            </w:pPr>
            <w:r>
              <w:rPr>
                <w:i/>
                <w:sz w:val="20"/>
              </w:rPr>
              <w:t xml:space="preserve"> </w:t>
            </w:r>
          </w:p>
          <w:p w:rsidR="002127D6" w14:paraId="4FA46D2D" w14:textId="77777777">
            <w:pPr>
              <w:spacing w:after="0" w:line="259" w:lineRule="auto"/>
              <w:ind w:left="78" w:firstLine="0"/>
              <w:jc w:val="center"/>
            </w:pPr>
            <w:r>
              <w:rPr>
                <w:sz w:val="20"/>
              </w:rPr>
              <w:t xml:space="preserve">Total </w:t>
            </w:r>
          </w:p>
          <w:p w:rsidR="002127D6" w14:paraId="71FD3AC6" w14:textId="77777777">
            <w:pPr>
              <w:spacing w:after="0" w:line="259" w:lineRule="auto"/>
              <w:ind w:left="78" w:firstLine="0"/>
              <w:jc w:val="center"/>
            </w:pPr>
            <w:r>
              <w:rPr>
                <w:sz w:val="20"/>
              </w:rPr>
              <w:t xml:space="preserve">Responses </w:t>
            </w:r>
          </w:p>
          <w:p w:rsidR="002127D6" w14:paraId="1AC4BF8F" w14:textId="77777777">
            <w:pPr>
              <w:spacing w:after="0" w:line="259" w:lineRule="auto"/>
              <w:ind w:left="80" w:firstLine="0"/>
              <w:jc w:val="center"/>
            </w:pPr>
            <w:r>
              <w:rPr>
                <w:sz w:val="20"/>
              </w:rPr>
              <w:t xml:space="preserve">(all </w:t>
            </w:r>
          </w:p>
          <w:p w:rsidR="002127D6" w14:paraId="08F58DB8" w14:textId="77777777">
            <w:pPr>
              <w:spacing w:after="0" w:line="259" w:lineRule="auto"/>
              <w:ind w:left="127" w:firstLine="0"/>
            </w:pPr>
            <w:r>
              <w:rPr>
                <w:sz w:val="20"/>
              </w:rPr>
              <w:t xml:space="preserve">respondents) </w:t>
            </w:r>
          </w:p>
        </w:tc>
        <w:tc>
          <w:tcPr>
            <w:tcW w:w="1260" w:type="dxa"/>
            <w:tcBorders>
              <w:top w:val="single" w:sz="6" w:space="0" w:color="000000"/>
              <w:left w:val="single" w:sz="6" w:space="0" w:color="000000"/>
              <w:bottom w:val="single" w:sz="6" w:space="0" w:color="000000"/>
              <w:right w:val="single" w:sz="6" w:space="0" w:color="000000"/>
            </w:tcBorders>
          </w:tcPr>
          <w:p w:rsidR="002127D6" w14:paraId="4F4A8B3C" w14:textId="77777777">
            <w:pPr>
              <w:spacing w:after="0" w:line="259" w:lineRule="auto"/>
              <w:ind w:left="0" w:firstLine="0"/>
            </w:pPr>
            <w:r>
              <w:rPr>
                <w:i/>
                <w:sz w:val="20"/>
              </w:rPr>
              <w:t xml:space="preserve"> </w:t>
            </w:r>
          </w:p>
          <w:p w:rsidR="002127D6" w14:paraId="79CC49E5" w14:textId="77777777">
            <w:pPr>
              <w:spacing w:after="0" w:line="259" w:lineRule="auto"/>
              <w:ind w:left="78" w:firstLine="0"/>
              <w:jc w:val="center"/>
            </w:pPr>
            <w:r>
              <w:rPr>
                <w:sz w:val="20"/>
              </w:rPr>
              <w:t xml:space="preserve">Total </w:t>
            </w:r>
          </w:p>
          <w:p w:rsidR="002127D6" w14:paraId="2D3BD2E0" w14:textId="77777777">
            <w:pPr>
              <w:spacing w:after="0" w:line="259" w:lineRule="auto"/>
              <w:ind w:left="127" w:firstLine="18"/>
              <w:jc w:val="center"/>
            </w:pPr>
            <w:r>
              <w:rPr>
                <w:sz w:val="20"/>
              </w:rPr>
              <w:t xml:space="preserve">Annual Time (hr, all respondents) </w:t>
            </w:r>
          </w:p>
        </w:tc>
        <w:tc>
          <w:tcPr>
            <w:tcW w:w="1169" w:type="dxa"/>
            <w:tcBorders>
              <w:top w:val="single" w:sz="6" w:space="0" w:color="000000"/>
              <w:left w:val="single" w:sz="6" w:space="0" w:color="000000"/>
              <w:bottom w:val="single" w:sz="6" w:space="0" w:color="000000"/>
              <w:right w:val="single" w:sz="6" w:space="0" w:color="000000"/>
            </w:tcBorders>
          </w:tcPr>
          <w:p w:rsidR="002127D6" w14:paraId="6B159870" w14:textId="77777777">
            <w:pPr>
              <w:spacing w:after="0" w:line="259" w:lineRule="auto"/>
              <w:ind w:left="0" w:firstLine="0"/>
            </w:pPr>
            <w:r>
              <w:rPr>
                <w:i/>
                <w:sz w:val="20"/>
              </w:rPr>
              <w:t xml:space="preserve"> </w:t>
            </w:r>
          </w:p>
          <w:p w:rsidR="002127D6" w14:paraId="36860250" w14:textId="77777777">
            <w:pPr>
              <w:spacing w:after="0" w:line="259" w:lineRule="auto"/>
              <w:ind w:left="82" w:firstLine="0"/>
              <w:jc w:val="center"/>
            </w:pPr>
            <w:r>
              <w:rPr>
                <w:sz w:val="20"/>
              </w:rPr>
              <w:t xml:space="preserve">Total </w:t>
            </w:r>
          </w:p>
          <w:p w:rsidR="002127D6" w14:paraId="4E139A31" w14:textId="77777777">
            <w:pPr>
              <w:spacing w:after="0" w:line="259" w:lineRule="auto"/>
              <w:ind w:left="85" w:firstLine="0"/>
              <w:jc w:val="center"/>
            </w:pPr>
            <w:r>
              <w:rPr>
                <w:sz w:val="20"/>
              </w:rPr>
              <w:t xml:space="preserve">Annual </w:t>
            </w:r>
          </w:p>
          <w:p w:rsidR="002127D6" w14:paraId="610F2F8D" w14:textId="77777777">
            <w:pPr>
              <w:spacing w:after="0" w:line="259" w:lineRule="auto"/>
              <w:ind w:left="83" w:firstLine="0"/>
              <w:jc w:val="center"/>
            </w:pPr>
            <w:r>
              <w:rPr>
                <w:sz w:val="20"/>
              </w:rPr>
              <w:t xml:space="preserve">Cost ($) </w:t>
            </w:r>
          </w:p>
        </w:tc>
      </w:tr>
      <w:tr w14:paraId="1B135802" w14:textId="77777777">
        <w:tblPrEx>
          <w:tblW w:w="6113" w:type="dxa"/>
          <w:tblInd w:w="2417" w:type="dxa"/>
          <w:tblCellMar>
            <w:top w:w="56" w:type="dxa"/>
            <w:left w:w="7" w:type="dxa"/>
            <w:right w:w="77" w:type="dxa"/>
          </w:tblCellMar>
          <w:tblLook w:val="04A0"/>
        </w:tblPrEx>
        <w:trPr>
          <w:trHeight w:val="494"/>
        </w:trPr>
        <w:tc>
          <w:tcPr>
            <w:tcW w:w="2424" w:type="dxa"/>
            <w:tcBorders>
              <w:top w:val="single" w:sz="6" w:space="0" w:color="000000"/>
              <w:left w:val="single" w:sz="4" w:space="0" w:color="000000"/>
              <w:bottom w:val="single" w:sz="4" w:space="0" w:color="000000"/>
              <w:right w:val="single" w:sz="6" w:space="0" w:color="000000"/>
            </w:tcBorders>
            <w:vAlign w:val="center"/>
          </w:tcPr>
          <w:p w:rsidR="002127D6" w14:paraId="011F6142" w14:textId="77777777">
            <w:pPr>
              <w:spacing w:after="0" w:line="259" w:lineRule="auto"/>
              <w:ind w:left="108" w:firstLine="0"/>
            </w:pPr>
            <w:r>
              <w:rPr>
                <w:sz w:val="20"/>
              </w:rPr>
              <w:t xml:space="preserve">Approved collection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2BE2DE0B" w14:textId="77777777">
            <w:pPr>
              <w:spacing w:after="0" w:line="259" w:lineRule="auto"/>
              <w:ind w:left="83" w:firstLine="0"/>
              <w:jc w:val="center"/>
            </w:pPr>
            <w:r>
              <w:rPr>
                <w:sz w:val="20"/>
              </w:rPr>
              <w:t xml:space="preserve">560,445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396D2743" w14:textId="77777777">
            <w:pPr>
              <w:spacing w:after="0" w:line="259" w:lineRule="auto"/>
              <w:ind w:left="76" w:firstLine="0"/>
              <w:jc w:val="center"/>
            </w:pPr>
            <w:r>
              <w:rPr>
                <w:sz w:val="20"/>
              </w:rPr>
              <w:t xml:space="preserve">Varies </w:t>
            </w:r>
          </w:p>
        </w:tc>
        <w:tc>
          <w:tcPr>
            <w:tcW w:w="1169" w:type="dxa"/>
            <w:tcBorders>
              <w:top w:val="single" w:sz="6" w:space="0" w:color="000000"/>
              <w:left w:val="single" w:sz="6" w:space="0" w:color="000000"/>
              <w:bottom w:val="single" w:sz="6" w:space="0" w:color="000000"/>
              <w:right w:val="single" w:sz="6" w:space="0" w:color="000000"/>
            </w:tcBorders>
            <w:vAlign w:val="center"/>
          </w:tcPr>
          <w:p w:rsidR="002127D6" w14:paraId="2B87FD76" w14:textId="77777777">
            <w:pPr>
              <w:spacing w:after="0" w:line="259" w:lineRule="auto"/>
              <w:ind w:left="81" w:firstLine="0"/>
              <w:jc w:val="center"/>
            </w:pPr>
            <w:r>
              <w:rPr>
                <w:sz w:val="20"/>
              </w:rPr>
              <w:t xml:space="preserve">2,308,346 </w:t>
            </w:r>
          </w:p>
        </w:tc>
      </w:tr>
      <w:tr w14:paraId="72DF80A9" w14:textId="77777777">
        <w:tblPrEx>
          <w:tblW w:w="6113" w:type="dxa"/>
          <w:tblInd w:w="2417" w:type="dxa"/>
          <w:tblCellMar>
            <w:top w:w="56" w:type="dxa"/>
            <w:left w:w="7" w:type="dxa"/>
            <w:right w:w="77" w:type="dxa"/>
          </w:tblCellMar>
          <w:tblLook w:val="04A0"/>
        </w:tblPrEx>
        <w:trPr>
          <w:trHeight w:val="497"/>
        </w:trPr>
        <w:tc>
          <w:tcPr>
            <w:tcW w:w="2424" w:type="dxa"/>
            <w:tcBorders>
              <w:top w:val="single" w:sz="4" w:space="0" w:color="000000"/>
              <w:left w:val="single" w:sz="4" w:space="0" w:color="000000"/>
              <w:bottom w:val="single" w:sz="4" w:space="0" w:color="000000"/>
              <w:right w:val="single" w:sz="6" w:space="0" w:color="000000"/>
            </w:tcBorders>
            <w:vAlign w:val="center"/>
          </w:tcPr>
          <w:p w:rsidR="002127D6" w14:paraId="50240AC9" w14:textId="77777777">
            <w:pPr>
              <w:spacing w:after="0" w:line="259" w:lineRule="auto"/>
              <w:ind w:left="108" w:firstLine="0"/>
            </w:pPr>
            <w:r>
              <w:rPr>
                <w:sz w:val="20"/>
              </w:rPr>
              <w:t xml:space="preserve">Revised collection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11BE947E" w14:textId="77777777">
            <w:pPr>
              <w:spacing w:after="0" w:line="259" w:lineRule="auto"/>
              <w:ind w:left="84" w:firstLine="0"/>
              <w:jc w:val="center"/>
            </w:pPr>
            <w:r>
              <w:rPr>
                <w:sz w:val="20"/>
              </w:rPr>
              <w:t xml:space="preserve">700,865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57536696" w14:textId="77777777">
            <w:pPr>
              <w:spacing w:after="0" w:line="259" w:lineRule="auto"/>
              <w:ind w:left="81" w:firstLine="0"/>
              <w:jc w:val="center"/>
            </w:pPr>
            <w:r>
              <w:rPr>
                <w:sz w:val="20"/>
              </w:rPr>
              <w:t xml:space="preserve">11,880 </w:t>
            </w:r>
          </w:p>
        </w:tc>
        <w:tc>
          <w:tcPr>
            <w:tcW w:w="1169" w:type="dxa"/>
            <w:tcBorders>
              <w:top w:val="single" w:sz="6" w:space="0" w:color="000000"/>
              <w:left w:val="single" w:sz="6" w:space="0" w:color="000000"/>
              <w:bottom w:val="single" w:sz="6" w:space="0" w:color="000000"/>
              <w:right w:val="single" w:sz="6" w:space="0" w:color="000000"/>
            </w:tcBorders>
            <w:vAlign w:val="center"/>
          </w:tcPr>
          <w:p w:rsidR="002127D6" w14:paraId="359366E7" w14:textId="77777777">
            <w:pPr>
              <w:spacing w:after="0" w:line="259" w:lineRule="auto"/>
              <w:ind w:left="81" w:firstLine="0"/>
              <w:jc w:val="center"/>
            </w:pPr>
            <w:r>
              <w:rPr>
                <w:sz w:val="20"/>
              </w:rPr>
              <w:t xml:space="preserve">3,900,441 </w:t>
            </w:r>
          </w:p>
        </w:tc>
      </w:tr>
      <w:tr w14:paraId="53D01C5F" w14:textId="77777777">
        <w:tblPrEx>
          <w:tblW w:w="6113" w:type="dxa"/>
          <w:tblInd w:w="2417" w:type="dxa"/>
          <w:tblCellMar>
            <w:top w:w="56" w:type="dxa"/>
            <w:left w:w="7" w:type="dxa"/>
            <w:right w:w="77" w:type="dxa"/>
          </w:tblCellMar>
          <w:tblLook w:val="04A0"/>
        </w:tblPrEx>
        <w:trPr>
          <w:trHeight w:val="497"/>
        </w:trPr>
        <w:tc>
          <w:tcPr>
            <w:tcW w:w="2424" w:type="dxa"/>
            <w:tcBorders>
              <w:top w:val="single" w:sz="4" w:space="0" w:color="000000"/>
              <w:left w:val="single" w:sz="4" w:space="0" w:color="000000"/>
              <w:bottom w:val="single" w:sz="4" w:space="0" w:color="000000"/>
              <w:right w:val="single" w:sz="6" w:space="0" w:color="000000"/>
            </w:tcBorders>
            <w:vAlign w:val="center"/>
          </w:tcPr>
          <w:p w:rsidR="002127D6" w14:paraId="0357BDF2" w14:textId="77777777">
            <w:pPr>
              <w:spacing w:after="0" w:line="259" w:lineRule="auto"/>
              <w:ind w:left="108" w:firstLine="0"/>
            </w:pPr>
            <w:r>
              <w:rPr>
                <w:b/>
                <w:sz w:val="20"/>
              </w:rPr>
              <w:t xml:space="preserve">Net Changes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581EABC7" w14:textId="77777777">
            <w:pPr>
              <w:spacing w:after="0" w:line="259" w:lineRule="auto"/>
              <w:ind w:left="78" w:firstLine="0"/>
              <w:jc w:val="center"/>
            </w:pPr>
            <w:r>
              <w:rPr>
                <w:b/>
                <w:sz w:val="20"/>
              </w:rPr>
              <w:t xml:space="preserve">+140,420 </w:t>
            </w:r>
          </w:p>
        </w:tc>
        <w:tc>
          <w:tcPr>
            <w:tcW w:w="1260" w:type="dxa"/>
            <w:tcBorders>
              <w:top w:val="single" w:sz="6" w:space="0" w:color="000000"/>
              <w:left w:val="single" w:sz="6" w:space="0" w:color="000000"/>
              <w:bottom w:val="single" w:sz="6" w:space="0" w:color="000000"/>
              <w:right w:val="single" w:sz="6" w:space="0" w:color="000000"/>
            </w:tcBorders>
            <w:vAlign w:val="center"/>
          </w:tcPr>
          <w:p w:rsidR="002127D6" w14:paraId="2BB0DA58" w14:textId="77777777">
            <w:pPr>
              <w:spacing w:after="0" w:line="259" w:lineRule="auto"/>
              <w:ind w:left="81" w:firstLine="0"/>
              <w:jc w:val="center"/>
            </w:pPr>
            <w:r>
              <w:rPr>
                <w:b/>
                <w:sz w:val="20"/>
              </w:rPr>
              <w:t xml:space="preserve">+11,880 </w:t>
            </w:r>
          </w:p>
        </w:tc>
        <w:tc>
          <w:tcPr>
            <w:tcW w:w="1169" w:type="dxa"/>
            <w:tcBorders>
              <w:top w:val="single" w:sz="6" w:space="0" w:color="000000"/>
              <w:left w:val="single" w:sz="6" w:space="0" w:color="000000"/>
              <w:bottom w:val="single" w:sz="6" w:space="0" w:color="000000"/>
              <w:right w:val="single" w:sz="6" w:space="0" w:color="000000"/>
            </w:tcBorders>
            <w:vAlign w:val="center"/>
          </w:tcPr>
          <w:p w:rsidR="002127D6" w14:paraId="3AB52EC5" w14:textId="77777777">
            <w:pPr>
              <w:spacing w:after="0" w:line="259" w:lineRule="auto"/>
              <w:ind w:left="134" w:firstLine="0"/>
            </w:pPr>
            <w:r>
              <w:rPr>
                <w:b/>
                <w:sz w:val="20"/>
              </w:rPr>
              <w:t xml:space="preserve">+1,592,095 </w:t>
            </w:r>
          </w:p>
        </w:tc>
      </w:tr>
    </w:tbl>
    <w:p w:rsidR="002127D6" w14:paraId="71DD5C6C" w14:textId="77777777">
      <w:pPr>
        <w:spacing w:after="0" w:line="259" w:lineRule="auto"/>
        <w:ind w:left="0" w:firstLine="0"/>
      </w:pPr>
      <w:r>
        <w:rPr>
          <w:i/>
        </w:rPr>
        <w:t xml:space="preserve"> </w:t>
      </w:r>
    </w:p>
    <w:p w:rsidR="002127D6" w14:paraId="542F9B5C" w14:textId="77777777">
      <w:pPr>
        <w:spacing w:after="0" w:line="259" w:lineRule="auto"/>
        <w:ind w:left="715"/>
      </w:pPr>
      <w:r>
        <w:t>16.</w:t>
      </w:r>
      <w:r>
        <w:rPr>
          <w:rFonts w:ascii="Arial" w:eastAsia="Arial" w:hAnsi="Arial" w:cs="Arial"/>
        </w:rPr>
        <w:t xml:space="preserve"> </w:t>
      </w:r>
      <w:r>
        <w:rPr>
          <w:u w:val="single" w:color="000000"/>
        </w:rPr>
        <w:t>Publication/Tabulation Dates</w:t>
      </w:r>
      <w:r>
        <w:t xml:space="preserve"> </w:t>
      </w:r>
    </w:p>
    <w:p w:rsidR="002127D6" w14:paraId="416809A4" w14:textId="77777777">
      <w:pPr>
        <w:spacing w:after="0" w:line="259" w:lineRule="auto"/>
        <w:ind w:left="0" w:firstLine="0"/>
      </w:pPr>
      <w:r>
        <w:t xml:space="preserve"> </w:t>
      </w:r>
    </w:p>
    <w:p w:rsidR="002127D6" w14:paraId="4F469DA9" w14:textId="77777777">
      <w:pPr>
        <w:ind w:left="715"/>
      </w:pPr>
      <w:r>
        <w:t xml:space="preserve">There are no plans to publish the information. </w:t>
      </w:r>
    </w:p>
    <w:p w:rsidR="002127D6" w14:paraId="631B485D" w14:textId="77777777">
      <w:pPr>
        <w:spacing w:after="0" w:line="259" w:lineRule="auto"/>
        <w:ind w:left="0" w:firstLine="0"/>
      </w:pPr>
      <w:r>
        <w:t xml:space="preserve"> </w:t>
      </w:r>
    </w:p>
    <w:p w:rsidR="002127D6" w14:paraId="28B40E2C" w14:textId="77777777">
      <w:pPr>
        <w:pStyle w:val="Heading3"/>
        <w:ind w:left="715"/>
      </w:pPr>
      <w:r>
        <w:rPr>
          <w:u w:val="none"/>
        </w:rPr>
        <w:t>17.</w:t>
      </w:r>
      <w:r>
        <w:rPr>
          <w:rFonts w:ascii="Arial" w:eastAsia="Arial" w:hAnsi="Arial" w:cs="Arial"/>
          <w:u w:val="none"/>
        </w:rPr>
        <w:t xml:space="preserve"> </w:t>
      </w:r>
      <w:r>
        <w:t>Expiration Date</w:t>
      </w:r>
      <w:r>
        <w:rPr>
          <w:u w:val="none"/>
        </w:rPr>
        <w:t xml:space="preserve"> </w:t>
      </w:r>
    </w:p>
    <w:p w:rsidR="002127D6" w14:paraId="1E908787" w14:textId="77777777">
      <w:pPr>
        <w:spacing w:after="0" w:line="259" w:lineRule="auto"/>
        <w:ind w:left="0" w:firstLine="0"/>
      </w:pPr>
      <w:r>
        <w:t xml:space="preserve"> </w:t>
      </w:r>
    </w:p>
    <w:p w:rsidR="002127D6" w14:paraId="29ABFBD8" w14:textId="77777777">
      <w:pPr>
        <w:ind w:left="715"/>
      </w:pPr>
      <w:r>
        <w:t xml:space="preserve">There are no standardized forms associated with this collection on which to display the expiration date. </w:t>
      </w:r>
    </w:p>
    <w:p w:rsidR="002127D6" w14:paraId="45E950FB" w14:textId="77777777">
      <w:pPr>
        <w:spacing w:after="0" w:line="259" w:lineRule="auto"/>
        <w:ind w:left="0" w:firstLine="0"/>
      </w:pPr>
      <w:r>
        <w:t xml:space="preserve"> </w:t>
      </w:r>
    </w:p>
    <w:p w:rsidR="002127D6" w14:paraId="22D479EA" w14:textId="77777777">
      <w:pPr>
        <w:spacing w:after="0" w:line="259" w:lineRule="auto"/>
        <w:ind w:left="715"/>
      </w:pPr>
      <w:r>
        <w:t>18.</w:t>
      </w:r>
      <w:r>
        <w:rPr>
          <w:rFonts w:ascii="Arial" w:eastAsia="Arial" w:hAnsi="Arial" w:cs="Arial"/>
        </w:rPr>
        <w:t xml:space="preserve"> </w:t>
      </w:r>
      <w:r>
        <w:rPr>
          <w:u w:val="single" w:color="000000"/>
        </w:rPr>
        <w:t>Certification Statement</w:t>
      </w:r>
      <w:r>
        <w:t xml:space="preserve"> </w:t>
      </w:r>
    </w:p>
    <w:p w:rsidR="002127D6" w14:paraId="4C55B97C" w14:textId="77777777">
      <w:pPr>
        <w:spacing w:after="0" w:line="259" w:lineRule="auto"/>
        <w:ind w:left="0" w:firstLine="0"/>
      </w:pPr>
      <w:r>
        <w:t xml:space="preserve"> </w:t>
      </w:r>
    </w:p>
    <w:p w:rsidR="002127D6" w14:paraId="0FB99BB9" w14:textId="77777777">
      <w:pPr>
        <w:ind w:left="715"/>
      </w:pPr>
      <w:r>
        <w:t xml:space="preserve">There are no exceptions to the certification statement. </w:t>
      </w:r>
    </w:p>
    <w:p w:rsidR="002127D6" w14:paraId="5E97BB3B" w14:textId="77777777">
      <w:pPr>
        <w:spacing w:after="9" w:line="259" w:lineRule="auto"/>
        <w:ind w:left="0" w:firstLine="0"/>
      </w:pPr>
      <w:r>
        <w:t xml:space="preserve"> </w:t>
      </w:r>
    </w:p>
    <w:p w:rsidR="002127D6" w14:paraId="7DF6BB05" w14:textId="77777777">
      <w:pPr>
        <w:pStyle w:val="Heading1"/>
        <w:tabs>
          <w:tab w:val="center" w:pos="831"/>
          <w:tab w:val="center" w:pos="4333"/>
        </w:tabs>
        <w:ind w:left="0" w:firstLine="0"/>
      </w:pPr>
      <w:r>
        <w:rPr>
          <w:rFonts w:ascii="Calibri" w:eastAsia="Calibri" w:hAnsi="Calibri" w:cs="Calibri"/>
          <w:b w:val="0"/>
          <w:sz w:val="22"/>
        </w:rPr>
        <w:tab/>
      </w:r>
      <w:r>
        <w:t>B.</w:t>
      </w:r>
      <w:r>
        <w:rPr>
          <w:rFonts w:ascii="Arial" w:eastAsia="Arial" w:hAnsi="Arial" w:cs="Arial"/>
        </w:rPr>
        <w:t xml:space="preserve"> </w:t>
      </w:r>
      <w:r>
        <w:rPr>
          <w:rFonts w:ascii="Arial" w:eastAsia="Arial" w:hAnsi="Arial" w:cs="Arial"/>
        </w:rPr>
        <w:tab/>
      </w:r>
      <w:r>
        <w:t xml:space="preserve">Collection of Information Employing Statistical Methods </w:t>
      </w:r>
    </w:p>
    <w:p w:rsidR="002127D6" w14:paraId="7D71A0EE" w14:textId="77777777">
      <w:pPr>
        <w:spacing w:after="0" w:line="259" w:lineRule="auto"/>
        <w:ind w:left="0" w:firstLine="0"/>
      </w:pPr>
      <w:r>
        <w:rPr>
          <w:b/>
        </w:rPr>
        <w:t xml:space="preserve"> </w:t>
      </w:r>
    </w:p>
    <w:p w:rsidR="002127D6" w14:paraId="0B37BCE1" w14:textId="77777777">
      <w:pPr>
        <w:spacing w:after="3560"/>
        <w:ind w:left="715"/>
      </w:pPr>
      <w:r>
        <w:t xml:space="preserve">There are no statistical methods, surveys, or questionnaires. </w:t>
      </w:r>
    </w:p>
    <w:p w:rsidR="002127D6" w14:paraId="7455C54C" w14:textId="77777777">
      <w:pPr>
        <w:spacing w:after="0" w:line="259" w:lineRule="auto"/>
        <w:ind w:left="996" w:firstLine="0"/>
        <w:jc w:val="center"/>
      </w:pPr>
      <w:r>
        <w:rPr>
          <w:sz w:val="20"/>
        </w:rPr>
        <w:t xml:space="preserve"> </w:t>
      </w:r>
    </w:p>
    <w:sectPr>
      <w:footerReference w:type="even" r:id="rId8"/>
      <w:footerReference w:type="default" r:id="rId9"/>
      <w:footerReference w:type="first" r:id="rId10"/>
      <w:footnotePr>
        <w:numRestart w:val="eachPage"/>
      </w:footnotePr>
      <w:pgSz w:w="12240" w:h="15840"/>
      <w:pgMar w:top="1497" w:right="1344" w:bottom="720" w:left="720"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6D1B" w14:paraId="21206865" w14:textId="77777777">
      <w:pPr>
        <w:spacing w:after="0" w:line="240" w:lineRule="auto"/>
      </w:pPr>
      <w:r>
        <w:separator/>
      </w:r>
    </w:p>
  </w:endnote>
  <w:endnote w:type="continuationSeparator" w:id="1">
    <w:p w:rsidR="00D36D1B" w14:paraId="200AA8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7D6" w14:paraId="04CEAE05" w14:textId="77777777">
    <w:pPr>
      <w:tabs>
        <w:tab w:val="center" w:pos="542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7D6" w14:paraId="1D75EC29" w14:textId="77777777">
    <w:pPr>
      <w:tabs>
        <w:tab w:val="center" w:pos="542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7D6" w14:paraId="04F4EE3C" w14:textId="77777777">
    <w:pPr>
      <w:tabs>
        <w:tab w:val="center" w:pos="542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7D6" w14:paraId="3623C5A7" w14:textId="77777777">
      <w:pPr>
        <w:spacing w:after="0" w:line="259" w:lineRule="auto"/>
        <w:ind w:left="720" w:firstLine="0"/>
      </w:pPr>
      <w:r>
        <w:separator/>
      </w:r>
    </w:p>
  </w:footnote>
  <w:footnote w:type="continuationSeparator" w:id="1">
    <w:p w:rsidR="002127D6" w14:paraId="7C1100C0" w14:textId="77777777">
      <w:pPr>
        <w:spacing w:after="0" w:line="259" w:lineRule="auto"/>
        <w:ind w:left="720" w:firstLine="0"/>
      </w:pPr>
      <w:r>
        <w:continuationSeparator/>
      </w:r>
    </w:p>
  </w:footnote>
  <w:footnote w:id="2">
    <w:p w:rsidR="002127D6" w14:paraId="6D4A89D6" w14:textId="77777777">
      <w:pPr>
        <w:pStyle w:val="footnotedescription"/>
      </w:pPr>
      <w:r>
        <w:rPr>
          <w:rStyle w:val="footnotemark"/>
        </w:rPr>
        <w:footnoteRef/>
      </w:r>
      <w:r>
        <w:t xml:space="preserve"> </w:t>
      </w:r>
      <w:hyperlink r:id="rId1">
        <w:r>
          <w:t xml:space="preserve">https://insights.covermymeds.com/medication-access-report/2020/electronic-prior-authorization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C90939"/>
    <w:multiLevelType w:val="hybridMultilevel"/>
    <w:tmpl w:val="1750BC1E"/>
    <w:lvl w:ilvl="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5DEE3905"/>
    <w:multiLevelType w:val="hybridMultilevel"/>
    <w:tmpl w:val="7662FDD0"/>
    <w:lvl w:ilvl="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6295479">
    <w:abstractNumId w:val="0"/>
  </w:num>
  <w:num w:numId="2" w16cid:durableId="162680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D6"/>
    <w:rsid w:val="0003164E"/>
    <w:rsid w:val="002127D6"/>
    <w:rsid w:val="004775E5"/>
    <w:rsid w:val="00B92ED9"/>
    <w:rsid w:val="00BA79C2"/>
    <w:rsid w:val="00D36D1B"/>
    <w:rsid w:val="00EC74CF"/>
    <w:rsid w:val="00EF4A56"/>
    <w:rsid w:val="00FE2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9BC95"/>
  <w15:docId w15:val="{74BFCF12-95B7-4107-9CE6-9E813BA2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92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73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730" w:hanging="10"/>
      <w:outlineLvl w:val="1"/>
    </w:pPr>
    <w:rPr>
      <w:rFonts w:ascii="Times New Roman" w:eastAsia="Times New Roman" w:hAnsi="Times New Roman" w:cs="Times New Roman"/>
      <w:i/>
      <w:color w:val="000000"/>
    </w:rPr>
  </w:style>
  <w:style w:type="paragraph" w:styleId="Heading3">
    <w:name w:val="heading 3"/>
    <w:next w:val="Normal"/>
    <w:link w:val="Heading3Char"/>
    <w:uiPriority w:val="9"/>
    <w:unhideWhenUsed/>
    <w:qFormat/>
    <w:pPr>
      <w:keepNext/>
      <w:keepLines/>
      <w:spacing w:after="0" w:line="259" w:lineRule="auto"/>
      <w:ind w:left="73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59" w:lineRule="auto"/>
      <w:ind w:left="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36D1B"/>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ls.gov/oes/current/oes_nat.htm" TargetMode="External" /><Relationship Id="rId7" Type="http://schemas.openxmlformats.org/officeDocument/2006/relationships/hyperlink" Target="https://www.opm.gov/policy-data-oversight/pay-leave/salaries-wages/2025/general-schedule/"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insights.covermymeds.com/medication-access-report/2020/electronic-prior-authoriz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3768</Words>
  <Characters>21480</Characters>
  <Application>Microsoft Office Word</Application>
  <DocSecurity>0</DocSecurity>
  <Lines>179</Lines>
  <Paragraphs>50</Paragraphs>
  <ScaleCrop>false</ScaleCrop>
  <Company>Center For Medicaid Services</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Medicare Part D Electronic Prescribing Tools</dc:title>
  <dc:creator>CM/MDBG/DPDP</dc:creator>
  <cp:lastModifiedBy>McKenzie, Stephan (CMS/OSORA)</cp:lastModifiedBy>
  <cp:revision>5</cp:revision>
  <dcterms:created xsi:type="dcterms:W3CDTF">2025-07-30T14:18:00Z</dcterms:created>
  <dcterms:modified xsi:type="dcterms:W3CDTF">2025-08-13T14:31:00Z</dcterms:modified>
</cp:coreProperties>
</file>