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64F" w:rsidP="00675E5A" w14:paraId="2E81C6C1" w14:textId="77777777">
      <w:pPr>
        <w:widowControl/>
        <w:jc w:val="center"/>
        <w:rPr>
          <w:b/>
          <w:bCs/>
          <w:color w:val="000000"/>
          <w:sz w:val="32"/>
          <w:szCs w:val="32"/>
        </w:rPr>
      </w:pPr>
      <w:r>
        <w:rPr>
          <w:b/>
          <w:bCs/>
          <w:color w:val="000000"/>
          <w:sz w:val="32"/>
          <w:szCs w:val="32"/>
        </w:rPr>
        <w:t>Requests for OMB Review and Approval</w:t>
      </w:r>
      <w:r w:rsidR="00675E5A">
        <w:rPr>
          <w:b/>
          <w:bCs/>
          <w:color w:val="000000"/>
          <w:sz w:val="32"/>
          <w:szCs w:val="32"/>
        </w:rPr>
        <w:t xml:space="preserve"> For</w:t>
      </w:r>
    </w:p>
    <w:p w:rsidR="008B5F1D" w:rsidP="00675E5A" w14:paraId="01F39458" w14:textId="64ABE2C0">
      <w:pPr>
        <w:widowControl/>
        <w:jc w:val="center"/>
        <w:rPr>
          <w:b/>
          <w:bCs/>
          <w:color w:val="000000"/>
          <w:sz w:val="32"/>
          <w:szCs w:val="32"/>
        </w:rPr>
      </w:pPr>
      <w:bookmarkStart w:id="0" w:name="_Hlk102137355"/>
      <w:r>
        <w:rPr>
          <w:b/>
          <w:bCs/>
          <w:color w:val="000000"/>
          <w:sz w:val="32"/>
          <w:szCs w:val="32"/>
        </w:rPr>
        <w:t xml:space="preserve">Office of the </w:t>
      </w:r>
      <w:r w:rsidRPr="008B5F1D">
        <w:rPr>
          <w:b/>
          <w:bCs/>
          <w:color w:val="000000"/>
          <w:sz w:val="32"/>
          <w:szCs w:val="32"/>
        </w:rPr>
        <w:t>Assistant Secretary for Technology Policy</w:t>
      </w:r>
      <w:r w:rsidR="00542AE8">
        <w:rPr>
          <w:b/>
          <w:bCs/>
          <w:color w:val="000000"/>
          <w:sz w:val="32"/>
          <w:szCs w:val="32"/>
        </w:rPr>
        <w:t>/</w:t>
      </w:r>
      <w:r w:rsidRPr="008B5F1D">
        <w:rPr>
          <w:b/>
          <w:bCs/>
          <w:color w:val="000000"/>
          <w:sz w:val="32"/>
          <w:szCs w:val="32"/>
        </w:rPr>
        <w:t xml:space="preserve"> Office of the National Coordinator for Health Information Technology </w:t>
      </w:r>
    </w:p>
    <w:p w:rsidR="00675E5A" w:rsidRPr="00675E5A" w:rsidP="00675E5A" w14:paraId="3652EFFB" w14:textId="0DEBA4C0">
      <w:pPr>
        <w:widowControl/>
        <w:jc w:val="center"/>
        <w:rPr>
          <w:b/>
          <w:bCs/>
          <w:color w:val="000000"/>
          <w:sz w:val="32"/>
          <w:szCs w:val="32"/>
        </w:rPr>
      </w:pPr>
      <w:r w:rsidRPr="73E5A3EC">
        <w:rPr>
          <w:b/>
          <w:bCs/>
          <w:color w:val="000000" w:themeColor="text1"/>
          <w:sz w:val="32"/>
          <w:szCs w:val="32"/>
        </w:rPr>
        <w:t xml:space="preserve">National Survey of </w:t>
      </w:r>
      <w:r w:rsidRPr="73E5A3EC" w:rsidR="012A032B">
        <w:rPr>
          <w:b/>
          <w:bCs/>
          <w:color w:val="000000" w:themeColor="text1"/>
          <w:sz w:val="32"/>
          <w:szCs w:val="32"/>
        </w:rPr>
        <w:t>Digital Health Companies</w:t>
      </w:r>
      <w:r w:rsidRPr="73E5A3EC">
        <w:rPr>
          <w:b/>
          <w:bCs/>
          <w:color w:val="000000" w:themeColor="text1"/>
          <w:sz w:val="32"/>
          <w:szCs w:val="32"/>
        </w:rPr>
        <w:t xml:space="preserve"> </w:t>
      </w:r>
      <w:bookmarkEnd w:id="0"/>
    </w:p>
    <w:p w:rsidR="0098164F" w14:paraId="26CD4E25" w14:textId="77777777">
      <w:pPr>
        <w:widowControl/>
        <w:rPr>
          <w:color w:val="000000"/>
          <w:sz w:val="24"/>
        </w:rPr>
      </w:pPr>
    </w:p>
    <w:p w:rsidR="0098164F" w14:paraId="2D3BB2BD" w14:textId="77777777">
      <w:pPr>
        <w:widowControl/>
        <w:rPr>
          <w:color w:val="000000"/>
          <w:sz w:val="24"/>
        </w:rPr>
      </w:pPr>
    </w:p>
    <w:p w:rsidR="0098164F" w14:paraId="6644D992" w14:textId="77777777">
      <w:pPr>
        <w:widowControl/>
        <w:rPr>
          <w:color w:val="000000"/>
          <w:sz w:val="24"/>
        </w:rPr>
      </w:pPr>
    </w:p>
    <w:p w:rsidR="0098164F" w14:paraId="7A5B98DE" w14:textId="77777777">
      <w:pPr>
        <w:widowControl/>
        <w:rPr>
          <w:color w:val="000000"/>
          <w:sz w:val="24"/>
        </w:rPr>
      </w:pPr>
    </w:p>
    <w:p w:rsidR="0098164F" w14:paraId="27046CE5" w14:textId="77777777">
      <w:pPr>
        <w:widowControl/>
        <w:rPr>
          <w:color w:val="000000"/>
          <w:sz w:val="24"/>
        </w:rPr>
      </w:pPr>
    </w:p>
    <w:p w:rsidR="00675E5A" w14:paraId="6FD24490" w14:textId="77777777">
      <w:pPr>
        <w:widowControl/>
        <w:rPr>
          <w:color w:val="000000"/>
          <w:sz w:val="24"/>
        </w:rPr>
      </w:pPr>
    </w:p>
    <w:p w:rsidR="00675E5A" w14:paraId="709D2B11" w14:textId="77777777">
      <w:pPr>
        <w:widowControl/>
        <w:rPr>
          <w:color w:val="000000"/>
          <w:sz w:val="24"/>
        </w:rPr>
      </w:pPr>
    </w:p>
    <w:p w:rsidR="00675E5A" w14:paraId="588A1499" w14:textId="77777777">
      <w:pPr>
        <w:widowControl/>
        <w:rPr>
          <w:color w:val="000000"/>
          <w:sz w:val="24"/>
        </w:rPr>
      </w:pPr>
    </w:p>
    <w:p w:rsidR="00675E5A" w14:paraId="4445214D" w14:textId="77777777">
      <w:pPr>
        <w:widowControl/>
        <w:rPr>
          <w:color w:val="000000"/>
          <w:sz w:val="24"/>
        </w:rPr>
      </w:pPr>
    </w:p>
    <w:p w:rsidR="00675E5A" w14:paraId="2B1B5A25" w14:textId="77777777">
      <w:pPr>
        <w:widowControl/>
        <w:rPr>
          <w:color w:val="000000"/>
          <w:sz w:val="24"/>
        </w:rPr>
      </w:pPr>
    </w:p>
    <w:p w:rsidR="00675E5A" w14:paraId="535E08BE" w14:textId="77777777">
      <w:pPr>
        <w:widowControl/>
        <w:rPr>
          <w:color w:val="000000"/>
          <w:sz w:val="24"/>
        </w:rPr>
      </w:pPr>
    </w:p>
    <w:p w:rsidR="00675E5A" w:rsidRPr="00F065C5" w:rsidP="00685997" w14:paraId="59824FEB" w14:textId="77777777">
      <w:pPr>
        <w:widowControl/>
        <w:jc w:val="center"/>
        <w:rPr>
          <w:color w:val="000000"/>
          <w:sz w:val="24"/>
        </w:rPr>
      </w:pPr>
      <w:r w:rsidRPr="73E5A3EC">
        <w:rPr>
          <w:color w:val="000000" w:themeColor="text1"/>
          <w:sz w:val="24"/>
        </w:rPr>
        <w:t>Submitted By:</w:t>
      </w:r>
    </w:p>
    <w:p w:rsidR="4C871CD7" w:rsidP="73E5A3EC" w14:paraId="2913C38C" w14:textId="66CB6937">
      <w:pPr>
        <w:widowControl/>
        <w:spacing w:line="259" w:lineRule="auto"/>
        <w:jc w:val="center"/>
        <w:rPr>
          <w:color w:val="000000" w:themeColor="text1"/>
          <w:sz w:val="24"/>
        </w:rPr>
      </w:pPr>
      <w:r w:rsidRPr="73E5A3EC">
        <w:rPr>
          <w:color w:val="000000" w:themeColor="text1"/>
          <w:sz w:val="24"/>
        </w:rPr>
        <w:t>Meghan Gabriel</w:t>
      </w:r>
    </w:p>
    <w:p w:rsidR="0027175C" w:rsidP="00685997" w14:paraId="62250103" w14:textId="7EE5681F">
      <w:pPr>
        <w:keepLines/>
        <w:jc w:val="center"/>
        <w:rPr>
          <w:sz w:val="24"/>
        </w:rPr>
      </w:pPr>
      <w:r w:rsidRPr="00450B95">
        <w:rPr>
          <w:sz w:val="24"/>
        </w:rPr>
        <w:t xml:space="preserve">Office of the </w:t>
      </w:r>
      <w:r w:rsidRPr="008B5F1D" w:rsidR="008B5F1D">
        <w:rPr>
          <w:sz w:val="24"/>
        </w:rPr>
        <w:t xml:space="preserve">Assistant Secretary for Technology Policy and </w:t>
      </w:r>
    </w:p>
    <w:p w:rsidR="008B5F1D" w:rsidP="00685997" w14:paraId="3D032127" w14:textId="739CD1AE">
      <w:pPr>
        <w:keepLines/>
        <w:jc w:val="center"/>
        <w:rPr>
          <w:sz w:val="24"/>
        </w:rPr>
      </w:pPr>
      <w:r w:rsidRPr="008B5F1D">
        <w:rPr>
          <w:sz w:val="24"/>
        </w:rPr>
        <w:t xml:space="preserve">Office of the National Coordinator for Health Information Technology </w:t>
      </w:r>
    </w:p>
    <w:p w:rsidR="00220A52" w:rsidRPr="00F065C5" w:rsidP="00685997" w14:paraId="52A0130B" w14:textId="0991E4CC">
      <w:pPr>
        <w:keepLines/>
        <w:jc w:val="center"/>
        <w:rPr>
          <w:sz w:val="24"/>
        </w:rPr>
      </w:pPr>
      <w:r w:rsidRPr="00F065C5">
        <w:rPr>
          <w:sz w:val="24"/>
        </w:rPr>
        <w:t>U.S. Department of Health and Human Services</w:t>
      </w:r>
    </w:p>
    <w:p w:rsidR="00220A52" w:rsidRPr="00F065C5" w:rsidP="73E5A3EC" w14:paraId="62076E8D" w14:textId="58F527B3">
      <w:pPr>
        <w:keepLines/>
        <w:jc w:val="center"/>
        <w:rPr>
          <w:sz w:val="24"/>
        </w:rPr>
      </w:pPr>
      <w:r w:rsidRPr="73E5A3EC">
        <w:rPr>
          <w:sz w:val="24"/>
        </w:rPr>
        <w:t xml:space="preserve">Email: </w:t>
      </w:r>
      <w:r w:rsidRPr="73E5A3EC" w:rsidR="276D7946">
        <w:rPr>
          <w:sz w:val="24"/>
        </w:rPr>
        <w:t>meghan.gabriel</w:t>
      </w:r>
      <w:r w:rsidRPr="73E5A3EC" w:rsidR="00056586">
        <w:rPr>
          <w:sz w:val="24"/>
        </w:rPr>
        <w:t>@</w:t>
      </w:r>
      <w:r w:rsidRPr="73E5A3EC" w:rsidR="00E424E6">
        <w:rPr>
          <w:sz w:val="24"/>
        </w:rPr>
        <w:t>hhs.gov</w:t>
      </w:r>
    </w:p>
    <w:p w:rsidR="00220A52" w:rsidRPr="0017106E" w:rsidP="73E5A3EC" w14:paraId="52290418" w14:textId="5B93C101">
      <w:pPr>
        <w:keepLines/>
        <w:jc w:val="center"/>
        <w:rPr>
          <w:sz w:val="24"/>
        </w:rPr>
      </w:pPr>
      <w:r w:rsidRPr="73E5A3EC">
        <w:rPr>
          <w:sz w:val="24"/>
        </w:rPr>
        <w:t>Phone: 202-</w:t>
      </w:r>
      <w:r w:rsidRPr="73E5A3EC" w:rsidR="66EF60EE">
        <w:rPr>
          <w:sz w:val="24"/>
        </w:rPr>
        <w:t>465-0597</w:t>
      </w:r>
    </w:p>
    <w:p w:rsidR="0098164F" w:rsidRPr="0017106E" w:rsidP="00685997" w14:paraId="0A8EE3A4" w14:textId="77777777">
      <w:pPr>
        <w:widowControl/>
        <w:rPr>
          <w:color w:val="000000"/>
          <w:sz w:val="24"/>
        </w:rPr>
      </w:pPr>
    </w:p>
    <w:p w:rsidR="0098164F" w:rsidRPr="0017106E" w14:paraId="26BFB2AB" w14:textId="77777777">
      <w:pPr>
        <w:widowControl/>
        <w:rPr>
          <w:color w:val="000000"/>
          <w:sz w:val="24"/>
        </w:rPr>
      </w:pPr>
    </w:p>
    <w:p w:rsidR="00675E5A" w:rsidRPr="0017106E" w14:paraId="2336046B" w14:textId="77777777">
      <w:pPr>
        <w:widowControl/>
        <w:rPr>
          <w:color w:val="000000"/>
          <w:sz w:val="24"/>
        </w:rPr>
      </w:pPr>
    </w:p>
    <w:p w:rsidR="00675E5A" w:rsidRPr="0017106E" w14:paraId="6A543C7C" w14:textId="77777777">
      <w:pPr>
        <w:widowControl/>
        <w:rPr>
          <w:color w:val="000000"/>
          <w:sz w:val="24"/>
        </w:rPr>
      </w:pPr>
    </w:p>
    <w:p w:rsidR="00675E5A" w:rsidRPr="0017106E" w14:paraId="3CA1430E" w14:textId="77777777">
      <w:pPr>
        <w:widowControl/>
        <w:rPr>
          <w:color w:val="000000"/>
          <w:sz w:val="24"/>
        </w:rPr>
      </w:pPr>
    </w:p>
    <w:p w:rsidR="66EF60EE" w:rsidP="4077781B" w14:paraId="69157DCA" w14:textId="15A76D38">
      <w:pPr>
        <w:widowControl/>
        <w:spacing w:line="259" w:lineRule="auto"/>
        <w:jc w:val="center"/>
        <w:rPr>
          <w:color w:val="000000" w:themeColor="text1"/>
          <w:sz w:val="24"/>
        </w:rPr>
      </w:pPr>
      <w:r w:rsidRPr="4077781B">
        <w:rPr>
          <w:color w:val="000000" w:themeColor="text1"/>
          <w:sz w:val="24"/>
        </w:rPr>
        <w:t xml:space="preserve">August </w:t>
      </w:r>
      <w:r w:rsidRPr="4077781B" w:rsidR="145928FE">
        <w:rPr>
          <w:color w:val="000000" w:themeColor="text1"/>
          <w:sz w:val="24"/>
        </w:rPr>
        <w:t>12</w:t>
      </w:r>
      <w:r w:rsidRPr="4077781B">
        <w:rPr>
          <w:color w:val="000000" w:themeColor="text1"/>
          <w:sz w:val="24"/>
        </w:rPr>
        <w:t>, 2025</w:t>
      </w:r>
    </w:p>
    <w:p w:rsidR="00675E5A" w14:paraId="4B3D7630" w14:textId="77777777">
      <w:pPr>
        <w:widowControl/>
        <w:rPr>
          <w:color w:val="000000"/>
          <w:sz w:val="24"/>
        </w:rPr>
      </w:pPr>
    </w:p>
    <w:p w:rsidR="00675E5A" w14:paraId="0FEBE023" w14:textId="77777777">
      <w:pPr>
        <w:widowControl/>
        <w:rPr>
          <w:color w:val="000000"/>
          <w:sz w:val="24"/>
        </w:rPr>
      </w:pPr>
    </w:p>
    <w:p w:rsidR="00675E5A" w14:paraId="67026A3E" w14:textId="77777777">
      <w:pPr>
        <w:widowControl/>
        <w:rPr>
          <w:color w:val="000000"/>
          <w:sz w:val="24"/>
        </w:rPr>
      </w:pPr>
    </w:p>
    <w:p w:rsidR="00675E5A" w14:paraId="62B2A9F5" w14:textId="77777777">
      <w:pPr>
        <w:widowControl/>
        <w:rPr>
          <w:color w:val="000000"/>
          <w:sz w:val="24"/>
        </w:rPr>
      </w:pPr>
    </w:p>
    <w:p w:rsidR="00675E5A" w14:paraId="7B2F093F" w14:textId="77777777">
      <w:pPr>
        <w:widowControl/>
        <w:rPr>
          <w:color w:val="000000"/>
          <w:sz w:val="24"/>
        </w:rPr>
      </w:pPr>
    </w:p>
    <w:p w:rsidR="00675E5A" w14:paraId="5682AFA5" w14:textId="77777777">
      <w:pPr>
        <w:widowControl/>
        <w:rPr>
          <w:color w:val="000000"/>
          <w:sz w:val="24"/>
        </w:rPr>
      </w:pPr>
    </w:p>
    <w:p w:rsidR="00675E5A" w14:paraId="6E992D39" w14:textId="77777777">
      <w:pPr>
        <w:widowControl/>
        <w:rPr>
          <w:color w:val="000000"/>
          <w:sz w:val="24"/>
        </w:rPr>
      </w:pPr>
    </w:p>
    <w:p w:rsidR="00675E5A" w14:paraId="0568CD36" w14:textId="77777777">
      <w:pPr>
        <w:widowControl/>
        <w:rPr>
          <w:color w:val="000000"/>
          <w:sz w:val="24"/>
        </w:rPr>
      </w:pPr>
    </w:p>
    <w:p w:rsidR="00675E5A" w14:paraId="20953A81" w14:textId="77777777">
      <w:pPr>
        <w:widowControl/>
        <w:rPr>
          <w:color w:val="000000"/>
          <w:sz w:val="24"/>
        </w:rPr>
      </w:pPr>
    </w:p>
    <w:p w:rsidR="00675E5A" w14:paraId="17F22EF2" w14:textId="77777777">
      <w:pPr>
        <w:widowControl/>
        <w:rPr>
          <w:color w:val="000000"/>
          <w:sz w:val="24"/>
        </w:rPr>
      </w:pPr>
    </w:p>
    <w:p w:rsidR="00675E5A" w14:paraId="40FFC9B7" w14:textId="77777777">
      <w:pPr>
        <w:widowControl/>
        <w:rPr>
          <w:color w:val="000000"/>
          <w:sz w:val="24"/>
        </w:rPr>
      </w:pPr>
    </w:p>
    <w:p w:rsidR="00675E5A" w14:paraId="2FEA361E" w14:textId="77777777">
      <w:pPr>
        <w:widowControl/>
        <w:rPr>
          <w:color w:val="000000"/>
          <w:sz w:val="24"/>
        </w:rPr>
      </w:pPr>
    </w:p>
    <w:p w:rsidR="00675E5A" w14:paraId="472ADF0F" w14:textId="77777777">
      <w:pPr>
        <w:widowControl/>
        <w:rPr>
          <w:color w:val="000000"/>
          <w:sz w:val="24"/>
        </w:rPr>
      </w:pPr>
    </w:p>
    <w:p w:rsidR="00675E5A" w14:paraId="52BC2B33" w14:textId="77777777">
      <w:pPr>
        <w:widowControl/>
        <w:rPr>
          <w:color w:val="000000"/>
          <w:sz w:val="24"/>
        </w:rPr>
      </w:pPr>
    </w:p>
    <w:p w:rsidR="006058D7" w:rsidP="00F941D3" w14:paraId="1CDE290D" w14:textId="77777777">
      <w:pPr>
        <w:tabs>
          <w:tab w:val="center" w:pos="4680"/>
        </w:tabs>
        <w:rPr>
          <w:b/>
          <w:bCs/>
          <w:sz w:val="32"/>
          <w:szCs w:val="32"/>
        </w:rPr>
      </w:pPr>
    </w:p>
    <w:p w:rsidR="00675E5A" w14:paraId="725BB537" w14:textId="5CCF6EE5">
      <w:pPr>
        <w:tabs>
          <w:tab w:val="center" w:pos="4680"/>
        </w:tabs>
        <w:jc w:val="center"/>
        <w:rPr>
          <w:b/>
          <w:bCs/>
          <w:sz w:val="32"/>
          <w:szCs w:val="32"/>
        </w:rPr>
      </w:pPr>
      <w:r>
        <w:rPr>
          <w:b/>
          <w:bCs/>
          <w:sz w:val="32"/>
          <w:szCs w:val="32"/>
        </w:rPr>
        <w:t xml:space="preserve">Supporting Statement for </w:t>
      </w:r>
    </w:p>
    <w:p w:rsidR="008B5F1D" w:rsidP="00675E5A" w14:paraId="772BAD26" w14:textId="5DABB130">
      <w:pPr>
        <w:widowControl/>
        <w:jc w:val="center"/>
        <w:rPr>
          <w:b/>
          <w:bCs/>
          <w:color w:val="000000"/>
          <w:sz w:val="32"/>
          <w:szCs w:val="32"/>
        </w:rPr>
      </w:pPr>
      <w:r>
        <w:rPr>
          <w:b/>
          <w:bCs/>
          <w:color w:val="000000"/>
          <w:sz w:val="32"/>
          <w:szCs w:val="32"/>
        </w:rPr>
        <w:t xml:space="preserve">Office of the </w:t>
      </w:r>
      <w:r w:rsidRPr="008B5F1D">
        <w:rPr>
          <w:b/>
          <w:bCs/>
          <w:color w:val="000000"/>
          <w:sz w:val="32"/>
          <w:szCs w:val="32"/>
        </w:rPr>
        <w:t>Assistant Secretary for Technology Policy</w:t>
      </w:r>
      <w:r w:rsidR="00542AE8">
        <w:rPr>
          <w:b/>
          <w:bCs/>
          <w:color w:val="000000"/>
          <w:sz w:val="32"/>
          <w:szCs w:val="32"/>
        </w:rPr>
        <w:t>/</w:t>
      </w:r>
      <w:r w:rsidRPr="008B5F1D">
        <w:rPr>
          <w:b/>
          <w:bCs/>
          <w:color w:val="000000"/>
          <w:sz w:val="32"/>
          <w:szCs w:val="32"/>
        </w:rPr>
        <w:t xml:space="preserve"> Office of the National Coordinator for Health Information Technology </w:t>
      </w:r>
    </w:p>
    <w:p w:rsidR="00675E5A" w:rsidRPr="00675E5A" w:rsidP="00675E5A" w14:paraId="2090979F" w14:textId="727D9914">
      <w:pPr>
        <w:widowControl/>
        <w:jc w:val="center"/>
        <w:rPr>
          <w:b/>
          <w:bCs/>
          <w:color w:val="000000"/>
          <w:sz w:val="32"/>
          <w:szCs w:val="32"/>
        </w:rPr>
      </w:pPr>
      <w:r w:rsidRPr="73E5A3EC">
        <w:rPr>
          <w:b/>
          <w:bCs/>
          <w:color w:val="000000" w:themeColor="text1"/>
          <w:sz w:val="32"/>
          <w:szCs w:val="32"/>
        </w:rPr>
        <w:t xml:space="preserve">National Survey of </w:t>
      </w:r>
      <w:r w:rsidRPr="73E5A3EC" w:rsidR="6A601940">
        <w:rPr>
          <w:b/>
          <w:bCs/>
          <w:color w:val="000000" w:themeColor="text1"/>
          <w:sz w:val="32"/>
          <w:szCs w:val="32"/>
        </w:rPr>
        <w:t>Digital Health Companie</w:t>
      </w:r>
      <w:r w:rsidRPr="73E5A3EC" w:rsidR="00BD159E">
        <w:rPr>
          <w:b/>
          <w:bCs/>
          <w:color w:val="000000" w:themeColor="text1"/>
          <w:sz w:val="32"/>
          <w:szCs w:val="32"/>
        </w:rPr>
        <w:t>s</w:t>
      </w:r>
      <w:r w:rsidRPr="73E5A3EC">
        <w:rPr>
          <w:b/>
          <w:bCs/>
          <w:color w:val="000000" w:themeColor="text1"/>
          <w:sz w:val="32"/>
          <w:szCs w:val="32"/>
        </w:rPr>
        <w:t xml:space="preserve"> </w:t>
      </w:r>
    </w:p>
    <w:p w:rsidR="00675E5A" w:rsidP="00675E5A" w14:paraId="66155FC3" w14:textId="77777777">
      <w:pPr>
        <w:widowControl/>
        <w:rPr>
          <w:color w:val="000000"/>
          <w:sz w:val="24"/>
        </w:rPr>
      </w:pPr>
    </w:p>
    <w:p w:rsidR="0098164F" w14:paraId="0B951161" w14:textId="77777777">
      <w:pPr>
        <w:rPr>
          <w:sz w:val="24"/>
        </w:rPr>
      </w:pPr>
    </w:p>
    <w:p w:rsidR="0098164F" w14:paraId="70C87819" w14:textId="77777777">
      <w:pPr>
        <w:rPr>
          <w:b/>
          <w:bCs/>
          <w:sz w:val="24"/>
        </w:rPr>
      </w:pPr>
      <w:r>
        <w:rPr>
          <w:b/>
          <w:bCs/>
          <w:sz w:val="24"/>
        </w:rPr>
        <w:t>A.</w:t>
      </w:r>
      <w:r>
        <w:rPr>
          <w:b/>
          <w:bCs/>
          <w:sz w:val="24"/>
        </w:rPr>
        <w:tab/>
        <w:t>Justification</w:t>
      </w:r>
    </w:p>
    <w:p w:rsidR="0098164F" w14:paraId="55B44A52" w14:textId="77777777">
      <w:pPr>
        <w:rPr>
          <w:sz w:val="24"/>
        </w:rPr>
      </w:pPr>
    </w:p>
    <w:p w:rsidR="0098164F" w14:paraId="009413B8" w14:textId="77777777">
      <w:pPr>
        <w:numPr>
          <w:ilvl w:val="0"/>
          <w:numId w:val="2"/>
        </w:numPr>
        <w:rPr>
          <w:b/>
          <w:sz w:val="24"/>
        </w:rPr>
      </w:pPr>
      <w:r>
        <w:rPr>
          <w:b/>
          <w:sz w:val="24"/>
          <w:u w:val="single"/>
        </w:rPr>
        <w:t>Circumstances Making the Collection of Information Necessary</w:t>
      </w:r>
    </w:p>
    <w:p w:rsidR="00016834" w:rsidP="73E5A3EC" w14:paraId="4BC52AD9" w14:textId="77A6E0DE">
      <w:pPr>
        <w:ind w:left="720"/>
        <w:rPr>
          <w:sz w:val="24"/>
        </w:rPr>
      </w:pPr>
      <w:r w:rsidRPr="73E5A3EC">
        <w:rPr>
          <w:sz w:val="24"/>
        </w:rPr>
        <w:t xml:space="preserve">The Office of the </w:t>
      </w:r>
      <w:r w:rsidRPr="73E5A3EC" w:rsidR="0027175C">
        <w:rPr>
          <w:sz w:val="24"/>
        </w:rPr>
        <w:t>Assistant Secretary for Technology Policy</w:t>
      </w:r>
      <w:r w:rsidR="0056088E">
        <w:rPr>
          <w:sz w:val="24"/>
        </w:rPr>
        <w:t>/</w:t>
      </w:r>
      <w:r w:rsidRPr="73E5A3EC" w:rsidR="0027175C">
        <w:rPr>
          <w:sz w:val="24"/>
        </w:rPr>
        <w:t xml:space="preserve"> Office of the National Coordinator for Health Information Technology </w:t>
      </w:r>
      <w:r w:rsidRPr="73E5A3EC" w:rsidR="00514BDA">
        <w:rPr>
          <w:sz w:val="24"/>
        </w:rPr>
        <w:t>(ASTP/ONC)</w:t>
      </w:r>
      <w:r w:rsidRPr="73E5A3EC" w:rsidR="0027175C">
        <w:rPr>
          <w:sz w:val="24"/>
        </w:rPr>
        <w:t xml:space="preserve"> </w:t>
      </w:r>
      <w:r w:rsidRPr="73E5A3EC">
        <w:rPr>
          <w:sz w:val="24"/>
        </w:rPr>
        <w:t xml:space="preserve">is seeking approval for </w:t>
      </w:r>
      <w:r w:rsidRPr="73E5A3EC" w:rsidR="0A66AE96">
        <w:rPr>
          <w:sz w:val="24"/>
        </w:rPr>
        <w:t>a new data collection effort to field a National Survey of Digital Health Companies</w:t>
      </w:r>
      <w:r w:rsidRPr="73E5A3EC" w:rsidR="00006E1E">
        <w:rPr>
          <w:sz w:val="24"/>
        </w:rPr>
        <w:t>.</w:t>
      </w:r>
      <w:r w:rsidR="00861498">
        <w:rPr>
          <w:sz w:val="24"/>
        </w:rPr>
        <w:t xml:space="preserve"> This survey will help ASTP/ONC better understand </w:t>
      </w:r>
      <w:r w:rsidRPr="7AEC0269" w:rsidR="00861498">
        <w:rPr>
          <w:sz w:val="24"/>
        </w:rPr>
        <w:t>companies</w:t>
      </w:r>
      <w:r w:rsidRPr="7AEC0269" w:rsidR="4C324073">
        <w:rPr>
          <w:sz w:val="24"/>
        </w:rPr>
        <w:t>’</w:t>
      </w:r>
      <w:r w:rsidR="00861498">
        <w:rPr>
          <w:sz w:val="24"/>
        </w:rPr>
        <w:t xml:space="preserve"> adoption of various types of</w:t>
      </w:r>
      <w:r w:rsidR="0017337C">
        <w:rPr>
          <w:sz w:val="24"/>
        </w:rPr>
        <w:t xml:space="preserve"> application programming interfaces (APIs) for electronic health record (EHR) integration, use of the</w:t>
      </w:r>
      <w:r w:rsidR="00DF4AD9">
        <w:rPr>
          <w:sz w:val="24"/>
        </w:rPr>
        <w:t xml:space="preserve"> HL7 Fast Health</w:t>
      </w:r>
      <w:r w:rsidR="00380439">
        <w:rPr>
          <w:sz w:val="24"/>
        </w:rPr>
        <w:t>care</w:t>
      </w:r>
      <w:r w:rsidR="00DF4AD9">
        <w:rPr>
          <w:sz w:val="24"/>
        </w:rPr>
        <w:t xml:space="preserve"> Interoperability Resources (FHIR)</w:t>
      </w:r>
      <w:r w:rsidR="0017337C">
        <w:rPr>
          <w:sz w:val="24"/>
        </w:rPr>
        <w:t xml:space="preserve"> standard,</w:t>
      </w:r>
      <w:r w:rsidR="0004477B">
        <w:rPr>
          <w:sz w:val="24"/>
        </w:rPr>
        <w:t xml:space="preserve"> status of EHR integrations, underlying characteristics of digital health companies, perceived </w:t>
      </w:r>
      <w:r w:rsidRPr="7AEC0269" w:rsidR="0004477B">
        <w:rPr>
          <w:sz w:val="24"/>
        </w:rPr>
        <w:t>benefit</w:t>
      </w:r>
      <w:r w:rsidRPr="7AEC0269" w:rsidR="44E73645">
        <w:rPr>
          <w:sz w:val="24"/>
        </w:rPr>
        <w:t>s</w:t>
      </w:r>
      <w:r w:rsidR="0004477B">
        <w:rPr>
          <w:sz w:val="24"/>
        </w:rPr>
        <w:t xml:space="preserve"> of federal health IT policy, an</w:t>
      </w:r>
      <w:r w:rsidR="00F45080">
        <w:rPr>
          <w:sz w:val="24"/>
        </w:rPr>
        <w:t xml:space="preserve">d needed improvements to API standards and </w:t>
      </w:r>
      <w:r w:rsidR="00E91006">
        <w:rPr>
          <w:sz w:val="24"/>
        </w:rPr>
        <w:t>relevant</w:t>
      </w:r>
      <w:r w:rsidR="00F45080">
        <w:rPr>
          <w:sz w:val="24"/>
        </w:rPr>
        <w:t xml:space="preserve"> federal health IT policies.</w:t>
      </w:r>
    </w:p>
    <w:p w:rsidR="002A0A4B" w:rsidP="73E5A3EC" w14:paraId="2EB63916" w14:textId="77777777">
      <w:pPr>
        <w:ind w:left="720"/>
        <w:rPr>
          <w:sz w:val="24"/>
        </w:rPr>
      </w:pPr>
    </w:p>
    <w:p w:rsidR="00380874" w:rsidP="00016834" w14:paraId="30A5F93C" w14:textId="11DE216D">
      <w:pPr>
        <w:ind w:left="720"/>
        <w:rPr>
          <w:sz w:val="24"/>
        </w:rPr>
      </w:pPr>
      <w:r>
        <w:rPr>
          <w:sz w:val="24"/>
        </w:rPr>
        <w:t xml:space="preserve">The digital health sector has rapidly grown over the past </w:t>
      </w:r>
      <w:r w:rsidR="00861498">
        <w:rPr>
          <w:sz w:val="24"/>
        </w:rPr>
        <w:t>decade</w:t>
      </w:r>
      <w:r>
        <w:rPr>
          <w:sz w:val="24"/>
        </w:rPr>
        <w:t xml:space="preserve">, fueled in large part by the implementation of EHRs and the availability </w:t>
      </w:r>
      <w:r w:rsidRPr="7AEC0269" w:rsidR="1102B838">
        <w:rPr>
          <w:sz w:val="24"/>
        </w:rPr>
        <w:t>of</w:t>
      </w:r>
      <w:r w:rsidRPr="7AEC0269">
        <w:rPr>
          <w:sz w:val="24"/>
        </w:rPr>
        <w:t xml:space="preserve"> </w:t>
      </w:r>
      <w:r>
        <w:rPr>
          <w:sz w:val="24"/>
        </w:rPr>
        <w:t xml:space="preserve">APIs that allow third-party applications to work with EHR data in various ways. </w:t>
      </w:r>
      <w:bookmarkStart w:id="1" w:name="_Hlk102129763"/>
      <w:bookmarkStart w:id="2" w:name="_Hlk102136272"/>
      <w:r w:rsidR="004A2D14">
        <w:rPr>
          <w:sz w:val="24"/>
        </w:rPr>
        <w:t xml:space="preserve">It is critical to </w:t>
      </w:r>
      <w:r w:rsidR="005D4FA8">
        <w:rPr>
          <w:sz w:val="24"/>
        </w:rPr>
        <w:t xml:space="preserve">assess the digital health ecosystem’s experiences with </w:t>
      </w:r>
      <w:r w:rsidRPr="7AEC0269" w:rsidR="00E3375C">
        <w:rPr>
          <w:sz w:val="24"/>
        </w:rPr>
        <w:t>federally</w:t>
      </w:r>
      <w:r w:rsidR="00E3375C">
        <w:rPr>
          <w:sz w:val="24"/>
        </w:rPr>
        <w:t xml:space="preserve"> regulated</w:t>
      </w:r>
      <w:r w:rsidR="005D4FA8">
        <w:rPr>
          <w:sz w:val="24"/>
        </w:rPr>
        <w:t>, standards-based application programming interfaces (APIs) for health data exchange, as mandated under the 21</w:t>
      </w:r>
      <w:r w:rsidRPr="005D4FA8" w:rsidR="005D4FA8">
        <w:rPr>
          <w:sz w:val="24"/>
          <w:vertAlign w:val="superscript"/>
        </w:rPr>
        <w:t>st</w:t>
      </w:r>
      <w:r w:rsidR="005D4FA8">
        <w:rPr>
          <w:sz w:val="24"/>
        </w:rPr>
        <w:t xml:space="preserve"> Century Cures Act</w:t>
      </w:r>
      <w:r w:rsidR="00DB3D0C">
        <w:rPr>
          <w:sz w:val="24"/>
        </w:rPr>
        <w:t xml:space="preserve"> (</w:t>
      </w:r>
      <w:r w:rsidRPr="00D9775A" w:rsidR="00D9775A">
        <w:rPr>
          <w:sz w:val="24"/>
        </w:rPr>
        <w:t>42 U.S.C. § 300jj-11 and § 300jj-52</w:t>
      </w:r>
      <w:r w:rsidR="00D9775A">
        <w:rPr>
          <w:sz w:val="24"/>
        </w:rPr>
        <w:t>)</w:t>
      </w:r>
      <w:r w:rsidR="00510E4D">
        <w:rPr>
          <w:sz w:val="24"/>
        </w:rPr>
        <w:t>.</w:t>
      </w:r>
      <w:r w:rsidR="00F2666D">
        <w:rPr>
          <w:sz w:val="24"/>
        </w:rPr>
        <w:t xml:space="preserve"> The Cures Act aims to promote secure, standardized access to and exchange of electronic health information (EHI)</w:t>
      </w:r>
      <w:r w:rsidR="00D70AF6">
        <w:rPr>
          <w:sz w:val="24"/>
        </w:rPr>
        <w:t xml:space="preserve"> through certified APIs “without special effort.”</w:t>
      </w:r>
      <w:r w:rsidR="00B5367A">
        <w:rPr>
          <w:sz w:val="24"/>
        </w:rPr>
        <w:t xml:space="preserve"> This supports patient access</w:t>
      </w:r>
      <w:r w:rsidRPr="7AEC0269" w:rsidR="00B5367A">
        <w:rPr>
          <w:sz w:val="24"/>
        </w:rPr>
        <w:t xml:space="preserve"> </w:t>
      </w:r>
      <w:r w:rsidRPr="7AEC0269" w:rsidR="2C10C360">
        <w:rPr>
          <w:sz w:val="24"/>
        </w:rPr>
        <w:t>to their medical information</w:t>
      </w:r>
      <w:r w:rsidR="00B5367A">
        <w:rPr>
          <w:sz w:val="24"/>
        </w:rPr>
        <w:t xml:space="preserve"> and </w:t>
      </w:r>
      <w:r w:rsidR="00102300">
        <w:rPr>
          <w:sz w:val="24"/>
        </w:rPr>
        <w:t>allo</w:t>
      </w:r>
      <w:r w:rsidR="00C61638">
        <w:rPr>
          <w:sz w:val="24"/>
        </w:rPr>
        <w:t xml:space="preserve">ws for </w:t>
      </w:r>
      <w:r w:rsidR="00390C2E">
        <w:rPr>
          <w:sz w:val="24"/>
        </w:rPr>
        <w:t xml:space="preserve">third-party innovation in the private sector. </w:t>
      </w:r>
    </w:p>
    <w:bookmarkEnd w:id="1"/>
    <w:bookmarkEnd w:id="2"/>
    <w:p w:rsidR="00A70EA3" w:rsidP="00016834" w14:paraId="57BC1C66" w14:textId="4A2D4937">
      <w:pPr>
        <w:ind w:left="720"/>
        <w:rPr>
          <w:sz w:val="24"/>
        </w:rPr>
      </w:pPr>
    </w:p>
    <w:p w:rsidR="00EE7C2D" w:rsidP="0088181C" w14:paraId="67FB14B7" w14:textId="07C6B540">
      <w:pPr>
        <w:ind w:left="720"/>
        <w:rPr>
          <w:sz w:val="24"/>
        </w:rPr>
      </w:pPr>
      <w:bookmarkStart w:id="3" w:name="_Hlk102129840"/>
      <w:r>
        <w:rPr>
          <w:sz w:val="24"/>
        </w:rPr>
        <w:t>In 2022, ASTP/ONC</w:t>
      </w:r>
      <w:r w:rsidR="00733F3A">
        <w:rPr>
          <w:sz w:val="24"/>
        </w:rPr>
        <w:t xml:space="preserve"> partnered with </w:t>
      </w:r>
      <w:r w:rsidR="0056088E">
        <w:rPr>
          <w:sz w:val="24"/>
        </w:rPr>
        <w:t>University of California San Francisco (</w:t>
      </w:r>
      <w:r w:rsidR="00733F3A">
        <w:rPr>
          <w:sz w:val="24"/>
        </w:rPr>
        <w:t>UCSF</w:t>
      </w:r>
      <w:r w:rsidR="0056088E">
        <w:rPr>
          <w:sz w:val="24"/>
        </w:rPr>
        <w:t>)</w:t>
      </w:r>
      <w:r w:rsidR="00733F3A">
        <w:rPr>
          <w:sz w:val="24"/>
        </w:rPr>
        <w:t xml:space="preserve"> to conduct a national survey</w:t>
      </w:r>
      <w:r w:rsidR="00B41913">
        <w:rPr>
          <w:sz w:val="24"/>
        </w:rPr>
        <w:t xml:space="preserve"> of 141 digital health companies</w:t>
      </w:r>
      <w:r w:rsidR="00733F3A">
        <w:rPr>
          <w:sz w:val="24"/>
        </w:rPr>
        <w:t xml:space="preserve"> that provided the first insights into digital health company experiences with electronic health record (EHR) integration via standards-based </w:t>
      </w:r>
      <w:r w:rsidR="00A128AD">
        <w:rPr>
          <w:sz w:val="24"/>
        </w:rPr>
        <w:t xml:space="preserve">APIs. </w:t>
      </w:r>
      <w:r w:rsidR="00546F7F">
        <w:rPr>
          <w:sz w:val="24"/>
        </w:rPr>
        <w:t xml:space="preserve">This data collection effort aimed to capture early impacts of the </w:t>
      </w:r>
      <w:r w:rsidR="00712AD0">
        <w:rPr>
          <w:sz w:val="24"/>
        </w:rPr>
        <w:t xml:space="preserve">Cures Act and assess the state of API adoption and interoperability among digital health companies. </w:t>
      </w:r>
      <w:r w:rsidRPr="7AEC0269" w:rsidR="00352379">
        <w:rPr>
          <w:sz w:val="24"/>
        </w:rPr>
        <w:t xml:space="preserve">The findings were published in </w:t>
      </w:r>
      <w:hyperlink r:id="rId8">
        <w:r w:rsidRPr="7AEC0269" w:rsidR="00352379">
          <w:rPr>
            <w:rStyle w:val="Hyperlink"/>
            <w:sz w:val="24"/>
          </w:rPr>
          <w:t>the Journal of the American Medical Informatics Association</w:t>
        </w:r>
      </w:hyperlink>
      <w:r w:rsidR="00352379">
        <w:rPr>
          <w:sz w:val="24"/>
        </w:rPr>
        <w:t xml:space="preserve"> and showed widespread API adoption but </w:t>
      </w:r>
      <w:r w:rsidR="004C09C9">
        <w:rPr>
          <w:sz w:val="24"/>
        </w:rPr>
        <w:t xml:space="preserve">persistent challenges such as high fees, limited clinical data, and incomplete access to necessary data elements. These challenges </w:t>
      </w:r>
      <w:r w:rsidR="0060428A">
        <w:rPr>
          <w:sz w:val="24"/>
        </w:rPr>
        <w:t>can impede innovation and competition</w:t>
      </w:r>
      <w:r w:rsidRPr="7AEC0269" w:rsidR="0AFCE715">
        <w:rPr>
          <w:sz w:val="24"/>
        </w:rPr>
        <w:t xml:space="preserve">, </w:t>
      </w:r>
      <w:r w:rsidR="0060428A">
        <w:rPr>
          <w:sz w:val="24"/>
        </w:rPr>
        <w:t xml:space="preserve">ultimately </w:t>
      </w:r>
      <w:r w:rsidRPr="7AEC0269" w:rsidR="0060428A">
        <w:rPr>
          <w:sz w:val="24"/>
        </w:rPr>
        <w:t>impact</w:t>
      </w:r>
      <w:r w:rsidRPr="7AEC0269" w:rsidR="5CC9248E">
        <w:rPr>
          <w:sz w:val="24"/>
        </w:rPr>
        <w:t>ing</w:t>
      </w:r>
      <w:r w:rsidR="0060428A">
        <w:rPr>
          <w:sz w:val="24"/>
        </w:rPr>
        <w:t xml:space="preserve"> patient care. </w:t>
      </w:r>
      <w:r w:rsidR="00C168E1">
        <w:rPr>
          <w:sz w:val="24"/>
        </w:rPr>
        <w:t xml:space="preserve">Prior to this, the California Health Care Foundation (CHCF) conducted surveys of digital health companies in </w:t>
      </w:r>
      <w:hyperlink r:id="rId9">
        <w:r w:rsidRPr="7AEC0269" w:rsidR="00C168E1">
          <w:rPr>
            <w:rStyle w:val="Hyperlink"/>
            <w:sz w:val="24"/>
          </w:rPr>
          <w:t>2016</w:t>
        </w:r>
      </w:hyperlink>
      <w:r w:rsidR="00C168E1">
        <w:rPr>
          <w:sz w:val="24"/>
        </w:rPr>
        <w:t xml:space="preserve"> and </w:t>
      </w:r>
      <w:hyperlink r:id="rId10">
        <w:r w:rsidRPr="7AEC0269" w:rsidR="00C168E1">
          <w:rPr>
            <w:rStyle w:val="Hyperlink"/>
            <w:sz w:val="24"/>
          </w:rPr>
          <w:t>2018</w:t>
        </w:r>
      </w:hyperlink>
      <w:r w:rsidR="00C168E1">
        <w:rPr>
          <w:sz w:val="24"/>
        </w:rPr>
        <w:t xml:space="preserve"> focusing on companies’ API implementation</w:t>
      </w:r>
      <w:r w:rsidR="00B41913">
        <w:rPr>
          <w:sz w:val="24"/>
        </w:rPr>
        <w:t xml:space="preserve">s. </w:t>
      </w:r>
    </w:p>
    <w:p w:rsidR="00EE7C2D" w:rsidP="0088181C" w14:paraId="64E7D0B6" w14:textId="77777777">
      <w:pPr>
        <w:ind w:left="720"/>
        <w:rPr>
          <w:sz w:val="24"/>
        </w:rPr>
      </w:pPr>
    </w:p>
    <w:p w:rsidR="003C4813" w:rsidP="00EE7C2D" w14:paraId="02FE3135" w14:textId="56DE46ED">
      <w:pPr>
        <w:ind w:left="720"/>
        <w:rPr>
          <w:sz w:val="24"/>
        </w:rPr>
      </w:pPr>
      <w:bookmarkStart w:id="4" w:name="_Hlk102573001"/>
      <w:bookmarkEnd w:id="3"/>
      <w:r>
        <w:rPr>
          <w:sz w:val="24"/>
        </w:rPr>
        <w:t xml:space="preserve">Given the rapidly evolving landscape and policy </w:t>
      </w:r>
      <w:r w:rsidR="00E06DEB">
        <w:rPr>
          <w:sz w:val="24"/>
        </w:rPr>
        <w:t xml:space="preserve">changes, including the rollout of the United States Core Data for Interoperability (USCDI), the Trusted Exchange Framework </w:t>
      </w:r>
      <w:r w:rsidR="00E06DEB">
        <w:rPr>
          <w:sz w:val="24"/>
        </w:rPr>
        <w:t>and Common Agreement (TEFCA)</w:t>
      </w:r>
      <w:r w:rsidR="005D7910">
        <w:rPr>
          <w:sz w:val="24"/>
        </w:rPr>
        <w:t xml:space="preserve">, and recent updates to the ONC Health IT Certification program, ASTP/ONC must field </w:t>
      </w:r>
      <w:r w:rsidR="00D67A23">
        <w:rPr>
          <w:sz w:val="24"/>
        </w:rPr>
        <w:t>this</w:t>
      </w:r>
      <w:r w:rsidR="005D7910">
        <w:rPr>
          <w:sz w:val="24"/>
        </w:rPr>
        <w:t xml:space="preserve"> survey to assess how these digital health </w:t>
      </w:r>
      <w:r w:rsidR="00AA7F72">
        <w:rPr>
          <w:sz w:val="24"/>
        </w:rPr>
        <w:t>companies’</w:t>
      </w:r>
      <w:r w:rsidR="00AD70B7">
        <w:rPr>
          <w:sz w:val="24"/>
        </w:rPr>
        <w:t xml:space="preserve"> integration experiences and technology use have changed over time.</w:t>
      </w:r>
      <w:r w:rsidR="00B26CF1">
        <w:rPr>
          <w:sz w:val="24"/>
        </w:rPr>
        <w:t xml:space="preserve"> This effort will </w:t>
      </w:r>
      <w:r w:rsidR="003505B2">
        <w:rPr>
          <w:sz w:val="24"/>
        </w:rPr>
        <w:t xml:space="preserve">continue the </w:t>
      </w:r>
      <w:r w:rsidR="00B26CF1">
        <w:rPr>
          <w:sz w:val="24"/>
        </w:rPr>
        <w:t xml:space="preserve">tracking </w:t>
      </w:r>
      <w:r w:rsidR="005B0CCC">
        <w:rPr>
          <w:sz w:val="24"/>
        </w:rPr>
        <w:t>of essential data t</w:t>
      </w:r>
      <w:r w:rsidR="00DE032B">
        <w:rPr>
          <w:sz w:val="24"/>
        </w:rPr>
        <w:t xml:space="preserve">o measure </w:t>
      </w:r>
      <w:r w:rsidR="00B26CF1">
        <w:rPr>
          <w:sz w:val="24"/>
        </w:rPr>
        <w:t>the continued adoption and impact of APIs. By evaluating the use of standards</w:t>
      </w:r>
      <w:r w:rsidR="00CA3BD4">
        <w:rPr>
          <w:sz w:val="24"/>
        </w:rPr>
        <w:t xml:space="preserve">-based and proprietary APIs, understanding company experiences with specific EHR vendors, and identifying both barriers and </w:t>
      </w:r>
      <w:r w:rsidR="00A4619E">
        <w:rPr>
          <w:sz w:val="24"/>
        </w:rPr>
        <w:t xml:space="preserve">enablers to EHR integration, the survey is essential to inform federal policy and will deliver actionable insights to drive continued innovation and improvement in the digital health ecosystem, ultimately </w:t>
      </w:r>
      <w:r w:rsidRPr="7AEC0269" w:rsidR="00A4619E">
        <w:rPr>
          <w:sz w:val="24"/>
        </w:rPr>
        <w:t>improv</w:t>
      </w:r>
      <w:r w:rsidRPr="7AEC0269" w:rsidR="3DB35258">
        <w:rPr>
          <w:sz w:val="24"/>
        </w:rPr>
        <w:t>ing</w:t>
      </w:r>
      <w:r w:rsidR="00A4619E">
        <w:rPr>
          <w:sz w:val="24"/>
        </w:rPr>
        <w:t xml:space="preserve"> </w:t>
      </w:r>
      <w:r w:rsidRPr="7AEC0269" w:rsidR="7AF44BBF">
        <w:rPr>
          <w:sz w:val="24"/>
        </w:rPr>
        <w:t>patient care delivery</w:t>
      </w:r>
      <w:r w:rsidR="001E49D7">
        <w:rPr>
          <w:sz w:val="24"/>
        </w:rPr>
        <w:t xml:space="preserve">. </w:t>
      </w:r>
    </w:p>
    <w:p w:rsidR="00430004" w:rsidP="00EE7C2D" w14:paraId="5E637620" w14:textId="7C8B436D">
      <w:pPr>
        <w:ind w:left="720"/>
        <w:rPr>
          <w:sz w:val="24"/>
        </w:rPr>
      </w:pPr>
    </w:p>
    <w:bookmarkEnd w:id="4"/>
    <w:p w:rsidR="0098164F" w14:paraId="6555F46C" w14:textId="77777777">
      <w:pPr>
        <w:numPr>
          <w:ilvl w:val="0"/>
          <w:numId w:val="2"/>
        </w:numPr>
        <w:rPr>
          <w:b/>
          <w:sz w:val="24"/>
        </w:rPr>
      </w:pPr>
      <w:r>
        <w:rPr>
          <w:b/>
          <w:sz w:val="24"/>
          <w:u w:val="single"/>
        </w:rPr>
        <w:t>Purpose and Use of Information Collection</w:t>
      </w:r>
    </w:p>
    <w:p w:rsidR="00BC6A72" w:rsidP="00E474C1" w14:paraId="6B026581" w14:textId="2853E3D7">
      <w:pPr>
        <w:pStyle w:val="MediumGrid1-Accent21"/>
        <w:rPr>
          <w:rFonts w:ascii="Times New Roman" w:eastAsia="Times New Roman" w:hAnsi="Times New Roman"/>
        </w:rPr>
      </w:pPr>
      <w:bookmarkStart w:id="5" w:name="_Hlk102131093"/>
      <w:r w:rsidRPr="000E37FE">
        <w:rPr>
          <w:rFonts w:ascii="Times New Roman" w:eastAsia="Times New Roman" w:hAnsi="Times New Roman"/>
        </w:rPr>
        <w:t>T</w:t>
      </w:r>
      <w:r w:rsidRPr="000E37FE" w:rsidR="00BD159E">
        <w:rPr>
          <w:rFonts w:ascii="Times New Roman" w:eastAsia="Times New Roman" w:hAnsi="Times New Roman"/>
        </w:rPr>
        <w:t xml:space="preserve">he </w:t>
      </w:r>
      <w:r w:rsidRPr="000E37FE" w:rsidR="00D428E3">
        <w:rPr>
          <w:rFonts w:ascii="Times New Roman" w:eastAsia="Times New Roman" w:hAnsi="Times New Roman"/>
        </w:rPr>
        <w:t>primary goal of this information collection is to generate national statistics on digital health company adoption of and experiences with EHR APIs. The surve</w:t>
      </w:r>
      <w:r w:rsidRPr="000E37FE" w:rsidR="00B412CC">
        <w:rPr>
          <w:rFonts w:ascii="Times New Roman" w:eastAsia="Times New Roman" w:hAnsi="Times New Roman"/>
        </w:rPr>
        <w:t xml:space="preserve">y will </w:t>
      </w:r>
      <w:r w:rsidRPr="000E37FE" w:rsidR="00615710">
        <w:rPr>
          <w:rFonts w:ascii="Times New Roman" w:eastAsia="Times New Roman" w:hAnsi="Times New Roman"/>
        </w:rPr>
        <w:t xml:space="preserve">collect data to </w:t>
      </w:r>
      <w:r w:rsidRPr="000E37FE" w:rsidR="000E37FE">
        <w:rPr>
          <w:rFonts w:ascii="Times New Roman" w:eastAsia="Times New Roman" w:hAnsi="Times New Roman"/>
        </w:rPr>
        <w:t>assess</w:t>
      </w:r>
      <w:r w:rsidRPr="000E37FE">
        <w:rPr>
          <w:rFonts w:ascii="Times New Roman" w:eastAsia="Times New Roman" w:hAnsi="Times New Roman"/>
        </w:rPr>
        <w:t xml:space="preserve"> the following:</w:t>
      </w:r>
    </w:p>
    <w:p w:rsidR="000E37FE" w:rsidRPr="000E37FE" w:rsidP="00E474C1" w14:paraId="70B58DD6" w14:textId="77777777">
      <w:pPr>
        <w:pStyle w:val="MediumGrid1-Accent21"/>
        <w:rPr>
          <w:rFonts w:ascii="Times New Roman" w:eastAsia="Times New Roman" w:hAnsi="Times New Roman"/>
        </w:rPr>
      </w:pPr>
    </w:p>
    <w:p w:rsidR="000D39EC" w:rsidRPr="000E37FE" w:rsidP="00BC6A72" w14:paraId="16CBA01C" w14:textId="35587E9B">
      <w:pPr>
        <w:pStyle w:val="MediumGrid1-Accent21"/>
        <w:numPr>
          <w:ilvl w:val="0"/>
          <w:numId w:val="50"/>
        </w:numPr>
        <w:rPr>
          <w:rFonts w:ascii="Times New Roman" w:eastAsia="Times New Roman" w:hAnsi="Times New Roman"/>
        </w:rPr>
      </w:pPr>
      <w:r w:rsidRPr="000E37FE">
        <w:rPr>
          <w:rFonts w:ascii="Times New Roman" w:eastAsia="Times New Roman" w:hAnsi="Times New Roman"/>
        </w:rPr>
        <w:t>Use of proprietary and standards-based APIs (</w:t>
      </w:r>
      <w:r w:rsidRPr="000E37FE" w:rsidR="007738F1">
        <w:rPr>
          <w:rFonts w:ascii="Times New Roman" w:eastAsia="Times New Roman" w:hAnsi="Times New Roman"/>
        </w:rPr>
        <w:t xml:space="preserve">including FHIR-based APIs) to integrate with </w:t>
      </w:r>
      <w:r w:rsidRPr="000E37FE" w:rsidR="00384754">
        <w:rPr>
          <w:rFonts w:ascii="Times New Roman" w:eastAsia="Times New Roman" w:hAnsi="Times New Roman"/>
        </w:rPr>
        <w:t>EHRs</w:t>
      </w:r>
      <w:r w:rsidR="00384754">
        <w:rPr>
          <w:rFonts w:ascii="Times New Roman" w:eastAsia="Times New Roman" w:hAnsi="Times New Roman"/>
        </w:rPr>
        <w:t>.</w:t>
      </w:r>
    </w:p>
    <w:p w:rsidR="000D39EC" w:rsidRPr="000E37FE" w:rsidP="00BC6A72" w14:paraId="11C8D70A" w14:textId="3F495539">
      <w:pPr>
        <w:pStyle w:val="MediumGrid1-Accent21"/>
        <w:numPr>
          <w:ilvl w:val="0"/>
          <w:numId w:val="50"/>
        </w:numPr>
        <w:rPr>
          <w:rFonts w:ascii="Times New Roman" w:eastAsia="Times New Roman" w:hAnsi="Times New Roman"/>
        </w:rPr>
      </w:pPr>
      <w:r w:rsidRPr="000E37FE">
        <w:rPr>
          <w:rFonts w:ascii="Times New Roman" w:eastAsia="Times New Roman" w:hAnsi="Times New Roman"/>
        </w:rPr>
        <w:t xml:space="preserve">Barriers to API integration, such as cost, vendor support, and availability of test </w:t>
      </w:r>
      <w:r w:rsidRPr="000E37FE" w:rsidR="00384754">
        <w:rPr>
          <w:rFonts w:ascii="Times New Roman" w:eastAsia="Times New Roman" w:hAnsi="Times New Roman"/>
        </w:rPr>
        <w:t>data.</w:t>
      </w:r>
    </w:p>
    <w:p w:rsidR="000D39EC" w:rsidRPr="000E37FE" w:rsidP="00BC6A72" w14:paraId="3980CBC5" w14:textId="732A5921">
      <w:pPr>
        <w:pStyle w:val="MediumGrid1-Accent21"/>
        <w:numPr>
          <w:ilvl w:val="0"/>
          <w:numId w:val="50"/>
        </w:numPr>
        <w:rPr>
          <w:rFonts w:ascii="Times New Roman" w:eastAsia="Times New Roman" w:hAnsi="Times New Roman"/>
        </w:rPr>
      </w:pPr>
      <w:r w:rsidRPr="000E37FE">
        <w:rPr>
          <w:rFonts w:ascii="Times New Roman" w:eastAsia="Times New Roman" w:hAnsi="Times New Roman"/>
        </w:rPr>
        <w:t xml:space="preserve">Experiences with specific EHR vendors and numbers of vendors integrated </w:t>
      </w:r>
      <w:r w:rsidRPr="000E37FE" w:rsidR="00384754">
        <w:rPr>
          <w:rFonts w:ascii="Times New Roman" w:eastAsia="Times New Roman" w:hAnsi="Times New Roman"/>
        </w:rPr>
        <w:t>with.</w:t>
      </w:r>
    </w:p>
    <w:p w:rsidR="00AA7F72" w:rsidRPr="000E37FE" w:rsidP="00BC6A72" w14:paraId="544CA96A" w14:textId="2CDA3991">
      <w:pPr>
        <w:pStyle w:val="MediumGrid1-Accent21"/>
        <w:numPr>
          <w:ilvl w:val="0"/>
          <w:numId w:val="50"/>
        </w:numPr>
        <w:rPr>
          <w:rFonts w:ascii="Times New Roman" w:eastAsia="Times New Roman" w:hAnsi="Times New Roman"/>
        </w:rPr>
      </w:pPr>
      <w:r w:rsidRPr="000E37FE">
        <w:rPr>
          <w:rFonts w:ascii="Times New Roman" w:eastAsia="Times New Roman" w:hAnsi="Times New Roman"/>
        </w:rPr>
        <w:t>Perceptions of policy initiatives such as TEFCA, information blocking regulations, and USCDI</w:t>
      </w:r>
      <w:r w:rsidR="00384754">
        <w:rPr>
          <w:rFonts w:ascii="Times New Roman" w:eastAsia="Times New Roman" w:hAnsi="Times New Roman"/>
        </w:rPr>
        <w:t>.</w:t>
      </w:r>
    </w:p>
    <w:p w:rsidR="008F5051" w:rsidRPr="000E37FE" w:rsidP="00092C6D" w14:paraId="5785BA94" w14:textId="19865420">
      <w:pPr>
        <w:pStyle w:val="MediumGrid1-Accent21"/>
        <w:numPr>
          <w:ilvl w:val="0"/>
          <w:numId w:val="50"/>
        </w:numPr>
        <w:rPr>
          <w:rFonts w:ascii="Times New Roman" w:eastAsia="Times New Roman" w:hAnsi="Times New Roman"/>
        </w:rPr>
      </w:pPr>
      <w:r w:rsidRPr="000E37FE">
        <w:rPr>
          <w:rFonts w:ascii="Times New Roman" w:eastAsia="Times New Roman" w:hAnsi="Times New Roman"/>
        </w:rPr>
        <w:t>Prioritized clinical data elements for future regulatory focus;</w:t>
      </w:r>
      <w:r w:rsidRPr="000E37FE" w:rsidR="00092C6D">
        <w:rPr>
          <w:rFonts w:ascii="Times New Roman" w:eastAsia="Times New Roman" w:hAnsi="Times New Roman"/>
        </w:rPr>
        <w:t xml:space="preserve"> and</w:t>
      </w:r>
    </w:p>
    <w:p w:rsidR="00092C6D" w:rsidRPr="000E37FE" w:rsidP="00092C6D" w14:paraId="0BA6C90E" w14:textId="4984442F">
      <w:pPr>
        <w:pStyle w:val="MediumGrid1-Accent21"/>
        <w:numPr>
          <w:ilvl w:val="0"/>
          <w:numId w:val="50"/>
        </w:numPr>
        <w:rPr>
          <w:rFonts w:ascii="Times New Roman" w:eastAsia="Times New Roman" w:hAnsi="Times New Roman"/>
        </w:rPr>
      </w:pPr>
      <w:r w:rsidRPr="000E37FE">
        <w:rPr>
          <w:rFonts w:ascii="Times New Roman" w:eastAsia="Times New Roman" w:hAnsi="Times New Roman"/>
        </w:rPr>
        <w:t>Strategies to improve interoperability and ease of integration.</w:t>
      </w:r>
    </w:p>
    <w:p w:rsidR="00092C6D" w:rsidRPr="000E37FE" w:rsidP="00092C6D" w14:paraId="7FAE21EB" w14:textId="77777777">
      <w:pPr>
        <w:pStyle w:val="MediumGrid1-Accent21"/>
        <w:rPr>
          <w:rFonts w:ascii="Times New Roman" w:eastAsia="Times New Roman" w:hAnsi="Times New Roman"/>
        </w:rPr>
      </w:pPr>
    </w:p>
    <w:p w:rsidR="0042176C" w:rsidRPr="000E37FE" w:rsidP="000E37FE" w14:paraId="3F8758AF" w14:textId="04B4D8A4">
      <w:pPr>
        <w:pStyle w:val="MediumGrid1-Accent21"/>
        <w:rPr>
          <w:rFonts w:ascii="Times New Roman" w:eastAsia="Times New Roman" w:hAnsi="Times New Roman"/>
        </w:rPr>
      </w:pPr>
      <w:r w:rsidRPr="000E37FE">
        <w:rPr>
          <w:rFonts w:ascii="Times New Roman" w:eastAsia="Times New Roman" w:hAnsi="Times New Roman"/>
        </w:rPr>
        <w:t xml:space="preserve">Findings will help ASTP/ONC evaluate implementation of Cures Act provisions, support data-driven policy development, and identify needed technical assistance or regulatory refinements. Survey results will be published, shared with stakeholders, and inform ASTP/ONC rulemaking and program design. </w:t>
      </w:r>
    </w:p>
    <w:p w:rsidR="0042176C" w:rsidP="00092C6D" w14:paraId="391DA189" w14:textId="77777777">
      <w:pPr>
        <w:pStyle w:val="MediumGrid1-Accent21"/>
        <w:ind w:left="0" w:firstLine="720"/>
        <w:rPr>
          <w:rFonts w:ascii="Times New Roman" w:hAnsi="Times New Roman"/>
        </w:rPr>
      </w:pPr>
    </w:p>
    <w:bookmarkEnd w:id="5"/>
    <w:p w:rsidR="0098164F" w:rsidRPr="00630A4B" w14:paraId="7A68CF06" w14:textId="53F58178">
      <w:pPr>
        <w:numPr>
          <w:ilvl w:val="0"/>
          <w:numId w:val="2"/>
        </w:numPr>
        <w:rPr>
          <w:sz w:val="24"/>
        </w:rPr>
      </w:pPr>
      <w:r>
        <w:rPr>
          <w:b/>
          <w:sz w:val="24"/>
          <w:u w:val="single"/>
        </w:rPr>
        <w:t>Use of Improved Information Technology and Burden Reduction</w:t>
      </w:r>
    </w:p>
    <w:p w:rsidR="002E1E27" w:rsidP="002E1E27" w14:paraId="21DB01C8" w14:textId="76CCC0E1">
      <w:pPr>
        <w:pStyle w:val="BodyText"/>
        <w:ind w:left="720"/>
        <w:rPr>
          <w:sz w:val="24"/>
        </w:rPr>
      </w:pPr>
      <w:r w:rsidRPr="00630A4B">
        <w:rPr>
          <w:sz w:val="24"/>
        </w:rPr>
        <w:t xml:space="preserve">This study will rely on data gathered from </w:t>
      </w:r>
      <w:r>
        <w:rPr>
          <w:sz w:val="24"/>
        </w:rPr>
        <w:t xml:space="preserve">a </w:t>
      </w:r>
      <w:r w:rsidRPr="00630A4B">
        <w:rPr>
          <w:sz w:val="24"/>
        </w:rPr>
        <w:t>self</w:t>
      </w:r>
      <w:r w:rsidR="0073218F">
        <w:rPr>
          <w:sz w:val="24"/>
        </w:rPr>
        <w:t xml:space="preserve">-administered, </w:t>
      </w:r>
      <w:r w:rsidR="00B8624F">
        <w:rPr>
          <w:sz w:val="24"/>
        </w:rPr>
        <w:t>w</w:t>
      </w:r>
      <w:r w:rsidR="0073218F">
        <w:rPr>
          <w:sz w:val="24"/>
        </w:rPr>
        <w:t>eb-based survey</w:t>
      </w:r>
      <w:r w:rsidRPr="00630A4B">
        <w:rPr>
          <w:sz w:val="24"/>
        </w:rPr>
        <w:t xml:space="preserve"> of </w:t>
      </w:r>
      <w:r>
        <w:rPr>
          <w:sz w:val="24"/>
        </w:rPr>
        <w:t xml:space="preserve">leaders </w:t>
      </w:r>
      <w:r w:rsidR="00033A29">
        <w:rPr>
          <w:sz w:val="24"/>
        </w:rPr>
        <w:t xml:space="preserve">in </w:t>
      </w:r>
      <w:r w:rsidR="0032014D">
        <w:rPr>
          <w:sz w:val="24"/>
        </w:rPr>
        <w:t>d</w:t>
      </w:r>
      <w:r w:rsidR="00033A29">
        <w:rPr>
          <w:sz w:val="24"/>
        </w:rPr>
        <w:t xml:space="preserve">igital </w:t>
      </w:r>
      <w:r w:rsidR="0032014D">
        <w:rPr>
          <w:sz w:val="24"/>
        </w:rPr>
        <w:t>h</w:t>
      </w:r>
      <w:r w:rsidR="00033A29">
        <w:rPr>
          <w:sz w:val="24"/>
        </w:rPr>
        <w:t xml:space="preserve">ealth </w:t>
      </w:r>
      <w:r w:rsidR="0032014D">
        <w:rPr>
          <w:sz w:val="24"/>
        </w:rPr>
        <w:t>c</w:t>
      </w:r>
      <w:r w:rsidR="00033A29">
        <w:rPr>
          <w:sz w:val="24"/>
        </w:rPr>
        <w:t>ompanies</w:t>
      </w:r>
      <w:r w:rsidRPr="00630A4B">
        <w:rPr>
          <w:sz w:val="24"/>
        </w:rPr>
        <w:t xml:space="preserve">. </w:t>
      </w:r>
      <w:r w:rsidR="0073218F">
        <w:rPr>
          <w:sz w:val="24"/>
        </w:rPr>
        <w:t>The survey</w:t>
      </w:r>
      <w:r w:rsidRPr="00630A4B">
        <w:rPr>
          <w:sz w:val="24"/>
        </w:rPr>
        <w:t xml:space="preserve"> will be administered electronically</w:t>
      </w:r>
      <w:r w:rsidR="00033A29">
        <w:rPr>
          <w:sz w:val="24"/>
        </w:rPr>
        <w:t xml:space="preserve"> </w:t>
      </w:r>
      <w:r w:rsidRPr="00630A4B">
        <w:rPr>
          <w:sz w:val="24"/>
        </w:rPr>
        <w:t xml:space="preserve">to alleviate burden on the respondents. The </w:t>
      </w:r>
      <w:r w:rsidR="00B8624F">
        <w:rPr>
          <w:sz w:val="24"/>
        </w:rPr>
        <w:t>w</w:t>
      </w:r>
      <w:r w:rsidRPr="00630A4B" w:rsidR="00B8624F">
        <w:rPr>
          <w:sz w:val="24"/>
        </w:rPr>
        <w:t>eb</w:t>
      </w:r>
      <w:r w:rsidRPr="00630A4B">
        <w:rPr>
          <w:sz w:val="24"/>
        </w:rPr>
        <w:t xml:space="preserve">-based survey permits respondents to complete </w:t>
      </w:r>
      <w:r w:rsidR="00F363BC">
        <w:rPr>
          <w:sz w:val="24"/>
        </w:rPr>
        <w:t>the</w:t>
      </w:r>
      <w:r w:rsidRPr="00630A4B" w:rsidR="00F363BC">
        <w:rPr>
          <w:sz w:val="24"/>
        </w:rPr>
        <w:t xml:space="preserve"> </w:t>
      </w:r>
      <w:r w:rsidRPr="00630A4B">
        <w:rPr>
          <w:sz w:val="24"/>
        </w:rPr>
        <w:t>instrument at their preferred time. Respondents who begin the survey and</w:t>
      </w:r>
      <w:r w:rsidR="000F6639">
        <w:rPr>
          <w:sz w:val="24"/>
        </w:rPr>
        <w:t>, if</w:t>
      </w:r>
      <w:r w:rsidRPr="00630A4B">
        <w:rPr>
          <w:sz w:val="24"/>
        </w:rPr>
        <w:t xml:space="preserve"> unable to complete it in one </w:t>
      </w:r>
      <w:r w:rsidR="00333E5E">
        <w:rPr>
          <w:sz w:val="24"/>
        </w:rPr>
        <w:t>session</w:t>
      </w:r>
      <w:r w:rsidR="004C7DAE">
        <w:rPr>
          <w:sz w:val="24"/>
        </w:rPr>
        <w:t>,</w:t>
      </w:r>
      <w:r w:rsidRPr="00630A4B" w:rsidR="00333E5E">
        <w:rPr>
          <w:sz w:val="24"/>
        </w:rPr>
        <w:t xml:space="preserve"> </w:t>
      </w:r>
      <w:r w:rsidRPr="00630A4B">
        <w:rPr>
          <w:sz w:val="24"/>
        </w:rPr>
        <w:t xml:space="preserve">will be able to save their responses and resume work on the survey </w:t>
      </w:r>
      <w:r w:rsidRPr="00630A4B" w:rsidR="0056088E">
        <w:rPr>
          <w:sz w:val="24"/>
        </w:rPr>
        <w:t>later</w:t>
      </w:r>
      <w:r w:rsidRPr="00630A4B">
        <w:rPr>
          <w:sz w:val="24"/>
        </w:rPr>
        <w:t xml:space="preserve">. </w:t>
      </w:r>
    </w:p>
    <w:p w:rsidR="00630A4B" w:rsidRPr="002E1E27" w:rsidP="00630A4B" w14:paraId="69E01F02" w14:textId="5FD22ADC">
      <w:pPr>
        <w:ind w:left="720"/>
        <w:jc w:val="both"/>
        <w:rPr>
          <w:sz w:val="24"/>
        </w:rPr>
      </w:pPr>
      <w:r>
        <w:rPr>
          <w:sz w:val="24"/>
        </w:rPr>
        <w:t>We will be using the web-based</w:t>
      </w:r>
      <w:r w:rsidRPr="002E1E27" w:rsidR="00991866">
        <w:rPr>
          <w:sz w:val="24"/>
        </w:rPr>
        <w:t xml:space="preserve"> survey tool Qualtrics©. </w:t>
      </w:r>
      <w:r w:rsidR="000C289F">
        <w:rPr>
          <w:sz w:val="24"/>
        </w:rPr>
        <w:t>T</w:t>
      </w:r>
      <w:r w:rsidRPr="002E1E27" w:rsidR="00991866">
        <w:rPr>
          <w:sz w:val="24"/>
        </w:rPr>
        <w:t>his tool</w:t>
      </w:r>
      <w:r w:rsidR="000C289F">
        <w:rPr>
          <w:sz w:val="24"/>
        </w:rPr>
        <w:t xml:space="preserve"> </w:t>
      </w:r>
      <w:r w:rsidR="00C70C15">
        <w:rPr>
          <w:sz w:val="24"/>
        </w:rPr>
        <w:t xml:space="preserve">is </w:t>
      </w:r>
      <w:r w:rsidR="009B626D">
        <w:rPr>
          <w:sz w:val="24"/>
        </w:rPr>
        <w:t>commonplace</w:t>
      </w:r>
      <w:r w:rsidR="000C289F">
        <w:rPr>
          <w:sz w:val="24"/>
        </w:rPr>
        <w:t xml:space="preserve"> </w:t>
      </w:r>
      <w:r w:rsidRPr="002E1E27" w:rsidR="00991866">
        <w:rPr>
          <w:sz w:val="24"/>
        </w:rPr>
        <w:t xml:space="preserve">and has strong capabilities to support complex survey design (e.g., branching logic) as well as respondent communication and tracking. </w:t>
      </w:r>
      <w:r w:rsidR="000C289F">
        <w:rPr>
          <w:sz w:val="24"/>
        </w:rPr>
        <w:t xml:space="preserve">The tool will be </w:t>
      </w:r>
      <w:r w:rsidRPr="002E1E27" w:rsidR="00991866">
        <w:rPr>
          <w:sz w:val="24"/>
        </w:rPr>
        <w:t>extensively test</w:t>
      </w:r>
      <w:r w:rsidR="000C289F">
        <w:rPr>
          <w:sz w:val="24"/>
        </w:rPr>
        <w:t>ed</w:t>
      </w:r>
      <w:r w:rsidRPr="002E1E27" w:rsidR="00991866">
        <w:rPr>
          <w:sz w:val="24"/>
        </w:rPr>
        <w:t xml:space="preserve"> to ensure </w:t>
      </w:r>
      <w:r w:rsidR="00534629">
        <w:rPr>
          <w:sz w:val="24"/>
        </w:rPr>
        <w:t xml:space="preserve">the </w:t>
      </w:r>
      <w:r w:rsidRPr="002E1E27" w:rsidR="00991866">
        <w:rPr>
          <w:sz w:val="24"/>
        </w:rPr>
        <w:t>accuracy of branching and skip logic, accuracy of piped text, clarity of question display, and adherence to other survey usability guidelines.</w:t>
      </w:r>
    </w:p>
    <w:p w:rsidR="002E1E27" w:rsidRPr="00630A4B" w:rsidP="00630A4B" w14:paraId="56128942" w14:textId="77777777">
      <w:pPr>
        <w:ind w:left="720"/>
        <w:jc w:val="both"/>
        <w:rPr>
          <w:sz w:val="24"/>
        </w:rPr>
      </w:pPr>
    </w:p>
    <w:p w:rsidR="0098164F" w:rsidRPr="002A12BC" w:rsidP="002A12BC" w14:paraId="289E1934" w14:textId="77777777">
      <w:pPr>
        <w:numPr>
          <w:ilvl w:val="0"/>
          <w:numId w:val="2"/>
        </w:numPr>
        <w:rPr>
          <w:b/>
          <w:sz w:val="24"/>
        </w:rPr>
      </w:pPr>
      <w:r>
        <w:rPr>
          <w:b/>
          <w:sz w:val="24"/>
          <w:u w:val="single"/>
        </w:rPr>
        <w:t xml:space="preserve">Efforts to </w:t>
      </w:r>
      <w:r>
        <w:rPr>
          <w:b/>
          <w:sz w:val="24"/>
          <w:u w:val="single"/>
        </w:rPr>
        <w:t>Identify Duplication and Use of Similar Information</w:t>
      </w:r>
    </w:p>
    <w:p w:rsidR="00962527" w:rsidP="002339D8" w14:paraId="2F0E6285" w14:textId="19F35A8D">
      <w:pPr>
        <w:pStyle w:val="BodyText"/>
        <w:ind w:left="720"/>
        <w:rPr>
          <w:sz w:val="24"/>
        </w:rPr>
      </w:pPr>
      <w:r>
        <w:rPr>
          <w:sz w:val="24"/>
        </w:rPr>
        <w:t xml:space="preserve">There are no current federal efforts that duplicate this data collection. The 2022 </w:t>
      </w:r>
      <w:r>
        <w:rPr>
          <w:sz w:val="24"/>
        </w:rPr>
        <w:t xml:space="preserve">ONC/UCSF survey forms the foundation for this project, </w:t>
      </w:r>
      <w:r w:rsidR="0032014D">
        <w:rPr>
          <w:sz w:val="24"/>
        </w:rPr>
        <w:t>and</w:t>
      </w:r>
      <w:r>
        <w:rPr>
          <w:sz w:val="24"/>
        </w:rPr>
        <w:t xml:space="preserve"> the current effort updates and expands upon it</w:t>
      </w:r>
      <w:r w:rsidRPr="7AEC0269" w:rsidR="4DFDC136">
        <w:rPr>
          <w:sz w:val="24"/>
        </w:rPr>
        <w:t>,</w:t>
      </w:r>
      <w:r>
        <w:rPr>
          <w:sz w:val="24"/>
        </w:rPr>
        <w:t xml:space="preserve"> with new content aligned to policy changes and </w:t>
      </w:r>
      <w:r w:rsidR="00D95C6D">
        <w:rPr>
          <w:sz w:val="24"/>
        </w:rPr>
        <w:t xml:space="preserve">emerging </w:t>
      </w:r>
      <w:r>
        <w:rPr>
          <w:sz w:val="24"/>
        </w:rPr>
        <w:t>stakeholder needs.</w:t>
      </w:r>
    </w:p>
    <w:p w:rsidR="00926A26" w:rsidRPr="00E93781" w:rsidP="00184AF7" w14:paraId="5439B229" w14:textId="27E58D25">
      <w:pPr>
        <w:pStyle w:val="BodyText"/>
        <w:spacing w:after="0"/>
        <w:ind w:left="720"/>
        <w:rPr>
          <w:sz w:val="24"/>
        </w:rPr>
      </w:pPr>
      <w:r>
        <w:rPr>
          <w:sz w:val="24"/>
        </w:rPr>
        <w:t>ASTP/ONC</w:t>
      </w:r>
      <w:r w:rsidRPr="00226E6C" w:rsidR="00226E6C">
        <w:rPr>
          <w:sz w:val="24"/>
        </w:rPr>
        <w:t xml:space="preserve"> considers it critical to </w:t>
      </w:r>
      <w:r w:rsidR="00E01E92">
        <w:rPr>
          <w:sz w:val="24"/>
        </w:rPr>
        <w:t>support this survey of digital health companies</w:t>
      </w:r>
      <w:r w:rsidRPr="00226E6C" w:rsidR="00226E6C">
        <w:rPr>
          <w:sz w:val="24"/>
        </w:rPr>
        <w:t xml:space="preserve"> </w:t>
      </w:r>
      <w:r w:rsidR="00D769D2">
        <w:rPr>
          <w:sz w:val="24"/>
        </w:rPr>
        <w:t xml:space="preserve">to assess how their use of </w:t>
      </w:r>
      <w:r w:rsidRPr="7AEC0269" w:rsidR="00D769D2">
        <w:rPr>
          <w:sz w:val="24"/>
        </w:rPr>
        <w:t>API</w:t>
      </w:r>
      <w:r w:rsidRPr="7AEC0269" w:rsidR="5FD61F24">
        <w:rPr>
          <w:sz w:val="24"/>
        </w:rPr>
        <w:t>s</w:t>
      </w:r>
      <w:r w:rsidR="00D769D2">
        <w:rPr>
          <w:sz w:val="24"/>
        </w:rPr>
        <w:t xml:space="preserve"> and integration experiences have evolved </w:t>
      </w:r>
      <w:r w:rsidR="0032014D">
        <w:rPr>
          <w:sz w:val="24"/>
        </w:rPr>
        <w:t>considering</w:t>
      </w:r>
      <w:r w:rsidR="00D769D2">
        <w:rPr>
          <w:sz w:val="24"/>
        </w:rPr>
        <w:t xml:space="preserve"> federal policies</w:t>
      </w:r>
      <w:r w:rsidRPr="00226E6C" w:rsidR="00226E6C">
        <w:rPr>
          <w:sz w:val="24"/>
        </w:rPr>
        <w:t>.</w:t>
      </w:r>
      <w:r w:rsidR="00767795">
        <w:rPr>
          <w:sz w:val="24"/>
        </w:rPr>
        <w:t xml:space="preserve"> This information is essential to informing policy strategies that </w:t>
      </w:r>
      <w:r w:rsidRPr="7AEC0269" w:rsidR="07F87753">
        <w:rPr>
          <w:sz w:val="24"/>
        </w:rPr>
        <w:t xml:space="preserve">facilitate companies’ adoption of APIs that </w:t>
      </w:r>
      <w:r w:rsidR="00767795">
        <w:rPr>
          <w:sz w:val="24"/>
        </w:rPr>
        <w:t>promote secure and efficient access to electronic health information (EHI)</w:t>
      </w:r>
      <w:r w:rsidRPr="2A3B016D" w:rsidR="7546B0FE">
        <w:rPr>
          <w:sz w:val="24"/>
        </w:rPr>
        <w:t>.</w:t>
      </w:r>
      <w:r w:rsidRPr="00226E6C" w:rsidR="00226E6C">
        <w:rPr>
          <w:sz w:val="24"/>
        </w:rPr>
        <w:t xml:space="preserve">  </w:t>
      </w:r>
      <w:r w:rsidR="00E424E6">
        <w:br/>
      </w:r>
    </w:p>
    <w:p w:rsidR="0098164F" w:rsidRPr="002A12BC" w:rsidP="002A12BC" w14:paraId="4474B9AB" w14:textId="77777777">
      <w:pPr>
        <w:numPr>
          <w:ilvl w:val="0"/>
          <w:numId w:val="2"/>
        </w:numPr>
        <w:rPr>
          <w:color w:val="000000"/>
          <w:sz w:val="24"/>
        </w:rPr>
      </w:pPr>
      <w:r>
        <w:rPr>
          <w:b/>
          <w:sz w:val="24"/>
          <w:u w:val="single"/>
        </w:rPr>
        <w:t>Impact on Small Businesses or Other Small Entities</w:t>
      </w:r>
    </w:p>
    <w:p w:rsidR="00E93781" w:rsidP="4077781B" w14:paraId="206D4FC6" w14:textId="2DCC71D0">
      <w:pPr>
        <w:ind w:left="720"/>
        <w:rPr>
          <w:color w:val="000000"/>
          <w:sz w:val="24"/>
        </w:rPr>
      </w:pPr>
      <w:r w:rsidRPr="4077781B">
        <w:rPr>
          <w:color w:val="000000" w:themeColor="text1"/>
          <w:sz w:val="24"/>
        </w:rPr>
        <w:t>Digital health companies</w:t>
      </w:r>
      <w:r w:rsidRPr="4077781B" w:rsidR="003D702B">
        <w:rPr>
          <w:color w:val="000000" w:themeColor="text1"/>
          <w:sz w:val="24"/>
        </w:rPr>
        <w:t xml:space="preserve"> vary in size; </w:t>
      </w:r>
      <w:r w:rsidRPr="4077781B" w:rsidR="00C93C03">
        <w:rPr>
          <w:color w:val="000000" w:themeColor="text1"/>
          <w:sz w:val="24"/>
        </w:rPr>
        <w:t>some</w:t>
      </w:r>
      <w:r w:rsidRPr="4077781B" w:rsidR="003D702B">
        <w:rPr>
          <w:color w:val="000000" w:themeColor="text1"/>
          <w:sz w:val="24"/>
        </w:rPr>
        <w:t xml:space="preserve"> may be considered small businesses. </w:t>
      </w:r>
      <w:r w:rsidRPr="4077781B" w:rsidR="00C93C03">
        <w:rPr>
          <w:color w:val="000000" w:themeColor="text1"/>
          <w:sz w:val="24"/>
        </w:rPr>
        <w:t>The survey is voluntary and short</w:t>
      </w:r>
      <w:r w:rsidRPr="4077781B" w:rsidR="00702091">
        <w:rPr>
          <w:color w:val="000000" w:themeColor="text1"/>
          <w:sz w:val="24"/>
        </w:rPr>
        <w:t xml:space="preserve"> (estimated </w:t>
      </w:r>
      <w:r w:rsidRPr="4077781B" w:rsidR="76BE20DC">
        <w:rPr>
          <w:color w:val="000000" w:themeColor="text1"/>
          <w:sz w:val="24"/>
        </w:rPr>
        <w:t>30</w:t>
      </w:r>
      <w:r w:rsidR="0032014D">
        <w:rPr>
          <w:color w:val="000000" w:themeColor="text1"/>
          <w:sz w:val="24"/>
        </w:rPr>
        <w:t xml:space="preserve"> </w:t>
      </w:r>
      <w:r w:rsidRPr="4077781B" w:rsidR="00216E84">
        <w:rPr>
          <w:color w:val="000000" w:themeColor="text1"/>
          <w:sz w:val="24"/>
        </w:rPr>
        <w:t>minutes) and is designed to minimize burden. T</w:t>
      </w:r>
      <w:r w:rsidRPr="4077781B" w:rsidR="003D702B">
        <w:rPr>
          <w:color w:val="000000" w:themeColor="text1"/>
          <w:sz w:val="24"/>
        </w:rPr>
        <w:t xml:space="preserve">he information </w:t>
      </w:r>
      <w:r w:rsidRPr="4077781B" w:rsidR="00063BAF">
        <w:rPr>
          <w:color w:val="000000" w:themeColor="text1"/>
          <w:sz w:val="24"/>
        </w:rPr>
        <w:t xml:space="preserve">being requested or required </w:t>
      </w:r>
      <w:r w:rsidR="0032014D">
        <w:rPr>
          <w:color w:val="000000" w:themeColor="text1"/>
          <w:sz w:val="24"/>
        </w:rPr>
        <w:t>is</w:t>
      </w:r>
      <w:r w:rsidRPr="4077781B" w:rsidR="00063BAF">
        <w:rPr>
          <w:color w:val="000000" w:themeColor="text1"/>
          <w:sz w:val="24"/>
        </w:rPr>
        <w:t xml:space="preserve"> </w:t>
      </w:r>
      <w:r w:rsidRPr="4077781B" w:rsidR="36EFE0A6">
        <w:rPr>
          <w:color w:val="000000" w:themeColor="text1"/>
          <w:sz w:val="24"/>
        </w:rPr>
        <w:t>limited</w:t>
      </w:r>
      <w:r w:rsidRPr="4077781B" w:rsidR="00063BAF">
        <w:rPr>
          <w:color w:val="000000" w:themeColor="text1"/>
          <w:sz w:val="24"/>
        </w:rPr>
        <w:t xml:space="preserve"> to the absolute minimum </w:t>
      </w:r>
      <w:r w:rsidRPr="4077781B" w:rsidR="4C0839EA">
        <w:rPr>
          <w:color w:val="000000" w:themeColor="text1"/>
          <w:sz w:val="24"/>
        </w:rPr>
        <w:t xml:space="preserve">necessary </w:t>
      </w:r>
      <w:r w:rsidRPr="4077781B" w:rsidR="00063BAF">
        <w:rPr>
          <w:color w:val="000000" w:themeColor="text1"/>
          <w:sz w:val="24"/>
        </w:rPr>
        <w:t>for the intended use of the data.</w:t>
      </w:r>
      <w:r w:rsidRPr="4077781B" w:rsidR="003D702B">
        <w:rPr>
          <w:color w:val="000000" w:themeColor="text1"/>
          <w:sz w:val="24"/>
        </w:rPr>
        <w:t xml:space="preserve"> </w:t>
      </w:r>
      <w:r w:rsidRPr="4077781B" w:rsidR="00216E84">
        <w:rPr>
          <w:color w:val="000000" w:themeColor="text1"/>
          <w:sz w:val="24"/>
        </w:rPr>
        <w:t>Participation will help ensure these companies’ perspectives are represented in federal policymaking.</w:t>
      </w:r>
    </w:p>
    <w:p w:rsidR="00D72C5B" w14:paraId="1C9A351A" w14:textId="77777777">
      <w:pPr>
        <w:ind w:left="360"/>
        <w:rPr>
          <w:sz w:val="24"/>
        </w:rPr>
      </w:pPr>
    </w:p>
    <w:p w:rsidR="0032014D" w:rsidRPr="0032014D" w:rsidP="002A12BC" w14:paraId="5B1A2263" w14:textId="77777777">
      <w:pPr>
        <w:numPr>
          <w:ilvl w:val="0"/>
          <w:numId w:val="2"/>
        </w:numPr>
        <w:rPr>
          <w:b/>
          <w:sz w:val="24"/>
        </w:rPr>
      </w:pPr>
      <w:r>
        <w:rPr>
          <w:b/>
          <w:sz w:val="24"/>
          <w:u w:val="single"/>
        </w:rPr>
        <w:t xml:space="preserve">Consequences of </w:t>
      </w:r>
      <w:r w:rsidR="00DA328E">
        <w:rPr>
          <w:b/>
          <w:sz w:val="24"/>
          <w:u w:val="single"/>
        </w:rPr>
        <w:t>N</w:t>
      </w:r>
      <w:r w:rsidR="00CC080C">
        <w:rPr>
          <w:b/>
          <w:sz w:val="24"/>
          <w:u w:val="single"/>
        </w:rPr>
        <w:t xml:space="preserve">ot </w:t>
      </w:r>
      <w:r>
        <w:rPr>
          <w:b/>
          <w:sz w:val="24"/>
          <w:u w:val="single"/>
        </w:rPr>
        <w:t>Collecting the Information</w:t>
      </w:r>
    </w:p>
    <w:p w:rsidR="00926A26" w:rsidRPr="00380439" w:rsidP="0032014D" w14:paraId="356AB173" w14:textId="375FFB04">
      <w:pPr>
        <w:ind w:left="720"/>
        <w:rPr>
          <w:b/>
          <w:bCs/>
          <w:sz w:val="24"/>
        </w:rPr>
      </w:pPr>
      <w:r w:rsidRPr="0032014D">
        <w:rPr>
          <w:bCs/>
          <w:sz w:val="24"/>
        </w:rPr>
        <w:t xml:space="preserve">Failure </w:t>
      </w:r>
      <w:r w:rsidRPr="4077781B" w:rsidR="005D7206">
        <w:rPr>
          <w:sz w:val="24"/>
        </w:rPr>
        <w:t>to collect this data w</w:t>
      </w:r>
      <w:r>
        <w:rPr>
          <w:sz w:val="24"/>
        </w:rPr>
        <w:t>ill</w:t>
      </w:r>
      <w:r w:rsidRPr="4077781B" w:rsidR="005D7206">
        <w:rPr>
          <w:sz w:val="24"/>
        </w:rPr>
        <w:t xml:space="preserve"> hinder ASTP/ONC’s ability to evaluate progress toward implementing key Cures Act policies. The agency w</w:t>
      </w:r>
      <w:r w:rsidR="00296921">
        <w:rPr>
          <w:sz w:val="24"/>
        </w:rPr>
        <w:t>ill</w:t>
      </w:r>
      <w:r w:rsidRPr="4077781B" w:rsidR="005D7206">
        <w:rPr>
          <w:sz w:val="24"/>
        </w:rPr>
        <w:t xml:space="preserve"> lack timely information on the digital health ecosystem’s challenges and needs, limiting its ability to address persistent interoperability gaps, foster competition, </w:t>
      </w:r>
      <w:r w:rsidRPr="4077781B" w:rsidR="7FFB7013">
        <w:rPr>
          <w:sz w:val="24"/>
        </w:rPr>
        <w:t>and</w:t>
      </w:r>
      <w:r w:rsidRPr="4077781B" w:rsidR="005D7206">
        <w:rPr>
          <w:sz w:val="24"/>
        </w:rPr>
        <w:t xml:space="preserve"> ensure technology is accessible “without special effort.”</w:t>
      </w:r>
      <w:r w:rsidRPr="4077781B" w:rsidR="00AC3F4D">
        <w:rPr>
          <w:sz w:val="24"/>
        </w:rPr>
        <w:t xml:space="preserve"> </w:t>
      </w:r>
      <w:r w:rsidRPr="4077781B" w:rsidR="00F70C04">
        <w:rPr>
          <w:sz w:val="24"/>
        </w:rPr>
        <w:t xml:space="preserve">Broader </w:t>
      </w:r>
      <w:r w:rsidRPr="4077781B" w:rsidR="00AC3F4D">
        <w:rPr>
          <w:sz w:val="24"/>
        </w:rPr>
        <w:t>federal</w:t>
      </w:r>
      <w:r w:rsidRPr="4077781B" w:rsidR="00F70C04">
        <w:rPr>
          <w:sz w:val="24"/>
        </w:rPr>
        <w:t xml:space="preserve"> efforts, particularly </w:t>
      </w:r>
      <w:r w:rsidRPr="4077781B" w:rsidR="0B955427">
        <w:rPr>
          <w:sz w:val="24"/>
        </w:rPr>
        <w:t>relating to</w:t>
      </w:r>
      <w:r w:rsidRPr="4077781B" w:rsidR="00F70C04">
        <w:rPr>
          <w:sz w:val="24"/>
        </w:rPr>
        <w:t xml:space="preserve"> TEFCA</w:t>
      </w:r>
      <w:r w:rsidRPr="4077781B" w:rsidR="00A34362">
        <w:rPr>
          <w:sz w:val="24"/>
        </w:rPr>
        <w:t xml:space="preserve">, </w:t>
      </w:r>
      <w:r w:rsidRPr="4077781B" w:rsidR="00973C6A">
        <w:rPr>
          <w:sz w:val="24"/>
        </w:rPr>
        <w:t>information blocking</w:t>
      </w:r>
      <w:r w:rsidRPr="4077781B" w:rsidR="00A34362">
        <w:rPr>
          <w:sz w:val="24"/>
        </w:rPr>
        <w:t xml:space="preserve">, and </w:t>
      </w:r>
      <w:r>
        <w:rPr>
          <w:sz w:val="24"/>
        </w:rPr>
        <w:t>artificial intelligence (</w:t>
      </w:r>
      <w:r w:rsidRPr="4077781B" w:rsidR="00A34362">
        <w:rPr>
          <w:sz w:val="24"/>
        </w:rPr>
        <w:t>AI</w:t>
      </w:r>
      <w:r>
        <w:rPr>
          <w:sz w:val="24"/>
        </w:rPr>
        <w:t>)</w:t>
      </w:r>
      <w:r w:rsidRPr="4077781B" w:rsidR="00F70C04">
        <w:rPr>
          <w:sz w:val="24"/>
        </w:rPr>
        <w:t>, also require timely data on t</w:t>
      </w:r>
      <w:r w:rsidRPr="4077781B">
        <w:rPr>
          <w:sz w:val="24"/>
        </w:rPr>
        <w:t xml:space="preserve">he current state of </w:t>
      </w:r>
      <w:r w:rsidRPr="4077781B" w:rsidR="00174803">
        <w:rPr>
          <w:sz w:val="24"/>
        </w:rPr>
        <w:t>digital health companies</w:t>
      </w:r>
      <w:r w:rsidRPr="4077781B">
        <w:rPr>
          <w:sz w:val="24"/>
        </w:rPr>
        <w:t xml:space="preserve">. </w:t>
      </w:r>
    </w:p>
    <w:p w:rsidR="00926A26" w:rsidP="00F95304" w14:paraId="3062DBEB" w14:textId="77777777">
      <w:pPr>
        <w:rPr>
          <w:b/>
          <w:sz w:val="24"/>
        </w:rPr>
      </w:pPr>
    </w:p>
    <w:p w:rsidR="00253615" w:rsidRPr="000C289F" w:rsidP="000C289F" w14:paraId="5B9B8755" w14:textId="77777777">
      <w:pPr>
        <w:numPr>
          <w:ilvl w:val="0"/>
          <w:numId w:val="2"/>
        </w:numPr>
        <w:rPr>
          <w:b/>
          <w:sz w:val="24"/>
        </w:rPr>
      </w:pPr>
      <w:r>
        <w:rPr>
          <w:b/>
          <w:sz w:val="24"/>
          <w:u w:val="single"/>
        </w:rPr>
        <w:t>Special Circumstances Relating to the Guidelines of 5 CFR 1320.5</w:t>
      </w:r>
    </w:p>
    <w:p w:rsidR="00253615" w:rsidRPr="00F95304" w:rsidP="00F95304" w14:paraId="3B45E193" w14:textId="4098848D">
      <w:pPr>
        <w:pStyle w:val="BodyText"/>
        <w:ind w:left="720"/>
        <w:rPr>
          <w:sz w:val="24"/>
        </w:rPr>
      </w:pPr>
      <w:r w:rsidRPr="00253615">
        <w:rPr>
          <w:sz w:val="24"/>
        </w:rPr>
        <w:t>This data collection request is fully consistent with t</w:t>
      </w:r>
      <w:r w:rsidR="00063BAF">
        <w:rPr>
          <w:sz w:val="24"/>
        </w:rPr>
        <w:t>he guidelines</w:t>
      </w:r>
      <w:r w:rsidRPr="00253615">
        <w:rPr>
          <w:sz w:val="24"/>
        </w:rPr>
        <w:t>. There are no special circumstances required for the collection of information in this data collection.</w:t>
      </w:r>
    </w:p>
    <w:p w:rsidR="0098164F" w14:paraId="02EB896A" w14:textId="77777777">
      <w:pPr>
        <w:ind w:left="360"/>
        <w:rPr>
          <w:sz w:val="24"/>
        </w:rPr>
      </w:pPr>
    </w:p>
    <w:p w:rsidR="0098164F" w14:paraId="21036626" w14:textId="77777777">
      <w:pPr>
        <w:numPr>
          <w:ilvl w:val="0"/>
          <w:numId w:val="2"/>
        </w:numPr>
        <w:rPr>
          <w:b/>
          <w:sz w:val="24"/>
        </w:rPr>
      </w:pPr>
      <w:r>
        <w:rPr>
          <w:b/>
          <w:iCs/>
          <w:sz w:val="24"/>
          <w:u w:val="single"/>
        </w:rPr>
        <w:t>Comments in Response to the Federal Register</w:t>
      </w:r>
      <w:r>
        <w:rPr>
          <w:b/>
          <w:sz w:val="24"/>
          <w:u w:val="single"/>
        </w:rPr>
        <w:t xml:space="preserve"> Notice/Outside Consultation</w:t>
      </w:r>
    </w:p>
    <w:p w:rsidR="00536B9C" w:rsidP="4077781B" w14:paraId="5AE32105" w14:textId="35A1B019">
      <w:pPr>
        <w:widowControl/>
        <w:autoSpaceDE/>
        <w:autoSpaceDN/>
        <w:adjustRightInd/>
        <w:spacing w:after="240"/>
        <w:ind w:left="720"/>
        <w:rPr>
          <w:color w:val="000000"/>
          <w:sz w:val="24"/>
        </w:rPr>
      </w:pPr>
      <w:r w:rsidRPr="4077781B">
        <w:rPr>
          <w:color w:val="000000" w:themeColor="text1"/>
          <w:sz w:val="24"/>
        </w:rPr>
        <w:t xml:space="preserve">The </w:t>
      </w:r>
      <w:r w:rsidRPr="4077781B" w:rsidR="00F61CF5">
        <w:rPr>
          <w:color w:val="000000" w:themeColor="text1"/>
          <w:sz w:val="24"/>
        </w:rPr>
        <w:t xml:space="preserve">60-day FRN </w:t>
      </w:r>
      <w:r w:rsidRPr="4077781B">
        <w:rPr>
          <w:color w:val="000000" w:themeColor="text1"/>
          <w:sz w:val="24"/>
        </w:rPr>
        <w:t xml:space="preserve">soliciting public comment on this survey data collection was published in the Federal Register on </w:t>
      </w:r>
      <w:r w:rsidRPr="4077781B" w:rsidR="0090559A">
        <w:rPr>
          <w:color w:val="000000" w:themeColor="text1"/>
          <w:sz w:val="24"/>
        </w:rPr>
        <w:t>May 2</w:t>
      </w:r>
      <w:r w:rsidR="0032014D">
        <w:rPr>
          <w:color w:val="000000" w:themeColor="text1"/>
          <w:sz w:val="24"/>
        </w:rPr>
        <w:t>1</w:t>
      </w:r>
      <w:r w:rsidRPr="4077781B" w:rsidR="0090559A">
        <w:rPr>
          <w:color w:val="000000" w:themeColor="text1"/>
          <w:sz w:val="24"/>
        </w:rPr>
        <w:t xml:space="preserve">, </w:t>
      </w:r>
      <w:r w:rsidRPr="4077781B" w:rsidR="0090559A">
        <w:rPr>
          <w:color w:val="000000" w:themeColor="text1"/>
          <w:sz w:val="24"/>
        </w:rPr>
        <w:t>2025</w:t>
      </w:r>
      <w:r w:rsidRPr="4077781B">
        <w:rPr>
          <w:color w:val="000000" w:themeColor="text1"/>
          <w:sz w:val="24"/>
        </w:rPr>
        <w:t xml:space="preserve"> at </w:t>
      </w:r>
      <w:r w:rsidRPr="4077781B" w:rsidR="008916B4">
        <w:rPr>
          <w:color w:val="000000" w:themeColor="text1"/>
          <w:sz w:val="24"/>
        </w:rPr>
        <w:t>90 FR 21785</w:t>
      </w:r>
      <w:r w:rsidRPr="4077781B">
        <w:rPr>
          <w:color w:val="000000" w:themeColor="text1"/>
          <w:sz w:val="24"/>
        </w:rPr>
        <w:t xml:space="preserve">. </w:t>
      </w:r>
      <w:r w:rsidRPr="4077781B" w:rsidR="0821260E">
        <w:rPr>
          <w:color w:val="000000" w:themeColor="text1"/>
          <w:sz w:val="24"/>
        </w:rPr>
        <w:t>N</w:t>
      </w:r>
      <w:r w:rsidRPr="4077781B">
        <w:rPr>
          <w:color w:val="000000" w:themeColor="text1"/>
          <w:sz w:val="24"/>
        </w:rPr>
        <w:t xml:space="preserve">o comments </w:t>
      </w:r>
      <w:r w:rsidRPr="4077781B" w:rsidR="483D4820">
        <w:rPr>
          <w:color w:val="000000" w:themeColor="text1"/>
          <w:sz w:val="24"/>
        </w:rPr>
        <w:t xml:space="preserve">were </w:t>
      </w:r>
      <w:r w:rsidRPr="4077781B">
        <w:rPr>
          <w:color w:val="000000" w:themeColor="text1"/>
          <w:sz w:val="24"/>
        </w:rPr>
        <w:t>received from the public.</w:t>
      </w:r>
    </w:p>
    <w:p w:rsidR="00B97D36" w:rsidRPr="000C289F" w:rsidP="00B97D36" w14:paraId="4F995F9C" w14:textId="77777777">
      <w:pPr>
        <w:numPr>
          <w:ilvl w:val="0"/>
          <w:numId w:val="2"/>
        </w:numPr>
        <w:rPr>
          <w:b/>
          <w:sz w:val="24"/>
        </w:rPr>
      </w:pPr>
      <w:r>
        <w:rPr>
          <w:b/>
          <w:sz w:val="24"/>
          <w:u w:val="single"/>
        </w:rPr>
        <w:t>Explanation of any Payment/Gift to Respondents</w:t>
      </w:r>
    </w:p>
    <w:p w:rsidR="000118EE" w:rsidP="00E84159" w14:paraId="770FB09F" w14:textId="0F368871">
      <w:pPr>
        <w:pStyle w:val="BodyText"/>
        <w:ind w:left="720"/>
        <w:rPr>
          <w:sz w:val="24"/>
        </w:rPr>
      </w:pPr>
      <w:r>
        <w:rPr>
          <w:sz w:val="24"/>
        </w:rPr>
        <w:t xml:space="preserve">Incentives to </w:t>
      </w:r>
      <w:r w:rsidRPr="7AEC0269" w:rsidR="6D03C99C">
        <w:rPr>
          <w:sz w:val="24"/>
        </w:rPr>
        <w:t xml:space="preserve">encourage </w:t>
      </w:r>
      <w:r w:rsidRPr="7AEC0269">
        <w:rPr>
          <w:sz w:val="24"/>
        </w:rPr>
        <w:t>participat</w:t>
      </w:r>
      <w:r w:rsidRPr="7AEC0269" w:rsidR="26E21001">
        <w:rPr>
          <w:sz w:val="24"/>
        </w:rPr>
        <w:t>ion</w:t>
      </w:r>
      <w:r>
        <w:rPr>
          <w:sz w:val="24"/>
        </w:rPr>
        <w:t xml:space="preserve"> in the survey will include listing participating companies on public and peer-reviewed reports, providing copies of reports to respondents, and inviting </w:t>
      </w:r>
      <w:r w:rsidR="002857B8">
        <w:rPr>
          <w:sz w:val="24"/>
        </w:rPr>
        <w:t xml:space="preserve">respondents to partner on panels, presentations, and webinars that </w:t>
      </w:r>
      <w:r w:rsidR="00C612C1">
        <w:rPr>
          <w:sz w:val="24"/>
        </w:rPr>
        <w:t>will be held to report out on results and insights stemming from the survey findings. Respondents will not receive f</w:t>
      </w:r>
      <w:r w:rsidR="00FA5FE2">
        <w:rPr>
          <w:sz w:val="24"/>
        </w:rPr>
        <w:t xml:space="preserve">inancial compensation or honoraria for their time. </w:t>
      </w:r>
    </w:p>
    <w:p w:rsidR="0098164F" w14:paraId="737BCC33" w14:textId="77777777">
      <w:pPr>
        <w:numPr>
          <w:ilvl w:val="0"/>
          <w:numId w:val="2"/>
        </w:numPr>
        <w:rPr>
          <w:b/>
          <w:sz w:val="24"/>
        </w:rPr>
      </w:pPr>
      <w:r>
        <w:rPr>
          <w:b/>
          <w:sz w:val="24"/>
          <w:u w:val="single"/>
        </w:rPr>
        <w:t>Assurance of Confidentiality Provided to Respondents</w:t>
      </w:r>
    </w:p>
    <w:p w:rsidR="00926A26" w:rsidP="00926A26" w14:paraId="6F55C406" w14:textId="16ED8088">
      <w:pPr>
        <w:ind w:left="720"/>
        <w:rPr>
          <w:sz w:val="24"/>
        </w:rPr>
      </w:pPr>
      <w:r>
        <w:rPr>
          <w:sz w:val="24"/>
        </w:rPr>
        <w:t xml:space="preserve">No individually identifiable information will be published or shared. </w:t>
      </w:r>
      <w:r w:rsidRPr="00F35225">
        <w:rPr>
          <w:sz w:val="24"/>
        </w:rPr>
        <w:t xml:space="preserve">We will not attribute responses to any specific organization. These data will only be presented in aggregate and </w:t>
      </w:r>
      <w:r w:rsidR="00351D7D">
        <w:rPr>
          <w:sz w:val="24"/>
        </w:rPr>
        <w:t>may</w:t>
      </w:r>
      <w:r w:rsidRPr="00F35225" w:rsidR="00351D7D">
        <w:rPr>
          <w:sz w:val="24"/>
        </w:rPr>
        <w:t xml:space="preserve"> </w:t>
      </w:r>
      <w:r w:rsidRPr="00F35225">
        <w:rPr>
          <w:sz w:val="24"/>
        </w:rPr>
        <w:t>be published in a peer-reviewed journal and</w:t>
      </w:r>
      <w:r>
        <w:rPr>
          <w:sz w:val="24"/>
        </w:rPr>
        <w:t xml:space="preserve"> shared on the</w:t>
      </w:r>
      <w:r w:rsidRPr="00F35225">
        <w:rPr>
          <w:sz w:val="24"/>
        </w:rPr>
        <w:t xml:space="preserve"> </w:t>
      </w:r>
      <w:r w:rsidR="0027175C">
        <w:rPr>
          <w:sz w:val="24"/>
        </w:rPr>
        <w:t>ASTP/ONC</w:t>
      </w:r>
      <w:r>
        <w:rPr>
          <w:sz w:val="24"/>
        </w:rPr>
        <w:t xml:space="preserve"> website</w:t>
      </w:r>
      <w:r w:rsidRPr="00F35225">
        <w:rPr>
          <w:sz w:val="24"/>
        </w:rPr>
        <w:t>.</w:t>
      </w:r>
    </w:p>
    <w:p w:rsidR="00926A26" w:rsidP="00926A26" w14:paraId="484E11FD" w14:textId="77777777">
      <w:pPr>
        <w:ind w:left="720"/>
        <w:rPr>
          <w:sz w:val="24"/>
        </w:rPr>
      </w:pPr>
    </w:p>
    <w:p w:rsidR="000C289F" w:rsidP="4077781B" w14:paraId="761501D4" w14:textId="0DBCEFAB">
      <w:pPr>
        <w:ind w:left="720"/>
        <w:rPr>
          <w:sz w:val="24"/>
        </w:rPr>
      </w:pPr>
      <w:r w:rsidRPr="4077781B">
        <w:rPr>
          <w:sz w:val="24"/>
        </w:rPr>
        <w:t xml:space="preserve">The information for this study is being collected by the </w:t>
      </w:r>
      <w:r w:rsidRPr="4077781B" w:rsidR="006F6E6F">
        <w:rPr>
          <w:sz w:val="24"/>
        </w:rPr>
        <w:t>Division of Clinical Informatics &amp; Digital Transformation</w:t>
      </w:r>
      <w:r w:rsidRPr="4077781B" w:rsidR="009904A7">
        <w:rPr>
          <w:sz w:val="24"/>
        </w:rPr>
        <w:t>, Department of Medicine, University of California, San Francisco (UCSF)</w:t>
      </w:r>
      <w:r w:rsidRPr="4077781B">
        <w:rPr>
          <w:sz w:val="24"/>
        </w:rPr>
        <w:t xml:space="preserve">, on behalf of </w:t>
      </w:r>
      <w:r w:rsidRPr="4077781B" w:rsidR="0027175C">
        <w:rPr>
          <w:sz w:val="24"/>
        </w:rPr>
        <w:t>ASTP/ONC</w:t>
      </w:r>
      <w:r w:rsidRPr="4077781B" w:rsidR="1646C5B2">
        <w:rPr>
          <w:sz w:val="24"/>
        </w:rPr>
        <w:t>,</w:t>
      </w:r>
      <w:r w:rsidRPr="4077781B" w:rsidR="00E474C1">
        <w:rPr>
          <w:sz w:val="24"/>
        </w:rPr>
        <w:t xml:space="preserve"> and in partnership with </w:t>
      </w:r>
      <w:r w:rsidRPr="4077781B" w:rsidR="008D00C7">
        <w:rPr>
          <w:sz w:val="24"/>
        </w:rPr>
        <w:t>ScaleHealth</w:t>
      </w:r>
      <w:r w:rsidRPr="4077781B" w:rsidR="008D00C7">
        <w:rPr>
          <w:sz w:val="24"/>
        </w:rPr>
        <w:t xml:space="preserve"> </w:t>
      </w:r>
      <w:r w:rsidRPr="4077781B" w:rsidR="00FD120B">
        <w:rPr>
          <w:sz w:val="24"/>
        </w:rPr>
        <w:t xml:space="preserve">and </w:t>
      </w:r>
      <w:r w:rsidRPr="4077781B" w:rsidR="00FD120B">
        <w:rPr>
          <w:sz w:val="24"/>
        </w:rPr>
        <w:t>Clinovations</w:t>
      </w:r>
      <w:r w:rsidRPr="4077781B">
        <w:rPr>
          <w:sz w:val="24"/>
        </w:rPr>
        <w:t xml:space="preserve">. </w:t>
      </w:r>
      <w:r w:rsidRPr="4077781B" w:rsidR="00752D79">
        <w:rPr>
          <w:sz w:val="24"/>
        </w:rPr>
        <w:t xml:space="preserve">Based on </w:t>
      </w:r>
      <w:r w:rsidRPr="4077781B" w:rsidR="00615302">
        <w:rPr>
          <w:sz w:val="24"/>
        </w:rPr>
        <w:t xml:space="preserve">the </w:t>
      </w:r>
      <w:r w:rsidRPr="4077781B">
        <w:rPr>
          <w:sz w:val="24"/>
        </w:rPr>
        <w:t>UCSF</w:t>
      </w:r>
      <w:r w:rsidRPr="4077781B" w:rsidR="00752D79">
        <w:rPr>
          <w:sz w:val="24"/>
        </w:rPr>
        <w:t xml:space="preserve">’s Human Research Protection Program Institutional Review Board (IRB) review, an exempt certification </w:t>
      </w:r>
      <w:r w:rsidRPr="4077781B">
        <w:rPr>
          <w:sz w:val="24"/>
        </w:rPr>
        <w:t xml:space="preserve">was granted </w:t>
      </w:r>
      <w:r w:rsidRPr="4077781B" w:rsidR="00752D79">
        <w:rPr>
          <w:sz w:val="24"/>
        </w:rPr>
        <w:t>for this study</w:t>
      </w:r>
      <w:r w:rsidRPr="4077781B" w:rsidR="00F53BBC">
        <w:rPr>
          <w:sz w:val="24"/>
        </w:rPr>
        <w:t xml:space="preserve"> (#</w:t>
      </w:r>
      <w:r w:rsidRPr="4077781B" w:rsidR="00B03610">
        <w:rPr>
          <w:sz w:val="24"/>
        </w:rPr>
        <w:t>21-35074</w:t>
      </w:r>
      <w:r w:rsidRPr="4077781B" w:rsidR="00F53BBC">
        <w:rPr>
          <w:sz w:val="24"/>
        </w:rPr>
        <w:t>)</w:t>
      </w:r>
      <w:r w:rsidRPr="4077781B" w:rsidR="00752D79">
        <w:rPr>
          <w:sz w:val="24"/>
        </w:rPr>
        <w:t xml:space="preserve">. </w:t>
      </w:r>
    </w:p>
    <w:p w:rsidR="00F35225" w:rsidP="00351D7D" w14:paraId="17F9A2D9" w14:textId="77777777">
      <w:pPr>
        <w:rPr>
          <w:sz w:val="24"/>
        </w:rPr>
      </w:pPr>
    </w:p>
    <w:p w:rsidR="0098164F" w:rsidRPr="00B97D36" w14:paraId="5EE91D52" w14:textId="77777777">
      <w:pPr>
        <w:numPr>
          <w:ilvl w:val="0"/>
          <w:numId w:val="2"/>
        </w:numPr>
        <w:rPr>
          <w:b/>
          <w:sz w:val="24"/>
        </w:rPr>
      </w:pPr>
      <w:r>
        <w:rPr>
          <w:b/>
          <w:sz w:val="24"/>
          <w:u w:val="single"/>
        </w:rPr>
        <w:t>Justification for Sensitive Questions</w:t>
      </w:r>
    </w:p>
    <w:p w:rsidR="00B97D36" w:rsidRPr="00B97D36" w:rsidP="002A12BC" w14:paraId="3016BF5D" w14:textId="6D76D4D0">
      <w:pPr>
        <w:pStyle w:val="BodyText"/>
        <w:ind w:left="720"/>
        <w:rPr>
          <w:sz w:val="24"/>
        </w:rPr>
      </w:pPr>
      <w:r w:rsidRPr="00B97D36">
        <w:rPr>
          <w:sz w:val="24"/>
        </w:rPr>
        <w:t xml:space="preserve">No questions of a sensitive nature are asked in this data collection. </w:t>
      </w:r>
    </w:p>
    <w:p w:rsidR="0098164F" w:rsidP="00063BAF" w14:paraId="73B80DD3" w14:textId="4DDAC5E4">
      <w:pPr>
        <w:rPr>
          <w:sz w:val="24"/>
        </w:rPr>
      </w:pPr>
    </w:p>
    <w:p w:rsidR="0098164F" w:rsidRPr="00B94C24" w14:paraId="76F75CF2" w14:textId="77777777">
      <w:pPr>
        <w:numPr>
          <w:ilvl w:val="0"/>
          <w:numId w:val="2"/>
        </w:numPr>
        <w:rPr>
          <w:sz w:val="24"/>
        </w:rPr>
      </w:pPr>
      <w:r>
        <w:rPr>
          <w:b/>
          <w:sz w:val="24"/>
          <w:u w:val="single"/>
        </w:rPr>
        <w:t xml:space="preserve">Estimates of Annualized Hour and Cost Burden  </w:t>
      </w:r>
    </w:p>
    <w:p w:rsidR="00DB0F4A" w:rsidP="4077781B" w14:paraId="6448E7CC" w14:textId="66B7AAE4">
      <w:pPr>
        <w:ind w:left="720"/>
        <w:rPr>
          <w:sz w:val="24"/>
        </w:rPr>
      </w:pPr>
      <w:r w:rsidRPr="4077781B">
        <w:rPr>
          <w:sz w:val="24"/>
        </w:rPr>
        <w:t xml:space="preserve">We will target sending the survey to </w:t>
      </w:r>
      <w:r w:rsidRPr="4077781B" w:rsidR="00137227">
        <w:rPr>
          <w:sz w:val="24"/>
        </w:rPr>
        <w:t xml:space="preserve">approximately </w:t>
      </w:r>
      <w:r w:rsidRPr="4077781B" w:rsidR="005A13F9">
        <w:rPr>
          <w:sz w:val="24"/>
        </w:rPr>
        <w:t>282</w:t>
      </w:r>
      <w:r w:rsidRPr="4077781B" w:rsidR="00137227">
        <w:rPr>
          <w:sz w:val="24"/>
        </w:rPr>
        <w:t xml:space="preserve"> </w:t>
      </w:r>
      <w:r w:rsidRPr="4077781B">
        <w:rPr>
          <w:sz w:val="24"/>
        </w:rPr>
        <w:t xml:space="preserve">key senior respondents from </w:t>
      </w:r>
      <w:r w:rsidRPr="4077781B" w:rsidR="005A13F9">
        <w:rPr>
          <w:sz w:val="24"/>
        </w:rPr>
        <w:t>digital health companies</w:t>
      </w:r>
      <w:r w:rsidRPr="4077781B" w:rsidR="26925F46">
        <w:rPr>
          <w:sz w:val="24"/>
        </w:rPr>
        <w:t>,</w:t>
      </w:r>
      <w:r w:rsidRPr="4077781B">
        <w:rPr>
          <w:sz w:val="24"/>
        </w:rPr>
        <w:t xml:space="preserve"> such as </w:t>
      </w:r>
      <w:r w:rsidRPr="4077781B" w:rsidR="007C3588">
        <w:rPr>
          <w:sz w:val="24"/>
        </w:rPr>
        <w:t>computer and information systems managers</w:t>
      </w:r>
      <w:r w:rsidRPr="4077781B" w:rsidR="005F5B8A">
        <w:rPr>
          <w:sz w:val="24"/>
        </w:rPr>
        <w:t>,</w:t>
      </w:r>
      <w:r w:rsidRPr="4077781B">
        <w:rPr>
          <w:sz w:val="24"/>
        </w:rPr>
        <w:t xml:space="preserve"> who will be knowledge</w:t>
      </w:r>
      <w:r w:rsidRPr="4077781B" w:rsidR="00A24747">
        <w:rPr>
          <w:sz w:val="24"/>
        </w:rPr>
        <w:t xml:space="preserve">able </w:t>
      </w:r>
      <w:r w:rsidRPr="4077781B">
        <w:rPr>
          <w:sz w:val="24"/>
        </w:rPr>
        <w:t>about the topic areas covered.</w:t>
      </w:r>
      <w:r w:rsidRPr="4077781B" w:rsidR="00137227">
        <w:rPr>
          <w:sz w:val="24"/>
        </w:rPr>
        <w:t xml:space="preserve"> We assume a </w:t>
      </w:r>
      <w:r w:rsidRPr="4077781B" w:rsidR="00B03610">
        <w:rPr>
          <w:sz w:val="24"/>
        </w:rPr>
        <w:t>50</w:t>
      </w:r>
      <w:r w:rsidR="00296921">
        <w:rPr>
          <w:sz w:val="24"/>
        </w:rPr>
        <w:t xml:space="preserve"> percent</w:t>
      </w:r>
      <w:r w:rsidRPr="4077781B" w:rsidR="00137227">
        <w:rPr>
          <w:sz w:val="24"/>
        </w:rPr>
        <w:t xml:space="preserve"> response rate</w:t>
      </w:r>
      <w:r w:rsidR="00296921">
        <w:rPr>
          <w:sz w:val="24"/>
        </w:rPr>
        <w:t xml:space="preserve">, </w:t>
      </w:r>
      <w:r w:rsidRPr="4077781B" w:rsidR="00B03610">
        <w:rPr>
          <w:sz w:val="24"/>
        </w:rPr>
        <w:t>141</w:t>
      </w:r>
      <w:r w:rsidRPr="4077781B" w:rsidR="00137227">
        <w:rPr>
          <w:sz w:val="24"/>
        </w:rPr>
        <w:t xml:space="preserve"> </w:t>
      </w:r>
      <w:r w:rsidRPr="4077781B" w:rsidR="00192D06">
        <w:rPr>
          <w:sz w:val="24"/>
        </w:rPr>
        <w:t>respondents. The</w:t>
      </w:r>
      <w:r w:rsidRPr="4077781B">
        <w:rPr>
          <w:sz w:val="24"/>
        </w:rPr>
        <w:t xml:space="preserve"> survey was pre-tested with </w:t>
      </w:r>
      <w:r w:rsidRPr="4077781B" w:rsidR="00B070C6">
        <w:rPr>
          <w:sz w:val="24"/>
        </w:rPr>
        <w:t xml:space="preserve">a total of </w:t>
      </w:r>
      <w:r w:rsidRPr="4077781B" w:rsidR="4EFD5FAC">
        <w:rPr>
          <w:sz w:val="24"/>
        </w:rPr>
        <w:t>7</w:t>
      </w:r>
      <w:r w:rsidRPr="4077781B" w:rsidR="00960955">
        <w:rPr>
          <w:sz w:val="24"/>
        </w:rPr>
        <w:t xml:space="preserve"> </w:t>
      </w:r>
      <w:r w:rsidRPr="4077781B">
        <w:rPr>
          <w:sz w:val="24"/>
        </w:rPr>
        <w:t>separate respondents</w:t>
      </w:r>
      <w:r w:rsidRPr="4077781B" w:rsidR="005611A5">
        <w:rPr>
          <w:sz w:val="24"/>
        </w:rPr>
        <w:t xml:space="preserve">, </w:t>
      </w:r>
      <w:r w:rsidRPr="4077781B">
        <w:rPr>
          <w:sz w:val="24"/>
        </w:rPr>
        <w:t>from which we derived the</w:t>
      </w:r>
      <w:r w:rsidRPr="4077781B" w:rsidR="00B03610">
        <w:rPr>
          <w:sz w:val="24"/>
        </w:rPr>
        <w:t xml:space="preserve"> </w:t>
      </w:r>
      <w:r w:rsidRPr="4077781B" w:rsidR="718BC52E">
        <w:rPr>
          <w:sz w:val="24"/>
        </w:rPr>
        <w:t>30</w:t>
      </w:r>
      <w:r w:rsidRPr="4077781B" w:rsidR="070E0743">
        <w:rPr>
          <w:sz w:val="24"/>
        </w:rPr>
        <w:t xml:space="preserve"> </w:t>
      </w:r>
      <w:r w:rsidRPr="4077781B">
        <w:rPr>
          <w:sz w:val="24"/>
        </w:rPr>
        <w:t>minute per respondent burden estimate.</w:t>
      </w:r>
      <w:r w:rsidRPr="4077781B" w:rsidR="00137227">
        <w:rPr>
          <w:sz w:val="24"/>
        </w:rPr>
        <w:t xml:space="preserve"> </w:t>
      </w:r>
    </w:p>
    <w:p w:rsidR="00F35225" w14:paraId="69C814D3" w14:textId="77777777">
      <w:pPr>
        <w:ind w:left="1800"/>
        <w:rPr>
          <w:sz w:val="24"/>
        </w:rPr>
      </w:pPr>
    </w:p>
    <w:p w:rsidR="0098164F" w:rsidP="00B94C24" w14:paraId="3BD3CBB4" w14:textId="203202DF">
      <w:pPr>
        <w:widowControl/>
        <w:ind w:left="810"/>
        <w:rPr>
          <w:sz w:val="24"/>
        </w:rPr>
      </w:pPr>
      <w:r>
        <w:rPr>
          <w:sz w:val="24"/>
        </w:rPr>
        <w:t>Exhibit 1</w:t>
      </w:r>
      <w:r w:rsidRPr="00B21500">
        <w:rPr>
          <w:bCs/>
          <w:sz w:val="24"/>
        </w:rPr>
        <w:t>.</w:t>
      </w:r>
      <w:r w:rsidR="00B21500">
        <w:rPr>
          <w:sz w:val="24"/>
        </w:rPr>
        <w:t xml:space="preserve"> </w:t>
      </w:r>
      <w:r>
        <w:rPr>
          <w:b/>
          <w:sz w:val="24"/>
        </w:rPr>
        <w:t>Estimated Annualized Burden Hours</w:t>
      </w:r>
    </w:p>
    <w:tbl>
      <w:tblPr>
        <w:tblW w:w="8012"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150"/>
        <w:gridCol w:w="1523"/>
        <w:gridCol w:w="1430"/>
        <w:gridCol w:w="1177"/>
        <w:gridCol w:w="1302"/>
      </w:tblGrid>
      <w:tr w14:paraId="6B62F268" w14:textId="77777777" w:rsidTr="4077781B">
        <w:tblPrEx>
          <w:tblW w:w="8012"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86"/>
        </w:trPr>
        <w:tc>
          <w:tcPr>
            <w:tcW w:w="1430" w:type="dxa"/>
            <w:shd w:val="clear" w:color="auto" w:fill="auto"/>
          </w:tcPr>
          <w:p w:rsidR="00DB0F4A" w:rsidRPr="0098164F" w:rsidP="00B94C24" w14:paraId="473A8531" w14:textId="77777777">
            <w:pPr>
              <w:widowControl/>
              <w:rPr>
                <w:b/>
                <w:bCs/>
                <w:sz w:val="24"/>
              </w:rPr>
            </w:pPr>
            <w:r w:rsidRPr="0098164F">
              <w:rPr>
                <w:b/>
                <w:bCs/>
                <w:sz w:val="24"/>
              </w:rPr>
              <w:t>Type of</w:t>
            </w:r>
          </w:p>
          <w:p w:rsidR="00DB0F4A" w:rsidRPr="0098164F" w:rsidP="00B94C24" w14:paraId="2B14899C" w14:textId="77777777">
            <w:pPr>
              <w:widowControl/>
              <w:rPr>
                <w:b/>
                <w:bCs/>
                <w:sz w:val="24"/>
              </w:rPr>
            </w:pPr>
            <w:r w:rsidRPr="0098164F">
              <w:rPr>
                <w:b/>
                <w:bCs/>
                <w:sz w:val="24"/>
              </w:rPr>
              <w:t>Respondent</w:t>
            </w:r>
          </w:p>
          <w:p w:rsidR="00DB0F4A" w:rsidRPr="0098164F" w:rsidP="00B94C24" w14:paraId="4DEFF339" w14:textId="77777777">
            <w:pPr>
              <w:widowControl/>
              <w:rPr>
                <w:b/>
                <w:bCs/>
                <w:sz w:val="24"/>
              </w:rPr>
            </w:pPr>
          </w:p>
        </w:tc>
        <w:tc>
          <w:tcPr>
            <w:tcW w:w="896" w:type="dxa"/>
            <w:shd w:val="clear" w:color="auto" w:fill="auto"/>
          </w:tcPr>
          <w:p w:rsidR="00DB0F4A" w:rsidRPr="0098164F" w:rsidP="00B94C24" w14:paraId="0952AB7A" w14:textId="77777777">
            <w:pPr>
              <w:widowControl/>
              <w:rPr>
                <w:b/>
                <w:bCs/>
                <w:sz w:val="24"/>
              </w:rPr>
            </w:pPr>
            <w:r w:rsidRPr="0098164F">
              <w:rPr>
                <w:b/>
                <w:bCs/>
                <w:sz w:val="24"/>
              </w:rPr>
              <w:t>Form</w:t>
            </w:r>
          </w:p>
          <w:p w:rsidR="00DB0F4A" w:rsidRPr="0098164F" w:rsidP="00B94C24" w14:paraId="43890BA9" w14:textId="77777777">
            <w:pPr>
              <w:widowControl/>
              <w:rPr>
                <w:b/>
                <w:bCs/>
                <w:sz w:val="24"/>
              </w:rPr>
            </w:pPr>
            <w:r w:rsidRPr="0098164F">
              <w:rPr>
                <w:b/>
                <w:bCs/>
                <w:sz w:val="24"/>
              </w:rPr>
              <w:t>Name</w:t>
            </w:r>
          </w:p>
          <w:p w:rsidR="00DB0F4A" w:rsidRPr="0098164F" w:rsidP="00B94C24" w14:paraId="7B912FE7" w14:textId="77777777">
            <w:pPr>
              <w:widowControl/>
              <w:rPr>
                <w:b/>
                <w:bCs/>
                <w:sz w:val="24"/>
              </w:rPr>
            </w:pPr>
          </w:p>
        </w:tc>
        <w:tc>
          <w:tcPr>
            <w:tcW w:w="1523" w:type="dxa"/>
            <w:shd w:val="clear" w:color="auto" w:fill="auto"/>
          </w:tcPr>
          <w:p w:rsidR="00DB0F4A" w:rsidRPr="0098164F" w:rsidP="00B94C24" w14:paraId="0BE7A523" w14:textId="77777777">
            <w:pPr>
              <w:widowControl/>
              <w:rPr>
                <w:b/>
                <w:bCs/>
                <w:sz w:val="24"/>
              </w:rPr>
            </w:pPr>
            <w:r w:rsidRPr="0098164F">
              <w:rPr>
                <w:b/>
                <w:bCs/>
                <w:sz w:val="24"/>
              </w:rPr>
              <w:t>No. of</w:t>
            </w:r>
          </w:p>
          <w:p w:rsidR="00DB0F4A" w:rsidRPr="0098164F" w:rsidP="00B94C24" w14:paraId="50B6D8B3" w14:textId="77777777">
            <w:pPr>
              <w:widowControl/>
              <w:rPr>
                <w:b/>
                <w:bCs/>
                <w:sz w:val="24"/>
              </w:rPr>
            </w:pPr>
            <w:r w:rsidRPr="0098164F">
              <w:rPr>
                <w:b/>
                <w:bCs/>
                <w:sz w:val="24"/>
              </w:rPr>
              <w:t>Respondents</w:t>
            </w:r>
          </w:p>
        </w:tc>
        <w:tc>
          <w:tcPr>
            <w:tcW w:w="1430" w:type="dxa"/>
            <w:shd w:val="clear" w:color="auto" w:fill="auto"/>
          </w:tcPr>
          <w:p w:rsidR="00DB0F4A" w:rsidRPr="0098164F" w:rsidP="00B94C24" w14:paraId="11A43295" w14:textId="3D27E400">
            <w:pPr>
              <w:widowControl/>
              <w:rPr>
                <w:b/>
                <w:bCs/>
                <w:sz w:val="24"/>
              </w:rPr>
            </w:pPr>
            <w:r w:rsidRPr="0098164F">
              <w:rPr>
                <w:b/>
                <w:bCs/>
                <w:sz w:val="24"/>
              </w:rPr>
              <w:t>No.</w:t>
            </w:r>
            <w:r>
              <w:rPr>
                <w:b/>
                <w:bCs/>
                <w:sz w:val="24"/>
              </w:rPr>
              <w:t xml:space="preserve"> of</w:t>
            </w:r>
          </w:p>
          <w:p w:rsidR="00DB0F4A" w:rsidRPr="0098164F" w:rsidP="000E490D" w14:paraId="633532A7" w14:textId="77777777">
            <w:pPr>
              <w:widowControl/>
              <w:rPr>
                <w:b/>
                <w:bCs/>
                <w:sz w:val="24"/>
              </w:rPr>
            </w:pPr>
            <w:r w:rsidRPr="0098164F">
              <w:rPr>
                <w:b/>
                <w:bCs/>
                <w:sz w:val="24"/>
              </w:rPr>
              <w:t>Responses</w:t>
            </w:r>
            <w:r>
              <w:rPr>
                <w:b/>
                <w:bCs/>
                <w:sz w:val="24"/>
              </w:rPr>
              <w:t xml:space="preserve"> </w:t>
            </w:r>
            <w:r w:rsidRPr="0098164F">
              <w:rPr>
                <w:b/>
                <w:bCs/>
                <w:sz w:val="24"/>
              </w:rPr>
              <w:t>per</w:t>
            </w:r>
            <w:r>
              <w:rPr>
                <w:b/>
                <w:bCs/>
                <w:sz w:val="24"/>
              </w:rPr>
              <w:t xml:space="preserve"> </w:t>
            </w:r>
            <w:r w:rsidRPr="0098164F">
              <w:rPr>
                <w:b/>
                <w:bCs/>
                <w:sz w:val="24"/>
              </w:rPr>
              <w:t>Respondent</w:t>
            </w:r>
          </w:p>
        </w:tc>
        <w:tc>
          <w:tcPr>
            <w:tcW w:w="1177" w:type="dxa"/>
            <w:shd w:val="clear" w:color="auto" w:fill="auto"/>
          </w:tcPr>
          <w:p w:rsidR="00DB0F4A" w:rsidRPr="0098164F" w:rsidP="00B94C24" w14:paraId="0AE5172C" w14:textId="77777777">
            <w:pPr>
              <w:widowControl/>
              <w:rPr>
                <w:b/>
                <w:bCs/>
                <w:sz w:val="24"/>
              </w:rPr>
            </w:pPr>
            <w:r w:rsidRPr="0098164F">
              <w:rPr>
                <w:b/>
                <w:bCs/>
                <w:sz w:val="24"/>
              </w:rPr>
              <w:t>Average</w:t>
            </w:r>
            <w:r>
              <w:rPr>
                <w:b/>
                <w:bCs/>
                <w:sz w:val="24"/>
              </w:rPr>
              <w:t xml:space="preserve"> </w:t>
            </w:r>
            <w:r w:rsidRPr="0098164F">
              <w:rPr>
                <w:b/>
                <w:bCs/>
                <w:sz w:val="24"/>
              </w:rPr>
              <w:t>Burden per</w:t>
            </w:r>
          </w:p>
          <w:p w:rsidR="00DB0F4A" w:rsidRPr="0098164F" w:rsidP="00E424E6" w14:paraId="11B6B90C" w14:textId="77777777">
            <w:pPr>
              <w:widowControl/>
              <w:rPr>
                <w:b/>
                <w:bCs/>
                <w:sz w:val="24"/>
              </w:rPr>
            </w:pPr>
            <w:r w:rsidRPr="0098164F">
              <w:rPr>
                <w:b/>
                <w:bCs/>
                <w:sz w:val="24"/>
              </w:rPr>
              <w:t>Response</w:t>
            </w:r>
            <w:r>
              <w:rPr>
                <w:b/>
                <w:bCs/>
                <w:sz w:val="24"/>
              </w:rPr>
              <w:t xml:space="preserve"> </w:t>
            </w:r>
            <w:r w:rsidRPr="0098164F">
              <w:rPr>
                <w:b/>
                <w:bCs/>
                <w:sz w:val="24"/>
              </w:rPr>
              <w:t>(in hours)</w:t>
            </w:r>
          </w:p>
        </w:tc>
        <w:tc>
          <w:tcPr>
            <w:tcW w:w="1556" w:type="dxa"/>
            <w:shd w:val="clear" w:color="auto" w:fill="auto"/>
          </w:tcPr>
          <w:p w:rsidR="00DB0F4A" w:rsidRPr="0098164F" w:rsidP="00B94C24" w14:paraId="29E5AE78" w14:textId="77777777">
            <w:pPr>
              <w:widowControl/>
              <w:rPr>
                <w:b/>
                <w:bCs/>
                <w:sz w:val="24"/>
              </w:rPr>
            </w:pPr>
            <w:r w:rsidRPr="0098164F">
              <w:rPr>
                <w:b/>
                <w:bCs/>
                <w:sz w:val="24"/>
              </w:rPr>
              <w:t>Total Burden Hours</w:t>
            </w:r>
          </w:p>
        </w:tc>
      </w:tr>
      <w:tr w14:paraId="49A3C232" w14:textId="77777777" w:rsidTr="4077781B">
        <w:tblPrEx>
          <w:tblW w:w="8012" w:type="dxa"/>
          <w:tblInd w:w="957" w:type="dxa"/>
          <w:tblLook w:val="01E0"/>
        </w:tblPrEx>
        <w:trPr>
          <w:trHeight w:val="524"/>
        </w:trPr>
        <w:tc>
          <w:tcPr>
            <w:tcW w:w="1430" w:type="dxa"/>
            <w:shd w:val="clear" w:color="auto" w:fill="auto"/>
          </w:tcPr>
          <w:p w:rsidR="00DB0F4A" w:rsidRPr="00B94C24" w:rsidP="00B94C24" w14:paraId="4DFA5E31" w14:textId="02033BA4">
            <w:pPr>
              <w:widowControl/>
              <w:rPr>
                <w:bCs/>
                <w:sz w:val="24"/>
              </w:rPr>
            </w:pPr>
            <w:r>
              <w:rPr>
                <w:bCs/>
                <w:sz w:val="24"/>
              </w:rPr>
              <w:t>Computer and Information Systems Managers</w:t>
            </w:r>
            <w:r w:rsidRPr="00B94C24">
              <w:rPr>
                <w:bCs/>
                <w:sz w:val="24"/>
              </w:rPr>
              <w:t xml:space="preserve"> </w:t>
            </w:r>
          </w:p>
        </w:tc>
        <w:tc>
          <w:tcPr>
            <w:tcW w:w="896" w:type="dxa"/>
            <w:shd w:val="clear" w:color="auto" w:fill="auto"/>
          </w:tcPr>
          <w:p w:rsidR="00DB0F4A" w:rsidRPr="0098164F" w:rsidP="00B94C24" w14:paraId="18FC528C" w14:textId="22A8877F">
            <w:pPr>
              <w:widowControl/>
              <w:rPr>
                <w:b/>
                <w:bCs/>
                <w:sz w:val="24"/>
              </w:rPr>
            </w:pPr>
            <w:r>
              <w:rPr>
                <w:sz w:val="24"/>
              </w:rPr>
              <w:t>Digital Health Company Survey</w:t>
            </w:r>
          </w:p>
        </w:tc>
        <w:tc>
          <w:tcPr>
            <w:tcW w:w="1523" w:type="dxa"/>
            <w:shd w:val="clear" w:color="auto" w:fill="auto"/>
          </w:tcPr>
          <w:p w:rsidR="00DB0F4A" w:rsidRPr="00DB0F4A" w:rsidP="00B94C24" w14:paraId="22F7890C" w14:textId="01CE5231">
            <w:pPr>
              <w:widowControl/>
              <w:rPr>
                <w:sz w:val="24"/>
              </w:rPr>
            </w:pPr>
            <w:r>
              <w:rPr>
                <w:sz w:val="24"/>
              </w:rPr>
              <w:t>282</w:t>
            </w:r>
          </w:p>
        </w:tc>
        <w:tc>
          <w:tcPr>
            <w:tcW w:w="1430" w:type="dxa"/>
            <w:shd w:val="clear" w:color="auto" w:fill="auto"/>
          </w:tcPr>
          <w:p w:rsidR="00DB0F4A" w:rsidRPr="00DB0F4A" w:rsidP="00B94C24" w14:paraId="0D515014" w14:textId="6977B100">
            <w:pPr>
              <w:widowControl/>
              <w:rPr>
                <w:sz w:val="24"/>
              </w:rPr>
            </w:pPr>
            <w:r w:rsidRPr="00DB0F4A">
              <w:rPr>
                <w:sz w:val="24"/>
              </w:rPr>
              <w:t>1</w:t>
            </w:r>
          </w:p>
        </w:tc>
        <w:tc>
          <w:tcPr>
            <w:tcW w:w="1177" w:type="dxa"/>
            <w:shd w:val="clear" w:color="auto" w:fill="auto"/>
          </w:tcPr>
          <w:p w:rsidR="00DB0F4A" w:rsidRPr="00DB0F4A" w:rsidP="4077781B" w14:paraId="0379C405" w14:textId="653659A9">
            <w:pPr>
              <w:widowControl/>
              <w:rPr>
                <w:sz w:val="24"/>
              </w:rPr>
            </w:pPr>
            <w:r w:rsidRPr="4077781B">
              <w:rPr>
                <w:sz w:val="24"/>
              </w:rPr>
              <w:t>0</w:t>
            </w:r>
            <w:r w:rsidRPr="4077781B" w:rsidR="3D24F2DE">
              <w:rPr>
                <w:sz w:val="24"/>
              </w:rPr>
              <w:t>.5</w:t>
            </w:r>
          </w:p>
        </w:tc>
        <w:tc>
          <w:tcPr>
            <w:tcW w:w="1556" w:type="dxa"/>
            <w:shd w:val="clear" w:color="auto" w:fill="auto"/>
          </w:tcPr>
          <w:p w:rsidR="00DB0F4A" w:rsidRPr="00DB0F4A" w:rsidP="4077781B" w14:paraId="7161A27E" w14:textId="39DA5566">
            <w:pPr>
              <w:widowControl/>
              <w:rPr>
                <w:sz w:val="24"/>
              </w:rPr>
            </w:pPr>
            <w:r w:rsidRPr="4077781B">
              <w:rPr>
                <w:sz w:val="24"/>
              </w:rPr>
              <w:t>141</w:t>
            </w:r>
          </w:p>
        </w:tc>
      </w:tr>
      <w:tr w14:paraId="41EBA00B" w14:textId="77777777" w:rsidTr="4077781B">
        <w:tblPrEx>
          <w:tblW w:w="8012" w:type="dxa"/>
          <w:tblInd w:w="957" w:type="dxa"/>
          <w:tblLook w:val="01E0"/>
        </w:tblPrEx>
        <w:trPr>
          <w:trHeight w:val="250"/>
        </w:trPr>
        <w:tc>
          <w:tcPr>
            <w:tcW w:w="1430" w:type="dxa"/>
            <w:shd w:val="clear" w:color="auto" w:fill="auto"/>
          </w:tcPr>
          <w:p w:rsidR="00DB0F4A" w:rsidRPr="0098164F" w:rsidP="00B94C24" w14:paraId="2A5DCCE9" w14:textId="77777777">
            <w:pPr>
              <w:widowControl/>
              <w:rPr>
                <w:b/>
                <w:bCs/>
                <w:sz w:val="24"/>
              </w:rPr>
            </w:pPr>
            <w:r w:rsidRPr="0098164F">
              <w:rPr>
                <w:b/>
                <w:bCs/>
                <w:sz w:val="24"/>
              </w:rPr>
              <w:t>Total</w:t>
            </w:r>
          </w:p>
        </w:tc>
        <w:tc>
          <w:tcPr>
            <w:tcW w:w="896" w:type="dxa"/>
            <w:shd w:val="clear" w:color="auto" w:fill="auto"/>
          </w:tcPr>
          <w:p w:rsidR="00DB0F4A" w:rsidRPr="0098164F" w:rsidP="00B94C24" w14:paraId="6B8ACAD4" w14:textId="77777777">
            <w:pPr>
              <w:widowControl/>
              <w:rPr>
                <w:sz w:val="24"/>
              </w:rPr>
            </w:pPr>
          </w:p>
        </w:tc>
        <w:tc>
          <w:tcPr>
            <w:tcW w:w="1523" w:type="dxa"/>
            <w:shd w:val="clear" w:color="auto" w:fill="auto"/>
          </w:tcPr>
          <w:p w:rsidR="00DB0F4A" w:rsidRPr="00DB0F4A" w:rsidP="00B94C24" w14:paraId="46940C18" w14:textId="77777777">
            <w:pPr>
              <w:widowControl/>
              <w:rPr>
                <w:sz w:val="24"/>
              </w:rPr>
            </w:pPr>
          </w:p>
        </w:tc>
        <w:tc>
          <w:tcPr>
            <w:tcW w:w="1430" w:type="dxa"/>
            <w:shd w:val="clear" w:color="auto" w:fill="auto"/>
          </w:tcPr>
          <w:p w:rsidR="00DB0F4A" w:rsidRPr="004C24EB" w:rsidP="00B94C24" w14:paraId="38A0CFE8" w14:textId="1755227F">
            <w:pPr>
              <w:widowControl/>
              <w:rPr>
                <w:sz w:val="24"/>
              </w:rPr>
            </w:pPr>
          </w:p>
        </w:tc>
        <w:tc>
          <w:tcPr>
            <w:tcW w:w="1177" w:type="dxa"/>
            <w:shd w:val="clear" w:color="auto" w:fill="auto"/>
          </w:tcPr>
          <w:p w:rsidR="00DB0F4A" w:rsidRPr="004C24EB" w:rsidP="00B94C24" w14:paraId="0C54D34C" w14:textId="77777777">
            <w:pPr>
              <w:widowControl/>
              <w:rPr>
                <w:sz w:val="24"/>
              </w:rPr>
            </w:pPr>
          </w:p>
        </w:tc>
        <w:tc>
          <w:tcPr>
            <w:tcW w:w="1556" w:type="dxa"/>
            <w:shd w:val="clear" w:color="auto" w:fill="auto"/>
          </w:tcPr>
          <w:p w:rsidR="00DB0F4A" w:rsidRPr="00DB0F4A" w:rsidP="4077781B" w14:paraId="2D3AC02F" w14:textId="7FA59368">
            <w:pPr>
              <w:widowControl/>
              <w:rPr>
                <w:sz w:val="24"/>
              </w:rPr>
            </w:pPr>
            <w:r w:rsidRPr="4077781B">
              <w:rPr>
                <w:sz w:val="24"/>
              </w:rPr>
              <w:t>141</w:t>
            </w:r>
          </w:p>
        </w:tc>
      </w:tr>
    </w:tbl>
    <w:p w:rsidR="00E424E6" w:rsidP="00B94C24" w14:paraId="07679F17" w14:textId="77777777">
      <w:pPr>
        <w:widowControl/>
        <w:tabs>
          <w:tab w:val="left" w:pos="2430"/>
        </w:tabs>
        <w:ind w:left="810"/>
        <w:rPr>
          <w:sz w:val="24"/>
        </w:rPr>
      </w:pPr>
    </w:p>
    <w:p w:rsidR="0098164F" w:rsidP="00B94C24" w14:paraId="2D4EE7B5" w14:textId="7390DA56">
      <w:pPr>
        <w:widowControl/>
        <w:tabs>
          <w:tab w:val="left" w:pos="2430"/>
        </w:tabs>
        <w:ind w:left="810"/>
        <w:rPr>
          <w:b/>
          <w:sz w:val="24"/>
        </w:rPr>
      </w:pPr>
      <w:r>
        <w:rPr>
          <w:sz w:val="24"/>
        </w:rPr>
        <w:t xml:space="preserve">Exhibit 2. </w:t>
      </w:r>
      <w:r>
        <w:rPr>
          <w:b/>
          <w:sz w:val="24"/>
        </w:rPr>
        <w:t>Estimated Annualized Burden Costs</w:t>
      </w:r>
    </w:p>
    <w:tbl>
      <w:tblPr>
        <w:tblW w:w="929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1"/>
        <w:gridCol w:w="2070"/>
        <w:gridCol w:w="1530"/>
        <w:gridCol w:w="2700"/>
      </w:tblGrid>
      <w:tr w14:paraId="32A78FA1" w14:textId="77777777" w:rsidTr="4077781B">
        <w:tblPrEx>
          <w:tblW w:w="929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91" w:type="dxa"/>
            <w:shd w:val="clear" w:color="auto" w:fill="auto"/>
          </w:tcPr>
          <w:p w:rsidR="0098164F" w:rsidRPr="0098164F" w:rsidP="00B94C24" w14:paraId="471BE6FE" w14:textId="77777777">
            <w:pPr>
              <w:widowControl/>
              <w:rPr>
                <w:b/>
                <w:bCs/>
                <w:sz w:val="24"/>
              </w:rPr>
            </w:pPr>
            <w:r w:rsidRPr="0098164F">
              <w:rPr>
                <w:b/>
                <w:bCs/>
                <w:sz w:val="24"/>
              </w:rPr>
              <w:t>Type of</w:t>
            </w:r>
          </w:p>
          <w:p w:rsidR="0098164F" w:rsidRPr="0098164F" w:rsidP="00B94C24" w14:paraId="147968C1" w14:textId="77777777">
            <w:pPr>
              <w:widowControl/>
              <w:rPr>
                <w:sz w:val="24"/>
              </w:rPr>
            </w:pPr>
            <w:r w:rsidRPr="0098164F">
              <w:rPr>
                <w:b/>
                <w:bCs/>
                <w:sz w:val="24"/>
              </w:rPr>
              <w:t>Respondent</w:t>
            </w:r>
          </w:p>
          <w:p w:rsidR="0098164F" w:rsidRPr="0098164F" w:rsidP="00B94C24" w14:paraId="10B47CB9" w14:textId="77777777">
            <w:pPr>
              <w:widowControl/>
              <w:rPr>
                <w:b/>
                <w:bCs/>
                <w:sz w:val="24"/>
              </w:rPr>
            </w:pPr>
          </w:p>
        </w:tc>
        <w:tc>
          <w:tcPr>
            <w:tcW w:w="2070" w:type="dxa"/>
            <w:shd w:val="clear" w:color="auto" w:fill="auto"/>
          </w:tcPr>
          <w:p w:rsidR="0098164F" w:rsidRPr="0098164F" w:rsidP="00B94C24" w14:paraId="7721790E" w14:textId="77777777">
            <w:pPr>
              <w:widowControl/>
              <w:rPr>
                <w:b/>
                <w:bCs/>
                <w:sz w:val="24"/>
              </w:rPr>
            </w:pPr>
            <w:r w:rsidRPr="0098164F">
              <w:rPr>
                <w:b/>
                <w:bCs/>
                <w:sz w:val="24"/>
              </w:rPr>
              <w:t>Total Burden</w:t>
            </w:r>
          </w:p>
          <w:p w:rsidR="0098164F" w:rsidRPr="0098164F" w:rsidP="00B94C24" w14:paraId="5A2E0299" w14:textId="77777777">
            <w:pPr>
              <w:widowControl/>
              <w:rPr>
                <w:sz w:val="24"/>
              </w:rPr>
            </w:pPr>
            <w:r w:rsidRPr="0098164F">
              <w:rPr>
                <w:b/>
                <w:bCs/>
                <w:sz w:val="24"/>
              </w:rPr>
              <w:t>Hours</w:t>
            </w:r>
          </w:p>
          <w:p w:rsidR="0098164F" w:rsidRPr="0098164F" w:rsidP="00B94C24" w14:paraId="322692CE" w14:textId="77777777">
            <w:pPr>
              <w:widowControl/>
              <w:rPr>
                <w:b/>
                <w:bCs/>
                <w:sz w:val="24"/>
              </w:rPr>
            </w:pPr>
          </w:p>
        </w:tc>
        <w:tc>
          <w:tcPr>
            <w:tcW w:w="1530" w:type="dxa"/>
            <w:shd w:val="clear" w:color="auto" w:fill="auto"/>
          </w:tcPr>
          <w:p w:rsidR="0098164F" w:rsidRPr="0098164F" w:rsidP="00B94C24" w14:paraId="0CDABFE8" w14:textId="77777777">
            <w:pPr>
              <w:widowControl/>
              <w:rPr>
                <w:b/>
                <w:bCs/>
                <w:sz w:val="24"/>
              </w:rPr>
            </w:pPr>
            <w:r w:rsidRPr="0098164F">
              <w:rPr>
                <w:b/>
                <w:bCs/>
                <w:sz w:val="24"/>
              </w:rPr>
              <w:t>Hourly</w:t>
            </w:r>
          </w:p>
          <w:p w:rsidR="0098164F" w:rsidRPr="0098164F" w:rsidP="00B94C24" w14:paraId="3F00DD4E" w14:textId="77777777">
            <w:pPr>
              <w:widowControl/>
              <w:rPr>
                <w:sz w:val="24"/>
              </w:rPr>
            </w:pPr>
            <w:r w:rsidRPr="0098164F">
              <w:rPr>
                <w:b/>
                <w:bCs/>
                <w:sz w:val="24"/>
              </w:rPr>
              <w:t>Wage Rate</w:t>
            </w:r>
          </w:p>
          <w:p w:rsidR="0098164F" w:rsidRPr="0098164F" w:rsidP="00B94C24" w14:paraId="1F36D1C1" w14:textId="77777777">
            <w:pPr>
              <w:widowControl/>
              <w:rPr>
                <w:b/>
                <w:bCs/>
                <w:sz w:val="24"/>
              </w:rPr>
            </w:pPr>
          </w:p>
        </w:tc>
        <w:tc>
          <w:tcPr>
            <w:tcW w:w="2700" w:type="dxa"/>
            <w:shd w:val="clear" w:color="auto" w:fill="auto"/>
          </w:tcPr>
          <w:p w:rsidR="0098164F" w:rsidRPr="0098164F" w:rsidP="00B94C24" w14:paraId="1519997B" w14:textId="77777777">
            <w:pPr>
              <w:widowControl/>
              <w:rPr>
                <w:sz w:val="24"/>
              </w:rPr>
            </w:pPr>
            <w:r w:rsidRPr="0098164F">
              <w:rPr>
                <w:b/>
                <w:bCs/>
                <w:sz w:val="24"/>
              </w:rPr>
              <w:t>Total Respondent Costs</w:t>
            </w:r>
          </w:p>
          <w:p w:rsidR="0098164F" w:rsidRPr="0098164F" w:rsidP="00B94C24" w14:paraId="1221B849" w14:textId="77777777">
            <w:pPr>
              <w:widowControl/>
              <w:rPr>
                <w:b/>
                <w:bCs/>
                <w:sz w:val="24"/>
              </w:rPr>
            </w:pPr>
          </w:p>
        </w:tc>
      </w:tr>
      <w:tr w14:paraId="60737D91" w14:textId="77777777" w:rsidTr="4077781B">
        <w:tblPrEx>
          <w:tblW w:w="9291" w:type="dxa"/>
          <w:tblInd w:w="918" w:type="dxa"/>
          <w:tblLook w:val="01E0"/>
        </w:tblPrEx>
        <w:tc>
          <w:tcPr>
            <w:tcW w:w="2991" w:type="dxa"/>
            <w:shd w:val="clear" w:color="auto" w:fill="auto"/>
          </w:tcPr>
          <w:p w:rsidR="0098164F" w:rsidRPr="0098164F" w:rsidP="4077781B" w14:paraId="613DD56C" w14:textId="58903C28">
            <w:pPr>
              <w:rPr>
                <w:sz w:val="24"/>
              </w:rPr>
            </w:pPr>
            <w:r w:rsidRPr="4077781B">
              <w:rPr>
                <w:sz w:val="24"/>
              </w:rPr>
              <w:t>Computer and Information Systems Man</w:t>
            </w:r>
            <w:r w:rsidRPr="4077781B" w:rsidR="00D97D70">
              <w:rPr>
                <w:sz w:val="24"/>
              </w:rPr>
              <w:t>a</w:t>
            </w:r>
            <w:r w:rsidRPr="4077781B">
              <w:rPr>
                <w:sz w:val="24"/>
              </w:rPr>
              <w:t>gers</w:t>
            </w:r>
            <w:r w:rsidRPr="4077781B" w:rsidR="004B4B56">
              <w:rPr>
                <w:sz w:val="24"/>
                <w:vertAlign w:val="superscript"/>
              </w:rPr>
              <w:t>1</w:t>
            </w:r>
          </w:p>
        </w:tc>
        <w:tc>
          <w:tcPr>
            <w:tcW w:w="2070" w:type="dxa"/>
            <w:shd w:val="clear" w:color="auto" w:fill="auto"/>
          </w:tcPr>
          <w:p w:rsidR="0098164F" w:rsidRPr="00DB0F4A" w:rsidP="4077781B" w14:paraId="1C318A72" w14:textId="755C2532">
            <w:pPr>
              <w:rPr>
                <w:sz w:val="24"/>
              </w:rPr>
            </w:pPr>
            <w:r w:rsidRPr="4077781B">
              <w:rPr>
                <w:sz w:val="24"/>
              </w:rPr>
              <w:t>1</w:t>
            </w:r>
            <w:r w:rsidRPr="4077781B" w:rsidR="00B03610">
              <w:rPr>
                <w:sz w:val="24"/>
              </w:rPr>
              <w:t>41</w:t>
            </w:r>
          </w:p>
        </w:tc>
        <w:tc>
          <w:tcPr>
            <w:tcW w:w="1530" w:type="dxa"/>
            <w:shd w:val="clear" w:color="auto" w:fill="auto"/>
          </w:tcPr>
          <w:p w:rsidR="0098164F" w:rsidRPr="00DB0F4A" w:rsidP="00B94C24" w14:paraId="3398F4B5" w14:textId="63195759">
            <w:pPr>
              <w:jc w:val="right"/>
              <w:rPr>
                <w:sz w:val="24"/>
              </w:rPr>
            </w:pPr>
            <w:r>
              <w:rPr>
                <w:sz w:val="24"/>
              </w:rPr>
              <w:t>$90.38</w:t>
            </w:r>
          </w:p>
        </w:tc>
        <w:tc>
          <w:tcPr>
            <w:tcW w:w="2700" w:type="dxa"/>
            <w:shd w:val="clear" w:color="auto" w:fill="auto"/>
          </w:tcPr>
          <w:p w:rsidR="0098164F" w:rsidRPr="00DB0F4A" w:rsidP="4077781B" w14:paraId="0DF08D90" w14:textId="2CB7337F">
            <w:pPr>
              <w:jc w:val="right"/>
              <w:rPr>
                <w:sz w:val="24"/>
              </w:rPr>
            </w:pPr>
            <w:r w:rsidRPr="4077781B">
              <w:rPr>
                <w:sz w:val="24"/>
              </w:rPr>
              <w:t xml:space="preserve"> </w:t>
            </w:r>
            <w:r w:rsidRPr="4077781B" w:rsidR="006E63BB">
              <w:rPr>
                <w:sz w:val="24"/>
              </w:rPr>
              <w:t>$</w:t>
            </w:r>
            <w:r w:rsidRPr="4077781B" w:rsidR="00B03610">
              <w:rPr>
                <w:sz w:val="24"/>
              </w:rPr>
              <w:t>12,743.58</w:t>
            </w:r>
          </w:p>
        </w:tc>
      </w:tr>
      <w:tr w14:paraId="24FD4B0A" w14:textId="77777777" w:rsidTr="4077781B">
        <w:tblPrEx>
          <w:tblW w:w="9291" w:type="dxa"/>
          <w:tblInd w:w="918" w:type="dxa"/>
          <w:tblLook w:val="01E0"/>
        </w:tblPrEx>
        <w:trPr>
          <w:trHeight w:val="440"/>
        </w:trPr>
        <w:tc>
          <w:tcPr>
            <w:tcW w:w="2991" w:type="dxa"/>
            <w:shd w:val="clear" w:color="auto" w:fill="auto"/>
          </w:tcPr>
          <w:p w:rsidR="0098164F" w:rsidRPr="00B94C24" w:rsidP="00B94C24" w14:paraId="49A4FC9E" w14:textId="77777777">
            <w:pPr>
              <w:widowControl/>
              <w:rPr>
                <w:b/>
                <w:sz w:val="24"/>
              </w:rPr>
            </w:pPr>
            <w:r w:rsidRPr="00B94C24">
              <w:rPr>
                <w:b/>
                <w:sz w:val="24"/>
              </w:rPr>
              <w:t>Total</w:t>
            </w:r>
          </w:p>
        </w:tc>
        <w:tc>
          <w:tcPr>
            <w:tcW w:w="2070" w:type="dxa"/>
            <w:shd w:val="clear" w:color="auto" w:fill="auto"/>
          </w:tcPr>
          <w:p w:rsidR="0098164F" w:rsidRPr="00DB0F4A" w:rsidP="00B94C24" w14:paraId="597C042D" w14:textId="77777777">
            <w:pPr>
              <w:widowControl/>
              <w:rPr>
                <w:b/>
                <w:sz w:val="24"/>
              </w:rPr>
            </w:pPr>
          </w:p>
        </w:tc>
        <w:tc>
          <w:tcPr>
            <w:tcW w:w="1530" w:type="dxa"/>
            <w:shd w:val="clear" w:color="auto" w:fill="auto"/>
          </w:tcPr>
          <w:p w:rsidR="0098164F" w:rsidRPr="00DB0F4A" w:rsidP="00B94C24" w14:paraId="05B916D5" w14:textId="77777777">
            <w:pPr>
              <w:widowControl/>
              <w:jc w:val="right"/>
              <w:rPr>
                <w:b/>
                <w:sz w:val="24"/>
              </w:rPr>
            </w:pPr>
          </w:p>
        </w:tc>
        <w:tc>
          <w:tcPr>
            <w:tcW w:w="2700" w:type="dxa"/>
            <w:shd w:val="clear" w:color="auto" w:fill="auto"/>
          </w:tcPr>
          <w:p w:rsidR="0098164F" w:rsidRPr="00DB0F4A" w:rsidP="4077781B" w14:paraId="28AD8CBF" w14:textId="7F708441">
            <w:pPr>
              <w:widowControl/>
              <w:jc w:val="right"/>
              <w:rPr>
                <w:b/>
                <w:bCs/>
                <w:sz w:val="24"/>
              </w:rPr>
            </w:pPr>
            <w:r w:rsidRPr="4077781B">
              <w:rPr>
                <w:b/>
                <w:bCs/>
                <w:sz w:val="24"/>
              </w:rPr>
              <w:t>$</w:t>
            </w:r>
            <w:r w:rsidRPr="4077781B" w:rsidR="008051B3">
              <w:rPr>
                <w:b/>
                <w:bCs/>
                <w:sz w:val="24"/>
              </w:rPr>
              <w:t>12,743.</w:t>
            </w:r>
            <w:r w:rsidRPr="4077781B" w:rsidR="00176B8E">
              <w:rPr>
                <w:b/>
                <w:bCs/>
                <w:sz w:val="24"/>
              </w:rPr>
              <w:t>58</w:t>
            </w:r>
          </w:p>
        </w:tc>
      </w:tr>
    </w:tbl>
    <w:p w:rsidR="0098164F" w14:paraId="24347555" w14:textId="77777777">
      <w:pPr>
        <w:pStyle w:val="BodyTextIndent"/>
        <w:ind w:left="1080"/>
        <w:rPr>
          <w:rFonts w:ascii="Times New Roman" w:hAnsi="Times New Roman"/>
        </w:rPr>
      </w:pPr>
    </w:p>
    <w:p w:rsidR="0098164F" w14:paraId="0B860849" w14:textId="77777777">
      <w:pPr>
        <w:ind w:left="360"/>
        <w:rPr>
          <w:sz w:val="24"/>
        </w:rPr>
      </w:pPr>
    </w:p>
    <w:p w:rsidR="0098164F" w:rsidRPr="004C10E1" w14:paraId="2FF89A28" w14:textId="77777777">
      <w:pPr>
        <w:numPr>
          <w:ilvl w:val="0"/>
          <w:numId w:val="2"/>
        </w:numPr>
        <w:rPr>
          <w:b/>
          <w:sz w:val="24"/>
        </w:rPr>
      </w:pPr>
      <w:r>
        <w:rPr>
          <w:b/>
          <w:sz w:val="24"/>
          <w:u w:val="single"/>
        </w:rPr>
        <w:t xml:space="preserve">Estimates of other Total Annual Cost Burden to Respondents or </w:t>
      </w:r>
      <w:r>
        <w:rPr>
          <w:b/>
          <w:sz w:val="24"/>
          <w:u w:val="single"/>
        </w:rPr>
        <w:t>Recordkeepers/Capital Costs</w:t>
      </w:r>
    </w:p>
    <w:p w:rsidR="004C10E1" w:rsidRPr="00EB5BD6" w:rsidP="00EB5BD6" w14:paraId="5792E86C" w14:textId="601AFDF1">
      <w:pPr>
        <w:pStyle w:val="BodyText"/>
        <w:ind w:left="720"/>
      </w:pPr>
      <w:r w:rsidRPr="004C10E1">
        <w:rPr>
          <w:sz w:val="24"/>
        </w:rPr>
        <w:t xml:space="preserve">There are no annualized capital/startup or ongoing operation and maintenance costs involved in collecting the information. </w:t>
      </w:r>
    </w:p>
    <w:p w:rsidR="0098164F" w14:paraId="39EB660E" w14:textId="77777777">
      <w:pPr>
        <w:ind w:left="360"/>
        <w:rPr>
          <w:sz w:val="24"/>
        </w:rPr>
      </w:pPr>
    </w:p>
    <w:p w:rsidR="0098164F" w:rsidRPr="004C10E1" w14:paraId="16B6F35E" w14:textId="77777777">
      <w:pPr>
        <w:numPr>
          <w:ilvl w:val="0"/>
          <w:numId w:val="2"/>
        </w:numPr>
        <w:rPr>
          <w:b/>
          <w:sz w:val="24"/>
        </w:rPr>
      </w:pPr>
      <w:r>
        <w:rPr>
          <w:b/>
          <w:sz w:val="24"/>
          <w:u w:val="single"/>
        </w:rPr>
        <w:t>Annualized Cost to Federal Government</w:t>
      </w:r>
    </w:p>
    <w:p w:rsidR="004C10E1" w:rsidRPr="0009096A" w:rsidP="626F9A5A" w14:paraId="273CE77E" w14:textId="5D0C50D7">
      <w:pPr>
        <w:pStyle w:val="BodyText"/>
        <w:ind w:left="720"/>
        <w:rPr>
          <w:i/>
          <w:iCs/>
          <w:sz w:val="24"/>
        </w:rPr>
      </w:pPr>
      <w:r w:rsidRPr="626F9A5A">
        <w:rPr>
          <w:sz w:val="24"/>
        </w:rPr>
        <w:t xml:space="preserve">The estimated cost to the Federal Government for the data collection activities is </w:t>
      </w:r>
      <w:r w:rsidRPr="2A3B016D" w:rsidR="008E2147">
        <w:rPr>
          <w:sz w:val="24"/>
        </w:rPr>
        <w:t>$</w:t>
      </w:r>
      <w:r w:rsidRPr="2A3B016D" w:rsidR="11D18999">
        <w:rPr>
          <w:sz w:val="24"/>
        </w:rPr>
        <w:t>345,365.00</w:t>
      </w:r>
      <w:r w:rsidRPr="2A3B016D" w:rsidR="00761491">
        <w:rPr>
          <w:sz w:val="24"/>
        </w:rPr>
        <w:t xml:space="preserve"> </w:t>
      </w:r>
      <w:r w:rsidRPr="2A3B016D">
        <w:rPr>
          <w:sz w:val="24"/>
        </w:rPr>
        <w:t>ove</w:t>
      </w:r>
      <w:r w:rsidRPr="2A3B016D">
        <w:rPr>
          <w:sz w:val="24"/>
        </w:rPr>
        <w:t>r</w:t>
      </w:r>
      <w:r w:rsidRPr="2A3B016D">
        <w:rPr>
          <w:sz w:val="24"/>
        </w:rPr>
        <w:t xml:space="preserve"> </w:t>
      </w:r>
      <w:r w:rsidRPr="2A3B016D" w:rsidR="0AFC49AA">
        <w:rPr>
          <w:sz w:val="24"/>
        </w:rPr>
        <w:t>24</w:t>
      </w:r>
      <w:r w:rsidRPr="2A3B016D" w:rsidR="00B21FBA">
        <w:rPr>
          <w:sz w:val="24"/>
        </w:rPr>
        <w:t xml:space="preserve"> </w:t>
      </w:r>
      <w:r w:rsidRPr="2A3B016D" w:rsidR="55BBDE24">
        <w:rPr>
          <w:sz w:val="24"/>
        </w:rPr>
        <w:t>months</w:t>
      </w:r>
      <w:r w:rsidR="00384754">
        <w:rPr>
          <w:sz w:val="24"/>
        </w:rPr>
        <w:t>,</w:t>
      </w:r>
      <w:r w:rsidRPr="2A3B016D" w:rsidR="55BBDE24">
        <w:rPr>
          <w:sz w:val="24"/>
        </w:rPr>
        <w:t xml:space="preserve"> </w:t>
      </w:r>
      <w:r w:rsidRPr="2A3B016D" w:rsidR="00B21FBA">
        <w:rPr>
          <w:sz w:val="24"/>
        </w:rPr>
        <w:t xml:space="preserve">or </w:t>
      </w:r>
      <w:r w:rsidRPr="2A3B016D" w:rsidR="008E2147">
        <w:rPr>
          <w:sz w:val="24"/>
        </w:rPr>
        <w:t>$</w:t>
      </w:r>
      <w:r w:rsidRPr="2A3B016D" w:rsidR="433468EE">
        <w:rPr>
          <w:sz w:val="24"/>
        </w:rPr>
        <w:t>172,682</w:t>
      </w:r>
      <w:r w:rsidRPr="2A3B016D" w:rsidR="008E2147">
        <w:rPr>
          <w:sz w:val="24"/>
        </w:rPr>
        <w:t>.</w:t>
      </w:r>
      <w:r w:rsidRPr="2A3B016D" w:rsidR="009662C7">
        <w:rPr>
          <w:sz w:val="24"/>
        </w:rPr>
        <w:t>5</w:t>
      </w:r>
      <w:r w:rsidRPr="2A3B016D" w:rsidR="008E2147">
        <w:rPr>
          <w:sz w:val="24"/>
        </w:rPr>
        <w:t>0</w:t>
      </w:r>
      <w:r w:rsidRPr="2A3B016D" w:rsidR="00B21FBA">
        <w:rPr>
          <w:sz w:val="24"/>
        </w:rPr>
        <w:t xml:space="preserve"> </w:t>
      </w:r>
      <w:r w:rsidRPr="2A3B016D">
        <w:rPr>
          <w:sz w:val="24"/>
        </w:rPr>
        <w:t>annually</w:t>
      </w:r>
      <w:r w:rsidRPr="626F9A5A">
        <w:rPr>
          <w:sz w:val="24"/>
        </w:rPr>
        <w:t>.</w:t>
      </w:r>
      <w:r w:rsidRPr="626F9A5A" w:rsidR="00B21FBA">
        <w:rPr>
          <w:sz w:val="24"/>
        </w:rPr>
        <w:t xml:space="preserve"> </w:t>
      </w:r>
      <w:r w:rsidRPr="626F9A5A">
        <w:rPr>
          <w:sz w:val="24"/>
        </w:rPr>
        <w:t xml:space="preserve">The </w:t>
      </w:r>
      <w:r w:rsidRPr="626F9A5A" w:rsidR="008E2147">
        <w:rPr>
          <w:sz w:val="24"/>
        </w:rPr>
        <w:t xml:space="preserve">contractual </w:t>
      </w:r>
      <w:r w:rsidRPr="626F9A5A">
        <w:rPr>
          <w:sz w:val="24"/>
        </w:rPr>
        <w:t>cost</w:t>
      </w:r>
      <w:r w:rsidRPr="626F9A5A" w:rsidR="008E2147">
        <w:rPr>
          <w:sz w:val="24"/>
        </w:rPr>
        <w:t>s</w:t>
      </w:r>
      <w:r w:rsidRPr="626F9A5A">
        <w:rPr>
          <w:sz w:val="24"/>
        </w:rPr>
        <w:t xml:space="preserve"> to the</w:t>
      </w:r>
      <w:r w:rsidR="00CE638C">
        <w:rPr>
          <w:sz w:val="24"/>
        </w:rPr>
        <w:t xml:space="preserve"> </w:t>
      </w:r>
      <w:r w:rsidR="0023713D">
        <w:rPr>
          <w:sz w:val="24"/>
        </w:rPr>
        <w:t>UCSF</w:t>
      </w:r>
      <w:r w:rsidRPr="626F9A5A" w:rsidR="0023713D">
        <w:rPr>
          <w:sz w:val="24"/>
        </w:rPr>
        <w:t xml:space="preserve"> for</w:t>
      </w:r>
      <w:r w:rsidRPr="626F9A5A">
        <w:rPr>
          <w:sz w:val="24"/>
        </w:rPr>
        <w:t xml:space="preserve"> data collection activities associated with this submission</w:t>
      </w:r>
      <w:r w:rsidRPr="626F9A5A" w:rsidR="00B21FBA">
        <w:rPr>
          <w:sz w:val="24"/>
        </w:rPr>
        <w:t xml:space="preserve"> is $</w:t>
      </w:r>
      <w:r w:rsidRPr="626F9A5A" w:rsidR="004D4D0D">
        <w:rPr>
          <w:sz w:val="24"/>
        </w:rPr>
        <w:t>2</w:t>
      </w:r>
      <w:r w:rsidRPr="626F9A5A" w:rsidR="1994248D">
        <w:rPr>
          <w:sz w:val="24"/>
        </w:rPr>
        <w:t>90</w:t>
      </w:r>
      <w:r w:rsidRPr="626F9A5A" w:rsidR="00BB10C3">
        <w:rPr>
          <w:sz w:val="24"/>
        </w:rPr>
        <w:t>,</w:t>
      </w:r>
      <w:r w:rsidRPr="626F9A5A" w:rsidR="7623E5F2">
        <w:rPr>
          <w:sz w:val="24"/>
        </w:rPr>
        <w:t>269</w:t>
      </w:r>
      <w:r w:rsidRPr="626F9A5A" w:rsidR="002C5B19">
        <w:rPr>
          <w:sz w:val="24"/>
        </w:rPr>
        <w:t>.00</w:t>
      </w:r>
      <w:r w:rsidRPr="626F9A5A" w:rsidR="00CC29FF">
        <w:rPr>
          <w:sz w:val="24"/>
        </w:rPr>
        <w:t xml:space="preserve"> </w:t>
      </w:r>
      <w:r w:rsidRPr="626F9A5A" w:rsidR="00B21FBA">
        <w:rPr>
          <w:sz w:val="24"/>
        </w:rPr>
        <w:t xml:space="preserve">over </w:t>
      </w:r>
      <w:r w:rsidRPr="626F9A5A" w:rsidR="000E254E">
        <w:rPr>
          <w:sz w:val="24"/>
        </w:rPr>
        <w:t>2</w:t>
      </w:r>
      <w:r w:rsidRPr="626F9A5A" w:rsidR="00440FE4">
        <w:rPr>
          <w:sz w:val="24"/>
        </w:rPr>
        <w:t>4</w:t>
      </w:r>
      <w:r w:rsidRPr="626F9A5A" w:rsidR="000E254E">
        <w:rPr>
          <w:sz w:val="24"/>
        </w:rPr>
        <w:t xml:space="preserve"> </w:t>
      </w:r>
      <w:r w:rsidRPr="626F9A5A" w:rsidR="56DC9ECF">
        <w:rPr>
          <w:sz w:val="24"/>
        </w:rPr>
        <w:t>months</w:t>
      </w:r>
      <w:r w:rsidR="00CE638C">
        <w:rPr>
          <w:sz w:val="24"/>
        </w:rPr>
        <w:t>,</w:t>
      </w:r>
      <w:r w:rsidRPr="626F9A5A" w:rsidR="00B21FBA">
        <w:rPr>
          <w:sz w:val="24"/>
        </w:rPr>
        <w:t xml:space="preserve"> </w:t>
      </w:r>
      <w:r w:rsidRPr="2A3B016D" w:rsidR="00B21FBA">
        <w:rPr>
          <w:sz w:val="24"/>
        </w:rPr>
        <w:t>or $</w:t>
      </w:r>
      <w:r w:rsidRPr="2A3B016D" w:rsidR="00920609">
        <w:rPr>
          <w:sz w:val="24"/>
        </w:rPr>
        <w:t>1</w:t>
      </w:r>
      <w:r w:rsidRPr="2A3B016D" w:rsidR="16DA9004">
        <w:rPr>
          <w:sz w:val="24"/>
        </w:rPr>
        <w:t>45</w:t>
      </w:r>
      <w:r w:rsidRPr="2A3B016D" w:rsidR="0021791B">
        <w:rPr>
          <w:sz w:val="24"/>
        </w:rPr>
        <w:t>,</w:t>
      </w:r>
      <w:r w:rsidRPr="2A3B016D" w:rsidR="284185D9">
        <w:rPr>
          <w:sz w:val="24"/>
        </w:rPr>
        <w:t>134</w:t>
      </w:r>
      <w:r w:rsidRPr="2A3B016D" w:rsidR="00920609">
        <w:rPr>
          <w:sz w:val="24"/>
        </w:rPr>
        <w:t>.</w:t>
      </w:r>
      <w:r w:rsidRPr="2A3B016D" w:rsidR="008D57FC">
        <w:rPr>
          <w:sz w:val="24"/>
        </w:rPr>
        <w:t>5</w:t>
      </w:r>
      <w:r w:rsidRPr="2A3B016D" w:rsidR="00C23D64">
        <w:rPr>
          <w:sz w:val="24"/>
        </w:rPr>
        <w:t>0</w:t>
      </w:r>
      <w:r w:rsidRPr="2A3B016D" w:rsidR="00CC29FF">
        <w:rPr>
          <w:sz w:val="24"/>
        </w:rPr>
        <w:t xml:space="preserve"> </w:t>
      </w:r>
      <w:r w:rsidRPr="2A3B016D" w:rsidR="00B21FBA">
        <w:rPr>
          <w:sz w:val="24"/>
        </w:rPr>
        <w:t xml:space="preserve">annually. The cost of federal employees providing </w:t>
      </w:r>
      <w:r w:rsidRPr="2A3B016D" w:rsidR="00B21FBA">
        <w:rPr>
          <w:sz w:val="24"/>
        </w:rPr>
        <w:t>oversight</w:t>
      </w:r>
      <w:r w:rsidRPr="2A3B016D" w:rsidR="00B21FBA">
        <w:rPr>
          <w:sz w:val="24"/>
        </w:rPr>
        <w:t xml:space="preserve"> and some analysis is </w:t>
      </w:r>
      <w:r w:rsidRPr="2A3B016D" w:rsidR="00B04474">
        <w:rPr>
          <w:sz w:val="24"/>
        </w:rPr>
        <w:t>$</w:t>
      </w:r>
      <w:r w:rsidRPr="2A3B016D" w:rsidR="008F304A">
        <w:rPr>
          <w:sz w:val="24"/>
        </w:rPr>
        <w:t>5</w:t>
      </w:r>
      <w:r w:rsidRPr="2A3B016D" w:rsidR="3356C448">
        <w:rPr>
          <w:sz w:val="24"/>
        </w:rPr>
        <w:t>5</w:t>
      </w:r>
      <w:r w:rsidRPr="2A3B016D" w:rsidR="29CF66E1">
        <w:rPr>
          <w:sz w:val="24"/>
        </w:rPr>
        <w:t>,</w:t>
      </w:r>
      <w:r w:rsidRPr="2A3B016D" w:rsidR="4B6141A1">
        <w:rPr>
          <w:sz w:val="24"/>
        </w:rPr>
        <w:t>096</w:t>
      </w:r>
      <w:r w:rsidRPr="2A3B016D" w:rsidR="00B04474">
        <w:rPr>
          <w:sz w:val="24"/>
        </w:rPr>
        <w:t xml:space="preserve">.00 </w:t>
      </w:r>
      <w:r w:rsidRPr="2A3B016D" w:rsidR="00B21FBA">
        <w:rPr>
          <w:sz w:val="24"/>
        </w:rPr>
        <w:t xml:space="preserve">over </w:t>
      </w:r>
      <w:r w:rsidRPr="2A3B016D" w:rsidR="001709E4">
        <w:rPr>
          <w:sz w:val="24"/>
        </w:rPr>
        <w:t>2</w:t>
      </w:r>
      <w:r w:rsidR="001709E4">
        <w:rPr>
          <w:sz w:val="24"/>
        </w:rPr>
        <w:t>4</w:t>
      </w:r>
      <w:r w:rsidRPr="2A3B016D" w:rsidR="001709E4">
        <w:rPr>
          <w:sz w:val="24"/>
        </w:rPr>
        <w:t xml:space="preserve"> </w:t>
      </w:r>
      <w:r w:rsidRPr="2A3B016D" w:rsidR="173A492F">
        <w:rPr>
          <w:sz w:val="24"/>
        </w:rPr>
        <w:t>month</w:t>
      </w:r>
      <w:r w:rsidRPr="2A3B016D" w:rsidR="00B21FBA">
        <w:rPr>
          <w:sz w:val="24"/>
        </w:rPr>
        <w:t>s</w:t>
      </w:r>
      <w:r w:rsidR="00CE638C">
        <w:rPr>
          <w:sz w:val="24"/>
        </w:rPr>
        <w:t>,</w:t>
      </w:r>
      <w:r w:rsidRPr="2A3B016D" w:rsidR="00B21FBA">
        <w:rPr>
          <w:sz w:val="24"/>
        </w:rPr>
        <w:t xml:space="preserve"> or </w:t>
      </w:r>
      <w:r w:rsidRPr="2A3B016D" w:rsidR="00E074B6">
        <w:rPr>
          <w:sz w:val="24"/>
        </w:rPr>
        <w:t>$</w:t>
      </w:r>
      <w:r w:rsidRPr="2A3B016D" w:rsidR="3469CC75">
        <w:rPr>
          <w:sz w:val="24"/>
        </w:rPr>
        <w:t>2</w:t>
      </w:r>
      <w:r w:rsidRPr="2A3B016D" w:rsidR="0290700B">
        <w:rPr>
          <w:sz w:val="24"/>
        </w:rPr>
        <w:t>7</w:t>
      </w:r>
      <w:r w:rsidRPr="2A3B016D" w:rsidR="3469CC75">
        <w:rPr>
          <w:sz w:val="24"/>
        </w:rPr>
        <w:t>,</w:t>
      </w:r>
      <w:r w:rsidRPr="2A3B016D" w:rsidR="0E268896">
        <w:rPr>
          <w:sz w:val="24"/>
        </w:rPr>
        <w:t>5</w:t>
      </w:r>
      <w:r w:rsidRPr="2A3B016D" w:rsidR="1BA97818">
        <w:rPr>
          <w:sz w:val="24"/>
        </w:rPr>
        <w:t>48</w:t>
      </w:r>
      <w:r w:rsidRPr="2A3B016D" w:rsidR="00E074B6">
        <w:rPr>
          <w:sz w:val="24"/>
        </w:rPr>
        <w:t>.00</w:t>
      </w:r>
      <w:r w:rsidRPr="2A3B016D" w:rsidR="7D80D0F2">
        <w:rPr>
          <w:sz w:val="24"/>
        </w:rPr>
        <w:t xml:space="preserve"> </w:t>
      </w:r>
      <w:r w:rsidRPr="2A3B016D" w:rsidR="416A82EF">
        <w:rPr>
          <w:sz w:val="24"/>
        </w:rPr>
        <w:t>annually</w:t>
      </w:r>
      <w:r w:rsidRPr="2A3B016D" w:rsidR="4AF8D0EB">
        <w:rPr>
          <w:sz w:val="24"/>
        </w:rPr>
        <w:t>.</w:t>
      </w:r>
      <w:r w:rsidRPr="626F9A5A" w:rsidR="00B21FBA">
        <w:rPr>
          <w:sz w:val="24"/>
        </w:rPr>
        <w:t xml:space="preserve"> </w:t>
      </w:r>
    </w:p>
    <w:p w:rsidR="0098164F" w14:paraId="668986B1" w14:textId="77777777">
      <w:pPr>
        <w:ind w:left="720"/>
        <w:rPr>
          <w:sz w:val="24"/>
        </w:rPr>
      </w:pPr>
    </w:p>
    <w:p w:rsidR="0098164F" w14:paraId="45011DCD" w14:textId="77777777">
      <w:pPr>
        <w:numPr>
          <w:ilvl w:val="0"/>
          <w:numId w:val="2"/>
        </w:numPr>
        <w:rPr>
          <w:b/>
          <w:sz w:val="24"/>
        </w:rPr>
      </w:pPr>
      <w:r>
        <w:rPr>
          <w:b/>
          <w:sz w:val="24"/>
          <w:u w:val="single"/>
        </w:rPr>
        <w:t>Explanation for Program Changes or Adjustments</w:t>
      </w:r>
    </w:p>
    <w:p w:rsidR="007B363C" w:rsidRPr="004C10E1" w:rsidP="00F532BD" w14:paraId="610CB2FB" w14:textId="161C82A7">
      <w:pPr>
        <w:pStyle w:val="BodyText"/>
        <w:spacing w:after="0"/>
        <w:ind w:left="720"/>
        <w:contextualSpacing/>
        <w:rPr>
          <w:sz w:val="24"/>
        </w:rPr>
      </w:pPr>
      <w:r>
        <w:rPr>
          <w:sz w:val="24"/>
        </w:rPr>
        <w:t>T</w:t>
      </w:r>
      <w:r w:rsidR="00C53FB9">
        <w:rPr>
          <w:sz w:val="24"/>
        </w:rPr>
        <w:t>his is a new information collection request.</w:t>
      </w:r>
    </w:p>
    <w:p w:rsidR="0098164F" w:rsidP="00063BAF" w14:paraId="1371AE4B" w14:textId="0CFE4017">
      <w:pPr>
        <w:rPr>
          <w:sz w:val="24"/>
        </w:rPr>
      </w:pPr>
    </w:p>
    <w:p w:rsidR="00A271C6" w:rsidRPr="00F90E30" w:rsidP="00F90E30" w14:paraId="0B381CAF" w14:textId="0849E427">
      <w:pPr>
        <w:numPr>
          <w:ilvl w:val="0"/>
          <w:numId w:val="2"/>
        </w:numPr>
        <w:rPr>
          <w:b/>
          <w:sz w:val="24"/>
        </w:rPr>
      </w:pPr>
      <w:r>
        <w:rPr>
          <w:b/>
          <w:sz w:val="24"/>
          <w:u w:val="single"/>
        </w:rPr>
        <w:t>Plans for Tabulation and Publication and Project Time</w:t>
      </w:r>
      <w:r w:rsidR="00783415">
        <w:rPr>
          <w:b/>
          <w:sz w:val="24"/>
          <w:u w:val="single"/>
        </w:rPr>
        <w:t>line</w:t>
      </w:r>
    </w:p>
    <w:p w:rsidR="00A83769" w:rsidRPr="00F418CC" w:rsidP="007317F1" w14:paraId="5C32BA33" w14:textId="774E2C51">
      <w:pPr>
        <w:pStyle w:val="p1"/>
        <w:spacing w:line="259" w:lineRule="auto"/>
        <w:ind w:left="720"/>
        <w:rPr>
          <w:sz w:val="24"/>
          <w:szCs w:val="24"/>
        </w:rPr>
      </w:pPr>
      <w:r>
        <w:rPr>
          <w:sz w:val="24"/>
          <w:szCs w:val="24"/>
        </w:rPr>
        <w:t>ASTP/ONC</w:t>
      </w:r>
      <w:r w:rsidR="007176C1">
        <w:rPr>
          <w:sz w:val="24"/>
          <w:szCs w:val="24"/>
        </w:rPr>
        <w:t xml:space="preserve"> and UCSF will jointly</w:t>
      </w:r>
      <w:r w:rsidRPr="00F418CC" w:rsidR="00F418CC">
        <w:rPr>
          <w:sz w:val="24"/>
          <w:szCs w:val="24"/>
        </w:rPr>
        <w:t xml:space="preserve"> conduct three types of analyses </w:t>
      </w:r>
      <w:r w:rsidR="00783415">
        <w:rPr>
          <w:sz w:val="24"/>
          <w:szCs w:val="24"/>
        </w:rPr>
        <w:t>based on</w:t>
      </w:r>
      <w:r w:rsidRPr="00F418CC" w:rsidR="00F418CC">
        <w:rPr>
          <w:sz w:val="24"/>
          <w:szCs w:val="24"/>
        </w:rPr>
        <w:t xml:space="preserve"> </w:t>
      </w:r>
      <w:r w:rsidR="00783415">
        <w:rPr>
          <w:sz w:val="24"/>
          <w:szCs w:val="24"/>
        </w:rPr>
        <w:t>the</w:t>
      </w:r>
      <w:r w:rsidRPr="00F418CC" w:rsidR="00783415">
        <w:rPr>
          <w:sz w:val="24"/>
          <w:szCs w:val="24"/>
        </w:rPr>
        <w:t xml:space="preserve"> </w:t>
      </w:r>
      <w:r w:rsidRPr="00F418CC" w:rsidR="00F418CC">
        <w:rPr>
          <w:sz w:val="24"/>
          <w:szCs w:val="24"/>
        </w:rPr>
        <w:t>survey results</w:t>
      </w:r>
      <w:r w:rsidRPr="3878F817" w:rsidR="743166D3">
        <w:rPr>
          <w:sz w:val="24"/>
          <w:szCs w:val="24"/>
        </w:rPr>
        <w:t>,</w:t>
      </w:r>
      <w:r w:rsidR="000D3D7C">
        <w:rPr>
          <w:sz w:val="24"/>
          <w:szCs w:val="24"/>
        </w:rPr>
        <w:t xml:space="preserve"> building on our longstanding tradition of using survey research to assess the national landscape of health data exchange and policy impacts.</w:t>
      </w:r>
      <w:r w:rsidR="009D6213">
        <w:rPr>
          <w:sz w:val="24"/>
          <w:szCs w:val="24"/>
        </w:rPr>
        <w:t xml:space="preserve"> </w:t>
      </w:r>
      <w:r w:rsidRPr="3878F817" w:rsidR="28240713">
        <w:rPr>
          <w:sz w:val="24"/>
          <w:szCs w:val="24"/>
        </w:rPr>
        <w:t xml:space="preserve">Insights </w:t>
      </w:r>
      <w:r w:rsidRPr="3878F817" w:rsidR="4DE6EF9F">
        <w:rPr>
          <w:sz w:val="24"/>
          <w:szCs w:val="24"/>
        </w:rPr>
        <w:t xml:space="preserve">derived </w:t>
      </w:r>
      <w:r w:rsidRPr="3878F817" w:rsidR="28240713">
        <w:rPr>
          <w:sz w:val="24"/>
          <w:szCs w:val="24"/>
        </w:rPr>
        <w:t>from our</w:t>
      </w:r>
      <w:r w:rsidRPr="3878F817" w:rsidR="6B780E52">
        <w:rPr>
          <w:sz w:val="24"/>
          <w:szCs w:val="24"/>
        </w:rPr>
        <w:t xml:space="preserve"> analyses</w:t>
      </w:r>
      <w:r w:rsidRPr="3878F817" w:rsidR="6AA48978">
        <w:rPr>
          <w:sz w:val="24"/>
          <w:szCs w:val="24"/>
        </w:rPr>
        <w:t xml:space="preserve"> of this survey</w:t>
      </w:r>
      <w:r w:rsidR="009D6213">
        <w:rPr>
          <w:sz w:val="24"/>
          <w:szCs w:val="24"/>
        </w:rPr>
        <w:t xml:space="preserve"> will </w:t>
      </w:r>
      <w:r w:rsidRPr="2A3B016D" w:rsidR="441110DC">
        <w:rPr>
          <w:sz w:val="24"/>
          <w:szCs w:val="24"/>
        </w:rPr>
        <w:t>expand up</w:t>
      </w:r>
      <w:r w:rsidRPr="2A3B016D" w:rsidR="7F9C0E78">
        <w:rPr>
          <w:sz w:val="24"/>
          <w:szCs w:val="24"/>
        </w:rPr>
        <w:t xml:space="preserve">on </w:t>
      </w:r>
      <w:r w:rsidRPr="2A3B016D" w:rsidR="571FE9A6">
        <w:rPr>
          <w:sz w:val="24"/>
          <w:szCs w:val="24"/>
        </w:rPr>
        <w:t>knowledge acquired from</w:t>
      </w:r>
      <w:r w:rsidR="009D6213">
        <w:rPr>
          <w:sz w:val="24"/>
          <w:szCs w:val="24"/>
        </w:rPr>
        <w:t xml:space="preserve"> prior efforts, such as our 2024 JAMIA publication on digital health company experiences integrating with EHR APIs, which explored the implications of API regulation on interoperability, use of FHIR, and market access challenges. </w:t>
      </w:r>
      <w:r>
        <w:rPr>
          <w:sz w:val="24"/>
          <w:szCs w:val="24"/>
        </w:rPr>
        <w:t xml:space="preserve">Furthermore, this data collection effort will allow for longitudinal comparisons and trend assessments. </w:t>
      </w:r>
    </w:p>
    <w:p w:rsidR="000A5730" w:rsidP="00813595" w14:paraId="5FC4C99B" w14:textId="77777777">
      <w:pPr>
        <w:pStyle w:val="p1"/>
        <w:ind w:left="720"/>
        <w:rPr>
          <w:sz w:val="24"/>
          <w:szCs w:val="24"/>
        </w:rPr>
      </w:pPr>
    </w:p>
    <w:p w:rsidR="00F418CC" w:rsidP="00813595" w14:paraId="490F8A0B" w14:textId="632A6E45">
      <w:pPr>
        <w:pStyle w:val="p1"/>
        <w:ind w:left="720"/>
        <w:rPr>
          <w:sz w:val="24"/>
          <w:szCs w:val="24"/>
        </w:rPr>
      </w:pPr>
      <w:r w:rsidRPr="00F418CC">
        <w:rPr>
          <w:sz w:val="24"/>
          <w:szCs w:val="24"/>
        </w:rPr>
        <w:t xml:space="preserve">First, we will describe response rate </w:t>
      </w:r>
      <w:r w:rsidR="00C4549B">
        <w:rPr>
          <w:sz w:val="24"/>
          <w:szCs w:val="24"/>
        </w:rPr>
        <w:t>and</w:t>
      </w:r>
      <w:r w:rsidRPr="2A3B016D" w:rsidR="39E108D5">
        <w:rPr>
          <w:sz w:val="24"/>
          <w:szCs w:val="24"/>
        </w:rPr>
        <w:t>, using characteristics such as company size, application type, and market presence,</w:t>
      </w:r>
      <w:r w:rsidR="00C4549B">
        <w:rPr>
          <w:sz w:val="24"/>
          <w:szCs w:val="24"/>
        </w:rPr>
        <w:t xml:space="preserve"> assess the </w:t>
      </w:r>
      <w:r w:rsidR="000A5730">
        <w:rPr>
          <w:sz w:val="24"/>
          <w:szCs w:val="24"/>
        </w:rPr>
        <w:t>representativeness</w:t>
      </w:r>
      <w:r w:rsidR="00412EA4">
        <w:rPr>
          <w:sz w:val="24"/>
          <w:szCs w:val="24"/>
        </w:rPr>
        <w:t xml:space="preserve"> of the sample to the target population of digital health companies. </w:t>
      </w:r>
      <w:r w:rsidR="00AC1213">
        <w:rPr>
          <w:sz w:val="24"/>
          <w:szCs w:val="24"/>
        </w:rPr>
        <w:t xml:space="preserve">Second, we will conduct descriptive analyses that provide national estimates for key measures including </w:t>
      </w:r>
      <w:r w:rsidR="00D45511">
        <w:rPr>
          <w:sz w:val="24"/>
          <w:szCs w:val="24"/>
        </w:rPr>
        <w:t xml:space="preserve">use of EHR APIs, </w:t>
      </w:r>
      <w:r w:rsidR="004F0474">
        <w:rPr>
          <w:sz w:val="24"/>
          <w:szCs w:val="24"/>
        </w:rPr>
        <w:t>the extent to which</w:t>
      </w:r>
      <w:r w:rsidR="00456C34">
        <w:rPr>
          <w:sz w:val="24"/>
          <w:szCs w:val="24"/>
        </w:rPr>
        <w:t xml:space="preserve"> the FHIR standard is adopted</w:t>
      </w:r>
      <w:r w:rsidR="00D45511">
        <w:rPr>
          <w:sz w:val="24"/>
          <w:szCs w:val="24"/>
        </w:rPr>
        <w:t xml:space="preserve">, </w:t>
      </w:r>
      <w:r w:rsidR="00813595">
        <w:rPr>
          <w:sz w:val="24"/>
          <w:szCs w:val="24"/>
        </w:rPr>
        <w:t xml:space="preserve">the </w:t>
      </w:r>
      <w:r w:rsidR="00D45511">
        <w:rPr>
          <w:sz w:val="24"/>
          <w:szCs w:val="24"/>
        </w:rPr>
        <w:t>integration landscape</w:t>
      </w:r>
      <w:r w:rsidR="00813595">
        <w:rPr>
          <w:sz w:val="24"/>
          <w:szCs w:val="24"/>
        </w:rPr>
        <w:t xml:space="preserve"> of EHR vendors that APIs are integrated with</w:t>
      </w:r>
      <w:r w:rsidR="00D45511">
        <w:rPr>
          <w:sz w:val="24"/>
          <w:szCs w:val="24"/>
        </w:rPr>
        <w:t>, and barriers and enablers</w:t>
      </w:r>
      <w:r w:rsidR="004F0474">
        <w:rPr>
          <w:sz w:val="24"/>
          <w:szCs w:val="24"/>
        </w:rPr>
        <w:t xml:space="preserve"> of successful integration</w:t>
      </w:r>
      <w:r w:rsidR="00813595">
        <w:rPr>
          <w:sz w:val="24"/>
          <w:szCs w:val="24"/>
        </w:rPr>
        <w:t xml:space="preserve">. Finally, </w:t>
      </w:r>
      <w:r w:rsidR="004B75A8">
        <w:rPr>
          <w:sz w:val="24"/>
          <w:szCs w:val="24"/>
        </w:rPr>
        <w:t xml:space="preserve">we will conduct more advanced multivariable regression analyses that will </w:t>
      </w:r>
      <w:r w:rsidR="008A7A70">
        <w:rPr>
          <w:sz w:val="24"/>
          <w:szCs w:val="24"/>
        </w:rPr>
        <w:t xml:space="preserve">examine predictors of key indicators such as successful integration with multiple EHR vendors, extensive use of FHIR, and low reported burden. </w:t>
      </w:r>
      <w:r w:rsidRPr="2A3B016D" w:rsidR="2B1E54D9">
        <w:rPr>
          <w:sz w:val="24"/>
          <w:szCs w:val="24"/>
        </w:rPr>
        <w:t>Th</w:t>
      </w:r>
      <w:r w:rsidRPr="2A3B016D" w:rsidR="365835C1">
        <w:rPr>
          <w:sz w:val="24"/>
          <w:szCs w:val="24"/>
        </w:rPr>
        <w:t>rough th</w:t>
      </w:r>
      <w:r w:rsidRPr="2A3B016D" w:rsidR="2B1E54D9">
        <w:rPr>
          <w:sz w:val="24"/>
          <w:szCs w:val="24"/>
        </w:rPr>
        <w:t>ese</w:t>
      </w:r>
      <w:r w:rsidR="00A859DB">
        <w:rPr>
          <w:sz w:val="24"/>
          <w:szCs w:val="24"/>
        </w:rPr>
        <w:t xml:space="preserve"> analyses</w:t>
      </w:r>
      <w:r w:rsidRPr="2A3B016D" w:rsidR="68BABC95">
        <w:rPr>
          <w:sz w:val="24"/>
          <w:szCs w:val="24"/>
        </w:rPr>
        <w:t>, we</w:t>
      </w:r>
      <w:r w:rsidR="00A859DB">
        <w:rPr>
          <w:sz w:val="24"/>
          <w:szCs w:val="24"/>
        </w:rPr>
        <w:t xml:space="preserve"> aim to identify structural and policy-</w:t>
      </w:r>
      <w:r w:rsidR="000A5730">
        <w:rPr>
          <w:sz w:val="24"/>
          <w:szCs w:val="24"/>
        </w:rPr>
        <w:t>relevant</w:t>
      </w:r>
      <w:r w:rsidR="00A859DB">
        <w:rPr>
          <w:sz w:val="24"/>
          <w:szCs w:val="24"/>
        </w:rPr>
        <w:t xml:space="preserve"> factors associated with API integration scalability and sustainability. </w:t>
      </w:r>
      <w:r w:rsidR="00AA4493">
        <w:rPr>
          <w:sz w:val="24"/>
          <w:szCs w:val="24"/>
        </w:rPr>
        <w:t>Results will be stratified by company size, maturity, and application domain</w:t>
      </w:r>
      <w:r w:rsidRPr="2A3B016D" w:rsidR="72F4FC51">
        <w:rPr>
          <w:sz w:val="24"/>
          <w:szCs w:val="24"/>
        </w:rPr>
        <w:t>,</w:t>
      </w:r>
      <w:r w:rsidR="00AA4493">
        <w:rPr>
          <w:sz w:val="24"/>
          <w:szCs w:val="24"/>
        </w:rPr>
        <w:t xml:space="preserve"> where appropriate.</w:t>
      </w:r>
      <w:r w:rsidR="000A5730">
        <w:rPr>
          <w:sz w:val="24"/>
          <w:szCs w:val="24"/>
        </w:rPr>
        <w:t xml:space="preserve"> </w:t>
      </w:r>
    </w:p>
    <w:p w:rsidR="000A5730" w:rsidP="00813595" w14:paraId="1AD0B7FD" w14:textId="77777777">
      <w:pPr>
        <w:pStyle w:val="p1"/>
        <w:ind w:left="720"/>
        <w:rPr>
          <w:sz w:val="24"/>
          <w:szCs w:val="24"/>
        </w:rPr>
      </w:pPr>
    </w:p>
    <w:p w:rsidR="002E1E27" w:rsidP="00F418CC" w14:paraId="4150FC02" w14:textId="38337FBB">
      <w:pPr>
        <w:pStyle w:val="p1"/>
        <w:ind w:left="720"/>
        <w:rPr>
          <w:sz w:val="24"/>
          <w:szCs w:val="24"/>
        </w:rPr>
      </w:pPr>
      <w:r w:rsidRPr="00F418CC">
        <w:rPr>
          <w:sz w:val="24"/>
          <w:szCs w:val="24"/>
        </w:rPr>
        <w:t xml:space="preserve">We will </w:t>
      </w:r>
      <w:r w:rsidR="00745F23">
        <w:rPr>
          <w:sz w:val="24"/>
          <w:szCs w:val="24"/>
        </w:rPr>
        <w:t xml:space="preserve">conduct preliminary analyses and solicit input internally within </w:t>
      </w:r>
      <w:r w:rsidR="0027175C">
        <w:rPr>
          <w:sz w:val="24"/>
          <w:szCs w:val="24"/>
        </w:rPr>
        <w:t>ASTP/ONC</w:t>
      </w:r>
      <w:r w:rsidR="00933A97">
        <w:rPr>
          <w:sz w:val="24"/>
          <w:szCs w:val="24"/>
        </w:rPr>
        <w:t>,</w:t>
      </w:r>
      <w:r w:rsidR="009F5548">
        <w:rPr>
          <w:sz w:val="24"/>
          <w:szCs w:val="24"/>
        </w:rPr>
        <w:t xml:space="preserve"> </w:t>
      </w:r>
      <w:r w:rsidR="00A83769">
        <w:rPr>
          <w:sz w:val="24"/>
          <w:szCs w:val="24"/>
        </w:rPr>
        <w:t xml:space="preserve">UCSF, </w:t>
      </w:r>
      <w:r w:rsidR="00A83769">
        <w:rPr>
          <w:sz w:val="24"/>
          <w:szCs w:val="24"/>
        </w:rPr>
        <w:t>ScaleHealth</w:t>
      </w:r>
      <w:r w:rsidR="00A83769">
        <w:rPr>
          <w:sz w:val="24"/>
          <w:szCs w:val="24"/>
        </w:rPr>
        <w:t xml:space="preserve">, and </w:t>
      </w:r>
      <w:r w:rsidR="00A83769">
        <w:rPr>
          <w:sz w:val="24"/>
          <w:szCs w:val="24"/>
        </w:rPr>
        <w:t>Clinovations</w:t>
      </w:r>
      <w:r w:rsidR="006812BA">
        <w:rPr>
          <w:sz w:val="24"/>
          <w:szCs w:val="24"/>
        </w:rPr>
        <w:t xml:space="preserve"> </w:t>
      </w:r>
      <w:r w:rsidRPr="00F418CC">
        <w:rPr>
          <w:sz w:val="24"/>
          <w:szCs w:val="24"/>
        </w:rPr>
        <w:t xml:space="preserve">to ensure that </w:t>
      </w:r>
      <w:r w:rsidRPr="2A3B016D" w:rsidR="34B9F644">
        <w:rPr>
          <w:sz w:val="24"/>
          <w:szCs w:val="24"/>
        </w:rPr>
        <w:t xml:space="preserve">our </w:t>
      </w:r>
      <w:r w:rsidRPr="2A3B016D" w:rsidR="5BBA38E5">
        <w:rPr>
          <w:sz w:val="24"/>
          <w:szCs w:val="24"/>
        </w:rPr>
        <w:t xml:space="preserve">analytic </w:t>
      </w:r>
      <w:r w:rsidRPr="2A3B016D" w:rsidR="34B9F644">
        <w:rPr>
          <w:sz w:val="24"/>
          <w:szCs w:val="24"/>
        </w:rPr>
        <w:t>approach</w:t>
      </w:r>
      <w:r w:rsidRPr="2A3B016D" w:rsidR="1588B716">
        <w:rPr>
          <w:sz w:val="24"/>
          <w:szCs w:val="24"/>
        </w:rPr>
        <w:t xml:space="preserve"> reflect</w:t>
      </w:r>
      <w:r w:rsidRPr="2A3B016D" w:rsidR="645D0A4E">
        <w:rPr>
          <w:sz w:val="24"/>
          <w:szCs w:val="24"/>
        </w:rPr>
        <w:t>s</w:t>
      </w:r>
      <w:r w:rsidRPr="00F418CC">
        <w:rPr>
          <w:sz w:val="24"/>
          <w:szCs w:val="24"/>
        </w:rPr>
        <w:t xml:space="preserve"> the </w:t>
      </w:r>
      <w:r w:rsidR="00933A97">
        <w:rPr>
          <w:sz w:val="24"/>
          <w:szCs w:val="24"/>
        </w:rPr>
        <w:t>expertise</w:t>
      </w:r>
      <w:r w:rsidRPr="00F418CC">
        <w:rPr>
          <w:sz w:val="24"/>
          <w:szCs w:val="24"/>
        </w:rPr>
        <w:t xml:space="preserve"> from these organizations. </w:t>
      </w:r>
      <w:r w:rsidR="00745F23">
        <w:rPr>
          <w:sz w:val="24"/>
          <w:szCs w:val="24"/>
        </w:rPr>
        <w:t>T</w:t>
      </w:r>
      <w:r w:rsidRPr="00F418CC">
        <w:rPr>
          <w:sz w:val="24"/>
          <w:szCs w:val="24"/>
        </w:rPr>
        <w:t xml:space="preserve">he results </w:t>
      </w:r>
      <w:r w:rsidR="00745F23">
        <w:rPr>
          <w:sz w:val="24"/>
          <w:szCs w:val="24"/>
        </w:rPr>
        <w:t xml:space="preserve">will be published, </w:t>
      </w:r>
      <w:r w:rsidR="00542AE8">
        <w:rPr>
          <w:sz w:val="24"/>
          <w:szCs w:val="24"/>
        </w:rPr>
        <w:t>like</w:t>
      </w:r>
      <w:r w:rsidR="00745F23">
        <w:rPr>
          <w:sz w:val="24"/>
          <w:szCs w:val="24"/>
        </w:rPr>
        <w:t xml:space="preserve"> the </w:t>
      </w:r>
      <w:r w:rsidR="00A83769">
        <w:rPr>
          <w:sz w:val="24"/>
          <w:szCs w:val="24"/>
        </w:rPr>
        <w:t>2022</w:t>
      </w:r>
      <w:r w:rsidR="00745F23">
        <w:rPr>
          <w:sz w:val="24"/>
          <w:szCs w:val="24"/>
        </w:rPr>
        <w:t xml:space="preserve"> findings</w:t>
      </w:r>
      <w:r w:rsidR="00933A97">
        <w:rPr>
          <w:sz w:val="24"/>
          <w:szCs w:val="24"/>
        </w:rPr>
        <w:t>,</w:t>
      </w:r>
      <w:r w:rsidR="00745F23">
        <w:rPr>
          <w:sz w:val="24"/>
          <w:szCs w:val="24"/>
        </w:rPr>
        <w:t xml:space="preserve"> in peer-reviewed </w:t>
      </w:r>
      <w:r w:rsidRPr="00F418CC">
        <w:rPr>
          <w:sz w:val="24"/>
          <w:szCs w:val="24"/>
        </w:rPr>
        <w:t>publications or other public documents</w:t>
      </w:r>
      <w:r w:rsidR="00745F23">
        <w:rPr>
          <w:sz w:val="24"/>
          <w:szCs w:val="24"/>
        </w:rPr>
        <w:t xml:space="preserve">, </w:t>
      </w:r>
      <w:r w:rsidRPr="2A3B016D" w:rsidR="19CC2DAB">
        <w:rPr>
          <w:sz w:val="24"/>
          <w:szCs w:val="24"/>
        </w:rPr>
        <w:t xml:space="preserve">and </w:t>
      </w:r>
      <w:r w:rsidR="00745F23">
        <w:rPr>
          <w:sz w:val="24"/>
          <w:szCs w:val="24"/>
        </w:rPr>
        <w:t>shared via conferences and through blog posts to ensure they are widely disseminated</w:t>
      </w:r>
      <w:r w:rsidRPr="00F418CC">
        <w:rPr>
          <w:sz w:val="24"/>
          <w:szCs w:val="24"/>
        </w:rPr>
        <w:t xml:space="preserve">.  </w:t>
      </w:r>
    </w:p>
    <w:p w:rsidR="00F418CC" w:rsidP="00F418CC" w14:paraId="5AE09E09" w14:textId="77777777">
      <w:pPr>
        <w:pStyle w:val="p1"/>
        <w:ind w:left="720"/>
        <w:rPr>
          <w:rStyle w:val="apple-converted-space"/>
          <w:sz w:val="24"/>
          <w:szCs w:val="24"/>
        </w:rPr>
      </w:pPr>
    </w:p>
    <w:p w:rsidR="00683B8E" w:rsidRPr="001E7511" w:rsidP="002A12BC" w14:paraId="761B99C8" w14:textId="48203A3B">
      <w:pPr>
        <w:pStyle w:val="p1"/>
        <w:ind w:left="720"/>
        <w:rPr>
          <w:sz w:val="24"/>
          <w:szCs w:val="24"/>
        </w:rPr>
      </w:pPr>
      <w:r w:rsidRPr="4077781B">
        <w:rPr>
          <w:rStyle w:val="apple-converted-space"/>
          <w:sz w:val="24"/>
          <w:szCs w:val="24"/>
        </w:rPr>
        <w:t>The project timeline is</w:t>
      </w:r>
      <w:r w:rsidRPr="4077781B" w:rsidR="00DC4009">
        <w:rPr>
          <w:rStyle w:val="apple-converted-space"/>
          <w:sz w:val="24"/>
          <w:szCs w:val="24"/>
        </w:rPr>
        <w:t xml:space="preserve"> </w:t>
      </w:r>
      <w:r w:rsidRPr="4077781B" w:rsidR="615FD258">
        <w:rPr>
          <w:rStyle w:val="apple-converted-space"/>
          <w:sz w:val="24"/>
          <w:szCs w:val="24"/>
        </w:rPr>
        <w:t>2</w:t>
      </w:r>
      <w:r w:rsidRPr="4077781B" w:rsidR="42C379E2">
        <w:rPr>
          <w:rStyle w:val="apple-converted-space"/>
          <w:sz w:val="24"/>
          <w:szCs w:val="24"/>
        </w:rPr>
        <w:t>4</w:t>
      </w:r>
      <w:r w:rsidRPr="4077781B" w:rsidR="00DC4009">
        <w:rPr>
          <w:rStyle w:val="apple-converted-space"/>
          <w:sz w:val="24"/>
          <w:szCs w:val="24"/>
        </w:rPr>
        <w:t xml:space="preserve"> months</w:t>
      </w:r>
      <w:r w:rsidRPr="4077781B">
        <w:rPr>
          <w:rStyle w:val="apple-converted-space"/>
          <w:sz w:val="24"/>
          <w:szCs w:val="24"/>
        </w:rPr>
        <w:t xml:space="preserve">, starting in </w:t>
      </w:r>
      <w:r w:rsidRPr="4077781B" w:rsidR="00793D89">
        <w:rPr>
          <w:rStyle w:val="apple-converted-space"/>
          <w:sz w:val="24"/>
          <w:szCs w:val="24"/>
        </w:rPr>
        <w:t xml:space="preserve">August </w:t>
      </w:r>
      <w:r w:rsidRPr="4077781B" w:rsidR="00525964">
        <w:rPr>
          <w:rStyle w:val="apple-converted-space"/>
          <w:sz w:val="24"/>
          <w:szCs w:val="24"/>
        </w:rPr>
        <w:t>of</w:t>
      </w:r>
      <w:r w:rsidRPr="4077781B">
        <w:rPr>
          <w:rStyle w:val="apple-converted-space"/>
          <w:sz w:val="24"/>
          <w:szCs w:val="24"/>
        </w:rPr>
        <w:t xml:space="preserve"> </w:t>
      </w:r>
      <w:r w:rsidRPr="4077781B" w:rsidR="00525964">
        <w:rPr>
          <w:rStyle w:val="apple-converted-space"/>
          <w:sz w:val="24"/>
          <w:szCs w:val="24"/>
        </w:rPr>
        <w:t>202</w:t>
      </w:r>
      <w:r w:rsidRPr="4077781B" w:rsidR="00C357C6">
        <w:rPr>
          <w:rStyle w:val="apple-converted-space"/>
          <w:sz w:val="24"/>
          <w:szCs w:val="24"/>
        </w:rPr>
        <w:t>4</w:t>
      </w:r>
      <w:r w:rsidRPr="4077781B" w:rsidR="00525964">
        <w:rPr>
          <w:rStyle w:val="apple-converted-space"/>
          <w:sz w:val="24"/>
          <w:szCs w:val="24"/>
        </w:rPr>
        <w:t xml:space="preserve"> </w:t>
      </w:r>
      <w:r w:rsidRPr="4077781B">
        <w:rPr>
          <w:rStyle w:val="apple-converted-space"/>
          <w:sz w:val="24"/>
          <w:szCs w:val="24"/>
        </w:rPr>
        <w:t>and ending</w:t>
      </w:r>
      <w:r w:rsidRPr="4077781B" w:rsidR="00525964">
        <w:rPr>
          <w:rStyle w:val="apple-converted-space"/>
          <w:sz w:val="24"/>
          <w:szCs w:val="24"/>
        </w:rPr>
        <w:t xml:space="preserve"> in</w:t>
      </w:r>
      <w:r w:rsidRPr="4077781B">
        <w:rPr>
          <w:rStyle w:val="apple-converted-space"/>
          <w:sz w:val="24"/>
          <w:szCs w:val="24"/>
        </w:rPr>
        <w:t xml:space="preserve"> </w:t>
      </w:r>
      <w:r w:rsidRPr="4077781B" w:rsidR="254C2E6A">
        <w:rPr>
          <w:rStyle w:val="apple-converted-space"/>
          <w:sz w:val="24"/>
          <w:szCs w:val="24"/>
        </w:rPr>
        <w:t>Ju</w:t>
      </w:r>
      <w:r w:rsidRPr="4077781B" w:rsidR="426091AF">
        <w:rPr>
          <w:rStyle w:val="apple-converted-space"/>
          <w:sz w:val="24"/>
          <w:szCs w:val="24"/>
        </w:rPr>
        <w:t>ly</w:t>
      </w:r>
      <w:r w:rsidRPr="4077781B">
        <w:rPr>
          <w:rStyle w:val="apple-converted-space"/>
          <w:sz w:val="24"/>
          <w:szCs w:val="24"/>
        </w:rPr>
        <w:t xml:space="preserve"> </w:t>
      </w:r>
      <w:r w:rsidRPr="4077781B" w:rsidR="00525964">
        <w:rPr>
          <w:rStyle w:val="apple-converted-space"/>
          <w:sz w:val="24"/>
          <w:szCs w:val="24"/>
        </w:rPr>
        <w:t xml:space="preserve">of </w:t>
      </w:r>
      <w:r w:rsidRPr="4077781B" w:rsidR="00C6123E">
        <w:rPr>
          <w:rStyle w:val="apple-converted-space"/>
          <w:sz w:val="24"/>
          <w:szCs w:val="24"/>
        </w:rPr>
        <w:t>202</w:t>
      </w:r>
      <w:r w:rsidRPr="4077781B" w:rsidR="00C357C6">
        <w:rPr>
          <w:rStyle w:val="apple-converted-space"/>
          <w:sz w:val="24"/>
          <w:szCs w:val="24"/>
        </w:rPr>
        <w:t>6</w:t>
      </w:r>
      <w:r w:rsidRPr="4077781B">
        <w:rPr>
          <w:rStyle w:val="apple-converted-space"/>
          <w:sz w:val="24"/>
          <w:szCs w:val="24"/>
        </w:rPr>
        <w:t xml:space="preserve">. Data collection will occur over </w:t>
      </w:r>
      <w:r w:rsidRPr="4077781B" w:rsidR="00CE1E16">
        <w:rPr>
          <w:rStyle w:val="apple-converted-space"/>
          <w:sz w:val="24"/>
          <w:szCs w:val="24"/>
        </w:rPr>
        <w:t xml:space="preserve">6 </w:t>
      </w:r>
      <w:r w:rsidRPr="4077781B">
        <w:rPr>
          <w:rStyle w:val="apple-converted-space"/>
          <w:sz w:val="24"/>
          <w:szCs w:val="24"/>
        </w:rPr>
        <w:t>months</w:t>
      </w:r>
      <w:r w:rsidRPr="4077781B" w:rsidR="001B04D8">
        <w:rPr>
          <w:rStyle w:val="apple-converted-space"/>
          <w:sz w:val="24"/>
          <w:szCs w:val="24"/>
        </w:rPr>
        <w:t xml:space="preserve"> and is scheduled to begin </w:t>
      </w:r>
      <w:r w:rsidRPr="4077781B" w:rsidR="00DA328E">
        <w:rPr>
          <w:rStyle w:val="apple-converted-space"/>
          <w:sz w:val="24"/>
          <w:szCs w:val="24"/>
        </w:rPr>
        <w:t>immediately</w:t>
      </w:r>
      <w:r w:rsidRPr="4077781B" w:rsidR="001B04D8">
        <w:rPr>
          <w:rStyle w:val="apple-converted-space"/>
          <w:sz w:val="24"/>
          <w:szCs w:val="24"/>
        </w:rPr>
        <w:t xml:space="preserve"> upon receiving OMB approval</w:t>
      </w:r>
      <w:r w:rsidRPr="4077781B">
        <w:rPr>
          <w:rStyle w:val="apple-converted-space"/>
          <w:sz w:val="24"/>
          <w:szCs w:val="24"/>
        </w:rPr>
        <w:t>.</w:t>
      </w:r>
      <w:r w:rsidRPr="4077781B">
        <w:rPr>
          <w:sz w:val="24"/>
          <w:szCs w:val="24"/>
        </w:rPr>
        <w:t xml:space="preserve"> </w:t>
      </w:r>
    </w:p>
    <w:p w:rsidR="0098164F" w:rsidP="009F5548" w14:paraId="19E728F4" w14:textId="77777777">
      <w:pPr>
        <w:rPr>
          <w:sz w:val="24"/>
        </w:rPr>
      </w:pPr>
    </w:p>
    <w:p w:rsidR="0098164F" w14:paraId="541ACAD7" w14:textId="77777777">
      <w:pPr>
        <w:numPr>
          <w:ilvl w:val="0"/>
          <w:numId w:val="2"/>
        </w:numPr>
        <w:rPr>
          <w:b/>
          <w:sz w:val="24"/>
        </w:rPr>
      </w:pPr>
      <w:r>
        <w:rPr>
          <w:b/>
          <w:sz w:val="24"/>
          <w:u w:val="single"/>
        </w:rPr>
        <w:t>Reason(s) Display of OMB Expiration Date is Inappropriate</w:t>
      </w:r>
    </w:p>
    <w:p w:rsidR="0098164F" w:rsidP="009F5548" w14:paraId="3545EE4A" w14:textId="77BCE318">
      <w:pPr>
        <w:pStyle w:val="BodyText"/>
        <w:ind w:left="720"/>
        <w:rPr>
          <w:sz w:val="24"/>
        </w:rPr>
      </w:pPr>
      <w:r w:rsidRPr="004C10E1">
        <w:rPr>
          <w:sz w:val="24"/>
        </w:rPr>
        <w:t>All data collection materials will display the OMB expiration date.</w:t>
      </w:r>
    </w:p>
    <w:p w:rsidR="00926A26" w:rsidP="00063BAF" w14:paraId="56D354BD" w14:textId="77777777">
      <w:pPr>
        <w:rPr>
          <w:sz w:val="24"/>
        </w:rPr>
      </w:pPr>
    </w:p>
    <w:p w:rsidR="0098164F" w14:paraId="0466B7EC" w14:textId="77777777">
      <w:pPr>
        <w:numPr>
          <w:ilvl w:val="0"/>
          <w:numId w:val="2"/>
        </w:numPr>
        <w:rPr>
          <w:b/>
          <w:sz w:val="24"/>
        </w:rPr>
      </w:pPr>
      <w:r>
        <w:rPr>
          <w:b/>
          <w:sz w:val="24"/>
          <w:u w:val="single"/>
        </w:rPr>
        <w:t>Exceptions to Certification for Paperwork Reduction Act Submissions</w:t>
      </w:r>
    </w:p>
    <w:p w:rsidR="004C10E1" w:rsidP="002A12BC" w14:paraId="73AA835E" w14:textId="77777777">
      <w:pPr>
        <w:pStyle w:val="BodyTextIndent"/>
        <w:rPr>
          <w:rFonts w:ascii="Times New Roman" w:hAnsi="Times New Roman"/>
        </w:rPr>
      </w:pPr>
      <w:r>
        <w:rPr>
          <w:rFonts w:ascii="Times New Roman" w:hAnsi="Times New Roman"/>
        </w:rPr>
        <w:t>There are no exceptions to the certification.</w:t>
      </w:r>
    </w:p>
    <w:p w:rsidR="007F232F" w:rsidP="007F232F" w14:paraId="6F7E948C" w14:textId="77777777">
      <w:pPr>
        <w:tabs>
          <w:tab w:val="left" w:pos="1080"/>
        </w:tabs>
        <w:ind w:left="1080"/>
        <w:rPr>
          <w:b/>
          <w:bCs/>
          <w:sz w:val="24"/>
          <w:u w:val="single"/>
        </w:rPr>
      </w:pPr>
    </w:p>
    <w:sectPr w:rsidSect="00206228">
      <w:footerReference w:type="even" r:id="rId11"/>
      <w:footerReference w:type="default" r:id="rId12"/>
      <w:endnotePr>
        <w:numFmt w:val="decimal"/>
      </w:endnotePr>
      <w:type w:val="continuous"/>
      <w:pgSz w:w="12240" w:h="15840"/>
      <w:pgMar w:top="1440" w:right="1440" w:bottom="1440" w:left="1440" w:header="1440" w:footer="1440" w:gutter="0"/>
      <w:pgNumType w:fmt="numberInDash"/>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1B05" w:rsidP="00632173" w14:paraId="674A1E3A" w14:textId="777777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1B05" w14:paraId="217687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1B05" w14:paraId="6B2A3E8F" w14:textId="77777777">
    <w:pPr>
      <w:spacing w:line="240" w:lineRule="exact"/>
    </w:pPr>
  </w:p>
  <w:p w:rsidR="006B1B05" w:rsidP="00206228" w14:paraId="4EAEE3F7" w14:textId="77777777">
    <w:pPr>
      <w:framePr w:wrap="none" w:vAnchor="text" w:hAnchor="margin" w:xAlign="center" w:y="1"/>
      <w:jc w:val="center"/>
      <w:rPr>
        <w:sz w:val="24"/>
      </w:rPr>
    </w:pPr>
    <w:r>
      <w:rPr>
        <w:sz w:val="24"/>
      </w:rPr>
      <w:fldChar w:fldCharType="begin"/>
    </w:r>
    <w:r>
      <w:rPr>
        <w:sz w:val="24"/>
      </w:rPr>
      <w:instrText xml:space="preserve">PAGE </w:instrText>
    </w:r>
    <w:r>
      <w:rPr>
        <w:sz w:val="24"/>
      </w:rPr>
      <w:fldChar w:fldCharType="separate"/>
    </w:r>
    <w:r>
      <w:rPr>
        <w:noProof/>
        <w:sz w:val="24"/>
      </w:rPr>
      <w:t>- 11 -</w:t>
    </w:r>
    <w:r>
      <w:rPr>
        <w:sz w:val="24"/>
      </w:rPr>
      <w:fldChar w:fldCharType="end"/>
    </w:r>
  </w:p>
  <w:p w:rsidR="006B1B05" w14:paraId="266C69DA"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59F4EED"/>
    <w:multiLevelType w:val="hybridMultilevel"/>
    <w:tmpl w:val="527246E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6D24B3F"/>
    <w:multiLevelType w:val="hybridMultilevel"/>
    <w:tmpl w:val="BDBEA4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7">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2C5F6556"/>
    <w:multiLevelType w:val="hybridMultilevel"/>
    <w:tmpl w:val="E4BA5D6C"/>
    <w:lvl w:ilvl="0">
      <w:start w:val="1"/>
      <w:numFmt w:val="decimal"/>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7">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8">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0">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7">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8">
    <w:nsid w:val="58905D7B"/>
    <w:multiLevelType w:val="hybridMultilevel"/>
    <w:tmpl w:val="91D876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0">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1">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2">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5BEF26B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5F70268D"/>
    <w:multiLevelType w:val="hybridMultilevel"/>
    <w:tmpl w:val="8B0CC90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62146669"/>
    <w:multiLevelType w:val="multilevel"/>
    <w:tmpl w:val="24BA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9">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6F863754"/>
    <w:multiLevelType w:val="hybridMultilevel"/>
    <w:tmpl w:val="4E2426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3">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78EC4C9C"/>
    <w:multiLevelType w:val="hybridMultilevel"/>
    <w:tmpl w:val="B16E3654"/>
    <w:lvl w:ilvl="0">
      <w:start w:val="2"/>
      <w:numFmt w:val="upp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6">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7">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8">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9">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722213992">
    <w:abstractNumId w:val="49"/>
  </w:num>
  <w:num w:numId="2" w16cid:durableId="1344699644">
    <w:abstractNumId w:val="23"/>
  </w:num>
  <w:num w:numId="3" w16cid:durableId="1150900888">
    <w:abstractNumId w:val="15"/>
  </w:num>
  <w:num w:numId="4" w16cid:durableId="1839274611">
    <w:abstractNumId w:val="44"/>
  </w:num>
  <w:num w:numId="5" w16cid:durableId="382020801">
    <w:abstractNumId w:val="48"/>
  </w:num>
  <w:num w:numId="6" w16cid:durableId="1319115380">
    <w:abstractNumId w:val="10"/>
  </w:num>
  <w:num w:numId="7" w16cid:durableId="514537151">
    <w:abstractNumId w:val="39"/>
  </w:num>
  <w:num w:numId="8" w16cid:durableId="283587059">
    <w:abstractNumId w:val="19"/>
  </w:num>
  <w:num w:numId="9" w16cid:durableId="82384694">
    <w:abstractNumId w:val="27"/>
  </w:num>
  <w:num w:numId="10" w16cid:durableId="327175400">
    <w:abstractNumId w:val="21"/>
  </w:num>
  <w:num w:numId="11" w16cid:durableId="800153597">
    <w:abstractNumId w:val="9"/>
  </w:num>
  <w:num w:numId="12" w16cid:durableId="1617979968">
    <w:abstractNumId w:val="26"/>
  </w:num>
  <w:num w:numId="13" w16cid:durableId="1534610895">
    <w:abstractNumId w:val="22"/>
  </w:num>
  <w:num w:numId="14" w16cid:durableId="1182014126">
    <w:abstractNumId w:val="24"/>
  </w:num>
  <w:num w:numId="15" w16cid:durableId="1568224640">
    <w:abstractNumId w:val="8"/>
  </w:num>
  <w:num w:numId="16" w16cid:durableId="1719429201">
    <w:abstractNumId w:val="0"/>
  </w:num>
  <w:num w:numId="17" w16cid:durableId="290283670">
    <w:abstractNumId w:val="1"/>
  </w:num>
  <w:num w:numId="18" w16cid:durableId="1990817504">
    <w:abstractNumId w:val="17"/>
  </w:num>
  <w:num w:numId="19" w16cid:durableId="1703288261">
    <w:abstractNumId w:val="38"/>
  </w:num>
  <w:num w:numId="20" w16cid:durableId="1653176228">
    <w:abstractNumId w:val="35"/>
  </w:num>
  <w:num w:numId="21" w16cid:durableId="112722852">
    <w:abstractNumId w:val="20"/>
  </w:num>
  <w:num w:numId="22" w16cid:durableId="2015448705">
    <w:abstractNumId w:val="43"/>
  </w:num>
  <w:num w:numId="23" w16cid:durableId="1891112776">
    <w:abstractNumId w:val="32"/>
  </w:num>
  <w:num w:numId="24" w16cid:durableId="1398282815">
    <w:abstractNumId w:val="34"/>
  </w:num>
  <w:num w:numId="25" w16cid:durableId="609748902">
    <w:abstractNumId w:val="47"/>
  </w:num>
  <w:num w:numId="26" w16cid:durableId="1897741147">
    <w:abstractNumId w:val="42"/>
  </w:num>
  <w:num w:numId="27" w16cid:durableId="842748135">
    <w:abstractNumId w:val="5"/>
  </w:num>
  <w:num w:numId="28" w16cid:durableId="215162835">
    <w:abstractNumId w:val="18"/>
  </w:num>
  <w:num w:numId="29" w16cid:durableId="2124886327">
    <w:abstractNumId w:val="46"/>
  </w:num>
  <w:num w:numId="30" w16cid:durableId="172425484">
    <w:abstractNumId w:val="40"/>
  </w:num>
  <w:num w:numId="31" w16cid:durableId="642151330">
    <w:abstractNumId w:val="37"/>
  </w:num>
  <w:num w:numId="32" w16cid:durableId="829828187">
    <w:abstractNumId w:val="11"/>
  </w:num>
  <w:num w:numId="33" w16cid:durableId="193350754">
    <w:abstractNumId w:val="4"/>
  </w:num>
  <w:num w:numId="34" w16cid:durableId="973102810">
    <w:abstractNumId w:val="29"/>
  </w:num>
  <w:num w:numId="35" w16cid:durableId="2051298873">
    <w:abstractNumId w:val="13"/>
  </w:num>
  <w:num w:numId="36" w16cid:durableId="297415645">
    <w:abstractNumId w:val="12"/>
  </w:num>
  <w:num w:numId="37" w16cid:durableId="1268460805">
    <w:abstractNumId w:val="14"/>
  </w:num>
  <w:num w:numId="38" w16cid:durableId="2102483667">
    <w:abstractNumId w:val="6"/>
  </w:num>
  <w:num w:numId="39" w16cid:durableId="1939751773">
    <w:abstractNumId w:val="31"/>
  </w:num>
  <w:num w:numId="40" w16cid:durableId="1976987714">
    <w:abstractNumId w:val="7"/>
  </w:num>
  <w:num w:numId="41" w16cid:durableId="676809396">
    <w:abstractNumId w:val="30"/>
  </w:num>
  <w:num w:numId="42" w16cid:durableId="541938557">
    <w:abstractNumId w:val="25"/>
  </w:num>
  <w:num w:numId="43" w16cid:durableId="2126388301">
    <w:abstractNumId w:val="41"/>
  </w:num>
  <w:num w:numId="44" w16cid:durableId="1438909333">
    <w:abstractNumId w:val="45"/>
  </w:num>
  <w:num w:numId="45" w16cid:durableId="1872456678">
    <w:abstractNumId w:val="33"/>
  </w:num>
  <w:num w:numId="46" w16cid:durableId="600139058">
    <w:abstractNumId w:val="2"/>
  </w:num>
  <w:num w:numId="47" w16cid:durableId="348455657">
    <w:abstractNumId w:val="16"/>
  </w:num>
  <w:num w:numId="48" w16cid:durableId="318651228">
    <w:abstractNumId w:val="28"/>
  </w:num>
  <w:num w:numId="49" w16cid:durableId="2078243244">
    <w:abstractNumId w:val="36"/>
  </w:num>
  <w:num w:numId="50" w16cid:durableId="1356032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C4"/>
    <w:rsid w:val="000007BF"/>
    <w:rsid w:val="00001C15"/>
    <w:rsid w:val="000022CF"/>
    <w:rsid w:val="000027B5"/>
    <w:rsid w:val="00004043"/>
    <w:rsid w:val="00006E1E"/>
    <w:rsid w:val="00007BF5"/>
    <w:rsid w:val="000118EE"/>
    <w:rsid w:val="000161B5"/>
    <w:rsid w:val="00016834"/>
    <w:rsid w:val="0001744B"/>
    <w:rsid w:val="00023FCD"/>
    <w:rsid w:val="000240F5"/>
    <w:rsid w:val="00025475"/>
    <w:rsid w:val="00025B10"/>
    <w:rsid w:val="00030663"/>
    <w:rsid w:val="000311BC"/>
    <w:rsid w:val="0003211B"/>
    <w:rsid w:val="00033A29"/>
    <w:rsid w:val="00033EDA"/>
    <w:rsid w:val="000355AD"/>
    <w:rsid w:val="000402BE"/>
    <w:rsid w:val="000407FB"/>
    <w:rsid w:val="00042C53"/>
    <w:rsid w:val="000432E8"/>
    <w:rsid w:val="000438AC"/>
    <w:rsid w:val="00044054"/>
    <w:rsid w:val="00044614"/>
    <w:rsid w:val="0004477B"/>
    <w:rsid w:val="00045CAB"/>
    <w:rsid w:val="000550FE"/>
    <w:rsid w:val="000554D3"/>
    <w:rsid w:val="00056586"/>
    <w:rsid w:val="00057066"/>
    <w:rsid w:val="00057E3F"/>
    <w:rsid w:val="00062111"/>
    <w:rsid w:val="00063BAF"/>
    <w:rsid w:val="00063E27"/>
    <w:rsid w:val="000664C3"/>
    <w:rsid w:val="000670AC"/>
    <w:rsid w:val="00070F66"/>
    <w:rsid w:val="00073253"/>
    <w:rsid w:val="00075F85"/>
    <w:rsid w:val="00083005"/>
    <w:rsid w:val="00085793"/>
    <w:rsid w:val="00085BC0"/>
    <w:rsid w:val="0009096A"/>
    <w:rsid w:val="000909EC"/>
    <w:rsid w:val="00092424"/>
    <w:rsid w:val="00092C6D"/>
    <w:rsid w:val="00095AA4"/>
    <w:rsid w:val="000A0203"/>
    <w:rsid w:val="000A0FAB"/>
    <w:rsid w:val="000A5730"/>
    <w:rsid w:val="000A5F08"/>
    <w:rsid w:val="000A6E7F"/>
    <w:rsid w:val="000B20D7"/>
    <w:rsid w:val="000B3B1C"/>
    <w:rsid w:val="000B4155"/>
    <w:rsid w:val="000B5101"/>
    <w:rsid w:val="000B560F"/>
    <w:rsid w:val="000B57F0"/>
    <w:rsid w:val="000C289F"/>
    <w:rsid w:val="000D1D3F"/>
    <w:rsid w:val="000D39EC"/>
    <w:rsid w:val="000D3ACA"/>
    <w:rsid w:val="000D3D7C"/>
    <w:rsid w:val="000D54AC"/>
    <w:rsid w:val="000D563E"/>
    <w:rsid w:val="000D6AD4"/>
    <w:rsid w:val="000D79DA"/>
    <w:rsid w:val="000E1B6F"/>
    <w:rsid w:val="000E1D88"/>
    <w:rsid w:val="000E2155"/>
    <w:rsid w:val="000E254E"/>
    <w:rsid w:val="000E37FE"/>
    <w:rsid w:val="000E4587"/>
    <w:rsid w:val="000E490D"/>
    <w:rsid w:val="000E600D"/>
    <w:rsid w:val="000F137A"/>
    <w:rsid w:val="000F28E6"/>
    <w:rsid w:val="000F6639"/>
    <w:rsid w:val="000F7A0F"/>
    <w:rsid w:val="00100272"/>
    <w:rsid w:val="001021D7"/>
    <w:rsid w:val="00102300"/>
    <w:rsid w:val="0010713D"/>
    <w:rsid w:val="00116827"/>
    <w:rsid w:val="00116D36"/>
    <w:rsid w:val="00117328"/>
    <w:rsid w:val="00124A80"/>
    <w:rsid w:val="00124AE9"/>
    <w:rsid w:val="00125720"/>
    <w:rsid w:val="001273F8"/>
    <w:rsid w:val="00130429"/>
    <w:rsid w:val="00130F03"/>
    <w:rsid w:val="001324CE"/>
    <w:rsid w:val="00134BF9"/>
    <w:rsid w:val="00136056"/>
    <w:rsid w:val="001361E5"/>
    <w:rsid w:val="001366BA"/>
    <w:rsid w:val="00137227"/>
    <w:rsid w:val="00137CDB"/>
    <w:rsid w:val="00140880"/>
    <w:rsid w:val="001414E1"/>
    <w:rsid w:val="00144FD3"/>
    <w:rsid w:val="0014561A"/>
    <w:rsid w:val="00147326"/>
    <w:rsid w:val="00150DF5"/>
    <w:rsid w:val="001569F5"/>
    <w:rsid w:val="0015713A"/>
    <w:rsid w:val="00157342"/>
    <w:rsid w:val="001608AC"/>
    <w:rsid w:val="0016148B"/>
    <w:rsid w:val="00162804"/>
    <w:rsid w:val="001644E7"/>
    <w:rsid w:val="00164F9E"/>
    <w:rsid w:val="00165709"/>
    <w:rsid w:val="00165BCB"/>
    <w:rsid w:val="00170190"/>
    <w:rsid w:val="001709E4"/>
    <w:rsid w:val="0017106E"/>
    <w:rsid w:val="0017337C"/>
    <w:rsid w:val="00173963"/>
    <w:rsid w:val="00174803"/>
    <w:rsid w:val="00176B8E"/>
    <w:rsid w:val="001803C1"/>
    <w:rsid w:val="00180A3E"/>
    <w:rsid w:val="00182890"/>
    <w:rsid w:val="00184AF7"/>
    <w:rsid w:val="0018505E"/>
    <w:rsid w:val="00192141"/>
    <w:rsid w:val="00192D06"/>
    <w:rsid w:val="00193652"/>
    <w:rsid w:val="00194675"/>
    <w:rsid w:val="00195AB4"/>
    <w:rsid w:val="001A0571"/>
    <w:rsid w:val="001A0D24"/>
    <w:rsid w:val="001A3837"/>
    <w:rsid w:val="001A399F"/>
    <w:rsid w:val="001A4AA6"/>
    <w:rsid w:val="001A68B3"/>
    <w:rsid w:val="001A7CA3"/>
    <w:rsid w:val="001A7EB4"/>
    <w:rsid w:val="001B02E6"/>
    <w:rsid w:val="001B04D8"/>
    <w:rsid w:val="001B06AE"/>
    <w:rsid w:val="001B3DA9"/>
    <w:rsid w:val="001B7CD8"/>
    <w:rsid w:val="001C26DC"/>
    <w:rsid w:val="001C30D2"/>
    <w:rsid w:val="001D2972"/>
    <w:rsid w:val="001D4634"/>
    <w:rsid w:val="001D4E8C"/>
    <w:rsid w:val="001D7B89"/>
    <w:rsid w:val="001E3777"/>
    <w:rsid w:val="001E49D7"/>
    <w:rsid w:val="001E61B5"/>
    <w:rsid w:val="001E7511"/>
    <w:rsid w:val="001E7B75"/>
    <w:rsid w:val="001F20A9"/>
    <w:rsid w:val="001F2A42"/>
    <w:rsid w:val="001F2AD6"/>
    <w:rsid w:val="001F3763"/>
    <w:rsid w:val="001F3A0B"/>
    <w:rsid w:val="001F58CA"/>
    <w:rsid w:val="001F6839"/>
    <w:rsid w:val="001F7DD1"/>
    <w:rsid w:val="00204F24"/>
    <w:rsid w:val="00205255"/>
    <w:rsid w:val="00206228"/>
    <w:rsid w:val="002070B9"/>
    <w:rsid w:val="00216070"/>
    <w:rsid w:val="00216E84"/>
    <w:rsid w:val="0021729F"/>
    <w:rsid w:val="0021791B"/>
    <w:rsid w:val="00220A52"/>
    <w:rsid w:val="00222588"/>
    <w:rsid w:val="00224931"/>
    <w:rsid w:val="00224C4C"/>
    <w:rsid w:val="00226E6C"/>
    <w:rsid w:val="00231008"/>
    <w:rsid w:val="002339D8"/>
    <w:rsid w:val="00233F51"/>
    <w:rsid w:val="0023627D"/>
    <w:rsid w:val="00236AC1"/>
    <w:rsid w:val="0023713D"/>
    <w:rsid w:val="00237564"/>
    <w:rsid w:val="00244554"/>
    <w:rsid w:val="00244D15"/>
    <w:rsid w:val="002460E8"/>
    <w:rsid w:val="002503A0"/>
    <w:rsid w:val="00253615"/>
    <w:rsid w:val="002548F0"/>
    <w:rsid w:val="00262CA7"/>
    <w:rsid w:val="0026357F"/>
    <w:rsid w:val="0027175C"/>
    <w:rsid w:val="00271CC0"/>
    <w:rsid w:val="00272A98"/>
    <w:rsid w:val="002735A3"/>
    <w:rsid w:val="002742E2"/>
    <w:rsid w:val="00280665"/>
    <w:rsid w:val="00284E46"/>
    <w:rsid w:val="0028501B"/>
    <w:rsid w:val="002857B8"/>
    <w:rsid w:val="00292DC2"/>
    <w:rsid w:val="00296921"/>
    <w:rsid w:val="002A0A4B"/>
    <w:rsid w:val="002A12BC"/>
    <w:rsid w:val="002A262B"/>
    <w:rsid w:val="002A6BD7"/>
    <w:rsid w:val="002B484E"/>
    <w:rsid w:val="002C24E8"/>
    <w:rsid w:val="002C270B"/>
    <w:rsid w:val="002C40A6"/>
    <w:rsid w:val="002C490A"/>
    <w:rsid w:val="002C59E8"/>
    <w:rsid w:val="002C5B19"/>
    <w:rsid w:val="002C65A9"/>
    <w:rsid w:val="002D44BF"/>
    <w:rsid w:val="002D689D"/>
    <w:rsid w:val="002D711B"/>
    <w:rsid w:val="002D78CB"/>
    <w:rsid w:val="002E0224"/>
    <w:rsid w:val="002E1E27"/>
    <w:rsid w:val="002E2047"/>
    <w:rsid w:val="002E29A4"/>
    <w:rsid w:val="002E7B23"/>
    <w:rsid w:val="002F0BEB"/>
    <w:rsid w:val="002F541C"/>
    <w:rsid w:val="002F5EB8"/>
    <w:rsid w:val="002F641A"/>
    <w:rsid w:val="0030159D"/>
    <w:rsid w:val="00302C91"/>
    <w:rsid w:val="003051FA"/>
    <w:rsid w:val="00305F9D"/>
    <w:rsid w:val="003109CC"/>
    <w:rsid w:val="003154BA"/>
    <w:rsid w:val="0032014D"/>
    <w:rsid w:val="00321DF3"/>
    <w:rsid w:val="0032617C"/>
    <w:rsid w:val="00326280"/>
    <w:rsid w:val="00333E4D"/>
    <w:rsid w:val="00333E5E"/>
    <w:rsid w:val="00336763"/>
    <w:rsid w:val="00337370"/>
    <w:rsid w:val="0033765B"/>
    <w:rsid w:val="00337BA1"/>
    <w:rsid w:val="00341C2A"/>
    <w:rsid w:val="003430A9"/>
    <w:rsid w:val="0034363E"/>
    <w:rsid w:val="00345DA0"/>
    <w:rsid w:val="003505B2"/>
    <w:rsid w:val="00351466"/>
    <w:rsid w:val="00351D7D"/>
    <w:rsid w:val="00351DA5"/>
    <w:rsid w:val="00352379"/>
    <w:rsid w:val="00353857"/>
    <w:rsid w:val="00355A4E"/>
    <w:rsid w:val="0036636E"/>
    <w:rsid w:val="003725EB"/>
    <w:rsid w:val="00372C44"/>
    <w:rsid w:val="0037345B"/>
    <w:rsid w:val="00375246"/>
    <w:rsid w:val="00375404"/>
    <w:rsid w:val="0037781B"/>
    <w:rsid w:val="00380439"/>
    <w:rsid w:val="00380874"/>
    <w:rsid w:val="003835EA"/>
    <w:rsid w:val="003845B9"/>
    <w:rsid w:val="00384754"/>
    <w:rsid w:val="00385552"/>
    <w:rsid w:val="003864CE"/>
    <w:rsid w:val="00386E20"/>
    <w:rsid w:val="00390C2E"/>
    <w:rsid w:val="00390D18"/>
    <w:rsid w:val="00393BFE"/>
    <w:rsid w:val="003946E9"/>
    <w:rsid w:val="00394FF9"/>
    <w:rsid w:val="00396C34"/>
    <w:rsid w:val="003A0339"/>
    <w:rsid w:val="003A2545"/>
    <w:rsid w:val="003A3368"/>
    <w:rsid w:val="003A59DA"/>
    <w:rsid w:val="003B0C22"/>
    <w:rsid w:val="003B1426"/>
    <w:rsid w:val="003B1A1C"/>
    <w:rsid w:val="003B3192"/>
    <w:rsid w:val="003B5125"/>
    <w:rsid w:val="003B61A6"/>
    <w:rsid w:val="003B74BD"/>
    <w:rsid w:val="003C4813"/>
    <w:rsid w:val="003C6748"/>
    <w:rsid w:val="003C74E1"/>
    <w:rsid w:val="003C76CB"/>
    <w:rsid w:val="003D1811"/>
    <w:rsid w:val="003D1B2A"/>
    <w:rsid w:val="003D47EF"/>
    <w:rsid w:val="003D4C0D"/>
    <w:rsid w:val="003D702B"/>
    <w:rsid w:val="003E0301"/>
    <w:rsid w:val="003E1EBD"/>
    <w:rsid w:val="003E3403"/>
    <w:rsid w:val="003E4F3D"/>
    <w:rsid w:val="003E516D"/>
    <w:rsid w:val="003E59E9"/>
    <w:rsid w:val="003E6A76"/>
    <w:rsid w:val="003F2542"/>
    <w:rsid w:val="003F46EA"/>
    <w:rsid w:val="003F5A82"/>
    <w:rsid w:val="00400D84"/>
    <w:rsid w:val="00404245"/>
    <w:rsid w:val="004054F5"/>
    <w:rsid w:val="0041290D"/>
    <w:rsid w:val="00412D6B"/>
    <w:rsid w:val="00412EA4"/>
    <w:rsid w:val="0041406D"/>
    <w:rsid w:val="004167FB"/>
    <w:rsid w:val="004170FF"/>
    <w:rsid w:val="0042176C"/>
    <w:rsid w:val="004221D0"/>
    <w:rsid w:val="00422A03"/>
    <w:rsid w:val="0042603F"/>
    <w:rsid w:val="00426E1F"/>
    <w:rsid w:val="00427CC4"/>
    <w:rsid w:val="00430004"/>
    <w:rsid w:val="004326D7"/>
    <w:rsid w:val="00432C49"/>
    <w:rsid w:val="00432EE3"/>
    <w:rsid w:val="00435E05"/>
    <w:rsid w:val="0044077A"/>
    <w:rsid w:val="00440FE4"/>
    <w:rsid w:val="00441355"/>
    <w:rsid w:val="0044195F"/>
    <w:rsid w:val="00445740"/>
    <w:rsid w:val="00450B95"/>
    <w:rsid w:val="00453253"/>
    <w:rsid w:val="004539D8"/>
    <w:rsid w:val="00453F60"/>
    <w:rsid w:val="00454E5D"/>
    <w:rsid w:val="00454FE7"/>
    <w:rsid w:val="00456C34"/>
    <w:rsid w:val="00456E60"/>
    <w:rsid w:val="00456EFF"/>
    <w:rsid w:val="00457DEB"/>
    <w:rsid w:val="00461C8F"/>
    <w:rsid w:val="00461E18"/>
    <w:rsid w:val="00464861"/>
    <w:rsid w:val="00466FE2"/>
    <w:rsid w:val="00467EE0"/>
    <w:rsid w:val="004716C5"/>
    <w:rsid w:val="00475917"/>
    <w:rsid w:val="00475EB1"/>
    <w:rsid w:val="0047639F"/>
    <w:rsid w:val="00477D2D"/>
    <w:rsid w:val="00485D26"/>
    <w:rsid w:val="00493626"/>
    <w:rsid w:val="00493CAC"/>
    <w:rsid w:val="00493DE0"/>
    <w:rsid w:val="004969E1"/>
    <w:rsid w:val="00496EAC"/>
    <w:rsid w:val="004A066F"/>
    <w:rsid w:val="004A2D14"/>
    <w:rsid w:val="004A3D06"/>
    <w:rsid w:val="004A5865"/>
    <w:rsid w:val="004A7DC9"/>
    <w:rsid w:val="004B064E"/>
    <w:rsid w:val="004B1434"/>
    <w:rsid w:val="004B2356"/>
    <w:rsid w:val="004B4553"/>
    <w:rsid w:val="004B4B56"/>
    <w:rsid w:val="004B690D"/>
    <w:rsid w:val="004B75A8"/>
    <w:rsid w:val="004B792A"/>
    <w:rsid w:val="004B7D8C"/>
    <w:rsid w:val="004B7E95"/>
    <w:rsid w:val="004C09C9"/>
    <w:rsid w:val="004C10E1"/>
    <w:rsid w:val="004C13A8"/>
    <w:rsid w:val="004C24EB"/>
    <w:rsid w:val="004C27BF"/>
    <w:rsid w:val="004C4239"/>
    <w:rsid w:val="004C45E5"/>
    <w:rsid w:val="004C5E04"/>
    <w:rsid w:val="004C6C76"/>
    <w:rsid w:val="004C7DAE"/>
    <w:rsid w:val="004D2BAB"/>
    <w:rsid w:val="004D4D0D"/>
    <w:rsid w:val="004D64F7"/>
    <w:rsid w:val="004E1A71"/>
    <w:rsid w:val="004E1BEB"/>
    <w:rsid w:val="004E2374"/>
    <w:rsid w:val="004E26AA"/>
    <w:rsid w:val="004E4711"/>
    <w:rsid w:val="004E4F7F"/>
    <w:rsid w:val="004E5156"/>
    <w:rsid w:val="004F0474"/>
    <w:rsid w:val="004F0DFE"/>
    <w:rsid w:val="004F1022"/>
    <w:rsid w:val="004F20D8"/>
    <w:rsid w:val="004F3F72"/>
    <w:rsid w:val="004F464F"/>
    <w:rsid w:val="004F6230"/>
    <w:rsid w:val="00502E67"/>
    <w:rsid w:val="00503813"/>
    <w:rsid w:val="005043A6"/>
    <w:rsid w:val="005065E6"/>
    <w:rsid w:val="005066F9"/>
    <w:rsid w:val="00510405"/>
    <w:rsid w:val="00510E4D"/>
    <w:rsid w:val="00511145"/>
    <w:rsid w:val="00511318"/>
    <w:rsid w:val="00512205"/>
    <w:rsid w:val="00513710"/>
    <w:rsid w:val="00514BDA"/>
    <w:rsid w:val="00516008"/>
    <w:rsid w:val="005178BE"/>
    <w:rsid w:val="00520A3D"/>
    <w:rsid w:val="005218A8"/>
    <w:rsid w:val="00521A7C"/>
    <w:rsid w:val="005228D2"/>
    <w:rsid w:val="00522C33"/>
    <w:rsid w:val="00524658"/>
    <w:rsid w:val="00525964"/>
    <w:rsid w:val="0052749C"/>
    <w:rsid w:val="0052793E"/>
    <w:rsid w:val="0053046F"/>
    <w:rsid w:val="00531B89"/>
    <w:rsid w:val="005320CD"/>
    <w:rsid w:val="00534629"/>
    <w:rsid w:val="00534696"/>
    <w:rsid w:val="0053533C"/>
    <w:rsid w:val="00536B9C"/>
    <w:rsid w:val="005407BD"/>
    <w:rsid w:val="00541EC1"/>
    <w:rsid w:val="00542AE8"/>
    <w:rsid w:val="00544F45"/>
    <w:rsid w:val="00546F7F"/>
    <w:rsid w:val="005475D5"/>
    <w:rsid w:val="005509E0"/>
    <w:rsid w:val="00555A8E"/>
    <w:rsid w:val="0056088E"/>
    <w:rsid w:val="005611A5"/>
    <w:rsid w:val="00562012"/>
    <w:rsid w:val="00562299"/>
    <w:rsid w:val="00563B6F"/>
    <w:rsid w:val="00570347"/>
    <w:rsid w:val="00571B1B"/>
    <w:rsid w:val="005727DE"/>
    <w:rsid w:val="005747B6"/>
    <w:rsid w:val="00574FE0"/>
    <w:rsid w:val="00575188"/>
    <w:rsid w:val="005751A6"/>
    <w:rsid w:val="005755B7"/>
    <w:rsid w:val="00577F02"/>
    <w:rsid w:val="00581865"/>
    <w:rsid w:val="0058727D"/>
    <w:rsid w:val="00587844"/>
    <w:rsid w:val="00591A8D"/>
    <w:rsid w:val="00592F67"/>
    <w:rsid w:val="00592FF5"/>
    <w:rsid w:val="00593C9C"/>
    <w:rsid w:val="00594F59"/>
    <w:rsid w:val="005A13F9"/>
    <w:rsid w:val="005A2097"/>
    <w:rsid w:val="005A2B7F"/>
    <w:rsid w:val="005A3C35"/>
    <w:rsid w:val="005B0CCC"/>
    <w:rsid w:val="005B2648"/>
    <w:rsid w:val="005B2D1B"/>
    <w:rsid w:val="005B39DF"/>
    <w:rsid w:val="005C68B2"/>
    <w:rsid w:val="005C6910"/>
    <w:rsid w:val="005C6BA4"/>
    <w:rsid w:val="005C737F"/>
    <w:rsid w:val="005D1849"/>
    <w:rsid w:val="005D306D"/>
    <w:rsid w:val="005D3C3D"/>
    <w:rsid w:val="005D4FA8"/>
    <w:rsid w:val="005D7202"/>
    <w:rsid w:val="005D7206"/>
    <w:rsid w:val="005D7910"/>
    <w:rsid w:val="005E22C7"/>
    <w:rsid w:val="005F106C"/>
    <w:rsid w:val="005F3076"/>
    <w:rsid w:val="005F43E8"/>
    <w:rsid w:val="005F4CB9"/>
    <w:rsid w:val="005F5B8A"/>
    <w:rsid w:val="005F777D"/>
    <w:rsid w:val="00604224"/>
    <w:rsid w:val="0060428A"/>
    <w:rsid w:val="006058D7"/>
    <w:rsid w:val="00610B51"/>
    <w:rsid w:val="006114FA"/>
    <w:rsid w:val="006127D4"/>
    <w:rsid w:val="006131C1"/>
    <w:rsid w:val="006148CD"/>
    <w:rsid w:val="00614E1E"/>
    <w:rsid w:val="00615302"/>
    <w:rsid w:val="00615710"/>
    <w:rsid w:val="0061720B"/>
    <w:rsid w:val="00621A3A"/>
    <w:rsid w:val="00621FBA"/>
    <w:rsid w:val="0062544C"/>
    <w:rsid w:val="00625A0F"/>
    <w:rsid w:val="006260D7"/>
    <w:rsid w:val="00630A4B"/>
    <w:rsid w:val="00630AB0"/>
    <w:rsid w:val="00632173"/>
    <w:rsid w:val="006372C5"/>
    <w:rsid w:val="00637A83"/>
    <w:rsid w:val="00641CD6"/>
    <w:rsid w:val="006427F5"/>
    <w:rsid w:val="006469E6"/>
    <w:rsid w:val="00647811"/>
    <w:rsid w:val="00651A2E"/>
    <w:rsid w:val="00652FB3"/>
    <w:rsid w:val="006538B4"/>
    <w:rsid w:val="00653ABC"/>
    <w:rsid w:val="00656105"/>
    <w:rsid w:val="00656E24"/>
    <w:rsid w:val="006604A0"/>
    <w:rsid w:val="00663EFD"/>
    <w:rsid w:val="00665013"/>
    <w:rsid w:val="00667382"/>
    <w:rsid w:val="006752C2"/>
    <w:rsid w:val="00675E5A"/>
    <w:rsid w:val="006775A1"/>
    <w:rsid w:val="006803FB"/>
    <w:rsid w:val="00680462"/>
    <w:rsid w:val="006811C4"/>
    <w:rsid w:val="006812BA"/>
    <w:rsid w:val="0068253B"/>
    <w:rsid w:val="006832EA"/>
    <w:rsid w:val="00683B8E"/>
    <w:rsid w:val="00683F7F"/>
    <w:rsid w:val="00684397"/>
    <w:rsid w:val="006852DC"/>
    <w:rsid w:val="00685997"/>
    <w:rsid w:val="00685AF0"/>
    <w:rsid w:val="00686FD5"/>
    <w:rsid w:val="00692B21"/>
    <w:rsid w:val="00696EF0"/>
    <w:rsid w:val="006A4598"/>
    <w:rsid w:val="006A4D95"/>
    <w:rsid w:val="006A5606"/>
    <w:rsid w:val="006B1B05"/>
    <w:rsid w:val="006B28A6"/>
    <w:rsid w:val="006B2CB6"/>
    <w:rsid w:val="006B314F"/>
    <w:rsid w:val="006B3E5D"/>
    <w:rsid w:val="006B64F4"/>
    <w:rsid w:val="006B6D62"/>
    <w:rsid w:val="006C2F35"/>
    <w:rsid w:val="006C341D"/>
    <w:rsid w:val="006C61BA"/>
    <w:rsid w:val="006D126D"/>
    <w:rsid w:val="006D1919"/>
    <w:rsid w:val="006D3459"/>
    <w:rsid w:val="006D442F"/>
    <w:rsid w:val="006D533C"/>
    <w:rsid w:val="006D6926"/>
    <w:rsid w:val="006D7242"/>
    <w:rsid w:val="006E63BB"/>
    <w:rsid w:val="006E6FE5"/>
    <w:rsid w:val="006F013C"/>
    <w:rsid w:val="006F0C26"/>
    <w:rsid w:val="006F456F"/>
    <w:rsid w:val="006F641A"/>
    <w:rsid w:val="006F6E6F"/>
    <w:rsid w:val="00702091"/>
    <w:rsid w:val="00706CE6"/>
    <w:rsid w:val="00710097"/>
    <w:rsid w:val="00712AD0"/>
    <w:rsid w:val="007176C1"/>
    <w:rsid w:val="007244D9"/>
    <w:rsid w:val="007247EC"/>
    <w:rsid w:val="00725035"/>
    <w:rsid w:val="007257E6"/>
    <w:rsid w:val="00726338"/>
    <w:rsid w:val="00730F8A"/>
    <w:rsid w:val="007317F1"/>
    <w:rsid w:val="0073218F"/>
    <w:rsid w:val="00732CB4"/>
    <w:rsid w:val="007333CD"/>
    <w:rsid w:val="007338BD"/>
    <w:rsid w:val="00733F3A"/>
    <w:rsid w:val="007346B5"/>
    <w:rsid w:val="007378EC"/>
    <w:rsid w:val="00741C4D"/>
    <w:rsid w:val="00742743"/>
    <w:rsid w:val="00745F23"/>
    <w:rsid w:val="007475C4"/>
    <w:rsid w:val="0075012A"/>
    <w:rsid w:val="00752D79"/>
    <w:rsid w:val="00754C8C"/>
    <w:rsid w:val="00760BA8"/>
    <w:rsid w:val="00760D1F"/>
    <w:rsid w:val="00761491"/>
    <w:rsid w:val="00766ECB"/>
    <w:rsid w:val="00767795"/>
    <w:rsid w:val="00767901"/>
    <w:rsid w:val="00770C2F"/>
    <w:rsid w:val="0077375B"/>
    <w:rsid w:val="007738F1"/>
    <w:rsid w:val="007745E2"/>
    <w:rsid w:val="00775213"/>
    <w:rsid w:val="00782887"/>
    <w:rsid w:val="00783415"/>
    <w:rsid w:val="00783825"/>
    <w:rsid w:val="00785D41"/>
    <w:rsid w:val="00791338"/>
    <w:rsid w:val="00792E81"/>
    <w:rsid w:val="00793D89"/>
    <w:rsid w:val="007979D6"/>
    <w:rsid w:val="007A0F52"/>
    <w:rsid w:val="007A17BA"/>
    <w:rsid w:val="007A2AC9"/>
    <w:rsid w:val="007A3A29"/>
    <w:rsid w:val="007A3A44"/>
    <w:rsid w:val="007A5C41"/>
    <w:rsid w:val="007A5FA1"/>
    <w:rsid w:val="007B1779"/>
    <w:rsid w:val="007B23E7"/>
    <w:rsid w:val="007B343D"/>
    <w:rsid w:val="007B363C"/>
    <w:rsid w:val="007B3C2F"/>
    <w:rsid w:val="007B4C2E"/>
    <w:rsid w:val="007C3588"/>
    <w:rsid w:val="007C79A6"/>
    <w:rsid w:val="007D0B7F"/>
    <w:rsid w:val="007D33DC"/>
    <w:rsid w:val="007D47E7"/>
    <w:rsid w:val="007E0A53"/>
    <w:rsid w:val="007E4C35"/>
    <w:rsid w:val="007F232F"/>
    <w:rsid w:val="007F7F18"/>
    <w:rsid w:val="0080049C"/>
    <w:rsid w:val="00801AD8"/>
    <w:rsid w:val="00801F93"/>
    <w:rsid w:val="008032A7"/>
    <w:rsid w:val="008051B3"/>
    <w:rsid w:val="008133F3"/>
    <w:rsid w:val="00813438"/>
    <w:rsid w:val="00813595"/>
    <w:rsid w:val="00815910"/>
    <w:rsid w:val="00816F9E"/>
    <w:rsid w:val="0082106C"/>
    <w:rsid w:val="00821D2F"/>
    <w:rsid w:val="00821FA7"/>
    <w:rsid w:val="00827804"/>
    <w:rsid w:val="00830529"/>
    <w:rsid w:val="00831166"/>
    <w:rsid w:val="00831234"/>
    <w:rsid w:val="008319ED"/>
    <w:rsid w:val="00831AB1"/>
    <w:rsid w:val="00832C1D"/>
    <w:rsid w:val="0083592E"/>
    <w:rsid w:val="00835CCA"/>
    <w:rsid w:val="0083680F"/>
    <w:rsid w:val="00836BF9"/>
    <w:rsid w:val="008400CE"/>
    <w:rsid w:val="008419BE"/>
    <w:rsid w:val="00841C2B"/>
    <w:rsid w:val="00842151"/>
    <w:rsid w:val="00843527"/>
    <w:rsid w:val="00845848"/>
    <w:rsid w:val="00847703"/>
    <w:rsid w:val="008478FE"/>
    <w:rsid w:val="00847E64"/>
    <w:rsid w:val="00850D49"/>
    <w:rsid w:val="00851CC6"/>
    <w:rsid w:val="0085591F"/>
    <w:rsid w:val="00860AE9"/>
    <w:rsid w:val="00861498"/>
    <w:rsid w:val="00862A34"/>
    <w:rsid w:val="00863B9B"/>
    <w:rsid w:val="00867D2C"/>
    <w:rsid w:val="0087060B"/>
    <w:rsid w:val="00871231"/>
    <w:rsid w:val="00871DD9"/>
    <w:rsid w:val="0088181C"/>
    <w:rsid w:val="0088306C"/>
    <w:rsid w:val="008916B4"/>
    <w:rsid w:val="00892098"/>
    <w:rsid w:val="0089274D"/>
    <w:rsid w:val="00893DB7"/>
    <w:rsid w:val="00894B46"/>
    <w:rsid w:val="00895ACB"/>
    <w:rsid w:val="008963E1"/>
    <w:rsid w:val="00896E76"/>
    <w:rsid w:val="00897EEB"/>
    <w:rsid w:val="008A17D9"/>
    <w:rsid w:val="008A2FEE"/>
    <w:rsid w:val="008A3589"/>
    <w:rsid w:val="008A3F6E"/>
    <w:rsid w:val="008A782F"/>
    <w:rsid w:val="008A7A70"/>
    <w:rsid w:val="008A7CB1"/>
    <w:rsid w:val="008B1291"/>
    <w:rsid w:val="008B1938"/>
    <w:rsid w:val="008B5F1D"/>
    <w:rsid w:val="008B6C77"/>
    <w:rsid w:val="008B72BD"/>
    <w:rsid w:val="008C2FD4"/>
    <w:rsid w:val="008C4A03"/>
    <w:rsid w:val="008C4AA2"/>
    <w:rsid w:val="008C6C62"/>
    <w:rsid w:val="008C71CB"/>
    <w:rsid w:val="008C7AF1"/>
    <w:rsid w:val="008D00C7"/>
    <w:rsid w:val="008D1ADE"/>
    <w:rsid w:val="008D341E"/>
    <w:rsid w:val="008D45BE"/>
    <w:rsid w:val="008D57FC"/>
    <w:rsid w:val="008D584F"/>
    <w:rsid w:val="008D6152"/>
    <w:rsid w:val="008D7A36"/>
    <w:rsid w:val="008D7C4D"/>
    <w:rsid w:val="008E2147"/>
    <w:rsid w:val="008E23F8"/>
    <w:rsid w:val="008E2747"/>
    <w:rsid w:val="008E496C"/>
    <w:rsid w:val="008E63C2"/>
    <w:rsid w:val="008F040A"/>
    <w:rsid w:val="008F08AF"/>
    <w:rsid w:val="008F0977"/>
    <w:rsid w:val="008F290F"/>
    <w:rsid w:val="008F304A"/>
    <w:rsid w:val="008F5051"/>
    <w:rsid w:val="008F762D"/>
    <w:rsid w:val="008F7BA7"/>
    <w:rsid w:val="00902195"/>
    <w:rsid w:val="009028C2"/>
    <w:rsid w:val="00903302"/>
    <w:rsid w:val="009045C9"/>
    <w:rsid w:val="00904D5B"/>
    <w:rsid w:val="0090559A"/>
    <w:rsid w:val="00913300"/>
    <w:rsid w:val="00914CC4"/>
    <w:rsid w:val="00916918"/>
    <w:rsid w:val="009172A6"/>
    <w:rsid w:val="00917667"/>
    <w:rsid w:val="00920159"/>
    <w:rsid w:val="00920609"/>
    <w:rsid w:val="00920E72"/>
    <w:rsid w:val="0092107F"/>
    <w:rsid w:val="00921442"/>
    <w:rsid w:val="0092338A"/>
    <w:rsid w:val="00925C3E"/>
    <w:rsid w:val="00926A26"/>
    <w:rsid w:val="00927039"/>
    <w:rsid w:val="00931785"/>
    <w:rsid w:val="00933A97"/>
    <w:rsid w:val="00937193"/>
    <w:rsid w:val="009435B2"/>
    <w:rsid w:val="009453F3"/>
    <w:rsid w:val="009463E5"/>
    <w:rsid w:val="00950D4F"/>
    <w:rsid w:val="0095170F"/>
    <w:rsid w:val="00956CB8"/>
    <w:rsid w:val="00960494"/>
    <w:rsid w:val="00960955"/>
    <w:rsid w:val="009610D3"/>
    <w:rsid w:val="00962527"/>
    <w:rsid w:val="00965BD4"/>
    <w:rsid w:val="00966017"/>
    <w:rsid w:val="009662C7"/>
    <w:rsid w:val="009669FC"/>
    <w:rsid w:val="00967608"/>
    <w:rsid w:val="00970659"/>
    <w:rsid w:val="00970E1A"/>
    <w:rsid w:val="00971317"/>
    <w:rsid w:val="00972940"/>
    <w:rsid w:val="00973C6A"/>
    <w:rsid w:val="0097453B"/>
    <w:rsid w:val="0098164F"/>
    <w:rsid w:val="00983D45"/>
    <w:rsid w:val="009870B3"/>
    <w:rsid w:val="0098789B"/>
    <w:rsid w:val="009904A7"/>
    <w:rsid w:val="00991866"/>
    <w:rsid w:val="0099242B"/>
    <w:rsid w:val="009A0611"/>
    <w:rsid w:val="009A25AC"/>
    <w:rsid w:val="009A2A09"/>
    <w:rsid w:val="009A415D"/>
    <w:rsid w:val="009A72A4"/>
    <w:rsid w:val="009B0A01"/>
    <w:rsid w:val="009B3C62"/>
    <w:rsid w:val="009B626D"/>
    <w:rsid w:val="009C05CE"/>
    <w:rsid w:val="009C0A86"/>
    <w:rsid w:val="009D2191"/>
    <w:rsid w:val="009D2529"/>
    <w:rsid w:val="009D40D7"/>
    <w:rsid w:val="009D6213"/>
    <w:rsid w:val="009D6F21"/>
    <w:rsid w:val="009E0BD7"/>
    <w:rsid w:val="009E1488"/>
    <w:rsid w:val="009E413B"/>
    <w:rsid w:val="009E4D6E"/>
    <w:rsid w:val="009F20DA"/>
    <w:rsid w:val="009F2AED"/>
    <w:rsid w:val="009F2C44"/>
    <w:rsid w:val="009F3618"/>
    <w:rsid w:val="009F5548"/>
    <w:rsid w:val="009F5FD9"/>
    <w:rsid w:val="00A00E2F"/>
    <w:rsid w:val="00A075F5"/>
    <w:rsid w:val="00A1121C"/>
    <w:rsid w:val="00A128AD"/>
    <w:rsid w:val="00A1775A"/>
    <w:rsid w:val="00A22D89"/>
    <w:rsid w:val="00A23E53"/>
    <w:rsid w:val="00A24747"/>
    <w:rsid w:val="00A271C6"/>
    <w:rsid w:val="00A30352"/>
    <w:rsid w:val="00A30546"/>
    <w:rsid w:val="00A316C2"/>
    <w:rsid w:val="00A31D54"/>
    <w:rsid w:val="00A3209F"/>
    <w:rsid w:val="00A34362"/>
    <w:rsid w:val="00A35C91"/>
    <w:rsid w:val="00A37E42"/>
    <w:rsid w:val="00A43B88"/>
    <w:rsid w:val="00A45444"/>
    <w:rsid w:val="00A4619E"/>
    <w:rsid w:val="00A50DF1"/>
    <w:rsid w:val="00A53494"/>
    <w:rsid w:val="00A536BB"/>
    <w:rsid w:val="00A5500A"/>
    <w:rsid w:val="00A60004"/>
    <w:rsid w:val="00A61D80"/>
    <w:rsid w:val="00A61EB6"/>
    <w:rsid w:val="00A62D83"/>
    <w:rsid w:val="00A641C9"/>
    <w:rsid w:val="00A64C4D"/>
    <w:rsid w:val="00A669C2"/>
    <w:rsid w:val="00A70EA3"/>
    <w:rsid w:val="00A715D2"/>
    <w:rsid w:val="00A724B6"/>
    <w:rsid w:val="00A7342C"/>
    <w:rsid w:val="00A74FB3"/>
    <w:rsid w:val="00A814DF"/>
    <w:rsid w:val="00A819E4"/>
    <w:rsid w:val="00A83769"/>
    <w:rsid w:val="00A84C62"/>
    <w:rsid w:val="00A859DB"/>
    <w:rsid w:val="00A86060"/>
    <w:rsid w:val="00A873C5"/>
    <w:rsid w:val="00A96634"/>
    <w:rsid w:val="00A971DB"/>
    <w:rsid w:val="00A97A2C"/>
    <w:rsid w:val="00AA0D3B"/>
    <w:rsid w:val="00AA4493"/>
    <w:rsid w:val="00AA64A4"/>
    <w:rsid w:val="00AA7F72"/>
    <w:rsid w:val="00AB3853"/>
    <w:rsid w:val="00AB58DB"/>
    <w:rsid w:val="00AB6378"/>
    <w:rsid w:val="00AC03B0"/>
    <w:rsid w:val="00AC1213"/>
    <w:rsid w:val="00AC3F4D"/>
    <w:rsid w:val="00AC43B3"/>
    <w:rsid w:val="00AC6E81"/>
    <w:rsid w:val="00AD05C5"/>
    <w:rsid w:val="00AD13F4"/>
    <w:rsid w:val="00AD2D55"/>
    <w:rsid w:val="00AD4007"/>
    <w:rsid w:val="00AD70B7"/>
    <w:rsid w:val="00AE0439"/>
    <w:rsid w:val="00AE052A"/>
    <w:rsid w:val="00AE5836"/>
    <w:rsid w:val="00B0100C"/>
    <w:rsid w:val="00B03610"/>
    <w:rsid w:val="00B04326"/>
    <w:rsid w:val="00B04474"/>
    <w:rsid w:val="00B0671A"/>
    <w:rsid w:val="00B070C6"/>
    <w:rsid w:val="00B11145"/>
    <w:rsid w:val="00B14045"/>
    <w:rsid w:val="00B149F5"/>
    <w:rsid w:val="00B17A8E"/>
    <w:rsid w:val="00B17BB4"/>
    <w:rsid w:val="00B21500"/>
    <w:rsid w:val="00B21FBA"/>
    <w:rsid w:val="00B22927"/>
    <w:rsid w:val="00B22EEA"/>
    <w:rsid w:val="00B264E9"/>
    <w:rsid w:val="00B26CF1"/>
    <w:rsid w:val="00B32A5B"/>
    <w:rsid w:val="00B349F8"/>
    <w:rsid w:val="00B3543F"/>
    <w:rsid w:val="00B37248"/>
    <w:rsid w:val="00B412CC"/>
    <w:rsid w:val="00B41913"/>
    <w:rsid w:val="00B427BE"/>
    <w:rsid w:val="00B43114"/>
    <w:rsid w:val="00B50330"/>
    <w:rsid w:val="00B50970"/>
    <w:rsid w:val="00B526BD"/>
    <w:rsid w:val="00B5367A"/>
    <w:rsid w:val="00B5384B"/>
    <w:rsid w:val="00B54138"/>
    <w:rsid w:val="00B55411"/>
    <w:rsid w:val="00B56441"/>
    <w:rsid w:val="00B57280"/>
    <w:rsid w:val="00B62A79"/>
    <w:rsid w:val="00B64312"/>
    <w:rsid w:val="00B644BE"/>
    <w:rsid w:val="00B64AE9"/>
    <w:rsid w:val="00B73D16"/>
    <w:rsid w:val="00B77B40"/>
    <w:rsid w:val="00B850D6"/>
    <w:rsid w:val="00B85DF9"/>
    <w:rsid w:val="00B8624F"/>
    <w:rsid w:val="00B9129D"/>
    <w:rsid w:val="00B93319"/>
    <w:rsid w:val="00B949BA"/>
    <w:rsid w:val="00B94C24"/>
    <w:rsid w:val="00B950F6"/>
    <w:rsid w:val="00B95D2B"/>
    <w:rsid w:val="00B97D36"/>
    <w:rsid w:val="00BA362A"/>
    <w:rsid w:val="00BA39DA"/>
    <w:rsid w:val="00BA510B"/>
    <w:rsid w:val="00BB10C3"/>
    <w:rsid w:val="00BB3557"/>
    <w:rsid w:val="00BB35B6"/>
    <w:rsid w:val="00BB3FCE"/>
    <w:rsid w:val="00BB49F2"/>
    <w:rsid w:val="00BB584F"/>
    <w:rsid w:val="00BB6934"/>
    <w:rsid w:val="00BC01B6"/>
    <w:rsid w:val="00BC33F2"/>
    <w:rsid w:val="00BC4234"/>
    <w:rsid w:val="00BC6A72"/>
    <w:rsid w:val="00BD159E"/>
    <w:rsid w:val="00BF09F2"/>
    <w:rsid w:val="00BF3D34"/>
    <w:rsid w:val="00C00FB7"/>
    <w:rsid w:val="00C11D4E"/>
    <w:rsid w:val="00C12172"/>
    <w:rsid w:val="00C155BD"/>
    <w:rsid w:val="00C15DF2"/>
    <w:rsid w:val="00C168E1"/>
    <w:rsid w:val="00C17704"/>
    <w:rsid w:val="00C208F0"/>
    <w:rsid w:val="00C213E8"/>
    <w:rsid w:val="00C22574"/>
    <w:rsid w:val="00C23B30"/>
    <w:rsid w:val="00C23D64"/>
    <w:rsid w:val="00C258E4"/>
    <w:rsid w:val="00C26FB0"/>
    <w:rsid w:val="00C357C6"/>
    <w:rsid w:val="00C365D6"/>
    <w:rsid w:val="00C40CC7"/>
    <w:rsid w:val="00C41A8F"/>
    <w:rsid w:val="00C440A9"/>
    <w:rsid w:val="00C449EF"/>
    <w:rsid w:val="00C44BA8"/>
    <w:rsid w:val="00C4549B"/>
    <w:rsid w:val="00C4568D"/>
    <w:rsid w:val="00C46E2F"/>
    <w:rsid w:val="00C51B60"/>
    <w:rsid w:val="00C538ED"/>
    <w:rsid w:val="00C53FB9"/>
    <w:rsid w:val="00C54549"/>
    <w:rsid w:val="00C563A1"/>
    <w:rsid w:val="00C6123E"/>
    <w:rsid w:val="00C612C1"/>
    <w:rsid w:val="00C61638"/>
    <w:rsid w:val="00C64753"/>
    <w:rsid w:val="00C649A4"/>
    <w:rsid w:val="00C651B4"/>
    <w:rsid w:val="00C6692B"/>
    <w:rsid w:val="00C673E2"/>
    <w:rsid w:val="00C70C15"/>
    <w:rsid w:val="00C75A87"/>
    <w:rsid w:val="00C76C53"/>
    <w:rsid w:val="00C84253"/>
    <w:rsid w:val="00C8D455"/>
    <w:rsid w:val="00C901CA"/>
    <w:rsid w:val="00C93C03"/>
    <w:rsid w:val="00C9692A"/>
    <w:rsid w:val="00C976E6"/>
    <w:rsid w:val="00C97CDF"/>
    <w:rsid w:val="00CA3BD4"/>
    <w:rsid w:val="00CA60C2"/>
    <w:rsid w:val="00CA653B"/>
    <w:rsid w:val="00CA6D06"/>
    <w:rsid w:val="00CA7B63"/>
    <w:rsid w:val="00CB0896"/>
    <w:rsid w:val="00CB0AA2"/>
    <w:rsid w:val="00CB2309"/>
    <w:rsid w:val="00CB5BC8"/>
    <w:rsid w:val="00CC080C"/>
    <w:rsid w:val="00CC0CC5"/>
    <w:rsid w:val="00CC15C3"/>
    <w:rsid w:val="00CC29FF"/>
    <w:rsid w:val="00CD1B17"/>
    <w:rsid w:val="00CD603C"/>
    <w:rsid w:val="00CE1E16"/>
    <w:rsid w:val="00CE363F"/>
    <w:rsid w:val="00CE37C7"/>
    <w:rsid w:val="00CE50BB"/>
    <w:rsid w:val="00CE638C"/>
    <w:rsid w:val="00CE6D17"/>
    <w:rsid w:val="00CF18BC"/>
    <w:rsid w:val="00CF3CDE"/>
    <w:rsid w:val="00CF47D6"/>
    <w:rsid w:val="00CF5EC2"/>
    <w:rsid w:val="00D00441"/>
    <w:rsid w:val="00D0436E"/>
    <w:rsid w:val="00D123B4"/>
    <w:rsid w:val="00D12CF0"/>
    <w:rsid w:val="00D134E1"/>
    <w:rsid w:val="00D14D1D"/>
    <w:rsid w:val="00D15E56"/>
    <w:rsid w:val="00D1776A"/>
    <w:rsid w:val="00D202F3"/>
    <w:rsid w:val="00D24953"/>
    <w:rsid w:val="00D26A08"/>
    <w:rsid w:val="00D277F5"/>
    <w:rsid w:val="00D31460"/>
    <w:rsid w:val="00D428E3"/>
    <w:rsid w:val="00D45511"/>
    <w:rsid w:val="00D46555"/>
    <w:rsid w:val="00D4670D"/>
    <w:rsid w:val="00D53196"/>
    <w:rsid w:val="00D54474"/>
    <w:rsid w:val="00D55E1F"/>
    <w:rsid w:val="00D635E8"/>
    <w:rsid w:val="00D6662C"/>
    <w:rsid w:val="00D67A23"/>
    <w:rsid w:val="00D70AF6"/>
    <w:rsid w:val="00D72130"/>
    <w:rsid w:val="00D7273C"/>
    <w:rsid w:val="00D72B1D"/>
    <w:rsid w:val="00D72C5B"/>
    <w:rsid w:val="00D769D2"/>
    <w:rsid w:val="00D77AC8"/>
    <w:rsid w:val="00D801F9"/>
    <w:rsid w:val="00D82E01"/>
    <w:rsid w:val="00D84EBC"/>
    <w:rsid w:val="00D9294E"/>
    <w:rsid w:val="00D92F9F"/>
    <w:rsid w:val="00D945A2"/>
    <w:rsid w:val="00D9540C"/>
    <w:rsid w:val="00D95C6D"/>
    <w:rsid w:val="00D95D32"/>
    <w:rsid w:val="00D9671A"/>
    <w:rsid w:val="00D9775A"/>
    <w:rsid w:val="00D97D70"/>
    <w:rsid w:val="00DA328E"/>
    <w:rsid w:val="00DA4854"/>
    <w:rsid w:val="00DB0F4A"/>
    <w:rsid w:val="00DB15F8"/>
    <w:rsid w:val="00DB2906"/>
    <w:rsid w:val="00DB3D0C"/>
    <w:rsid w:val="00DC3092"/>
    <w:rsid w:val="00DC4009"/>
    <w:rsid w:val="00DC61E2"/>
    <w:rsid w:val="00DD1387"/>
    <w:rsid w:val="00DD18AC"/>
    <w:rsid w:val="00DD53EE"/>
    <w:rsid w:val="00DD591F"/>
    <w:rsid w:val="00DD70E9"/>
    <w:rsid w:val="00DD7FD2"/>
    <w:rsid w:val="00DE000A"/>
    <w:rsid w:val="00DE032B"/>
    <w:rsid w:val="00DE03EF"/>
    <w:rsid w:val="00DE0765"/>
    <w:rsid w:val="00DE63E9"/>
    <w:rsid w:val="00DF027B"/>
    <w:rsid w:val="00DF1C5A"/>
    <w:rsid w:val="00DF266B"/>
    <w:rsid w:val="00DF4AD9"/>
    <w:rsid w:val="00DF5686"/>
    <w:rsid w:val="00E00B36"/>
    <w:rsid w:val="00E01E92"/>
    <w:rsid w:val="00E06DEB"/>
    <w:rsid w:val="00E074B6"/>
    <w:rsid w:val="00E100C9"/>
    <w:rsid w:val="00E10728"/>
    <w:rsid w:val="00E110DF"/>
    <w:rsid w:val="00E11FFE"/>
    <w:rsid w:val="00E12D97"/>
    <w:rsid w:val="00E14702"/>
    <w:rsid w:val="00E14B37"/>
    <w:rsid w:val="00E151B5"/>
    <w:rsid w:val="00E23D10"/>
    <w:rsid w:val="00E3002D"/>
    <w:rsid w:val="00E31FEF"/>
    <w:rsid w:val="00E3375C"/>
    <w:rsid w:val="00E34F02"/>
    <w:rsid w:val="00E3564C"/>
    <w:rsid w:val="00E356B1"/>
    <w:rsid w:val="00E36F1A"/>
    <w:rsid w:val="00E400DA"/>
    <w:rsid w:val="00E424E6"/>
    <w:rsid w:val="00E46F0A"/>
    <w:rsid w:val="00E474C1"/>
    <w:rsid w:val="00E507B4"/>
    <w:rsid w:val="00E52DFF"/>
    <w:rsid w:val="00E5431D"/>
    <w:rsid w:val="00E54B50"/>
    <w:rsid w:val="00E609FA"/>
    <w:rsid w:val="00E611E5"/>
    <w:rsid w:val="00E6127A"/>
    <w:rsid w:val="00E613BC"/>
    <w:rsid w:val="00E622AC"/>
    <w:rsid w:val="00E6321D"/>
    <w:rsid w:val="00E66FEB"/>
    <w:rsid w:val="00E678EA"/>
    <w:rsid w:val="00E72D95"/>
    <w:rsid w:val="00E73DBA"/>
    <w:rsid w:val="00E74056"/>
    <w:rsid w:val="00E8056B"/>
    <w:rsid w:val="00E80BAA"/>
    <w:rsid w:val="00E84159"/>
    <w:rsid w:val="00E91006"/>
    <w:rsid w:val="00E93781"/>
    <w:rsid w:val="00E97464"/>
    <w:rsid w:val="00EA10B6"/>
    <w:rsid w:val="00EA1BE2"/>
    <w:rsid w:val="00EA3E42"/>
    <w:rsid w:val="00EA438C"/>
    <w:rsid w:val="00EA4589"/>
    <w:rsid w:val="00EA55EF"/>
    <w:rsid w:val="00EB0D75"/>
    <w:rsid w:val="00EB129B"/>
    <w:rsid w:val="00EB3915"/>
    <w:rsid w:val="00EB3A14"/>
    <w:rsid w:val="00EB3D90"/>
    <w:rsid w:val="00EB48E1"/>
    <w:rsid w:val="00EB5BD6"/>
    <w:rsid w:val="00EC022C"/>
    <w:rsid w:val="00EC0840"/>
    <w:rsid w:val="00EC283C"/>
    <w:rsid w:val="00EC57D3"/>
    <w:rsid w:val="00ED598D"/>
    <w:rsid w:val="00EE0FC5"/>
    <w:rsid w:val="00EE197A"/>
    <w:rsid w:val="00EE1C5B"/>
    <w:rsid w:val="00EE7C2D"/>
    <w:rsid w:val="00EF71EA"/>
    <w:rsid w:val="00F003FB"/>
    <w:rsid w:val="00F00C97"/>
    <w:rsid w:val="00F020BC"/>
    <w:rsid w:val="00F058D0"/>
    <w:rsid w:val="00F065C5"/>
    <w:rsid w:val="00F06CD4"/>
    <w:rsid w:val="00F113F1"/>
    <w:rsid w:val="00F13C7F"/>
    <w:rsid w:val="00F1518C"/>
    <w:rsid w:val="00F156EE"/>
    <w:rsid w:val="00F165DA"/>
    <w:rsid w:val="00F20518"/>
    <w:rsid w:val="00F21F98"/>
    <w:rsid w:val="00F24EBE"/>
    <w:rsid w:val="00F2666D"/>
    <w:rsid w:val="00F26E8C"/>
    <w:rsid w:val="00F27B36"/>
    <w:rsid w:val="00F35225"/>
    <w:rsid w:val="00F363BC"/>
    <w:rsid w:val="00F418CC"/>
    <w:rsid w:val="00F41DF6"/>
    <w:rsid w:val="00F44588"/>
    <w:rsid w:val="00F44EB8"/>
    <w:rsid w:val="00F45080"/>
    <w:rsid w:val="00F4571E"/>
    <w:rsid w:val="00F51C75"/>
    <w:rsid w:val="00F5274A"/>
    <w:rsid w:val="00F532BD"/>
    <w:rsid w:val="00F5363E"/>
    <w:rsid w:val="00F53BBC"/>
    <w:rsid w:val="00F54BD5"/>
    <w:rsid w:val="00F57085"/>
    <w:rsid w:val="00F6108C"/>
    <w:rsid w:val="00F619E9"/>
    <w:rsid w:val="00F61CF5"/>
    <w:rsid w:val="00F628A3"/>
    <w:rsid w:val="00F70C04"/>
    <w:rsid w:val="00F736F0"/>
    <w:rsid w:val="00F73C89"/>
    <w:rsid w:val="00F7534C"/>
    <w:rsid w:val="00F77DF6"/>
    <w:rsid w:val="00F8274A"/>
    <w:rsid w:val="00F83CFF"/>
    <w:rsid w:val="00F90E30"/>
    <w:rsid w:val="00F941D3"/>
    <w:rsid w:val="00F95304"/>
    <w:rsid w:val="00F95935"/>
    <w:rsid w:val="00FA041D"/>
    <w:rsid w:val="00FA0839"/>
    <w:rsid w:val="00FA159F"/>
    <w:rsid w:val="00FA49F3"/>
    <w:rsid w:val="00FA5FBB"/>
    <w:rsid w:val="00FA5FE2"/>
    <w:rsid w:val="00FB0FEC"/>
    <w:rsid w:val="00FB1199"/>
    <w:rsid w:val="00FB1940"/>
    <w:rsid w:val="00FB2CD1"/>
    <w:rsid w:val="00FB50B3"/>
    <w:rsid w:val="00FB54AC"/>
    <w:rsid w:val="00FB5D57"/>
    <w:rsid w:val="00FB6D65"/>
    <w:rsid w:val="00FB79DA"/>
    <w:rsid w:val="00FC0E9E"/>
    <w:rsid w:val="00FC5C49"/>
    <w:rsid w:val="00FC5E25"/>
    <w:rsid w:val="00FC7212"/>
    <w:rsid w:val="00FC7769"/>
    <w:rsid w:val="00FD120B"/>
    <w:rsid w:val="00FD178A"/>
    <w:rsid w:val="00FD464E"/>
    <w:rsid w:val="00FD6097"/>
    <w:rsid w:val="00FE38F1"/>
    <w:rsid w:val="00FE3B32"/>
    <w:rsid w:val="00FE6733"/>
    <w:rsid w:val="00FF05CD"/>
    <w:rsid w:val="00FF2793"/>
    <w:rsid w:val="00FF2A48"/>
    <w:rsid w:val="00FF2E49"/>
    <w:rsid w:val="00FF7542"/>
    <w:rsid w:val="012A032B"/>
    <w:rsid w:val="01510D36"/>
    <w:rsid w:val="01ADDCE8"/>
    <w:rsid w:val="0290700B"/>
    <w:rsid w:val="02C67A70"/>
    <w:rsid w:val="02D0EB42"/>
    <w:rsid w:val="02DF9743"/>
    <w:rsid w:val="02E8A9B2"/>
    <w:rsid w:val="03476FC6"/>
    <w:rsid w:val="040664DB"/>
    <w:rsid w:val="04084D3D"/>
    <w:rsid w:val="04131B7A"/>
    <w:rsid w:val="063BB56A"/>
    <w:rsid w:val="068124BE"/>
    <w:rsid w:val="06EC7FA6"/>
    <w:rsid w:val="06ED8030"/>
    <w:rsid w:val="070E0743"/>
    <w:rsid w:val="07F485D5"/>
    <w:rsid w:val="07F87753"/>
    <w:rsid w:val="0821260E"/>
    <w:rsid w:val="0855BD5C"/>
    <w:rsid w:val="09DC1059"/>
    <w:rsid w:val="09F272DD"/>
    <w:rsid w:val="0A66AE96"/>
    <w:rsid w:val="0A681B24"/>
    <w:rsid w:val="0AFC49AA"/>
    <w:rsid w:val="0AFCE715"/>
    <w:rsid w:val="0B550F3C"/>
    <w:rsid w:val="0B695888"/>
    <w:rsid w:val="0B955427"/>
    <w:rsid w:val="0BBA186A"/>
    <w:rsid w:val="0C1BDA77"/>
    <w:rsid w:val="0CBA79D6"/>
    <w:rsid w:val="0E0AB68A"/>
    <w:rsid w:val="0E2090F8"/>
    <w:rsid w:val="0E268896"/>
    <w:rsid w:val="0E6929B8"/>
    <w:rsid w:val="0EB45788"/>
    <w:rsid w:val="0F0DFA1D"/>
    <w:rsid w:val="0F914AD2"/>
    <w:rsid w:val="10394E86"/>
    <w:rsid w:val="1075E746"/>
    <w:rsid w:val="10BCDC5E"/>
    <w:rsid w:val="1102B838"/>
    <w:rsid w:val="11680C47"/>
    <w:rsid w:val="11D18999"/>
    <w:rsid w:val="127B4EEF"/>
    <w:rsid w:val="127BAE64"/>
    <w:rsid w:val="145928FE"/>
    <w:rsid w:val="1588B716"/>
    <w:rsid w:val="15CDEAFF"/>
    <w:rsid w:val="15E7489D"/>
    <w:rsid w:val="1646C5B2"/>
    <w:rsid w:val="16DA9004"/>
    <w:rsid w:val="173A492F"/>
    <w:rsid w:val="17BCAC42"/>
    <w:rsid w:val="18144A7F"/>
    <w:rsid w:val="1824469A"/>
    <w:rsid w:val="18B91A1A"/>
    <w:rsid w:val="18FB36EC"/>
    <w:rsid w:val="1994248D"/>
    <w:rsid w:val="19CC2DAB"/>
    <w:rsid w:val="1B2FBEEA"/>
    <w:rsid w:val="1BA97818"/>
    <w:rsid w:val="1C0DE86E"/>
    <w:rsid w:val="1C71C90D"/>
    <w:rsid w:val="1D9C030E"/>
    <w:rsid w:val="1E02F17B"/>
    <w:rsid w:val="1E35D710"/>
    <w:rsid w:val="1E694E2F"/>
    <w:rsid w:val="20879824"/>
    <w:rsid w:val="22455059"/>
    <w:rsid w:val="225782E0"/>
    <w:rsid w:val="228E9E5F"/>
    <w:rsid w:val="23DCAD1E"/>
    <w:rsid w:val="2415BE5C"/>
    <w:rsid w:val="247B28FB"/>
    <w:rsid w:val="248BCFD9"/>
    <w:rsid w:val="254C2E6A"/>
    <w:rsid w:val="25712556"/>
    <w:rsid w:val="25870B51"/>
    <w:rsid w:val="2589F693"/>
    <w:rsid w:val="25DD3EF7"/>
    <w:rsid w:val="26512E7E"/>
    <w:rsid w:val="265FE39F"/>
    <w:rsid w:val="266ED7FE"/>
    <w:rsid w:val="26925F46"/>
    <w:rsid w:val="26E21001"/>
    <w:rsid w:val="276D7946"/>
    <w:rsid w:val="27AFD369"/>
    <w:rsid w:val="27B9FA9B"/>
    <w:rsid w:val="27E0E6DF"/>
    <w:rsid w:val="28240713"/>
    <w:rsid w:val="284185D9"/>
    <w:rsid w:val="294A231E"/>
    <w:rsid w:val="297B9190"/>
    <w:rsid w:val="29A8E1EB"/>
    <w:rsid w:val="29CAE426"/>
    <w:rsid w:val="29CF66E1"/>
    <w:rsid w:val="2A327128"/>
    <w:rsid w:val="2A3B016D"/>
    <w:rsid w:val="2AB6CC43"/>
    <w:rsid w:val="2B1E54D9"/>
    <w:rsid w:val="2BC0D3CE"/>
    <w:rsid w:val="2C10C360"/>
    <w:rsid w:val="2C5B899C"/>
    <w:rsid w:val="2E066D08"/>
    <w:rsid w:val="2EACE52C"/>
    <w:rsid w:val="2ED4819F"/>
    <w:rsid w:val="2EE60C98"/>
    <w:rsid w:val="2EE78670"/>
    <w:rsid w:val="2F978AED"/>
    <w:rsid w:val="2FED3F80"/>
    <w:rsid w:val="3038DD43"/>
    <w:rsid w:val="30B6129B"/>
    <w:rsid w:val="3210B919"/>
    <w:rsid w:val="3242F72B"/>
    <w:rsid w:val="32F761F2"/>
    <w:rsid w:val="3356C448"/>
    <w:rsid w:val="343E0A79"/>
    <w:rsid w:val="3469CC75"/>
    <w:rsid w:val="34B9F644"/>
    <w:rsid w:val="34E8D9C0"/>
    <w:rsid w:val="35658CF7"/>
    <w:rsid w:val="364C0095"/>
    <w:rsid w:val="365835C1"/>
    <w:rsid w:val="36A92219"/>
    <w:rsid w:val="36EFE0A6"/>
    <w:rsid w:val="370F448B"/>
    <w:rsid w:val="3855CC30"/>
    <w:rsid w:val="3878F817"/>
    <w:rsid w:val="38B9E969"/>
    <w:rsid w:val="39E108D5"/>
    <w:rsid w:val="39FF4388"/>
    <w:rsid w:val="3A0EDAF4"/>
    <w:rsid w:val="3A22F236"/>
    <w:rsid w:val="3A7D04C0"/>
    <w:rsid w:val="3AAF6257"/>
    <w:rsid w:val="3AB71BF4"/>
    <w:rsid w:val="3AEFBEB4"/>
    <w:rsid w:val="3BBD8584"/>
    <w:rsid w:val="3D0A1D80"/>
    <w:rsid w:val="3D0B1533"/>
    <w:rsid w:val="3D24F2DE"/>
    <w:rsid w:val="3D354F51"/>
    <w:rsid w:val="3DB35258"/>
    <w:rsid w:val="3EF6A6BA"/>
    <w:rsid w:val="3F386121"/>
    <w:rsid w:val="3F55D3A0"/>
    <w:rsid w:val="3FFB1B3B"/>
    <w:rsid w:val="401263EE"/>
    <w:rsid w:val="4077781B"/>
    <w:rsid w:val="416A82EF"/>
    <w:rsid w:val="426091AF"/>
    <w:rsid w:val="42C379E2"/>
    <w:rsid w:val="43248073"/>
    <w:rsid w:val="433468EE"/>
    <w:rsid w:val="43700124"/>
    <w:rsid w:val="441110DC"/>
    <w:rsid w:val="448B4D88"/>
    <w:rsid w:val="4497DB12"/>
    <w:rsid w:val="44E73645"/>
    <w:rsid w:val="480B8F48"/>
    <w:rsid w:val="4833A70C"/>
    <w:rsid w:val="483D4820"/>
    <w:rsid w:val="48453B7C"/>
    <w:rsid w:val="4882B19D"/>
    <w:rsid w:val="49109861"/>
    <w:rsid w:val="4910AA42"/>
    <w:rsid w:val="4AD04209"/>
    <w:rsid w:val="4AF8D0EB"/>
    <w:rsid w:val="4B6141A1"/>
    <w:rsid w:val="4C0839EA"/>
    <w:rsid w:val="4C16F730"/>
    <w:rsid w:val="4C324073"/>
    <w:rsid w:val="4C871CD7"/>
    <w:rsid w:val="4C94438F"/>
    <w:rsid w:val="4CCAD7FF"/>
    <w:rsid w:val="4DE5364B"/>
    <w:rsid w:val="4DE6EF9F"/>
    <w:rsid w:val="4DFDC136"/>
    <w:rsid w:val="4E483E84"/>
    <w:rsid w:val="4E633358"/>
    <w:rsid w:val="4EA3AD6E"/>
    <w:rsid w:val="4EFD5FAC"/>
    <w:rsid w:val="4FD94841"/>
    <w:rsid w:val="51667B8A"/>
    <w:rsid w:val="51C07312"/>
    <w:rsid w:val="52C29150"/>
    <w:rsid w:val="537F2240"/>
    <w:rsid w:val="5553BAEA"/>
    <w:rsid w:val="55A032A6"/>
    <w:rsid w:val="55BBDE24"/>
    <w:rsid w:val="56DC9ECF"/>
    <w:rsid w:val="571FE9A6"/>
    <w:rsid w:val="5780E22B"/>
    <w:rsid w:val="57B9CBBF"/>
    <w:rsid w:val="582D7861"/>
    <w:rsid w:val="58B0DF17"/>
    <w:rsid w:val="596F6267"/>
    <w:rsid w:val="5A875489"/>
    <w:rsid w:val="5ACC449B"/>
    <w:rsid w:val="5B0D1BF0"/>
    <w:rsid w:val="5BADB94E"/>
    <w:rsid w:val="5BBA38E5"/>
    <w:rsid w:val="5C0C1B57"/>
    <w:rsid w:val="5C5247DD"/>
    <w:rsid w:val="5CC9248E"/>
    <w:rsid w:val="5D1849F7"/>
    <w:rsid w:val="5D2905DC"/>
    <w:rsid w:val="5E5D3F71"/>
    <w:rsid w:val="5ED422CF"/>
    <w:rsid w:val="5F84B59B"/>
    <w:rsid w:val="5FC6ED74"/>
    <w:rsid w:val="5FD61F24"/>
    <w:rsid w:val="5FFCFBAC"/>
    <w:rsid w:val="6091649A"/>
    <w:rsid w:val="615FD258"/>
    <w:rsid w:val="617F4F72"/>
    <w:rsid w:val="61D32853"/>
    <w:rsid w:val="626F9A5A"/>
    <w:rsid w:val="63BA9231"/>
    <w:rsid w:val="63E26C0A"/>
    <w:rsid w:val="64271D78"/>
    <w:rsid w:val="645D0A4E"/>
    <w:rsid w:val="64B8F9D6"/>
    <w:rsid w:val="65AA5DA6"/>
    <w:rsid w:val="65DCEF35"/>
    <w:rsid w:val="66EF60EE"/>
    <w:rsid w:val="67C3DB23"/>
    <w:rsid w:val="67D6CC31"/>
    <w:rsid w:val="68322607"/>
    <w:rsid w:val="68BABC95"/>
    <w:rsid w:val="692C3AFD"/>
    <w:rsid w:val="694C336A"/>
    <w:rsid w:val="6977F685"/>
    <w:rsid w:val="69EE4A41"/>
    <w:rsid w:val="6A601940"/>
    <w:rsid w:val="6AA48978"/>
    <w:rsid w:val="6B3D2389"/>
    <w:rsid w:val="6B780E52"/>
    <w:rsid w:val="6BA43D60"/>
    <w:rsid w:val="6C81033B"/>
    <w:rsid w:val="6D03C99C"/>
    <w:rsid w:val="6D76FDDE"/>
    <w:rsid w:val="6E4FF8FB"/>
    <w:rsid w:val="6EABB556"/>
    <w:rsid w:val="6F2076A0"/>
    <w:rsid w:val="7002E234"/>
    <w:rsid w:val="70CF2679"/>
    <w:rsid w:val="7146C142"/>
    <w:rsid w:val="7163ED82"/>
    <w:rsid w:val="718BC52E"/>
    <w:rsid w:val="721978F7"/>
    <w:rsid w:val="72AA4E4C"/>
    <w:rsid w:val="72F4FC51"/>
    <w:rsid w:val="73289F26"/>
    <w:rsid w:val="73B22A59"/>
    <w:rsid w:val="73B403C5"/>
    <w:rsid w:val="73E5A3EC"/>
    <w:rsid w:val="741A4101"/>
    <w:rsid w:val="743166D3"/>
    <w:rsid w:val="7546B0FE"/>
    <w:rsid w:val="7597275C"/>
    <w:rsid w:val="759D9B62"/>
    <w:rsid w:val="75AD3599"/>
    <w:rsid w:val="7623E5F2"/>
    <w:rsid w:val="7651F36A"/>
    <w:rsid w:val="76BE20DC"/>
    <w:rsid w:val="778B33D0"/>
    <w:rsid w:val="77CAB37D"/>
    <w:rsid w:val="786E5FA3"/>
    <w:rsid w:val="787687F5"/>
    <w:rsid w:val="79104767"/>
    <w:rsid w:val="79E445E3"/>
    <w:rsid w:val="7AEC0269"/>
    <w:rsid w:val="7AF44BBF"/>
    <w:rsid w:val="7B0CF2C2"/>
    <w:rsid w:val="7B8E1D92"/>
    <w:rsid w:val="7C6E90E2"/>
    <w:rsid w:val="7D80D0F2"/>
    <w:rsid w:val="7E6C6245"/>
    <w:rsid w:val="7F0BD13F"/>
    <w:rsid w:val="7F34CC12"/>
    <w:rsid w:val="7F9C0E78"/>
    <w:rsid w:val="7FFB7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4ECFB9F"/>
  <w15:chartTrackingRefBased/>
  <w15:docId w15:val="{3A71EC82-A8FD-454E-BE38-4F66C93B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link w:val="Heading2Char"/>
    <w:qFormat/>
    <w:rsid w:val="00F73C8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75E5A"/>
    <w:rPr>
      <w:color w:val="0563C1"/>
      <w:u w:val="single"/>
    </w:rPr>
  </w:style>
  <w:style w:type="paragraph" w:customStyle="1" w:styleId="MediumGrid1-Accent21">
    <w:name w:val="Medium Grid 1 - Accent 21"/>
    <w:basedOn w:val="Normal"/>
    <w:uiPriority w:val="34"/>
    <w:qFormat/>
    <w:rsid w:val="00BD159E"/>
    <w:pPr>
      <w:widowControl/>
      <w:autoSpaceDE/>
      <w:autoSpaceDN/>
      <w:adjustRightInd/>
      <w:ind w:left="720"/>
      <w:contextualSpacing/>
    </w:pPr>
    <w:rPr>
      <w:rFonts w:ascii="Cambria" w:eastAsia="MS Mincho" w:hAnsi="Cambria"/>
      <w:sz w:val="24"/>
    </w:rPr>
  </w:style>
  <w:style w:type="paragraph" w:styleId="BodyText">
    <w:name w:val="Body Text"/>
    <w:basedOn w:val="Normal"/>
    <w:link w:val="BodyTextChar"/>
    <w:rsid w:val="00630A4B"/>
    <w:pPr>
      <w:spacing w:after="120"/>
    </w:pPr>
  </w:style>
  <w:style w:type="character" w:customStyle="1" w:styleId="BodyTextChar">
    <w:name w:val="Body Text Char"/>
    <w:link w:val="BodyText"/>
    <w:rsid w:val="00630A4B"/>
    <w:rPr>
      <w:szCs w:val="24"/>
    </w:rPr>
  </w:style>
  <w:style w:type="paragraph" w:styleId="Header">
    <w:name w:val="header"/>
    <w:basedOn w:val="Normal"/>
    <w:link w:val="HeaderChar"/>
    <w:uiPriority w:val="99"/>
    <w:unhideWhenUsed/>
    <w:rsid w:val="00630A4B"/>
    <w:pPr>
      <w:widowControl/>
      <w:tabs>
        <w:tab w:val="center" w:pos="4680"/>
        <w:tab w:val="right" w:pos="9360"/>
      </w:tabs>
      <w:autoSpaceDE/>
      <w:autoSpaceDN/>
      <w:adjustRightInd/>
    </w:pPr>
    <w:rPr>
      <w:rFonts w:ascii="Calibri" w:eastAsia="Calibri" w:hAnsi="Calibri"/>
      <w:sz w:val="24"/>
    </w:rPr>
  </w:style>
  <w:style w:type="character" w:customStyle="1" w:styleId="HeaderChar">
    <w:name w:val="Header Char"/>
    <w:link w:val="Header"/>
    <w:uiPriority w:val="99"/>
    <w:rsid w:val="00630A4B"/>
    <w:rPr>
      <w:rFonts w:ascii="Calibri" w:eastAsia="Calibri" w:hAnsi="Calibri"/>
      <w:sz w:val="24"/>
      <w:szCs w:val="24"/>
    </w:rPr>
  </w:style>
  <w:style w:type="paragraph" w:customStyle="1" w:styleId="p1">
    <w:name w:val="p1"/>
    <w:basedOn w:val="Normal"/>
    <w:rsid w:val="00173963"/>
    <w:pPr>
      <w:widowControl/>
      <w:autoSpaceDE/>
      <w:autoSpaceDN/>
      <w:adjustRightInd/>
    </w:pPr>
    <w:rPr>
      <w:sz w:val="17"/>
      <w:szCs w:val="17"/>
    </w:rPr>
  </w:style>
  <w:style w:type="character" w:customStyle="1" w:styleId="apple-converted-space">
    <w:name w:val="apple-converted-space"/>
    <w:rsid w:val="00173963"/>
  </w:style>
  <w:style w:type="paragraph" w:customStyle="1" w:styleId="P1-StandPara">
    <w:name w:val="P1-Stand Para"/>
    <w:uiPriority w:val="99"/>
    <w:rsid w:val="00B97D36"/>
    <w:pPr>
      <w:spacing w:line="360" w:lineRule="atLeast"/>
      <w:ind w:firstLine="1152"/>
      <w:jc w:val="both"/>
    </w:pPr>
    <w:rPr>
      <w:sz w:val="22"/>
    </w:rPr>
  </w:style>
  <w:style w:type="character" w:styleId="CommentReference">
    <w:name w:val="annotation reference"/>
    <w:rsid w:val="004716C5"/>
    <w:rPr>
      <w:sz w:val="18"/>
      <w:szCs w:val="18"/>
    </w:rPr>
  </w:style>
  <w:style w:type="paragraph" w:styleId="CommentText">
    <w:name w:val="annotation text"/>
    <w:basedOn w:val="Normal"/>
    <w:link w:val="CommentTextChar"/>
    <w:rsid w:val="004716C5"/>
    <w:rPr>
      <w:sz w:val="24"/>
    </w:rPr>
  </w:style>
  <w:style w:type="character" w:customStyle="1" w:styleId="CommentTextChar">
    <w:name w:val="Comment Text Char"/>
    <w:link w:val="CommentText"/>
    <w:rsid w:val="004716C5"/>
    <w:rPr>
      <w:sz w:val="24"/>
      <w:szCs w:val="24"/>
    </w:rPr>
  </w:style>
  <w:style w:type="paragraph" w:styleId="CommentSubject">
    <w:name w:val="annotation subject"/>
    <w:basedOn w:val="CommentText"/>
    <w:next w:val="CommentText"/>
    <w:link w:val="CommentSubjectChar"/>
    <w:rsid w:val="004716C5"/>
    <w:rPr>
      <w:b/>
      <w:bCs/>
      <w:sz w:val="20"/>
      <w:szCs w:val="20"/>
    </w:rPr>
  </w:style>
  <w:style w:type="character" w:customStyle="1" w:styleId="CommentSubjectChar">
    <w:name w:val="Comment Subject Char"/>
    <w:link w:val="CommentSubject"/>
    <w:rsid w:val="004716C5"/>
    <w:rPr>
      <w:b/>
      <w:bCs/>
      <w:sz w:val="24"/>
      <w:szCs w:val="24"/>
    </w:rPr>
  </w:style>
  <w:style w:type="paragraph" w:styleId="BalloonText">
    <w:name w:val="Balloon Text"/>
    <w:basedOn w:val="Normal"/>
    <w:link w:val="BalloonTextChar"/>
    <w:rsid w:val="004716C5"/>
    <w:rPr>
      <w:sz w:val="18"/>
      <w:szCs w:val="18"/>
    </w:rPr>
  </w:style>
  <w:style w:type="character" w:customStyle="1" w:styleId="BalloonTextChar">
    <w:name w:val="Balloon Text Char"/>
    <w:link w:val="BalloonText"/>
    <w:rsid w:val="004716C5"/>
    <w:rPr>
      <w:sz w:val="18"/>
      <w:szCs w:val="18"/>
    </w:rPr>
  </w:style>
  <w:style w:type="character" w:styleId="FollowedHyperlink">
    <w:name w:val="FollowedHyperlink"/>
    <w:rsid w:val="002E1E27"/>
    <w:rPr>
      <w:color w:val="954F72"/>
      <w:u w:val="single"/>
    </w:rPr>
  </w:style>
  <w:style w:type="character" w:customStyle="1" w:styleId="Heading2Char">
    <w:name w:val="Heading 2 Char"/>
    <w:link w:val="Heading2"/>
    <w:semiHidden/>
    <w:rsid w:val="00F73C89"/>
    <w:rPr>
      <w:rFonts w:ascii="Calibri Light" w:eastAsia="Times New Roman" w:hAnsi="Calibri Light" w:cs="Times New Roman"/>
      <w:b/>
      <w:bCs/>
      <w:i/>
      <w:iCs/>
      <w:sz w:val="28"/>
      <w:szCs w:val="28"/>
    </w:rPr>
  </w:style>
  <w:style w:type="paragraph" w:customStyle="1" w:styleId="TableSubheadBlack">
    <w:name w:val="Table Subhead Black"/>
    <w:rsid w:val="007F232F"/>
    <w:pPr>
      <w:keepNext/>
      <w:spacing w:before="60" w:after="40"/>
      <w:jc w:val="center"/>
    </w:pPr>
    <w:rPr>
      <w:rFonts w:ascii="Arial" w:hAnsi="Arial"/>
      <w:b/>
      <w:color w:val="000000"/>
      <w:sz w:val="18"/>
    </w:rPr>
  </w:style>
  <w:style w:type="paragraph" w:customStyle="1" w:styleId="TableTextLeft">
    <w:name w:val="Table Text Left"/>
    <w:rsid w:val="007F232F"/>
    <w:pPr>
      <w:spacing w:before="40" w:after="40"/>
    </w:pPr>
    <w:rPr>
      <w:rFonts w:ascii="Arial" w:hAnsi="Arial"/>
      <w:sz w:val="18"/>
      <w:szCs w:val="22"/>
    </w:rPr>
  </w:style>
  <w:style w:type="paragraph" w:styleId="Footer">
    <w:name w:val="footer"/>
    <w:basedOn w:val="Normal"/>
    <w:link w:val="FooterChar"/>
    <w:rsid w:val="00206228"/>
    <w:pPr>
      <w:tabs>
        <w:tab w:val="center" w:pos="4680"/>
        <w:tab w:val="right" w:pos="9360"/>
      </w:tabs>
    </w:pPr>
  </w:style>
  <w:style w:type="character" w:customStyle="1" w:styleId="FooterChar">
    <w:name w:val="Footer Char"/>
    <w:link w:val="Footer"/>
    <w:rsid w:val="00206228"/>
    <w:rPr>
      <w:szCs w:val="24"/>
    </w:rPr>
  </w:style>
  <w:style w:type="character" w:styleId="PageNumber">
    <w:name w:val="page number"/>
    <w:rsid w:val="00206228"/>
  </w:style>
  <w:style w:type="paragraph" w:styleId="FootnoteText">
    <w:name w:val="footnote text"/>
    <w:basedOn w:val="Normal"/>
    <w:link w:val="FootnoteTextChar"/>
    <w:rsid w:val="00FA49F3"/>
    <w:rPr>
      <w:sz w:val="24"/>
    </w:rPr>
  </w:style>
  <w:style w:type="character" w:customStyle="1" w:styleId="FootnoteTextChar">
    <w:name w:val="Footnote Text Char"/>
    <w:link w:val="FootnoteText"/>
    <w:rsid w:val="00FA49F3"/>
    <w:rPr>
      <w:sz w:val="24"/>
      <w:szCs w:val="24"/>
    </w:rPr>
  </w:style>
  <w:style w:type="paragraph" w:customStyle="1" w:styleId="ColorfulShading-Accent11">
    <w:name w:val="Colorful Shading - Accent 11"/>
    <w:hidden/>
    <w:uiPriority w:val="71"/>
    <w:rsid w:val="008A2FEE"/>
    <w:rPr>
      <w:szCs w:val="24"/>
    </w:rPr>
  </w:style>
  <w:style w:type="character" w:styleId="UnresolvedMention">
    <w:name w:val="Unresolved Mention"/>
    <w:uiPriority w:val="99"/>
    <w:semiHidden/>
    <w:unhideWhenUsed/>
    <w:rsid w:val="001361E5"/>
    <w:rPr>
      <w:color w:val="605E5C"/>
      <w:shd w:val="clear" w:color="auto" w:fill="E1DFDD"/>
    </w:rPr>
  </w:style>
  <w:style w:type="paragraph" w:styleId="Revision">
    <w:name w:val="Revision"/>
    <w:hidden/>
    <w:uiPriority w:val="62"/>
    <w:rsid w:val="00686FD5"/>
    <w:rPr>
      <w:szCs w:val="24"/>
    </w:rPr>
  </w:style>
  <w:style w:type="paragraph" w:customStyle="1" w:styleId="Default">
    <w:name w:val="Default"/>
    <w:rsid w:val="0058727D"/>
    <w:pPr>
      <w:autoSpaceDE w:val="0"/>
      <w:autoSpaceDN w:val="0"/>
      <w:adjustRightInd w:val="0"/>
    </w:pPr>
    <w:rPr>
      <w:rFonts w:ascii="Arial" w:hAnsi="Arial" w:eastAsiaTheme="minorHAnsi" w:cs="Arial"/>
      <w:color w:val="000000"/>
      <w:sz w:val="24"/>
      <w:szCs w:val="24"/>
    </w:rPr>
  </w:style>
  <w:style w:type="paragraph" w:styleId="EndnoteText">
    <w:name w:val="endnote text"/>
    <w:basedOn w:val="Normal"/>
    <w:link w:val="EndnoteTextChar"/>
    <w:rsid w:val="00AB3853"/>
    <w:rPr>
      <w:szCs w:val="20"/>
    </w:rPr>
  </w:style>
  <w:style w:type="character" w:customStyle="1" w:styleId="EndnoteTextChar">
    <w:name w:val="Endnote Text Char"/>
    <w:basedOn w:val="DefaultParagraphFont"/>
    <w:link w:val="EndnoteText"/>
    <w:rsid w:val="00AB3853"/>
  </w:style>
  <w:style w:type="character" w:styleId="EndnoteReference">
    <w:name w:val="endnote reference"/>
    <w:basedOn w:val="DefaultParagraphFont"/>
    <w:rsid w:val="00AB3853"/>
    <w:rPr>
      <w:vertAlign w:val="superscript"/>
    </w:rPr>
  </w:style>
  <w:style w:type="character" w:styleId="Mention">
    <w:name w:val="Mention"/>
    <w:basedOn w:val="DefaultParagraphFont"/>
    <w:uiPriority w:val="99"/>
    <w:unhideWhenUsed/>
    <w:rsid w:val="00760B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lideshare.net/slideshow/helath-20-emr-api-report-2018/124232381"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ubmed.ncbi.nlm.nih.gov/38281124/" TargetMode="External" /><Relationship Id="rId9" Type="http://schemas.openxmlformats.org/officeDocument/2006/relationships/hyperlink" Target="https://www.slideshare.net/slideshow/health-20-emr-api-report/661536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643846A05B84ABF722AB3BBC462CE" ma:contentTypeVersion="16" ma:contentTypeDescription="Create a new document." ma:contentTypeScope="" ma:versionID="b8a759d53e7ddbb84376dd569eb2918c">
  <xsd:schema xmlns:xsd="http://www.w3.org/2001/XMLSchema" xmlns:xs="http://www.w3.org/2001/XMLSchema" xmlns:p="http://schemas.microsoft.com/office/2006/metadata/properties" xmlns:ns2="ea7e1651-3ea7-4b9a-8f34-2c98bb20b73c" xmlns:ns3="c7f76adb-85d5-447a-b690-6df47ddd8555" targetNamespace="http://schemas.microsoft.com/office/2006/metadata/properties" ma:root="true" ma:fieldsID="c1660d963dc35320a98f99201289a847" ns2:_="" ns3:_="">
    <xsd:import namespace="ea7e1651-3ea7-4b9a-8f34-2c98bb20b73c"/>
    <xsd:import namespace="c7f76adb-85d5-447a-b690-6df47ddd8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e1651-3ea7-4b9a-8f34-2c98bb20b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76adb-85d5-447a-b690-6df47ddd85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8c576be-a477-4722-b1ea-341e37a60a2a}" ma:internalName="TaxCatchAll" ma:showField="CatchAllData" ma:web="c7f76adb-85d5-447a-b690-6df47ddd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7e1651-3ea7-4b9a-8f34-2c98bb20b73c">
      <Terms xmlns="http://schemas.microsoft.com/office/infopath/2007/PartnerControls"/>
    </lcf76f155ced4ddcb4097134ff3c332f>
    <TaxCatchAll xmlns="c7f76adb-85d5-447a-b690-6df47ddd8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3614531-7FED-48AE-9980-BAC6C7A8B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e1651-3ea7-4b9a-8f34-2c98bb20b73c"/>
    <ds:schemaRef ds:uri="c7f76adb-85d5-447a-b690-6df47ddd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6CD2D-498B-4D2F-B15B-67E3A3F35250}">
  <ds:schemaRefs>
    <ds:schemaRef ds:uri="http://schemas.microsoft.com/office/2006/metadata/properties"/>
    <ds:schemaRef ds:uri="http://schemas.microsoft.com/office/infopath/2007/PartnerControls"/>
    <ds:schemaRef ds:uri="ea7e1651-3ea7-4b9a-8f34-2c98bb20b73c"/>
    <ds:schemaRef ds:uri="c7f76adb-85d5-447a-b690-6df47ddd8555"/>
  </ds:schemaRefs>
</ds:datastoreItem>
</file>

<file path=customXml/itemProps3.xml><?xml version="1.0" encoding="utf-8"?>
<ds:datastoreItem xmlns:ds="http://schemas.openxmlformats.org/officeDocument/2006/customXml" ds:itemID="{D115A01B-08F9-445C-9721-600701B22FCE}">
  <ds:schemaRefs>
    <ds:schemaRef ds:uri="http://schemas.microsoft.com/sharepoint/v3/contenttype/forms"/>
  </ds:schemaRefs>
</ds:datastoreItem>
</file>

<file path=customXml/itemProps4.xml><?xml version="1.0" encoding="utf-8"?>
<ds:datastoreItem xmlns:ds="http://schemas.openxmlformats.org/officeDocument/2006/customXml" ds:itemID="{1815B543-FB87-5A49-BD45-BB6423ABAEA4}">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2229</Words>
  <Characters>11994</Characters>
  <Application>Microsoft Office Word</Application>
  <DocSecurity>0</DocSecurity>
  <Lines>499</Lines>
  <Paragraphs>143</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Kilgore, Wendy (OS/ASTP)</cp:lastModifiedBy>
  <cp:revision>2</cp:revision>
  <cp:lastPrinted>2018-10-03T13:33:00Z</cp:lastPrinted>
  <dcterms:created xsi:type="dcterms:W3CDTF">2025-08-13T17:55:00Z</dcterms:created>
  <dcterms:modified xsi:type="dcterms:W3CDTF">2025-08-13T17:55:00Z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0x0101002E5643846A05B84ABF722AB3BBC462CE</vt:lpwstr>
  </property>
  <property fmtid="{D5CDD505-2E9C-101B-9397-08002B2CF9AE}" pid="3" name="FileId">
    <vt:lpwstr>1588277</vt:lpwstr>
  </property>
  <property fmtid="{D5CDD505-2E9C-101B-9397-08002B2CF9AE}" pid="4" name="InsertAsFootnote">
    <vt:lpwstr>False</vt:lpwstr>
  </property>
  <property fmtid="{D5CDD505-2E9C-101B-9397-08002B2CF9AE}" pid="5" name="MediaServiceImageTags">
    <vt:lpwstr/>
  </property>
  <property fmtid="{D5CDD505-2E9C-101B-9397-08002B2CF9AE}" pid="6" name="ProjectId">
    <vt:lpwstr>-1</vt:lpwstr>
  </property>
  <property fmtid="{D5CDD505-2E9C-101B-9397-08002B2CF9AE}" pid="7" name="StyleId">
    <vt:lpwstr>http://www.zotero.org/styles/vancouver</vt:lpwstr>
  </property>
</Properties>
</file>