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43D86" w:rsidRPr="00C43D86" w:rsidP="1037B4F9" w14:paraId="0FF567E8" w14:textId="25DF3A68">
      <w:pPr>
        <w:numPr>
          <w:ilvl w:val="0"/>
          <w:numId w:val="1"/>
        </w:numPr>
        <w:rPr>
          <w:rFonts w:ascii="Times New Roman" w:eastAsia="Times New Roman" w:hAnsi="Times New Roman" w:cs="Times New Roman"/>
          <w:b/>
          <w:bCs/>
        </w:rPr>
      </w:pPr>
      <w:r w:rsidRPr="5924DF5A">
        <w:rPr>
          <w:rFonts w:ascii="Times New Roman" w:eastAsia="Times New Roman" w:hAnsi="Times New Roman" w:cs="Times New Roman"/>
          <w:b/>
          <w:bCs/>
        </w:rPr>
        <w:t>Statistical Method</w:t>
      </w:r>
      <w:r w:rsidR="008B66F2">
        <w:rPr>
          <w:rFonts w:ascii="Times New Roman" w:eastAsia="Times New Roman" w:hAnsi="Times New Roman" w:cs="Times New Roman"/>
          <w:b/>
          <w:bCs/>
        </w:rPr>
        <w:t>s</w:t>
      </w:r>
    </w:p>
    <w:p w:rsidR="00C43D86" w:rsidRPr="00C43D86" w:rsidP="1037B4F9" w14:paraId="549FE4A1" w14:textId="77777777">
      <w:pPr>
        <w:rPr>
          <w:rFonts w:ascii="Times New Roman" w:eastAsia="Times New Roman" w:hAnsi="Times New Roman" w:cs="Times New Roman"/>
        </w:rPr>
      </w:pPr>
      <w:r w:rsidRPr="5924DF5A">
        <w:rPr>
          <w:rFonts w:ascii="Times New Roman" w:eastAsia="Times New Roman" w:hAnsi="Times New Roman" w:cs="Times New Roman"/>
        </w:rPr>
        <w:t> </w:t>
      </w:r>
    </w:p>
    <w:p w:rsidR="00C43D86" w:rsidRPr="00C43D86" w:rsidP="1037B4F9" w14:paraId="1512DAEB" w14:textId="77777777">
      <w:pPr>
        <w:rPr>
          <w:rFonts w:ascii="Times New Roman" w:eastAsia="Times New Roman" w:hAnsi="Times New Roman" w:cs="Times New Roman"/>
        </w:rPr>
      </w:pPr>
      <w:r w:rsidRPr="5924DF5A">
        <w:rPr>
          <w:rFonts w:ascii="Times New Roman" w:eastAsia="Times New Roman" w:hAnsi="Times New Roman" w:cs="Times New Roman"/>
          <w:b/>
          <w:bCs/>
          <w:u w:val="single"/>
        </w:rPr>
        <w:t>Respondent Universe and Sampling Method</w:t>
      </w:r>
      <w:r w:rsidRPr="5924DF5A">
        <w:rPr>
          <w:rFonts w:ascii="Times New Roman" w:eastAsia="Times New Roman" w:hAnsi="Times New Roman" w:cs="Times New Roman"/>
        </w:rPr>
        <w:t> </w:t>
      </w:r>
    </w:p>
    <w:p w:rsidR="0057705C" w:rsidP="1037B4F9" w14:paraId="6B12FC0D" w14:textId="77777777">
      <w:pPr>
        <w:rPr>
          <w:rFonts w:ascii="Times New Roman" w:eastAsia="Times New Roman" w:hAnsi="Times New Roman" w:cs="Times New Roman"/>
        </w:rPr>
      </w:pPr>
    </w:p>
    <w:p w:rsidR="43B2F828" w:rsidP="43B2F828" w14:paraId="4B009255" w14:textId="0E7DA632">
      <w:pPr>
        <w:rPr>
          <w:rFonts w:ascii="Times New Roman" w:eastAsia="Times New Roman" w:hAnsi="Times New Roman" w:cs="Times New Roman"/>
        </w:rPr>
      </w:pPr>
      <w:r w:rsidRPr="001C73A2">
        <w:rPr>
          <w:rFonts w:ascii="Times New Roman" w:eastAsia="Times New Roman" w:hAnsi="Times New Roman" w:cs="Times New Roman"/>
        </w:rPr>
        <w:t xml:space="preserve">This data collection effort targets U.S.-based digital health companies that develop products enabling human interaction with application programming interfaces (APIs) for </w:t>
      </w:r>
      <w:r w:rsidR="00297CE5">
        <w:rPr>
          <w:rFonts w:ascii="Times New Roman" w:eastAsia="Times New Roman" w:hAnsi="Times New Roman" w:cs="Times New Roman"/>
        </w:rPr>
        <w:t xml:space="preserve">commercial </w:t>
      </w:r>
      <w:r w:rsidRPr="001C73A2">
        <w:rPr>
          <w:rFonts w:ascii="Times New Roman" w:eastAsia="Times New Roman" w:hAnsi="Times New Roman" w:cs="Times New Roman"/>
        </w:rPr>
        <w:t>electronic health record (EHR) integration. Eligible products include provider-facing applications that access clinical data from EHRs and patient-facing applications that access clinical or non-clinical health data.</w:t>
      </w:r>
    </w:p>
    <w:p w:rsidR="43B2F828" w:rsidP="43B2F828" w14:paraId="55349B8D" w14:textId="21DC220B">
      <w:pPr>
        <w:rPr>
          <w:rFonts w:ascii="Times New Roman" w:eastAsia="Times New Roman" w:hAnsi="Times New Roman" w:cs="Times New Roman"/>
        </w:rPr>
      </w:pPr>
    </w:p>
    <w:p w:rsidR="007E5E44" w:rsidP="1ACE46DC" w14:paraId="38755938" w14:textId="29B760A5">
      <w:pPr>
        <w:rPr>
          <w:rFonts w:ascii="Times New Roman" w:eastAsia="Times New Roman" w:hAnsi="Times New Roman" w:cs="Times New Roman"/>
        </w:rPr>
      </w:pPr>
      <w:r w:rsidRPr="007E5E44">
        <w:rPr>
          <w:rFonts w:ascii="Times New Roman" w:eastAsia="Times New Roman" w:hAnsi="Times New Roman" w:cs="Times New Roman"/>
        </w:rPr>
        <w:t xml:space="preserve">The sampling frame for </w:t>
      </w:r>
      <w:r w:rsidR="005D7951">
        <w:rPr>
          <w:rFonts w:ascii="Times New Roman" w:eastAsia="Times New Roman" w:hAnsi="Times New Roman" w:cs="Times New Roman"/>
        </w:rPr>
        <w:t>a previous</w:t>
      </w:r>
      <w:r w:rsidRPr="007E5E44">
        <w:rPr>
          <w:rFonts w:ascii="Times New Roman" w:eastAsia="Times New Roman" w:hAnsi="Times New Roman" w:cs="Times New Roman"/>
        </w:rPr>
        <w:t xml:space="preserve"> 2022 </w:t>
      </w:r>
      <w:hyperlink r:id="rId8" w:history="1">
        <w:r w:rsidRPr="00503E26">
          <w:rPr>
            <w:rStyle w:val="Hyperlink"/>
            <w:rFonts w:ascii="Times New Roman" w:eastAsia="Times New Roman" w:hAnsi="Times New Roman" w:cs="Times New Roman"/>
          </w:rPr>
          <w:t>survey</w:t>
        </w:r>
      </w:hyperlink>
      <w:r w:rsidR="005D7951">
        <w:rPr>
          <w:rFonts w:ascii="Times New Roman" w:eastAsia="Times New Roman" w:hAnsi="Times New Roman" w:cs="Times New Roman"/>
        </w:rPr>
        <w:t xml:space="preserve"> of digital health companies</w:t>
      </w:r>
      <w:r w:rsidRPr="007E5E44">
        <w:rPr>
          <w:rFonts w:ascii="Times New Roman" w:eastAsia="Times New Roman" w:hAnsi="Times New Roman" w:cs="Times New Roman"/>
        </w:rPr>
        <w:t xml:space="preserve"> was constructed through systematic data scraping of public EHR app galleries and was supplemented with companies identified from additional sources. These </w:t>
      </w:r>
      <w:r w:rsidR="00583CA4">
        <w:rPr>
          <w:rFonts w:ascii="Times New Roman" w:eastAsia="Times New Roman" w:hAnsi="Times New Roman" w:cs="Times New Roman"/>
        </w:rPr>
        <w:t xml:space="preserve">additional sources </w:t>
      </w:r>
      <w:r w:rsidRPr="007E5E44">
        <w:rPr>
          <w:rFonts w:ascii="Times New Roman" w:eastAsia="Times New Roman" w:hAnsi="Times New Roman" w:cs="Times New Roman"/>
        </w:rPr>
        <w:t xml:space="preserve">included the 2020 CB Insights </w:t>
      </w:r>
      <w:hyperlink r:id="rId9" w:history="1">
        <w:r w:rsidRPr="008776B8">
          <w:rPr>
            <w:rStyle w:val="Hyperlink"/>
            <w:rFonts w:ascii="Times New Roman" w:eastAsia="Times New Roman" w:hAnsi="Times New Roman" w:cs="Times New Roman"/>
          </w:rPr>
          <w:t>report</w:t>
        </w:r>
      </w:hyperlink>
      <w:r w:rsidRPr="007E5E44">
        <w:rPr>
          <w:rFonts w:ascii="Times New Roman" w:eastAsia="Times New Roman" w:hAnsi="Times New Roman" w:cs="Times New Roman"/>
        </w:rPr>
        <w:t xml:space="preserve"> </w:t>
      </w:r>
      <w:r w:rsidRPr="007E5E44">
        <w:rPr>
          <w:rFonts w:ascii="Times New Roman" w:eastAsia="Times New Roman" w:hAnsi="Times New Roman" w:cs="Times New Roman"/>
          <w:i/>
          <w:iCs/>
        </w:rPr>
        <w:t>“The Digital Health Startups Transforming the Future of Healthcare,”</w:t>
      </w:r>
      <w:r w:rsidRPr="007E5E44">
        <w:rPr>
          <w:rFonts w:ascii="Times New Roman" w:eastAsia="Times New Roman" w:hAnsi="Times New Roman" w:cs="Times New Roman"/>
        </w:rPr>
        <w:t xml:space="preserve"> analysis of software reported through the ONC Health IT Certification Program, recommendations from a</w:t>
      </w:r>
      <w:r w:rsidR="00583CA4">
        <w:rPr>
          <w:rFonts w:ascii="Times New Roman" w:eastAsia="Times New Roman" w:hAnsi="Times New Roman" w:cs="Times New Roman"/>
        </w:rPr>
        <w:t>n external Technical Expert Panel (TEP)</w:t>
      </w:r>
      <w:r w:rsidRPr="007E5E44">
        <w:rPr>
          <w:rFonts w:ascii="Times New Roman" w:eastAsia="Times New Roman" w:hAnsi="Times New Roman" w:cs="Times New Roman"/>
        </w:rPr>
        <w:t xml:space="preserve">, and self-nominated companies that met eligibility criteria during survey fielding. That effort collected responses from 141 companies and provided the first national dataset on API adoption and </w:t>
      </w:r>
      <w:r w:rsidR="005343DE">
        <w:rPr>
          <w:rFonts w:ascii="Times New Roman" w:eastAsia="Times New Roman" w:hAnsi="Times New Roman" w:cs="Times New Roman"/>
        </w:rPr>
        <w:t xml:space="preserve">EHR </w:t>
      </w:r>
      <w:r w:rsidRPr="007E5E44">
        <w:rPr>
          <w:rFonts w:ascii="Times New Roman" w:eastAsia="Times New Roman" w:hAnsi="Times New Roman" w:cs="Times New Roman"/>
        </w:rPr>
        <w:t>interoperability among digital health companies.</w:t>
      </w:r>
    </w:p>
    <w:p w:rsidR="43B2F828" w:rsidP="1ACE46DC" w14:paraId="494D4374" w14:textId="61F83F5C">
      <w:pPr>
        <w:rPr>
          <w:rFonts w:ascii="Times New Roman" w:eastAsia="Times New Roman" w:hAnsi="Times New Roman" w:cs="Times New Roman"/>
        </w:rPr>
      </w:pPr>
    </w:p>
    <w:p w:rsidR="006D4363" w:rsidP="003548D2" w14:paraId="5A8D274A" w14:textId="673C8827">
      <w:pPr>
        <w:rPr>
          <w:rFonts w:ascii="Times New Roman" w:eastAsia="Times New Roman" w:hAnsi="Times New Roman" w:cs="Times New Roman"/>
        </w:rPr>
      </w:pPr>
      <w:r w:rsidRPr="00575813">
        <w:rPr>
          <w:rFonts w:ascii="Times New Roman" w:eastAsia="Times New Roman" w:hAnsi="Times New Roman" w:cs="Times New Roman"/>
        </w:rPr>
        <w:t xml:space="preserve">For the current </w:t>
      </w:r>
      <w:r w:rsidR="00583CA4">
        <w:rPr>
          <w:rFonts w:ascii="Times New Roman" w:eastAsia="Times New Roman" w:hAnsi="Times New Roman" w:cs="Times New Roman"/>
        </w:rPr>
        <w:t xml:space="preserve">survey </w:t>
      </w:r>
      <w:r w:rsidRPr="00575813">
        <w:rPr>
          <w:rFonts w:ascii="Times New Roman" w:eastAsia="Times New Roman" w:hAnsi="Times New Roman" w:cs="Times New Roman"/>
        </w:rPr>
        <w:t xml:space="preserve">administration, </w:t>
      </w:r>
      <w:r w:rsidR="008776B8">
        <w:rPr>
          <w:rFonts w:ascii="Times New Roman" w:eastAsia="Times New Roman" w:hAnsi="Times New Roman" w:cs="Times New Roman"/>
        </w:rPr>
        <w:t>University of California, San Francisco (</w:t>
      </w:r>
      <w:r w:rsidRPr="00575813">
        <w:rPr>
          <w:rFonts w:ascii="Times New Roman" w:eastAsia="Times New Roman" w:hAnsi="Times New Roman" w:cs="Times New Roman"/>
        </w:rPr>
        <w:t>UCSF</w:t>
      </w:r>
      <w:r w:rsidR="008776B8">
        <w:rPr>
          <w:rFonts w:ascii="Times New Roman" w:eastAsia="Times New Roman" w:hAnsi="Times New Roman" w:cs="Times New Roman"/>
        </w:rPr>
        <w:t>)</w:t>
      </w:r>
      <w:r w:rsidRPr="00575813">
        <w:rPr>
          <w:rFonts w:ascii="Times New Roman" w:eastAsia="Times New Roman" w:hAnsi="Times New Roman" w:cs="Times New Roman"/>
        </w:rPr>
        <w:t xml:space="preserve"> will survey </w:t>
      </w:r>
      <w:r w:rsidR="00297CE5">
        <w:rPr>
          <w:rFonts w:ascii="Times New Roman" w:eastAsia="Times New Roman" w:hAnsi="Times New Roman" w:cs="Times New Roman"/>
        </w:rPr>
        <w:t xml:space="preserve">eligible </w:t>
      </w:r>
      <w:r w:rsidRPr="00575813">
        <w:rPr>
          <w:rFonts w:ascii="Times New Roman" w:eastAsia="Times New Roman" w:hAnsi="Times New Roman" w:cs="Times New Roman"/>
        </w:rPr>
        <w:t xml:space="preserve">companies that responded to the 2022 survey, along with an equal number of additional </w:t>
      </w:r>
      <w:r w:rsidR="00297CE5">
        <w:rPr>
          <w:rFonts w:ascii="Times New Roman" w:eastAsia="Times New Roman" w:hAnsi="Times New Roman" w:cs="Times New Roman"/>
        </w:rPr>
        <w:t xml:space="preserve">eligible </w:t>
      </w:r>
      <w:r w:rsidRPr="00575813">
        <w:rPr>
          <w:rFonts w:ascii="Times New Roman" w:eastAsia="Times New Roman" w:hAnsi="Times New Roman" w:cs="Times New Roman"/>
        </w:rPr>
        <w:t>companies.</w:t>
      </w:r>
      <w:r>
        <w:rPr>
          <w:rFonts w:ascii="Times New Roman" w:eastAsia="Times New Roman" w:hAnsi="Times New Roman" w:cs="Times New Roman"/>
        </w:rPr>
        <w:t xml:space="preserve"> </w:t>
      </w:r>
      <w:r w:rsidRPr="00575813">
        <w:rPr>
          <w:rFonts w:ascii="Times New Roman" w:eastAsia="Times New Roman" w:hAnsi="Times New Roman" w:cs="Times New Roman"/>
        </w:rPr>
        <w:t xml:space="preserve">The list of prior respondents </w:t>
      </w:r>
      <w:r w:rsidR="004B1909">
        <w:rPr>
          <w:rFonts w:ascii="Times New Roman" w:eastAsia="Times New Roman" w:hAnsi="Times New Roman" w:cs="Times New Roman"/>
        </w:rPr>
        <w:t>was</w:t>
      </w:r>
      <w:r w:rsidRPr="00575813">
        <w:rPr>
          <w:rFonts w:ascii="Times New Roman" w:eastAsia="Times New Roman" w:hAnsi="Times New Roman" w:cs="Times New Roman"/>
        </w:rPr>
        <w:t xml:space="preserve"> updated to reflect acquisitions, mergers, or company closures</w:t>
      </w:r>
      <w:r w:rsidRPr="5924DF5A" w:rsidR="5924DF5A">
        <w:rPr>
          <w:rFonts w:ascii="Times New Roman" w:eastAsia="Times New Roman" w:hAnsi="Times New Roman" w:cs="Times New Roman"/>
        </w:rPr>
        <w:t>. Additional companies will be randomly selected from a pool of prior non‑respondents and newly identified companies meet</w:t>
      </w:r>
      <w:r w:rsidR="00D418D3">
        <w:rPr>
          <w:rFonts w:ascii="Times New Roman" w:eastAsia="Times New Roman" w:hAnsi="Times New Roman" w:cs="Times New Roman"/>
        </w:rPr>
        <w:t>ing</w:t>
      </w:r>
      <w:r w:rsidRPr="5924DF5A" w:rsidR="5924DF5A">
        <w:rPr>
          <w:rFonts w:ascii="Times New Roman" w:eastAsia="Times New Roman" w:hAnsi="Times New Roman" w:cs="Times New Roman"/>
        </w:rPr>
        <w:t xml:space="preserve"> the inclusion criteria. </w:t>
      </w:r>
      <w:r w:rsidRPr="006D4363">
        <w:rPr>
          <w:rFonts w:ascii="Times New Roman" w:eastAsia="Times New Roman" w:hAnsi="Times New Roman" w:cs="Times New Roman"/>
        </w:rPr>
        <w:t xml:space="preserve">To update the sampling frame, UCSF removed inactive companies and products, accounted for changes due to mergers and acquisitions, and added newly relevant companies, including those focused on generative </w:t>
      </w:r>
      <w:r w:rsidRPr="5924DF5A" w:rsidR="00540463">
        <w:rPr>
          <w:rFonts w:ascii="Times New Roman" w:eastAsia="Times New Roman" w:hAnsi="Times New Roman" w:cs="Times New Roman"/>
        </w:rPr>
        <w:t>artificial intelligence</w:t>
      </w:r>
      <w:r w:rsidRPr="006D4363" w:rsidR="00540463">
        <w:rPr>
          <w:rFonts w:ascii="Times New Roman" w:eastAsia="Times New Roman" w:hAnsi="Times New Roman" w:cs="Times New Roman"/>
        </w:rPr>
        <w:t xml:space="preserve"> </w:t>
      </w:r>
      <w:r w:rsidR="00B16ABC">
        <w:rPr>
          <w:rFonts w:ascii="Times New Roman" w:eastAsia="Times New Roman" w:hAnsi="Times New Roman" w:cs="Times New Roman"/>
        </w:rPr>
        <w:t>(</w:t>
      </w:r>
      <w:r w:rsidRPr="006D4363">
        <w:rPr>
          <w:rFonts w:ascii="Times New Roman" w:eastAsia="Times New Roman" w:hAnsi="Times New Roman" w:cs="Times New Roman"/>
        </w:rPr>
        <w:t>AI</w:t>
      </w:r>
      <w:r w:rsidR="00B16ABC">
        <w:rPr>
          <w:rFonts w:ascii="Times New Roman" w:eastAsia="Times New Roman" w:hAnsi="Times New Roman" w:cs="Times New Roman"/>
        </w:rPr>
        <w:t>)</w:t>
      </w:r>
      <w:r>
        <w:rPr>
          <w:rFonts w:ascii="Times New Roman" w:eastAsia="Times New Roman" w:hAnsi="Times New Roman" w:cs="Times New Roman"/>
        </w:rPr>
        <w:t xml:space="preserve">. </w:t>
      </w:r>
      <w:r w:rsidRPr="006D4363">
        <w:rPr>
          <w:rFonts w:ascii="Times New Roman" w:eastAsia="Times New Roman" w:hAnsi="Times New Roman" w:cs="Times New Roman"/>
        </w:rPr>
        <w:t xml:space="preserve">New companies were identified by applying defined inclusion and exclusion criteria, using resources such as FDA databases, the 2024 CB Insights report, Elion, and </w:t>
      </w:r>
      <w:r w:rsidR="00297CE5">
        <w:rPr>
          <w:rFonts w:ascii="Times New Roman" w:eastAsia="Times New Roman" w:hAnsi="Times New Roman" w:cs="Times New Roman"/>
        </w:rPr>
        <w:t xml:space="preserve">leveraging </w:t>
      </w:r>
      <w:r w:rsidRPr="006D4363">
        <w:rPr>
          <w:rFonts w:ascii="Times New Roman" w:eastAsia="Times New Roman" w:hAnsi="Times New Roman" w:cs="Times New Roman"/>
        </w:rPr>
        <w:t xml:space="preserve">networks from project partners </w:t>
      </w:r>
      <w:r w:rsidRPr="006D4363">
        <w:rPr>
          <w:rFonts w:ascii="Times New Roman" w:eastAsia="Times New Roman" w:hAnsi="Times New Roman" w:cs="Times New Roman"/>
        </w:rPr>
        <w:t>ScaleHealth</w:t>
      </w:r>
      <w:r w:rsidRPr="006D4363">
        <w:rPr>
          <w:rFonts w:ascii="Times New Roman" w:eastAsia="Times New Roman" w:hAnsi="Times New Roman" w:cs="Times New Roman"/>
        </w:rPr>
        <w:t xml:space="preserve"> and </w:t>
      </w:r>
      <w:r w:rsidRPr="006D4363">
        <w:rPr>
          <w:rFonts w:ascii="Times New Roman" w:eastAsia="Times New Roman" w:hAnsi="Times New Roman" w:cs="Times New Roman"/>
        </w:rPr>
        <w:t>Clinovations</w:t>
      </w:r>
      <w:r w:rsidRPr="006D4363">
        <w:rPr>
          <w:rFonts w:ascii="Times New Roman" w:eastAsia="Times New Roman" w:hAnsi="Times New Roman" w:cs="Times New Roman"/>
        </w:rPr>
        <w:t>.</w:t>
      </w:r>
    </w:p>
    <w:p w:rsidR="1ACE46DC" w:rsidP="1ACE46DC" w14:paraId="3654622B" w14:textId="0A01E739">
      <w:pPr>
        <w:rPr>
          <w:rFonts w:ascii="Times New Roman" w:eastAsia="Times New Roman" w:hAnsi="Times New Roman" w:cs="Times New Roman"/>
        </w:rPr>
      </w:pPr>
    </w:p>
    <w:p w:rsidR="003D59A8" w:rsidRPr="003D59A8" w:rsidP="003D59A8" w14:paraId="2CE68A58" w14:textId="1840234D">
      <w:pPr>
        <w:rPr>
          <w:rFonts w:ascii="Times New Roman" w:eastAsia="Times New Roman" w:hAnsi="Times New Roman" w:cs="Times New Roman"/>
        </w:rPr>
      </w:pPr>
      <w:r w:rsidRPr="003D59A8">
        <w:rPr>
          <w:rFonts w:ascii="Times New Roman" w:eastAsia="Times New Roman" w:hAnsi="Times New Roman" w:cs="Times New Roman"/>
        </w:rPr>
        <w:t>For each new company, UCSF</w:t>
      </w:r>
      <w:r w:rsidR="00EA0B12">
        <w:rPr>
          <w:rFonts w:ascii="Times New Roman" w:eastAsia="Times New Roman" w:hAnsi="Times New Roman" w:cs="Times New Roman"/>
        </w:rPr>
        <w:t xml:space="preserve"> </w:t>
      </w:r>
      <w:r w:rsidR="00583CA4">
        <w:rPr>
          <w:rFonts w:ascii="Times New Roman" w:eastAsia="Times New Roman" w:hAnsi="Times New Roman" w:cs="Times New Roman"/>
        </w:rPr>
        <w:t xml:space="preserve">attempted to </w:t>
      </w:r>
      <w:r w:rsidRPr="003D59A8">
        <w:rPr>
          <w:rFonts w:ascii="Times New Roman" w:eastAsia="Times New Roman" w:hAnsi="Times New Roman" w:cs="Times New Roman"/>
        </w:rPr>
        <w:t>identif</w:t>
      </w:r>
      <w:r w:rsidR="00583CA4">
        <w:rPr>
          <w:rFonts w:ascii="Times New Roman" w:eastAsia="Times New Roman" w:hAnsi="Times New Roman" w:cs="Times New Roman"/>
        </w:rPr>
        <w:t>y</w:t>
      </w:r>
      <w:r w:rsidRPr="003D59A8">
        <w:rPr>
          <w:rFonts w:ascii="Times New Roman" w:eastAsia="Times New Roman" w:hAnsi="Times New Roman" w:cs="Times New Roman"/>
        </w:rPr>
        <w:t xml:space="preserve"> the most appropriate contact (e.g., </w:t>
      </w:r>
      <w:r w:rsidRPr="00B6363B" w:rsidR="00B6363B">
        <w:rPr>
          <w:rFonts w:ascii="Times New Roman" w:eastAsia="Times New Roman" w:hAnsi="Times New Roman" w:cs="Times New Roman"/>
        </w:rPr>
        <w:t>Computer and Information Systems Managers</w:t>
      </w:r>
      <w:r w:rsidRPr="003D59A8">
        <w:rPr>
          <w:rFonts w:ascii="Times New Roman" w:eastAsia="Times New Roman" w:hAnsi="Times New Roman" w:cs="Times New Roman"/>
        </w:rPr>
        <w:t>) through web searches</w:t>
      </w:r>
      <w:r w:rsidR="00297CE5">
        <w:rPr>
          <w:rFonts w:ascii="Times New Roman" w:eastAsia="Times New Roman" w:hAnsi="Times New Roman" w:cs="Times New Roman"/>
        </w:rPr>
        <w:t xml:space="preserve"> and direct outreach</w:t>
      </w:r>
      <w:r w:rsidRPr="003D59A8">
        <w:rPr>
          <w:rFonts w:ascii="Times New Roman" w:eastAsia="Times New Roman" w:hAnsi="Times New Roman" w:cs="Times New Roman"/>
        </w:rPr>
        <w:t xml:space="preserve">. Partner networks and members of the </w:t>
      </w:r>
      <w:r w:rsidR="00B6363B">
        <w:rPr>
          <w:rFonts w:ascii="Times New Roman" w:eastAsia="Times New Roman" w:hAnsi="Times New Roman" w:cs="Times New Roman"/>
        </w:rPr>
        <w:t>TEP</w:t>
      </w:r>
      <w:r w:rsidRPr="003D59A8">
        <w:rPr>
          <w:rFonts w:ascii="Times New Roman" w:eastAsia="Times New Roman" w:hAnsi="Times New Roman" w:cs="Times New Roman"/>
        </w:rPr>
        <w:t xml:space="preserve"> from the previous survey were leveraged to establish warm con</w:t>
      </w:r>
      <w:r w:rsidR="00583CA4">
        <w:rPr>
          <w:rFonts w:ascii="Times New Roman" w:eastAsia="Times New Roman" w:hAnsi="Times New Roman" w:cs="Times New Roman"/>
        </w:rPr>
        <w:t>tact</w:t>
      </w:r>
      <w:r w:rsidRPr="003D59A8">
        <w:rPr>
          <w:rFonts w:ascii="Times New Roman" w:eastAsia="Times New Roman" w:hAnsi="Times New Roman" w:cs="Times New Roman"/>
        </w:rPr>
        <w:t xml:space="preserve">s </w:t>
      </w:r>
      <w:r w:rsidR="00583CA4">
        <w:rPr>
          <w:rFonts w:ascii="Times New Roman" w:eastAsia="Times New Roman" w:hAnsi="Times New Roman" w:cs="Times New Roman"/>
        </w:rPr>
        <w:t>to</w:t>
      </w:r>
      <w:r w:rsidRPr="003D59A8">
        <w:rPr>
          <w:rFonts w:ascii="Times New Roman" w:eastAsia="Times New Roman" w:hAnsi="Times New Roman" w:cs="Times New Roman"/>
        </w:rPr>
        <w:t xml:space="preserve"> increase the likelihood of response.</w:t>
      </w:r>
    </w:p>
    <w:p w:rsidR="43B2F828" w:rsidP="43B2F828" w14:paraId="160173AD" w14:textId="04B7907D">
      <w:pPr>
        <w:rPr>
          <w:rFonts w:ascii="Times New Roman" w:eastAsia="Times New Roman" w:hAnsi="Times New Roman" w:cs="Times New Roman"/>
        </w:rPr>
      </w:pPr>
    </w:p>
    <w:p w:rsidR="007941BC" w:rsidRPr="00405E96" w:rsidP="1ACE46DC" w14:paraId="7D4EB847" w14:textId="54718767">
      <w:pPr>
        <w:rPr>
          <w:rFonts w:ascii="Times New Roman" w:eastAsia="Times New Roman" w:hAnsi="Times New Roman" w:cs="Times New Roman"/>
        </w:rPr>
      </w:pPr>
      <w:r w:rsidRPr="5924DF5A">
        <w:rPr>
          <w:rFonts w:ascii="Times New Roman" w:eastAsia="Times New Roman" w:hAnsi="Times New Roman" w:cs="Times New Roman"/>
        </w:rPr>
        <w:t xml:space="preserve">This approach </w:t>
      </w:r>
      <w:r w:rsidR="003D59A8">
        <w:rPr>
          <w:rFonts w:ascii="Times New Roman" w:eastAsia="Times New Roman" w:hAnsi="Times New Roman" w:cs="Times New Roman"/>
        </w:rPr>
        <w:t xml:space="preserve">ensures </w:t>
      </w:r>
      <w:r w:rsidRPr="5924DF5A">
        <w:rPr>
          <w:rFonts w:ascii="Times New Roman" w:eastAsia="Times New Roman" w:hAnsi="Times New Roman" w:cs="Times New Roman"/>
        </w:rPr>
        <w:t xml:space="preserve">a balanced sample of returning respondents and new participants, enabling longitudinal analyses while expanding representation to include </w:t>
      </w:r>
      <w:r w:rsidR="00297CE5">
        <w:rPr>
          <w:rFonts w:ascii="Times New Roman" w:eastAsia="Times New Roman" w:hAnsi="Times New Roman" w:cs="Times New Roman"/>
        </w:rPr>
        <w:t>other companies and those</w:t>
      </w:r>
      <w:r w:rsidRPr="5924DF5A">
        <w:rPr>
          <w:rFonts w:ascii="Times New Roman" w:eastAsia="Times New Roman" w:hAnsi="Times New Roman" w:cs="Times New Roman"/>
        </w:rPr>
        <w:t xml:space="preserve"> </w:t>
      </w:r>
      <w:r w:rsidR="00CD0908">
        <w:rPr>
          <w:rFonts w:ascii="Times New Roman" w:eastAsia="Times New Roman" w:hAnsi="Times New Roman" w:cs="Times New Roman"/>
        </w:rPr>
        <w:t>which</w:t>
      </w:r>
      <w:r w:rsidRPr="5924DF5A">
        <w:rPr>
          <w:rFonts w:ascii="Times New Roman" w:eastAsia="Times New Roman" w:hAnsi="Times New Roman" w:cs="Times New Roman"/>
        </w:rPr>
        <w:t xml:space="preserve"> entered the market since the prior survey.</w:t>
      </w:r>
    </w:p>
    <w:p w:rsidR="0057705C" w:rsidP="1ACE46DC" w14:paraId="31D7DC74" w14:textId="1BC949B5">
      <w:pPr>
        <w:rPr>
          <w:rFonts w:ascii="Times New Roman" w:eastAsia="Times New Roman" w:hAnsi="Times New Roman" w:cs="Times New Roman"/>
        </w:rPr>
      </w:pPr>
    </w:p>
    <w:p w:rsidR="00C43D86" w:rsidRPr="00C43D86" w:rsidP="1037B4F9" w14:paraId="42708161" w14:textId="77777777">
      <w:pPr>
        <w:rPr>
          <w:rFonts w:ascii="Times New Roman" w:eastAsia="Times New Roman" w:hAnsi="Times New Roman" w:cs="Times New Roman"/>
        </w:rPr>
      </w:pPr>
      <w:r w:rsidRPr="5924DF5A">
        <w:rPr>
          <w:rFonts w:ascii="Times New Roman" w:eastAsia="Times New Roman" w:hAnsi="Times New Roman" w:cs="Times New Roman"/>
          <w:b/>
          <w:bCs/>
          <w:u w:val="single"/>
        </w:rPr>
        <w:t>Procedures for the Collection of Information</w:t>
      </w:r>
      <w:r w:rsidRPr="5924DF5A">
        <w:rPr>
          <w:rFonts w:ascii="Times New Roman" w:eastAsia="Times New Roman" w:hAnsi="Times New Roman" w:cs="Times New Roman"/>
          <w:b/>
          <w:bCs/>
        </w:rPr>
        <w:t> </w:t>
      </w:r>
      <w:r w:rsidRPr="5924DF5A">
        <w:rPr>
          <w:rFonts w:ascii="Times New Roman" w:eastAsia="Times New Roman" w:hAnsi="Times New Roman" w:cs="Times New Roman"/>
        </w:rPr>
        <w:t> </w:t>
      </w:r>
    </w:p>
    <w:p w:rsidR="1ACE46DC" w:rsidP="1ACE46DC" w14:paraId="2DC8683B" w14:textId="56EBEDAA">
      <w:pPr>
        <w:rPr>
          <w:rFonts w:ascii="Times New Roman" w:eastAsia="Times New Roman" w:hAnsi="Times New Roman" w:cs="Times New Roman"/>
        </w:rPr>
      </w:pPr>
    </w:p>
    <w:p w:rsidR="000A6F15" w:rsidP="4E418DF1" w14:paraId="3C20BE47" w14:textId="361FE4EE">
      <w:pPr>
        <w:rPr>
          <w:rFonts w:ascii="Times New Roman" w:eastAsia="Times New Roman" w:hAnsi="Times New Roman" w:cs="Times New Roman"/>
          <w:color w:val="000000" w:themeColor="text1"/>
        </w:rPr>
      </w:pPr>
      <w:r w:rsidRPr="5924DF5A">
        <w:rPr>
          <w:rFonts w:ascii="Times New Roman" w:eastAsia="Times New Roman" w:hAnsi="Times New Roman" w:cs="Times New Roman"/>
          <w:color w:val="000000" w:themeColor="text1"/>
        </w:rPr>
        <w:t xml:space="preserve">UCSF developed a survey website that provides potential participants with information about the </w:t>
      </w:r>
      <w:r w:rsidR="00A35CC8">
        <w:rPr>
          <w:rFonts w:ascii="Times New Roman" w:eastAsia="Times New Roman" w:hAnsi="Times New Roman" w:cs="Times New Roman"/>
          <w:color w:val="000000" w:themeColor="text1"/>
        </w:rPr>
        <w:t xml:space="preserve">survey </w:t>
      </w:r>
      <w:r w:rsidRPr="5924DF5A">
        <w:rPr>
          <w:rFonts w:ascii="Times New Roman" w:eastAsia="Times New Roman" w:hAnsi="Times New Roman" w:cs="Times New Roman"/>
          <w:color w:val="000000" w:themeColor="text1"/>
        </w:rPr>
        <w:t xml:space="preserve">research goals, insights from the previous iteration, </w:t>
      </w:r>
      <w:r>
        <w:rPr>
          <w:rFonts w:ascii="Times New Roman" w:eastAsia="Times New Roman" w:hAnsi="Times New Roman" w:cs="Times New Roman"/>
          <w:color w:val="000000" w:themeColor="text1"/>
        </w:rPr>
        <w:t xml:space="preserve">and allows companies to </w:t>
      </w:r>
      <w:r w:rsidR="00297CE5">
        <w:rPr>
          <w:rFonts w:ascii="Times New Roman" w:eastAsia="Times New Roman" w:hAnsi="Times New Roman" w:cs="Times New Roman"/>
          <w:color w:val="000000" w:themeColor="text1"/>
        </w:rPr>
        <w:t>pre-</w:t>
      </w:r>
      <w:r>
        <w:rPr>
          <w:rFonts w:ascii="Times New Roman" w:eastAsia="Times New Roman" w:hAnsi="Times New Roman" w:cs="Times New Roman"/>
          <w:color w:val="000000" w:themeColor="text1"/>
        </w:rPr>
        <w:t xml:space="preserve">register to receive the survey. To </w:t>
      </w:r>
      <w:r w:rsidR="00297CE5">
        <w:rPr>
          <w:rFonts w:ascii="Times New Roman" w:eastAsia="Times New Roman" w:hAnsi="Times New Roman" w:cs="Times New Roman"/>
          <w:color w:val="000000" w:themeColor="text1"/>
        </w:rPr>
        <w:t>pre-</w:t>
      </w:r>
      <w:r>
        <w:rPr>
          <w:rFonts w:ascii="Times New Roman" w:eastAsia="Times New Roman" w:hAnsi="Times New Roman" w:cs="Times New Roman"/>
          <w:color w:val="000000" w:themeColor="text1"/>
        </w:rPr>
        <w:t>register, companies fill out</w:t>
      </w:r>
      <w:r w:rsidRPr="000A6F15">
        <w:rPr>
          <w:rFonts w:ascii="Times New Roman" w:eastAsia="Times New Roman" w:hAnsi="Times New Roman" w:cs="Times New Roman"/>
          <w:color w:val="000000" w:themeColor="text1"/>
        </w:rPr>
        <w:t xml:space="preserve"> </w:t>
      </w:r>
      <w:r w:rsidRPr="5924DF5A">
        <w:rPr>
          <w:rFonts w:ascii="Times New Roman" w:eastAsia="Times New Roman" w:hAnsi="Times New Roman" w:cs="Times New Roman"/>
          <w:color w:val="000000" w:themeColor="text1"/>
        </w:rPr>
        <w:t xml:space="preserve">a pre-registration Qualtrics survey that </w:t>
      </w:r>
      <w:r w:rsidRPr="5924DF5A">
        <w:rPr>
          <w:rFonts w:ascii="Times New Roman" w:eastAsia="Times New Roman" w:hAnsi="Times New Roman" w:cs="Times New Roman"/>
          <w:color w:val="000000" w:themeColor="text1"/>
        </w:rPr>
        <w:t>collects information about the</w:t>
      </w:r>
      <w:r>
        <w:rPr>
          <w:rFonts w:ascii="Times New Roman" w:eastAsia="Times New Roman" w:hAnsi="Times New Roman" w:cs="Times New Roman"/>
          <w:color w:val="000000" w:themeColor="text1"/>
        </w:rPr>
        <w:t>ir</w:t>
      </w:r>
      <w:r w:rsidRPr="5924DF5A">
        <w:rPr>
          <w:rFonts w:ascii="Times New Roman" w:eastAsia="Times New Roman" w:hAnsi="Times New Roman" w:cs="Times New Roman"/>
          <w:color w:val="000000" w:themeColor="text1"/>
        </w:rPr>
        <w:t xml:space="preserve"> product</w:t>
      </w:r>
      <w:r w:rsidR="00297CE5">
        <w:rPr>
          <w:rFonts w:ascii="Times New Roman" w:eastAsia="Times New Roman" w:hAnsi="Times New Roman" w:cs="Times New Roman"/>
          <w:color w:val="000000" w:themeColor="text1"/>
        </w:rPr>
        <w:t>(s)</w:t>
      </w:r>
      <w:r w:rsidRPr="5924DF5A">
        <w:rPr>
          <w:rFonts w:ascii="Times New Roman" w:eastAsia="Times New Roman" w:hAnsi="Times New Roman" w:cs="Times New Roman"/>
          <w:color w:val="000000" w:themeColor="text1"/>
        </w:rPr>
        <w:t xml:space="preserve"> to ensure appropriate inclusion</w:t>
      </w:r>
      <w:r w:rsidR="00297CE5">
        <w:rPr>
          <w:rFonts w:ascii="Times New Roman" w:eastAsia="Times New Roman" w:hAnsi="Times New Roman" w:cs="Times New Roman"/>
          <w:color w:val="000000" w:themeColor="text1"/>
        </w:rPr>
        <w:t xml:space="preserve"> criteria</w:t>
      </w:r>
      <w:r w:rsidRPr="5924DF5A">
        <w:rPr>
          <w:rFonts w:ascii="Times New Roman" w:eastAsia="Times New Roman" w:hAnsi="Times New Roman" w:cs="Times New Roman"/>
          <w:color w:val="000000" w:themeColor="text1"/>
        </w:rPr>
        <w:t xml:space="preserve">, as well as contact information for the individual who will take the survey.  </w:t>
      </w:r>
    </w:p>
    <w:p w:rsidR="1ACE46DC" w:rsidP="1ACE46DC" w14:paraId="5842E5A6" w14:textId="5AC4246E">
      <w:pPr>
        <w:rPr>
          <w:rFonts w:ascii="Times New Roman" w:eastAsia="Times New Roman" w:hAnsi="Times New Roman" w:cs="Times New Roman"/>
          <w:color w:val="000000" w:themeColor="text1"/>
        </w:rPr>
      </w:pPr>
    </w:p>
    <w:p w:rsidR="1ACE46DC" w:rsidP="4E418DF1" w14:paraId="3FD9AB36" w14:textId="18B3F01F">
      <w:pPr>
        <w:rPr>
          <w:rFonts w:ascii="Times New Roman" w:eastAsia="Times New Roman" w:hAnsi="Times New Roman" w:cs="Times New Roman"/>
        </w:rPr>
      </w:pPr>
      <w:r w:rsidRPr="5924DF5A">
        <w:rPr>
          <w:rFonts w:ascii="Times New Roman" w:eastAsia="Times New Roman" w:hAnsi="Times New Roman" w:cs="Times New Roman"/>
        </w:rPr>
        <w:t>Initial outreach will be sent to all contacts in the sampling frame via Constant Contact</w:t>
      </w:r>
      <w:r w:rsidR="00297CE5">
        <w:rPr>
          <w:rFonts w:ascii="Times New Roman" w:eastAsia="Times New Roman" w:hAnsi="Times New Roman" w:cs="Times New Roman"/>
        </w:rPr>
        <w:t xml:space="preserve"> 2-4 weeks before survey launch</w:t>
      </w:r>
      <w:r w:rsidRPr="5924DF5A">
        <w:rPr>
          <w:rFonts w:ascii="Times New Roman" w:eastAsia="Times New Roman" w:hAnsi="Times New Roman" w:cs="Times New Roman"/>
        </w:rPr>
        <w:t xml:space="preserve">. </w:t>
      </w:r>
      <w:r w:rsidR="00297CE5">
        <w:rPr>
          <w:rFonts w:ascii="Times New Roman" w:eastAsia="Times New Roman" w:hAnsi="Times New Roman" w:cs="Times New Roman"/>
        </w:rPr>
        <w:t xml:space="preserve">Warm contacts will be informed in </w:t>
      </w:r>
      <w:r w:rsidR="00B6363B">
        <w:rPr>
          <w:rFonts w:ascii="Times New Roman" w:eastAsia="Times New Roman" w:hAnsi="Times New Roman" w:cs="Times New Roman"/>
        </w:rPr>
        <w:t>advance and</w:t>
      </w:r>
      <w:r w:rsidR="00297CE5">
        <w:rPr>
          <w:rFonts w:ascii="Times New Roman" w:eastAsia="Times New Roman" w:hAnsi="Times New Roman" w:cs="Times New Roman"/>
        </w:rPr>
        <w:t xml:space="preserve"> will have the opportunity to share the Constant Contact email with their contacts</w:t>
      </w:r>
      <w:r w:rsidR="00583CA4">
        <w:rPr>
          <w:rFonts w:ascii="Times New Roman" w:eastAsia="Times New Roman" w:hAnsi="Times New Roman" w:cs="Times New Roman"/>
        </w:rPr>
        <w:t xml:space="preserve"> at companies within the sampling frame</w:t>
      </w:r>
      <w:r w:rsidR="00297CE5">
        <w:rPr>
          <w:rFonts w:ascii="Times New Roman" w:eastAsia="Times New Roman" w:hAnsi="Times New Roman" w:cs="Times New Roman"/>
        </w:rPr>
        <w:t xml:space="preserve">. </w:t>
      </w:r>
      <w:r w:rsidRPr="5924DF5A">
        <w:rPr>
          <w:rFonts w:ascii="Times New Roman" w:eastAsia="Times New Roman" w:hAnsi="Times New Roman" w:cs="Times New Roman"/>
        </w:rPr>
        <w:t>This communication will inform potential participants about the</w:t>
      </w:r>
      <w:r w:rsidR="00297CE5">
        <w:rPr>
          <w:rFonts w:ascii="Times New Roman" w:eastAsia="Times New Roman" w:hAnsi="Times New Roman" w:cs="Times New Roman"/>
        </w:rPr>
        <w:t xml:space="preserve"> upcoming</w:t>
      </w:r>
      <w:r w:rsidRPr="5924DF5A">
        <w:rPr>
          <w:rFonts w:ascii="Times New Roman" w:eastAsia="Times New Roman" w:hAnsi="Times New Roman" w:cs="Times New Roman"/>
        </w:rPr>
        <w:t xml:space="preserve"> survey</w:t>
      </w:r>
      <w:r w:rsidR="00297CE5">
        <w:rPr>
          <w:rFonts w:ascii="Times New Roman" w:eastAsia="Times New Roman" w:hAnsi="Times New Roman" w:cs="Times New Roman"/>
        </w:rPr>
        <w:t xml:space="preserve"> distribution</w:t>
      </w:r>
      <w:r w:rsidRPr="5924DF5A">
        <w:rPr>
          <w:rFonts w:ascii="Times New Roman" w:eastAsia="Times New Roman" w:hAnsi="Times New Roman" w:cs="Times New Roman"/>
        </w:rPr>
        <w:t xml:space="preserve"> and </w:t>
      </w:r>
      <w:r w:rsidR="00297CE5">
        <w:rPr>
          <w:rFonts w:ascii="Times New Roman" w:eastAsia="Times New Roman" w:hAnsi="Times New Roman" w:cs="Times New Roman"/>
        </w:rPr>
        <w:t xml:space="preserve">will </w:t>
      </w:r>
      <w:r w:rsidRPr="5924DF5A">
        <w:rPr>
          <w:rFonts w:ascii="Times New Roman" w:eastAsia="Times New Roman" w:hAnsi="Times New Roman" w:cs="Times New Roman"/>
        </w:rPr>
        <w:t xml:space="preserve">provide a link to the project website for pre-registration. Using Constant Contact also </w:t>
      </w:r>
      <w:r w:rsidR="00583CA4">
        <w:rPr>
          <w:rFonts w:ascii="Times New Roman" w:eastAsia="Times New Roman" w:hAnsi="Times New Roman" w:cs="Times New Roman"/>
        </w:rPr>
        <w:t xml:space="preserve">will </w:t>
      </w:r>
      <w:r w:rsidRPr="5924DF5A">
        <w:rPr>
          <w:rFonts w:ascii="Times New Roman" w:eastAsia="Times New Roman" w:hAnsi="Times New Roman" w:cs="Times New Roman"/>
        </w:rPr>
        <w:t>enable the identification and resolution of any invalid email addresses prior to survey dis</w:t>
      </w:r>
      <w:r w:rsidR="00583CA4">
        <w:rPr>
          <w:rFonts w:ascii="Times New Roman" w:eastAsia="Times New Roman" w:hAnsi="Times New Roman" w:cs="Times New Roman"/>
        </w:rPr>
        <w:t>semination</w:t>
      </w:r>
      <w:r w:rsidRPr="5924DF5A">
        <w:rPr>
          <w:rFonts w:ascii="Times New Roman" w:eastAsia="Times New Roman" w:hAnsi="Times New Roman" w:cs="Times New Roman"/>
        </w:rPr>
        <w:t xml:space="preserve">. </w:t>
      </w:r>
    </w:p>
    <w:p w:rsidR="1ACE46DC" w:rsidP="1ACE46DC" w14:paraId="4AAF4AF9" w14:textId="24F0168C">
      <w:pPr>
        <w:rPr>
          <w:rFonts w:ascii="Times New Roman" w:eastAsia="Times New Roman" w:hAnsi="Times New Roman" w:cs="Times New Roman"/>
          <w:color w:val="000000" w:themeColor="text1"/>
        </w:rPr>
      </w:pPr>
    </w:p>
    <w:p w:rsidR="000A6F15" w:rsidP="4E418DF1" w14:paraId="75E525F9" w14:textId="62E7C319">
      <w:pPr>
        <w:rPr>
          <w:rFonts w:ascii="Times New Roman" w:eastAsia="Times New Roman" w:hAnsi="Times New Roman" w:cs="Times New Roman"/>
          <w:color w:val="000000" w:themeColor="text1"/>
        </w:rPr>
      </w:pPr>
      <w:r w:rsidRPr="5924DF5A">
        <w:rPr>
          <w:rFonts w:ascii="Times New Roman" w:eastAsia="Times New Roman" w:hAnsi="Times New Roman" w:cs="Times New Roman"/>
          <w:color w:val="000000" w:themeColor="text1"/>
        </w:rPr>
        <w:t xml:space="preserve">The final survey instrument </w:t>
      </w:r>
      <w:r w:rsidR="00583CA4">
        <w:rPr>
          <w:rFonts w:ascii="Times New Roman" w:eastAsia="Times New Roman" w:hAnsi="Times New Roman" w:cs="Times New Roman"/>
          <w:color w:val="000000" w:themeColor="text1"/>
        </w:rPr>
        <w:t>has been</w:t>
      </w:r>
      <w:r w:rsidRPr="5924DF5A">
        <w:rPr>
          <w:rFonts w:ascii="Times New Roman" w:eastAsia="Times New Roman" w:hAnsi="Times New Roman" w:cs="Times New Roman"/>
          <w:color w:val="000000" w:themeColor="text1"/>
        </w:rPr>
        <w:t xml:space="preserve"> programmed into the online survey tool Qualtrics©. This tool </w:t>
      </w:r>
      <w:r w:rsidR="00BD2D68">
        <w:rPr>
          <w:rFonts w:ascii="Times New Roman" w:eastAsia="Times New Roman" w:hAnsi="Times New Roman" w:cs="Times New Roman"/>
          <w:color w:val="000000" w:themeColor="text1"/>
        </w:rPr>
        <w:t>w</w:t>
      </w:r>
      <w:r w:rsidRPr="5924DF5A">
        <w:rPr>
          <w:rFonts w:ascii="Times New Roman" w:eastAsia="Times New Roman" w:hAnsi="Times New Roman" w:cs="Times New Roman"/>
          <w:color w:val="000000" w:themeColor="text1"/>
        </w:rPr>
        <w:t>as used for past surveys and has strong capabilities to support complex survey design (e.g., branching logic) as well as respondent communication and tracking. UCSF tested the tool to ensure accuracy of branching and skip logic, accuracy of piped text, clarity of question display, and adherence to other survey usability guidelines.</w:t>
      </w:r>
      <w:r w:rsidRPr="000A6F15">
        <w:rPr>
          <w:rFonts w:ascii="Times New Roman" w:eastAsia="Times New Roman" w:hAnsi="Times New Roman" w:cs="Times New Roman"/>
          <w:color w:val="000000" w:themeColor="text1"/>
        </w:rPr>
        <w:t xml:space="preserve"> </w:t>
      </w:r>
      <w:r w:rsidR="00297CE5">
        <w:rPr>
          <w:rFonts w:ascii="Times New Roman" w:eastAsia="Times New Roman" w:hAnsi="Times New Roman" w:cs="Times New Roman"/>
          <w:color w:val="000000" w:themeColor="text1"/>
        </w:rPr>
        <w:t xml:space="preserve">Testing was also performed by contacts at several companies. </w:t>
      </w:r>
      <w:r w:rsidRPr="5924DF5A">
        <w:rPr>
          <w:rFonts w:ascii="Times New Roman" w:eastAsia="Times New Roman" w:hAnsi="Times New Roman" w:cs="Times New Roman"/>
          <w:color w:val="000000" w:themeColor="text1"/>
        </w:rPr>
        <w:t xml:space="preserve">The </w:t>
      </w:r>
      <w:r w:rsidR="00583CA4">
        <w:rPr>
          <w:rFonts w:ascii="Times New Roman" w:eastAsia="Times New Roman" w:hAnsi="Times New Roman" w:cs="Times New Roman"/>
          <w:color w:val="000000" w:themeColor="text1"/>
        </w:rPr>
        <w:t xml:space="preserve">sampling frame </w:t>
      </w:r>
      <w:r w:rsidRPr="5924DF5A">
        <w:rPr>
          <w:rFonts w:ascii="Times New Roman" w:eastAsia="Times New Roman" w:hAnsi="Times New Roman" w:cs="Times New Roman"/>
          <w:color w:val="000000" w:themeColor="text1"/>
        </w:rPr>
        <w:t>contact list will be loaded into Qualtrics to support communication and response tracking (i.e., by generating a unique survey link for each target respondent).  </w:t>
      </w:r>
    </w:p>
    <w:p w:rsidR="000A6F15" w:rsidP="4E418DF1" w14:paraId="17F05F1E" w14:textId="77777777">
      <w:pPr>
        <w:rPr>
          <w:rFonts w:ascii="Times New Roman" w:eastAsia="Times New Roman" w:hAnsi="Times New Roman" w:cs="Times New Roman"/>
          <w:color w:val="000000" w:themeColor="text1"/>
        </w:rPr>
      </w:pPr>
    </w:p>
    <w:p w:rsidR="1ACE46DC" w:rsidRPr="00AA6B3C" w:rsidP="5924DF5A" w14:paraId="63BB238B" w14:textId="51530A86">
      <w:pPr>
        <w:rPr>
          <w:rFonts w:ascii="Times New Roman" w:eastAsia="Times New Roman" w:hAnsi="Times New Roman" w:cs="Times New Roman"/>
        </w:rPr>
      </w:pPr>
      <w:r w:rsidRPr="68D9018B">
        <w:rPr>
          <w:rFonts w:ascii="Times New Roman" w:eastAsia="Times New Roman" w:hAnsi="Times New Roman" w:cs="Times New Roman"/>
          <w:color w:val="000000" w:themeColor="text1"/>
        </w:rPr>
        <w:t xml:space="preserve">UCSF will follow its standard survey data collection methodology, modified based on any changes requested by ASTP. </w:t>
      </w:r>
      <w:r w:rsidRPr="68D9018B">
        <w:rPr>
          <w:rFonts w:ascii="Times New Roman" w:eastAsia="Times New Roman" w:hAnsi="Times New Roman" w:cs="Times New Roman"/>
        </w:rPr>
        <w:t>The survey will then be distributed via Qualtrics</w:t>
      </w:r>
      <w:r w:rsidR="00AA6B3C">
        <w:rPr>
          <w:rFonts w:ascii="Times New Roman" w:eastAsia="Times New Roman" w:hAnsi="Times New Roman" w:cs="Times New Roman"/>
        </w:rPr>
        <w:t xml:space="preserve">. </w:t>
      </w:r>
      <w:r w:rsidRPr="5924DF5A" w:rsidR="5924DF5A">
        <w:rPr>
          <w:rFonts w:ascii="Times New Roman" w:eastAsia="Times New Roman" w:hAnsi="Times New Roman" w:cs="Times New Roman"/>
          <w:color w:val="000000" w:themeColor="text1"/>
        </w:rPr>
        <w:t>Using Qualtrics f</w:t>
      </w:r>
      <w:r w:rsidR="00AA6B3C">
        <w:rPr>
          <w:rFonts w:ascii="Times New Roman" w:eastAsia="Times New Roman" w:hAnsi="Times New Roman" w:cs="Times New Roman"/>
          <w:color w:val="000000" w:themeColor="text1"/>
        </w:rPr>
        <w:t>unctionality</w:t>
      </w:r>
      <w:r w:rsidRPr="5924DF5A" w:rsidR="5924DF5A">
        <w:rPr>
          <w:rFonts w:ascii="Times New Roman" w:eastAsia="Times New Roman" w:hAnsi="Times New Roman" w:cs="Times New Roman"/>
          <w:color w:val="000000" w:themeColor="text1"/>
        </w:rPr>
        <w:t>, UCSF will track responses and update response status in a separate Microsoft Excel spreadsheet. As surveys are completed, responses will be reviewed for completeness to ensure high‑quality data for analysis.</w:t>
      </w:r>
    </w:p>
    <w:p w:rsidR="7CDD0BAE" w:rsidP="4E418DF1" w14:paraId="25B38927" w14:textId="42EB51B2">
      <w:pPr>
        <w:rPr>
          <w:rFonts w:ascii="Times New Roman" w:eastAsia="Times New Roman" w:hAnsi="Times New Roman" w:cs="Times New Roman"/>
          <w:color w:val="000000" w:themeColor="text1"/>
        </w:rPr>
      </w:pPr>
    </w:p>
    <w:p w:rsidR="00C43D86" w:rsidRPr="00C43D86" w:rsidP="1037B4F9" w14:paraId="06A67169" w14:textId="77777777">
      <w:pPr>
        <w:rPr>
          <w:rFonts w:ascii="Times New Roman" w:eastAsia="Times New Roman" w:hAnsi="Times New Roman" w:cs="Times New Roman"/>
        </w:rPr>
      </w:pPr>
      <w:r w:rsidRPr="5924DF5A">
        <w:rPr>
          <w:rFonts w:ascii="Times New Roman" w:eastAsia="Times New Roman" w:hAnsi="Times New Roman" w:cs="Times New Roman"/>
          <w:b/>
          <w:bCs/>
          <w:u w:val="single"/>
        </w:rPr>
        <w:t>Methods to Maximize Response Rates and Deal with Nonresponse </w:t>
      </w:r>
      <w:r w:rsidRPr="5924DF5A">
        <w:rPr>
          <w:rFonts w:ascii="Times New Roman" w:eastAsia="Times New Roman" w:hAnsi="Times New Roman" w:cs="Times New Roman"/>
          <w:b/>
          <w:bCs/>
        </w:rPr>
        <w:t> </w:t>
      </w:r>
      <w:r w:rsidRPr="5924DF5A">
        <w:rPr>
          <w:rFonts w:ascii="Times New Roman" w:eastAsia="Times New Roman" w:hAnsi="Times New Roman" w:cs="Times New Roman"/>
        </w:rPr>
        <w:t> </w:t>
      </w:r>
    </w:p>
    <w:p w:rsidR="00297CE5" w:rsidP="00B65DCE" w14:paraId="385AE734" w14:textId="3AD6B5AD">
      <w:pPr>
        <w:spacing w:beforeAutospacing="1" w:afterAutospacing="1"/>
        <w:rPr>
          <w:rFonts w:ascii="Times New Roman" w:eastAsia="Times New Roman" w:hAnsi="Times New Roman" w:cs="Times New Roman"/>
        </w:rPr>
      </w:pPr>
      <w:r>
        <w:rPr>
          <w:rFonts w:ascii="Times New Roman" w:eastAsia="Times New Roman" w:hAnsi="Times New Roman" w:cs="Times New Roman"/>
        </w:rPr>
        <w:t xml:space="preserve">As a first line of maximizing participation, we will leverage our prior survey’s TEP to inform their warm contacts of the survey and promote participation. Draft language will be provided to TEP members for them to use to reach out to their warm contacts within the sampling frame. Warm contact outreach by </w:t>
      </w:r>
      <w:r>
        <w:rPr>
          <w:rFonts w:ascii="Times New Roman" w:eastAsia="Times New Roman" w:hAnsi="Times New Roman" w:cs="Times New Roman"/>
        </w:rPr>
        <w:t>ScaleHealth</w:t>
      </w:r>
      <w:r>
        <w:rPr>
          <w:rFonts w:ascii="Times New Roman" w:eastAsia="Times New Roman" w:hAnsi="Times New Roman" w:cs="Times New Roman"/>
        </w:rPr>
        <w:t xml:space="preserve"> and </w:t>
      </w:r>
      <w:r>
        <w:rPr>
          <w:rFonts w:ascii="Times New Roman" w:eastAsia="Times New Roman" w:hAnsi="Times New Roman" w:cs="Times New Roman"/>
        </w:rPr>
        <w:t>Clinovations</w:t>
      </w:r>
      <w:r>
        <w:rPr>
          <w:rFonts w:ascii="Times New Roman" w:eastAsia="Times New Roman" w:hAnsi="Times New Roman" w:cs="Times New Roman"/>
        </w:rPr>
        <w:t xml:space="preserve"> will ensue in the same manner.</w:t>
      </w:r>
    </w:p>
    <w:p w:rsidR="00AA6B3C" w:rsidP="00AA6B3C" w14:paraId="034029E5" w14:textId="53A9AD8D">
      <w:pPr>
        <w:spacing w:before="100" w:beforeAutospacing="1" w:after="100" w:afterAutospacing="1"/>
        <w:rPr>
          <w:rFonts w:ascii="Times New Roman" w:eastAsia="Times New Roman" w:hAnsi="Times New Roman" w:cs="Times New Roman"/>
        </w:rPr>
      </w:pPr>
      <w:r w:rsidRPr="5924DF5A">
        <w:rPr>
          <w:rFonts w:ascii="Times New Roman" w:eastAsia="Times New Roman" w:hAnsi="Times New Roman" w:cs="Times New Roman"/>
        </w:rPr>
        <w:t xml:space="preserve">To supplement direct outreach, the survey will also be promoted through professional forums, industry listservs, and digital health communities. Planned distribution channels include Health Tech Nerds (HTN), Elion, and the networks of </w:t>
      </w:r>
      <w:r w:rsidRPr="5924DF5A">
        <w:rPr>
          <w:rFonts w:ascii="Times New Roman" w:eastAsia="Times New Roman" w:hAnsi="Times New Roman" w:cs="Times New Roman"/>
        </w:rPr>
        <w:t>ScaleHealth</w:t>
      </w:r>
      <w:r w:rsidRPr="5924DF5A">
        <w:rPr>
          <w:rFonts w:ascii="Times New Roman" w:eastAsia="Times New Roman" w:hAnsi="Times New Roman" w:cs="Times New Roman"/>
        </w:rPr>
        <w:t xml:space="preserve"> and </w:t>
      </w:r>
      <w:r w:rsidRPr="5924DF5A">
        <w:rPr>
          <w:rFonts w:ascii="Times New Roman" w:eastAsia="Times New Roman" w:hAnsi="Times New Roman" w:cs="Times New Roman"/>
        </w:rPr>
        <w:t>Clinovations</w:t>
      </w:r>
      <w:r w:rsidRPr="5924DF5A">
        <w:rPr>
          <w:rFonts w:ascii="Times New Roman" w:eastAsia="Times New Roman" w:hAnsi="Times New Roman" w:cs="Times New Roman"/>
        </w:rPr>
        <w:t>. In-person promotion will also be conducted at relevant industry conferences (e.g., Remote Patient Monitoring Summit</w:t>
      </w:r>
      <w:r>
        <w:rPr>
          <w:rFonts w:ascii="Times New Roman" w:eastAsia="Times New Roman" w:hAnsi="Times New Roman" w:cs="Times New Roman"/>
        </w:rPr>
        <w:t xml:space="preserve">, Health </w:t>
      </w:r>
      <w:r>
        <w:rPr>
          <w:rFonts w:ascii="Times New Roman" w:eastAsia="Times New Roman" w:hAnsi="Times New Roman" w:cs="Times New Roman"/>
        </w:rPr>
        <w:t>Datapalooza</w:t>
      </w:r>
      <w:r>
        <w:rPr>
          <w:rFonts w:ascii="Times New Roman" w:eastAsia="Times New Roman" w:hAnsi="Times New Roman" w:cs="Times New Roman"/>
        </w:rPr>
        <w:t>, etc.</w:t>
      </w:r>
      <w:r w:rsidRPr="5924DF5A">
        <w:rPr>
          <w:rFonts w:ascii="Times New Roman" w:eastAsia="Times New Roman" w:hAnsi="Times New Roman" w:cs="Times New Roman"/>
        </w:rPr>
        <w:t xml:space="preserve">), including the distribution of printed business cards with QR codes linking directly to the </w:t>
      </w:r>
      <w:r>
        <w:rPr>
          <w:rFonts w:ascii="Times New Roman" w:eastAsia="Times New Roman" w:hAnsi="Times New Roman" w:cs="Times New Roman"/>
        </w:rPr>
        <w:t>pre-registration website.</w:t>
      </w:r>
      <w:r w:rsidRPr="5924DF5A">
        <w:rPr>
          <w:rFonts w:ascii="Times New Roman" w:eastAsia="Times New Roman" w:hAnsi="Times New Roman" w:cs="Times New Roman"/>
        </w:rPr>
        <w:t xml:space="preserve"> UCSF previously used this strategy during the 2022 HLTH Conference, which resulted in additional survey completions. Respondents may elect to have their company acknowledged in public-facing reports and peer-reviewed publications. Individuals who complete the survey by a designated date will </w:t>
      </w:r>
      <w:r>
        <w:rPr>
          <w:rFonts w:ascii="Times New Roman" w:eastAsia="Times New Roman" w:hAnsi="Times New Roman" w:cs="Times New Roman"/>
        </w:rPr>
        <w:t xml:space="preserve">also </w:t>
      </w:r>
      <w:r w:rsidRPr="5924DF5A">
        <w:rPr>
          <w:rFonts w:ascii="Times New Roman" w:eastAsia="Times New Roman" w:hAnsi="Times New Roman" w:cs="Times New Roman"/>
        </w:rPr>
        <w:t>be considered for participation in panels at national health technology conferences. The project team will identify appropriate conferences and submit proposals during the project period to provide opportunities for respondents to share experiences and perspectives related to EHR API adoption, integration, and digital health innovation.</w:t>
      </w:r>
    </w:p>
    <w:p w:rsidR="3DB56009" w:rsidP="00B65DCE" w14:paraId="52DF0F82" w14:textId="7395873B">
      <w:pPr>
        <w:spacing w:beforeAutospacing="1" w:afterAutospacing="1"/>
        <w:rPr>
          <w:rFonts w:ascii="Times New Roman" w:eastAsia="Times New Roman" w:hAnsi="Times New Roman" w:cs="Times New Roman"/>
        </w:rPr>
      </w:pPr>
      <w:r>
        <w:rPr>
          <w:rFonts w:ascii="Times New Roman" w:eastAsia="Times New Roman" w:hAnsi="Times New Roman" w:cs="Times New Roman"/>
        </w:rPr>
        <w:t xml:space="preserve">Once the survey </w:t>
      </w:r>
      <w:r w:rsidR="00EF2F1F">
        <w:rPr>
          <w:rFonts w:ascii="Times New Roman" w:eastAsia="Times New Roman" w:hAnsi="Times New Roman" w:cs="Times New Roman"/>
        </w:rPr>
        <w:t>i</w:t>
      </w:r>
      <w:r>
        <w:rPr>
          <w:rFonts w:ascii="Times New Roman" w:eastAsia="Times New Roman" w:hAnsi="Times New Roman" w:cs="Times New Roman"/>
        </w:rPr>
        <w:t xml:space="preserve">s </w:t>
      </w:r>
      <w:r w:rsidR="00583CA4">
        <w:rPr>
          <w:rFonts w:ascii="Times New Roman" w:eastAsia="Times New Roman" w:hAnsi="Times New Roman" w:cs="Times New Roman"/>
        </w:rPr>
        <w:t>disseminated</w:t>
      </w:r>
      <w:r>
        <w:rPr>
          <w:rFonts w:ascii="Times New Roman" w:eastAsia="Times New Roman" w:hAnsi="Times New Roman" w:cs="Times New Roman"/>
        </w:rPr>
        <w:t xml:space="preserve">, </w:t>
      </w:r>
      <w:r w:rsidR="00DA227E">
        <w:rPr>
          <w:rFonts w:ascii="Times New Roman" w:eastAsia="Times New Roman" w:hAnsi="Times New Roman" w:cs="Times New Roman"/>
        </w:rPr>
        <w:t>a</w:t>
      </w:r>
      <w:r w:rsidRPr="5924DF5A" w:rsidR="00A375EF">
        <w:rPr>
          <w:rFonts w:ascii="Times New Roman" w:eastAsia="Times New Roman" w:hAnsi="Times New Roman" w:cs="Times New Roman"/>
        </w:rPr>
        <w:t xml:space="preserve"> schedule </w:t>
      </w:r>
      <w:r w:rsidR="00DA227E">
        <w:rPr>
          <w:rFonts w:ascii="Times New Roman" w:eastAsia="Times New Roman" w:hAnsi="Times New Roman" w:cs="Times New Roman"/>
        </w:rPr>
        <w:t xml:space="preserve">of </w:t>
      </w:r>
      <w:r w:rsidR="00AA6B3C">
        <w:rPr>
          <w:rFonts w:ascii="Times New Roman" w:eastAsia="Times New Roman" w:hAnsi="Times New Roman" w:cs="Times New Roman"/>
        </w:rPr>
        <w:t xml:space="preserve">Qualtrics-generated </w:t>
      </w:r>
      <w:r w:rsidR="009733CA">
        <w:rPr>
          <w:rFonts w:ascii="Times New Roman" w:eastAsia="Times New Roman" w:hAnsi="Times New Roman" w:cs="Times New Roman"/>
        </w:rPr>
        <w:t>reminders</w:t>
      </w:r>
      <w:r w:rsidR="00583CA4">
        <w:rPr>
          <w:rFonts w:ascii="Times New Roman" w:eastAsia="Times New Roman" w:hAnsi="Times New Roman" w:cs="Times New Roman"/>
        </w:rPr>
        <w:t>, as described above,</w:t>
      </w:r>
      <w:r w:rsidR="00DA227E">
        <w:rPr>
          <w:rFonts w:ascii="Times New Roman" w:eastAsia="Times New Roman" w:hAnsi="Times New Roman" w:cs="Times New Roman"/>
        </w:rPr>
        <w:t xml:space="preserve"> will be sent to non-respondents and partial respondents</w:t>
      </w:r>
      <w:r w:rsidRPr="5924DF5A" w:rsidR="00A375EF">
        <w:rPr>
          <w:rFonts w:ascii="Times New Roman" w:eastAsia="Times New Roman" w:hAnsi="Times New Roman" w:cs="Times New Roman"/>
        </w:rPr>
        <w:t xml:space="preserve"> using varied messaging. UCSF will monitor survey activity to identify respondents who started but not completed the instrument and will follow up individually to determine whether clarification or support is needed to facilitate completion. After </w:t>
      </w:r>
      <w:r w:rsidR="00777CA5">
        <w:rPr>
          <w:rFonts w:ascii="Times New Roman" w:eastAsia="Times New Roman" w:hAnsi="Times New Roman" w:cs="Times New Roman"/>
        </w:rPr>
        <w:t>four to six</w:t>
      </w:r>
      <w:r w:rsidRPr="5924DF5A" w:rsidR="00A375EF">
        <w:rPr>
          <w:rFonts w:ascii="Times New Roman" w:eastAsia="Times New Roman" w:hAnsi="Times New Roman" w:cs="Times New Roman"/>
        </w:rPr>
        <w:t xml:space="preserve"> </w:t>
      </w:r>
      <w:r w:rsidR="00AA6B3C">
        <w:rPr>
          <w:rFonts w:ascii="Times New Roman" w:eastAsia="Times New Roman" w:hAnsi="Times New Roman" w:cs="Times New Roman"/>
        </w:rPr>
        <w:t>Qualtrics-generated nudges,</w:t>
      </w:r>
      <w:r w:rsidRPr="5924DF5A" w:rsidR="00A375EF">
        <w:rPr>
          <w:rFonts w:ascii="Times New Roman" w:eastAsia="Times New Roman" w:hAnsi="Times New Roman" w:cs="Times New Roman"/>
        </w:rPr>
        <w:t xml:space="preserve"> the UCSF study team, </w:t>
      </w:r>
      <w:r w:rsidRPr="5924DF5A" w:rsidR="00A375EF">
        <w:rPr>
          <w:rFonts w:ascii="Times New Roman" w:eastAsia="Times New Roman" w:hAnsi="Times New Roman" w:cs="Times New Roman"/>
        </w:rPr>
        <w:t>ScaleHealth</w:t>
      </w:r>
      <w:r w:rsidRPr="5924DF5A" w:rsidR="00A375EF">
        <w:rPr>
          <w:rFonts w:ascii="Times New Roman" w:eastAsia="Times New Roman" w:hAnsi="Times New Roman" w:cs="Times New Roman"/>
        </w:rPr>
        <w:t xml:space="preserve"> and </w:t>
      </w:r>
      <w:r w:rsidRPr="5924DF5A" w:rsidR="00A375EF">
        <w:rPr>
          <w:rFonts w:ascii="Times New Roman" w:eastAsia="Times New Roman" w:hAnsi="Times New Roman" w:cs="Times New Roman"/>
        </w:rPr>
        <w:t>Clinovations</w:t>
      </w:r>
      <w:r w:rsidRPr="5924DF5A" w:rsidR="00A375EF">
        <w:rPr>
          <w:rFonts w:ascii="Times New Roman" w:eastAsia="Times New Roman" w:hAnsi="Times New Roman" w:cs="Times New Roman"/>
        </w:rPr>
        <w:t xml:space="preserve"> will initiate additional outreach. The contact database will be reviewed collaboratively and updated regularly to identify additional connections. Broader outreach through industry networks and </w:t>
      </w:r>
      <w:r w:rsidR="00DA227E">
        <w:rPr>
          <w:rFonts w:ascii="Times New Roman" w:eastAsia="Times New Roman" w:hAnsi="Times New Roman" w:cs="Times New Roman"/>
        </w:rPr>
        <w:t>TEP</w:t>
      </w:r>
      <w:r w:rsidRPr="5924DF5A" w:rsidR="00A375EF">
        <w:rPr>
          <w:rFonts w:ascii="Times New Roman" w:eastAsia="Times New Roman" w:hAnsi="Times New Roman" w:cs="Times New Roman"/>
        </w:rPr>
        <w:t xml:space="preserve"> members will </w:t>
      </w:r>
      <w:r w:rsidR="00464434">
        <w:rPr>
          <w:rFonts w:ascii="Times New Roman" w:eastAsia="Times New Roman" w:hAnsi="Times New Roman" w:cs="Times New Roman"/>
        </w:rPr>
        <w:t>also occur</w:t>
      </w:r>
      <w:r w:rsidRPr="5924DF5A" w:rsidR="00A375EF">
        <w:rPr>
          <w:rFonts w:ascii="Times New Roman" w:eastAsia="Times New Roman" w:hAnsi="Times New Roman" w:cs="Times New Roman"/>
        </w:rPr>
        <w:t xml:space="preserve"> throughout the</w:t>
      </w:r>
      <w:r w:rsidR="00AA6B3C">
        <w:rPr>
          <w:rFonts w:ascii="Times New Roman" w:eastAsia="Times New Roman" w:hAnsi="Times New Roman" w:cs="Times New Roman"/>
        </w:rPr>
        <w:t xml:space="preserve"> survey</w:t>
      </w:r>
      <w:r w:rsidRPr="5924DF5A" w:rsidR="00A375EF">
        <w:rPr>
          <w:rFonts w:ascii="Times New Roman" w:eastAsia="Times New Roman" w:hAnsi="Times New Roman" w:cs="Times New Roman"/>
        </w:rPr>
        <w:t xml:space="preserve"> fielding period</w:t>
      </w:r>
      <w:r w:rsidRPr="5924DF5A" w:rsidR="00464434">
        <w:rPr>
          <w:rFonts w:ascii="Times New Roman" w:eastAsia="Times New Roman" w:hAnsi="Times New Roman" w:cs="Times New Roman"/>
        </w:rPr>
        <w:t xml:space="preserve">. </w:t>
      </w:r>
      <w:r w:rsidR="00AA6B3C">
        <w:rPr>
          <w:rFonts w:ascii="Times New Roman" w:eastAsia="Times New Roman" w:hAnsi="Times New Roman" w:cs="Times New Roman"/>
        </w:rPr>
        <w:t>Outreach m</w:t>
      </w:r>
      <w:r w:rsidRPr="5924DF5A" w:rsidR="00464434">
        <w:rPr>
          <w:rFonts w:ascii="Times New Roman" w:eastAsia="Times New Roman" w:hAnsi="Times New Roman" w:cs="Times New Roman"/>
        </w:rPr>
        <w:t xml:space="preserve">essages will be tailored by </w:t>
      </w:r>
      <w:r w:rsidR="00DA227E">
        <w:rPr>
          <w:rFonts w:ascii="Times New Roman" w:eastAsia="Times New Roman" w:hAnsi="Times New Roman" w:cs="Times New Roman"/>
        </w:rPr>
        <w:t>recipien</w:t>
      </w:r>
      <w:r w:rsidRPr="5924DF5A" w:rsidR="00464434">
        <w:rPr>
          <w:rFonts w:ascii="Times New Roman" w:eastAsia="Times New Roman" w:hAnsi="Times New Roman" w:cs="Times New Roman"/>
        </w:rPr>
        <w:t>t type (e.g., pr</w:t>
      </w:r>
      <w:r w:rsidR="00BE180F">
        <w:rPr>
          <w:rFonts w:ascii="Times New Roman" w:eastAsia="Times New Roman" w:hAnsi="Times New Roman" w:cs="Times New Roman"/>
        </w:rPr>
        <w:t>evious survey</w:t>
      </w:r>
      <w:r w:rsidR="00380C43">
        <w:rPr>
          <w:rFonts w:ascii="Times New Roman" w:eastAsia="Times New Roman" w:hAnsi="Times New Roman" w:cs="Times New Roman"/>
        </w:rPr>
        <w:t xml:space="preserve"> </w:t>
      </w:r>
      <w:r w:rsidRPr="5924DF5A" w:rsidR="00464434">
        <w:rPr>
          <w:rFonts w:ascii="Times New Roman" w:eastAsia="Times New Roman" w:hAnsi="Times New Roman" w:cs="Times New Roman"/>
        </w:rPr>
        <w:t xml:space="preserve">participant, new contact, warm referral) to increase the likelihood of engagement. </w:t>
      </w:r>
      <w:r w:rsidRPr="5924DF5A" w:rsidR="00A375EF">
        <w:rPr>
          <w:rFonts w:ascii="Times New Roman" w:eastAsia="Times New Roman" w:hAnsi="Times New Roman" w:cs="Times New Roman"/>
        </w:rPr>
        <w:t xml:space="preserve">The anticipated data collection period is expected to be </w:t>
      </w:r>
      <w:r w:rsidR="00334D4D">
        <w:rPr>
          <w:rFonts w:ascii="Times New Roman" w:eastAsia="Times New Roman" w:hAnsi="Times New Roman" w:cs="Times New Roman"/>
        </w:rPr>
        <w:t>six</w:t>
      </w:r>
      <w:r w:rsidRPr="5924DF5A" w:rsidR="00A375EF">
        <w:rPr>
          <w:rFonts w:ascii="Times New Roman" w:eastAsia="Times New Roman" w:hAnsi="Times New Roman" w:cs="Times New Roman"/>
        </w:rPr>
        <w:t xml:space="preserve"> months, consistent with prior survey cycles. Personalized outreach and the use of existing professional networks have previously proven effective, and the study team will continue this approach by identifying direct points of contact and leveraging partner relationships to facilitate engagement with eligible organizations.</w:t>
      </w:r>
      <w:r w:rsidRPr="5924DF5A" w:rsidR="5924DF5A">
        <w:rPr>
          <w:rFonts w:ascii="Times New Roman" w:eastAsia="Times New Roman" w:hAnsi="Times New Roman" w:cs="Times New Roman"/>
        </w:rPr>
        <w:t xml:space="preserve"> </w:t>
      </w:r>
    </w:p>
    <w:p w:rsidR="74551469" w:rsidP="00DB64D8" w14:paraId="685D0B6E" w14:textId="092456D1">
      <w:pPr>
        <w:spacing w:before="100" w:beforeAutospacing="1" w:after="100" w:afterAutospacing="1"/>
        <w:rPr>
          <w:rFonts w:ascii="Times New Roman" w:eastAsia="Times New Roman" w:hAnsi="Times New Roman" w:cs="Times New Roman"/>
        </w:rPr>
      </w:pPr>
      <w:r w:rsidRPr="5924DF5A">
        <w:rPr>
          <w:rFonts w:ascii="Times New Roman" w:eastAsia="Times New Roman" w:hAnsi="Times New Roman" w:cs="Times New Roman"/>
        </w:rPr>
        <w:t>To address item-level nonresponse, UCSF will track the frequency of skipped or incomplete responses and flag any items with substantially lower response rates (i.e., ≥10 percentage points below module averages). Where appropriate, follow-up will be conducted to clarify responses or encourage supplemental completion. These strategies have previously enabled UCSF to achieve response rates significantly above industry norms and are expected to be similarly effective in the current effort.</w:t>
      </w:r>
    </w:p>
    <w:p w:rsidR="00C43D86" w:rsidRPr="000A6F15" w:rsidP="74551469" w14:paraId="08649756" w14:textId="77777777">
      <w:pPr>
        <w:rPr>
          <w:rFonts w:ascii="Times New Roman" w:eastAsia="Times New Roman" w:hAnsi="Times New Roman" w:cs="Times New Roman"/>
        </w:rPr>
      </w:pPr>
      <w:r w:rsidRPr="000A6F15">
        <w:rPr>
          <w:rFonts w:ascii="Times New Roman" w:eastAsia="Times New Roman" w:hAnsi="Times New Roman" w:cs="Times New Roman"/>
          <w:b/>
          <w:bCs/>
          <w:u w:val="single"/>
        </w:rPr>
        <w:t>Tests of Procedures or Methods to be Undertaken</w:t>
      </w:r>
      <w:r w:rsidRPr="000A6F15">
        <w:rPr>
          <w:rFonts w:ascii="Times New Roman" w:eastAsia="Times New Roman" w:hAnsi="Times New Roman" w:cs="Times New Roman"/>
        </w:rPr>
        <w:t> </w:t>
      </w:r>
    </w:p>
    <w:p w:rsidR="74551469" w:rsidP="007212FB" w14:paraId="312326CE" w14:textId="2F4650FD">
      <w:pPr>
        <w:spacing w:before="100" w:beforeAutospacing="1" w:after="100" w:afterAutospacing="1"/>
        <w:rPr>
          <w:rFonts w:ascii="Times New Roman" w:eastAsia="Times New Roman" w:hAnsi="Times New Roman" w:cs="Times New Roman"/>
        </w:rPr>
      </w:pPr>
      <w:r w:rsidRPr="000A6F15">
        <w:rPr>
          <w:rFonts w:ascii="Times New Roman" w:eastAsia="Times New Roman" w:hAnsi="Times New Roman" w:cs="Times New Roman"/>
        </w:rPr>
        <w:t>UCSF and ASTP pilot tested the survey in collaboration with</w:t>
      </w:r>
      <w:r w:rsidRPr="5924DF5A">
        <w:rPr>
          <w:rFonts w:ascii="Times New Roman" w:eastAsia="Times New Roman" w:hAnsi="Times New Roman" w:cs="Times New Roman"/>
        </w:rPr>
        <w:t xml:space="preserve"> project partners and subject matter experts. The goals of the pilot testing were to estimate the time required for completion of the survey (for OMB burden estimate), identify any potential concerns that could impede survey completion (e.g., selection of mandatory questions), </w:t>
      </w:r>
      <w:r w:rsidR="00F0254E">
        <w:rPr>
          <w:rFonts w:ascii="Times New Roman" w:eastAsia="Times New Roman" w:hAnsi="Times New Roman" w:cs="Times New Roman"/>
        </w:rPr>
        <w:t xml:space="preserve">verify the branching logic, </w:t>
      </w:r>
      <w:r w:rsidRPr="5924DF5A">
        <w:rPr>
          <w:rFonts w:ascii="Times New Roman" w:eastAsia="Times New Roman" w:hAnsi="Times New Roman" w:cs="Times New Roman"/>
        </w:rPr>
        <w:t xml:space="preserve">and obtain input on the clarity of the instrument. </w:t>
      </w:r>
    </w:p>
    <w:p w:rsidR="5924DF5A" w:rsidP="00A375EF" w14:paraId="4DFCB2BD" w14:textId="447B03D2">
      <w:pPr>
        <w:spacing w:before="100" w:beforeAutospacing="1" w:after="100" w:afterAutospacing="1"/>
        <w:rPr>
          <w:rFonts w:ascii="Times New Roman" w:eastAsia="Times New Roman" w:hAnsi="Times New Roman" w:cs="Times New Roman"/>
        </w:rPr>
      </w:pPr>
      <w:r w:rsidRPr="5924DF5A">
        <w:rPr>
          <w:rFonts w:ascii="Times New Roman" w:eastAsia="Times New Roman" w:hAnsi="Times New Roman" w:cs="Times New Roman"/>
        </w:rPr>
        <w:t xml:space="preserve">A total of seven digital health companies participated in the pilot. These companies were selected to represent a mix of prior survey participants and new entrants to the digital health ecosystem. Participants were identified through the project’s </w:t>
      </w:r>
      <w:r w:rsidR="00DA227E">
        <w:rPr>
          <w:rFonts w:ascii="Times New Roman" w:eastAsia="Times New Roman" w:hAnsi="Times New Roman" w:cs="Times New Roman"/>
        </w:rPr>
        <w:t>TEP</w:t>
      </w:r>
      <w:r w:rsidRPr="5924DF5A">
        <w:rPr>
          <w:rFonts w:ascii="Times New Roman" w:eastAsia="Times New Roman" w:hAnsi="Times New Roman" w:cs="Times New Roman"/>
        </w:rPr>
        <w:t xml:space="preserve"> and partner networks, including </w:t>
      </w:r>
      <w:r w:rsidRPr="5924DF5A">
        <w:rPr>
          <w:rFonts w:ascii="Times New Roman" w:eastAsia="Times New Roman" w:hAnsi="Times New Roman" w:cs="Times New Roman"/>
        </w:rPr>
        <w:t>ScaleHealth</w:t>
      </w:r>
      <w:r w:rsidRPr="5924DF5A">
        <w:rPr>
          <w:rFonts w:ascii="Times New Roman" w:eastAsia="Times New Roman" w:hAnsi="Times New Roman" w:cs="Times New Roman"/>
        </w:rPr>
        <w:t xml:space="preserve"> and </w:t>
      </w:r>
      <w:r w:rsidRPr="5924DF5A">
        <w:rPr>
          <w:rFonts w:ascii="Times New Roman" w:eastAsia="Times New Roman" w:hAnsi="Times New Roman" w:cs="Times New Roman"/>
        </w:rPr>
        <w:t>Clinovations</w:t>
      </w:r>
    </w:p>
    <w:p w:rsidR="74551469" w:rsidP="007C6FBE" w14:paraId="23E9C9C9" w14:textId="0B4ED3CE">
      <w:pPr>
        <w:spacing w:before="100" w:beforeAutospacing="1" w:after="100" w:afterAutospacing="1"/>
        <w:rPr>
          <w:rFonts w:ascii="Times New Roman" w:eastAsia="Times New Roman" w:hAnsi="Times New Roman" w:cs="Times New Roman"/>
        </w:rPr>
      </w:pPr>
      <w:r w:rsidRPr="5924DF5A">
        <w:rPr>
          <w:rFonts w:ascii="Times New Roman" w:eastAsia="Times New Roman" w:hAnsi="Times New Roman" w:cs="Times New Roman"/>
        </w:rPr>
        <w:t xml:space="preserve">Each pilot participant was provided with the survey instrument and instructions to complete it, record the time required, and note any items that were confusing or burdensome. Following completion, UCSF conducted individual interviews with respondents in cases where additional clarification was needed. The goals of the interview were to ensure: (1) respondents understood the questions as intended, and (2) the questions were written in a manner that respondents could answer. Revised survey items were shared with pilot testers to solicit additional input on proposed changes and ensure clarity </w:t>
      </w:r>
      <w:r w:rsidR="00287A03">
        <w:rPr>
          <w:rFonts w:ascii="Times New Roman" w:eastAsia="Times New Roman" w:hAnsi="Times New Roman" w:cs="Times New Roman"/>
        </w:rPr>
        <w:t>was</w:t>
      </w:r>
      <w:r w:rsidRPr="5924DF5A">
        <w:rPr>
          <w:rFonts w:ascii="Times New Roman" w:eastAsia="Times New Roman" w:hAnsi="Times New Roman" w:cs="Times New Roman"/>
        </w:rPr>
        <w:t xml:space="preserve"> improved. After each round of pilot testing, UCSF met with ASTP and project partners to review findings and discuss recommended modifications to the instrument. </w:t>
      </w:r>
    </w:p>
    <w:p w:rsidR="00C43D86" w:rsidP="1037B4F9" w14:paraId="5E956B4C" w14:textId="7BAEF8FE">
      <w:pPr>
        <w:rPr>
          <w:rFonts w:ascii="Times New Roman" w:eastAsia="Times New Roman" w:hAnsi="Times New Roman" w:cs="Times New Roman"/>
        </w:rPr>
      </w:pPr>
      <w:r w:rsidRPr="5924DF5A">
        <w:rPr>
          <w:rFonts w:ascii="Times New Roman" w:eastAsia="Times New Roman" w:hAnsi="Times New Roman" w:cs="Times New Roman"/>
          <w:b/>
          <w:bCs/>
          <w:u w:val="single"/>
        </w:rPr>
        <w:t>Survey Content:</w:t>
      </w:r>
      <w:r w:rsidRPr="5924DF5A">
        <w:rPr>
          <w:rFonts w:ascii="Times New Roman" w:eastAsia="Times New Roman" w:hAnsi="Times New Roman" w:cs="Times New Roman"/>
          <w:b/>
          <w:bCs/>
        </w:rPr>
        <w:t> </w:t>
      </w:r>
      <w:r w:rsidRPr="5924DF5A">
        <w:rPr>
          <w:rFonts w:ascii="Times New Roman" w:eastAsia="Times New Roman" w:hAnsi="Times New Roman" w:cs="Times New Roman"/>
        </w:rPr>
        <w:t> </w:t>
      </w:r>
    </w:p>
    <w:p w:rsidR="009027C1" w:rsidRPr="00C43D86" w:rsidP="53E63900" w14:paraId="24B620D7" w14:textId="77777777">
      <w:pPr>
        <w:rPr>
          <w:rFonts w:ascii="Times New Roman" w:eastAsia="Times New Roman" w:hAnsi="Times New Roman" w:cs="Times New Roman"/>
          <w:color w:val="000000" w:themeColor="text1"/>
        </w:rPr>
      </w:pPr>
    </w:p>
    <w:p w:rsidR="00621C46" w:rsidP="3F846100" w14:paraId="37B740A4" w14:textId="6A204A8B">
      <w:pPr>
        <w:rPr>
          <w:rFonts w:ascii="Times New Roman" w:eastAsia="Times New Roman" w:hAnsi="Times New Roman" w:cs="Times New Roman"/>
        </w:rPr>
      </w:pPr>
      <w:r w:rsidRPr="5924DF5A">
        <w:rPr>
          <w:rFonts w:ascii="Times New Roman" w:eastAsia="Times New Roman" w:hAnsi="Times New Roman" w:cs="Times New Roman"/>
        </w:rPr>
        <w:t>Th</w:t>
      </w:r>
      <w:r>
        <w:rPr>
          <w:rFonts w:ascii="Times New Roman" w:eastAsia="Times New Roman" w:hAnsi="Times New Roman" w:cs="Times New Roman"/>
        </w:rPr>
        <w:t>e</w:t>
      </w:r>
      <w:r w:rsidRPr="5924DF5A">
        <w:rPr>
          <w:rFonts w:ascii="Times New Roman" w:eastAsia="Times New Roman" w:hAnsi="Times New Roman" w:cs="Times New Roman"/>
        </w:rPr>
        <w:t xml:space="preserve"> </w:t>
      </w:r>
      <w:r w:rsidR="006C66A6">
        <w:rPr>
          <w:rFonts w:ascii="Times New Roman" w:eastAsia="Times New Roman" w:hAnsi="Times New Roman" w:cs="Times New Roman"/>
        </w:rPr>
        <w:t xml:space="preserve">previous survey in </w:t>
      </w:r>
      <w:r w:rsidRPr="5924DF5A">
        <w:rPr>
          <w:rFonts w:ascii="Times New Roman" w:eastAsia="Times New Roman" w:hAnsi="Times New Roman" w:cs="Times New Roman"/>
        </w:rPr>
        <w:t>2022 assessed the early impacts of the 21st Century Cures Act regulations and evaluated the state of API adoption and interoperability among digital health companies</w:t>
      </w:r>
      <w:r w:rsidR="003306E6">
        <w:rPr>
          <w:rFonts w:ascii="Times New Roman" w:eastAsia="Times New Roman" w:hAnsi="Times New Roman" w:cs="Times New Roman"/>
        </w:rPr>
        <w:t xml:space="preserve"> integrating with commercial EHRs</w:t>
      </w:r>
      <w:r w:rsidRPr="5924DF5A">
        <w:rPr>
          <w:rFonts w:ascii="Times New Roman" w:eastAsia="Times New Roman" w:hAnsi="Times New Roman" w:cs="Times New Roman"/>
        </w:rPr>
        <w:t>. It also identified several ongoing challenges, including high fees, limited availability of realistic clinical testing data, and gaps in the availability of key data elements.</w:t>
      </w:r>
      <w:r>
        <w:rPr>
          <w:rFonts w:ascii="Times New Roman" w:eastAsia="Times New Roman" w:hAnsi="Times New Roman" w:cs="Times New Roman"/>
        </w:rPr>
        <w:t xml:space="preserve"> </w:t>
      </w:r>
      <w:r w:rsidRPr="5924DF5A">
        <w:rPr>
          <w:rFonts w:ascii="Times New Roman" w:eastAsia="Times New Roman" w:hAnsi="Times New Roman" w:cs="Times New Roman"/>
        </w:rPr>
        <w:t xml:space="preserve">The current iteration will generate the first longitudinal dataset to track changes in API adoption and interoperability over time. The survey will evaluate the use of standards-based versus proprietary APIs, examine company experiences with specific EHR vendors, and identify enablers and barriers to API-based </w:t>
      </w:r>
      <w:r w:rsidR="003B55F8">
        <w:rPr>
          <w:rFonts w:ascii="Times New Roman" w:eastAsia="Times New Roman" w:hAnsi="Times New Roman" w:cs="Times New Roman"/>
        </w:rPr>
        <w:t xml:space="preserve">commercial </w:t>
      </w:r>
      <w:r w:rsidRPr="5924DF5A">
        <w:rPr>
          <w:rFonts w:ascii="Times New Roman" w:eastAsia="Times New Roman" w:hAnsi="Times New Roman" w:cs="Times New Roman"/>
        </w:rPr>
        <w:t>EHR integration. The resulting data will provide insights to inform federal health IT policy and support efforts to enhance interoperability and improve API implementation across the digital health ecosystem.</w:t>
      </w:r>
    </w:p>
    <w:p w:rsidR="00621C46" w:rsidP="3F846100" w14:paraId="71BDDB40" w14:textId="77777777">
      <w:pPr>
        <w:rPr>
          <w:rFonts w:ascii="Times New Roman" w:eastAsia="Times New Roman" w:hAnsi="Times New Roman" w:cs="Times New Roman"/>
        </w:rPr>
      </w:pPr>
    </w:p>
    <w:p w:rsidR="009027C1" w:rsidRPr="009027C1" w:rsidP="3F846100" w14:paraId="5FFE608B" w14:textId="5CD86D78">
      <w:pPr>
        <w:rPr>
          <w:rFonts w:ascii="Times New Roman" w:eastAsia="Times New Roman" w:hAnsi="Times New Roman" w:cs="Times New Roman"/>
        </w:rPr>
      </w:pPr>
      <w:r w:rsidRPr="5924DF5A">
        <w:rPr>
          <w:rFonts w:ascii="Times New Roman" w:eastAsia="Times New Roman" w:hAnsi="Times New Roman" w:cs="Times New Roman"/>
        </w:rPr>
        <w:t xml:space="preserve">The current survey instrument was </w:t>
      </w:r>
      <w:r w:rsidR="00621C46">
        <w:rPr>
          <w:rFonts w:ascii="Times New Roman" w:eastAsia="Times New Roman" w:hAnsi="Times New Roman" w:cs="Times New Roman"/>
        </w:rPr>
        <w:t>created</w:t>
      </w:r>
      <w:r w:rsidRPr="5924DF5A" w:rsidR="00621C46">
        <w:rPr>
          <w:rFonts w:ascii="Times New Roman" w:eastAsia="Times New Roman" w:hAnsi="Times New Roman" w:cs="Times New Roman"/>
        </w:rPr>
        <w:t xml:space="preserve"> </w:t>
      </w:r>
      <w:r w:rsidRPr="5924DF5A">
        <w:rPr>
          <w:rFonts w:ascii="Times New Roman" w:eastAsia="Times New Roman" w:hAnsi="Times New Roman" w:cs="Times New Roman"/>
        </w:rPr>
        <w:t xml:space="preserve">following a comprehensive review of the prior survey and consultation with project partners and subject matter experts. Items from the prior survey were evaluated to determine their continued relevance and utility. Questions were removed if they no longer reflected current priorities, did not generate valuable data for analysis or derivative products, had low response rates, or were associated with high respondent </w:t>
      </w:r>
      <w:r w:rsidRPr="5924DF5A" w:rsidR="00C86D1D">
        <w:rPr>
          <w:rFonts w:ascii="Times New Roman" w:eastAsia="Times New Roman" w:hAnsi="Times New Roman" w:cs="Times New Roman"/>
        </w:rPr>
        <w:t>drop-off</w:t>
      </w:r>
      <w:r w:rsidRPr="5924DF5A">
        <w:rPr>
          <w:rFonts w:ascii="Times New Roman" w:eastAsia="Times New Roman" w:hAnsi="Times New Roman" w:cs="Times New Roman"/>
        </w:rPr>
        <w:t>. A preliminary analysis of item-level missingness and drop-off informed these decisions.</w:t>
      </w:r>
    </w:p>
    <w:p w:rsidR="5924DF5A" w:rsidP="5924DF5A" w14:paraId="0BE2D517" w14:textId="512DDA63">
      <w:pPr>
        <w:rPr>
          <w:rFonts w:ascii="Times New Roman" w:eastAsia="Times New Roman" w:hAnsi="Times New Roman" w:cs="Times New Roman"/>
        </w:rPr>
      </w:pPr>
    </w:p>
    <w:p w:rsidR="00C43D86" w:rsidP="00C86D1D" w14:paraId="37533B48" w14:textId="0914E8E1">
      <w:pPr>
        <w:rPr>
          <w:rFonts w:ascii="Times New Roman" w:eastAsia="Times New Roman" w:hAnsi="Times New Roman" w:cs="Times New Roman"/>
        </w:rPr>
      </w:pPr>
      <w:r w:rsidRPr="5924DF5A">
        <w:rPr>
          <w:rFonts w:ascii="Times New Roman" w:eastAsia="Times New Roman" w:hAnsi="Times New Roman" w:cs="Times New Roman"/>
        </w:rPr>
        <w:t>New questions were added to capture emerging topics of interest. For example, additional items were developed to assess integrations supporting AI-enabled use cases. Feedback from ASTP and other</w:t>
      </w:r>
      <w:r w:rsidR="00B04B77">
        <w:rPr>
          <w:rFonts w:ascii="Times New Roman" w:eastAsia="Times New Roman" w:hAnsi="Times New Roman" w:cs="Times New Roman"/>
        </w:rPr>
        <w:t xml:space="preserve"> subject matter</w:t>
      </w:r>
      <w:r w:rsidRPr="5924DF5A">
        <w:rPr>
          <w:rFonts w:ascii="Times New Roman" w:eastAsia="Times New Roman" w:hAnsi="Times New Roman" w:cs="Times New Roman"/>
        </w:rPr>
        <w:t xml:space="preserve"> experts was incorporated to further refine the survey’s content and structure. This process ensured the revised instrument retained high-value questions, incorporated new areas of relevance, and removed low-value or burdensome items to improve response quality and reduce respondent burden.</w:t>
      </w:r>
    </w:p>
    <w:p w:rsidR="00C86D1D" w:rsidRPr="00C43D86" w:rsidP="00C86D1D" w14:paraId="0EF98024" w14:textId="77777777">
      <w:pPr>
        <w:rPr>
          <w:rFonts w:ascii="Times New Roman" w:eastAsia="Times New Roman" w:hAnsi="Times New Roman" w:cs="Times New Roman"/>
        </w:rPr>
      </w:pPr>
    </w:p>
    <w:p w:rsidR="00C43D86" w:rsidRPr="00C43D86" w:rsidP="74551469" w14:paraId="0F16025D" w14:textId="77777777">
      <w:pPr>
        <w:rPr>
          <w:rFonts w:ascii="Times New Roman" w:eastAsia="Times New Roman" w:hAnsi="Times New Roman" w:cs="Times New Roman"/>
        </w:rPr>
      </w:pPr>
      <w:r w:rsidRPr="5924DF5A">
        <w:rPr>
          <w:rFonts w:ascii="Times New Roman" w:eastAsia="Times New Roman" w:hAnsi="Times New Roman" w:cs="Times New Roman"/>
          <w:b/>
          <w:bCs/>
          <w:u w:val="single"/>
        </w:rPr>
        <w:t>Individuals Consulted on Statistical Aspects and Individuals Collecting and/or Analyzing Data</w:t>
      </w:r>
      <w:r w:rsidRPr="5924DF5A">
        <w:rPr>
          <w:rFonts w:ascii="Times New Roman" w:eastAsia="Times New Roman" w:hAnsi="Times New Roman" w:cs="Times New Roman"/>
        </w:rPr>
        <w:t> </w:t>
      </w:r>
    </w:p>
    <w:p w:rsidR="5924DF5A" w:rsidP="5924DF5A" w14:paraId="024B182A" w14:textId="07B50EC2">
      <w:pPr>
        <w:pStyle w:val="NormalWeb"/>
      </w:pPr>
      <w:r w:rsidRPr="5924DF5A">
        <w:t>The information for this study is being collected by the UCSF Division of Clinical Informatics and Digital Transformation (</w:t>
      </w:r>
      <w:r w:rsidRPr="5924DF5A">
        <w:t>DoC</w:t>
      </w:r>
      <w:r w:rsidRPr="5924DF5A">
        <w:t>-IT), on behalf of ASTP. With ASTP oversight, UCSF is responsible for the study design, instrument development, data collection, data analysis, and report preparation. The survey instrument and plans for statistical analysis were developed by Dr. Ben</w:t>
      </w:r>
      <w:r w:rsidR="00B87132">
        <w:t>jamin</w:t>
      </w:r>
      <w:r w:rsidRPr="5924DF5A">
        <w:t xml:space="preserve"> Rosner and Dr. Julia Adler-Milstein, in collaboration with ASTP and project partners. The staff team is composed of Dr. Ben</w:t>
      </w:r>
      <w:r w:rsidR="00B87132">
        <w:t>jamin</w:t>
      </w:r>
      <w:r w:rsidRPr="5924DF5A">
        <w:t xml:space="preserve"> Rosner (Principal Investigator)</w:t>
      </w:r>
      <w:r w:rsidR="000B50D6">
        <w:t xml:space="preserve">, </w:t>
      </w:r>
      <w:r w:rsidRPr="5924DF5A">
        <w:t>Paige Welikson (Project Manager/Research Assistant)</w:t>
      </w:r>
      <w:r w:rsidR="000B50D6">
        <w:t>, Aditi Sriram (Project Manager), and Chris</w:t>
      </w:r>
      <w:r w:rsidR="006C66A6">
        <w:t>topher</w:t>
      </w:r>
      <w:r w:rsidR="000B50D6">
        <w:t xml:space="preserve"> Toretsky (Data Analyst)</w:t>
      </w:r>
      <w:r w:rsidRPr="5924DF5A">
        <w:t xml:space="preserve">. </w:t>
      </w:r>
      <w:r w:rsidR="000B50D6">
        <w:t>Primary project c</w:t>
      </w:r>
      <w:r w:rsidRPr="5924DF5A">
        <w:t>ontact information is provided below.</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730"/>
        <w:gridCol w:w="2716"/>
        <w:gridCol w:w="2805"/>
      </w:tblGrid>
      <w:tr w14:paraId="6D0E5807" w14:textId="77777777" w:rsidTr="5924DF5A">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2730" w:type="dxa"/>
            <w:tcBorders>
              <w:top w:val="single" w:sz="6" w:space="0" w:color="auto"/>
              <w:left w:val="single" w:sz="6" w:space="0" w:color="auto"/>
              <w:bottom w:val="single" w:sz="6" w:space="0" w:color="auto"/>
              <w:right w:val="single" w:sz="6" w:space="0" w:color="auto"/>
            </w:tcBorders>
            <w:shd w:val="clear" w:color="auto" w:fill="B8CCE4"/>
            <w:hideMark/>
          </w:tcPr>
          <w:p w:rsidR="00C43D86" w:rsidRPr="00C43D86" w:rsidP="1037B4F9" w14:paraId="20724592" w14:textId="77777777">
            <w:pPr>
              <w:rPr>
                <w:rFonts w:ascii="Times New Roman" w:eastAsia="Times New Roman" w:hAnsi="Times New Roman" w:cs="Times New Roman"/>
                <w:b/>
                <w:bCs/>
              </w:rPr>
            </w:pPr>
            <w:r w:rsidRPr="5924DF5A">
              <w:rPr>
                <w:rFonts w:ascii="Times New Roman" w:eastAsia="Times New Roman" w:hAnsi="Times New Roman" w:cs="Times New Roman"/>
                <w:b/>
                <w:bCs/>
              </w:rPr>
              <w:t>Name </w:t>
            </w:r>
          </w:p>
        </w:tc>
        <w:tc>
          <w:tcPr>
            <w:tcW w:w="2715" w:type="dxa"/>
            <w:tcBorders>
              <w:top w:val="single" w:sz="6" w:space="0" w:color="auto"/>
              <w:left w:val="single" w:sz="6" w:space="0" w:color="auto"/>
              <w:bottom w:val="single" w:sz="6" w:space="0" w:color="auto"/>
              <w:right w:val="single" w:sz="6" w:space="0" w:color="auto"/>
            </w:tcBorders>
            <w:shd w:val="clear" w:color="auto" w:fill="B8CCE4"/>
            <w:hideMark/>
          </w:tcPr>
          <w:p w:rsidR="00C43D86" w:rsidRPr="00C43D86" w:rsidP="1037B4F9" w14:paraId="5AE3A5F7" w14:textId="77777777">
            <w:pPr>
              <w:rPr>
                <w:rFonts w:ascii="Times New Roman" w:eastAsia="Times New Roman" w:hAnsi="Times New Roman" w:cs="Times New Roman"/>
                <w:b/>
                <w:bCs/>
              </w:rPr>
            </w:pPr>
            <w:r w:rsidRPr="5924DF5A">
              <w:rPr>
                <w:rFonts w:ascii="Times New Roman" w:eastAsia="Times New Roman" w:hAnsi="Times New Roman" w:cs="Times New Roman"/>
                <w:b/>
                <w:bCs/>
              </w:rPr>
              <w:t>Email </w:t>
            </w:r>
          </w:p>
        </w:tc>
        <w:tc>
          <w:tcPr>
            <w:tcW w:w="2805" w:type="dxa"/>
            <w:tcBorders>
              <w:top w:val="single" w:sz="6" w:space="0" w:color="auto"/>
              <w:left w:val="single" w:sz="6" w:space="0" w:color="auto"/>
              <w:bottom w:val="single" w:sz="6" w:space="0" w:color="auto"/>
              <w:right w:val="single" w:sz="6" w:space="0" w:color="auto"/>
            </w:tcBorders>
            <w:shd w:val="clear" w:color="auto" w:fill="B8CCE4"/>
            <w:hideMark/>
          </w:tcPr>
          <w:p w:rsidR="00C43D86" w:rsidRPr="00C43D86" w:rsidP="1037B4F9" w14:paraId="6A62D83C" w14:textId="77777777">
            <w:pPr>
              <w:rPr>
                <w:rFonts w:ascii="Times New Roman" w:eastAsia="Times New Roman" w:hAnsi="Times New Roman" w:cs="Times New Roman"/>
                <w:b/>
                <w:bCs/>
              </w:rPr>
            </w:pPr>
            <w:r w:rsidRPr="5924DF5A">
              <w:rPr>
                <w:rFonts w:ascii="Times New Roman" w:eastAsia="Times New Roman" w:hAnsi="Times New Roman" w:cs="Times New Roman"/>
                <w:b/>
                <w:bCs/>
              </w:rPr>
              <w:t>Number </w:t>
            </w:r>
          </w:p>
        </w:tc>
      </w:tr>
      <w:tr w14:paraId="3BD8F4E2" w14:textId="77777777" w:rsidTr="5924DF5A">
        <w:tblPrEx>
          <w:tblW w:w="0" w:type="dxa"/>
          <w:tblCellMar>
            <w:left w:w="0" w:type="dxa"/>
            <w:right w:w="0" w:type="dxa"/>
          </w:tblCellMar>
          <w:tblLook w:val="04A0"/>
        </w:tblPrEx>
        <w:trPr>
          <w:trHeight w:val="300"/>
        </w:trPr>
        <w:tc>
          <w:tcPr>
            <w:tcW w:w="2730" w:type="dxa"/>
            <w:tcBorders>
              <w:top w:val="single" w:sz="6" w:space="0" w:color="auto"/>
              <w:left w:val="single" w:sz="6" w:space="0" w:color="auto"/>
              <w:bottom w:val="single" w:sz="6" w:space="0" w:color="auto"/>
              <w:right w:val="single" w:sz="6" w:space="0" w:color="auto"/>
            </w:tcBorders>
            <w:shd w:val="clear" w:color="auto" w:fill="auto"/>
            <w:hideMark/>
          </w:tcPr>
          <w:p w:rsidR="00C43D86" w:rsidRPr="00C43D86" w:rsidP="1037B4F9" w14:paraId="5A53E367" w14:textId="207577CF">
            <w:pPr>
              <w:pStyle w:val="NormalWeb"/>
            </w:pPr>
            <w:r>
              <w:t xml:space="preserve">Dr. </w:t>
            </w:r>
            <w:r w:rsidRPr="5924DF5A" w:rsidR="5924DF5A">
              <w:t>Ben</w:t>
            </w:r>
            <w:r w:rsidR="006C66A6">
              <w:t>jamin</w:t>
            </w:r>
            <w:r w:rsidRPr="5924DF5A" w:rsidR="5924DF5A">
              <w:t xml:space="preserve"> Rosner</w:t>
            </w:r>
          </w:p>
        </w:tc>
        <w:tc>
          <w:tcPr>
            <w:tcW w:w="2715" w:type="dxa"/>
            <w:tcBorders>
              <w:top w:val="single" w:sz="6" w:space="0" w:color="auto"/>
              <w:left w:val="single" w:sz="6" w:space="0" w:color="auto"/>
              <w:bottom w:val="single" w:sz="6" w:space="0" w:color="auto"/>
              <w:right w:val="single" w:sz="6" w:space="0" w:color="auto"/>
            </w:tcBorders>
            <w:shd w:val="clear" w:color="auto" w:fill="auto"/>
            <w:hideMark/>
          </w:tcPr>
          <w:p w:rsidR="00C43D86" w:rsidRPr="00C43D86" w:rsidP="1037B4F9" w14:paraId="5F47BEC2" w14:textId="457D85D9">
            <w:pPr>
              <w:pStyle w:val="NormalWeb"/>
            </w:pPr>
            <w:r w:rsidRPr="5924DF5A">
              <w:t>Benjamin.Rosner@ucsf.edu</w:t>
            </w:r>
          </w:p>
        </w:tc>
        <w:tc>
          <w:tcPr>
            <w:tcW w:w="2805" w:type="dxa"/>
            <w:tcBorders>
              <w:top w:val="single" w:sz="6" w:space="0" w:color="auto"/>
              <w:left w:val="single" w:sz="6" w:space="0" w:color="auto"/>
              <w:bottom w:val="single" w:sz="6" w:space="0" w:color="auto"/>
              <w:right w:val="single" w:sz="6" w:space="0" w:color="auto"/>
            </w:tcBorders>
            <w:shd w:val="clear" w:color="auto" w:fill="auto"/>
            <w:hideMark/>
          </w:tcPr>
          <w:p w:rsidR="00C43D86" w:rsidRPr="00C43D86" w:rsidP="1037B4F9" w14:paraId="5E6DF83C" w14:textId="4D1C8FE9">
            <w:pPr>
              <w:pStyle w:val="NormalWeb"/>
            </w:pPr>
            <w:r>
              <w:t xml:space="preserve"> 415 502-1371</w:t>
            </w:r>
          </w:p>
        </w:tc>
      </w:tr>
      <w:tr w14:paraId="22B56B9B" w14:textId="77777777" w:rsidTr="5924DF5A">
        <w:tblPrEx>
          <w:tblW w:w="0" w:type="dxa"/>
          <w:tblCellMar>
            <w:left w:w="0" w:type="dxa"/>
            <w:right w:w="0" w:type="dxa"/>
          </w:tblCellMar>
          <w:tblLook w:val="04A0"/>
        </w:tblPrEx>
        <w:trPr>
          <w:trHeight w:val="300"/>
        </w:trPr>
        <w:tc>
          <w:tcPr>
            <w:tcW w:w="2730" w:type="dxa"/>
            <w:tcBorders>
              <w:top w:val="single" w:sz="6" w:space="0" w:color="auto"/>
              <w:left w:val="single" w:sz="6" w:space="0" w:color="auto"/>
              <w:bottom w:val="single" w:sz="6" w:space="0" w:color="auto"/>
              <w:right w:val="single" w:sz="6" w:space="0" w:color="auto"/>
            </w:tcBorders>
            <w:shd w:val="clear" w:color="auto" w:fill="auto"/>
            <w:hideMark/>
          </w:tcPr>
          <w:p w:rsidR="00C43D86" w:rsidRPr="00C43D86" w:rsidP="1037B4F9" w14:paraId="0D3748D6" w14:textId="6804A94D">
            <w:pPr>
              <w:pStyle w:val="NormalWeb"/>
            </w:pPr>
            <w:r w:rsidRPr="5924DF5A">
              <w:t>Paige Welikson</w:t>
            </w:r>
          </w:p>
        </w:tc>
        <w:tc>
          <w:tcPr>
            <w:tcW w:w="2715" w:type="dxa"/>
            <w:tcBorders>
              <w:top w:val="single" w:sz="6" w:space="0" w:color="auto"/>
              <w:left w:val="single" w:sz="6" w:space="0" w:color="auto"/>
              <w:bottom w:val="single" w:sz="6" w:space="0" w:color="auto"/>
              <w:right w:val="single" w:sz="6" w:space="0" w:color="auto"/>
            </w:tcBorders>
            <w:shd w:val="clear" w:color="auto" w:fill="auto"/>
            <w:hideMark/>
          </w:tcPr>
          <w:p w:rsidR="00C43D86" w:rsidRPr="00C43D86" w:rsidP="1037B4F9" w14:paraId="1CF1FF34" w14:textId="45C657FC">
            <w:pPr>
              <w:pStyle w:val="NormalWeb"/>
            </w:pPr>
            <w:r w:rsidRPr="5924DF5A">
              <w:t>Paige.Welikson@ucsf.edu</w:t>
            </w:r>
          </w:p>
        </w:tc>
        <w:tc>
          <w:tcPr>
            <w:tcW w:w="2805" w:type="dxa"/>
            <w:tcBorders>
              <w:top w:val="single" w:sz="6" w:space="0" w:color="auto"/>
              <w:left w:val="single" w:sz="6" w:space="0" w:color="auto"/>
              <w:bottom w:val="single" w:sz="6" w:space="0" w:color="auto"/>
              <w:right w:val="single" w:sz="6" w:space="0" w:color="auto"/>
            </w:tcBorders>
            <w:shd w:val="clear" w:color="auto" w:fill="auto"/>
            <w:hideMark/>
          </w:tcPr>
          <w:p w:rsidR="00C43D86" w:rsidRPr="00C43D86" w:rsidP="1037B4F9" w14:paraId="0AD82FFB" w14:textId="470A8F82">
            <w:pPr>
              <w:pStyle w:val="NormalWeb"/>
            </w:pPr>
          </w:p>
        </w:tc>
      </w:tr>
    </w:tbl>
    <w:p w:rsidR="00D1010D" w14:paraId="01D2B4C8" w14:textId="77777777"/>
    <w:sectPr w:rsidSect="00EE6E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2362D56"/>
    <w:multiLevelType w:val="hybridMultilevel"/>
    <w:tmpl w:val="CEFA09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6675119"/>
    <w:multiLevelType w:val="multilevel"/>
    <w:tmpl w:val="F5926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8970C84"/>
    <w:multiLevelType w:val="multilevel"/>
    <w:tmpl w:val="C2805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DCD701B"/>
    <w:multiLevelType w:val="multilevel"/>
    <w:tmpl w:val="1486C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0B154FD"/>
    <w:multiLevelType w:val="hybridMultilevel"/>
    <w:tmpl w:val="4922F9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3C000D4"/>
    <w:multiLevelType w:val="hybridMultilevel"/>
    <w:tmpl w:val="716A75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EC37285"/>
    <w:multiLevelType w:val="hybridMultilevel"/>
    <w:tmpl w:val="3E746F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6BA1B56"/>
    <w:multiLevelType w:val="multilevel"/>
    <w:tmpl w:val="DA2EC27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nsid w:val="7C1915BD"/>
    <w:multiLevelType w:val="hybridMultilevel"/>
    <w:tmpl w:val="A33814FE"/>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92456019">
    <w:abstractNumId w:val="7"/>
  </w:num>
  <w:num w:numId="2" w16cid:durableId="1889873896">
    <w:abstractNumId w:val="2"/>
  </w:num>
  <w:num w:numId="3" w16cid:durableId="245462662">
    <w:abstractNumId w:val="3"/>
  </w:num>
  <w:num w:numId="4" w16cid:durableId="1424951895">
    <w:abstractNumId w:val="1"/>
  </w:num>
  <w:num w:numId="5" w16cid:durableId="1795365447">
    <w:abstractNumId w:val="4"/>
  </w:num>
  <w:num w:numId="6" w16cid:durableId="1681620702">
    <w:abstractNumId w:val="6"/>
  </w:num>
  <w:num w:numId="7" w16cid:durableId="2074085056">
    <w:abstractNumId w:val="0"/>
  </w:num>
  <w:num w:numId="8" w16cid:durableId="969626978">
    <w:abstractNumId w:val="5"/>
  </w:num>
  <w:num w:numId="9" w16cid:durableId="5929070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24107"/>
    <w:rsid w:val="00031705"/>
    <w:rsid w:val="0004331F"/>
    <w:rsid w:val="00045AEA"/>
    <w:rsid w:val="0005649E"/>
    <w:rsid w:val="000641DE"/>
    <w:rsid w:val="00074EEC"/>
    <w:rsid w:val="00090DE0"/>
    <w:rsid w:val="000A6F15"/>
    <w:rsid w:val="000B50D6"/>
    <w:rsid w:val="000D1A8E"/>
    <w:rsid w:val="0010011A"/>
    <w:rsid w:val="001067CC"/>
    <w:rsid w:val="00117426"/>
    <w:rsid w:val="001433E6"/>
    <w:rsid w:val="00147883"/>
    <w:rsid w:val="0019121A"/>
    <w:rsid w:val="001B437A"/>
    <w:rsid w:val="001C73A2"/>
    <w:rsid w:val="001D32A8"/>
    <w:rsid w:val="00206DF0"/>
    <w:rsid w:val="00221DEF"/>
    <w:rsid w:val="00227D6E"/>
    <w:rsid w:val="0023318B"/>
    <w:rsid w:val="00251A93"/>
    <w:rsid w:val="00262839"/>
    <w:rsid w:val="00275413"/>
    <w:rsid w:val="00283590"/>
    <w:rsid w:val="00287A03"/>
    <w:rsid w:val="00297CE5"/>
    <w:rsid w:val="002E2F62"/>
    <w:rsid w:val="002F622E"/>
    <w:rsid w:val="00303F90"/>
    <w:rsid w:val="00307FB7"/>
    <w:rsid w:val="00315CFF"/>
    <w:rsid w:val="003306E6"/>
    <w:rsid w:val="00334793"/>
    <w:rsid w:val="00334D4D"/>
    <w:rsid w:val="003544B0"/>
    <w:rsid w:val="003548D2"/>
    <w:rsid w:val="00376CC2"/>
    <w:rsid w:val="00380C43"/>
    <w:rsid w:val="0038282B"/>
    <w:rsid w:val="00387ECC"/>
    <w:rsid w:val="00396584"/>
    <w:rsid w:val="003A152B"/>
    <w:rsid w:val="003B0051"/>
    <w:rsid w:val="003B55F8"/>
    <w:rsid w:val="003B6857"/>
    <w:rsid w:val="003D59A8"/>
    <w:rsid w:val="003E1BA0"/>
    <w:rsid w:val="003E6309"/>
    <w:rsid w:val="00405E96"/>
    <w:rsid w:val="00412566"/>
    <w:rsid w:val="004558EE"/>
    <w:rsid w:val="0046012F"/>
    <w:rsid w:val="00464434"/>
    <w:rsid w:val="004A27CC"/>
    <w:rsid w:val="004A6467"/>
    <w:rsid w:val="004B1909"/>
    <w:rsid w:val="005013F6"/>
    <w:rsid w:val="00503E26"/>
    <w:rsid w:val="005110BB"/>
    <w:rsid w:val="0053145A"/>
    <w:rsid w:val="005343DE"/>
    <w:rsid w:val="00540463"/>
    <w:rsid w:val="00545019"/>
    <w:rsid w:val="00575813"/>
    <w:rsid w:val="0057705C"/>
    <w:rsid w:val="00577F02"/>
    <w:rsid w:val="00583CA4"/>
    <w:rsid w:val="005D7951"/>
    <w:rsid w:val="00621C46"/>
    <w:rsid w:val="00623683"/>
    <w:rsid w:val="00652816"/>
    <w:rsid w:val="00681969"/>
    <w:rsid w:val="006824D5"/>
    <w:rsid w:val="00683546"/>
    <w:rsid w:val="00685AF0"/>
    <w:rsid w:val="006A03C4"/>
    <w:rsid w:val="006A53E0"/>
    <w:rsid w:val="006B5FD5"/>
    <w:rsid w:val="006C66A6"/>
    <w:rsid w:val="006C7234"/>
    <w:rsid w:val="006C765F"/>
    <w:rsid w:val="006D3676"/>
    <w:rsid w:val="006D4363"/>
    <w:rsid w:val="006F46D7"/>
    <w:rsid w:val="006F60C7"/>
    <w:rsid w:val="006F74B1"/>
    <w:rsid w:val="00710959"/>
    <w:rsid w:val="007212FB"/>
    <w:rsid w:val="00721968"/>
    <w:rsid w:val="007277A9"/>
    <w:rsid w:val="00760307"/>
    <w:rsid w:val="007758C3"/>
    <w:rsid w:val="00777CA5"/>
    <w:rsid w:val="007941BC"/>
    <w:rsid w:val="007A08D7"/>
    <w:rsid w:val="007A44A1"/>
    <w:rsid w:val="007A4F67"/>
    <w:rsid w:val="007C33F4"/>
    <w:rsid w:val="007C6FBE"/>
    <w:rsid w:val="007D518E"/>
    <w:rsid w:val="007E5E44"/>
    <w:rsid w:val="0081421A"/>
    <w:rsid w:val="0083456E"/>
    <w:rsid w:val="0083555F"/>
    <w:rsid w:val="00846048"/>
    <w:rsid w:val="00864F9E"/>
    <w:rsid w:val="00875654"/>
    <w:rsid w:val="008776B8"/>
    <w:rsid w:val="008A7F83"/>
    <w:rsid w:val="008B65A0"/>
    <w:rsid w:val="008B66F2"/>
    <w:rsid w:val="008D4B6B"/>
    <w:rsid w:val="008E665D"/>
    <w:rsid w:val="008F5753"/>
    <w:rsid w:val="009027C1"/>
    <w:rsid w:val="009135C6"/>
    <w:rsid w:val="00930721"/>
    <w:rsid w:val="00937AEB"/>
    <w:rsid w:val="00942369"/>
    <w:rsid w:val="00945998"/>
    <w:rsid w:val="0096618C"/>
    <w:rsid w:val="00967AE8"/>
    <w:rsid w:val="009733CA"/>
    <w:rsid w:val="00977714"/>
    <w:rsid w:val="00994C6F"/>
    <w:rsid w:val="009C783E"/>
    <w:rsid w:val="009E766A"/>
    <w:rsid w:val="009F38EA"/>
    <w:rsid w:val="00A2158B"/>
    <w:rsid w:val="00A268B1"/>
    <w:rsid w:val="00A31C25"/>
    <w:rsid w:val="00A35CC8"/>
    <w:rsid w:val="00A375EF"/>
    <w:rsid w:val="00A87E24"/>
    <w:rsid w:val="00AA06A2"/>
    <w:rsid w:val="00AA22CB"/>
    <w:rsid w:val="00AA6B3C"/>
    <w:rsid w:val="00AB1959"/>
    <w:rsid w:val="00AF7357"/>
    <w:rsid w:val="00B04B77"/>
    <w:rsid w:val="00B15241"/>
    <w:rsid w:val="00B16ABC"/>
    <w:rsid w:val="00B40305"/>
    <w:rsid w:val="00B452CB"/>
    <w:rsid w:val="00B6363B"/>
    <w:rsid w:val="00B65DCE"/>
    <w:rsid w:val="00B77D3E"/>
    <w:rsid w:val="00B87132"/>
    <w:rsid w:val="00BD2D68"/>
    <w:rsid w:val="00BD6FBB"/>
    <w:rsid w:val="00BE180F"/>
    <w:rsid w:val="00BF5374"/>
    <w:rsid w:val="00C1309F"/>
    <w:rsid w:val="00C2051D"/>
    <w:rsid w:val="00C43D86"/>
    <w:rsid w:val="00C50189"/>
    <w:rsid w:val="00C53A50"/>
    <w:rsid w:val="00C61EFB"/>
    <w:rsid w:val="00C72241"/>
    <w:rsid w:val="00C86D1D"/>
    <w:rsid w:val="00CA1C63"/>
    <w:rsid w:val="00CC1E6F"/>
    <w:rsid w:val="00CD0908"/>
    <w:rsid w:val="00CD1A7F"/>
    <w:rsid w:val="00CD72B5"/>
    <w:rsid w:val="00D1010D"/>
    <w:rsid w:val="00D1049B"/>
    <w:rsid w:val="00D418D3"/>
    <w:rsid w:val="00D41AF2"/>
    <w:rsid w:val="00D83C26"/>
    <w:rsid w:val="00D84DB8"/>
    <w:rsid w:val="00DA227E"/>
    <w:rsid w:val="00DA3DA7"/>
    <w:rsid w:val="00DB64D8"/>
    <w:rsid w:val="00DD5B2F"/>
    <w:rsid w:val="00DF7573"/>
    <w:rsid w:val="00E1365C"/>
    <w:rsid w:val="00E15C42"/>
    <w:rsid w:val="00E177BF"/>
    <w:rsid w:val="00E330FB"/>
    <w:rsid w:val="00E504CE"/>
    <w:rsid w:val="00E5287E"/>
    <w:rsid w:val="00E62378"/>
    <w:rsid w:val="00E67126"/>
    <w:rsid w:val="00EA0B12"/>
    <w:rsid w:val="00EB4EF0"/>
    <w:rsid w:val="00EB55C0"/>
    <w:rsid w:val="00EB6860"/>
    <w:rsid w:val="00EC4AC4"/>
    <w:rsid w:val="00ED47D5"/>
    <w:rsid w:val="00EE6E42"/>
    <w:rsid w:val="00EF2F1F"/>
    <w:rsid w:val="00F0254E"/>
    <w:rsid w:val="00F640E2"/>
    <w:rsid w:val="00F8465E"/>
    <w:rsid w:val="00FA78C8"/>
    <w:rsid w:val="00FC6467"/>
    <w:rsid w:val="0CC54560"/>
    <w:rsid w:val="1037B4F9"/>
    <w:rsid w:val="13B8A472"/>
    <w:rsid w:val="142CDA45"/>
    <w:rsid w:val="1ACE46DC"/>
    <w:rsid w:val="1B3F5D4C"/>
    <w:rsid w:val="2771B129"/>
    <w:rsid w:val="31E486AB"/>
    <w:rsid w:val="36A5585F"/>
    <w:rsid w:val="3DB56009"/>
    <w:rsid w:val="3F846100"/>
    <w:rsid w:val="43B2F828"/>
    <w:rsid w:val="45B8EF62"/>
    <w:rsid w:val="4606A901"/>
    <w:rsid w:val="4E418DF1"/>
    <w:rsid w:val="519707EA"/>
    <w:rsid w:val="53E63900"/>
    <w:rsid w:val="55CC8841"/>
    <w:rsid w:val="5924DF5A"/>
    <w:rsid w:val="5ACA054F"/>
    <w:rsid w:val="68D9018B"/>
    <w:rsid w:val="74551469"/>
    <w:rsid w:val="7CDD0BAE"/>
    <w:rsid w:val="7EFF2975"/>
    <w:rsid w:val="7FC376D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309F"/>
  </w:style>
  <w:style w:type="paragraph" w:styleId="Heading3">
    <w:name w:val="heading 3"/>
    <w:basedOn w:val="Normal"/>
    <w:link w:val="Heading3Char"/>
    <w:uiPriority w:val="9"/>
    <w:qFormat/>
    <w:rsid w:val="004558EE"/>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58EE"/>
    <w:pPr>
      <w:spacing w:before="100" w:beforeAutospacing="1" w:after="100" w:afterAutospacing="1"/>
    </w:pPr>
    <w:rPr>
      <w:rFonts w:ascii="Times New Roman" w:eastAsia="Times New Roman" w:hAnsi="Times New Roman" w:cs="Times New Roman"/>
    </w:rPr>
  </w:style>
  <w:style w:type="character" w:customStyle="1" w:styleId="Heading3Char">
    <w:name w:val="Heading 3 Char"/>
    <w:basedOn w:val="DefaultParagraphFont"/>
    <w:link w:val="Heading3"/>
    <w:uiPriority w:val="9"/>
    <w:rsid w:val="004558EE"/>
    <w:rPr>
      <w:rFonts w:ascii="Times New Roman" w:eastAsia="Times New Roman" w:hAnsi="Times New Roman" w:cs="Times New Roman"/>
      <w:b/>
      <w:bCs/>
      <w:sz w:val="27"/>
      <w:szCs w:val="27"/>
    </w:rPr>
  </w:style>
  <w:style w:type="character" w:styleId="Strong">
    <w:name w:val="Strong"/>
    <w:basedOn w:val="DefaultParagraphFont"/>
    <w:uiPriority w:val="22"/>
    <w:qFormat/>
    <w:rsid w:val="004558EE"/>
    <w:rPr>
      <w:b/>
      <w:bCs/>
    </w:rPr>
  </w:style>
  <w:style w:type="character" w:styleId="CommentReference">
    <w:name w:val="annotation reference"/>
    <w:basedOn w:val="DefaultParagraphFont"/>
    <w:uiPriority w:val="99"/>
    <w:semiHidden/>
    <w:unhideWhenUsed/>
    <w:rsid w:val="004558EE"/>
    <w:rPr>
      <w:sz w:val="16"/>
      <w:szCs w:val="16"/>
    </w:rPr>
  </w:style>
  <w:style w:type="paragraph" w:styleId="CommentText">
    <w:name w:val="annotation text"/>
    <w:basedOn w:val="Normal"/>
    <w:link w:val="CommentTextChar"/>
    <w:uiPriority w:val="99"/>
    <w:unhideWhenUsed/>
    <w:rsid w:val="004558EE"/>
    <w:rPr>
      <w:sz w:val="20"/>
      <w:szCs w:val="20"/>
    </w:rPr>
  </w:style>
  <w:style w:type="character" w:customStyle="1" w:styleId="CommentTextChar">
    <w:name w:val="Comment Text Char"/>
    <w:basedOn w:val="DefaultParagraphFont"/>
    <w:link w:val="CommentText"/>
    <w:uiPriority w:val="99"/>
    <w:rsid w:val="004558EE"/>
    <w:rPr>
      <w:sz w:val="20"/>
      <w:szCs w:val="20"/>
    </w:rPr>
  </w:style>
  <w:style w:type="paragraph" w:styleId="CommentSubject">
    <w:name w:val="annotation subject"/>
    <w:basedOn w:val="CommentText"/>
    <w:next w:val="CommentText"/>
    <w:link w:val="CommentSubjectChar"/>
    <w:uiPriority w:val="99"/>
    <w:semiHidden/>
    <w:unhideWhenUsed/>
    <w:rsid w:val="004558EE"/>
    <w:rPr>
      <w:b/>
      <w:bCs/>
    </w:rPr>
  </w:style>
  <w:style w:type="character" w:customStyle="1" w:styleId="CommentSubjectChar">
    <w:name w:val="Comment Subject Char"/>
    <w:basedOn w:val="CommentTextChar"/>
    <w:link w:val="CommentSubject"/>
    <w:uiPriority w:val="99"/>
    <w:semiHidden/>
    <w:rsid w:val="004558EE"/>
    <w:rPr>
      <w:b/>
      <w:bCs/>
      <w:sz w:val="20"/>
      <w:szCs w:val="20"/>
    </w:rPr>
  </w:style>
  <w:style w:type="paragraph" w:styleId="ListParagraph">
    <w:name w:val="List Paragraph"/>
    <w:basedOn w:val="Normal"/>
    <w:uiPriority w:val="34"/>
    <w:qFormat/>
    <w:rsid w:val="00117426"/>
    <w:pPr>
      <w:ind w:left="720"/>
      <w:contextualSpacing/>
    </w:pPr>
  </w:style>
  <w:style w:type="paragraph" w:styleId="Revision">
    <w:name w:val="Revision"/>
    <w:hidden/>
    <w:uiPriority w:val="99"/>
    <w:semiHidden/>
    <w:rsid w:val="008B65A0"/>
  </w:style>
  <w:style w:type="character" w:customStyle="1" w:styleId="sr-only">
    <w:name w:val="sr-only"/>
    <w:basedOn w:val="DefaultParagraphFont"/>
    <w:rsid w:val="00412566"/>
  </w:style>
  <w:style w:type="character" w:styleId="Hyperlink">
    <w:name w:val="Hyperlink"/>
    <w:basedOn w:val="DefaultParagraphFont"/>
    <w:uiPriority w:val="99"/>
    <w:unhideWhenUsed/>
    <w:rsid w:val="00503E26"/>
    <w:rPr>
      <w:color w:val="0563C1" w:themeColor="hyperlink"/>
      <w:u w:val="single"/>
    </w:rPr>
  </w:style>
  <w:style w:type="character" w:styleId="UnresolvedMention">
    <w:name w:val="Unresolved Mention"/>
    <w:basedOn w:val="DefaultParagraphFont"/>
    <w:uiPriority w:val="99"/>
    <w:rsid w:val="00503E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pubmed.ncbi.nlm.nih.gov/38281124/" TargetMode="External" /><Relationship Id="rId9" Type="http://schemas.openxmlformats.org/officeDocument/2006/relationships/hyperlink" Target="https://www.cbinsights.com/research/digital-health-startups-redefining-healthcare-202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5643846A05B84ABF722AB3BBC462CE" ma:contentTypeVersion="16" ma:contentTypeDescription="Create a new document." ma:contentTypeScope="" ma:versionID="b8a759d53e7ddbb84376dd569eb2918c">
  <xsd:schema xmlns:xsd="http://www.w3.org/2001/XMLSchema" xmlns:xs="http://www.w3.org/2001/XMLSchema" xmlns:p="http://schemas.microsoft.com/office/2006/metadata/properties" xmlns:ns2="ea7e1651-3ea7-4b9a-8f34-2c98bb20b73c" xmlns:ns3="c7f76adb-85d5-447a-b690-6df47ddd8555" targetNamespace="http://schemas.microsoft.com/office/2006/metadata/properties" ma:root="true" ma:fieldsID="c1660d963dc35320a98f99201289a847" ns2:_="" ns3:_="">
    <xsd:import namespace="ea7e1651-3ea7-4b9a-8f34-2c98bb20b73c"/>
    <xsd:import namespace="c7f76adb-85d5-447a-b690-6df47ddd85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e1651-3ea7-4b9a-8f34-2c98bb20b7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f76adb-85d5-447a-b690-6df47ddd855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8c576be-a477-4722-b1ea-341e37a60a2a}" ma:internalName="TaxCatchAll" ma:showField="CatchAllData" ma:web="c7f76adb-85d5-447a-b690-6df47ddd85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7e1651-3ea7-4b9a-8f34-2c98bb20b73c">
      <Terms xmlns="http://schemas.microsoft.com/office/infopath/2007/PartnerControls"/>
    </lcf76f155ced4ddcb4097134ff3c332f>
    <TaxCatchAll xmlns="c7f76adb-85d5-447a-b690-6df47ddd855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8F9C9-0D02-48CF-BE08-D1037FAA6A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e1651-3ea7-4b9a-8f34-2c98bb20b73c"/>
    <ds:schemaRef ds:uri="c7f76adb-85d5-447a-b690-6df47ddd85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AF1CFE-BF15-4E4B-832E-93E15E35A523}">
  <ds:schemaRefs>
    <ds:schemaRef ds:uri="http://schemas.microsoft.com/sharepoint/v3/contenttype/forms"/>
  </ds:schemaRefs>
</ds:datastoreItem>
</file>

<file path=customXml/itemProps3.xml><?xml version="1.0" encoding="utf-8"?>
<ds:datastoreItem xmlns:ds="http://schemas.openxmlformats.org/officeDocument/2006/customXml" ds:itemID="{882AD9EB-27C8-4120-A44B-F513AF2818DA}">
  <ds:schemaRefs>
    <ds:schemaRef ds:uri="http://purl.org/dc/terms/"/>
    <ds:schemaRef ds:uri="http://www.w3.org/XML/1998/namespace"/>
    <ds:schemaRef ds:uri="ea7e1651-3ea7-4b9a-8f34-2c98bb20b73c"/>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c7f76adb-85d5-447a-b690-6df47ddd8555"/>
    <ds:schemaRef ds:uri="http://purl.org/dc/dcmitype/"/>
  </ds:schemaRefs>
</ds:datastoreItem>
</file>

<file path=customXml/itemProps4.xml><?xml version="1.0" encoding="utf-8"?>
<ds:datastoreItem xmlns:ds="http://schemas.openxmlformats.org/officeDocument/2006/customXml" ds:itemID="{2A2FE951-98E1-7B45-A706-AC454BF47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2023</Words>
  <Characters>10889</Characters>
  <Application>Microsoft Office Word</Application>
  <DocSecurity>0</DocSecurity>
  <Lines>453</Lines>
  <Paragraphs>130</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12782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Kilgore, Wendy (OS/ASTP)</cp:lastModifiedBy>
  <cp:revision>2</cp:revision>
  <dcterms:created xsi:type="dcterms:W3CDTF">2025-08-13T19:44:00Z</dcterms:created>
  <dcterms:modified xsi:type="dcterms:W3CDTF">2025-08-13T19:44:00Z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0x0101002E5643846A05B84ABF722AB3BBC462CE</vt:lpwstr>
  </property>
  <property fmtid="{D5CDD505-2E9C-101B-9397-08002B2CF9AE}" pid="3" name="MediaServiceImageTags">
    <vt:lpwstr/>
  </property>
</Properties>
</file>