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2C4F75" w:rsidP="008F570D" w14:paraId="2D2824CA" w14:textId="79E3DC5D">
      <w:pPr>
        <w:pStyle w:val="ReportCover-Title"/>
        <w:jc w:val="center"/>
        <w:rPr>
          <w:rFonts w:ascii="Arial" w:hAnsi="Arial" w:cs="Arial"/>
          <w:color w:val="auto"/>
        </w:rPr>
      </w:pPr>
      <w:r>
        <w:rPr>
          <w:rFonts w:ascii="Arial" w:eastAsia="Arial Unicode MS" w:hAnsi="Arial" w:cs="Arial"/>
          <w:noProof/>
          <w:color w:val="auto"/>
        </w:rPr>
        <w:t>Matching Grant/Preferred Communities Subrecipient Survey</w:t>
      </w:r>
    </w:p>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8F570D" w14:paraId="153EDE13" w14:textId="17C39832">
      <w:pPr>
        <w:pStyle w:val="ReportCover-Date"/>
        <w:jc w:val="center"/>
        <w:rPr>
          <w:rFonts w:ascii="Arial" w:hAnsi="Arial" w:cs="Arial"/>
          <w:color w:val="auto"/>
        </w:rPr>
      </w:pPr>
      <w:r>
        <w:rPr>
          <w:rFonts w:ascii="Arial" w:hAnsi="Arial" w:cs="Arial"/>
          <w:color w:val="auto"/>
        </w:rPr>
        <w:t>April 2026</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59A7B36C">
      <w:pPr>
        <w:jc w:val="center"/>
        <w:rPr>
          <w:rFonts w:ascii="Arial" w:hAnsi="Arial" w:cs="Arial"/>
        </w:rPr>
      </w:pPr>
      <w:r>
        <w:rPr>
          <w:rFonts w:ascii="Arial" w:hAnsi="Arial" w:cs="Arial"/>
        </w:rPr>
        <w:t>Office of Refugee Resettlement</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D30275" w:rsidP="008F570D" w14:paraId="3C0B5244" w14:textId="77777777">
      <w:pPr>
        <w:spacing w:after="120"/>
        <w:rPr>
          <w:b/>
        </w:rPr>
      </w:pPr>
    </w:p>
    <w:p w:rsidR="00D30275" w:rsidP="008F570D" w14:paraId="08BAD497" w14:textId="77777777">
      <w:pPr>
        <w:spacing w:after="120"/>
        <w:rPr>
          <w:b/>
        </w:rPr>
      </w:pPr>
    </w:p>
    <w:p w:rsidR="008F570D" w:rsidP="008F570D" w14:paraId="4497812F" w14:textId="77777777">
      <w:pPr>
        <w:spacing w:after="120"/>
        <w:rPr>
          <w:b/>
        </w:rPr>
      </w:pPr>
    </w:p>
    <w:p w:rsidR="00A6398A" w:rsidP="008F570D" w14:paraId="0545D4C2" w14:textId="77777777">
      <w:pPr>
        <w:spacing w:after="120"/>
        <w:rPr>
          <w:b/>
        </w:rPr>
      </w:pPr>
    </w:p>
    <w:p w:rsidR="00945CD6" w:rsidRPr="000D53DF" w:rsidP="4AE5982E" w14:paraId="63932BF7" w14:textId="3B3CEA54">
      <w:pPr>
        <w:spacing w:after="120"/>
        <w:rPr>
          <w:b/>
          <w:bCs/>
        </w:rPr>
      </w:pPr>
      <w:r w:rsidRPr="4AE5982E">
        <w:rPr>
          <w:b/>
          <w:bCs/>
        </w:rPr>
        <w:t xml:space="preserve">A1. </w:t>
      </w:r>
      <w:r w:rsidRPr="4AE5982E">
        <w:rPr>
          <w:b/>
          <w:bCs/>
        </w:rPr>
        <w:t xml:space="preserve">Necessity for </w:t>
      </w:r>
      <w:r w:rsidRPr="4AE5982E">
        <w:rPr>
          <w:b/>
          <w:bCs/>
        </w:rPr>
        <w:t>the Data</w:t>
      </w:r>
      <w:r w:rsidRPr="4AE5982E">
        <w:rPr>
          <w:b/>
          <w:bCs/>
        </w:rPr>
        <w:t xml:space="preserve"> Collection</w:t>
      </w:r>
    </w:p>
    <w:p w:rsidR="00984CA2" w:rsidRPr="008F570D" w:rsidP="4AE5982E" w14:paraId="516D2FC4" w14:textId="1E7A8BAC">
      <w:r w:rsidRPr="4AE5982E">
        <w:t>The Administration for Children and Families (ACF) at the U.S. Department of Health and Human Services (HHS) seeks approval for</w:t>
      </w:r>
      <w:r w:rsidR="00A6398A">
        <w:t xml:space="preserve"> a survey </w:t>
      </w:r>
      <w:r w:rsidR="00D30275">
        <w:t>to</w:t>
      </w:r>
      <w:r w:rsidRPr="00D30275" w:rsidR="00D30275">
        <w:t xml:space="preserve"> gather feedback from </w:t>
      </w:r>
      <w:r w:rsidR="00A6398A">
        <w:t>Matching Grant (MG) and Preferred Communities (PC) subrecipients to</w:t>
      </w:r>
      <w:r w:rsidR="00D30275">
        <w:t xml:space="preserve"> inform the </w:t>
      </w:r>
      <w:r w:rsidRPr="00EA3EE7" w:rsidR="00D30275">
        <w:t>Office of Refugee Resettlement</w:t>
      </w:r>
      <w:r w:rsidR="00D30275">
        <w:t>’s</w:t>
      </w:r>
      <w:r w:rsidRPr="00EA3EE7" w:rsidR="00D30275">
        <w:t xml:space="preserve"> (ORR) monitoring, training, and technical assistance</w:t>
      </w:r>
      <w:r w:rsidR="00D30275">
        <w:t xml:space="preserve">. </w:t>
      </w:r>
    </w:p>
    <w:p w:rsidR="00984BBF" w:rsidRPr="00984BBF" w:rsidP="4AE5982E" w14:paraId="32F118BE" w14:textId="77777777">
      <w:pPr>
        <w:rPr>
          <w:highlight w:val="yellow"/>
        </w:rPr>
      </w:pPr>
    </w:p>
    <w:p w:rsidR="00984CA2" w:rsidRPr="00177982" w:rsidP="00C06FE3" w14:paraId="34493FD2" w14:textId="12B76B19">
      <w:pPr>
        <w:pStyle w:val="Heading4"/>
        <w:tabs>
          <w:tab w:val="num" w:pos="180"/>
        </w:tabs>
        <w:spacing w:before="0" w:line="264" w:lineRule="auto"/>
        <w:rPr>
          <w:rFonts w:ascii="Times New Roman" w:hAnsi="Times New Roman"/>
          <w:i/>
          <w:iCs/>
          <w:sz w:val="24"/>
          <w:szCs w:val="24"/>
        </w:rPr>
      </w:pPr>
      <w:r w:rsidRPr="4AE5982E">
        <w:rPr>
          <w:rFonts w:ascii="Times New Roman" w:hAnsi="Times New Roman"/>
          <w:i/>
          <w:iCs/>
          <w:sz w:val="24"/>
          <w:szCs w:val="24"/>
        </w:rPr>
        <w:t xml:space="preserve">Background </w:t>
      </w:r>
    </w:p>
    <w:p w:rsidR="008F570D" w:rsidRPr="00EA3EE7" w:rsidP="00C06FE3" w14:paraId="0CBB58A8" w14:textId="781B6281">
      <w:pPr>
        <w:pStyle w:val="Heading4"/>
        <w:tabs>
          <w:tab w:val="num" w:pos="180"/>
        </w:tabs>
        <w:spacing w:before="0" w:after="0" w:line="264" w:lineRule="auto"/>
        <w:rPr>
          <w:rFonts w:ascii="Times New Roman" w:hAnsi="Times New Roman"/>
          <w:b w:val="0"/>
          <w:bCs w:val="0"/>
          <w:sz w:val="24"/>
          <w:szCs w:val="24"/>
        </w:rPr>
      </w:pPr>
      <w:r w:rsidRPr="00EA3EE7">
        <w:rPr>
          <w:rFonts w:ascii="Times New Roman" w:hAnsi="Times New Roman"/>
          <w:b w:val="0"/>
          <w:bCs w:val="0"/>
          <w:sz w:val="24"/>
          <w:szCs w:val="24"/>
        </w:rPr>
        <w:t xml:space="preserve">ORR seeks to ensure its </w:t>
      </w:r>
      <w:r>
        <w:rPr>
          <w:rFonts w:ascii="Times New Roman" w:hAnsi="Times New Roman"/>
          <w:b w:val="0"/>
          <w:bCs w:val="0"/>
          <w:sz w:val="24"/>
          <w:szCs w:val="24"/>
        </w:rPr>
        <w:t xml:space="preserve">PC and MG </w:t>
      </w:r>
      <w:r w:rsidR="00250596">
        <w:rPr>
          <w:rFonts w:ascii="Times New Roman" w:hAnsi="Times New Roman"/>
          <w:b w:val="0"/>
          <w:bCs w:val="0"/>
          <w:sz w:val="24"/>
          <w:szCs w:val="24"/>
        </w:rPr>
        <w:t>recipients</w:t>
      </w:r>
      <w:r w:rsidRPr="00EA3EE7">
        <w:rPr>
          <w:rFonts w:ascii="Times New Roman" w:hAnsi="Times New Roman"/>
          <w:b w:val="0"/>
          <w:bCs w:val="0"/>
          <w:sz w:val="24"/>
          <w:szCs w:val="24"/>
        </w:rPr>
        <w:t xml:space="preserve">, national resettlement agencies, comply with program requirements. As part of this effort, ORR’s refugee monitoring team </w:t>
      </w:r>
      <w:r w:rsidR="00D30275">
        <w:rPr>
          <w:rFonts w:ascii="Times New Roman" w:hAnsi="Times New Roman"/>
          <w:b w:val="0"/>
          <w:bCs w:val="0"/>
          <w:sz w:val="24"/>
          <w:szCs w:val="24"/>
        </w:rPr>
        <w:t>has designed a short survey for</w:t>
      </w:r>
      <w:r w:rsidRPr="00EA3EE7">
        <w:rPr>
          <w:rFonts w:ascii="Times New Roman" w:hAnsi="Times New Roman"/>
          <w:b w:val="0"/>
          <w:bCs w:val="0"/>
          <w:sz w:val="24"/>
          <w:szCs w:val="24"/>
        </w:rPr>
        <w:t xml:space="preserve"> </w:t>
      </w:r>
      <w:r w:rsidR="00250596">
        <w:rPr>
          <w:rFonts w:ascii="Times New Roman" w:hAnsi="Times New Roman"/>
          <w:b w:val="0"/>
          <w:bCs w:val="0"/>
          <w:sz w:val="24"/>
          <w:szCs w:val="24"/>
        </w:rPr>
        <w:t xml:space="preserve">MG and </w:t>
      </w:r>
      <w:r w:rsidRPr="00EA3EE7">
        <w:rPr>
          <w:rFonts w:ascii="Times New Roman" w:hAnsi="Times New Roman"/>
          <w:b w:val="0"/>
          <w:bCs w:val="0"/>
          <w:sz w:val="24"/>
          <w:szCs w:val="24"/>
        </w:rPr>
        <w:t xml:space="preserve">PC Program </w:t>
      </w:r>
      <w:r w:rsidR="00250596">
        <w:rPr>
          <w:rFonts w:ascii="Times New Roman" w:hAnsi="Times New Roman"/>
          <w:b w:val="0"/>
          <w:bCs w:val="0"/>
          <w:sz w:val="24"/>
          <w:szCs w:val="24"/>
        </w:rPr>
        <w:t>subrecipients</w:t>
      </w:r>
      <w:r w:rsidR="000C02DC">
        <w:rPr>
          <w:rFonts w:ascii="Times New Roman" w:hAnsi="Times New Roman"/>
          <w:b w:val="0"/>
          <w:bCs w:val="0"/>
          <w:sz w:val="24"/>
          <w:szCs w:val="24"/>
        </w:rPr>
        <w:t xml:space="preserve"> to understand the oversight and guidance local offices receive from </w:t>
      </w:r>
      <w:r w:rsidRPr="00EA3EE7" w:rsidR="000C02DC">
        <w:rPr>
          <w:rFonts w:ascii="Times New Roman" w:hAnsi="Times New Roman"/>
          <w:b w:val="0"/>
          <w:bCs w:val="0"/>
          <w:sz w:val="24"/>
          <w:szCs w:val="24"/>
        </w:rPr>
        <w:t>national resettlement agency headquarters</w:t>
      </w:r>
      <w:r w:rsidR="000C02DC">
        <w:rPr>
          <w:rFonts w:ascii="Times New Roman" w:hAnsi="Times New Roman"/>
          <w:b w:val="0"/>
          <w:bCs w:val="0"/>
          <w:sz w:val="24"/>
          <w:szCs w:val="24"/>
        </w:rPr>
        <w:t xml:space="preserve">. The survey focuses on </w:t>
      </w:r>
      <w:r w:rsidRPr="00EA3EE7" w:rsidR="000C02DC">
        <w:rPr>
          <w:rFonts w:ascii="Times New Roman" w:hAnsi="Times New Roman"/>
          <w:b w:val="0"/>
          <w:bCs w:val="0"/>
          <w:sz w:val="24"/>
          <w:szCs w:val="24"/>
        </w:rPr>
        <w:t>monitoring, training, and technical assistance</w:t>
      </w:r>
      <w:r w:rsidR="000C02DC">
        <w:rPr>
          <w:rFonts w:ascii="Times New Roman" w:hAnsi="Times New Roman"/>
          <w:b w:val="0"/>
          <w:bCs w:val="0"/>
          <w:sz w:val="24"/>
          <w:szCs w:val="24"/>
        </w:rPr>
        <w:t xml:space="preserve"> provided by</w:t>
      </w:r>
      <w:r w:rsidR="00C06FE3">
        <w:rPr>
          <w:rFonts w:ascii="Times New Roman" w:hAnsi="Times New Roman"/>
          <w:b w:val="0"/>
          <w:bCs w:val="0"/>
          <w:sz w:val="24"/>
          <w:szCs w:val="24"/>
        </w:rPr>
        <w:t xml:space="preserve"> </w:t>
      </w:r>
      <w:r w:rsidRPr="00EA3EE7">
        <w:rPr>
          <w:rFonts w:ascii="Times New Roman" w:hAnsi="Times New Roman"/>
          <w:b w:val="0"/>
          <w:bCs w:val="0"/>
          <w:sz w:val="24"/>
          <w:szCs w:val="24"/>
        </w:rPr>
        <w:t>national resettlement agency headquarters</w:t>
      </w:r>
      <w:r w:rsidR="00250596">
        <w:rPr>
          <w:rFonts w:ascii="Times New Roman" w:hAnsi="Times New Roman"/>
          <w:b w:val="0"/>
          <w:bCs w:val="0"/>
          <w:sz w:val="24"/>
          <w:szCs w:val="24"/>
        </w:rPr>
        <w:t>. This data collection will inform ORR’s recipient monitoring reviews, scheduled for FY 2026.</w:t>
      </w:r>
    </w:p>
    <w:p w:rsidR="008F570D" w:rsidP="00C06FE3" w14:paraId="10A288D7" w14:textId="77777777">
      <w:pPr>
        <w:pStyle w:val="Heading4"/>
        <w:tabs>
          <w:tab w:val="num" w:pos="180"/>
        </w:tabs>
        <w:spacing w:before="0" w:after="0" w:line="264" w:lineRule="auto"/>
        <w:rPr>
          <w:rFonts w:ascii="Times New Roman" w:hAnsi="Times New Roman"/>
          <w:i/>
          <w:iCs/>
          <w:sz w:val="24"/>
          <w:szCs w:val="24"/>
        </w:rPr>
      </w:pPr>
    </w:p>
    <w:p w:rsidR="00984CA2" w:rsidRPr="00177982" w:rsidP="00C06FE3" w14:paraId="742B4ABD" w14:textId="0A44E8C5">
      <w:pPr>
        <w:pStyle w:val="Heading4"/>
        <w:numPr>
          <w:ilvl w:val="3"/>
          <w:numId w:val="0"/>
        </w:numPr>
        <w:tabs>
          <w:tab w:val="num" w:pos="180"/>
        </w:tabs>
        <w:spacing w:before="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EA12DE" w:rsidRPr="00250596" w:rsidP="4AE5982E" w14:paraId="3BDF35B0" w14:textId="77777777">
      <w:r w:rsidRPr="00250596">
        <w:t>There are no legal or administrative requirements that necessitate the collection. ACF is undertaking the collection at the discretion of the agency.</w:t>
      </w:r>
    </w:p>
    <w:p w:rsidR="0020382F" w:rsidP="4AE5982E" w14:paraId="7D1B72AE" w14:textId="77777777"/>
    <w:p w:rsidR="00945CD6" w:rsidRPr="0072204D" w:rsidP="4AE5982E" w14:paraId="617B0354" w14:textId="77777777">
      <w:pPr>
        <w:spacing w:after="120"/>
        <w:rPr>
          <w:b/>
          <w:bCs/>
        </w:rPr>
      </w:pPr>
      <w:r w:rsidRPr="4AE5982E">
        <w:rPr>
          <w:b/>
          <w:bCs/>
        </w:rPr>
        <w:t xml:space="preserve">A2. </w:t>
      </w:r>
      <w:r w:rsidRPr="4AE5982E">
        <w:rPr>
          <w:b/>
          <w:bCs/>
        </w:rPr>
        <w:t>Purpose of Survey and Data Collection Procedures</w:t>
      </w:r>
    </w:p>
    <w:p w:rsidR="008F570D" w:rsidP="4AE5982E" w14:paraId="24636DF8" w14:textId="77777777">
      <w:pPr>
        <w:spacing w:after="60"/>
        <w:rPr>
          <w:b/>
          <w:bCs/>
          <w:i/>
          <w:iCs/>
        </w:rPr>
      </w:pPr>
      <w:r w:rsidRPr="4AE5982E">
        <w:rPr>
          <w:b/>
          <w:bCs/>
          <w:i/>
          <w:iCs/>
        </w:rPr>
        <w:t xml:space="preserve">Overview of Purpose and </w:t>
      </w:r>
      <w:r w:rsidRPr="4AE5982E">
        <w:rPr>
          <w:b/>
          <w:bCs/>
          <w:i/>
          <w:iCs/>
        </w:rPr>
        <w:t>Use</w:t>
      </w:r>
    </w:p>
    <w:p w:rsidR="008F570D" w:rsidRPr="000F25D4" w:rsidP="00C06FE3" w14:paraId="320194E8" w14:textId="1A0F649F">
      <w:r w:rsidRPr="000C02DC">
        <w:t>The purpose of the surveys is to understand local MG and PC program’s experiences with the national resettlement agency headquarters’ monitoring, training, and technical assistance.</w:t>
      </w:r>
      <w:r>
        <w:t xml:space="preserve"> </w:t>
      </w:r>
      <w:r w:rsidR="00DA0B18">
        <w:t>The information from this data collection will be used to inform ORR’s monitoring reviews of recipient headquarters, scheduled to take place in Q3 of FY 2026</w:t>
      </w:r>
      <w:r w:rsidR="00D75259">
        <w:t xml:space="preserve"> by providing monitoring and compliance experts insight into how recipients support MG and PC subrecipients</w:t>
      </w:r>
      <w:r w:rsidR="00DA0B18">
        <w:t xml:space="preserve">. </w:t>
      </w:r>
    </w:p>
    <w:p w:rsidR="000F25D4" w:rsidP="00C06FE3" w14:paraId="64693F04" w14:textId="77777777">
      <w:pPr>
        <w:rPr>
          <w:b/>
          <w:bCs/>
          <w:i/>
          <w:iCs/>
        </w:rPr>
      </w:pPr>
    </w:p>
    <w:p w:rsidR="00D964BC" w:rsidRPr="008F570D" w:rsidP="00C06FE3" w14:paraId="6F5CF4FF" w14:textId="77777777">
      <w:pPr>
        <w:pStyle w:val="Heading4"/>
        <w:tabs>
          <w:tab w:val="num" w:pos="180"/>
        </w:tabs>
        <w:spacing w:before="0" w:line="264" w:lineRule="auto"/>
        <w:rPr>
          <w:rFonts w:ascii="Times New Roman" w:hAnsi="Times New Roman"/>
          <w:b w:val="0"/>
          <w:bCs w:val="0"/>
          <w:sz w:val="24"/>
          <w:szCs w:val="24"/>
        </w:rPr>
      </w:pPr>
      <w:r w:rsidRPr="4AE5982E">
        <w:rPr>
          <w:rFonts w:ascii="Times New Roman" w:hAnsi="Times New Roman"/>
          <w:b w:val="0"/>
          <w:bCs w:val="0"/>
          <w:sz w:val="24"/>
          <w:szCs w:val="24"/>
        </w:rPr>
        <w:t xml:space="preserve">This proposed information collection meets the following goals of ACF’s generic clearance for formative data collections for program support (0970-0531): </w:t>
      </w:r>
    </w:p>
    <w:p w:rsidR="000C02DC" w:rsidP="007541C3" w14:paraId="3D802136" w14:textId="2F7C205C">
      <w:pPr>
        <w:pStyle w:val="ListParagraph"/>
        <w:numPr>
          <w:ilvl w:val="0"/>
          <w:numId w:val="1"/>
        </w:numPr>
        <w:ind w:left="720"/>
        <w:rPr>
          <w:color w:val="000000" w:themeColor="text1"/>
          <w:sz w:val="24"/>
          <w:szCs w:val="24"/>
        </w:rPr>
      </w:pPr>
      <w:r w:rsidRPr="000C02DC">
        <w:rPr>
          <w:color w:val="000000" w:themeColor="text1"/>
          <w:sz w:val="24"/>
          <w:szCs w:val="24"/>
        </w:rPr>
        <w:t xml:space="preserve">Obtaining feedback about processes and/or practices to inform ACF program support.  </w:t>
      </w:r>
    </w:p>
    <w:p w:rsidR="008F570D" w:rsidP="00C06FE3" w14:paraId="75C799A6" w14:textId="7403B115">
      <w:pPr>
        <w:rPr>
          <w:b/>
          <w:bCs/>
          <w:i/>
          <w:iCs/>
        </w:rPr>
      </w:pPr>
    </w:p>
    <w:p w:rsidR="00984CA2" w:rsidRPr="00177982" w:rsidP="4AE5982E" w14:paraId="473B9418" w14:textId="38A9E22B">
      <w:pPr>
        <w:spacing w:after="60"/>
        <w:rPr>
          <w:b/>
          <w:bCs/>
          <w:i/>
          <w:iCs/>
        </w:rPr>
      </w:pPr>
      <w:r w:rsidRPr="4AE5982E">
        <w:rPr>
          <w:b/>
          <w:bCs/>
          <w:i/>
          <w:iCs/>
        </w:rPr>
        <w:t>Process</w:t>
      </w:r>
      <w:r w:rsidRPr="4AE5982E" w:rsidR="003277CF">
        <w:rPr>
          <w:b/>
          <w:bCs/>
          <w:i/>
          <w:iCs/>
        </w:rPr>
        <w:t>es</w:t>
      </w:r>
      <w:r w:rsidRPr="4AE5982E">
        <w:rPr>
          <w:b/>
          <w:bCs/>
          <w:i/>
          <w:iCs/>
        </w:rPr>
        <w:t xml:space="preserve"> for Information Collection </w:t>
      </w:r>
    </w:p>
    <w:p w:rsidR="00D90EF6" w:rsidP="4AE5982E" w14:paraId="352753BD" w14:textId="617DD7F8">
      <w:r>
        <w:t xml:space="preserve">The survey will be </w:t>
      </w:r>
      <w:r w:rsidR="00470486">
        <w:t>conducted</w:t>
      </w:r>
      <w:r>
        <w:t xml:space="preserve"> using </w:t>
      </w:r>
      <w:r w:rsidR="00971EF1">
        <w:t xml:space="preserve">the online survey platform </w:t>
      </w:r>
      <w:r>
        <w:t>Qualtrics and will be sent to MG and PC subrecipient staff</w:t>
      </w:r>
      <w:r w:rsidR="00C56ACA">
        <w:t xml:space="preserve">, who will be asked to answer </w:t>
      </w:r>
      <w:r w:rsidR="00E2119D">
        <w:t xml:space="preserve">five questions (which will include multiple choice and free response) regarding recipient support, training, and technical assistance. </w:t>
      </w:r>
    </w:p>
    <w:p w:rsidR="00B312D0" w:rsidP="4AE5982E" w14:paraId="159D6668" w14:textId="77777777">
      <w:pPr>
        <w:ind w:left="180"/>
        <w:rPr>
          <w:b/>
          <w:bCs/>
          <w:i/>
          <w:iCs/>
        </w:rPr>
      </w:pPr>
    </w:p>
    <w:p w:rsidR="00945CD6" w:rsidRPr="0072204D" w:rsidP="4AE5982E" w14:paraId="49EEF137" w14:textId="77777777">
      <w:pPr>
        <w:spacing w:after="120"/>
        <w:rPr>
          <w:b/>
          <w:bCs/>
        </w:rPr>
      </w:pPr>
      <w:r w:rsidRPr="4AE5982E">
        <w:rPr>
          <w:b/>
          <w:bCs/>
        </w:rPr>
        <w:t xml:space="preserve">A3. </w:t>
      </w:r>
      <w:r w:rsidRPr="4AE5982E">
        <w:rPr>
          <w:b/>
          <w:bCs/>
        </w:rPr>
        <w:t>Improved Information Technology to Reduce Burden</w:t>
      </w:r>
    </w:p>
    <w:p w:rsidR="00D90EF6" w:rsidP="4AE5982E" w14:paraId="6EA8B500" w14:textId="3DCACDD1">
      <w:r>
        <w:t>The survey will be completed electronically, utilizing Qualtrics software and accessed through an email link.</w:t>
      </w:r>
    </w:p>
    <w:p w:rsidR="005046F0" w:rsidP="4AE5982E" w14:paraId="5804584A" w14:textId="77777777">
      <w:pPr>
        <w:ind w:left="360"/>
      </w:pPr>
    </w:p>
    <w:p w:rsidR="00945CD6" w:rsidRPr="0072204D" w:rsidP="4AE5982E" w14:paraId="39BBEF3E" w14:textId="77777777">
      <w:pPr>
        <w:spacing w:after="120"/>
        <w:rPr>
          <w:b/>
          <w:bCs/>
        </w:rPr>
      </w:pPr>
      <w:r w:rsidRPr="4AE5982E">
        <w:rPr>
          <w:b/>
          <w:bCs/>
        </w:rPr>
        <w:t xml:space="preserve">A4. </w:t>
      </w:r>
      <w:r w:rsidRPr="4AE5982E">
        <w:rPr>
          <w:b/>
          <w:bCs/>
        </w:rPr>
        <w:t>Efforts to Identify Duplication</w:t>
      </w:r>
    </w:p>
    <w:p w:rsidR="00D90EF6" w:rsidP="4AE5982E" w14:paraId="79D5E7A0" w14:textId="131FB8D3">
      <w:r>
        <w:t xml:space="preserve">This information </w:t>
      </w:r>
      <w:r w:rsidR="000B55BB">
        <w:t>does not exist in any other form.</w:t>
      </w:r>
    </w:p>
    <w:p w:rsidR="00436F5E" w:rsidP="007541C3" w14:paraId="69A8EDD5" w14:textId="77777777">
      <w:pPr>
        <w:rPr>
          <w:b/>
          <w:bCs/>
        </w:rPr>
      </w:pPr>
    </w:p>
    <w:p w:rsidR="00945CD6" w:rsidRPr="0072204D" w:rsidP="4AE5982E" w14:paraId="10B90123" w14:textId="77777777">
      <w:pPr>
        <w:spacing w:after="120"/>
        <w:rPr>
          <w:b/>
          <w:bCs/>
        </w:rPr>
      </w:pPr>
      <w:r w:rsidRPr="4AE5982E">
        <w:rPr>
          <w:b/>
          <w:bCs/>
        </w:rPr>
        <w:t xml:space="preserve">A5. </w:t>
      </w:r>
      <w:r w:rsidRPr="4AE5982E">
        <w:rPr>
          <w:b/>
          <w:bCs/>
        </w:rPr>
        <w:t>Involvement of Small Organizations</w:t>
      </w:r>
    </w:p>
    <w:p w:rsidR="00D90EF6" w:rsidP="4AE5982E" w14:paraId="246D5FC0" w14:textId="66B2EC82">
      <w:r>
        <w:t xml:space="preserve">MG and PC subrecipients may be considered small businesses, and ORR </w:t>
      </w:r>
      <w:r w:rsidR="00D1251A">
        <w:t xml:space="preserve">is mindful of their workload and staffing capacity. Thus, the survey can be completed at their leisure and should take no more than </w:t>
      </w:r>
      <w:r w:rsidR="00C06FE3">
        <w:t>15</w:t>
      </w:r>
      <w:r w:rsidR="00D1251A">
        <w:t xml:space="preserve"> minutes to complete.</w:t>
      </w:r>
    </w:p>
    <w:p w:rsidR="008C78B4" w:rsidP="4AE5982E" w14:paraId="6077512E" w14:textId="77777777">
      <w:pPr>
        <w:rPr>
          <w:b/>
          <w:bCs/>
        </w:rPr>
      </w:pPr>
    </w:p>
    <w:p w:rsidR="00945CD6" w:rsidRPr="0072204D" w:rsidP="4AE5982E" w14:paraId="5C724C5E" w14:textId="77777777">
      <w:pPr>
        <w:spacing w:after="120"/>
        <w:rPr>
          <w:b/>
          <w:bCs/>
        </w:rPr>
      </w:pPr>
      <w:r w:rsidRPr="4AE5982E">
        <w:rPr>
          <w:b/>
          <w:bCs/>
        </w:rPr>
        <w:t xml:space="preserve">A6. </w:t>
      </w:r>
      <w:r w:rsidRPr="4AE5982E">
        <w:rPr>
          <w:b/>
          <w:bCs/>
        </w:rPr>
        <w:t>Consequences of Less Frequent Data Collection</w:t>
      </w:r>
    </w:p>
    <w:p w:rsidR="00D90EF6" w:rsidP="4AE5982E" w14:paraId="27E89940" w14:textId="416DE2B2">
      <w:r>
        <w:t>This is a one-time data collection.</w:t>
      </w:r>
    </w:p>
    <w:p w:rsidR="005046F0" w:rsidP="00084B69" w14:paraId="7C36762A" w14:textId="77777777"/>
    <w:p w:rsidR="00945CD6" w:rsidRPr="0072204D" w:rsidP="4AE5982E" w14:paraId="5060136E" w14:textId="77777777">
      <w:pPr>
        <w:spacing w:after="120"/>
        <w:rPr>
          <w:b/>
          <w:bCs/>
        </w:rPr>
      </w:pPr>
      <w:r w:rsidRPr="4AE5982E">
        <w:rPr>
          <w:b/>
          <w:bCs/>
        </w:rPr>
        <w:t xml:space="preserve">A7. </w:t>
      </w:r>
      <w:r w:rsidRPr="4AE5982E">
        <w:rPr>
          <w:b/>
          <w:bCs/>
        </w:rPr>
        <w:t>Special Circumstances</w:t>
      </w:r>
    </w:p>
    <w:p w:rsidR="0020382F" w:rsidP="4AE5982E" w14:paraId="10D64BA4" w14:textId="77777777">
      <w:r w:rsidRPr="00D1251A">
        <w:t>There are no special circumstances for the proposed data collection efforts.</w:t>
      </w:r>
    </w:p>
    <w:p w:rsidR="00D90EF6" w:rsidP="4AE5982E" w14:paraId="6156892E" w14:textId="77777777">
      <w:pPr>
        <w:rPr>
          <w:b/>
          <w:bCs/>
        </w:rPr>
      </w:pPr>
    </w:p>
    <w:p w:rsidR="00D90EF6" w:rsidP="4AE5982E" w14:paraId="4FD99BC0" w14:textId="77777777">
      <w:pPr>
        <w:spacing w:after="120"/>
        <w:rPr>
          <w:b/>
          <w:bCs/>
        </w:rPr>
      </w:pPr>
      <w:r w:rsidRPr="4AE5982E">
        <w:rPr>
          <w:b/>
          <w:bCs/>
        </w:rPr>
        <w:t xml:space="preserve">A8. </w:t>
      </w:r>
      <w:r w:rsidRPr="4AE5982E" w:rsidR="00945CD6">
        <w:rPr>
          <w:b/>
          <w:bCs/>
        </w:rPr>
        <w:t>Federal Register Notice and Consultation</w:t>
      </w:r>
    </w:p>
    <w:p w:rsidR="00B91D97" w:rsidRPr="00B91D97" w:rsidP="4AE5982E" w14:paraId="6A39001F" w14:textId="77777777">
      <w:pPr>
        <w:spacing w:after="60"/>
        <w:rPr>
          <w:b/>
          <w:bCs/>
          <w:i/>
          <w:iCs/>
        </w:rPr>
      </w:pPr>
      <w:r w:rsidRPr="4AE5982E">
        <w:rPr>
          <w:b/>
          <w:bCs/>
          <w:i/>
          <w:iCs/>
        </w:rPr>
        <w:t>Federal Register Notice and Comments</w:t>
      </w:r>
    </w:p>
    <w:p w:rsidR="00204A6A" w:rsidP="4CD88284" w14:paraId="357FFC06" w14:textId="7D9DD142">
      <w:pPr>
        <w:spacing w:line="259" w:lineRule="auto"/>
      </w:pPr>
      <w:r w:rsidRPr="4CD88284">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w:t>
      </w:r>
      <w:r w:rsidRPr="4CD88284" w:rsidR="7EC2CCC6">
        <w:t>April 28, 2025</w:t>
      </w:r>
      <w:r w:rsidRPr="4CD88284">
        <w:t>, (</w:t>
      </w:r>
      <w:r w:rsidRPr="4CD88284" w:rsidR="4ECB43AA">
        <w:t>90</w:t>
      </w:r>
      <w:r w:rsidRPr="4CD88284">
        <w:t xml:space="preserve"> FR </w:t>
      </w:r>
      <w:r w:rsidRPr="4CD88284" w:rsidR="27D9EF1C">
        <w:t>17603</w:t>
      </w:r>
      <w:r w:rsidRPr="4CD88284">
        <w:t>), and provided a sixty-day period for public comment. ACF did not receive any comments on the first notice. A second notice was published, allowing a thirty-day period for public comment</w:t>
      </w:r>
      <w:r w:rsidRPr="4CD88284" w:rsidR="788048E4">
        <w:t xml:space="preserve"> (90 FR 42248</w:t>
      </w:r>
      <w:r w:rsidRPr="4CD88284">
        <w:t>, in conjunction with submission of the request to OMB. ACF did not receive any comments on the second notice.</w:t>
      </w:r>
    </w:p>
    <w:p w:rsidR="008F10A2" w:rsidP="4AE5982E" w14:paraId="06B326DA" w14:textId="77777777"/>
    <w:p w:rsidR="00B91D97" w:rsidRPr="00B91D97" w:rsidP="00C06FE3" w14:paraId="21E62C00" w14:textId="72CBF5B8">
      <w:pPr>
        <w:pStyle w:val="Heading4"/>
        <w:spacing w:before="0"/>
        <w:rPr>
          <w:rFonts w:ascii="Times New Roman" w:hAnsi="Times New Roman"/>
          <w:i/>
          <w:iCs/>
          <w:sz w:val="24"/>
          <w:szCs w:val="24"/>
        </w:rPr>
      </w:pPr>
      <w:r w:rsidRPr="4AE5982E">
        <w:rPr>
          <w:rFonts w:ascii="Times New Roman" w:hAnsi="Times New Roman"/>
          <w:i/>
          <w:iCs/>
          <w:sz w:val="24"/>
          <w:szCs w:val="24"/>
        </w:rPr>
        <w:t xml:space="preserve">Consultation with </w:t>
      </w:r>
      <w:r w:rsidRPr="4AE5982E" w:rsidR="008F570D">
        <w:rPr>
          <w:rFonts w:ascii="Times New Roman" w:hAnsi="Times New Roman"/>
          <w:i/>
          <w:iCs/>
          <w:sz w:val="24"/>
          <w:szCs w:val="24"/>
        </w:rPr>
        <w:t xml:space="preserve">Outside </w:t>
      </w:r>
      <w:r w:rsidRPr="4AE5982E">
        <w:rPr>
          <w:rFonts w:ascii="Times New Roman" w:hAnsi="Times New Roman"/>
          <w:i/>
          <w:iCs/>
          <w:sz w:val="24"/>
          <w:szCs w:val="24"/>
        </w:rPr>
        <w:t>Experts</w:t>
      </w:r>
    </w:p>
    <w:p w:rsidR="00D1251A" w:rsidRPr="00D1251A" w:rsidP="00D1251A" w14:paraId="112E9CAF" w14:textId="77777777">
      <w:r w:rsidRPr="00D1251A">
        <w:t xml:space="preserve">No consultations have taken place with experts outside of the project team. </w:t>
      </w:r>
    </w:p>
    <w:p w:rsidR="00D90EF6" w:rsidP="4AE5982E" w14:paraId="16A7A923" w14:textId="77777777">
      <w:pPr>
        <w:rPr>
          <w:b/>
          <w:bCs/>
        </w:rPr>
      </w:pPr>
    </w:p>
    <w:p w:rsidR="00945CD6" w:rsidRPr="0072204D" w:rsidP="4AE5982E" w14:paraId="391068CD" w14:textId="6ECE22DD">
      <w:pPr>
        <w:spacing w:after="120"/>
        <w:rPr>
          <w:b/>
          <w:bCs/>
        </w:rPr>
      </w:pPr>
      <w:r w:rsidRPr="4AE5982E">
        <w:rPr>
          <w:b/>
          <w:bCs/>
        </w:rPr>
        <w:t xml:space="preserve">A9. </w:t>
      </w:r>
      <w:r w:rsidRPr="4AE5982E" w:rsidR="00542413">
        <w:rPr>
          <w:b/>
          <w:bCs/>
        </w:rPr>
        <w:t xml:space="preserve">Tokens of Appreciation </w:t>
      </w:r>
      <w:r w:rsidRPr="4AE5982E" w:rsidR="00B66874">
        <w:rPr>
          <w:b/>
          <w:bCs/>
        </w:rPr>
        <w:t>for</w:t>
      </w:r>
      <w:r w:rsidRPr="4AE5982E">
        <w:rPr>
          <w:b/>
          <w:bCs/>
        </w:rPr>
        <w:t xml:space="preserve"> Respondents</w:t>
      </w:r>
    </w:p>
    <w:p w:rsidR="00D90EF6" w:rsidRPr="00BE7952" w:rsidP="4AE5982E" w14:paraId="45914615" w14:textId="4321F089">
      <w:pPr>
        <w:rPr>
          <w:b/>
          <w:bCs/>
        </w:rPr>
      </w:pPr>
      <w:r w:rsidRPr="00C06FE3">
        <w:t xml:space="preserve">No </w:t>
      </w:r>
      <w:r w:rsidRPr="00C06FE3" w:rsidR="00542413">
        <w:t>tokens of appreciation</w:t>
      </w:r>
      <w:r w:rsidRPr="00C06FE3">
        <w:t xml:space="preserve"> for</w:t>
      </w:r>
      <w:r w:rsidRPr="00C06FE3" w:rsidR="00BE7952">
        <w:t xml:space="preserve"> respondents are proposed for this information collection.</w:t>
      </w:r>
    </w:p>
    <w:p w:rsidR="004222F8" w:rsidP="4AE5982E" w14:paraId="7605E87D" w14:textId="77777777">
      <w:pPr>
        <w:spacing w:after="120"/>
        <w:rPr>
          <w:b/>
          <w:bCs/>
        </w:rPr>
      </w:pPr>
    </w:p>
    <w:p w:rsidR="004222F8" w:rsidRPr="0072204D" w:rsidP="4AE5982E" w14:paraId="5BB4F440" w14:textId="77777777">
      <w:pPr>
        <w:spacing w:after="120"/>
        <w:rPr>
          <w:b/>
          <w:bCs/>
        </w:rPr>
      </w:pPr>
      <w:r w:rsidRPr="4AE5982E">
        <w:rPr>
          <w:b/>
          <w:bCs/>
        </w:rPr>
        <w:t>A10. Privacy of Respondents</w:t>
      </w:r>
    </w:p>
    <w:p w:rsidR="004222F8" w:rsidP="4AE5982E" w14:paraId="480B2A5E" w14:textId="581716B6">
      <w:pPr>
        <w:widowControl w:val="0"/>
        <w:autoSpaceDE w:val="0"/>
        <w:autoSpaceDN w:val="0"/>
        <w:adjustRightInd w:val="0"/>
      </w:pPr>
      <w:r w:rsidRPr="4AE5982E">
        <w:t>Information collected will be kept private</w:t>
      </w:r>
      <w:r w:rsidRPr="4AE5982E" w:rsidR="171CA292">
        <w:t xml:space="preserve"> to the extent permitted by law</w:t>
      </w:r>
      <w:r w:rsidRPr="4AE5982E">
        <w:t xml:space="preserve">. Respondents will be informed of all planned uses of data, that their participation is voluntary, and that their information will be kept private. </w:t>
      </w:r>
      <w:r w:rsidR="00D1251A">
        <w:t>ORR will not ask for any personally identifiable information (PII) in this data collection.</w:t>
      </w:r>
    </w:p>
    <w:p w:rsidR="00984D73" w:rsidRPr="00436F5E" w:rsidP="4AE5982E" w14:paraId="088827E6" w14:textId="77777777">
      <w:pPr>
        <w:widowControl w:val="0"/>
        <w:autoSpaceDE w:val="0"/>
        <w:autoSpaceDN w:val="0"/>
        <w:adjustRightInd w:val="0"/>
      </w:pPr>
    </w:p>
    <w:p w:rsidR="00945CD6" w:rsidRPr="0072204D" w:rsidP="4AE5982E" w14:paraId="0B35E015" w14:textId="77777777">
      <w:pPr>
        <w:spacing w:after="120"/>
        <w:rPr>
          <w:b/>
          <w:bCs/>
        </w:rPr>
      </w:pPr>
      <w:r w:rsidRPr="4AE5982E">
        <w:rPr>
          <w:b/>
          <w:bCs/>
        </w:rPr>
        <w:t xml:space="preserve">A11. </w:t>
      </w:r>
      <w:r w:rsidRPr="4AE5982E">
        <w:rPr>
          <w:b/>
          <w:bCs/>
        </w:rPr>
        <w:t>Sensitive Questions</w:t>
      </w:r>
    </w:p>
    <w:p w:rsidR="00D90EF6" w:rsidRPr="003F00F6" w:rsidP="4AE5982E" w14:paraId="2CE230F0" w14:textId="77777777">
      <w:r w:rsidRPr="003F00F6">
        <w:t>There are no sensitive questions in this data collection.</w:t>
      </w:r>
    </w:p>
    <w:p w:rsidR="005046F0" w:rsidP="4AE5982E" w14:paraId="45C63BFE" w14:textId="77777777">
      <w:pPr>
        <w:ind w:left="360"/>
      </w:pPr>
    </w:p>
    <w:p w:rsidR="007541C3" w:rsidP="4AE5982E" w14:paraId="3FE531F3" w14:textId="77777777">
      <w:pPr>
        <w:spacing w:after="120"/>
        <w:rPr>
          <w:b/>
          <w:bCs/>
        </w:rPr>
      </w:pPr>
    </w:p>
    <w:p w:rsidR="007541C3" w:rsidP="4AE5982E" w14:paraId="395532E9" w14:textId="77777777">
      <w:pPr>
        <w:spacing w:after="120"/>
        <w:rPr>
          <w:b/>
          <w:bCs/>
        </w:rPr>
      </w:pPr>
    </w:p>
    <w:p w:rsidR="00542413" w:rsidRPr="00542413" w:rsidP="4AE5982E" w14:paraId="3ABF848D" w14:textId="56BA04C1">
      <w:pPr>
        <w:spacing w:after="120"/>
        <w:rPr>
          <w:b/>
          <w:bCs/>
        </w:rPr>
      </w:pPr>
      <w:r w:rsidRPr="4AE5982E">
        <w:rPr>
          <w:b/>
          <w:bCs/>
        </w:rPr>
        <w:t xml:space="preserve">A12. </w:t>
      </w:r>
      <w:r w:rsidRPr="4AE5982E" w:rsidR="00945CD6">
        <w:rPr>
          <w:b/>
          <w:bCs/>
        </w:rPr>
        <w:t>Estimation of Information Collection Burden</w:t>
      </w:r>
    </w:p>
    <w:p w:rsidR="00542413" w:rsidP="4AE5982E" w14:paraId="3786490C" w14:textId="2AA637D8">
      <w:pPr>
        <w:spacing w:after="60"/>
        <w:rPr>
          <w:b/>
          <w:bCs/>
          <w:i/>
          <w:iCs/>
        </w:rPr>
      </w:pPr>
      <w:r w:rsidRPr="4AE5982E">
        <w:rPr>
          <w:b/>
          <w:bCs/>
          <w:i/>
          <w:iCs/>
        </w:rPr>
        <w:t>Burden Estimates</w:t>
      </w:r>
    </w:p>
    <w:p w:rsidR="00542413" w:rsidRPr="00971EF1" w:rsidP="4AE5982E" w14:paraId="45B923F3" w14:textId="5D4D0E14">
      <w:r>
        <w:t>The burden for this data collection was estimated</w:t>
      </w:r>
      <w:r w:rsidR="00FA3502">
        <w:t xml:space="preserve"> through </w:t>
      </w:r>
      <w:r w:rsidR="006079B6">
        <w:t xml:space="preserve">testing the survey instrument </w:t>
      </w:r>
      <w:r w:rsidR="00B312D0">
        <w:t xml:space="preserve">internally </w:t>
      </w:r>
      <w:r w:rsidR="006079B6">
        <w:t>and calculating the time it would take for a respondent to answer all questions.</w:t>
      </w:r>
      <w:r w:rsidR="00B312D0">
        <w:t xml:space="preserve"> The survey will be sent to MG and PC subrecipients who will complete the survey once. </w:t>
      </w:r>
    </w:p>
    <w:p w:rsidR="00542413" w:rsidRPr="00542413" w:rsidP="4AE5982E" w14:paraId="53AD5D50" w14:textId="77777777">
      <w:pPr>
        <w:rPr>
          <w:b/>
          <w:bCs/>
          <w:i/>
          <w:iCs/>
        </w:rPr>
      </w:pPr>
    </w:p>
    <w:p w:rsidR="00542413" w:rsidRPr="002F3EDE" w:rsidP="4AE5982E" w14:paraId="6CBE253C" w14:textId="16147A58">
      <w:pPr>
        <w:spacing w:after="60"/>
        <w:rPr>
          <w:b/>
          <w:bCs/>
          <w:i/>
          <w:iCs/>
        </w:rPr>
      </w:pPr>
      <w:r w:rsidRPr="4AE5982E">
        <w:rPr>
          <w:b/>
          <w:bCs/>
          <w:i/>
          <w:iCs/>
        </w:rPr>
        <w:t>Cost Estimates</w:t>
      </w:r>
    </w:p>
    <w:p w:rsidR="0033072C" w:rsidRPr="00EC26A5" w:rsidP="4AE5982E" w14:paraId="59A18AED" w14:textId="7383C94A">
      <w:r w:rsidRPr="4AE5982E">
        <w:t xml:space="preserve">The cost to respondents was calculated using the Bureau of Labor Statistics (BLS) </w:t>
      </w:r>
      <w:r w:rsidR="00875026">
        <w:t>job code for Social and Human Services Assistants [21-1093</w:t>
      </w:r>
      <w:r w:rsidR="003C4DBE">
        <w:t>]</w:t>
      </w:r>
      <w:r w:rsidRPr="4AE5982E">
        <w:t xml:space="preserve"> and wage data from May 202</w:t>
      </w:r>
      <w:r w:rsidRPr="4AE5982E" w:rsidR="55E4A8DF">
        <w:t>4</w:t>
      </w:r>
      <w:r w:rsidRPr="4AE5982E">
        <w:t xml:space="preserve">, which is </w:t>
      </w:r>
      <w:r w:rsidRPr="00E50723">
        <w:t>$</w:t>
      </w:r>
      <w:r w:rsidRPr="00E50723" w:rsidR="00E50723">
        <w:t>22</w:t>
      </w:r>
      <w:r w:rsidRPr="00E50723">
        <w:t>.</w:t>
      </w:r>
      <w:r w:rsidRPr="00E50723" w:rsidR="00E50723">
        <w:t>64</w:t>
      </w:r>
      <w:r w:rsidRPr="4AE5982E">
        <w:t xml:space="preserve"> per hour. To account for fringe benefits and overhead the rate was multiplied by </w:t>
      </w:r>
      <w:r w:rsidRPr="4AE5982E">
        <w:t>two</w:t>
      </w:r>
      <w:r w:rsidRPr="4AE5982E">
        <w:t xml:space="preserve"> which is $</w:t>
      </w:r>
      <w:r w:rsidR="00B3693D">
        <w:t>45.28</w:t>
      </w:r>
      <w:r w:rsidRPr="4AE5982E">
        <w:t xml:space="preserve">.  </w:t>
      </w:r>
    </w:p>
    <w:p w:rsidR="0033072C" w:rsidRPr="00EC26A5" w:rsidP="4AE5982E" w14:paraId="255B87E2" w14:textId="77777777">
      <w:pPr>
        <w:ind w:left="360"/>
      </w:pPr>
      <w:hyperlink r:id="rId8">
        <w:r w:rsidRPr="4AE5982E">
          <w:rPr>
            <w:rStyle w:val="Hyperlink"/>
          </w:rPr>
          <w:t>https://www.bls.gov/oes/current/oes_stru.htm</w:t>
        </w:r>
      </w:hyperlink>
      <w:r w:rsidRPr="4AE5982E">
        <w:t xml:space="preserve"> </w:t>
      </w:r>
    </w:p>
    <w:p w:rsidR="00542413" w:rsidRPr="00542413" w:rsidP="008F570D" w14:paraId="26232607" w14:textId="77777777">
      <w:pPr>
        <w:rPr>
          <w:i/>
          <w:iCs/>
        </w:rPr>
      </w:pPr>
    </w:p>
    <w:tbl>
      <w:tblPr>
        <w:tblW w:w="912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2345"/>
        <w:gridCol w:w="1350"/>
        <w:gridCol w:w="1253"/>
        <w:gridCol w:w="1005"/>
        <w:gridCol w:w="1019"/>
        <w:gridCol w:w="1044"/>
        <w:gridCol w:w="1108"/>
      </w:tblGrid>
      <w:tr w14:paraId="3DDE53E5" w14:textId="77777777" w:rsidTr="00C06FE3">
        <w:tblPrEx>
          <w:tblW w:w="912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trHeight w:val="1313"/>
          <w:jc w:val="center"/>
        </w:trPr>
        <w:tc>
          <w:tcPr>
            <w:tcW w:w="2345" w:type="dxa"/>
            <w:shd w:val="clear" w:color="auto" w:fill="BFBFBF" w:themeFill="background1" w:themeFillShade="BF"/>
            <w:vAlign w:val="center"/>
          </w:tcPr>
          <w:p w:rsidR="00542413" w:rsidRPr="00BD4CFB" w:rsidP="008F570D" w14:paraId="2381BB0C" w14:textId="77777777">
            <w:pPr>
              <w:jc w:val="center"/>
              <w:rPr>
                <w:sz w:val="20"/>
                <w:szCs w:val="20"/>
              </w:rPr>
            </w:pPr>
            <w:r w:rsidRPr="00BD4CFB">
              <w:rPr>
                <w:sz w:val="20"/>
                <w:szCs w:val="20"/>
              </w:rPr>
              <w:t>Instrument</w:t>
            </w:r>
          </w:p>
        </w:tc>
        <w:tc>
          <w:tcPr>
            <w:tcW w:w="1350" w:type="dxa"/>
            <w:shd w:val="clear" w:color="auto" w:fill="BFBFBF" w:themeFill="background1" w:themeFillShade="BF"/>
            <w:vAlign w:val="center"/>
          </w:tcPr>
          <w:p w:rsidR="00542413" w:rsidRPr="00BD4CFB" w:rsidP="008F570D" w14:paraId="42F19101" w14:textId="77777777">
            <w:pPr>
              <w:jc w:val="center"/>
              <w:rPr>
                <w:sz w:val="20"/>
                <w:szCs w:val="20"/>
              </w:rPr>
            </w:pPr>
            <w:r>
              <w:rPr>
                <w:sz w:val="20"/>
                <w:szCs w:val="20"/>
              </w:rPr>
              <w:t xml:space="preserve">Total </w:t>
            </w:r>
            <w:r w:rsidRPr="00BD4CFB">
              <w:rPr>
                <w:sz w:val="20"/>
                <w:szCs w:val="20"/>
              </w:rPr>
              <w:t>Number of Respondents</w:t>
            </w:r>
          </w:p>
        </w:tc>
        <w:tc>
          <w:tcPr>
            <w:tcW w:w="1253" w:type="dxa"/>
            <w:shd w:val="clear" w:color="auto" w:fill="BFBFBF" w:themeFill="background1" w:themeFillShade="BF"/>
            <w:vAlign w:val="center"/>
          </w:tcPr>
          <w:p w:rsidR="00542413" w:rsidRPr="00BD4CFB" w:rsidP="008F570D" w14:paraId="714F2F09" w14:textId="02E9514E">
            <w:pPr>
              <w:jc w:val="center"/>
              <w:rPr>
                <w:sz w:val="20"/>
                <w:szCs w:val="20"/>
              </w:rPr>
            </w:pPr>
            <w:r w:rsidRPr="4AE5982E">
              <w:rPr>
                <w:sz w:val="20"/>
                <w:szCs w:val="20"/>
              </w:rPr>
              <w:t>Total Number of Responses Per Responden</w:t>
            </w:r>
            <w:r w:rsidRPr="4AE5982E" w:rsidR="509576EC">
              <w:rPr>
                <w:sz w:val="20"/>
                <w:szCs w:val="20"/>
              </w:rPr>
              <w:t>t</w:t>
            </w:r>
          </w:p>
        </w:tc>
        <w:tc>
          <w:tcPr>
            <w:tcW w:w="1005" w:type="dxa"/>
            <w:shd w:val="clear" w:color="auto" w:fill="BFBFBF" w:themeFill="background1" w:themeFillShade="BF"/>
            <w:vAlign w:val="center"/>
          </w:tcPr>
          <w:p w:rsidR="00542413" w:rsidRPr="00BD4CFB" w:rsidP="008F570D" w14:paraId="05CC723F" w14:textId="77777777">
            <w:pPr>
              <w:jc w:val="center"/>
              <w:rPr>
                <w:sz w:val="20"/>
                <w:szCs w:val="20"/>
              </w:rPr>
            </w:pPr>
            <w:r w:rsidRPr="00BD4CFB">
              <w:rPr>
                <w:sz w:val="20"/>
                <w:szCs w:val="20"/>
              </w:rPr>
              <w:t xml:space="preserve">Average </w:t>
            </w:r>
            <w:r w:rsidRPr="00BD4CFB">
              <w:rPr>
                <w:sz w:val="20"/>
                <w:szCs w:val="20"/>
              </w:rPr>
              <w:t>Burden</w:t>
            </w:r>
            <w:r w:rsidRPr="00BD4CFB">
              <w:rPr>
                <w:sz w:val="20"/>
                <w:szCs w:val="20"/>
              </w:rPr>
              <w:t xml:space="preserve"> Hours Per Response</w:t>
            </w:r>
          </w:p>
        </w:tc>
        <w:tc>
          <w:tcPr>
            <w:tcW w:w="1019" w:type="dxa"/>
            <w:shd w:val="clear" w:color="auto" w:fill="BFBFBF" w:themeFill="background1" w:themeFillShade="BF"/>
            <w:vAlign w:val="center"/>
          </w:tcPr>
          <w:p w:rsidR="00542413" w:rsidP="00542413" w14:paraId="110C4AE5" w14:textId="77777777">
            <w:pPr>
              <w:jc w:val="center"/>
              <w:rPr>
                <w:bCs/>
                <w:sz w:val="20"/>
                <w:szCs w:val="20"/>
              </w:rPr>
            </w:pPr>
            <w:r>
              <w:rPr>
                <w:bCs/>
                <w:sz w:val="20"/>
                <w:szCs w:val="20"/>
              </w:rPr>
              <w:t>Total</w:t>
            </w:r>
          </w:p>
          <w:p w:rsidR="00542413" w:rsidP="00542413" w14:paraId="1F591B58" w14:textId="47332B2D">
            <w:pPr>
              <w:jc w:val="center"/>
              <w:rPr>
                <w:bCs/>
                <w:sz w:val="20"/>
                <w:szCs w:val="20"/>
              </w:rPr>
            </w:pPr>
            <w:r>
              <w:rPr>
                <w:bCs/>
                <w:sz w:val="20"/>
                <w:szCs w:val="20"/>
              </w:rPr>
              <w:t>Burden Hours</w:t>
            </w:r>
          </w:p>
        </w:tc>
        <w:tc>
          <w:tcPr>
            <w:tcW w:w="1044" w:type="dxa"/>
            <w:shd w:val="clear" w:color="auto" w:fill="BFBFBF" w:themeFill="background1" w:themeFillShade="BF"/>
            <w:vAlign w:val="center"/>
          </w:tcPr>
          <w:p w:rsidR="00542413" w:rsidRPr="00BD4CFB" w:rsidP="008F570D" w14:paraId="45DFE675" w14:textId="77777777">
            <w:pPr>
              <w:jc w:val="center"/>
              <w:rPr>
                <w:sz w:val="20"/>
                <w:szCs w:val="20"/>
              </w:rPr>
            </w:pPr>
            <w:r w:rsidRPr="00BD4CFB">
              <w:rPr>
                <w:bCs/>
                <w:sz w:val="20"/>
                <w:szCs w:val="20"/>
              </w:rPr>
              <w:t>Average Hourly Wage</w:t>
            </w:r>
          </w:p>
        </w:tc>
        <w:tc>
          <w:tcPr>
            <w:tcW w:w="1108" w:type="dxa"/>
            <w:shd w:val="clear" w:color="auto" w:fill="BFBFBF" w:themeFill="background1" w:themeFillShade="BF"/>
            <w:vAlign w:val="center"/>
          </w:tcPr>
          <w:p w:rsidR="00542413" w:rsidRPr="00BD4CFB" w:rsidP="008F570D" w14:paraId="39990194" w14:textId="77777777">
            <w:pPr>
              <w:jc w:val="center"/>
              <w:rPr>
                <w:sz w:val="20"/>
                <w:szCs w:val="20"/>
              </w:rPr>
            </w:pPr>
            <w:r w:rsidRPr="00BD4CFB">
              <w:rPr>
                <w:bCs/>
                <w:sz w:val="20"/>
                <w:szCs w:val="20"/>
              </w:rPr>
              <w:t>Total Annual Cost</w:t>
            </w:r>
          </w:p>
        </w:tc>
      </w:tr>
      <w:tr w14:paraId="7CE63E36" w14:textId="77777777" w:rsidTr="00C06FE3">
        <w:tblPrEx>
          <w:tblW w:w="9124" w:type="dxa"/>
          <w:jc w:val="center"/>
          <w:tblLook w:val="00A0"/>
        </w:tblPrEx>
        <w:trPr>
          <w:trHeight w:val="432"/>
          <w:jc w:val="center"/>
        </w:trPr>
        <w:tc>
          <w:tcPr>
            <w:tcW w:w="2345" w:type="dxa"/>
            <w:vAlign w:val="center"/>
          </w:tcPr>
          <w:p w:rsidR="006079B6" w:rsidRPr="00BD4CFB" w:rsidP="008F570D" w14:paraId="15455CD3" w14:textId="75AA435C">
            <w:pPr>
              <w:tabs>
                <w:tab w:val="center" w:pos="4320"/>
                <w:tab w:val="right" w:pos="8640"/>
              </w:tabs>
              <w:rPr>
                <w:sz w:val="20"/>
                <w:szCs w:val="20"/>
              </w:rPr>
            </w:pPr>
            <w:r>
              <w:rPr>
                <w:sz w:val="20"/>
                <w:szCs w:val="20"/>
              </w:rPr>
              <w:t>MG Subrecipient Survey</w:t>
            </w:r>
          </w:p>
        </w:tc>
        <w:tc>
          <w:tcPr>
            <w:tcW w:w="1350" w:type="dxa"/>
            <w:vAlign w:val="center"/>
          </w:tcPr>
          <w:p w:rsidR="00542413" w:rsidRPr="005207C4" w:rsidP="00B312D0" w14:paraId="2106BBF5" w14:textId="1427716B">
            <w:pPr>
              <w:tabs>
                <w:tab w:val="center" w:pos="4320"/>
                <w:tab w:val="right" w:pos="8640"/>
              </w:tabs>
              <w:jc w:val="center"/>
              <w:rPr>
                <w:sz w:val="20"/>
                <w:szCs w:val="20"/>
              </w:rPr>
            </w:pPr>
            <w:r w:rsidRPr="005207C4">
              <w:rPr>
                <w:sz w:val="20"/>
                <w:szCs w:val="20"/>
              </w:rPr>
              <w:t>60</w:t>
            </w:r>
          </w:p>
        </w:tc>
        <w:tc>
          <w:tcPr>
            <w:tcW w:w="1253" w:type="dxa"/>
            <w:vAlign w:val="center"/>
          </w:tcPr>
          <w:p w:rsidR="00542413" w:rsidRPr="00BD4CFB" w:rsidP="008F570D" w14:paraId="402332F4" w14:textId="102C7424">
            <w:pPr>
              <w:tabs>
                <w:tab w:val="center" w:pos="4320"/>
                <w:tab w:val="right" w:pos="8640"/>
              </w:tabs>
              <w:jc w:val="center"/>
              <w:rPr>
                <w:sz w:val="20"/>
                <w:szCs w:val="20"/>
              </w:rPr>
            </w:pPr>
            <w:r>
              <w:rPr>
                <w:sz w:val="20"/>
                <w:szCs w:val="20"/>
              </w:rPr>
              <w:t>1</w:t>
            </w:r>
          </w:p>
        </w:tc>
        <w:tc>
          <w:tcPr>
            <w:tcW w:w="1005" w:type="dxa"/>
            <w:vAlign w:val="center"/>
          </w:tcPr>
          <w:p w:rsidR="00542413" w:rsidRPr="00BD4CFB" w:rsidP="008F570D" w14:paraId="2166A45E" w14:textId="2D0DB7EF">
            <w:pPr>
              <w:tabs>
                <w:tab w:val="center" w:pos="4320"/>
                <w:tab w:val="right" w:pos="8640"/>
              </w:tabs>
              <w:jc w:val="center"/>
              <w:rPr>
                <w:sz w:val="20"/>
                <w:szCs w:val="20"/>
              </w:rPr>
            </w:pPr>
            <w:r>
              <w:rPr>
                <w:sz w:val="20"/>
                <w:szCs w:val="20"/>
              </w:rPr>
              <w:t>0.</w:t>
            </w:r>
            <w:r w:rsidR="00C06FE3">
              <w:rPr>
                <w:sz w:val="20"/>
                <w:szCs w:val="20"/>
              </w:rPr>
              <w:t>2</w:t>
            </w:r>
            <w:r>
              <w:rPr>
                <w:sz w:val="20"/>
                <w:szCs w:val="20"/>
              </w:rPr>
              <w:t>5</w:t>
            </w:r>
          </w:p>
        </w:tc>
        <w:tc>
          <w:tcPr>
            <w:tcW w:w="1019" w:type="dxa"/>
            <w:vAlign w:val="center"/>
          </w:tcPr>
          <w:p w:rsidR="00542413" w:rsidRPr="00BD4CFB" w:rsidP="00B312D0" w14:paraId="5A6C5F6C" w14:textId="27DFDB1C">
            <w:pPr>
              <w:tabs>
                <w:tab w:val="center" w:pos="4320"/>
                <w:tab w:val="right" w:pos="8640"/>
              </w:tabs>
              <w:jc w:val="center"/>
              <w:rPr>
                <w:sz w:val="20"/>
                <w:szCs w:val="20"/>
              </w:rPr>
            </w:pPr>
            <w:r>
              <w:rPr>
                <w:sz w:val="20"/>
                <w:szCs w:val="20"/>
              </w:rPr>
              <w:t>15</w:t>
            </w:r>
          </w:p>
        </w:tc>
        <w:tc>
          <w:tcPr>
            <w:tcW w:w="1044" w:type="dxa"/>
            <w:vAlign w:val="center"/>
          </w:tcPr>
          <w:p w:rsidR="00542413" w:rsidRPr="00BD4CFB" w:rsidP="008F570D" w14:paraId="4C12A145" w14:textId="0A40D73B">
            <w:pPr>
              <w:tabs>
                <w:tab w:val="center" w:pos="4320"/>
                <w:tab w:val="right" w:pos="8640"/>
              </w:tabs>
              <w:jc w:val="center"/>
              <w:rPr>
                <w:sz w:val="20"/>
                <w:szCs w:val="20"/>
              </w:rPr>
            </w:pPr>
            <w:r>
              <w:rPr>
                <w:sz w:val="20"/>
                <w:szCs w:val="20"/>
              </w:rPr>
              <w:t>$</w:t>
            </w:r>
            <w:r w:rsidR="00A72C49">
              <w:rPr>
                <w:sz w:val="20"/>
                <w:szCs w:val="20"/>
              </w:rPr>
              <w:t>45.28</w:t>
            </w:r>
          </w:p>
        </w:tc>
        <w:tc>
          <w:tcPr>
            <w:tcW w:w="1108" w:type="dxa"/>
            <w:vAlign w:val="center"/>
          </w:tcPr>
          <w:p w:rsidR="00542413" w:rsidRPr="00BD4CFB" w:rsidP="008F570D" w14:paraId="01C1A511" w14:textId="6A4D9FF6">
            <w:pPr>
              <w:tabs>
                <w:tab w:val="center" w:pos="4320"/>
                <w:tab w:val="right" w:pos="8640"/>
              </w:tabs>
              <w:jc w:val="center"/>
              <w:rPr>
                <w:sz w:val="20"/>
                <w:szCs w:val="20"/>
              </w:rPr>
            </w:pPr>
            <w:r>
              <w:rPr>
                <w:sz w:val="20"/>
                <w:szCs w:val="20"/>
              </w:rPr>
              <w:t>$679.20</w:t>
            </w:r>
          </w:p>
        </w:tc>
      </w:tr>
      <w:tr w14:paraId="79082FA8" w14:textId="77777777" w:rsidTr="00C06FE3">
        <w:tblPrEx>
          <w:tblW w:w="9124" w:type="dxa"/>
          <w:jc w:val="center"/>
          <w:tblLook w:val="00A0"/>
        </w:tblPrEx>
        <w:trPr>
          <w:trHeight w:val="432"/>
          <w:jc w:val="center"/>
        </w:trPr>
        <w:tc>
          <w:tcPr>
            <w:tcW w:w="2345" w:type="dxa"/>
            <w:vAlign w:val="center"/>
          </w:tcPr>
          <w:p w:rsidR="00C06FE3" w:rsidRPr="00BD4CFB" w:rsidP="00C06FE3" w14:paraId="27ED90F0" w14:textId="5352A061">
            <w:pPr>
              <w:tabs>
                <w:tab w:val="center" w:pos="4320"/>
                <w:tab w:val="right" w:pos="8640"/>
              </w:tabs>
              <w:rPr>
                <w:sz w:val="20"/>
                <w:szCs w:val="20"/>
              </w:rPr>
            </w:pPr>
            <w:r>
              <w:rPr>
                <w:sz w:val="20"/>
                <w:szCs w:val="20"/>
              </w:rPr>
              <w:t>PC Subrecipient Survey</w:t>
            </w:r>
          </w:p>
        </w:tc>
        <w:tc>
          <w:tcPr>
            <w:tcW w:w="1350" w:type="dxa"/>
            <w:vAlign w:val="center"/>
          </w:tcPr>
          <w:p w:rsidR="00C06FE3" w:rsidRPr="005207C4" w:rsidP="00C06FE3" w14:paraId="5FDE0035" w14:textId="78D44D21">
            <w:pPr>
              <w:tabs>
                <w:tab w:val="center" w:pos="4320"/>
                <w:tab w:val="right" w:pos="8640"/>
              </w:tabs>
              <w:jc w:val="center"/>
              <w:rPr>
                <w:sz w:val="20"/>
                <w:szCs w:val="20"/>
              </w:rPr>
            </w:pPr>
            <w:r w:rsidRPr="005207C4">
              <w:rPr>
                <w:sz w:val="20"/>
                <w:szCs w:val="20"/>
              </w:rPr>
              <w:t>60</w:t>
            </w:r>
          </w:p>
        </w:tc>
        <w:tc>
          <w:tcPr>
            <w:tcW w:w="1253" w:type="dxa"/>
            <w:vAlign w:val="center"/>
          </w:tcPr>
          <w:p w:rsidR="00C06FE3" w:rsidRPr="00BD4CFB" w:rsidP="00C06FE3" w14:paraId="345E7A43" w14:textId="1470543C">
            <w:pPr>
              <w:tabs>
                <w:tab w:val="center" w:pos="4320"/>
                <w:tab w:val="right" w:pos="8640"/>
              </w:tabs>
              <w:jc w:val="center"/>
              <w:rPr>
                <w:sz w:val="20"/>
                <w:szCs w:val="20"/>
              </w:rPr>
            </w:pPr>
            <w:r>
              <w:rPr>
                <w:sz w:val="20"/>
                <w:szCs w:val="20"/>
              </w:rPr>
              <w:t>1</w:t>
            </w:r>
          </w:p>
        </w:tc>
        <w:tc>
          <w:tcPr>
            <w:tcW w:w="1005" w:type="dxa"/>
            <w:vAlign w:val="center"/>
          </w:tcPr>
          <w:p w:rsidR="00C06FE3" w:rsidRPr="00BD4CFB" w:rsidP="00C06FE3" w14:paraId="27851FED" w14:textId="02560B4B">
            <w:pPr>
              <w:tabs>
                <w:tab w:val="center" w:pos="4320"/>
                <w:tab w:val="right" w:pos="8640"/>
              </w:tabs>
              <w:jc w:val="center"/>
              <w:rPr>
                <w:sz w:val="20"/>
                <w:szCs w:val="20"/>
              </w:rPr>
            </w:pPr>
            <w:r>
              <w:rPr>
                <w:sz w:val="20"/>
                <w:szCs w:val="20"/>
              </w:rPr>
              <w:t>0.25</w:t>
            </w:r>
          </w:p>
        </w:tc>
        <w:tc>
          <w:tcPr>
            <w:tcW w:w="1019" w:type="dxa"/>
            <w:vAlign w:val="center"/>
          </w:tcPr>
          <w:p w:rsidR="00C06FE3" w:rsidRPr="00BD4CFB" w:rsidP="00C06FE3" w14:paraId="2A6A15B1" w14:textId="64B38E6F">
            <w:pPr>
              <w:tabs>
                <w:tab w:val="center" w:pos="4320"/>
                <w:tab w:val="right" w:pos="8640"/>
              </w:tabs>
              <w:jc w:val="center"/>
              <w:rPr>
                <w:sz w:val="20"/>
                <w:szCs w:val="20"/>
              </w:rPr>
            </w:pPr>
            <w:r>
              <w:rPr>
                <w:sz w:val="20"/>
                <w:szCs w:val="20"/>
              </w:rPr>
              <w:t>15</w:t>
            </w:r>
          </w:p>
        </w:tc>
        <w:tc>
          <w:tcPr>
            <w:tcW w:w="1044" w:type="dxa"/>
            <w:vAlign w:val="center"/>
          </w:tcPr>
          <w:p w:rsidR="00C06FE3" w:rsidRPr="00BD4CFB" w:rsidP="00C06FE3" w14:paraId="190D3377" w14:textId="0C5D6F43">
            <w:pPr>
              <w:tabs>
                <w:tab w:val="center" w:pos="4320"/>
                <w:tab w:val="right" w:pos="8640"/>
              </w:tabs>
              <w:jc w:val="center"/>
              <w:rPr>
                <w:sz w:val="20"/>
                <w:szCs w:val="20"/>
              </w:rPr>
            </w:pPr>
            <w:r>
              <w:rPr>
                <w:sz w:val="20"/>
                <w:szCs w:val="20"/>
              </w:rPr>
              <w:t>$45.28</w:t>
            </w:r>
          </w:p>
        </w:tc>
        <w:tc>
          <w:tcPr>
            <w:tcW w:w="1108" w:type="dxa"/>
            <w:vAlign w:val="center"/>
          </w:tcPr>
          <w:p w:rsidR="00C06FE3" w:rsidRPr="00BD4CFB" w:rsidP="00C06FE3" w14:paraId="2A7C2E47" w14:textId="05B9BF73">
            <w:pPr>
              <w:tabs>
                <w:tab w:val="center" w:pos="4320"/>
                <w:tab w:val="right" w:pos="8640"/>
              </w:tabs>
              <w:jc w:val="center"/>
              <w:rPr>
                <w:sz w:val="20"/>
                <w:szCs w:val="20"/>
              </w:rPr>
            </w:pPr>
            <w:r>
              <w:rPr>
                <w:sz w:val="20"/>
                <w:szCs w:val="20"/>
              </w:rPr>
              <w:t>$679.20</w:t>
            </w:r>
          </w:p>
        </w:tc>
      </w:tr>
      <w:tr w14:paraId="5A8FEF46" w14:textId="77777777" w:rsidTr="00C06FE3">
        <w:tblPrEx>
          <w:tblW w:w="9124" w:type="dxa"/>
          <w:jc w:val="center"/>
          <w:tblLook w:val="00A0"/>
        </w:tblPrEx>
        <w:trPr>
          <w:trHeight w:val="432"/>
          <w:jc w:val="center"/>
        </w:trPr>
        <w:tc>
          <w:tcPr>
            <w:tcW w:w="5953" w:type="dxa"/>
            <w:gridSpan w:val="4"/>
            <w:vAlign w:val="center"/>
          </w:tcPr>
          <w:p w:rsidR="00542413" w:rsidRPr="00BD4CFB" w:rsidP="00542413" w14:paraId="7AF834AA" w14:textId="1AE72F69">
            <w:pPr>
              <w:tabs>
                <w:tab w:val="center" w:pos="4320"/>
                <w:tab w:val="right" w:pos="8640"/>
              </w:tabs>
              <w:jc w:val="right"/>
              <w:rPr>
                <w:sz w:val="20"/>
                <w:szCs w:val="20"/>
              </w:rPr>
            </w:pPr>
            <w:r>
              <w:rPr>
                <w:sz w:val="20"/>
                <w:szCs w:val="20"/>
              </w:rPr>
              <w:t xml:space="preserve">Total Burden and Cost Estimates: </w:t>
            </w:r>
          </w:p>
        </w:tc>
        <w:tc>
          <w:tcPr>
            <w:tcW w:w="1019" w:type="dxa"/>
            <w:vAlign w:val="center"/>
          </w:tcPr>
          <w:p w:rsidR="00542413" w:rsidRPr="00BD4CFB" w:rsidP="00B312D0" w14:paraId="6B95613A" w14:textId="62AAB637">
            <w:pPr>
              <w:tabs>
                <w:tab w:val="center" w:pos="4320"/>
                <w:tab w:val="right" w:pos="8640"/>
              </w:tabs>
              <w:jc w:val="center"/>
              <w:rPr>
                <w:sz w:val="20"/>
                <w:szCs w:val="20"/>
              </w:rPr>
            </w:pPr>
            <w:r>
              <w:rPr>
                <w:sz w:val="20"/>
                <w:szCs w:val="20"/>
              </w:rPr>
              <w:t>30</w:t>
            </w:r>
          </w:p>
        </w:tc>
        <w:tc>
          <w:tcPr>
            <w:tcW w:w="1044" w:type="dxa"/>
            <w:vAlign w:val="center"/>
          </w:tcPr>
          <w:p w:rsidR="00542413" w:rsidRPr="00BD4CFB" w:rsidP="00B312D0" w14:paraId="42139E65" w14:textId="0B1159D8">
            <w:pPr>
              <w:tabs>
                <w:tab w:val="center" w:pos="4320"/>
                <w:tab w:val="right" w:pos="8640"/>
              </w:tabs>
              <w:jc w:val="center"/>
              <w:rPr>
                <w:sz w:val="20"/>
                <w:szCs w:val="20"/>
              </w:rPr>
            </w:pPr>
            <w:r>
              <w:rPr>
                <w:sz w:val="20"/>
                <w:szCs w:val="20"/>
              </w:rPr>
              <w:t>$45.28</w:t>
            </w:r>
          </w:p>
        </w:tc>
        <w:tc>
          <w:tcPr>
            <w:tcW w:w="1108" w:type="dxa"/>
            <w:vAlign w:val="center"/>
          </w:tcPr>
          <w:p w:rsidR="00542413" w:rsidRPr="00BD4CFB" w:rsidP="00B312D0" w14:paraId="05B06143" w14:textId="56E7A1E0">
            <w:pPr>
              <w:tabs>
                <w:tab w:val="center" w:pos="4320"/>
                <w:tab w:val="right" w:pos="8640"/>
              </w:tabs>
              <w:jc w:val="center"/>
              <w:rPr>
                <w:sz w:val="20"/>
                <w:szCs w:val="20"/>
              </w:rPr>
            </w:pPr>
            <w:r>
              <w:rPr>
                <w:sz w:val="20"/>
                <w:szCs w:val="20"/>
              </w:rPr>
              <w:t>$</w:t>
            </w:r>
            <w:r w:rsidR="00C06FE3">
              <w:rPr>
                <w:sz w:val="20"/>
                <w:szCs w:val="20"/>
              </w:rPr>
              <w:t>1,358.40</w:t>
            </w:r>
          </w:p>
        </w:tc>
      </w:tr>
    </w:tbl>
    <w:p w:rsidR="00436F5E" w:rsidP="4AE5982E" w14:paraId="4FC5BEDE" w14:textId="77777777"/>
    <w:p w:rsidR="00945CD6" w:rsidRPr="0072204D" w:rsidP="4AE5982E" w14:paraId="7BDBE261" w14:textId="77777777">
      <w:pPr>
        <w:spacing w:after="120"/>
        <w:rPr>
          <w:b/>
          <w:bCs/>
        </w:rPr>
      </w:pPr>
      <w:r w:rsidRPr="4AE5982E">
        <w:rPr>
          <w:b/>
          <w:bCs/>
        </w:rPr>
        <w:t xml:space="preserve">A13. </w:t>
      </w:r>
      <w:r w:rsidRPr="4AE5982E">
        <w:rPr>
          <w:b/>
          <w:bCs/>
        </w:rPr>
        <w:t>Cost Burden to Respondents or Record Keepers</w:t>
      </w:r>
    </w:p>
    <w:p w:rsidR="00D90EF6" w:rsidRPr="00B61383" w:rsidP="4AE5982E" w14:paraId="3D88B0B4" w14:textId="77777777">
      <w:r w:rsidRPr="00B61383">
        <w:t>There are no additional costs to respondents.</w:t>
      </w:r>
    </w:p>
    <w:p w:rsidR="002338AC" w:rsidP="4AE5982E" w14:paraId="136F28B3" w14:textId="77777777"/>
    <w:p w:rsidR="00945CD6" w:rsidRPr="0072204D" w:rsidP="4AE5982E" w14:paraId="2A791D57" w14:textId="77777777">
      <w:pPr>
        <w:spacing w:after="60"/>
        <w:rPr>
          <w:b/>
          <w:bCs/>
        </w:rPr>
      </w:pPr>
      <w:r w:rsidRPr="4AE5982E">
        <w:rPr>
          <w:b/>
          <w:bCs/>
        </w:rPr>
        <w:t xml:space="preserve">A14. </w:t>
      </w:r>
      <w:r w:rsidRPr="4AE5982E">
        <w:rPr>
          <w:b/>
          <w:bCs/>
        </w:rPr>
        <w:t>Estimate of Cost to the Federal Government</w:t>
      </w:r>
    </w:p>
    <w:p w:rsidR="002338AC" w:rsidP="4AE5982E" w14:paraId="036762EF" w14:textId="4E171992">
      <w:r w:rsidRPr="4AE5982E">
        <w:t xml:space="preserve">The total cost for the data collection activities </w:t>
      </w:r>
      <w:r w:rsidRPr="4AE5982E">
        <w:t>under</w:t>
      </w:r>
      <w:r w:rsidRPr="4AE5982E">
        <w:t xml:space="preserve"> this current request will be $</w:t>
      </w:r>
      <w:r w:rsidR="00A378C6">
        <w:t>4,500</w:t>
      </w:r>
      <w:r w:rsidRPr="4AE5982E">
        <w:t xml:space="preserve">. </w:t>
      </w:r>
    </w:p>
    <w:p w:rsidR="0033072C" w:rsidP="4AE5982E" w14:paraId="10E2AD7E" w14:textId="77777777"/>
    <w:p w:rsidR="00945CD6" w:rsidP="4AE5982E" w14:paraId="4B385444" w14:textId="77777777">
      <w:pPr>
        <w:spacing w:after="120"/>
        <w:rPr>
          <w:b/>
          <w:bCs/>
        </w:rPr>
      </w:pPr>
      <w:r w:rsidRPr="4AE5982E">
        <w:rPr>
          <w:b/>
          <w:bCs/>
        </w:rPr>
        <w:t xml:space="preserve">A15. </w:t>
      </w:r>
      <w:r w:rsidRPr="4AE5982E">
        <w:rPr>
          <w:b/>
          <w:bCs/>
        </w:rPr>
        <w:t>Change in Burden</w:t>
      </w:r>
    </w:p>
    <w:p w:rsidR="00CB2ED6" w:rsidRPr="00CB2ED6" w:rsidP="4AE5982E" w14:paraId="4B05A013" w14:textId="02FAB3E5">
      <w:r w:rsidRPr="4AE5982E">
        <w:t xml:space="preserve">This is for an individual information collection under the umbrella </w:t>
      </w:r>
      <w:r w:rsidRPr="4AE5982E" w:rsidR="001140AB">
        <w:t>formative generic clearance for program support (0970-0531</w:t>
      </w:r>
      <w:r w:rsidRPr="4AE5982E" w:rsidR="00542413">
        <w:t>).</w:t>
      </w:r>
    </w:p>
    <w:p w:rsidR="0033072C" w:rsidP="4AE5982E" w14:paraId="580F3480" w14:textId="77777777">
      <w:pPr>
        <w:ind w:left="360"/>
      </w:pPr>
    </w:p>
    <w:p w:rsidR="00945CD6" w:rsidRPr="005A64C5" w:rsidP="4AE5982E" w14:paraId="347FE16D" w14:textId="77777777">
      <w:pPr>
        <w:spacing w:after="60"/>
        <w:rPr>
          <w:b/>
          <w:bCs/>
        </w:rPr>
      </w:pPr>
      <w:r w:rsidRPr="4AE5982E">
        <w:rPr>
          <w:b/>
          <w:bCs/>
        </w:rPr>
        <w:t xml:space="preserve">A16. </w:t>
      </w:r>
      <w:r w:rsidRPr="4AE5982E">
        <w:rPr>
          <w:b/>
          <w:bCs/>
        </w:rPr>
        <w:t>Plan and Time Schedule for Information Collection, Tabulation and Publication</w:t>
      </w:r>
    </w:p>
    <w:p w:rsidR="002338AC" w:rsidP="4AE5982E" w14:paraId="412227CC" w14:textId="4CAD55E9">
      <w:r>
        <w:t>This data collection will take place in May and June 2026</w:t>
      </w:r>
      <w:r w:rsidR="003F00F6">
        <w:t xml:space="preserve"> and will be used to inform monitoring reviews of recipient headquarters. </w:t>
      </w:r>
      <w:r>
        <w:t>ORR does not plan to publish the results of this data collection.</w:t>
      </w:r>
    </w:p>
    <w:p w:rsidR="002338AC" w:rsidP="4AE5982E" w14:paraId="5D35D3D0" w14:textId="77777777">
      <w:pPr>
        <w:rPr>
          <w:b/>
          <w:bCs/>
        </w:rPr>
      </w:pPr>
    </w:p>
    <w:p w:rsidR="00945CD6" w:rsidRPr="0072204D" w:rsidP="4AE5982E" w14:paraId="750BBE88" w14:textId="77777777">
      <w:pPr>
        <w:spacing w:after="120"/>
        <w:rPr>
          <w:b/>
          <w:bCs/>
        </w:rPr>
      </w:pPr>
      <w:r w:rsidRPr="4AE5982E">
        <w:rPr>
          <w:b/>
          <w:bCs/>
        </w:rPr>
        <w:t xml:space="preserve">A17. </w:t>
      </w:r>
      <w:r w:rsidRPr="4AE5982E">
        <w:rPr>
          <w:b/>
          <w:bCs/>
        </w:rPr>
        <w:t>Reasons Not to Display OMB Expiration Date</w:t>
      </w:r>
    </w:p>
    <w:p w:rsidR="00D90EF6" w:rsidRPr="003F00F6" w:rsidP="4AE5982E" w14:paraId="5E995DCB" w14:textId="77777777">
      <w:r w:rsidRPr="003F00F6">
        <w:t>All instruments will display the expiration date for OMB approval.</w:t>
      </w:r>
    </w:p>
    <w:p w:rsidR="002338AC" w:rsidP="4AE5982E" w14:paraId="4920E2AE" w14:textId="77777777">
      <w:pPr>
        <w:ind w:left="360"/>
      </w:pPr>
    </w:p>
    <w:p w:rsidR="00945CD6" w:rsidRPr="000B5EA8" w:rsidP="4AE5982E" w14:paraId="0DA51717" w14:textId="77777777">
      <w:pPr>
        <w:spacing w:after="120"/>
        <w:rPr>
          <w:b/>
          <w:bCs/>
        </w:rPr>
      </w:pPr>
      <w:r w:rsidRPr="4AE5982E">
        <w:rPr>
          <w:b/>
          <w:bCs/>
        </w:rPr>
        <w:t>A18.</w:t>
      </w:r>
      <w:r w:rsidRPr="4AE5982E" w:rsidR="000B5EA8">
        <w:rPr>
          <w:b/>
          <w:bCs/>
        </w:rPr>
        <w:t xml:space="preserve"> Exceptions to Certification for Paperwork Reduction Act Submissions</w:t>
      </w:r>
    </w:p>
    <w:p w:rsidR="0072204D" w:rsidRPr="0072204D" w:rsidP="4AE5982E" w14:paraId="4DA2F605" w14:textId="4A1D3AB1">
      <w:r w:rsidRPr="003F00F6">
        <w:t>No exceptions are necessary for this information collection.</w:t>
      </w:r>
      <w:r>
        <w:tab/>
      </w:r>
    </w:p>
    <w:sectPr w:rsidSect="00D30275">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D30275"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48CB8D4"/>
    <w:multiLevelType w:val="hybridMultilevel"/>
    <w:tmpl w:val="D598D11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2">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69123397">
    <w:abstractNumId w:val="14"/>
  </w:num>
  <w:num w:numId="2" w16cid:durableId="1633750200">
    <w:abstractNumId w:val="4"/>
  </w:num>
  <w:num w:numId="3" w16cid:durableId="150105787">
    <w:abstractNumId w:val="1"/>
  </w:num>
  <w:num w:numId="4" w16cid:durableId="1266353479">
    <w:abstractNumId w:val="16"/>
  </w:num>
  <w:num w:numId="5" w16cid:durableId="1795516196">
    <w:abstractNumId w:val="8"/>
  </w:num>
  <w:num w:numId="6" w16cid:durableId="1552888304">
    <w:abstractNumId w:val="9"/>
  </w:num>
  <w:num w:numId="7" w16cid:durableId="1471049872">
    <w:abstractNumId w:val="18"/>
  </w:num>
  <w:num w:numId="8" w16cid:durableId="1179468217">
    <w:abstractNumId w:val="17"/>
  </w:num>
  <w:num w:numId="9" w16cid:durableId="241454629">
    <w:abstractNumId w:val="11"/>
  </w:num>
  <w:num w:numId="10" w16cid:durableId="317728807">
    <w:abstractNumId w:val="13"/>
  </w:num>
  <w:num w:numId="11" w16cid:durableId="2122989020">
    <w:abstractNumId w:val="2"/>
  </w:num>
  <w:num w:numId="12" w16cid:durableId="302807846">
    <w:abstractNumId w:val="0"/>
  </w:num>
  <w:num w:numId="13" w16cid:durableId="1927495643">
    <w:abstractNumId w:val="3"/>
  </w:num>
  <w:num w:numId="14" w16cid:durableId="1127315864">
    <w:abstractNumId w:val="19"/>
  </w:num>
  <w:num w:numId="15" w16cid:durableId="629628973">
    <w:abstractNumId w:val="6"/>
  </w:num>
  <w:num w:numId="16" w16cid:durableId="975182925">
    <w:abstractNumId w:val="7"/>
  </w:num>
  <w:num w:numId="17" w16cid:durableId="1253317598">
    <w:abstractNumId w:val="23"/>
  </w:num>
  <w:num w:numId="18" w16cid:durableId="1805856198">
    <w:abstractNumId w:val="24"/>
  </w:num>
  <w:num w:numId="19" w16cid:durableId="1301499089">
    <w:abstractNumId w:val="21"/>
  </w:num>
  <w:num w:numId="20" w16cid:durableId="173958953">
    <w:abstractNumId w:val="20"/>
  </w:num>
  <w:num w:numId="21" w16cid:durableId="866790658">
    <w:abstractNumId w:val="15"/>
  </w:num>
  <w:num w:numId="22" w16cid:durableId="2115468468">
    <w:abstractNumId w:val="22"/>
  </w:num>
  <w:num w:numId="23" w16cid:durableId="1927038317">
    <w:abstractNumId w:val="12"/>
  </w:num>
  <w:num w:numId="24" w16cid:durableId="138422344">
    <w:abstractNumId w:val="10"/>
  </w:num>
  <w:num w:numId="25" w16cid:durableId="6433941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1453E"/>
    <w:rsid w:val="000431B8"/>
    <w:rsid w:val="00084B69"/>
    <w:rsid w:val="0008643E"/>
    <w:rsid w:val="00091C59"/>
    <w:rsid w:val="00091D22"/>
    <w:rsid w:val="000964A6"/>
    <w:rsid w:val="000B55BB"/>
    <w:rsid w:val="000B5EA8"/>
    <w:rsid w:val="000C02DC"/>
    <w:rsid w:val="000D53DF"/>
    <w:rsid w:val="000F25D4"/>
    <w:rsid w:val="001140AB"/>
    <w:rsid w:val="001176A6"/>
    <w:rsid w:val="00124EBF"/>
    <w:rsid w:val="00130457"/>
    <w:rsid w:val="0016012E"/>
    <w:rsid w:val="00177982"/>
    <w:rsid w:val="00183C0F"/>
    <w:rsid w:val="001A5AF9"/>
    <w:rsid w:val="001C4D60"/>
    <w:rsid w:val="00201F72"/>
    <w:rsid w:val="002034D8"/>
    <w:rsid w:val="0020382F"/>
    <w:rsid w:val="00204A6A"/>
    <w:rsid w:val="002231FA"/>
    <w:rsid w:val="002338AC"/>
    <w:rsid w:val="00234E8D"/>
    <w:rsid w:val="00235A6D"/>
    <w:rsid w:val="002408DE"/>
    <w:rsid w:val="00250596"/>
    <w:rsid w:val="0025173C"/>
    <w:rsid w:val="00253148"/>
    <w:rsid w:val="00292B70"/>
    <w:rsid w:val="002A1F68"/>
    <w:rsid w:val="002A319B"/>
    <w:rsid w:val="002B4DBE"/>
    <w:rsid w:val="002C4F75"/>
    <w:rsid w:val="002D4B0A"/>
    <w:rsid w:val="002F3EDE"/>
    <w:rsid w:val="003277CF"/>
    <w:rsid w:val="00327B2E"/>
    <w:rsid w:val="0033072C"/>
    <w:rsid w:val="00374DAB"/>
    <w:rsid w:val="0038291A"/>
    <w:rsid w:val="003C4DBE"/>
    <w:rsid w:val="003C4F36"/>
    <w:rsid w:val="003D5231"/>
    <w:rsid w:val="003F00F6"/>
    <w:rsid w:val="00412C38"/>
    <w:rsid w:val="004222F8"/>
    <w:rsid w:val="00422C1B"/>
    <w:rsid w:val="00436F5E"/>
    <w:rsid w:val="004522FF"/>
    <w:rsid w:val="004554B1"/>
    <w:rsid w:val="00456E2F"/>
    <w:rsid w:val="00470486"/>
    <w:rsid w:val="00482DDE"/>
    <w:rsid w:val="004A44DD"/>
    <w:rsid w:val="004B587E"/>
    <w:rsid w:val="004C2ADD"/>
    <w:rsid w:val="004C670F"/>
    <w:rsid w:val="004D6CA9"/>
    <w:rsid w:val="004F4E1D"/>
    <w:rsid w:val="005046F0"/>
    <w:rsid w:val="00520737"/>
    <w:rsid w:val="005207C4"/>
    <w:rsid w:val="005353B7"/>
    <w:rsid w:val="00541024"/>
    <w:rsid w:val="00542413"/>
    <w:rsid w:val="0057439E"/>
    <w:rsid w:val="005A64C5"/>
    <w:rsid w:val="005F2061"/>
    <w:rsid w:val="006010CA"/>
    <w:rsid w:val="00607351"/>
    <w:rsid w:val="006079B6"/>
    <w:rsid w:val="006228E1"/>
    <w:rsid w:val="00651DBA"/>
    <w:rsid w:val="00657424"/>
    <w:rsid w:val="00680FFE"/>
    <w:rsid w:val="006A7EFA"/>
    <w:rsid w:val="006B6845"/>
    <w:rsid w:val="006C0DE9"/>
    <w:rsid w:val="006D2637"/>
    <w:rsid w:val="00701045"/>
    <w:rsid w:val="00711BC5"/>
    <w:rsid w:val="0072204D"/>
    <w:rsid w:val="007250A3"/>
    <w:rsid w:val="00736F1D"/>
    <w:rsid w:val="007436AA"/>
    <w:rsid w:val="007541C3"/>
    <w:rsid w:val="00772457"/>
    <w:rsid w:val="0077465C"/>
    <w:rsid w:val="00784137"/>
    <w:rsid w:val="00786F91"/>
    <w:rsid w:val="007A075B"/>
    <w:rsid w:val="007D295D"/>
    <w:rsid w:val="00806712"/>
    <w:rsid w:val="008441FD"/>
    <w:rsid w:val="00865117"/>
    <w:rsid w:val="0087234E"/>
    <w:rsid w:val="00875026"/>
    <w:rsid w:val="00877346"/>
    <w:rsid w:val="00894847"/>
    <w:rsid w:val="008B7F2C"/>
    <w:rsid w:val="008C21CA"/>
    <w:rsid w:val="008C6A6B"/>
    <w:rsid w:val="008C78B4"/>
    <w:rsid w:val="008F10A2"/>
    <w:rsid w:val="008F570D"/>
    <w:rsid w:val="00932D71"/>
    <w:rsid w:val="00945CD6"/>
    <w:rsid w:val="00957AE3"/>
    <w:rsid w:val="009648CE"/>
    <w:rsid w:val="00971EF1"/>
    <w:rsid w:val="00984BBF"/>
    <w:rsid w:val="00984CA2"/>
    <w:rsid w:val="00984D73"/>
    <w:rsid w:val="009B1638"/>
    <w:rsid w:val="009D47D2"/>
    <w:rsid w:val="009E28C8"/>
    <w:rsid w:val="00A020E8"/>
    <w:rsid w:val="00A35B0D"/>
    <w:rsid w:val="00A35E23"/>
    <w:rsid w:val="00A378C6"/>
    <w:rsid w:val="00A412C5"/>
    <w:rsid w:val="00A44209"/>
    <w:rsid w:val="00A6398A"/>
    <w:rsid w:val="00A72C49"/>
    <w:rsid w:val="00AA29C0"/>
    <w:rsid w:val="00AF59F0"/>
    <w:rsid w:val="00B14396"/>
    <w:rsid w:val="00B2204E"/>
    <w:rsid w:val="00B312D0"/>
    <w:rsid w:val="00B3693D"/>
    <w:rsid w:val="00B500DF"/>
    <w:rsid w:val="00B61383"/>
    <w:rsid w:val="00B66874"/>
    <w:rsid w:val="00B73ACF"/>
    <w:rsid w:val="00B84547"/>
    <w:rsid w:val="00B91D97"/>
    <w:rsid w:val="00BA117B"/>
    <w:rsid w:val="00BB13A6"/>
    <w:rsid w:val="00BD4CFB"/>
    <w:rsid w:val="00BE7952"/>
    <w:rsid w:val="00BF567C"/>
    <w:rsid w:val="00C06FE3"/>
    <w:rsid w:val="00C12B95"/>
    <w:rsid w:val="00C1674B"/>
    <w:rsid w:val="00C56ACA"/>
    <w:rsid w:val="00C56EA9"/>
    <w:rsid w:val="00CB2ED6"/>
    <w:rsid w:val="00CC2CD1"/>
    <w:rsid w:val="00CE290C"/>
    <w:rsid w:val="00CE6EFF"/>
    <w:rsid w:val="00CF34A5"/>
    <w:rsid w:val="00D012A6"/>
    <w:rsid w:val="00D06D5F"/>
    <w:rsid w:val="00D1251A"/>
    <w:rsid w:val="00D277B1"/>
    <w:rsid w:val="00D30275"/>
    <w:rsid w:val="00D44EA5"/>
    <w:rsid w:val="00D519D9"/>
    <w:rsid w:val="00D75259"/>
    <w:rsid w:val="00D90EF6"/>
    <w:rsid w:val="00D964BC"/>
    <w:rsid w:val="00DA0B18"/>
    <w:rsid w:val="00DB1415"/>
    <w:rsid w:val="00DB16A0"/>
    <w:rsid w:val="00E00860"/>
    <w:rsid w:val="00E05A0A"/>
    <w:rsid w:val="00E2119D"/>
    <w:rsid w:val="00E27357"/>
    <w:rsid w:val="00E41D46"/>
    <w:rsid w:val="00E50723"/>
    <w:rsid w:val="00E601A7"/>
    <w:rsid w:val="00E72E9A"/>
    <w:rsid w:val="00E86DB9"/>
    <w:rsid w:val="00EA12DE"/>
    <w:rsid w:val="00EA3EE7"/>
    <w:rsid w:val="00EB5B54"/>
    <w:rsid w:val="00EC1312"/>
    <w:rsid w:val="00EC26A5"/>
    <w:rsid w:val="00EC329F"/>
    <w:rsid w:val="00F514D1"/>
    <w:rsid w:val="00F73374"/>
    <w:rsid w:val="00FA05FE"/>
    <w:rsid w:val="00FA3502"/>
    <w:rsid w:val="00FC04C5"/>
    <w:rsid w:val="00FC196A"/>
    <w:rsid w:val="00FD1B70"/>
    <w:rsid w:val="00FD7600"/>
    <w:rsid w:val="00FF3048"/>
    <w:rsid w:val="02B37170"/>
    <w:rsid w:val="15FDC920"/>
    <w:rsid w:val="171CA292"/>
    <w:rsid w:val="27D9EF1C"/>
    <w:rsid w:val="28605650"/>
    <w:rsid w:val="2DFAF7AB"/>
    <w:rsid w:val="33DE2EAF"/>
    <w:rsid w:val="4AE5982E"/>
    <w:rsid w:val="4CD88284"/>
    <w:rsid w:val="4ECB43AA"/>
    <w:rsid w:val="509576EC"/>
    <w:rsid w:val="55429B8A"/>
    <w:rsid w:val="55E4A8DF"/>
    <w:rsid w:val="58C18F5F"/>
    <w:rsid w:val="6C54484E"/>
    <w:rsid w:val="701F7280"/>
    <w:rsid w:val="7649E698"/>
    <w:rsid w:val="784636E1"/>
    <w:rsid w:val="788048E4"/>
    <w:rsid w:val="7EC2CC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D30275"/>
    <w:rPr>
      <w:sz w:val="24"/>
      <w:szCs w:val="24"/>
    </w:rPr>
  </w:style>
  <w:style w:type="character" w:customStyle="1" w:styleId="normaltextrun">
    <w:name w:val="normaltextrun"/>
    <w:basedOn w:val="DefaultParagraphFont"/>
    <w:rsid w:val="000C0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stru.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Matthew, Resa (ACF)</DisplayName>
        <AccountId>49</AccountId>
        <AccountType/>
      </UserInfo>
      <UserInfo>
        <DisplayName>Sawyer, Chad (ACF)</DisplayName>
        <AccountId>148</AccountId>
        <AccountType/>
      </UserInfo>
    </SharedWithUsers>
    <TaxCatchAll xmlns="8e93af26-c2f7-4713-98b4-0ec2b43fceef" xsi:nil="true"/>
    <lcf76f155ced4ddcb4097134ff3c332f xmlns="3c1caa5a-c780-48ca-a6c9-b482f661779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4" ma:contentTypeDescription="Create a new document." ma:contentTypeScope="" ma:versionID="fcac229ffeb652c84c161d67b32abffc">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818bbe77bcef2a51ea4d7205cdee5bc"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5824a03-8cda-4583-95e7-a12d0fdc5562}" ma:internalName="TaxCatchAll" ma:showField="CatchAllData" ma:web="8e93af26-c2f7-4713-98b4-0ec2b43fc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2.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3.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8e93af26-c2f7-4713-98b4-0ec2b43fceef"/>
    <ds:schemaRef ds:uri="3c1caa5a-c780-48ca-a6c9-b482f661779f"/>
  </ds:schemaRefs>
</ds:datastoreItem>
</file>

<file path=customXml/itemProps4.xml><?xml version="1.0" encoding="utf-8"?>
<ds:datastoreItem xmlns:ds="http://schemas.openxmlformats.org/officeDocument/2006/customXml" ds:itemID="{70210596-B38B-4346-ACCB-028DD84CE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1008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3</cp:revision>
  <cp:lastPrinted>2009-01-26T16:35:00Z</cp:lastPrinted>
  <dcterms:created xsi:type="dcterms:W3CDTF">2026-04-21T13:40:00Z</dcterms:created>
  <dcterms:modified xsi:type="dcterms:W3CDTF">2026-04-22T09:09:00Z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docLang">
    <vt:lpwstr>en</vt:lpwstr>
  </property>
  <property fmtid="{D5CDD505-2E9C-101B-9397-08002B2CF9AE}" pid="4" name="MediaServiceImageTags">
    <vt:lpwstr/>
  </property>
</Properties>
</file>