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1B6" w:rsidRPr="00E942E4" w:rsidP="00E942E4" w14:paraId="4FA039BF" w14:textId="77777777">
      <w:pPr>
        <w:widowControl w:val="0"/>
        <w:jc w:val="center"/>
      </w:pPr>
    </w:p>
    <w:p w:rsidR="00FE31B6" w:rsidRPr="00E942E4" w:rsidP="00E942E4" w14:paraId="77FE0D3B" w14:textId="77777777">
      <w:pPr>
        <w:widowControl w:val="0"/>
        <w:jc w:val="center"/>
      </w:pPr>
    </w:p>
    <w:p w:rsidR="006F2B51" w:rsidRPr="00E942E4" w:rsidP="00E942E4" w14:paraId="32BA7411" w14:textId="50D434E5">
      <w:pPr>
        <w:widowControl w:val="0"/>
        <w:jc w:val="center"/>
      </w:pPr>
      <w:r w:rsidRPr="00E942E4">
        <w:t>DEPARTMENT OF JUSTICE</w:t>
      </w:r>
    </w:p>
    <w:p w:rsidR="006F2B51" w:rsidRPr="00E942E4" w:rsidP="00E942E4" w14:paraId="3DF2AE3C" w14:textId="29595A0D">
      <w:pPr>
        <w:widowControl w:val="0"/>
        <w:jc w:val="center"/>
      </w:pPr>
      <w:r w:rsidRPr="00E942E4">
        <w:t>Bureau of Alcohol, Tobacco, Firearms</w:t>
      </w:r>
      <w:r w:rsidRPr="00E942E4" w:rsidR="00632856">
        <w:t>,</w:t>
      </w:r>
      <w:r w:rsidRPr="00E942E4">
        <w:t xml:space="preserve"> and Explosives</w:t>
      </w:r>
      <w:r w:rsidRPr="00E942E4" w:rsidR="00632856">
        <w:t xml:space="preserve"> (ATF)</w:t>
      </w:r>
    </w:p>
    <w:p w:rsidR="00FA5E6D" w:rsidRPr="00E942E4" w:rsidP="00E942E4" w14:paraId="2212FA02" w14:textId="54E59C1C">
      <w:pPr>
        <w:widowControl w:val="0"/>
        <w:jc w:val="center"/>
      </w:pPr>
      <w:r w:rsidRPr="00E942E4">
        <w:t>Information Collection Request (ICR)</w:t>
      </w:r>
    </w:p>
    <w:p w:rsidR="006F2B51" w:rsidRPr="00E942E4" w:rsidP="00E942E4" w14:paraId="4D0DD9C5" w14:textId="77777777">
      <w:pPr>
        <w:widowControl w:val="0"/>
        <w:jc w:val="center"/>
      </w:pPr>
      <w:r w:rsidRPr="00E942E4">
        <w:t xml:space="preserve"> OMB </w:t>
      </w:r>
      <w:r w:rsidRPr="00E942E4">
        <w:t>1140-0066</w:t>
      </w:r>
    </w:p>
    <w:p w:rsidR="006F2B51" w:rsidRPr="00F414CD" w:rsidP="00E942E4" w14:paraId="27683981" w14:textId="29A91165">
      <w:pPr>
        <w:widowControl w:val="0"/>
        <w:jc w:val="center"/>
        <w:rPr>
          <w:b/>
          <w:bCs/>
        </w:rPr>
      </w:pPr>
      <w:r w:rsidRPr="00F414CD">
        <w:rPr>
          <w:b/>
          <w:bCs/>
        </w:rPr>
        <w:t>Required</w:t>
      </w:r>
      <w:r w:rsidRPr="00F414CD">
        <w:rPr>
          <w:b/>
          <w:bCs/>
        </w:rPr>
        <w:t xml:space="preserve"> Records</w:t>
      </w:r>
      <w:r w:rsidRPr="00F414CD" w:rsidR="0071434D">
        <w:rPr>
          <w:b/>
          <w:bCs/>
        </w:rPr>
        <w:t xml:space="preserve"> on Armo</w:t>
      </w:r>
      <w:r w:rsidRPr="00F414CD">
        <w:rPr>
          <w:b/>
          <w:bCs/>
        </w:rPr>
        <w:t>r-Piercing Ammunition</w:t>
      </w:r>
    </w:p>
    <w:p w:rsidR="00212038" w:rsidRPr="00E942E4" w:rsidP="00E942E4" w14:paraId="31500B71" w14:textId="77777777">
      <w:pPr>
        <w:widowControl w:val="0"/>
        <w:jc w:val="center"/>
      </w:pPr>
    </w:p>
    <w:p w:rsidR="00212038" w:rsidRPr="00E942E4" w:rsidP="00E942E4" w14:paraId="61D9D357" w14:textId="3750B2C7">
      <w:pPr>
        <w:widowControl w:val="0"/>
        <w:jc w:val="center"/>
        <w:rPr>
          <w:b/>
          <w:bCs/>
        </w:rPr>
      </w:pPr>
      <w:r w:rsidRPr="00E942E4">
        <w:rPr>
          <w:b/>
          <w:bCs/>
        </w:rPr>
        <w:t>SUPPORTING STATEMENT</w:t>
      </w:r>
    </w:p>
    <w:p w:rsidR="006F2B51" w:rsidRPr="00E942E4" w:rsidP="00E942E4" w14:paraId="6472C2A8" w14:textId="77777777">
      <w:pPr>
        <w:widowControl w:val="0"/>
      </w:pPr>
    </w:p>
    <w:p w:rsidR="006F2B51" w:rsidRPr="00E942E4" w:rsidP="00E942E4" w14:paraId="21A29B19" w14:textId="77777777">
      <w:pPr>
        <w:widowControl w:val="0"/>
      </w:pPr>
    </w:p>
    <w:p w:rsidR="006F2B51" w:rsidRPr="00E942E4" w:rsidP="00E942E4" w14:paraId="7624CF6B" w14:textId="77777777">
      <w:pPr>
        <w:widowControl w:val="0"/>
        <w:numPr>
          <w:ilvl w:val="0"/>
          <w:numId w:val="1"/>
        </w:numPr>
        <w:tabs>
          <w:tab w:val="num" w:pos="540"/>
          <w:tab w:val="clear" w:pos="720"/>
        </w:tabs>
        <w:ind w:left="540" w:hanging="540"/>
        <w:rPr>
          <w:b/>
        </w:rPr>
      </w:pPr>
      <w:r w:rsidRPr="00E942E4">
        <w:rPr>
          <w:b/>
        </w:rPr>
        <w:t>JUSTIFICATION</w:t>
      </w:r>
    </w:p>
    <w:p w:rsidR="006F2B51" w:rsidRPr="00E942E4" w:rsidP="00E942E4" w14:paraId="7D3624B1" w14:textId="77777777">
      <w:pPr>
        <w:widowControl w:val="0"/>
        <w:ind w:left="360"/>
      </w:pPr>
    </w:p>
    <w:p w:rsidR="009C69C5" w:rsidRPr="00E942E4" w:rsidP="00E942E4" w14:paraId="7B2290D9" w14:textId="1346C270">
      <w:pPr>
        <w:widowControl w:val="0"/>
        <w:spacing w:after="120"/>
        <w:rPr>
          <w:b/>
          <w:bCs/>
        </w:rPr>
      </w:pPr>
      <w:r w:rsidRPr="00E942E4">
        <w:rPr>
          <w:b/>
          <w:bCs/>
        </w:rPr>
        <w:t xml:space="preserve">1. </w:t>
      </w:r>
      <w:r w:rsidRPr="00E942E4" w:rsidR="00F77D6A">
        <w:rPr>
          <w:b/>
          <w:bCs/>
        </w:rPr>
        <w:t>Explain the circumstances that make the information collection necessar</w:t>
      </w:r>
      <w:r w:rsidRPr="00E942E4" w:rsidR="006F309A">
        <w:rPr>
          <w:b/>
          <w:bCs/>
        </w:rPr>
        <w:t>y.</w:t>
      </w:r>
      <w:r w:rsidRPr="00E942E4" w:rsidR="00F77D6A">
        <w:rPr>
          <w:b/>
          <w:bCs/>
        </w:rPr>
        <w:t xml:space="preserve"> </w:t>
      </w:r>
    </w:p>
    <w:p w:rsidR="006F2B51" w:rsidRPr="00E942E4" w:rsidP="00E942E4" w14:paraId="5D333E53" w14:textId="48055D64">
      <w:pPr>
        <w:widowControl w:val="0"/>
        <w:tabs>
          <w:tab w:val="left" w:pos="1080"/>
        </w:tabs>
        <w:spacing w:after="120"/>
      </w:pPr>
      <w:r>
        <w:t xml:space="preserve">No person can </w:t>
      </w:r>
      <w:r w:rsidRPr="004E1C6F">
        <w:t>manufacture or import armor-piercing ammunition</w:t>
      </w:r>
      <w:r w:rsidRPr="004E1C6F" w:rsidR="00006AC1">
        <w:t>, and no manufacturer or importer can</w:t>
      </w:r>
      <w:r w:rsidRPr="004E1C6F" w:rsidR="00AF4266">
        <w:t xml:space="preserve"> sell or deliver it</w:t>
      </w:r>
      <w:r w:rsidR="00AF4266">
        <w:t xml:space="preserve">, </w:t>
      </w:r>
      <w:r w:rsidR="00AF4266">
        <w:t>except</w:t>
      </w:r>
      <w:r w:rsidR="004E1C6F">
        <w:t>:</w:t>
      </w:r>
      <w:r w:rsidR="002A55CF">
        <w:t xml:space="preserve"> </w:t>
      </w:r>
      <w:r w:rsidR="00E326CB">
        <w:t xml:space="preserve">for federal </w:t>
      </w:r>
      <w:r w:rsidR="00402354">
        <w:t xml:space="preserve">or </w:t>
      </w:r>
      <w:r w:rsidR="00D53CCC">
        <w:t>s</w:t>
      </w:r>
      <w:r w:rsidR="00402354">
        <w:t xml:space="preserve">tate </w:t>
      </w:r>
      <w:r w:rsidR="00E326CB">
        <w:t xml:space="preserve">government </w:t>
      </w:r>
      <w:r w:rsidR="00402354">
        <w:t>use</w:t>
      </w:r>
      <w:r w:rsidR="00E326CB">
        <w:t>, for export, or f</w:t>
      </w:r>
      <w:r w:rsidRPr="00E942E4" w:rsidR="00E326CB">
        <w:t>or testing or experiment</w:t>
      </w:r>
      <w:r w:rsidR="00E326CB">
        <w:t>ing as</w:t>
      </w:r>
      <w:r w:rsidRPr="00E942E4" w:rsidR="00E326CB">
        <w:t xml:space="preserve"> authorized by </w:t>
      </w:r>
      <w:r w:rsidR="00E326CB">
        <w:t>ATF</w:t>
      </w:r>
      <w:r w:rsidRPr="00E942E4" w:rsidR="00E326CB">
        <w:t xml:space="preserve">. </w:t>
      </w:r>
      <w:r w:rsidRPr="00663A2D" w:rsidR="005F0EEE">
        <w:rPr>
          <w:i/>
          <w:iCs/>
        </w:rPr>
        <w:t>S</w:t>
      </w:r>
      <w:r w:rsidRPr="00663A2D" w:rsidR="000345B4">
        <w:rPr>
          <w:i/>
          <w:iCs/>
        </w:rPr>
        <w:t>ee</w:t>
      </w:r>
      <w:r w:rsidR="000345B4">
        <w:t xml:space="preserve"> 18 U.S.C. 922(a)(7)</w:t>
      </w:r>
      <w:r w:rsidR="008B4629">
        <w:t>, (8)</w:t>
      </w:r>
      <w:r w:rsidR="00663A2D">
        <w:t>; 27 CFR 478.37</w:t>
      </w:r>
      <w:r w:rsidR="000345B4">
        <w:t xml:space="preserve">. </w:t>
      </w:r>
      <w:r w:rsidR="00DC7111">
        <w:t xml:space="preserve">In </w:t>
      </w:r>
      <w:r w:rsidRPr="00CE0B75" w:rsidR="00DC7111">
        <w:t xml:space="preserve">addition, </w:t>
      </w:r>
      <w:r w:rsidRPr="00CE0B75" w:rsidR="00C3417E">
        <w:t xml:space="preserve">18 U.S.C. 922(b)(5), </w:t>
      </w:r>
      <w:r w:rsidRPr="00CE0B75" w:rsidR="00DC7111">
        <w:t xml:space="preserve">requires that </w:t>
      </w:r>
      <w:r w:rsidRPr="00CE0B75" w:rsidR="002C7CDB">
        <w:t xml:space="preserve">no licensed </w:t>
      </w:r>
      <w:r w:rsidRPr="00CE0B75" w:rsidR="00664CC8">
        <w:t>importers</w:t>
      </w:r>
      <w:r w:rsidRPr="00CE0B75" w:rsidR="002C7CDB">
        <w:t>,</w:t>
      </w:r>
      <w:r w:rsidRPr="00CE0B75" w:rsidR="00664CC8">
        <w:t xml:space="preserve"> manufacturers</w:t>
      </w:r>
      <w:r w:rsidRPr="00CE0B75" w:rsidR="002C7CDB">
        <w:t>, dealers, or collectors may sell or deliver armor-piercing ammunition</w:t>
      </w:r>
      <w:r w:rsidRPr="00CE0B75" w:rsidR="007D0B0F">
        <w:t xml:space="preserve"> without</w:t>
      </w:r>
      <w:r w:rsidRPr="00CE0B75" w:rsidR="00664CC8">
        <w:t xml:space="preserve"> </w:t>
      </w:r>
      <w:r w:rsidRPr="00CE0B75" w:rsidR="006C573E">
        <w:t>recording in their required records the name, age, and place of residence of an individual</w:t>
      </w:r>
      <w:r w:rsidRPr="00CE0B75" w:rsidR="00A261EE">
        <w:t xml:space="preserve"> receiving the ammunition, or the</w:t>
      </w:r>
      <w:r w:rsidR="00A261EE">
        <w:t xml:space="preserve"> identity and principal and local places of business of the recipient if they are a business entity</w:t>
      </w:r>
      <w:r w:rsidR="00664CC8">
        <w:t>. ATF has implemented this requirement in regulations at</w:t>
      </w:r>
      <w:r w:rsidRPr="00E942E4" w:rsidR="00664CC8">
        <w:t xml:space="preserve"> 27 CFR </w:t>
      </w:r>
      <w:r w:rsidR="00F83559">
        <w:t xml:space="preserve">§§ 478.122(b) for </w:t>
      </w:r>
      <w:r w:rsidR="00161F63">
        <w:t xml:space="preserve">Type 11 licensed </w:t>
      </w:r>
      <w:r w:rsidR="00F83559">
        <w:t xml:space="preserve">importers, </w:t>
      </w:r>
      <w:r w:rsidRPr="00E942E4" w:rsidR="00664CC8">
        <w:t>478.</w:t>
      </w:r>
      <w:r w:rsidR="00025507">
        <w:t>123(b)</w:t>
      </w:r>
      <w:r w:rsidR="00F83559">
        <w:t xml:space="preserve"> for </w:t>
      </w:r>
      <w:r w:rsidR="00161F63">
        <w:t xml:space="preserve">Type 10 licensed </w:t>
      </w:r>
      <w:r w:rsidR="00F83559">
        <w:t>manufacturers</w:t>
      </w:r>
      <w:r w:rsidR="00025507">
        <w:t xml:space="preserve">, </w:t>
      </w:r>
      <w:r w:rsidR="009001EB">
        <w:t>478.125(c)</w:t>
      </w:r>
      <w:r w:rsidR="00FE4CA1">
        <w:t xml:space="preserve"> for </w:t>
      </w:r>
      <w:r w:rsidR="002D2858">
        <w:t xml:space="preserve">Type 01 licensed </w:t>
      </w:r>
      <w:r w:rsidR="00FE4CA1">
        <w:t xml:space="preserve">dealers, </w:t>
      </w:r>
      <w:r w:rsidR="00510D0F">
        <w:t xml:space="preserve">and </w:t>
      </w:r>
      <w:r w:rsidR="006157D7">
        <w:t>478.125(</w:t>
      </w:r>
      <w:r w:rsidR="00CC341D">
        <w:t>a), (b)</w:t>
      </w:r>
      <w:r w:rsidR="00F83559">
        <w:t xml:space="preserve"> and 478.122(b)</w:t>
      </w:r>
      <w:r w:rsidR="00CC341D">
        <w:t xml:space="preserve"> for </w:t>
      </w:r>
      <w:r w:rsidR="002D2858">
        <w:t xml:space="preserve">Type 03 licensed </w:t>
      </w:r>
      <w:r w:rsidR="00CC341D">
        <w:t>collectors</w:t>
      </w:r>
      <w:r w:rsidR="002D2858">
        <w:t xml:space="preserve">, who are authorized to sell or </w:t>
      </w:r>
      <w:r w:rsidR="002D2858">
        <w:t>delivery</w:t>
      </w:r>
      <w:r w:rsidR="002D2858">
        <w:t xml:space="preserve"> armor-piercing ammunition</w:t>
      </w:r>
      <w:r w:rsidR="00664CC8">
        <w:t>.</w:t>
      </w:r>
      <w:r w:rsidRPr="00E942E4" w:rsidR="00664CC8">
        <w:t xml:space="preserve"> </w:t>
      </w:r>
      <w:r w:rsidR="00161F63">
        <w:t xml:space="preserve">Any such </w:t>
      </w:r>
      <w:r w:rsidR="00161F63">
        <w:t>licensees</w:t>
      </w:r>
      <w:r w:rsidR="002D2858">
        <w:t xml:space="preserve"> must create and maintain the required records of any sale or delivery </w:t>
      </w:r>
      <w:r w:rsidR="00897B66">
        <w:t>of such ammunition.</w:t>
      </w:r>
    </w:p>
    <w:p w:rsidR="00364E29" w:rsidRPr="00E942E4" w:rsidP="007059F8" w14:paraId="7B19F3D6" w14:textId="7CE6EABA">
      <w:pPr>
        <w:widowControl w:val="0"/>
        <w:tabs>
          <w:tab w:val="num" w:pos="1080"/>
        </w:tabs>
        <w:spacing w:after="120"/>
        <w:rPr>
          <w:b/>
          <w:bCs/>
        </w:rPr>
      </w:pPr>
      <w:r w:rsidRPr="00E942E4">
        <w:rPr>
          <w:b/>
          <w:bCs/>
        </w:rPr>
        <w:t xml:space="preserve">2. </w:t>
      </w:r>
      <w:r w:rsidRPr="00E942E4" w:rsidR="00CB4B84">
        <w:rPr>
          <w:b/>
          <w:bCs/>
        </w:rPr>
        <w:t>Indicate how, by whom, and for what purpose the informatio</w:t>
      </w:r>
      <w:r w:rsidRPr="00E942E4" w:rsidR="00CE0943">
        <w:rPr>
          <w:b/>
          <w:bCs/>
        </w:rPr>
        <w:t>n is to be</w:t>
      </w:r>
      <w:r w:rsidR="007059F8">
        <w:rPr>
          <w:b/>
          <w:bCs/>
        </w:rPr>
        <w:t xml:space="preserve"> </w:t>
      </w:r>
      <w:r w:rsidRPr="00E942E4" w:rsidR="00CE0943">
        <w:rPr>
          <w:b/>
          <w:bCs/>
        </w:rPr>
        <w:t>used.</w:t>
      </w:r>
    </w:p>
    <w:p w:rsidR="00D904C1" w:rsidP="00E942E4" w14:paraId="4835BD15" w14:textId="7EA54A9D">
      <w:pPr>
        <w:widowControl w:val="0"/>
        <w:spacing w:after="120"/>
      </w:pPr>
      <w:r w:rsidRPr="00E942E4">
        <w:t xml:space="preserve">Records are </w:t>
      </w:r>
      <w:r w:rsidR="00897B66">
        <w:t>created by the licensees</w:t>
      </w:r>
      <w:r w:rsidRPr="001B63A6">
        <w:t xml:space="preserve"> and are required to be up-to-date and maintained onsite by the licensee, as required by </w:t>
      </w:r>
      <w:r w:rsidR="00117400">
        <w:t>the regulations identified above</w:t>
      </w:r>
      <w:r w:rsidRPr="00E942E4">
        <w:t>.  The information must include the disposition date, manufacturer</w:t>
      </w:r>
      <w:r w:rsidR="006E49F5">
        <w:t xml:space="preserve"> information</w:t>
      </w:r>
      <w:r w:rsidRPr="00E942E4">
        <w:t xml:space="preserve">, </w:t>
      </w:r>
      <w:r w:rsidR="006E49F5">
        <w:t xml:space="preserve">country of manufacture (if imported), importer information, </w:t>
      </w:r>
      <w:r w:rsidRPr="00E942E4">
        <w:t>caliber or gauge, quantity of projectiles</w:t>
      </w:r>
      <w:r w:rsidRPr="00E942E4" w:rsidR="00531B27">
        <w:t>,</w:t>
      </w:r>
      <w:r w:rsidRPr="00E942E4">
        <w:t xml:space="preserve"> and transferee information.</w:t>
      </w:r>
    </w:p>
    <w:p w:rsidR="00E47ACD" w:rsidRPr="00E942E4" w:rsidP="00E942E4" w14:paraId="7E55E864" w14:textId="15CD1486">
      <w:pPr>
        <w:widowControl w:val="0"/>
        <w:spacing w:after="120"/>
      </w:pPr>
      <w:r w:rsidRPr="00E942E4">
        <w:t>This record is primarily for law enforcement purposes</w:t>
      </w:r>
      <w:r>
        <w:t xml:space="preserve">. ATF and other law enforcement organizations </w:t>
      </w:r>
      <w:r w:rsidRPr="00E942E4">
        <w:t xml:space="preserve">may </w:t>
      </w:r>
      <w:r>
        <w:t>use the collected information</w:t>
      </w:r>
      <w:r w:rsidRPr="00E942E4">
        <w:t xml:space="preserve"> to trace ammunition collected as evidence during a criminal investigation or court proceeding. During compliance inspections, </w:t>
      </w:r>
      <w:r>
        <w:t>ATF may also use this information to</w:t>
      </w:r>
      <w:r w:rsidRPr="00E942E4">
        <w:t xml:space="preserve"> help determine the validity of a </w:t>
      </w:r>
      <w:r>
        <w:t xml:space="preserve">licensee’s </w:t>
      </w:r>
      <w:r w:rsidRPr="00E942E4">
        <w:t>record</w:t>
      </w:r>
      <w:r>
        <w:t>-</w:t>
      </w:r>
      <w:r w:rsidRPr="00E942E4">
        <w:t xml:space="preserve">keeping system by comparing data collected from raw material used </w:t>
      </w:r>
      <w:r>
        <w:t>to</w:t>
      </w:r>
      <w:r w:rsidRPr="00E942E4">
        <w:t xml:space="preserve"> the finished product, and </w:t>
      </w:r>
      <w:r>
        <w:t xml:space="preserve">to </w:t>
      </w:r>
      <w:r w:rsidRPr="00E942E4">
        <w:t>review armor</w:t>
      </w:r>
      <w:r>
        <w:t>-</w:t>
      </w:r>
      <w:r w:rsidRPr="00E942E4">
        <w:t xml:space="preserve">piercing ammunition transfer records to end users. The manufacturer’s commercial records </w:t>
      </w:r>
      <w:r>
        <w:t xml:space="preserve">will, </w:t>
      </w:r>
      <w:r w:rsidRPr="00E942E4">
        <w:t>in most instances</w:t>
      </w:r>
      <w:r>
        <w:t>,</w:t>
      </w:r>
      <w:r w:rsidRPr="00E942E4">
        <w:t xml:space="preserve"> also contain data elements specified in the regulations.</w:t>
      </w:r>
      <w:r w:rsidRPr="00E942E4" w:rsidR="00FF4844">
        <w:t xml:space="preserve"> </w:t>
      </w:r>
    </w:p>
    <w:p w:rsidR="00364E29" w:rsidRPr="00E942E4" w:rsidP="00E942E4" w14:paraId="5C1CC0F3" w14:textId="4F3F468C">
      <w:pPr>
        <w:pStyle w:val="ListParagraph"/>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0"/>
        <w:rPr>
          <w:b/>
          <w:bCs/>
        </w:rPr>
      </w:pPr>
      <w:bookmarkStart w:id="0" w:name="_Hlk188869116"/>
      <w:r w:rsidRPr="00E942E4">
        <w:rPr>
          <w:b/>
          <w:bCs/>
        </w:rPr>
        <w:t xml:space="preserve">3. </w:t>
      </w:r>
      <w:r w:rsidRPr="00E942E4" w:rsidR="00D02482">
        <w:rPr>
          <w:b/>
          <w:bCs/>
        </w:rPr>
        <w:t xml:space="preserve">Describe whether, and to what extent, the information collection involves using automated, electronic, mechanical, or other technological collection techniques or other forms of information technology, </w:t>
      </w:r>
      <w:r w:rsidRPr="00E942E4" w:rsidR="00D02482">
        <w:rPr>
          <w:b/>
          <w:i/>
        </w:rPr>
        <w:t>e.g.</w:t>
      </w:r>
      <w:r w:rsidRPr="00E942E4" w:rsidR="00D02482">
        <w:rPr>
          <w:b/>
          <w:bCs/>
        </w:rPr>
        <w:t xml:space="preserve">, permitting electronic submission of responses, and the basis for the decision </w:t>
      </w:r>
      <w:r w:rsidRPr="00E942E4" w:rsidR="00D02482">
        <w:rPr>
          <w:b/>
          <w:bCs/>
        </w:rPr>
        <w:t>for adopting</w:t>
      </w:r>
      <w:r w:rsidRPr="00E942E4" w:rsidR="00D02482">
        <w:rPr>
          <w:b/>
          <w:bCs/>
        </w:rPr>
        <w:t xml:space="preserve"> this means of collection</w:t>
      </w:r>
      <w:bookmarkEnd w:id="0"/>
      <w:r w:rsidRPr="00E942E4" w:rsidR="00D02482">
        <w:rPr>
          <w:b/>
          <w:bCs/>
        </w:rPr>
        <w:t>.</w:t>
      </w:r>
    </w:p>
    <w:p w:rsidR="00361DD5" w:rsidRPr="00E942E4" w:rsidP="007369F0" w14:paraId="43C22FCB" w14:textId="39956FBB">
      <w:pPr>
        <w:widowControl w:val="0"/>
        <w:spacing w:after="120"/>
      </w:pPr>
      <w:r>
        <w:t>P</w:t>
      </w:r>
      <w:r w:rsidRPr="00E942E4" w:rsidR="000C445F">
        <w:t>ursuant to ATF Rul</w:t>
      </w:r>
      <w:r w:rsidRPr="00E942E4" w:rsidR="009011C4">
        <w:t>ing</w:t>
      </w:r>
      <w:r w:rsidRPr="00E942E4" w:rsidR="000C445F">
        <w:t xml:space="preserve"> </w:t>
      </w:r>
      <w:r w:rsidRPr="00E942E4" w:rsidR="002071FE">
        <w:t>2016-1</w:t>
      </w:r>
      <w:r w:rsidRPr="00E942E4" w:rsidR="000C445F">
        <w:t xml:space="preserve">, </w:t>
      </w:r>
      <w:r>
        <w:t xml:space="preserve">licensees may create and maintain </w:t>
      </w:r>
      <w:r w:rsidRPr="00E942E4" w:rsidR="000C445F">
        <w:t xml:space="preserve">these records </w:t>
      </w:r>
      <w:r w:rsidRPr="00E942E4" w:rsidR="00C57E09">
        <w:t>electronically.</w:t>
      </w:r>
      <w:r w:rsidR="005B6DD5">
        <w:t xml:space="preserve"> </w:t>
      </w:r>
      <w:r w:rsidR="005B6DD5">
        <w:t>They retain the records on</w:t>
      </w:r>
      <w:r w:rsidR="00A80731">
        <w:t xml:space="preserve"> their premises and there is no reporting requirement.</w:t>
      </w:r>
    </w:p>
    <w:p w:rsidR="00364E29" w:rsidRPr="00E942E4" w:rsidP="00E942E4" w14:paraId="2C8FED8F" w14:textId="5A1FE27D">
      <w:pPr>
        <w:pStyle w:val="ListParagraph"/>
        <w:widowControl w:val="0"/>
        <w:spacing w:after="120"/>
        <w:ind w:left="0"/>
        <w:rPr>
          <w:b/>
          <w:bCs/>
        </w:rPr>
      </w:pPr>
      <w:r w:rsidRPr="00E942E4">
        <w:rPr>
          <w:b/>
          <w:bCs/>
        </w:rPr>
        <w:t xml:space="preserve">4. </w:t>
      </w:r>
      <w:r w:rsidRPr="00E942E4" w:rsidR="00CD2616">
        <w:rPr>
          <w:b/>
          <w:bCs/>
        </w:rPr>
        <w:t>Describe efforts to identify duplicat</w:t>
      </w:r>
      <w:r w:rsidRPr="00E942E4" w:rsidR="008A1142">
        <w:rPr>
          <w:b/>
          <w:bCs/>
        </w:rPr>
        <w:t>ion.</w:t>
      </w:r>
    </w:p>
    <w:p w:rsidR="00346B12" w:rsidRPr="00E942E4" w:rsidP="00E942E4" w14:paraId="1F651415" w14:textId="3172098A">
      <w:pPr>
        <w:widowControl w:val="0"/>
        <w:spacing w:after="120"/>
      </w:pPr>
      <w:r w:rsidRPr="00E942E4">
        <w:t xml:space="preserve">This information is not duplicative and </w:t>
      </w:r>
      <w:r w:rsidRPr="00E942E4" w:rsidR="00372D3C">
        <w:t>there is no other sour</w:t>
      </w:r>
      <w:r w:rsidRPr="00E942E4" w:rsidR="006A24BA">
        <w:t xml:space="preserve">ce for the information. </w:t>
      </w:r>
      <w:r w:rsidRPr="00E942E4" w:rsidR="00563AE7">
        <w:t>R</w:t>
      </w:r>
      <w:r w:rsidRPr="00E942E4" w:rsidR="00B90C5C">
        <w:t>ecord</w:t>
      </w:r>
      <w:r w:rsidR="007A0066">
        <w:t>-</w:t>
      </w:r>
      <w:r w:rsidRPr="00E942E4" w:rsidR="00B90C5C">
        <w:t>keeping requirement</w:t>
      </w:r>
      <w:r w:rsidRPr="00E942E4" w:rsidR="00563AE7">
        <w:t>s</w:t>
      </w:r>
      <w:r w:rsidRPr="00E942E4" w:rsidR="00B90C5C">
        <w:t xml:space="preserve"> </w:t>
      </w:r>
      <w:r w:rsidRPr="00DE7CF4" w:rsidR="00B90C5C">
        <w:t>for manufacturers</w:t>
      </w:r>
      <w:r w:rsidRPr="00DE7CF4" w:rsidR="00830627">
        <w:t>, importers, dealers, and collectors</w:t>
      </w:r>
      <w:r w:rsidRPr="00DE7CF4" w:rsidR="00B90C5C">
        <w:t xml:space="preserve"> of </w:t>
      </w:r>
      <w:r w:rsidRPr="00DE7CF4" w:rsidR="008C02B5">
        <w:t>armor</w:t>
      </w:r>
      <w:r w:rsidRPr="00DE7CF4" w:rsidR="00830627">
        <w:t>-</w:t>
      </w:r>
      <w:r w:rsidRPr="00DE7CF4" w:rsidR="00FF5C69">
        <w:t xml:space="preserve">piercing </w:t>
      </w:r>
      <w:r w:rsidRPr="00DE7CF4" w:rsidR="00B90C5C">
        <w:t xml:space="preserve">ammunition </w:t>
      </w:r>
      <w:r w:rsidRPr="00DE7CF4" w:rsidR="00563AE7">
        <w:t>are</w:t>
      </w:r>
      <w:r w:rsidRPr="00DE7CF4" w:rsidR="00B90C5C">
        <w:t xml:space="preserve"> very limited and appl</w:t>
      </w:r>
      <w:r w:rsidRPr="00DE7CF4" w:rsidR="00DD5177">
        <w:t>y</w:t>
      </w:r>
      <w:r w:rsidRPr="00DE7CF4" w:rsidR="00B90C5C">
        <w:t xml:space="preserve"> </w:t>
      </w:r>
      <w:r w:rsidRPr="00DE7CF4" w:rsidR="00675D72">
        <w:t xml:space="preserve">only </w:t>
      </w:r>
      <w:r w:rsidRPr="00DE7CF4" w:rsidR="00B90C5C">
        <w:t xml:space="preserve">to the disposition of </w:t>
      </w:r>
      <w:r w:rsidRPr="00DE7CF4" w:rsidR="001E7D3C">
        <w:t>a</w:t>
      </w:r>
      <w:r w:rsidRPr="00DE7CF4" w:rsidR="00B90C5C">
        <w:t>rmor</w:t>
      </w:r>
      <w:r w:rsidRPr="00DE7CF4" w:rsidR="00634426">
        <w:t>-</w:t>
      </w:r>
      <w:r w:rsidRPr="00DE7CF4" w:rsidR="001E7D3C">
        <w:t>p</w:t>
      </w:r>
      <w:r w:rsidRPr="00DE7CF4" w:rsidR="00B90C5C">
        <w:t xml:space="preserve">iercing </w:t>
      </w:r>
      <w:r w:rsidRPr="00DE7CF4" w:rsidR="00634426">
        <w:t>a</w:t>
      </w:r>
      <w:r w:rsidRPr="00DE7CF4" w:rsidR="00B90C5C">
        <w:t>mmunition</w:t>
      </w:r>
      <w:r w:rsidRPr="00E942E4" w:rsidR="00B90C5C">
        <w:t>.  There</w:t>
      </w:r>
      <w:r w:rsidRPr="00E942E4" w:rsidR="00FE119E">
        <w:t xml:space="preserve"> are </w:t>
      </w:r>
      <w:r w:rsidRPr="00E942E4" w:rsidR="00B90C5C">
        <w:t xml:space="preserve">no other </w:t>
      </w:r>
      <w:r w:rsidR="00DE7CF4">
        <w:t>information collections involving this information</w:t>
      </w:r>
      <w:r w:rsidRPr="00E942E4" w:rsidR="00333111">
        <w:t xml:space="preserve">. </w:t>
      </w:r>
      <w:r w:rsidRPr="00E942E4">
        <w:t xml:space="preserve"> </w:t>
      </w:r>
      <w:r w:rsidRPr="00E942E4" w:rsidR="007C68F1">
        <w:t xml:space="preserve">  </w:t>
      </w:r>
    </w:p>
    <w:p w:rsidR="00346B12" w:rsidRPr="00E942E4" w:rsidP="00E942E4" w14:paraId="7F232435" w14:textId="59F1C1A2">
      <w:pPr>
        <w:widowControl w:val="0"/>
        <w:spacing w:after="120"/>
        <w:rPr>
          <w:b/>
          <w:bCs/>
        </w:rPr>
      </w:pPr>
      <w:r w:rsidRPr="00E942E4">
        <w:rPr>
          <w:b/>
          <w:bCs/>
        </w:rPr>
        <w:t xml:space="preserve">5. </w:t>
      </w:r>
      <w:r w:rsidRPr="00E942E4" w:rsidR="002116B9">
        <w:rPr>
          <w:b/>
          <w:bCs/>
        </w:rPr>
        <w:t xml:space="preserve">If the </w:t>
      </w:r>
      <w:r w:rsidRPr="00E942E4" w:rsidR="00AD3C54">
        <w:rPr>
          <w:b/>
          <w:bCs/>
        </w:rPr>
        <w:t xml:space="preserve">information </w:t>
      </w:r>
      <w:r w:rsidRPr="00E942E4" w:rsidR="003B661D">
        <w:rPr>
          <w:b/>
          <w:bCs/>
        </w:rPr>
        <w:t>collection impacts small businesses or other small</w:t>
      </w:r>
      <w:r w:rsidRPr="00E942E4">
        <w:rPr>
          <w:b/>
          <w:bCs/>
        </w:rPr>
        <w:t xml:space="preserve"> </w:t>
      </w:r>
      <w:r w:rsidRPr="00E942E4" w:rsidR="003B661D">
        <w:rPr>
          <w:b/>
          <w:bCs/>
        </w:rPr>
        <w:t>entities, describe any methods used to minimize burden.</w:t>
      </w:r>
    </w:p>
    <w:p w:rsidR="006F2B51" w:rsidRPr="00E942E4" w:rsidP="00E942E4" w14:paraId="2AEAEB03" w14:textId="72A8219D">
      <w:pPr>
        <w:widowControl w:val="0"/>
        <w:spacing w:after="120"/>
      </w:pPr>
      <w:r w:rsidRPr="00E942E4">
        <w:t>This information</w:t>
      </w:r>
      <w:r w:rsidRPr="00E942E4">
        <w:t xml:space="preserve"> collection </w:t>
      </w:r>
      <w:r w:rsidRPr="00E942E4" w:rsidR="00743701">
        <w:t>does not have a significant impact on small</w:t>
      </w:r>
      <w:r w:rsidRPr="00E942E4" w:rsidR="00345B46">
        <w:t xml:space="preserve"> </w:t>
      </w:r>
      <w:r w:rsidRPr="00E942E4" w:rsidR="00743701">
        <w:t>entit</w:t>
      </w:r>
      <w:r w:rsidRPr="00E942E4" w:rsidR="00345B46">
        <w:t>ies.</w:t>
      </w:r>
    </w:p>
    <w:p w:rsidR="00364E29" w:rsidRPr="00E942E4" w:rsidP="00E942E4" w14:paraId="5D58E7FE" w14:textId="00EA05D1">
      <w:pPr>
        <w:widowControl w:val="0"/>
        <w:tabs>
          <w:tab w:val="left" w:pos="1080"/>
        </w:tabs>
        <w:spacing w:after="120"/>
        <w:rPr>
          <w:b/>
          <w:bCs/>
        </w:rPr>
      </w:pPr>
      <w:r w:rsidRPr="00E942E4">
        <w:rPr>
          <w:b/>
          <w:bCs/>
        </w:rPr>
        <w:t xml:space="preserve">6. </w:t>
      </w:r>
      <w:r w:rsidRPr="00E942E4" w:rsidR="0060254D">
        <w:rPr>
          <w:b/>
          <w:bCs/>
        </w:rPr>
        <w:t xml:space="preserve">Describe the </w:t>
      </w:r>
      <w:r w:rsidRPr="00E942E4" w:rsidR="0060254D">
        <w:rPr>
          <w:b/>
          <w:bCs/>
        </w:rPr>
        <w:t>conseque</w:t>
      </w:r>
      <w:r w:rsidRPr="00E942E4" w:rsidR="00824A42">
        <w:rPr>
          <w:b/>
          <w:bCs/>
        </w:rPr>
        <w:t>nce</w:t>
      </w:r>
      <w:r w:rsidRPr="00E942E4" w:rsidR="00824A42">
        <w:rPr>
          <w:b/>
          <w:bCs/>
        </w:rPr>
        <w:t xml:space="preserve"> </w:t>
      </w:r>
      <w:r w:rsidRPr="00E942E4" w:rsidR="00824A42">
        <w:rPr>
          <w:b/>
          <w:bCs/>
        </w:rPr>
        <w:t>to</w:t>
      </w:r>
      <w:r w:rsidRPr="00E942E4" w:rsidR="00824A42">
        <w:rPr>
          <w:b/>
          <w:bCs/>
        </w:rPr>
        <w:t xml:space="preserve"> federal programs or policy activities if the</w:t>
      </w:r>
      <w:r w:rsidRPr="00E942E4" w:rsidR="000B56AB">
        <w:rPr>
          <w:b/>
          <w:bCs/>
        </w:rPr>
        <w:t xml:space="preserve"> </w:t>
      </w:r>
      <w:r w:rsidRPr="00E942E4" w:rsidR="00824A42">
        <w:rPr>
          <w:b/>
          <w:bCs/>
        </w:rPr>
        <w:t>collection is not conducted</w:t>
      </w:r>
      <w:r w:rsidRPr="00E942E4" w:rsidR="00451E5E">
        <w:rPr>
          <w:b/>
          <w:bCs/>
        </w:rPr>
        <w:t xml:space="preserve"> or is conducted less frequently, as well as any technical or legal obstacles to reducing burden.</w:t>
      </w:r>
    </w:p>
    <w:p w:rsidR="00364E29" w:rsidRPr="00E942E4" w:rsidP="00E942E4" w14:paraId="511A916A" w14:textId="4D1954BE">
      <w:pPr>
        <w:widowControl w:val="0"/>
        <w:spacing w:after="120"/>
      </w:pPr>
      <w:r w:rsidRPr="00E942E4">
        <w:t xml:space="preserve">Without </w:t>
      </w:r>
      <w:r w:rsidRPr="00E942E4" w:rsidR="00740CF1">
        <w:t xml:space="preserve">this </w:t>
      </w:r>
      <w:r w:rsidRPr="00E942E4">
        <w:t>information collection</w:t>
      </w:r>
      <w:r w:rsidR="00547B06">
        <w:t>,</w:t>
      </w:r>
      <w:r w:rsidRPr="00E942E4">
        <w:t xml:space="preserve"> </w:t>
      </w:r>
      <w:r w:rsidR="004B523C">
        <w:t>licensees</w:t>
      </w:r>
      <w:r w:rsidR="004B523C">
        <w:t xml:space="preserve"> would be in violation of the law. The statute requires that they must record in their required records the requested information. Although ATF</w:t>
      </w:r>
      <w:r w:rsidR="00A77486">
        <w:t xml:space="preserve"> reproduces this requirement in our regulations, </w:t>
      </w:r>
      <w:r w:rsidR="00B56FEF">
        <w:t xml:space="preserve">within the </w:t>
      </w:r>
      <w:r w:rsidR="00AE2963">
        <w:t>framework</w:t>
      </w:r>
      <w:r w:rsidR="00B56FEF">
        <w:t xml:space="preserve"> of the larger requirements for acquisition and disposition records, </w:t>
      </w:r>
      <w:r w:rsidR="00AE2963">
        <w:t xml:space="preserve">the obligation </w:t>
      </w:r>
      <w:r w:rsidR="00AE2963">
        <w:t>giving</w:t>
      </w:r>
      <w:r w:rsidR="00AE2963">
        <w:t xml:space="preserve"> rise to this information collection is created by statute. Licensees risk adverse action if they don’t maintain the statutorily required records</w:t>
      </w:r>
      <w:r w:rsidR="00E23E26">
        <w:t xml:space="preserve">. Furthermore, from a law enforcement perspective, without this requested information, ATF would have a difficult time </w:t>
      </w:r>
      <w:r w:rsidR="00431413">
        <w:t>ensuring that armor-piercing ammunition is being transferred and handled as required, or tracing such ammunition</w:t>
      </w:r>
      <w:r w:rsidR="001C7FAD">
        <w:t xml:space="preserve"> when it is used in a crime or </w:t>
      </w:r>
      <w:r w:rsidR="00CE616F">
        <w:t xml:space="preserve">does not </w:t>
      </w:r>
      <w:r w:rsidR="000A2A86">
        <w:t>get disposed of as required</w:t>
      </w:r>
      <w:r w:rsidRPr="00E942E4" w:rsidR="00C7218E">
        <w:t>.</w:t>
      </w:r>
    </w:p>
    <w:p w:rsidR="004E2B84" w:rsidRPr="00E942E4" w:rsidP="00E942E4" w14:paraId="3330036F" w14:textId="26A9508D">
      <w:pPr>
        <w:widowControl w:val="0"/>
        <w:spacing w:after="120"/>
        <w:rPr>
          <w:b/>
          <w:bCs/>
        </w:rPr>
      </w:pPr>
      <w:r w:rsidRPr="00E942E4">
        <w:rPr>
          <w:b/>
          <w:bCs/>
        </w:rPr>
        <w:t xml:space="preserve">7. </w:t>
      </w:r>
      <w:r w:rsidRPr="00E942E4" w:rsidR="00CD5451">
        <w:rPr>
          <w:b/>
          <w:bCs/>
        </w:rPr>
        <w:t>Explain any special circumstances that would cause the informat</w:t>
      </w:r>
      <w:r w:rsidRPr="00E942E4" w:rsidR="00FD1973">
        <w:rPr>
          <w:b/>
          <w:bCs/>
        </w:rPr>
        <w:t>ion</w:t>
      </w:r>
      <w:r w:rsidRPr="00E942E4">
        <w:rPr>
          <w:b/>
          <w:bCs/>
        </w:rPr>
        <w:t xml:space="preserve"> </w:t>
      </w:r>
      <w:r w:rsidRPr="00E942E4" w:rsidR="00CD5451">
        <w:rPr>
          <w:b/>
          <w:bCs/>
        </w:rPr>
        <w:t>collection to be conducted</w:t>
      </w:r>
      <w:r w:rsidRPr="00E942E4" w:rsidR="00342DCF">
        <w:rPr>
          <w:b/>
          <w:bCs/>
        </w:rPr>
        <w:t xml:space="preserve"> in a manner inconsistent with 5 CFR 1320.6.</w:t>
      </w:r>
    </w:p>
    <w:p w:rsidR="00BD1F3E" w:rsidP="00E942E4" w14:paraId="45C1619E" w14:textId="6F1E199F">
      <w:pPr>
        <w:widowControl w:val="0"/>
        <w:spacing w:after="120"/>
      </w:pPr>
      <w:r w:rsidRPr="0000410C">
        <w:rPr>
          <w:u w:val="single"/>
        </w:rPr>
        <w:t>R</w:t>
      </w:r>
      <w:r w:rsidRPr="0000410C">
        <w:rPr>
          <w:u w:val="single"/>
        </w:rPr>
        <w:t>equiring respondents to retain records, other than health, medical, government contract, grant-in-aid, or tax records for more than three years</w:t>
      </w:r>
      <w:r w:rsidRPr="0000410C">
        <w:rPr>
          <w:u w:val="single"/>
        </w:rPr>
        <w:t>:</w:t>
      </w:r>
      <w:r>
        <w:t xml:space="preserve"> </w:t>
      </w:r>
      <w:r w:rsidR="0017163D">
        <w:t>ATF regulations at § 478.</w:t>
      </w:r>
      <w:r w:rsidR="004471DA">
        <w:t xml:space="preserve">129 </w:t>
      </w:r>
      <w:r w:rsidR="00FD45A7">
        <w:t>require Type 10</w:t>
      </w:r>
      <w:r w:rsidR="0000410C">
        <w:t xml:space="preserve"> </w:t>
      </w:r>
      <w:r w:rsidR="00FD45A7">
        <w:t>license</w:t>
      </w:r>
      <w:r w:rsidR="006911AB">
        <w:t>d manufacturers and Type 11 licensed importers</w:t>
      </w:r>
      <w:r w:rsidRPr="00BD1F3E">
        <w:t> </w:t>
      </w:r>
      <w:r w:rsidR="006911AB">
        <w:t xml:space="preserve">that are </w:t>
      </w:r>
      <w:r w:rsidR="002D2FE4">
        <w:t xml:space="preserve">also authorized to manufacture or import armor-piercing ammunition </w:t>
      </w:r>
      <w:r w:rsidR="008A681E">
        <w:t>to retain their acquisition and disposition records</w:t>
      </w:r>
      <w:r w:rsidR="00E95049">
        <w:t xml:space="preserve"> </w:t>
      </w:r>
      <w:r w:rsidR="00E95049">
        <w:t>as long as</w:t>
      </w:r>
      <w:r w:rsidR="00E95049">
        <w:t xml:space="preserve"> they remain in business. </w:t>
      </w:r>
      <w:r w:rsidR="00B810B8">
        <w:t xml:space="preserve">As a result, this record-keeping requirement could result in a requirement for </w:t>
      </w:r>
      <w:r w:rsidR="002D2FE4">
        <w:t>respondents</w:t>
      </w:r>
      <w:r w:rsidR="00B810B8">
        <w:t xml:space="preserve"> to retain records for more than the three years </w:t>
      </w:r>
      <w:r w:rsidR="00A13E4F">
        <w:t xml:space="preserve">under 5 CFR 1320.6. However, this requirement exists for law enforcement purposes, permitting ATF and other law enforcement organizations to </w:t>
      </w:r>
      <w:r w:rsidR="001E7B48">
        <w:t>access information necessary to trace</w:t>
      </w:r>
      <w:r w:rsidR="00CE6716">
        <w:t xml:space="preserve"> ammunition.</w:t>
      </w:r>
      <w:r w:rsidR="001E7B48">
        <w:t xml:space="preserve"> </w:t>
      </w:r>
      <w:r w:rsidR="00ED2D89">
        <w:t>Regulations at § 478.</w:t>
      </w:r>
      <w:r w:rsidRPr="00EE0B22" w:rsidR="00BB0559">
        <w:t>125(a)</w:t>
      </w:r>
      <w:r w:rsidRPr="00EE0B22" w:rsidR="00AE0EC3">
        <w:t xml:space="preserve"> and</w:t>
      </w:r>
      <w:r w:rsidRPr="00EE0B22" w:rsidR="00BB0559">
        <w:t xml:space="preserve"> (c)</w:t>
      </w:r>
      <w:r w:rsidR="00ED2D89">
        <w:t xml:space="preserve"> require</w:t>
      </w:r>
      <w:r w:rsidR="00317CE2">
        <w:t xml:space="preserve"> licensed</w:t>
      </w:r>
      <w:r w:rsidR="00ED2D89">
        <w:t xml:space="preserve"> collectors (including those who collect armor-piercing ammunition) </w:t>
      </w:r>
      <w:r w:rsidR="00AE0EC3">
        <w:t xml:space="preserve">and licensed dealers that sell or deliver armor-piercing ammunition </w:t>
      </w:r>
      <w:r w:rsidR="00317CE2">
        <w:t>to retain their records for two years.</w:t>
      </w:r>
    </w:p>
    <w:p w:rsidR="00582A18" w:rsidRPr="00E942E4" w:rsidP="00E942E4" w14:paraId="133ACCD7" w14:textId="6D03CC4C">
      <w:pPr>
        <w:widowControl w:val="0"/>
        <w:spacing w:after="120"/>
      </w:pPr>
      <w:r w:rsidRPr="00E942E4">
        <w:t xml:space="preserve">There are no </w:t>
      </w:r>
      <w:r w:rsidR="000A2A86">
        <w:t xml:space="preserve">other </w:t>
      </w:r>
      <w:r w:rsidRPr="00E942E4">
        <w:t>special circumstances associated w</w:t>
      </w:r>
      <w:r w:rsidRPr="00E942E4" w:rsidR="008F2756">
        <w:t>ith this information collection, which</w:t>
      </w:r>
      <w:r w:rsidRPr="00E942E4" w:rsidR="006F2B51">
        <w:t xml:space="preserve"> is </w:t>
      </w:r>
      <w:r w:rsidR="000A2A86">
        <w:t xml:space="preserve">otherwise </w:t>
      </w:r>
      <w:r w:rsidRPr="00E942E4" w:rsidR="006F2B51">
        <w:t xml:space="preserve">conducted in a manner consistent with 5 CFR </w:t>
      </w:r>
      <w:r w:rsidRPr="00E942E4" w:rsidR="002767E7">
        <w:t>§</w:t>
      </w:r>
      <w:r w:rsidRPr="00E942E4" w:rsidR="006F2B51">
        <w:t>1320.6.</w:t>
      </w:r>
    </w:p>
    <w:p w:rsidR="004E2B84" w:rsidRPr="009647CC" w:rsidP="00E942E4" w14:paraId="312E2BE9" w14:textId="7128FE18">
      <w:pPr>
        <w:pStyle w:val="ListParagraph"/>
        <w:widowControl w:val="0"/>
        <w:tabs>
          <w:tab w:val="num" w:pos="1080"/>
        </w:tabs>
        <w:spacing w:after="120"/>
        <w:ind w:left="0"/>
        <w:rPr>
          <w:b/>
          <w:bCs/>
        </w:rPr>
      </w:pPr>
      <w:r w:rsidRPr="00E942E4">
        <w:rPr>
          <w:b/>
          <w:bCs/>
        </w:rPr>
        <w:t xml:space="preserve">8. </w:t>
      </w:r>
      <w:r w:rsidRPr="00E942E4" w:rsidR="00E82052">
        <w:rPr>
          <w:b/>
          <w:bCs/>
        </w:rPr>
        <w:t>I</w:t>
      </w:r>
      <w:r w:rsidRPr="00E942E4" w:rsidR="006E64BC">
        <w:rPr>
          <w:b/>
          <w:bCs/>
        </w:rPr>
        <w:t>f applicable, provide a copy, and identify the date and page number,</w:t>
      </w:r>
      <w:r w:rsidRPr="00E942E4" w:rsidR="0042514C">
        <w:rPr>
          <w:b/>
          <w:bCs/>
        </w:rPr>
        <w:t xml:space="preserve"> of the agency’s notice published in the </w:t>
      </w:r>
      <w:r w:rsidRPr="00E942E4" w:rsidR="0042514C">
        <w:rPr>
          <w:b/>
          <w:bCs/>
          <w:i/>
          <w:iCs/>
        </w:rPr>
        <w:t>Federal Register</w:t>
      </w:r>
      <w:r w:rsidRPr="00E942E4" w:rsidR="0042514C">
        <w:rPr>
          <w:b/>
          <w:bCs/>
        </w:rPr>
        <w:t>, as required by 5 CFR</w:t>
      </w:r>
      <w:r w:rsidRPr="00E942E4" w:rsidR="00ED1CB6">
        <w:rPr>
          <w:b/>
          <w:bCs/>
        </w:rPr>
        <w:t xml:space="preserve"> 1320.8(d), soliciting comments on the </w:t>
      </w:r>
      <w:r w:rsidRPr="009647CC" w:rsidR="00ED1CB6">
        <w:rPr>
          <w:b/>
          <w:bCs/>
        </w:rPr>
        <w:t>information collection prior to</w:t>
      </w:r>
      <w:r w:rsidRPr="009647CC" w:rsidR="001105CE">
        <w:rPr>
          <w:b/>
          <w:bCs/>
        </w:rPr>
        <w:t xml:space="preserve"> </w:t>
      </w:r>
      <w:r w:rsidRPr="009647CC" w:rsidR="00ED1CB6">
        <w:rPr>
          <w:b/>
          <w:bCs/>
        </w:rPr>
        <w:t>submission to OMB.</w:t>
      </w:r>
      <w:r w:rsidRPr="009647CC" w:rsidR="006E64BC">
        <w:rPr>
          <w:b/>
          <w:bCs/>
        </w:rPr>
        <w:t xml:space="preserve"> </w:t>
      </w:r>
    </w:p>
    <w:p w:rsidR="006F2B51" w:rsidRPr="00E942E4" w:rsidP="00E942E4" w14:paraId="59656B2B" w14:textId="7A862316">
      <w:pPr>
        <w:widowControl w:val="0"/>
        <w:spacing w:after="120"/>
      </w:pPr>
      <w:r w:rsidRPr="009647CC">
        <w:t xml:space="preserve">The 60-Day Notice was published in the </w:t>
      </w:r>
      <w:r w:rsidRPr="009647CC">
        <w:rPr>
          <w:i/>
          <w:iCs/>
        </w:rPr>
        <w:t>Fe</w:t>
      </w:r>
      <w:r w:rsidRPr="009647CC" w:rsidR="00AB1077">
        <w:rPr>
          <w:i/>
          <w:iCs/>
        </w:rPr>
        <w:t>deral Register</w:t>
      </w:r>
      <w:r w:rsidRPr="009647CC" w:rsidR="00AB1077">
        <w:t xml:space="preserve"> on </w:t>
      </w:r>
      <w:r w:rsidRPr="009647CC" w:rsidR="004A38E2">
        <w:t>[</w:t>
      </w:r>
      <w:r w:rsidRPr="009647CC" w:rsidR="009647CC">
        <w:t>07</w:t>
      </w:r>
      <w:r w:rsidRPr="009647CC" w:rsidR="009647CC">
        <w:t>/01/2025</w:t>
      </w:r>
      <w:r w:rsidRPr="009647CC" w:rsidR="004A38E2">
        <w:t>] (</w:t>
      </w:r>
      <w:r w:rsidRPr="009647CC" w:rsidR="009647CC">
        <w:t>90</w:t>
      </w:r>
      <w:r w:rsidRPr="009647CC" w:rsidR="004A38E2">
        <w:t xml:space="preserve"> FR </w:t>
      </w:r>
      <w:r w:rsidRPr="009647CC" w:rsidR="009647CC">
        <w:t>28814</w:t>
      </w:r>
      <w:r w:rsidRPr="009647CC" w:rsidR="004A38E2">
        <w:t>)</w:t>
      </w:r>
      <w:r w:rsidRPr="009647CC" w:rsidR="006859AF">
        <w:t xml:space="preserve">. The comment period ended on </w:t>
      </w:r>
      <w:r w:rsidRPr="009647CC" w:rsidR="00A2122C">
        <w:t>[</w:t>
      </w:r>
      <w:r w:rsidRPr="009647CC" w:rsidR="009647CC">
        <w:t>09</w:t>
      </w:r>
      <w:r w:rsidRPr="009647CC" w:rsidR="00A2122C">
        <w:t>/</w:t>
      </w:r>
      <w:r w:rsidRPr="009647CC" w:rsidR="009647CC">
        <w:t>02</w:t>
      </w:r>
      <w:r w:rsidRPr="009647CC" w:rsidR="00A2122C">
        <w:t>/</w:t>
      </w:r>
      <w:r w:rsidRPr="009647CC" w:rsidR="009647CC">
        <w:t>2025</w:t>
      </w:r>
      <w:r w:rsidRPr="009647CC" w:rsidR="00A2122C">
        <w:t>]. ATF recei</w:t>
      </w:r>
      <w:r w:rsidRPr="00E942E4" w:rsidR="00A2122C">
        <w:t>ved no comments.</w:t>
      </w:r>
    </w:p>
    <w:p w:rsidR="004E2B84" w:rsidRPr="00E942E4" w:rsidP="00E942E4" w14:paraId="34CE77EF" w14:textId="21184553">
      <w:pPr>
        <w:pStyle w:val="ListParagraph"/>
        <w:widowControl w:val="0"/>
        <w:spacing w:after="120"/>
        <w:ind w:left="0"/>
        <w:rPr>
          <w:u w:val="single"/>
        </w:rPr>
      </w:pPr>
      <w:r w:rsidRPr="00E942E4">
        <w:rPr>
          <w:b/>
          <w:bCs/>
        </w:rPr>
        <w:t xml:space="preserve">9. </w:t>
      </w:r>
      <w:r w:rsidRPr="00E942E4" w:rsidR="00903072">
        <w:rPr>
          <w:b/>
          <w:bCs/>
        </w:rPr>
        <w:t>Explain any decision to provide any payments</w:t>
      </w:r>
      <w:r w:rsidRPr="00E942E4" w:rsidR="00A472B7">
        <w:rPr>
          <w:b/>
          <w:bCs/>
        </w:rPr>
        <w:t xml:space="preserve"> or gifts to respondents,</w:t>
      </w:r>
      <w:r w:rsidRPr="00E942E4">
        <w:rPr>
          <w:b/>
          <w:bCs/>
        </w:rPr>
        <w:t xml:space="preserve"> </w:t>
      </w:r>
      <w:r w:rsidRPr="00E942E4" w:rsidR="00A472B7">
        <w:rPr>
          <w:b/>
          <w:bCs/>
        </w:rPr>
        <w:t>other than remuneration of contractors or grantees</w:t>
      </w:r>
      <w:r w:rsidRPr="00E942E4" w:rsidR="00A472B7">
        <w:t>.</w:t>
      </w:r>
    </w:p>
    <w:p w:rsidR="006F2B51" w:rsidRPr="00E942E4" w:rsidP="00E942E4" w14:paraId="630EF088" w14:textId="2393D545">
      <w:pPr>
        <w:widowControl w:val="0"/>
        <w:spacing w:after="120"/>
      </w:pPr>
      <w:r w:rsidRPr="00E942E4">
        <w:t>No payment or gift is associated with this information collection.</w:t>
      </w:r>
    </w:p>
    <w:p w:rsidR="00D15A19" w:rsidRPr="00E942E4" w:rsidP="00E942E4" w14:paraId="2963289F" w14:textId="01E339EF">
      <w:pPr>
        <w:pStyle w:val="ListParagraph"/>
        <w:widowControl w:val="0"/>
        <w:tabs>
          <w:tab w:val="num" w:pos="1080"/>
        </w:tabs>
        <w:spacing w:after="120"/>
        <w:ind w:left="0"/>
        <w:rPr>
          <w:b/>
          <w:bCs/>
        </w:rPr>
      </w:pPr>
      <w:r w:rsidRPr="00E942E4">
        <w:rPr>
          <w:b/>
          <w:bCs/>
        </w:rPr>
        <w:t xml:space="preserve">10. </w:t>
      </w:r>
      <w:r w:rsidRPr="00E942E4" w:rsidR="00A85217">
        <w:rPr>
          <w:b/>
          <w:bCs/>
        </w:rPr>
        <w:t>Describe any</w:t>
      </w:r>
      <w:r w:rsidRPr="00E942E4" w:rsidR="0039130A">
        <w:rPr>
          <w:b/>
          <w:bCs/>
        </w:rPr>
        <w:t xml:space="preserve"> assurance of confidentiality provided to respondents and the basis for the assurance in statute, regulation</w:t>
      </w:r>
      <w:r w:rsidRPr="00E942E4" w:rsidR="009427B8">
        <w:rPr>
          <w:b/>
          <w:bCs/>
        </w:rPr>
        <w:t>, or agency policy.</w:t>
      </w:r>
      <w:r w:rsidRPr="00E942E4" w:rsidR="0039130A">
        <w:rPr>
          <w:b/>
          <w:bCs/>
        </w:rPr>
        <w:t xml:space="preserve"> </w:t>
      </w:r>
    </w:p>
    <w:p w:rsidR="00DF10CD" w:rsidP="00E942E4" w14:paraId="55AD4218" w14:textId="001713DF">
      <w:pPr>
        <w:pStyle w:val="ListParagraph"/>
        <w:widowControl w:val="0"/>
        <w:spacing w:after="120"/>
        <w:ind w:left="0"/>
      </w:pPr>
      <w:r w:rsidRPr="00F06933">
        <w:t xml:space="preserve">ATF has not assured respondents of confidentiality. However, the information </w:t>
      </w:r>
      <w:r w:rsidRPr="00F06933">
        <w:t>being collected</w:t>
      </w:r>
      <w:r w:rsidRPr="00F06933">
        <w:t xml:space="preserve"> includes PII and is thus protected by the Privacy Act. The information is maintained by ATF in a system of records, Justice/ATF-</w:t>
      </w:r>
      <w:r>
        <w:t>008</w:t>
      </w:r>
      <w:r w:rsidRPr="00F06933">
        <w:t>,</w:t>
      </w:r>
      <w:r>
        <w:t xml:space="preserve"> Regulatory</w:t>
      </w:r>
      <w:r w:rsidR="003C5B33">
        <w:t xml:space="preserve"> Enforcement Record System.</w:t>
      </w:r>
      <w:r w:rsidR="00435127">
        <w:t xml:space="preserve"> The</w:t>
      </w:r>
      <w:r w:rsidR="008B4ECD">
        <w:t>re is no form associated with this information collection, but the Privacy Act statement</w:t>
      </w:r>
      <w:r w:rsidR="0016649B">
        <w:t xml:space="preserve"> </w:t>
      </w:r>
      <w:r w:rsidRPr="008D72BD" w:rsidR="0016649B">
        <w:t>that covers this information and informs respondents of the system of records, routine uses, etc.</w:t>
      </w:r>
      <w:r w:rsidR="0016649B">
        <w:t>, is posted on ATF’s website</w:t>
      </w:r>
      <w:r w:rsidR="005620E9">
        <w:t>.</w:t>
      </w:r>
    </w:p>
    <w:p w:rsidR="008962FB" w:rsidRPr="00E942E4" w:rsidP="00E942E4" w14:paraId="7C482516" w14:textId="75082CD8">
      <w:pPr>
        <w:pStyle w:val="ListParagraph"/>
        <w:widowControl w:val="0"/>
        <w:spacing w:after="120"/>
        <w:ind w:left="0"/>
        <w:rPr>
          <w:b/>
          <w:bCs/>
        </w:rPr>
      </w:pPr>
      <w:r w:rsidRPr="00E942E4">
        <w:rPr>
          <w:b/>
          <w:bCs/>
        </w:rPr>
        <w:t xml:space="preserve">11. </w:t>
      </w:r>
      <w:r w:rsidRPr="00E942E4" w:rsidR="00CC363F">
        <w:rPr>
          <w:b/>
          <w:bCs/>
        </w:rPr>
        <w:t>Provide additional justification for any questions of a sensitive nature, such as sexual</w:t>
      </w:r>
      <w:r w:rsidRPr="00E942E4" w:rsidR="00AA4DDF">
        <w:rPr>
          <w:b/>
          <w:bCs/>
        </w:rPr>
        <w:t xml:space="preserve"> </w:t>
      </w:r>
      <w:r w:rsidRPr="00E942E4" w:rsidR="00CC363F">
        <w:rPr>
          <w:b/>
          <w:bCs/>
        </w:rPr>
        <w:t>behavior and attitudes, religious beliefs, and other matters that are commonly considered private.</w:t>
      </w:r>
    </w:p>
    <w:p w:rsidR="006F2B51" w:rsidRPr="00E942E4" w:rsidP="00E942E4" w14:paraId="4DC53E58" w14:textId="5EE02CC9">
      <w:pPr>
        <w:widowControl w:val="0"/>
        <w:spacing w:after="120"/>
      </w:pPr>
      <w:r w:rsidRPr="00E942E4">
        <w:t>This information collection does not ask questions or require information of a sensitive nature</w:t>
      </w:r>
      <w:r w:rsidRPr="00E942E4" w:rsidR="001E2962">
        <w:t>.</w:t>
      </w:r>
      <w:r w:rsidRPr="00E942E4">
        <w:t xml:space="preserve"> </w:t>
      </w:r>
    </w:p>
    <w:p w:rsidR="00BC4C9B" w:rsidRPr="00E942E4" w:rsidP="00E942E4" w14:paraId="3FC91ED2" w14:textId="14DD6B5E">
      <w:pPr>
        <w:pStyle w:val="ListParagraph"/>
        <w:widowControl w:val="0"/>
        <w:spacing w:after="120"/>
        <w:ind w:left="0"/>
        <w:rPr>
          <w:b/>
          <w:bCs/>
        </w:rPr>
      </w:pPr>
      <w:r w:rsidRPr="00E942E4">
        <w:rPr>
          <w:b/>
          <w:bCs/>
        </w:rPr>
        <w:t xml:space="preserve">12. </w:t>
      </w:r>
      <w:r w:rsidRPr="00E942E4" w:rsidR="003E6E59">
        <w:rPr>
          <w:b/>
          <w:bCs/>
        </w:rPr>
        <w:t>Provide estimates of the information collection’s hour burden</w:t>
      </w:r>
      <w:r w:rsidRPr="00E942E4" w:rsidR="00536DEB">
        <w:rPr>
          <w:b/>
          <w:bCs/>
        </w:rPr>
        <w:t>.</w:t>
      </w:r>
    </w:p>
    <w:p w:rsidR="0048200F" w:rsidP="00E942E4" w14:paraId="251F46F5" w14:textId="310C8BBF">
      <w:pPr>
        <w:widowControl w:val="0"/>
        <w:spacing w:after="120"/>
      </w:pPr>
      <w:r w:rsidRPr="00E942E4">
        <w:t xml:space="preserve">ATF estimates </w:t>
      </w:r>
      <w:r w:rsidRPr="00E942E4" w:rsidR="004C0FC1">
        <w:t xml:space="preserve">there are </w:t>
      </w:r>
      <w:r w:rsidRPr="00E942E4" w:rsidR="002767E7">
        <w:t xml:space="preserve">a total </w:t>
      </w:r>
      <w:r w:rsidRPr="00E942E4" w:rsidR="008C28DB">
        <w:t xml:space="preserve">of </w:t>
      </w:r>
      <w:r w:rsidRPr="00E942E4" w:rsidR="002F303D">
        <w:t>497</w:t>
      </w:r>
      <w:r w:rsidRPr="00E942E4" w:rsidR="004C0FC1">
        <w:t xml:space="preserve"> </w:t>
      </w:r>
      <w:r w:rsidRPr="00E942E4" w:rsidR="002F303D">
        <w:t xml:space="preserve">Type 10 </w:t>
      </w:r>
      <w:r w:rsidR="00050666">
        <w:t>licensed manufacturers, which manufacture firearms, other devices, and armor-piercing ammunition</w:t>
      </w:r>
      <w:r w:rsidR="00574D36">
        <w:t>,</w:t>
      </w:r>
      <w:r>
        <w:t xml:space="preserve"> and </w:t>
      </w:r>
      <w:r w:rsidR="00C14824">
        <w:t xml:space="preserve">298 Type 11 </w:t>
      </w:r>
      <w:r w:rsidR="00574D36">
        <w:t>licensed importers, which import firearms, other devices, and armor-piercing ammunition.</w:t>
      </w:r>
      <w:r w:rsidRPr="00E942E4" w:rsidR="008351C7">
        <w:t xml:space="preserve"> </w:t>
      </w:r>
      <w:r w:rsidR="00574D36">
        <w:t xml:space="preserve">Of these 795 </w:t>
      </w:r>
      <w:r w:rsidR="00574D36">
        <w:t>licensees</w:t>
      </w:r>
      <w:r w:rsidR="00C7080B">
        <w:t xml:space="preserve"> authorized to manufacture or import armor-piercing ammunition,</w:t>
      </w:r>
      <w:r w:rsidRPr="00E942E4" w:rsidR="00B44B7A">
        <w:t xml:space="preserve"> </w:t>
      </w:r>
      <w:r w:rsidR="00C7080B">
        <w:t xml:space="preserve">only </w:t>
      </w:r>
      <w:r w:rsidRPr="00E942E4" w:rsidR="00B44B7A">
        <w:t xml:space="preserve">an unknown subset </w:t>
      </w:r>
      <w:r w:rsidRPr="00E942E4" w:rsidR="0064581A">
        <w:t xml:space="preserve">of </w:t>
      </w:r>
      <w:r w:rsidR="0096007A">
        <w:t xml:space="preserve">them </w:t>
      </w:r>
      <w:r w:rsidR="00C7080B">
        <w:t>do so</w:t>
      </w:r>
      <w:r w:rsidR="0096007A">
        <w:t>, and would thus be respondents under this information collection</w:t>
      </w:r>
      <w:r w:rsidRPr="00E942E4" w:rsidR="00E42125">
        <w:t>.</w:t>
      </w:r>
      <w:r w:rsidRPr="00E942E4" w:rsidR="002767E7">
        <w:t xml:space="preserve"> </w:t>
      </w:r>
      <w:r w:rsidR="00BF0A01">
        <w:t xml:space="preserve">Type </w:t>
      </w:r>
      <w:r w:rsidR="003179AB">
        <w:t>0</w:t>
      </w:r>
      <w:r w:rsidR="00BF0A01">
        <w:t xml:space="preserve">1 </w:t>
      </w:r>
      <w:r w:rsidR="003179AB">
        <w:t>licensed d</w:t>
      </w:r>
      <w:r w:rsidR="00BF0A01">
        <w:t xml:space="preserve">ealers and Type </w:t>
      </w:r>
      <w:r w:rsidR="003179AB">
        <w:t>0</w:t>
      </w:r>
      <w:r w:rsidR="00BF0A01">
        <w:t xml:space="preserve">3 </w:t>
      </w:r>
      <w:r w:rsidR="003179AB">
        <w:t>licensed c</w:t>
      </w:r>
      <w:r w:rsidR="00BF0A01">
        <w:t>ollectors</w:t>
      </w:r>
      <w:r w:rsidR="00AA38BD">
        <w:t xml:space="preserve"> are authorized to deal in or collect armor-piercing ammunition under the statutes, but they have not been authorized to acquire </w:t>
      </w:r>
      <w:r w:rsidR="000E37BD">
        <w:t>such ammunition since 1986. Given the length of time since then during which they have not been able to acquire armor-piercing ammunition, it is unlikely that any of them are still selling or delivering it.</w:t>
      </w:r>
      <w:r w:rsidR="00BF0A01">
        <w:t xml:space="preserve"> </w:t>
      </w:r>
      <w:r w:rsidR="00E76EC3">
        <w:t xml:space="preserve">ATF has </w:t>
      </w:r>
      <w:r w:rsidR="00594F74">
        <w:t xml:space="preserve">therefore </w:t>
      </w:r>
      <w:r w:rsidR="00E76EC3">
        <w:t xml:space="preserve">deemed it unlikely that they would be distributing them for the purposes of this ICR. </w:t>
      </w:r>
      <w:r w:rsidR="00F132FB">
        <w:t xml:space="preserve">Therefore, ATF did not include Type </w:t>
      </w:r>
      <w:r w:rsidR="00594F74">
        <w:t>0</w:t>
      </w:r>
      <w:r w:rsidR="00F132FB">
        <w:t xml:space="preserve">1 or </w:t>
      </w:r>
      <w:r w:rsidR="00594F74">
        <w:t>0</w:t>
      </w:r>
      <w:r w:rsidR="00F132FB">
        <w:t xml:space="preserve">3 </w:t>
      </w:r>
      <w:r w:rsidR="00594F74">
        <w:t>licensees</w:t>
      </w:r>
      <w:r w:rsidR="00F132FB">
        <w:t xml:space="preserve"> as affected respondents in this ICR.</w:t>
      </w:r>
    </w:p>
    <w:p w:rsidR="000805B7" w:rsidRPr="00E942E4" w:rsidP="00E942E4" w14:paraId="72C6A8E6" w14:textId="0C83B6BA">
      <w:pPr>
        <w:widowControl w:val="0"/>
        <w:spacing w:after="120"/>
      </w:pPr>
      <w:r w:rsidRPr="00E942E4">
        <w:t xml:space="preserve">For purposes of this analysis, ATF estimates that 50 percent </w:t>
      </w:r>
      <w:r w:rsidR="00F132FB">
        <w:t>of Type 10 and Type 11 FFLs</w:t>
      </w:r>
      <w:r w:rsidRPr="00E942E4">
        <w:t xml:space="preserve"> may be </w:t>
      </w:r>
      <w:r w:rsidRPr="00E942E4" w:rsidR="00EC135C">
        <w:t>armor-</w:t>
      </w:r>
      <w:r w:rsidR="00026DE7">
        <w:t xml:space="preserve">piercing ammunition </w:t>
      </w:r>
      <w:r w:rsidRPr="00E942E4" w:rsidR="00EC135C">
        <w:t>manufacturers</w:t>
      </w:r>
      <w:r w:rsidR="0048200F">
        <w:t xml:space="preserve"> </w:t>
      </w:r>
      <w:r w:rsidR="00594F74">
        <w:t>or</w:t>
      </w:r>
      <w:r w:rsidR="0048200F">
        <w:t xml:space="preserve"> importers</w:t>
      </w:r>
      <w:r w:rsidR="00F132FB">
        <w:t>. At 50 percent of the total population,</w:t>
      </w:r>
      <w:r w:rsidRPr="00E942E4" w:rsidR="00EC135C">
        <w:t xml:space="preserve"> </w:t>
      </w:r>
      <w:r w:rsidRPr="00E942E4" w:rsidR="00E42125">
        <w:t xml:space="preserve">approximately </w:t>
      </w:r>
      <w:r w:rsidR="009E2765">
        <w:t>39</w:t>
      </w:r>
      <w:r w:rsidR="00F15095">
        <w:t>8</w:t>
      </w:r>
      <w:r w:rsidR="003E5DA6">
        <w:t xml:space="preserve"> licensed manufacturers and importers</w:t>
      </w:r>
      <w:r w:rsidR="009F098C">
        <w:t xml:space="preserve"> (</w:t>
      </w:r>
      <w:r w:rsidR="00B00F64">
        <w:t xml:space="preserve">497 Type 10 </w:t>
      </w:r>
      <w:r w:rsidR="00F15095">
        <w:t>+</w:t>
      </w:r>
      <w:r w:rsidR="00B00F64">
        <w:t xml:space="preserve"> 298 Type 11</w:t>
      </w:r>
      <w:r w:rsidR="00F15095">
        <w:t>=</w:t>
      </w:r>
      <w:r w:rsidR="003E5DA6">
        <w:t>795</w:t>
      </w:r>
      <w:r w:rsidR="00F15095">
        <w:t xml:space="preserve"> / 2</w:t>
      </w:r>
      <w:r w:rsidR="00F718E8">
        <w:t>, rounded</w:t>
      </w:r>
      <w:r w:rsidR="00B00F64">
        <w:t>)</w:t>
      </w:r>
      <w:r w:rsidRPr="00E942E4" w:rsidR="00B96C83">
        <w:t xml:space="preserve"> </w:t>
      </w:r>
      <w:r w:rsidRPr="00E942E4" w:rsidR="004C0FC1">
        <w:t xml:space="preserve">may </w:t>
      </w:r>
      <w:r w:rsidR="003E5DA6">
        <w:t>sell armor-piercing ammuni</w:t>
      </w:r>
      <w:r w:rsidR="00F718E8">
        <w:t xml:space="preserve">tion and thus keep records </w:t>
      </w:r>
      <w:r w:rsidR="003D5CC9">
        <w:t>responsive to</w:t>
      </w:r>
      <w:r w:rsidR="00F718E8">
        <w:t xml:space="preserve"> </w:t>
      </w:r>
      <w:r w:rsidRPr="00E942E4" w:rsidR="004C0FC1">
        <w:t xml:space="preserve">this </w:t>
      </w:r>
      <w:r w:rsidR="00F718E8">
        <w:t xml:space="preserve">information </w:t>
      </w:r>
      <w:r w:rsidRPr="00E942E4" w:rsidR="004C0FC1">
        <w:t>collection</w:t>
      </w:r>
      <w:r w:rsidRPr="00E942E4" w:rsidR="0036577B">
        <w:t>.</w:t>
      </w:r>
      <w:r w:rsidRPr="00E942E4" w:rsidR="004C0FC1">
        <w:t xml:space="preserve"> </w:t>
      </w:r>
    </w:p>
    <w:p w:rsidR="00361DD5" w:rsidP="00E942E4" w14:paraId="02A501CD" w14:textId="600C7AC8">
      <w:pPr>
        <w:widowControl w:val="0"/>
        <w:spacing w:after="120"/>
      </w:pPr>
      <w:r w:rsidRPr="00E942E4">
        <w:t>The</w:t>
      </w:r>
      <w:r w:rsidRPr="00E942E4" w:rsidR="002767E7">
        <w:t>refore, the</w:t>
      </w:r>
      <w:r w:rsidRPr="00E942E4">
        <w:t xml:space="preserve"> total responses </w:t>
      </w:r>
      <w:r w:rsidRPr="00E942E4" w:rsidR="008046A7">
        <w:t>are also</w:t>
      </w:r>
      <w:r w:rsidRPr="00E942E4">
        <w:t xml:space="preserve"> </w:t>
      </w:r>
      <w:r w:rsidR="00F718E8">
        <w:rPr>
          <w:color w:val="000000" w:themeColor="text1"/>
        </w:rPr>
        <w:t>398</w:t>
      </w:r>
      <w:r w:rsidRPr="00E942E4" w:rsidR="009011C4">
        <w:t>. It will take approximately</w:t>
      </w:r>
      <w:r w:rsidRPr="00E942E4">
        <w:t xml:space="preserve"> two minutes (.033 hours)</w:t>
      </w:r>
      <w:r w:rsidRPr="00E942E4" w:rsidR="009011C4">
        <w:t xml:space="preserve"> to provide each response</w:t>
      </w:r>
      <w:r w:rsidRPr="00E942E4" w:rsidR="00886D8A">
        <w:t xml:space="preserve">. </w:t>
      </w:r>
      <w:r w:rsidRPr="00E942E4" w:rsidR="008046A7">
        <w:t>Consequently</w:t>
      </w:r>
      <w:r w:rsidRPr="00E942E4" w:rsidR="009011C4">
        <w:t>, the</w:t>
      </w:r>
      <w:r w:rsidRPr="00E942E4">
        <w:t xml:space="preserve"> estimated total bur</w:t>
      </w:r>
      <w:r w:rsidRPr="00E942E4" w:rsidR="00BC4C9B">
        <w:t xml:space="preserve">den for this collection is </w:t>
      </w:r>
      <w:r w:rsidR="00AA5031">
        <w:t>13</w:t>
      </w:r>
      <w:r w:rsidRPr="00E942E4" w:rsidR="00BC4C9B">
        <w:t xml:space="preserve"> hours</w:t>
      </w:r>
      <w:r w:rsidR="00F329F6">
        <w:t xml:space="preserve"> (</w:t>
      </w:r>
      <w:r w:rsidR="00AA5031">
        <w:t>398</w:t>
      </w:r>
      <w:r w:rsidR="00530017">
        <w:t xml:space="preserve"> respondents * 0.033 hours</w:t>
      </w:r>
      <w:r w:rsidR="00F329F6">
        <w:t>, rounded</w:t>
      </w:r>
      <w:r w:rsidR="00530017">
        <w:t>).</w:t>
      </w:r>
    </w:p>
    <w:p w:rsidR="001F7307" w:rsidP="001F7307" w14:paraId="2E69E916" w14:textId="68D1D679">
      <w:pPr>
        <w:pStyle w:val="BodyText"/>
        <w:tabs>
          <w:tab w:val="left" w:pos="720"/>
          <w:tab w:val="left" w:pos="9338"/>
        </w:tabs>
        <w:rPr>
          <w:bCs/>
        </w:rPr>
      </w:pPr>
      <w:r>
        <w:rPr>
          <w:bCs/>
        </w:rPr>
        <w:t xml:space="preserve">ATF assumes that the individual completing the ICR for respondents would </w:t>
      </w:r>
      <w:r w:rsidRPr="004F6202">
        <w:rPr>
          <w:bCs/>
        </w:rPr>
        <w:t>be a retail salesperson</w:t>
      </w:r>
      <w:r>
        <w:rPr>
          <w:bCs/>
        </w:rPr>
        <w:t xml:space="preserve"> or equivalent</w:t>
      </w:r>
      <w:r w:rsidRPr="004F6202">
        <w:rPr>
          <w:bCs/>
        </w:rPr>
        <w:t xml:space="preserve">. ATF used wage data from the U.S. Department of Labor, Bureau of Labor Statistics (BLS) category 41-2031 Retail Salespersons for May 2023, from which to estimate the monetized value of respondent time under this information collection. Based on the BLS information, ATF estimates the average hourly employer costs for applicants as $17.64. ATF also applied a load rate of 1.42 to account for benefit costs paid by the employer, making </w:t>
      </w:r>
      <w:r w:rsidRPr="004F6202">
        <w:rPr>
          <w:bCs/>
        </w:rPr>
        <w:t>the loaded wage rate $25.05 ($17.64 * 1.42). </w:t>
      </w:r>
    </w:p>
    <w:p w:rsidR="00C01EDF" w:rsidP="001F7307" w14:paraId="58DCA174" w14:textId="77777777">
      <w:pPr>
        <w:pStyle w:val="BodyText"/>
        <w:tabs>
          <w:tab w:val="left" w:pos="720"/>
          <w:tab w:val="left" w:pos="9338"/>
        </w:tabs>
        <w:rPr>
          <w:bCs/>
        </w:rPr>
      </w:pPr>
    </w:p>
    <w:p w:rsidR="00C01EDF" w:rsidRPr="004F6202" w:rsidP="001F7307" w14:paraId="209226F6" w14:textId="66554B7C">
      <w:pPr>
        <w:pStyle w:val="BodyText"/>
        <w:tabs>
          <w:tab w:val="left" w:pos="720"/>
          <w:tab w:val="left" w:pos="9338"/>
        </w:tabs>
        <w:rPr>
          <w:bCs/>
        </w:rPr>
      </w:pPr>
      <w:r>
        <w:rPr>
          <w:bCs/>
        </w:rPr>
        <w:t>At a loaded hourly wage rate of $25.05, with a total industry burden of 13 hours, the anticipated monetized hourly burden for this ICR is $325.65 (</w:t>
      </w:r>
      <w:r w:rsidR="00BB0F30">
        <w:rPr>
          <w:bCs/>
        </w:rPr>
        <w:t>$25.05 hourly wage rate * 13 hours).</w:t>
      </w:r>
    </w:p>
    <w:p w:rsidR="0023037E" w:rsidP="00E942E4" w14:paraId="59B5CC7C" w14:textId="77777777">
      <w:pPr>
        <w:widowControl w:val="0"/>
        <w:spacing w:after="120"/>
      </w:pPr>
    </w:p>
    <w:p w:rsidR="009E7D56" w:rsidRPr="003F73B2" w:rsidP="009E7D56" w14:paraId="540233AA" w14:textId="77777777">
      <w:pPr>
        <w:jc w:val="center"/>
        <w:rPr>
          <w:i/>
        </w:rPr>
      </w:pPr>
      <w:r w:rsidRPr="00D54320">
        <w:rPr>
          <w:b/>
          <w:bCs/>
        </w:rPr>
        <w:t xml:space="preserve">Table. </w:t>
      </w:r>
      <w:r w:rsidRPr="00E60FB0">
        <w:rPr>
          <w:b/>
        </w:rPr>
        <w:t xml:space="preserve">Estimated </w:t>
      </w:r>
      <w:r>
        <w:rPr>
          <w:b/>
        </w:rPr>
        <w:t>a</w:t>
      </w:r>
      <w:r w:rsidRPr="00E60FB0">
        <w:rPr>
          <w:b/>
        </w:rPr>
        <w:t xml:space="preserve">nnualized </w:t>
      </w:r>
      <w:r>
        <w:rPr>
          <w:b/>
        </w:rPr>
        <w:t>r</w:t>
      </w:r>
      <w:r w:rsidRPr="00E60FB0">
        <w:rPr>
          <w:b/>
        </w:rPr>
        <w:t xml:space="preserve">espondent </w:t>
      </w:r>
      <w:r>
        <w:rPr>
          <w:b/>
        </w:rPr>
        <w:t>c</w:t>
      </w:r>
      <w:r w:rsidRPr="00E60FB0">
        <w:rPr>
          <w:b/>
        </w:rPr>
        <w:t xml:space="preserve">ost and </w:t>
      </w:r>
      <w:r>
        <w:rPr>
          <w:b/>
        </w:rPr>
        <w:t>h</w:t>
      </w:r>
      <w:r w:rsidRPr="00E60FB0">
        <w:rPr>
          <w:b/>
        </w:rPr>
        <w:t xml:space="preserve">our </w:t>
      </w:r>
      <w:r>
        <w:rPr>
          <w:b/>
        </w:rPr>
        <w:t>b</w:t>
      </w:r>
      <w:r w:rsidRPr="00E60FB0">
        <w:rPr>
          <w:b/>
        </w:rPr>
        <w:t>urden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27"/>
        <w:gridCol w:w="1256"/>
        <w:gridCol w:w="1109"/>
        <w:gridCol w:w="1002"/>
        <w:gridCol w:w="1091"/>
        <w:gridCol w:w="1048"/>
        <w:gridCol w:w="1049"/>
        <w:gridCol w:w="1162"/>
      </w:tblGrid>
      <w:tr w14:paraId="36AD851D" w14:textId="39E39D23" w:rsidTr="0023037E">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83" w:type="pct"/>
            <w:tcBorders>
              <w:top w:val="single" w:sz="6" w:space="0" w:color="auto"/>
              <w:left w:val="single" w:sz="6" w:space="0" w:color="auto"/>
              <w:bottom w:val="single" w:sz="6" w:space="0" w:color="auto"/>
              <w:right w:val="single" w:sz="6" w:space="0" w:color="auto"/>
            </w:tcBorders>
            <w:shd w:val="clear" w:color="auto" w:fill="5B9BD5" w:themeFill="accent1"/>
            <w:vAlign w:val="center"/>
            <w:hideMark/>
          </w:tcPr>
          <w:p w:rsidR="0023037E" w:rsidRPr="00E942E4" w:rsidP="0023037E" w14:paraId="2B87089C" w14:textId="041A74E8">
            <w:pPr>
              <w:widowControl w:val="0"/>
              <w:jc w:val="center"/>
            </w:pPr>
            <w:r w:rsidRPr="003F73B2">
              <w:rPr>
                <w:b/>
              </w:rPr>
              <w:t>Activity</w:t>
            </w:r>
          </w:p>
        </w:tc>
        <w:tc>
          <w:tcPr>
            <w:tcW w:w="672" w:type="pct"/>
            <w:tcBorders>
              <w:top w:val="single" w:sz="6" w:space="0" w:color="auto"/>
              <w:left w:val="single" w:sz="6" w:space="0" w:color="auto"/>
              <w:bottom w:val="single" w:sz="6" w:space="0" w:color="auto"/>
              <w:right w:val="single" w:sz="6" w:space="0" w:color="auto"/>
            </w:tcBorders>
            <w:shd w:val="clear" w:color="auto" w:fill="5B9BD5" w:themeFill="accent1"/>
            <w:vAlign w:val="center"/>
          </w:tcPr>
          <w:p w:rsidR="0023037E" w:rsidRPr="00E942E4" w:rsidP="0023037E" w14:paraId="6CD65CD7" w14:textId="51254E0C">
            <w:pPr>
              <w:widowControl w:val="0"/>
              <w:jc w:val="center"/>
              <w:rPr>
                <w:b/>
                <w:bCs/>
              </w:rPr>
            </w:pPr>
            <w:r w:rsidRPr="003F73B2">
              <w:rPr>
                <w:b/>
              </w:rPr>
              <w:t>Number of respondents</w:t>
            </w:r>
          </w:p>
        </w:tc>
        <w:tc>
          <w:tcPr>
            <w:tcW w:w="593" w:type="pct"/>
            <w:tcBorders>
              <w:top w:val="single" w:sz="6" w:space="0" w:color="auto"/>
              <w:left w:val="single" w:sz="6" w:space="0" w:color="auto"/>
              <w:bottom w:val="single" w:sz="6" w:space="0" w:color="auto"/>
              <w:right w:val="single" w:sz="6" w:space="0" w:color="auto"/>
            </w:tcBorders>
            <w:shd w:val="clear" w:color="auto" w:fill="5B9BD5" w:themeFill="accent1"/>
            <w:vAlign w:val="center"/>
            <w:hideMark/>
          </w:tcPr>
          <w:p w:rsidR="0023037E" w:rsidRPr="00E942E4" w:rsidP="0023037E" w14:paraId="76620D4E" w14:textId="10D3AC38">
            <w:pPr>
              <w:widowControl w:val="0"/>
              <w:jc w:val="center"/>
            </w:pPr>
            <w:r w:rsidRPr="003F73B2">
              <w:rPr>
                <w:b/>
              </w:rPr>
              <w:t>Frequency</w:t>
            </w:r>
          </w:p>
        </w:tc>
        <w:tc>
          <w:tcPr>
            <w:tcW w:w="536" w:type="pct"/>
            <w:tcBorders>
              <w:top w:val="single" w:sz="6" w:space="0" w:color="auto"/>
              <w:left w:val="single" w:sz="6" w:space="0" w:color="auto"/>
              <w:bottom w:val="single" w:sz="6" w:space="0" w:color="auto"/>
              <w:right w:val="single" w:sz="6" w:space="0" w:color="auto"/>
            </w:tcBorders>
            <w:shd w:val="clear" w:color="auto" w:fill="5B9BD5" w:themeFill="accent1"/>
            <w:vAlign w:val="center"/>
            <w:hideMark/>
          </w:tcPr>
          <w:p w:rsidR="0023037E" w:rsidRPr="00E942E4" w:rsidP="0023037E" w14:paraId="2AA551DD" w14:textId="61DB4311">
            <w:pPr>
              <w:widowControl w:val="0"/>
              <w:jc w:val="center"/>
            </w:pPr>
            <w:r w:rsidRPr="003F73B2">
              <w:rPr>
                <w:b/>
              </w:rPr>
              <w:t>Total annual responses</w:t>
            </w:r>
          </w:p>
        </w:tc>
        <w:tc>
          <w:tcPr>
            <w:tcW w:w="596" w:type="pct"/>
            <w:tcBorders>
              <w:top w:val="single" w:sz="6" w:space="0" w:color="auto"/>
              <w:left w:val="single" w:sz="6" w:space="0" w:color="auto"/>
              <w:bottom w:val="single" w:sz="6" w:space="0" w:color="auto"/>
              <w:right w:val="single" w:sz="6" w:space="0" w:color="auto"/>
            </w:tcBorders>
            <w:shd w:val="clear" w:color="auto" w:fill="5B9BD5" w:themeFill="accent1"/>
            <w:vAlign w:val="center"/>
            <w:hideMark/>
          </w:tcPr>
          <w:p w:rsidR="0023037E" w:rsidRPr="00E942E4" w:rsidP="0023037E" w14:paraId="23424DC0" w14:textId="6B905250">
            <w:pPr>
              <w:widowControl w:val="0"/>
              <w:jc w:val="center"/>
            </w:pPr>
            <w:r w:rsidRPr="003F73B2">
              <w:rPr>
                <w:b/>
              </w:rPr>
              <w:t>Time per response</w:t>
            </w:r>
            <w:r>
              <w:rPr>
                <w:b/>
              </w:rPr>
              <w:t xml:space="preserve"> (hours)</w:t>
            </w:r>
          </w:p>
        </w:tc>
        <w:tc>
          <w:tcPr>
            <w:tcW w:w="573" w:type="pct"/>
            <w:tcBorders>
              <w:top w:val="single" w:sz="6" w:space="0" w:color="auto"/>
              <w:left w:val="single" w:sz="6" w:space="0" w:color="auto"/>
              <w:bottom w:val="single" w:sz="6" w:space="0" w:color="auto"/>
              <w:right w:val="single" w:sz="6" w:space="0" w:color="auto"/>
            </w:tcBorders>
            <w:shd w:val="clear" w:color="auto" w:fill="5B9BD5" w:themeFill="accent1"/>
            <w:vAlign w:val="center"/>
            <w:hideMark/>
          </w:tcPr>
          <w:p w:rsidR="0023037E" w:rsidRPr="00E942E4" w:rsidP="0023037E" w14:paraId="41AD76A6" w14:textId="549C6F97">
            <w:pPr>
              <w:widowControl w:val="0"/>
              <w:jc w:val="center"/>
            </w:pPr>
            <w:r w:rsidRPr="003F73B2">
              <w:rPr>
                <w:b/>
              </w:rPr>
              <w:t>Total annual burden (hours)</w:t>
            </w:r>
          </w:p>
        </w:tc>
        <w:tc>
          <w:tcPr>
            <w:tcW w:w="573" w:type="pct"/>
            <w:tcBorders>
              <w:top w:val="single" w:sz="6" w:space="0" w:color="auto"/>
              <w:left w:val="single" w:sz="6" w:space="0" w:color="auto"/>
              <w:bottom w:val="single" w:sz="6" w:space="0" w:color="auto"/>
              <w:right w:val="single" w:sz="6" w:space="0" w:color="auto"/>
            </w:tcBorders>
            <w:shd w:val="clear" w:color="auto" w:fill="5B9BD5" w:themeFill="accent1"/>
            <w:vAlign w:val="center"/>
          </w:tcPr>
          <w:p w:rsidR="0023037E" w:rsidRPr="003F73B2" w:rsidP="0023037E" w14:paraId="58DA8F7C" w14:textId="307940BC">
            <w:pPr>
              <w:widowControl w:val="0"/>
              <w:jc w:val="center"/>
              <w:rPr>
                <w:b/>
              </w:rPr>
            </w:pPr>
            <w:r w:rsidRPr="0077200C">
              <w:rPr>
                <w:b/>
                <w:bCs/>
              </w:rPr>
              <w:t>Hourly rate</w:t>
            </w:r>
          </w:p>
        </w:tc>
        <w:tc>
          <w:tcPr>
            <w:tcW w:w="573" w:type="pct"/>
            <w:tcBorders>
              <w:top w:val="single" w:sz="6" w:space="0" w:color="auto"/>
              <w:left w:val="single" w:sz="6" w:space="0" w:color="auto"/>
              <w:bottom w:val="single" w:sz="6" w:space="0" w:color="auto"/>
              <w:right w:val="single" w:sz="6" w:space="0" w:color="auto"/>
            </w:tcBorders>
            <w:shd w:val="clear" w:color="auto" w:fill="5B9BD5" w:themeFill="accent1"/>
            <w:vAlign w:val="center"/>
          </w:tcPr>
          <w:p w:rsidR="0023037E" w:rsidRPr="003F73B2" w:rsidP="0023037E" w14:paraId="6C101BEF" w14:textId="6D313BA4">
            <w:pPr>
              <w:widowControl w:val="0"/>
              <w:jc w:val="center"/>
              <w:rPr>
                <w:b/>
              </w:rPr>
            </w:pPr>
            <w:r w:rsidRPr="0077200C">
              <w:rPr>
                <w:b/>
                <w:bCs/>
              </w:rPr>
              <w:t>Monetized value of respondent time</w:t>
            </w:r>
          </w:p>
        </w:tc>
      </w:tr>
      <w:tr w14:paraId="62C375DE" w14:textId="65663409" w:rsidTr="0023037E">
        <w:tblPrEx>
          <w:tblW w:w="5000" w:type="pct"/>
          <w:tblCellMar>
            <w:left w:w="0" w:type="dxa"/>
            <w:right w:w="0" w:type="dxa"/>
          </w:tblCellMar>
          <w:tblLook w:val="04A0"/>
        </w:tblPrEx>
        <w:trPr>
          <w:trHeight w:val="300"/>
        </w:trPr>
        <w:tc>
          <w:tcPr>
            <w:tcW w:w="883"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39D875F6" w14:textId="1773C907">
            <w:pPr>
              <w:widowControl w:val="0"/>
            </w:pPr>
            <w:r w:rsidRPr="00E942E4">
              <w:t xml:space="preserve">Complete </w:t>
            </w:r>
            <w:r>
              <w:t>disposition</w:t>
            </w:r>
            <w:r w:rsidRPr="00E942E4">
              <w:t xml:space="preserve"> </w:t>
            </w:r>
            <w:r>
              <w:t>transaction r</w:t>
            </w:r>
            <w:r w:rsidRPr="00E942E4">
              <w:t>ecord </w:t>
            </w:r>
          </w:p>
        </w:tc>
        <w:tc>
          <w:tcPr>
            <w:tcW w:w="672" w:type="pct"/>
            <w:tcBorders>
              <w:top w:val="single" w:sz="6" w:space="0" w:color="auto"/>
              <w:left w:val="single" w:sz="6" w:space="0" w:color="auto"/>
              <w:bottom w:val="single" w:sz="6" w:space="0" w:color="auto"/>
              <w:right w:val="single" w:sz="6" w:space="0" w:color="auto"/>
            </w:tcBorders>
            <w:vAlign w:val="center"/>
          </w:tcPr>
          <w:p w:rsidR="0023037E" w:rsidRPr="00E942E4" w:rsidP="0023037E" w14:paraId="415D5571" w14:textId="026EBB47">
            <w:pPr>
              <w:widowControl w:val="0"/>
              <w:jc w:val="center"/>
            </w:pPr>
            <w:r>
              <w:t>398</w:t>
            </w:r>
          </w:p>
        </w:tc>
        <w:tc>
          <w:tcPr>
            <w:tcW w:w="593"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403242B2" w14:textId="3355FF67">
            <w:pPr>
              <w:widowControl w:val="0"/>
              <w:jc w:val="center"/>
            </w:pPr>
            <w:r w:rsidRPr="00E942E4">
              <w:t>1</w:t>
            </w:r>
          </w:p>
        </w:tc>
        <w:tc>
          <w:tcPr>
            <w:tcW w:w="536"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633588D1" w14:textId="53C73700">
            <w:pPr>
              <w:widowControl w:val="0"/>
              <w:jc w:val="center"/>
            </w:pPr>
            <w:r>
              <w:t>398</w:t>
            </w:r>
          </w:p>
        </w:tc>
        <w:tc>
          <w:tcPr>
            <w:tcW w:w="596"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17CEB82F" w14:textId="0533EF8F">
            <w:pPr>
              <w:widowControl w:val="0"/>
              <w:jc w:val="center"/>
            </w:pPr>
            <w:r w:rsidRPr="00E942E4">
              <w:t>0.033</w:t>
            </w:r>
          </w:p>
        </w:tc>
        <w:tc>
          <w:tcPr>
            <w:tcW w:w="573"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707C9905" w14:textId="41DF31A2">
            <w:pPr>
              <w:widowControl w:val="0"/>
              <w:jc w:val="center"/>
            </w:pPr>
            <w:r>
              <w:t>13</w:t>
            </w:r>
          </w:p>
        </w:tc>
        <w:tc>
          <w:tcPr>
            <w:tcW w:w="573" w:type="pct"/>
            <w:tcBorders>
              <w:top w:val="single" w:sz="6" w:space="0" w:color="auto"/>
              <w:left w:val="single" w:sz="6" w:space="0" w:color="auto"/>
              <w:bottom w:val="single" w:sz="6" w:space="0" w:color="auto"/>
              <w:right w:val="single" w:sz="6" w:space="0" w:color="auto"/>
            </w:tcBorders>
            <w:vAlign w:val="center"/>
          </w:tcPr>
          <w:p w:rsidR="0023037E" w:rsidP="0023037E" w14:paraId="0FDBE006" w14:textId="3E664E80">
            <w:pPr>
              <w:widowControl w:val="0"/>
              <w:jc w:val="center"/>
            </w:pPr>
            <w:r>
              <w:t>$25.05</w:t>
            </w:r>
          </w:p>
        </w:tc>
        <w:tc>
          <w:tcPr>
            <w:tcW w:w="573" w:type="pct"/>
            <w:tcBorders>
              <w:top w:val="single" w:sz="6" w:space="0" w:color="auto"/>
              <w:left w:val="single" w:sz="6" w:space="0" w:color="auto"/>
              <w:bottom w:val="single" w:sz="6" w:space="0" w:color="auto"/>
              <w:right w:val="single" w:sz="6" w:space="0" w:color="auto"/>
            </w:tcBorders>
            <w:vAlign w:val="center"/>
          </w:tcPr>
          <w:p w:rsidR="0023037E" w:rsidP="0023037E" w14:paraId="1CE726D9" w14:textId="71E46244">
            <w:pPr>
              <w:widowControl w:val="0"/>
              <w:jc w:val="center"/>
            </w:pPr>
            <w:r>
              <w:t>$325.65</w:t>
            </w:r>
          </w:p>
        </w:tc>
      </w:tr>
      <w:tr w14:paraId="50A26925" w14:textId="016C59CF" w:rsidTr="0023037E">
        <w:tblPrEx>
          <w:tblW w:w="5000" w:type="pct"/>
          <w:tblCellMar>
            <w:left w:w="0" w:type="dxa"/>
            <w:right w:w="0" w:type="dxa"/>
          </w:tblCellMar>
          <w:tblLook w:val="04A0"/>
        </w:tblPrEx>
        <w:trPr>
          <w:trHeight w:val="300"/>
        </w:trPr>
        <w:tc>
          <w:tcPr>
            <w:tcW w:w="883"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6E13810C" w14:textId="77777777">
            <w:pPr>
              <w:widowControl w:val="0"/>
              <w:ind w:left="1080"/>
            </w:pPr>
            <w:r w:rsidRPr="00E942E4">
              <w:t> </w:t>
            </w:r>
          </w:p>
        </w:tc>
        <w:tc>
          <w:tcPr>
            <w:tcW w:w="672" w:type="pct"/>
            <w:tcBorders>
              <w:top w:val="single" w:sz="6" w:space="0" w:color="auto"/>
              <w:left w:val="single" w:sz="6" w:space="0" w:color="auto"/>
              <w:bottom w:val="single" w:sz="6" w:space="0" w:color="auto"/>
              <w:right w:val="single" w:sz="6" w:space="0" w:color="auto"/>
            </w:tcBorders>
            <w:vAlign w:val="center"/>
          </w:tcPr>
          <w:p w:rsidR="0023037E" w:rsidRPr="00E942E4" w:rsidP="0023037E" w14:paraId="5D670480" w14:textId="77777777">
            <w:pPr>
              <w:widowControl w:val="0"/>
              <w:jc w:val="center"/>
            </w:pPr>
          </w:p>
        </w:tc>
        <w:tc>
          <w:tcPr>
            <w:tcW w:w="593"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7D4A8AFD" w14:textId="0CDB8AC3">
            <w:pPr>
              <w:widowControl w:val="0"/>
              <w:jc w:val="center"/>
            </w:pPr>
          </w:p>
        </w:tc>
        <w:tc>
          <w:tcPr>
            <w:tcW w:w="536"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2FC2FFD3" w14:textId="3AAEEB0E">
            <w:pPr>
              <w:widowControl w:val="0"/>
              <w:jc w:val="center"/>
            </w:pPr>
          </w:p>
        </w:tc>
        <w:tc>
          <w:tcPr>
            <w:tcW w:w="596"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66DD1B7D" w14:textId="22E49B9E">
            <w:pPr>
              <w:widowControl w:val="0"/>
              <w:jc w:val="center"/>
            </w:pPr>
          </w:p>
        </w:tc>
        <w:tc>
          <w:tcPr>
            <w:tcW w:w="573"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4B748272" w14:textId="70FB37DB">
            <w:pPr>
              <w:widowControl w:val="0"/>
              <w:jc w:val="center"/>
            </w:pPr>
          </w:p>
        </w:tc>
        <w:tc>
          <w:tcPr>
            <w:tcW w:w="573" w:type="pct"/>
            <w:tcBorders>
              <w:top w:val="single" w:sz="6" w:space="0" w:color="auto"/>
              <w:left w:val="single" w:sz="6" w:space="0" w:color="auto"/>
              <w:bottom w:val="single" w:sz="6" w:space="0" w:color="auto"/>
              <w:right w:val="single" w:sz="6" w:space="0" w:color="auto"/>
            </w:tcBorders>
          </w:tcPr>
          <w:p w:rsidR="0023037E" w:rsidRPr="00E942E4" w:rsidP="0023037E" w14:paraId="7C668BBC" w14:textId="77777777">
            <w:pPr>
              <w:widowControl w:val="0"/>
              <w:jc w:val="center"/>
            </w:pPr>
          </w:p>
        </w:tc>
        <w:tc>
          <w:tcPr>
            <w:tcW w:w="573" w:type="pct"/>
            <w:tcBorders>
              <w:top w:val="single" w:sz="6" w:space="0" w:color="auto"/>
              <w:left w:val="single" w:sz="6" w:space="0" w:color="auto"/>
              <w:bottom w:val="single" w:sz="6" w:space="0" w:color="auto"/>
              <w:right w:val="single" w:sz="6" w:space="0" w:color="auto"/>
            </w:tcBorders>
          </w:tcPr>
          <w:p w:rsidR="0023037E" w:rsidRPr="00E942E4" w:rsidP="0023037E" w14:paraId="34BDFBEB" w14:textId="77777777">
            <w:pPr>
              <w:widowControl w:val="0"/>
              <w:jc w:val="center"/>
            </w:pPr>
          </w:p>
        </w:tc>
      </w:tr>
      <w:tr w14:paraId="44E156E6" w14:textId="2E3CA41C" w:rsidTr="0023037E">
        <w:tblPrEx>
          <w:tblW w:w="5000" w:type="pct"/>
          <w:tblCellMar>
            <w:left w:w="0" w:type="dxa"/>
            <w:right w:w="0" w:type="dxa"/>
          </w:tblCellMar>
          <w:tblLook w:val="04A0"/>
        </w:tblPrEx>
        <w:trPr>
          <w:trHeight w:val="300"/>
        </w:trPr>
        <w:tc>
          <w:tcPr>
            <w:tcW w:w="883" w:type="pct"/>
            <w:tcBorders>
              <w:top w:val="single" w:sz="6" w:space="0" w:color="auto"/>
              <w:left w:val="single" w:sz="6" w:space="0" w:color="auto"/>
              <w:bottom w:val="single" w:sz="6" w:space="0" w:color="auto"/>
              <w:right w:val="single" w:sz="6" w:space="0" w:color="auto"/>
            </w:tcBorders>
            <w:vAlign w:val="center"/>
            <w:hideMark/>
          </w:tcPr>
          <w:p w:rsidR="0023037E" w:rsidRPr="00634EB8" w:rsidP="0023037E" w14:paraId="26D33510" w14:textId="15E194F3">
            <w:pPr>
              <w:widowControl w:val="0"/>
              <w:jc w:val="right"/>
            </w:pPr>
            <w:r w:rsidRPr="00634EB8">
              <w:rPr>
                <w:b/>
                <w:bCs/>
              </w:rPr>
              <w:t>Totals</w:t>
            </w:r>
          </w:p>
        </w:tc>
        <w:tc>
          <w:tcPr>
            <w:tcW w:w="672" w:type="pct"/>
            <w:tcBorders>
              <w:top w:val="single" w:sz="6" w:space="0" w:color="auto"/>
              <w:left w:val="single" w:sz="6" w:space="0" w:color="auto"/>
              <w:bottom w:val="single" w:sz="6" w:space="0" w:color="auto"/>
              <w:right w:val="single" w:sz="6" w:space="0" w:color="auto"/>
            </w:tcBorders>
            <w:vAlign w:val="center"/>
          </w:tcPr>
          <w:p w:rsidR="0023037E" w:rsidRPr="00E942E4" w:rsidP="0023037E" w14:paraId="7E8B607C" w14:textId="77777777">
            <w:pPr>
              <w:widowControl w:val="0"/>
              <w:jc w:val="center"/>
            </w:pPr>
          </w:p>
        </w:tc>
        <w:tc>
          <w:tcPr>
            <w:tcW w:w="593"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0FA77291" w14:textId="1515C09F">
            <w:pPr>
              <w:widowControl w:val="0"/>
              <w:jc w:val="center"/>
            </w:pPr>
          </w:p>
        </w:tc>
        <w:tc>
          <w:tcPr>
            <w:tcW w:w="536"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25E2F0A8" w14:textId="52968C3E">
            <w:pPr>
              <w:widowControl w:val="0"/>
              <w:jc w:val="center"/>
            </w:pPr>
            <w:r>
              <w:t>398</w:t>
            </w:r>
          </w:p>
        </w:tc>
        <w:tc>
          <w:tcPr>
            <w:tcW w:w="596"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0E37178E" w14:textId="446EC45F">
            <w:pPr>
              <w:widowControl w:val="0"/>
              <w:jc w:val="center"/>
            </w:pPr>
          </w:p>
        </w:tc>
        <w:tc>
          <w:tcPr>
            <w:tcW w:w="573" w:type="pct"/>
            <w:tcBorders>
              <w:top w:val="single" w:sz="6" w:space="0" w:color="auto"/>
              <w:left w:val="single" w:sz="6" w:space="0" w:color="auto"/>
              <w:bottom w:val="single" w:sz="6" w:space="0" w:color="auto"/>
              <w:right w:val="single" w:sz="6" w:space="0" w:color="auto"/>
            </w:tcBorders>
            <w:vAlign w:val="center"/>
            <w:hideMark/>
          </w:tcPr>
          <w:p w:rsidR="0023037E" w:rsidRPr="00E942E4" w:rsidP="0023037E" w14:paraId="728F50BD" w14:textId="0EF27661">
            <w:pPr>
              <w:widowControl w:val="0"/>
              <w:jc w:val="center"/>
            </w:pPr>
            <w:r>
              <w:t>13</w:t>
            </w:r>
          </w:p>
        </w:tc>
        <w:tc>
          <w:tcPr>
            <w:tcW w:w="573" w:type="pct"/>
            <w:tcBorders>
              <w:top w:val="single" w:sz="6" w:space="0" w:color="auto"/>
              <w:left w:val="single" w:sz="6" w:space="0" w:color="auto"/>
              <w:bottom w:val="single" w:sz="6" w:space="0" w:color="auto"/>
              <w:right w:val="single" w:sz="6" w:space="0" w:color="auto"/>
            </w:tcBorders>
          </w:tcPr>
          <w:p w:rsidR="0023037E" w:rsidP="0023037E" w14:paraId="5CC29F65" w14:textId="77777777">
            <w:pPr>
              <w:widowControl w:val="0"/>
              <w:jc w:val="center"/>
            </w:pPr>
          </w:p>
        </w:tc>
        <w:tc>
          <w:tcPr>
            <w:tcW w:w="573" w:type="pct"/>
            <w:tcBorders>
              <w:top w:val="single" w:sz="6" w:space="0" w:color="auto"/>
              <w:left w:val="single" w:sz="6" w:space="0" w:color="auto"/>
              <w:bottom w:val="single" w:sz="6" w:space="0" w:color="auto"/>
              <w:right w:val="single" w:sz="6" w:space="0" w:color="auto"/>
            </w:tcBorders>
          </w:tcPr>
          <w:p w:rsidR="0023037E" w:rsidP="0023037E" w14:paraId="67709FA2" w14:textId="7C362135">
            <w:pPr>
              <w:widowControl w:val="0"/>
              <w:jc w:val="center"/>
            </w:pPr>
            <w:r>
              <w:t>$325.65</w:t>
            </w:r>
          </w:p>
        </w:tc>
      </w:tr>
    </w:tbl>
    <w:p w:rsidR="00361DD5" w:rsidRPr="00E942E4" w:rsidP="00E942E4" w14:paraId="0D49C4CE" w14:textId="77777777">
      <w:pPr>
        <w:widowControl w:val="0"/>
      </w:pPr>
    </w:p>
    <w:p w:rsidR="008962FB" w:rsidRPr="00E942E4" w:rsidP="00E942E4" w14:paraId="117CE525" w14:textId="6AF8BC20">
      <w:pPr>
        <w:pStyle w:val="ListParagraph"/>
        <w:widowControl w:val="0"/>
        <w:tabs>
          <w:tab w:val="num" w:pos="1170"/>
        </w:tabs>
        <w:spacing w:after="120"/>
        <w:ind w:left="0"/>
        <w:rPr>
          <w:b/>
          <w:bCs/>
        </w:rPr>
      </w:pPr>
      <w:r w:rsidRPr="00E942E4">
        <w:rPr>
          <w:b/>
          <w:bCs/>
        </w:rPr>
        <w:t xml:space="preserve">13. </w:t>
      </w:r>
      <w:r w:rsidRPr="00E942E4" w:rsidR="009F5C05">
        <w:rPr>
          <w:b/>
          <w:bCs/>
        </w:rPr>
        <w:t xml:space="preserve">Provide an estimate of the total annual cost burden to respondents or recordkeepers resulting from the </w:t>
      </w:r>
      <w:r w:rsidRPr="00E942E4" w:rsidR="00296131">
        <w:rPr>
          <w:b/>
          <w:bCs/>
        </w:rPr>
        <w:t>information collection. (Do not include the cost of any hour burden shown in Items 12 and 14).</w:t>
      </w:r>
    </w:p>
    <w:p w:rsidR="008E18B6" w:rsidRPr="00E942E4" w:rsidP="00E942E4" w14:paraId="70FA3DFB" w14:textId="655AA6EF">
      <w:pPr>
        <w:widowControl w:val="0"/>
        <w:spacing w:after="120"/>
      </w:pPr>
      <w:r w:rsidRPr="00E942E4">
        <w:t xml:space="preserve">There </w:t>
      </w:r>
      <w:r w:rsidRPr="00E942E4" w:rsidR="007337E9">
        <w:t>are no additional costs associated</w:t>
      </w:r>
      <w:r w:rsidRPr="00E942E4" w:rsidR="009011C4">
        <w:t xml:space="preserve"> with this </w:t>
      </w:r>
      <w:r w:rsidRPr="00E942E4" w:rsidR="008046A7">
        <w:t>collection</w:t>
      </w:r>
      <w:r w:rsidRPr="00E942E4">
        <w:t xml:space="preserve">. </w:t>
      </w:r>
    </w:p>
    <w:p w:rsidR="008962FB" w:rsidRPr="00E942E4" w:rsidP="00E942E4" w14:paraId="74053017" w14:textId="12EC40F7">
      <w:pPr>
        <w:pStyle w:val="ListParagraph"/>
        <w:widowControl w:val="0"/>
        <w:spacing w:after="120"/>
        <w:ind w:left="0"/>
        <w:rPr>
          <w:b/>
          <w:bCs/>
        </w:rPr>
      </w:pPr>
      <w:r w:rsidRPr="00E942E4">
        <w:rPr>
          <w:b/>
          <w:bCs/>
        </w:rPr>
        <w:t xml:space="preserve">14. </w:t>
      </w:r>
      <w:r w:rsidRPr="00E942E4" w:rsidR="005B5EDA">
        <w:rPr>
          <w:b/>
          <w:bCs/>
        </w:rPr>
        <w:t>Provide estimates of the annualized cost to the federal government.</w:t>
      </w:r>
    </w:p>
    <w:p w:rsidR="00B71253" w:rsidP="00E942E4" w14:paraId="5315D36D" w14:textId="77777777">
      <w:pPr>
        <w:pStyle w:val="ListParagraph"/>
        <w:widowControl w:val="0"/>
        <w:spacing w:after="120"/>
        <w:ind w:left="0"/>
      </w:pPr>
      <w:r w:rsidRPr="00B81B79">
        <w:t xml:space="preserve">ATF estimates no additional costs to the federal government associated with this collection. This is due to the current staffing and administrative capacity already in place to complete any marginal processing required under this information collection, with long-term staffing capacity serving as a sunk cost. </w:t>
      </w:r>
    </w:p>
    <w:p w:rsidR="00BC4C9B" w:rsidRPr="00E942E4" w:rsidP="00E942E4" w14:paraId="0FC6ACE6" w14:textId="4C437615">
      <w:pPr>
        <w:pStyle w:val="ListParagraph"/>
        <w:widowControl w:val="0"/>
        <w:spacing w:after="120"/>
        <w:ind w:left="0"/>
        <w:rPr>
          <w:b/>
          <w:bCs/>
        </w:rPr>
      </w:pPr>
      <w:r w:rsidRPr="00E942E4">
        <w:rPr>
          <w:b/>
          <w:bCs/>
        </w:rPr>
        <w:t xml:space="preserve">15. </w:t>
      </w:r>
      <w:r w:rsidRPr="00E942E4" w:rsidR="005B5EDA">
        <w:rPr>
          <w:b/>
          <w:bCs/>
        </w:rPr>
        <w:t xml:space="preserve">Explain </w:t>
      </w:r>
      <w:r w:rsidRPr="00E942E4" w:rsidR="006470DE">
        <w:rPr>
          <w:b/>
          <w:bCs/>
        </w:rPr>
        <w:t>the reasons for any program changes or adjustments.</w:t>
      </w:r>
    </w:p>
    <w:p w:rsidR="008962FB" w:rsidRPr="0036028B" w:rsidP="00E942E4" w14:paraId="5DD9A31B" w14:textId="058FB9AA">
      <w:pPr>
        <w:widowControl w:val="0"/>
        <w:spacing w:after="120"/>
      </w:pPr>
      <w:r w:rsidRPr="0036028B">
        <w:t xml:space="preserve">We are revising the title of the ICR and have clarified the scope of the supporting statement throughout, so it reflects that the record-keeping requirement applies to licensed manufacturers, importers, dealers, and collectors. Over time and various renewals, this information had gotten </w:t>
      </w:r>
      <w:r w:rsidRPr="0036028B">
        <w:t>unclear</w:t>
      </w:r>
      <w:r w:rsidRPr="0036028B">
        <w:t xml:space="preserve"> and parts were missing. They have been clarified and reinstated. In addition, ATF has updated the number of respondents to reflect an increase in overall Type 10 and Type 11 licensees, which has resulted in an increase from 367 to 398 respondents, and a corresponding increase in the annual time burden from 9 to 13 hours.</w:t>
      </w:r>
    </w:p>
    <w:p w:rsidR="0063326A" w:rsidRPr="00E942E4" w:rsidP="00E942E4" w14:paraId="52727971" w14:textId="631C4D17">
      <w:pPr>
        <w:pStyle w:val="ListParagraph"/>
        <w:widowControl w:val="0"/>
        <w:spacing w:after="120"/>
        <w:ind w:left="0"/>
        <w:rPr>
          <w:b/>
          <w:bCs/>
        </w:rPr>
      </w:pPr>
      <w:r w:rsidRPr="00E942E4">
        <w:rPr>
          <w:b/>
          <w:bCs/>
        </w:rPr>
        <w:t xml:space="preserve">16. </w:t>
      </w:r>
      <w:r w:rsidRPr="00E942E4" w:rsidR="00AE00F4">
        <w:rPr>
          <w:b/>
          <w:bCs/>
        </w:rPr>
        <w:t>Fo</w:t>
      </w:r>
      <w:r w:rsidRPr="00E942E4" w:rsidR="00B52340">
        <w:rPr>
          <w:b/>
          <w:bCs/>
        </w:rPr>
        <w:t>r information collections whose results will be published, outline plans for</w:t>
      </w:r>
      <w:r w:rsidRPr="00E942E4" w:rsidR="008E2DCF">
        <w:rPr>
          <w:b/>
          <w:bCs/>
        </w:rPr>
        <w:t xml:space="preserve"> tabulations and publication.</w:t>
      </w:r>
    </w:p>
    <w:p w:rsidR="00F37BB2" w:rsidRPr="00E942E4" w:rsidP="00E942E4" w14:paraId="39A9FE1B" w14:textId="2ED4C7C1">
      <w:pPr>
        <w:pStyle w:val="ListParagraph"/>
        <w:widowControl w:val="0"/>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0"/>
      </w:pPr>
      <w:bookmarkStart w:id="1" w:name="_Hlk188874978"/>
      <w:r w:rsidRPr="00E942E4">
        <w:t>ATF will not publish the results of this collection.</w:t>
      </w:r>
      <w:bookmarkEnd w:id="1"/>
    </w:p>
    <w:p w:rsidR="008962FB" w:rsidRPr="00E942E4" w:rsidP="00E942E4" w14:paraId="5847ECB5" w14:textId="6707BD6F">
      <w:pPr>
        <w:pStyle w:val="ListParagraph"/>
        <w:widowControl w:val="0"/>
        <w:tabs>
          <w:tab w:val="num" w:pos="1170"/>
        </w:tabs>
        <w:spacing w:after="120"/>
        <w:ind w:left="0"/>
        <w:rPr>
          <w:b/>
          <w:bCs/>
        </w:rPr>
      </w:pPr>
      <w:r w:rsidRPr="00E942E4">
        <w:rPr>
          <w:b/>
          <w:bCs/>
        </w:rPr>
        <w:t xml:space="preserve">17. </w:t>
      </w:r>
      <w:r w:rsidRPr="00E942E4" w:rsidR="00885D21">
        <w:rPr>
          <w:b/>
          <w:bCs/>
        </w:rPr>
        <w:t>If seeking approval to not display</w:t>
      </w:r>
      <w:r w:rsidRPr="00E942E4" w:rsidR="002B2001">
        <w:rPr>
          <w:b/>
          <w:bCs/>
        </w:rPr>
        <w:t xml:space="preserve"> the expiration date for OMB approval</w:t>
      </w:r>
      <w:r w:rsidRPr="00E942E4" w:rsidR="006A5247">
        <w:rPr>
          <w:b/>
          <w:bCs/>
        </w:rPr>
        <w:t xml:space="preserve"> </w:t>
      </w:r>
      <w:r w:rsidRPr="00E942E4" w:rsidR="002B2001">
        <w:rPr>
          <w:b/>
          <w:bCs/>
        </w:rPr>
        <w:t>of the informati</w:t>
      </w:r>
      <w:r w:rsidRPr="00E942E4" w:rsidR="00FB3E01">
        <w:rPr>
          <w:b/>
          <w:bCs/>
        </w:rPr>
        <w:t>on collection, explain the reasons that display would be inappropriate.</w:t>
      </w:r>
    </w:p>
    <w:p w:rsidR="006F2B51" w:rsidRPr="00E942E4" w:rsidP="00E942E4" w14:paraId="6433E6D2" w14:textId="4478E5F1">
      <w:pPr>
        <w:widowControl w:val="0"/>
        <w:spacing w:after="120"/>
      </w:pPr>
      <w:r w:rsidRPr="00E942E4">
        <w:t>This information collection does not involve a form or other collection instrument upon which ATF could display the expiration date. It requires industry to maintain records</w:t>
      </w:r>
      <w:r w:rsidRPr="00E942E4" w:rsidR="00CC3933">
        <w:t xml:space="preserve"> at its premises</w:t>
      </w:r>
      <w:r w:rsidRPr="00E942E4">
        <w:t xml:space="preserve">. As </w:t>
      </w:r>
      <w:r w:rsidRPr="00E942E4">
        <w:t xml:space="preserve">a result, ATF </w:t>
      </w:r>
      <w:r w:rsidRPr="00E942E4">
        <w:t>is not able to</w:t>
      </w:r>
      <w:r w:rsidRPr="00E942E4">
        <w:t xml:space="preserve"> display an expiration date. Therefore, ATF requests approval to not display the expiration date on th</w:t>
      </w:r>
      <w:r w:rsidRPr="00E942E4" w:rsidR="00B70ED3">
        <w:t>is collection</w:t>
      </w:r>
      <w:r w:rsidRPr="00E942E4">
        <w:t>.</w:t>
      </w:r>
    </w:p>
    <w:p w:rsidR="008962FB" w:rsidRPr="00E942E4" w:rsidP="00E942E4" w14:paraId="2A18334B" w14:textId="291F3A20">
      <w:pPr>
        <w:widowControl w:val="0"/>
        <w:spacing w:after="120"/>
        <w:rPr>
          <w:b/>
          <w:bCs/>
        </w:rPr>
      </w:pPr>
      <w:r w:rsidRPr="00E942E4">
        <w:rPr>
          <w:b/>
          <w:bCs/>
        </w:rPr>
        <w:t xml:space="preserve">18. </w:t>
      </w:r>
      <w:r w:rsidRPr="00E942E4" w:rsidR="007A11A6">
        <w:rPr>
          <w:b/>
          <w:bCs/>
        </w:rPr>
        <w:t>Explain each exception to the certification statement.</w:t>
      </w:r>
    </w:p>
    <w:p w:rsidR="00882774" w:rsidRPr="00E942E4" w:rsidP="00E942E4" w14:paraId="14CA668A" w14:textId="6FB181B4">
      <w:pPr>
        <w:widowControl w:val="0"/>
        <w:spacing w:after="120"/>
      </w:pPr>
      <w:r w:rsidRPr="00E942E4">
        <w:t>This information collection does not include any exceptions to the certification statement</w:t>
      </w:r>
      <w:r w:rsidRPr="00E942E4">
        <w:t>.</w:t>
      </w:r>
    </w:p>
    <w:p w:rsidR="008962FB" w:rsidRPr="00E942E4" w:rsidP="00E942E4" w14:paraId="7C7F2E61" w14:textId="0B15E72B">
      <w:pPr>
        <w:pStyle w:val="ListParagraph"/>
        <w:widowControl w:val="0"/>
        <w:spacing w:after="120"/>
        <w:ind w:left="0"/>
        <w:rPr>
          <w:b/>
          <w:bCs/>
        </w:rPr>
      </w:pPr>
      <w:r w:rsidRPr="00E942E4">
        <w:rPr>
          <w:b/>
          <w:bCs/>
        </w:rPr>
        <w:t>B.</w:t>
      </w:r>
      <w:r w:rsidR="00E942E4">
        <w:rPr>
          <w:b/>
          <w:bCs/>
        </w:rPr>
        <w:t xml:space="preserve">  </w:t>
      </w:r>
      <w:r w:rsidRPr="00E942E4">
        <w:rPr>
          <w:b/>
          <w:bCs/>
        </w:rPr>
        <w:t>INFORMATION COLLECTION</w:t>
      </w:r>
      <w:r w:rsidRPr="00E942E4" w:rsidR="001A2E4F">
        <w:rPr>
          <w:b/>
          <w:bCs/>
        </w:rPr>
        <w:t>S</w:t>
      </w:r>
      <w:r w:rsidRPr="00E942E4" w:rsidR="008046A7">
        <w:rPr>
          <w:b/>
          <w:bCs/>
        </w:rPr>
        <w:t xml:space="preserve"> </w:t>
      </w:r>
      <w:r w:rsidRPr="00E942E4" w:rsidR="001A2E4F">
        <w:rPr>
          <w:b/>
          <w:bCs/>
        </w:rPr>
        <w:t>EMPLOYING</w:t>
      </w:r>
      <w:r w:rsidRPr="00E942E4" w:rsidR="008046A7">
        <w:rPr>
          <w:b/>
          <w:bCs/>
        </w:rPr>
        <w:t xml:space="preserve"> </w:t>
      </w:r>
      <w:r w:rsidRPr="00E942E4">
        <w:rPr>
          <w:b/>
          <w:bCs/>
        </w:rPr>
        <w:t>STATISTICAL METHODS</w:t>
      </w:r>
      <w:r w:rsidRPr="00E942E4" w:rsidR="008046A7">
        <w:rPr>
          <w:b/>
          <w:bCs/>
        </w:rPr>
        <w:t>.</w:t>
      </w:r>
    </w:p>
    <w:p w:rsidR="008733CA" w:rsidRPr="00E942E4" w:rsidP="00E942E4" w14:paraId="38D53171" w14:textId="30FA8A37">
      <w:pPr>
        <w:widowControl w:val="0"/>
        <w:spacing w:after="120"/>
      </w:pPr>
      <w:r w:rsidRPr="00E942E4">
        <w:t>This collection does not employ statistical methods.</w:t>
      </w:r>
    </w:p>
    <w:p w:rsidR="006F2B51" w:rsidRPr="00E942E4" w:rsidP="00E942E4" w14:paraId="7DE74A98" w14:textId="77777777">
      <w:pPr>
        <w:widowControl w:val="0"/>
        <w:ind w:left="1170" w:hanging="630"/>
      </w:pPr>
    </w:p>
    <w:sectPr w:rsidSect="002F343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2394819"/>
      <w:docPartObj>
        <w:docPartGallery w:val="Page Numbers (Bottom of Page)"/>
        <w:docPartUnique/>
      </w:docPartObj>
    </w:sdtPr>
    <w:sdtEndPr>
      <w:rPr>
        <w:noProof/>
      </w:rPr>
    </w:sdtEndPr>
    <w:sdtContent>
      <w:p w:rsidR="00346B12" w14:paraId="48D84308" w14:textId="77777777">
        <w:pPr>
          <w:pStyle w:val="Footer"/>
          <w:jc w:val="center"/>
        </w:pPr>
        <w:r>
          <w:fldChar w:fldCharType="begin"/>
        </w:r>
        <w:r>
          <w:instrText xml:space="preserve"> PAGE   \* MERGEFORMAT </w:instrText>
        </w:r>
        <w:r>
          <w:fldChar w:fldCharType="separate"/>
        </w:r>
        <w:r w:rsidR="001106A8">
          <w:rPr>
            <w:noProof/>
          </w:rPr>
          <w:t>1</w:t>
        </w:r>
        <w:r>
          <w:rPr>
            <w:noProof/>
          </w:rPr>
          <w:fldChar w:fldCharType="end"/>
        </w:r>
      </w:p>
    </w:sdtContent>
  </w:sdt>
  <w:p w:rsidR="00346B12" w14:paraId="2B906E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766A" w:rsidRPr="002E749B" w14:paraId="05D711F6" w14:textId="7E32955E">
    <w:pPr>
      <w:pStyle w:val="Header"/>
      <w:rPr>
        <w:sz w:val="20"/>
        <w:szCs w:val="20"/>
      </w:rPr>
    </w:pPr>
    <w:r>
      <w:rPr>
        <w:sz w:val="20"/>
        <w:szCs w:val="20"/>
      </w:rPr>
      <w:t>Required Records on Armor-Piercing Ammunition</w:t>
    </w:r>
  </w:p>
  <w:p w:rsidR="0016766A" w:rsidRPr="002E749B" w14:paraId="0C2C6FEC" w14:textId="77777777">
    <w:pPr>
      <w:pStyle w:val="Header"/>
      <w:rPr>
        <w:sz w:val="20"/>
        <w:szCs w:val="20"/>
      </w:rPr>
    </w:pPr>
    <w:r w:rsidRPr="002E749B">
      <w:rPr>
        <w:sz w:val="20"/>
        <w:szCs w:val="20"/>
      </w:rPr>
      <w:t>OMB Control Number 1140-0066</w:t>
    </w:r>
  </w:p>
  <w:p w:rsidR="00377694" w:rsidP="009C1676" w14:paraId="4B1094BD" w14:textId="739CF0C6">
    <w:pPr>
      <w:pStyle w:val="Header"/>
      <w:tabs>
        <w:tab w:val="left" w:pos="3893"/>
        <w:tab w:val="clear" w:pos="4680"/>
        <w:tab w:val="left" w:pos="5387"/>
        <w:tab w:val="clear" w:pos="9360"/>
      </w:tabs>
      <w:rPr>
        <w:sz w:val="20"/>
        <w:szCs w:val="20"/>
      </w:rPr>
    </w:pPr>
    <w:r w:rsidRPr="002E749B">
      <w:rPr>
        <w:sz w:val="20"/>
        <w:szCs w:val="20"/>
      </w:rPr>
      <w:t>O</w:t>
    </w:r>
    <w:r w:rsidRPr="002E749B" w:rsidR="00FF1AFD">
      <w:rPr>
        <w:sz w:val="20"/>
        <w:szCs w:val="20"/>
      </w:rPr>
      <w:t>M</w:t>
    </w:r>
    <w:r w:rsidRPr="002E749B">
      <w:rPr>
        <w:sz w:val="20"/>
        <w:szCs w:val="20"/>
      </w:rPr>
      <w:t>B</w:t>
    </w:r>
    <w:r w:rsidRPr="002E749B" w:rsidR="00A8574B">
      <w:rPr>
        <w:sz w:val="20"/>
        <w:szCs w:val="20"/>
      </w:rPr>
      <w:t xml:space="preserve"> </w:t>
    </w:r>
    <w:r w:rsidRPr="002E749B" w:rsidR="00FF1AFD">
      <w:rPr>
        <w:sz w:val="20"/>
        <w:szCs w:val="20"/>
      </w:rPr>
      <w:t xml:space="preserve">Expiration Date: </w:t>
    </w:r>
    <w:r w:rsidR="007F2E19">
      <w:rPr>
        <w:sz w:val="20"/>
        <w:szCs w:val="20"/>
      </w:rPr>
      <w:t>30 September</w:t>
    </w:r>
    <w:r w:rsidRPr="002E749B" w:rsidR="00030B95">
      <w:rPr>
        <w:sz w:val="20"/>
        <w:szCs w:val="20"/>
      </w:rPr>
      <w:t xml:space="preserve"> 2025</w:t>
    </w:r>
    <w:r w:rsidR="009C1676">
      <w:rPr>
        <w:sz w:val="20"/>
        <w:szCs w:val="20"/>
      </w:rPr>
      <w:tab/>
    </w:r>
    <w:r w:rsidR="009C1676">
      <w:rPr>
        <w:sz w:val="20"/>
        <w:szCs w:val="20"/>
      </w:rPr>
      <w:tab/>
    </w:r>
  </w:p>
  <w:p w:rsidR="009C1676" w:rsidRPr="002E749B" w:rsidP="009C1676" w14:paraId="4C9743E6" w14:textId="77777777">
    <w:pPr>
      <w:pStyle w:val="Header"/>
      <w:tabs>
        <w:tab w:val="left" w:pos="3893"/>
        <w:tab w:val="clear" w:pos="4680"/>
        <w:tab w:val="left" w:pos="5387"/>
        <w:tab w:val="clear" w:pos="93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1857788F"/>
    <w:multiLevelType w:val="hybridMultilevel"/>
    <w:tmpl w:val="95D4945E"/>
    <w:lvl w:ilvl="0">
      <w:start w:val="1"/>
      <w:numFmt w:val="decimal"/>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
    <w:nsid w:val="364F342C"/>
    <w:multiLevelType w:val="hybridMultilevel"/>
    <w:tmpl w:val="5D1C878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7312438"/>
    <w:multiLevelType w:val="hybridMultilevel"/>
    <w:tmpl w:val="6FDCB60C"/>
    <w:lvl w:ilvl="0">
      <w:start w:val="1"/>
      <w:numFmt w:val="decimal"/>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4">
    <w:nsid w:val="58807B7B"/>
    <w:multiLevelType w:val="hybridMultilevel"/>
    <w:tmpl w:val="3AEA6D4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540"/>
        </w:tabs>
        <w:ind w:left="540" w:hanging="360"/>
      </w:pPr>
      <w:rPr>
        <w:rFonts w:hint="default"/>
        <w:b/>
        <w:bCs/>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27B1B25"/>
    <w:multiLevelType w:val="hybridMultilevel"/>
    <w:tmpl w:val="2944A3AA"/>
    <w:lvl w:ilvl="0">
      <w:start w:val="1"/>
      <w:numFmt w:val="decimal"/>
      <w:lvlText w:val="%1."/>
      <w:lvlJc w:val="left"/>
      <w:pPr>
        <w:ind w:left="1860" w:hanging="360"/>
      </w:p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num w:numId="1" w16cid:durableId="1467621668">
    <w:abstractNumId w:val="4"/>
  </w:num>
  <w:num w:numId="2" w16cid:durableId="1325744391">
    <w:abstractNumId w:val="5"/>
  </w:num>
  <w:num w:numId="3" w16cid:durableId="1838156257">
    <w:abstractNumId w:val="3"/>
  </w:num>
  <w:num w:numId="4" w16cid:durableId="91242673">
    <w:abstractNumId w:val="1"/>
  </w:num>
  <w:num w:numId="5" w16cid:durableId="1996180703">
    <w:abstractNumId w:val="2"/>
  </w:num>
  <w:num w:numId="6"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72"/>
    <w:rsid w:val="0000410C"/>
    <w:rsid w:val="00006AC1"/>
    <w:rsid w:val="00007914"/>
    <w:rsid w:val="0001174C"/>
    <w:rsid w:val="0002169C"/>
    <w:rsid w:val="00025507"/>
    <w:rsid w:val="00026DE7"/>
    <w:rsid w:val="00027280"/>
    <w:rsid w:val="00030B95"/>
    <w:rsid w:val="000345B4"/>
    <w:rsid w:val="00035340"/>
    <w:rsid w:val="00040A32"/>
    <w:rsid w:val="000419E6"/>
    <w:rsid w:val="00044CDE"/>
    <w:rsid w:val="00050666"/>
    <w:rsid w:val="00050D4C"/>
    <w:rsid w:val="00055779"/>
    <w:rsid w:val="00071E33"/>
    <w:rsid w:val="000756DD"/>
    <w:rsid w:val="000773D6"/>
    <w:rsid w:val="000805B7"/>
    <w:rsid w:val="00081DBD"/>
    <w:rsid w:val="000860E9"/>
    <w:rsid w:val="00094D3A"/>
    <w:rsid w:val="000A0E40"/>
    <w:rsid w:val="000A1E90"/>
    <w:rsid w:val="000A291A"/>
    <w:rsid w:val="000A2A86"/>
    <w:rsid w:val="000A68B6"/>
    <w:rsid w:val="000A77F6"/>
    <w:rsid w:val="000B56AB"/>
    <w:rsid w:val="000B6D6C"/>
    <w:rsid w:val="000B7A32"/>
    <w:rsid w:val="000C2D34"/>
    <w:rsid w:val="000C3E2B"/>
    <w:rsid w:val="000C445F"/>
    <w:rsid w:val="000C459C"/>
    <w:rsid w:val="000C57F5"/>
    <w:rsid w:val="000D5AA0"/>
    <w:rsid w:val="000D71B5"/>
    <w:rsid w:val="000D769A"/>
    <w:rsid w:val="000E250B"/>
    <w:rsid w:val="000E37BD"/>
    <w:rsid w:val="000E43C5"/>
    <w:rsid w:val="000E4942"/>
    <w:rsid w:val="000E57E1"/>
    <w:rsid w:val="000E7191"/>
    <w:rsid w:val="000F316B"/>
    <w:rsid w:val="000F42F1"/>
    <w:rsid w:val="001074D2"/>
    <w:rsid w:val="001105CE"/>
    <w:rsid w:val="001106A8"/>
    <w:rsid w:val="001141AA"/>
    <w:rsid w:val="0011689B"/>
    <w:rsid w:val="00117400"/>
    <w:rsid w:val="0011742A"/>
    <w:rsid w:val="00122C40"/>
    <w:rsid w:val="00125958"/>
    <w:rsid w:val="001317B7"/>
    <w:rsid w:val="00131F10"/>
    <w:rsid w:val="00135ED3"/>
    <w:rsid w:val="00140571"/>
    <w:rsid w:val="00140A9D"/>
    <w:rsid w:val="00142BC1"/>
    <w:rsid w:val="00151CC2"/>
    <w:rsid w:val="00154EB1"/>
    <w:rsid w:val="00155CE9"/>
    <w:rsid w:val="00161C9D"/>
    <w:rsid w:val="00161F63"/>
    <w:rsid w:val="00162D63"/>
    <w:rsid w:val="00162DE2"/>
    <w:rsid w:val="0016649B"/>
    <w:rsid w:val="0016766A"/>
    <w:rsid w:val="00170C4A"/>
    <w:rsid w:val="00171092"/>
    <w:rsid w:val="0017163D"/>
    <w:rsid w:val="00173319"/>
    <w:rsid w:val="001841A4"/>
    <w:rsid w:val="0018769B"/>
    <w:rsid w:val="001933B5"/>
    <w:rsid w:val="001A2E4F"/>
    <w:rsid w:val="001B0835"/>
    <w:rsid w:val="001B131C"/>
    <w:rsid w:val="001B5C80"/>
    <w:rsid w:val="001B63A6"/>
    <w:rsid w:val="001B65DF"/>
    <w:rsid w:val="001B7CF8"/>
    <w:rsid w:val="001C02F5"/>
    <w:rsid w:val="001C6519"/>
    <w:rsid w:val="001C7FAD"/>
    <w:rsid w:val="001E2962"/>
    <w:rsid w:val="001E50E6"/>
    <w:rsid w:val="001E7B48"/>
    <w:rsid w:val="001E7D3C"/>
    <w:rsid w:val="001F22EE"/>
    <w:rsid w:val="001F5E3B"/>
    <w:rsid w:val="001F6499"/>
    <w:rsid w:val="001F6979"/>
    <w:rsid w:val="001F7307"/>
    <w:rsid w:val="00200ECF"/>
    <w:rsid w:val="00202E98"/>
    <w:rsid w:val="00206302"/>
    <w:rsid w:val="002071FE"/>
    <w:rsid w:val="002116B9"/>
    <w:rsid w:val="00212038"/>
    <w:rsid w:val="00213B6E"/>
    <w:rsid w:val="00216832"/>
    <w:rsid w:val="00222AE3"/>
    <w:rsid w:val="0023037E"/>
    <w:rsid w:val="00230F91"/>
    <w:rsid w:val="0024227A"/>
    <w:rsid w:val="002433EC"/>
    <w:rsid w:val="00246EEA"/>
    <w:rsid w:val="0025318F"/>
    <w:rsid w:val="0025510F"/>
    <w:rsid w:val="00256F5F"/>
    <w:rsid w:val="0026066B"/>
    <w:rsid w:val="002614F2"/>
    <w:rsid w:val="0026268D"/>
    <w:rsid w:val="00264769"/>
    <w:rsid w:val="00276040"/>
    <w:rsid w:val="002767E7"/>
    <w:rsid w:val="00276971"/>
    <w:rsid w:val="00276B55"/>
    <w:rsid w:val="00276D83"/>
    <w:rsid w:val="0028321D"/>
    <w:rsid w:val="00283A9F"/>
    <w:rsid w:val="00286968"/>
    <w:rsid w:val="002912E1"/>
    <w:rsid w:val="00296131"/>
    <w:rsid w:val="002A46E3"/>
    <w:rsid w:val="002A55CF"/>
    <w:rsid w:val="002B0EAD"/>
    <w:rsid w:val="002B2001"/>
    <w:rsid w:val="002B367C"/>
    <w:rsid w:val="002C0904"/>
    <w:rsid w:val="002C7201"/>
    <w:rsid w:val="002C7CDB"/>
    <w:rsid w:val="002D2858"/>
    <w:rsid w:val="002D2FE4"/>
    <w:rsid w:val="002D7C7A"/>
    <w:rsid w:val="002E749B"/>
    <w:rsid w:val="002E7AC9"/>
    <w:rsid w:val="002F303D"/>
    <w:rsid w:val="002F343F"/>
    <w:rsid w:val="00302550"/>
    <w:rsid w:val="003037E6"/>
    <w:rsid w:val="00307FA7"/>
    <w:rsid w:val="0031205F"/>
    <w:rsid w:val="003144AF"/>
    <w:rsid w:val="003179AB"/>
    <w:rsid w:val="00317CE2"/>
    <w:rsid w:val="00327549"/>
    <w:rsid w:val="00333111"/>
    <w:rsid w:val="0033311E"/>
    <w:rsid w:val="003371ED"/>
    <w:rsid w:val="003377B5"/>
    <w:rsid w:val="00340C06"/>
    <w:rsid w:val="00342DCF"/>
    <w:rsid w:val="00345B46"/>
    <w:rsid w:val="00346B12"/>
    <w:rsid w:val="00352518"/>
    <w:rsid w:val="0036028B"/>
    <w:rsid w:val="00361DD5"/>
    <w:rsid w:val="00364E29"/>
    <w:rsid w:val="0036577B"/>
    <w:rsid w:val="003714EE"/>
    <w:rsid w:val="00372D3C"/>
    <w:rsid w:val="00377694"/>
    <w:rsid w:val="00382BA0"/>
    <w:rsid w:val="00385114"/>
    <w:rsid w:val="0039130A"/>
    <w:rsid w:val="00393094"/>
    <w:rsid w:val="003A2676"/>
    <w:rsid w:val="003A3D79"/>
    <w:rsid w:val="003A5A3A"/>
    <w:rsid w:val="003A5F9F"/>
    <w:rsid w:val="003B4400"/>
    <w:rsid w:val="003B4605"/>
    <w:rsid w:val="003B661D"/>
    <w:rsid w:val="003C0CE0"/>
    <w:rsid w:val="003C5B33"/>
    <w:rsid w:val="003C6C75"/>
    <w:rsid w:val="003D592C"/>
    <w:rsid w:val="003D5CC9"/>
    <w:rsid w:val="003E00A9"/>
    <w:rsid w:val="003E0639"/>
    <w:rsid w:val="003E59B0"/>
    <w:rsid w:val="003E5DA6"/>
    <w:rsid w:val="003E6E59"/>
    <w:rsid w:val="003F2966"/>
    <w:rsid w:val="003F5E09"/>
    <w:rsid w:val="003F6897"/>
    <w:rsid w:val="003F73B2"/>
    <w:rsid w:val="004011F8"/>
    <w:rsid w:val="00401B61"/>
    <w:rsid w:val="00402354"/>
    <w:rsid w:val="00402DF3"/>
    <w:rsid w:val="0042100C"/>
    <w:rsid w:val="0042514C"/>
    <w:rsid w:val="00431413"/>
    <w:rsid w:val="00435127"/>
    <w:rsid w:val="00435189"/>
    <w:rsid w:val="0044429B"/>
    <w:rsid w:val="004471DA"/>
    <w:rsid w:val="004517DF"/>
    <w:rsid w:val="00451E5E"/>
    <w:rsid w:val="0045587C"/>
    <w:rsid w:val="00460316"/>
    <w:rsid w:val="00461B28"/>
    <w:rsid w:val="00470A01"/>
    <w:rsid w:val="004748F1"/>
    <w:rsid w:val="00475699"/>
    <w:rsid w:val="00476207"/>
    <w:rsid w:val="0048200F"/>
    <w:rsid w:val="004830A6"/>
    <w:rsid w:val="0048545D"/>
    <w:rsid w:val="00486C34"/>
    <w:rsid w:val="004873F6"/>
    <w:rsid w:val="00490F2E"/>
    <w:rsid w:val="00492211"/>
    <w:rsid w:val="00492AB8"/>
    <w:rsid w:val="004A06C0"/>
    <w:rsid w:val="004A07FB"/>
    <w:rsid w:val="004A30F5"/>
    <w:rsid w:val="004A38E2"/>
    <w:rsid w:val="004A535E"/>
    <w:rsid w:val="004A5781"/>
    <w:rsid w:val="004A5964"/>
    <w:rsid w:val="004B0980"/>
    <w:rsid w:val="004B464B"/>
    <w:rsid w:val="004B4847"/>
    <w:rsid w:val="004B523C"/>
    <w:rsid w:val="004C00AB"/>
    <w:rsid w:val="004C02DD"/>
    <w:rsid w:val="004C0FC1"/>
    <w:rsid w:val="004D1692"/>
    <w:rsid w:val="004D2635"/>
    <w:rsid w:val="004D4566"/>
    <w:rsid w:val="004D6895"/>
    <w:rsid w:val="004D7BFD"/>
    <w:rsid w:val="004E1C6F"/>
    <w:rsid w:val="004E2B84"/>
    <w:rsid w:val="004F15A0"/>
    <w:rsid w:val="004F6202"/>
    <w:rsid w:val="00502487"/>
    <w:rsid w:val="00510CE3"/>
    <w:rsid w:val="00510D0F"/>
    <w:rsid w:val="005130F2"/>
    <w:rsid w:val="0051333F"/>
    <w:rsid w:val="00513D73"/>
    <w:rsid w:val="00517151"/>
    <w:rsid w:val="0052272B"/>
    <w:rsid w:val="00526363"/>
    <w:rsid w:val="00526EC3"/>
    <w:rsid w:val="00530017"/>
    <w:rsid w:val="00531B27"/>
    <w:rsid w:val="00531D9D"/>
    <w:rsid w:val="005348CE"/>
    <w:rsid w:val="00536DEB"/>
    <w:rsid w:val="00544FC4"/>
    <w:rsid w:val="00547B06"/>
    <w:rsid w:val="00552218"/>
    <w:rsid w:val="005568EB"/>
    <w:rsid w:val="00560AF0"/>
    <w:rsid w:val="005620E9"/>
    <w:rsid w:val="00563AE7"/>
    <w:rsid w:val="00570526"/>
    <w:rsid w:val="00574D36"/>
    <w:rsid w:val="00576CB5"/>
    <w:rsid w:val="00582A18"/>
    <w:rsid w:val="00591C41"/>
    <w:rsid w:val="0059255B"/>
    <w:rsid w:val="00594F74"/>
    <w:rsid w:val="005A2977"/>
    <w:rsid w:val="005B50BF"/>
    <w:rsid w:val="005B5EDA"/>
    <w:rsid w:val="005B6DD5"/>
    <w:rsid w:val="005B7193"/>
    <w:rsid w:val="005C499D"/>
    <w:rsid w:val="005D0E10"/>
    <w:rsid w:val="005D336D"/>
    <w:rsid w:val="005D471D"/>
    <w:rsid w:val="005D7023"/>
    <w:rsid w:val="005D797C"/>
    <w:rsid w:val="005D7B86"/>
    <w:rsid w:val="005E252A"/>
    <w:rsid w:val="005E5516"/>
    <w:rsid w:val="005F0EEE"/>
    <w:rsid w:val="005F7384"/>
    <w:rsid w:val="005F7A5F"/>
    <w:rsid w:val="0060082E"/>
    <w:rsid w:val="0060254D"/>
    <w:rsid w:val="0060427B"/>
    <w:rsid w:val="0060529F"/>
    <w:rsid w:val="00607F74"/>
    <w:rsid w:val="00613AF1"/>
    <w:rsid w:val="006157D7"/>
    <w:rsid w:val="00616D8A"/>
    <w:rsid w:val="00620DEB"/>
    <w:rsid w:val="0062198D"/>
    <w:rsid w:val="00630668"/>
    <w:rsid w:val="006315C3"/>
    <w:rsid w:val="00632856"/>
    <w:rsid w:val="0063326A"/>
    <w:rsid w:val="00634426"/>
    <w:rsid w:val="0063476C"/>
    <w:rsid w:val="00634EB8"/>
    <w:rsid w:val="006354B2"/>
    <w:rsid w:val="00644375"/>
    <w:rsid w:val="00645763"/>
    <w:rsid w:val="0064581A"/>
    <w:rsid w:val="006470DE"/>
    <w:rsid w:val="006478F4"/>
    <w:rsid w:val="00651BD7"/>
    <w:rsid w:val="006525B6"/>
    <w:rsid w:val="006639D7"/>
    <w:rsid w:val="00663A2D"/>
    <w:rsid w:val="00664CC8"/>
    <w:rsid w:val="0066672D"/>
    <w:rsid w:val="00672924"/>
    <w:rsid w:val="00675D72"/>
    <w:rsid w:val="00682101"/>
    <w:rsid w:val="00684434"/>
    <w:rsid w:val="006859AF"/>
    <w:rsid w:val="00685A2E"/>
    <w:rsid w:val="006911AB"/>
    <w:rsid w:val="00691DE6"/>
    <w:rsid w:val="00692BE5"/>
    <w:rsid w:val="006A24BA"/>
    <w:rsid w:val="006A4E04"/>
    <w:rsid w:val="006A5247"/>
    <w:rsid w:val="006A5CE2"/>
    <w:rsid w:val="006B06DA"/>
    <w:rsid w:val="006B0A27"/>
    <w:rsid w:val="006B4793"/>
    <w:rsid w:val="006B7C37"/>
    <w:rsid w:val="006C573E"/>
    <w:rsid w:val="006C6326"/>
    <w:rsid w:val="006C7AF1"/>
    <w:rsid w:val="006D330F"/>
    <w:rsid w:val="006D37DA"/>
    <w:rsid w:val="006D4D8D"/>
    <w:rsid w:val="006D7E32"/>
    <w:rsid w:val="006E078F"/>
    <w:rsid w:val="006E0DC2"/>
    <w:rsid w:val="006E49F5"/>
    <w:rsid w:val="006E64BC"/>
    <w:rsid w:val="006F2B51"/>
    <w:rsid w:val="006F309A"/>
    <w:rsid w:val="006F36DF"/>
    <w:rsid w:val="007059F8"/>
    <w:rsid w:val="00706AD6"/>
    <w:rsid w:val="007072E0"/>
    <w:rsid w:val="00710386"/>
    <w:rsid w:val="0071088A"/>
    <w:rsid w:val="00711B19"/>
    <w:rsid w:val="0071434D"/>
    <w:rsid w:val="00714A70"/>
    <w:rsid w:val="00714D3B"/>
    <w:rsid w:val="007156AD"/>
    <w:rsid w:val="00715A0B"/>
    <w:rsid w:val="00722DB2"/>
    <w:rsid w:val="007337E9"/>
    <w:rsid w:val="007369F0"/>
    <w:rsid w:val="00737EF9"/>
    <w:rsid w:val="00740CF1"/>
    <w:rsid w:val="00742351"/>
    <w:rsid w:val="00743701"/>
    <w:rsid w:val="007441DC"/>
    <w:rsid w:val="00745589"/>
    <w:rsid w:val="00747426"/>
    <w:rsid w:val="0075328B"/>
    <w:rsid w:val="0075656D"/>
    <w:rsid w:val="00756C1F"/>
    <w:rsid w:val="00764CBC"/>
    <w:rsid w:val="0077200C"/>
    <w:rsid w:val="00775FDF"/>
    <w:rsid w:val="00780ADE"/>
    <w:rsid w:val="00780C8E"/>
    <w:rsid w:val="00781406"/>
    <w:rsid w:val="00784613"/>
    <w:rsid w:val="0079620A"/>
    <w:rsid w:val="007A0066"/>
    <w:rsid w:val="007A0B4E"/>
    <w:rsid w:val="007A11A6"/>
    <w:rsid w:val="007A21D6"/>
    <w:rsid w:val="007A375C"/>
    <w:rsid w:val="007A587C"/>
    <w:rsid w:val="007A72B5"/>
    <w:rsid w:val="007B1972"/>
    <w:rsid w:val="007B29C5"/>
    <w:rsid w:val="007B4C4D"/>
    <w:rsid w:val="007C4520"/>
    <w:rsid w:val="007C68F1"/>
    <w:rsid w:val="007D0B0F"/>
    <w:rsid w:val="007D1703"/>
    <w:rsid w:val="007D1B84"/>
    <w:rsid w:val="007D7B26"/>
    <w:rsid w:val="007E2766"/>
    <w:rsid w:val="007E4D57"/>
    <w:rsid w:val="007E53EC"/>
    <w:rsid w:val="007F12A4"/>
    <w:rsid w:val="007F2E19"/>
    <w:rsid w:val="008028B8"/>
    <w:rsid w:val="00802B62"/>
    <w:rsid w:val="008046A7"/>
    <w:rsid w:val="008114A1"/>
    <w:rsid w:val="00815771"/>
    <w:rsid w:val="008157C2"/>
    <w:rsid w:val="00820505"/>
    <w:rsid w:val="0082182C"/>
    <w:rsid w:val="00824A42"/>
    <w:rsid w:val="0082767C"/>
    <w:rsid w:val="00830627"/>
    <w:rsid w:val="008351C7"/>
    <w:rsid w:val="0083597B"/>
    <w:rsid w:val="008421AD"/>
    <w:rsid w:val="00842A5F"/>
    <w:rsid w:val="008467CC"/>
    <w:rsid w:val="008500BB"/>
    <w:rsid w:val="00850D3D"/>
    <w:rsid w:val="00852442"/>
    <w:rsid w:val="00857520"/>
    <w:rsid w:val="00860E17"/>
    <w:rsid w:val="008638C3"/>
    <w:rsid w:val="00865F50"/>
    <w:rsid w:val="00865FBA"/>
    <w:rsid w:val="00872237"/>
    <w:rsid w:val="008731F1"/>
    <w:rsid w:val="008733CA"/>
    <w:rsid w:val="008760B6"/>
    <w:rsid w:val="00882774"/>
    <w:rsid w:val="00884BE2"/>
    <w:rsid w:val="00885D21"/>
    <w:rsid w:val="00886D8A"/>
    <w:rsid w:val="00887054"/>
    <w:rsid w:val="00892422"/>
    <w:rsid w:val="008962FB"/>
    <w:rsid w:val="008966DE"/>
    <w:rsid w:val="0089731A"/>
    <w:rsid w:val="00897B66"/>
    <w:rsid w:val="008A0357"/>
    <w:rsid w:val="008A1142"/>
    <w:rsid w:val="008A681E"/>
    <w:rsid w:val="008B0AD9"/>
    <w:rsid w:val="008B21DE"/>
    <w:rsid w:val="008B240B"/>
    <w:rsid w:val="008B4629"/>
    <w:rsid w:val="008B4748"/>
    <w:rsid w:val="008B4ECD"/>
    <w:rsid w:val="008C004A"/>
    <w:rsid w:val="008C02B5"/>
    <w:rsid w:val="008C0EF3"/>
    <w:rsid w:val="008C28DB"/>
    <w:rsid w:val="008C2C5A"/>
    <w:rsid w:val="008C3502"/>
    <w:rsid w:val="008C40F2"/>
    <w:rsid w:val="008D1D54"/>
    <w:rsid w:val="008D4701"/>
    <w:rsid w:val="008D72BD"/>
    <w:rsid w:val="008E0759"/>
    <w:rsid w:val="008E18B6"/>
    <w:rsid w:val="008E297F"/>
    <w:rsid w:val="008E2DCF"/>
    <w:rsid w:val="008E7280"/>
    <w:rsid w:val="008F02D5"/>
    <w:rsid w:val="008F2756"/>
    <w:rsid w:val="008F2DA9"/>
    <w:rsid w:val="008F75CD"/>
    <w:rsid w:val="009001EB"/>
    <w:rsid w:val="009011C4"/>
    <w:rsid w:val="00901D23"/>
    <w:rsid w:val="00903072"/>
    <w:rsid w:val="00910CBC"/>
    <w:rsid w:val="009133E4"/>
    <w:rsid w:val="00917A68"/>
    <w:rsid w:val="00937260"/>
    <w:rsid w:val="009427B8"/>
    <w:rsid w:val="00942EC1"/>
    <w:rsid w:val="00950E18"/>
    <w:rsid w:val="009546F8"/>
    <w:rsid w:val="00956D9A"/>
    <w:rsid w:val="0096007A"/>
    <w:rsid w:val="009647CC"/>
    <w:rsid w:val="0097317E"/>
    <w:rsid w:val="00976193"/>
    <w:rsid w:val="00980E11"/>
    <w:rsid w:val="009840D2"/>
    <w:rsid w:val="00987053"/>
    <w:rsid w:val="00992B92"/>
    <w:rsid w:val="00992E57"/>
    <w:rsid w:val="0099462F"/>
    <w:rsid w:val="00997E17"/>
    <w:rsid w:val="009A19EE"/>
    <w:rsid w:val="009A1C7E"/>
    <w:rsid w:val="009B0F08"/>
    <w:rsid w:val="009B237E"/>
    <w:rsid w:val="009B57E6"/>
    <w:rsid w:val="009C027D"/>
    <w:rsid w:val="009C1676"/>
    <w:rsid w:val="009C3E8A"/>
    <w:rsid w:val="009C69C5"/>
    <w:rsid w:val="009C72A9"/>
    <w:rsid w:val="009D010A"/>
    <w:rsid w:val="009D313A"/>
    <w:rsid w:val="009D7014"/>
    <w:rsid w:val="009E2765"/>
    <w:rsid w:val="009E2D69"/>
    <w:rsid w:val="009E4E33"/>
    <w:rsid w:val="009E5469"/>
    <w:rsid w:val="009E7D56"/>
    <w:rsid w:val="009F098C"/>
    <w:rsid w:val="009F2E83"/>
    <w:rsid w:val="009F36E0"/>
    <w:rsid w:val="009F5C05"/>
    <w:rsid w:val="00A03E39"/>
    <w:rsid w:val="00A0477D"/>
    <w:rsid w:val="00A109CD"/>
    <w:rsid w:val="00A10EA3"/>
    <w:rsid w:val="00A115CC"/>
    <w:rsid w:val="00A13206"/>
    <w:rsid w:val="00A13E4F"/>
    <w:rsid w:val="00A15872"/>
    <w:rsid w:val="00A170F0"/>
    <w:rsid w:val="00A2013D"/>
    <w:rsid w:val="00A2122C"/>
    <w:rsid w:val="00A21737"/>
    <w:rsid w:val="00A22707"/>
    <w:rsid w:val="00A2501E"/>
    <w:rsid w:val="00A261EE"/>
    <w:rsid w:val="00A26E14"/>
    <w:rsid w:val="00A3309F"/>
    <w:rsid w:val="00A3588D"/>
    <w:rsid w:val="00A41D1D"/>
    <w:rsid w:val="00A472B7"/>
    <w:rsid w:val="00A51263"/>
    <w:rsid w:val="00A631A5"/>
    <w:rsid w:val="00A639C1"/>
    <w:rsid w:val="00A64516"/>
    <w:rsid w:val="00A72AC1"/>
    <w:rsid w:val="00A77486"/>
    <w:rsid w:val="00A80731"/>
    <w:rsid w:val="00A815C8"/>
    <w:rsid w:val="00A81A5F"/>
    <w:rsid w:val="00A85217"/>
    <w:rsid w:val="00A8574B"/>
    <w:rsid w:val="00A91CE5"/>
    <w:rsid w:val="00A94200"/>
    <w:rsid w:val="00AA055E"/>
    <w:rsid w:val="00AA0B96"/>
    <w:rsid w:val="00AA145B"/>
    <w:rsid w:val="00AA15DD"/>
    <w:rsid w:val="00AA38BD"/>
    <w:rsid w:val="00AA4898"/>
    <w:rsid w:val="00AA4DDF"/>
    <w:rsid w:val="00AA5031"/>
    <w:rsid w:val="00AB1077"/>
    <w:rsid w:val="00AB1BBC"/>
    <w:rsid w:val="00AB55E0"/>
    <w:rsid w:val="00AC3143"/>
    <w:rsid w:val="00AD3C54"/>
    <w:rsid w:val="00AD4C0D"/>
    <w:rsid w:val="00AE00F4"/>
    <w:rsid w:val="00AE0EC3"/>
    <w:rsid w:val="00AE1FBD"/>
    <w:rsid w:val="00AE2963"/>
    <w:rsid w:val="00AE322E"/>
    <w:rsid w:val="00AE5B21"/>
    <w:rsid w:val="00AF0195"/>
    <w:rsid w:val="00AF06C9"/>
    <w:rsid w:val="00AF34F7"/>
    <w:rsid w:val="00AF4266"/>
    <w:rsid w:val="00B0005E"/>
    <w:rsid w:val="00B00F64"/>
    <w:rsid w:val="00B0106A"/>
    <w:rsid w:val="00B044D8"/>
    <w:rsid w:val="00B07D0E"/>
    <w:rsid w:val="00B149F4"/>
    <w:rsid w:val="00B15619"/>
    <w:rsid w:val="00B2377E"/>
    <w:rsid w:val="00B25A0E"/>
    <w:rsid w:val="00B25F4D"/>
    <w:rsid w:val="00B263EB"/>
    <w:rsid w:val="00B2681A"/>
    <w:rsid w:val="00B317DD"/>
    <w:rsid w:val="00B41B67"/>
    <w:rsid w:val="00B44B7A"/>
    <w:rsid w:val="00B47F84"/>
    <w:rsid w:val="00B50224"/>
    <w:rsid w:val="00B505BF"/>
    <w:rsid w:val="00B50B8C"/>
    <w:rsid w:val="00B52340"/>
    <w:rsid w:val="00B52452"/>
    <w:rsid w:val="00B56FEF"/>
    <w:rsid w:val="00B60227"/>
    <w:rsid w:val="00B66781"/>
    <w:rsid w:val="00B70ED3"/>
    <w:rsid w:val="00B71253"/>
    <w:rsid w:val="00B767AE"/>
    <w:rsid w:val="00B76AD8"/>
    <w:rsid w:val="00B810B8"/>
    <w:rsid w:val="00B81570"/>
    <w:rsid w:val="00B81B79"/>
    <w:rsid w:val="00B84FD6"/>
    <w:rsid w:val="00B85B6D"/>
    <w:rsid w:val="00B90C5C"/>
    <w:rsid w:val="00B9341C"/>
    <w:rsid w:val="00B93554"/>
    <w:rsid w:val="00B93F3C"/>
    <w:rsid w:val="00B96C83"/>
    <w:rsid w:val="00BA001D"/>
    <w:rsid w:val="00BA0980"/>
    <w:rsid w:val="00BB0559"/>
    <w:rsid w:val="00BB0F30"/>
    <w:rsid w:val="00BB1AD7"/>
    <w:rsid w:val="00BB37A8"/>
    <w:rsid w:val="00BB535F"/>
    <w:rsid w:val="00BC20EF"/>
    <w:rsid w:val="00BC2EC3"/>
    <w:rsid w:val="00BC3B37"/>
    <w:rsid w:val="00BC4C9B"/>
    <w:rsid w:val="00BC65DF"/>
    <w:rsid w:val="00BD1F3E"/>
    <w:rsid w:val="00BD2857"/>
    <w:rsid w:val="00BD4049"/>
    <w:rsid w:val="00BF0A01"/>
    <w:rsid w:val="00BF53F3"/>
    <w:rsid w:val="00C00424"/>
    <w:rsid w:val="00C01EA4"/>
    <w:rsid w:val="00C01EDF"/>
    <w:rsid w:val="00C02553"/>
    <w:rsid w:val="00C034FF"/>
    <w:rsid w:val="00C068BF"/>
    <w:rsid w:val="00C101BA"/>
    <w:rsid w:val="00C1306A"/>
    <w:rsid w:val="00C14824"/>
    <w:rsid w:val="00C22F2B"/>
    <w:rsid w:val="00C236FF"/>
    <w:rsid w:val="00C24B7C"/>
    <w:rsid w:val="00C3300B"/>
    <w:rsid w:val="00C3417E"/>
    <w:rsid w:val="00C37D74"/>
    <w:rsid w:val="00C41A45"/>
    <w:rsid w:val="00C4663E"/>
    <w:rsid w:val="00C5166C"/>
    <w:rsid w:val="00C53090"/>
    <w:rsid w:val="00C55359"/>
    <w:rsid w:val="00C57E09"/>
    <w:rsid w:val="00C64155"/>
    <w:rsid w:val="00C7080B"/>
    <w:rsid w:val="00C7218E"/>
    <w:rsid w:val="00C73163"/>
    <w:rsid w:val="00C77C6B"/>
    <w:rsid w:val="00C87BD0"/>
    <w:rsid w:val="00C87D1C"/>
    <w:rsid w:val="00C91ABC"/>
    <w:rsid w:val="00C93071"/>
    <w:rsid w:val="00C950B3"/>
    <w:rsid w:val="00C96E46"/>
    <w:rsid w:val="00C96E7C"/>
    <w:rsid w:val="00C972E8"/>
    <w:rsid w:val="00CA203E"/>
    <w:rsid w:val="00CA22D5"/>
    <w:rsid w:val="00CA6895"/>
    <w:rsid w:val="00CA75D8"/>
    <w:rsid w:val="00CA760A"/>
    <w:rsid w:val="00CB4376"/>
    <w:rsid w:val="00CB4B84"/>
    <w:rsid w:val="00CC341D"/>
    <w:rsid w:val="00CC363F"/>
    <w:rsid w:val="00CC3933"/>
    <w:rsid w:val="00CC6789"/>
    <w:rsid w:val="00CD2616"/>
    <w:rsid w:val="00CD5451"/>
    <w:rsid w:val="00CE0943"/>
    <w:rsid w:val="00CE0B75"/>
    <w:rsid w:val="00CE616F"/>
    <w:rsid w:val="00CE6716"/>
    <w:rsid w:val="00CE79BF"/>
    <w:rsid w:val="00CF2F4C"/>
    <w:rsid w:val="00D00CCE"/>
    <w:rsid w:val="00D02482"/>
    <w:rsid w:val="00D042E8"/>
    <w:rsid w:val="00D05B93"/>
    <w:rsid w:val="00D10C59"/>
    <w:rsid w:val="00D12A0D"/>
    <w:rsid w:val="00D1430D"/>
    <w:rsid w:val="00D14CA8"/>
    <w:rsid w:val="00D15A19"/>
    <w:rsid w:val="00D1799F"/>
    <w:rsid w:val="00D200BD"/>
    <w:rsid w:val="00D20C06"/>
    <w:rsid w:val="00D2436F"/>
    <w:rsid w:val="00D25FE4"/>
    <w:rsid w:val="00D26520"/>
    <w:rsid w:val="00D30F08"/>
    <w:rsid w:val="00D3555D"/>
    <w:rsid w:val="00D42CF5"/>
    <w:rsid w:val="00D42E89"/>
    <w:rsid w:val="00D43ABC"/>
    <w:rsid w:val="00D4447F"/>
    <w:rsid w:val="00D50514"/>
    <w:rsid w:val="00D52C2E"/>
    <w:rsid w:val="00D53CCC"/>
    <w:rsid w:val="00D54320"/>
    <w:rsid w:val="00D551C1"/>
    <w:rsid w:val="00D57D9B"/>
    <w:rsid w:val="00D603C1"/>
    <w:rsid w:val="00D60C28"/>
    <w:rsid w:val="00D64349"/>
    <w:rsid w:val="00D66054"/>
    <w:rsid w:val="00D72BF4"/>
    <w:rsid w:val="00D84FA5"/>
    <w:rsid w:val="00D87A0F"/>
    <w:rsid w:val="00D87A26"/>
    <w:rsid w:val="00D904C1"/>
    <w:rsid w:val="00D92499"/>
    <w:rsid w:val="00D932DB"/>
    <w:rsid w:val="00D942B1"/>
    <w:rsid w:val="00D94CFB"/>
    <w:rsid w:val="00DA1889"/>
    <w:rsid w:val="00DA2D25"/>
    <w:rsid w:val="00DA5906"/>
    <w:rsid w:val="00DB50E8"/>
    <w:rsid w:val="00DC31CE"/>
    <w:rsid w:val="00DC50C1"/>
    <w:rsid w:val="00DC5F43"/>
    <w:rsid w:val="00DC7111"/>
    <w:rsid w:val="00DD0222"/>
    <w:rsid w:val="00DD1964"/>
    <w:rsid w:val="00DD5121"/>
    <w:rsid w:val="00DD5177"/>
    <w:rsid w:val="00DD6F24"/>
    <w:rsid w:val="00DE08AC"/>
    <w:rsid w:val="00DE7CF4"/>
    <w:rsid w:val="00DF10CD"/>
    <w:rsid w:val="00DF34CE"/>
    <w:rsid w:val="00E00F73"/>
    <w:rsid w:val="00E04644"/>
    <w:rsid w:val="00E05582"/>
    <w:rsid w:val="00E11473"/>
    <w:rsid w:val="00E15548"/>
    <w:rsid w:val="00E16324"/>
    <w:rsid w:val="00E17325"/>
    <w:rsid w:val="00E224F6"/>
    <w:rsid w:val="00E23E26"/>
    <w:rsid w:val="00E24B22"/>
    <w:rsid w:val="00E254A4"/>
    <w:rsid w:val="00E30067"/>
    <w:rsid w:val="00E326CB"/>
    <w:rsid w:val="00E32AF2"/>
    <w:rsid w:val="00E32D46"/>
    <w:rsid w:val="00E355D0"/>
    <w:rsid w:val="00E41156"/>
    <w:rsid w:val="00E42125"/>
    <w:rsid w:val="00E47671"/>
    <w:rsid w:val="00E47ACD"/>
    <w:rsid w:val="00E5186B"/>
    <w:rsid w:val="00E56923"/>
    <w:rsid w:val="00E60FB0"/>
    <w:rsid w:val="00E62AC8"/>
    <w:rsid w:val="00E62CD9"/>
    <w:rsid w:val="00E658AE"/>
    <w:rsid w:val="00E76EC3"/>
    <w:rsid w:val="00E773E4"/>
    <w:rsid w:val="00E776C0"/>
    <w:rsid w:val="00E82052"/>
    <w:rsid w:val="00E828B7"/>
    <w:rsid w:val="00E83AC0"/>
    <w:rsid w:val="00E903D3"/>
    <w:rsid w:val="00E91842"/>
    <w:rsid w:val="00E9305C"/>
    <w:rsid w:val="00E942E4"/>
    <w:rsid w:val="00E95049"/>
    <w:rsid w:val="00EA3089"/>
    <w:rsid w:val="00EA4202"/>
    <w:rsid w:val="00EA54AF"/>
    <w:rsid w:val="00EB2579"/>
    <w:rsid w:val="00EB5967"/>
    <w:rsid w:val="00EC135C"/>
    <w:rsid w:val="00EC7919"/>
    <w:rsid w:val="00ED028E"/>
    <w:rsid w:val="00ED1CB6"/>
    <w:rsid w:val="00ED2D89"/>
    <w:rsid w:val="00ED6BA4"/>
    <w:rsid w:val="00EE0B22"/>
    <w:rsid w:val="00EE2299"/>
    <w:rsid w:val="00EE3AA6"/>
    <w:rsid w:val="00EF47AC"/>
    <w:rsid w:val="00F02BF5"/>
    <w:rsid w:val="00F06933"/>
    <w:rsid w:val="00F06E72"/>
    <w:rsid w:val="00F07263"/>
    <w:rsid w:val="00F10C31"/>
    <w:rsid w:val="00F12C9A"/>
    <w:rsid w:val="00F1305F"/>
    <w:rsid w:val="00F132FB"/>
    <w:rsid w:val="00F15095"/>
    <w:rsid w:val="00F17F22"/>
    <w:rsid w:val="00F21A58"/>
    <w:rsid w:val="00F26CEA"/>
    <w:rsid w:val="00F329F6"/>
    <w:rsid w:val="00F37BB2"/>
    <w:rsid w:val="00F414CD"/>
    <w:rsid w:val="00F4386D"/>
    <w:rsid w:val="00F510DC"/>
    <w:rsid w:val="00F53CEC"/>
    <w:rsid w:val="00F547EC"/>
    <w:rsid w:val="00F55CC8"/>
    <w:rsid w:val="00F57DB0"/>
    <w:rsid w:val="00F57F21"/>
    <w:rsid w:val="00F607D6"/>
    <w:rsid w:val="00F61449"/>
    <w:rsid w:val="00F64E8F"/>
    <w:rsid w:val="00F718E8"/>
    <w:rsid w:val="00F77D6A"/>
    <w:rsid w:val="00F82D68"/>
    <w:rsid w:val="00F830F1"/>
    <w:rsid w:val="00F83559"/>
    <w:rsid w:val="00F968E8"/>
    <w:rsid w:val="00FA1ECB"/>
    <w:rsid w:val="00FA4F53"/>
    <w:rsid w:val="00FA548A"/>
    <w:rsid w:val="00FA5660"/>
    <w:rsid w:val="00FA5E6D"/>
    <w:rsid w:val="00FA61E2"/>
    <w:rsid w:val="00FB1461"/>
    <w:rsid w:val="00FB3E01"/>
    <w:rsid w:val="00FB6718"/>
    <w:rsid w:val="00FB6975"/>
    <w:rsid w:val="00FB7111"/>
    <w:rsid w:val="00FC244B"/>
    <w:rsid w:val="00FD06A1"/>
    <w:rsid w:val="00FD1973"/>
    <w:rsid w:val="00FD2702"/>
    <w:rsid w:val="00FD45A7"/>
    <w:rsid w:val="00FE119E"/>
    <w:rsid w:val="00FE2234"/>
    <w:rsid w:val="00FE31B6"/>
    <w:rsid w:val="00FE3E59"/>
    <w:rsid w:val="00FE4CA1"/>
    <w:rsid w:val="00FE7C6E"/>
    <w:rsid w:val="00FF1AFD"/>
    <w:rsid w:val="00FF4844"/>
    <w:rsid w:val="00FF5C69"/>
    <w:rsid w:val="00FF7335"/>
    <w:rsid w:val="0412BCEC"/>
    <w:rsid w:val="0413CC32"/>
    <w:rsid w:val="053A50A6"/>
    <w:rsid w:val="0655A6CD"/>
    <w:rsid w:val="0703C6D5"/>
    <w:rsid w:val="08C0835A"/>
    <w:rsid w:val="0AB5E316"/>
    <w:rsid w:val="0B6A2E45"/>
    <w:rsid w:val="0F3D0BC5"/>
    <w:rsid w:val="118FE419"/>
    <w:rsid w:val="119DF6E5"/>
    <w:rsid w:val="14F3E1C2"/>
    <w:rsid w:val="152C9961"/>
    <w:rsid w:val="1685071E"/>
    <w:rsid w:val="18C7EB06"/>
    <w:rsid w:val="1A03FE05"/>
    <w:rsid w:val="1A310C7F"/>
    <w:rsid w:val="1A6C1AAF"/>
    <w:rsid w:val="20878379"/>
    <w:rsid w:val="20A849D9"/>
    <w:rsid w:val="20F19806"/>
    <w:rsid w:val="217C45AD"/>
    <w:rsid w:val="24C7F1AD"/>
    <w:rsid w:val="26F1F051"/>
    <w:rsid w:val="29EA5F71"/>
    <w:rsid w:val="2C898C04"/>
    <w:rsid w:val="30237047"/>
    <w:rsid w:val="32FFFCF9"/>
    <w:rsid w:val="34203DC1"/>
    <w:rsid w:val="34F21C9A"/>
    <w:rsid w:val="359F3E03"/>
    <w:rsid w:val="35D10CC3"/>
    <w:rsid w:val="3811A903"/>
    <w:rsid w:val="3A83F122"/>
    <w:rsid w:val="40AD455D"/>
    <w:rsid w:val="40BF3214"/>
    <w:rsid w:val="41CD1835"/>
    <w:rsid w:val="421613BC"/>
    <w:rsid w:val="4AE24E50"/>
    <w:rsid w:val="4B632EF5"/>
    <w:rsid w:val="4F7EB0AC"/>
    <w:rsid w:val="55B34303"/>
    <w:rsid w:val="563B2E1E"/>
    <w:rsid w:val="588D59B4"/>
    <w:rsid w:val="59C3E410"/>
    <w:rsid w:val="5DE8695D"/>
    <w:rsid w:val="5F68DEF7"/>
    <w:rsid w:val="6153838F"/>
    <w:rsid w:val="65BD3FDE"/>
    <w:rsid w:val="68995A99"/>
    <w:rsid w:val="68C0C09A"/>
    <w:rsid w:val="6CA71432"/>
    <w:rsid w:val="6F22DF28"/>
    <w:rsid w:val="747379C1"/>
    <w:rsid w:val="77292A8D"/>
    <w:rsid w:val="77457FD6"/>
    <w:rsid w:val="78F24BAC"/>
    <w:rsid w:val="7A887BAA"/>
    <w:rsid w:val="7B7920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CAD830"/>
  <w15:docId w15:val="{A3EC84A7-B422-435D-BF0D-F6FDCAC3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C445F"/>
    <w:rPr>
      <w:rFonts w:ascii="Segoe UI" w:hAnsi="Segoe UI" w:cs="Segoe UI"/>
      <w:sz w:val="18"/>
      <w:szCs w:val="18"/>
    </w:rPr>
  </w:style>
  <w:style w:type="character" w:customStyle="1" w:styleId="BalloonTextChar">
    <w:name w:val="Balloon Text Char"/>
    <w:link w:val="BalloonText"/>
    <w:rsid w:val="000C445F"/>
    <w:rPr>
      <w:rFonts w:ascii="Segoe UI" w:hAnsi="Segoe UI" w:cs="Segoe UI"/>
      <w:sz w:val="18"/>
      <w:szCs w:val="18"/>
    </w:rPr>
  </w:style>
  <w:style w:type="paragraph" w:styleId="ListParagraph">
    <w:name w:val="List Paragraph"/>
    <w:basedOn w:val="Normal"/>
    <w:uiPriority w:val="34"/>
    <w:qFormat/>
    <w:rsid w:val="000C445F"/>
    <w:pPr>
      <w:ind w:left="720"/>
    </w:pPr>
  </w:style>
  <w:style w:type="paragraph" w:styleId="Revision">
    <w:name w:val="Revision"/>
    <w:hidden/>
    <w:uiPriority w:val="99"/>
    <w:semiHidden/>
    <w:rsid w:val="00361DD5"/>
    <w:rPr>
      <w:sz w:val="24"/>
      <w:szCs w:val="24"/>
    </w:rPr>
  </w:style>
  <w:style w:type="paragraph" w:styleId="Header">
    <w:name w:val="header"/>
    <w:basedOn w:val="Normal"/>
    <w:link w:val="HeaderChar"/>
    <w:rsid w:val="00346B12"/>
    <w:pPr>
      <w:tabs>
        <w:tab w:val="center" w:pos="4680"/>
        <w:tab w:val="right" w:pos="9360"/>
      </w:tabs>
    </w:pPr>
  </w:style>
  <w:style w:type="character" w:customStyle="1" w:styleId="HeaderChar">
    <w:name w:val="Header Char"/>
    <w:basedOn w:val="DefaultParagraphFont"/>
    <w:link w:val="Header"/>
    <w:rsid w:val="00346B12"/>
    <w:rPr>
      <w:sz w:val="24"/>
      <w:szCs w:val="24"/>
    </w:rPr>
  </w:style>
  <w:style w:type="paragraph" w:styleId="Footer">
    <w:name w:val="footer"/>
    <w:basedOn w:val="Normal"/>
    <w:link w:val="FooterChar"/>
    <w:uiPriority w:val="99"/>
    <w:rsid w:val="00346B12"/>
    <w:pPr>
      <w:tabs>
        <w:tab w:val="center" w:pos="4680"/>
        <w:tab w:val="right" w:pos="9360"/>
      </w:tabs>
    </w:pPr>
  </w:style>
  <w:style w:type="character" w:customStyle="1" w:styleId="FooterChar">
    <w:name w:val="Footer Char"/>
    <w:basedOn w:val="DefaultParagraphFont"/>
    <w:link w:val="Footer"/>
    <w:uiPriority w:val="99"/>
    <w:rsid w:val="00346B12"/>
    <w:rPr>
      <w:sz w:val="24"/>
      <w:szCs w:val="24"/>
    </w:rPr>
  </w:style>
  <w:style w:type="character" w:styleId="CommentReference">
    <w:name w:val="annotation reference"/>
    <w:basedOn w:val="DefaultParagraphFont"/>
    <w:semiHidden/>
    <w:unhideWhenUsed/>
    <w:rsid w:val="000756DD"/>
    <w:rPr>
      <w:sz w:val="16"/>
      <w:szCs w:val="16"/>
    </w:rPr>
  </w:style>
  <w:style w:type="paragraph" w:styleId="CommentText">
    <w:name w:val="annotation text"/>
    <w:basedOn w:val="Normal"/>
    <w:link w:val="CommentTextChar"/>
    <w:unhideWhenUsed/>
    <w:rsid w:val="000756DD"/>
    <w:rPr>
      <w:sz w:val="20"/>
      <w:szCs w:val="20"/>
    </w:rPr>
  </w:style>
  <w:style w:type="character" w:customStyle="1" w:styleId="CommentTextChar">
    <w:name w:val="Comment Text Char"/>
    <w:basedOn w:val="DefaultParagraphFont"/>
    <w:link w:val="CommentText"/>
    <w:rsid w:val="000756DD"/>
  </w:style>
  <w:style w:type="paragraph" w:styleId="CommentSubject">
    <w:name w:val="annotation subject"/>
    <w:basedOn w:val="CommentText"/>
    <w:next w:val="CommentText"/>
    <w:link w:val="CommentSubjectChar"/>
    <w:semiHidden/>
    <w:unhideWhenUsed/>
    <w:rsid w:val="000756DD"/>
    <w:rPr>
      <w:b/>
      <w:bCs/>
    </w:rPr>
  </w:style>
  <w:style w:type="character" w:customStyle="1" w:styleId="CommentSubjectChar">
    <w:name w:val="Comment Subject Char"/>
    <w:basedOn w:val="CommentTextChar"/>
    <w:link w:val="CommentSubject"/>
    <w:semiHidden/>
    <w:rsid w:val="000756DD"/>
    <w:rPr>
      <w:b/>
      <w:bCs/>
    </w:rPr>
  </w:style>
  <w:style w:type="paragraph" w:customStyle="1" w:styleId="Level1">
    <w:name w:val="Level 1"/>
    <w:basedOn w:val="Normal"/>
    <w:rsid w:val="00C1306A"/>
    <w:pPr>
      <w:widowControl w:val="0"/>
      <w:autoSpaceDE w:val="0"/>
      <w:autoSpaceDN w:val="0"/>
      <w:adjustRightInd w:val="0"/>
      <w:ind w:left="360" w:hanging="360"/>
    </w:pPr>
  </w:style>
  <w:style w:type="character" w:styleId="Mention">
    <w:name w:val="Mention"/>
    <w:basedOn w:val="DefaultParagraphFont"/>
    <w:uiPriority w:val="99"/>
    <w:unhideWhenUsed/>
    <w:rsid w:val="00E56923"/>
    <w:rPr>
      <w:color w:val="2B579A"/>
      <w:shd w:val="clear" w:color="auto" w:fill="E1DFDD"/>
    </w:rPr>
  </w:style>
  <w:style w:type="character" w:styleId="Hyperlink">
    <w:name w:val="Hyperlink"/>
    <w:basedOn w:val="DefaultParagraphFont"/>
    <w:unhideWhenUsed/>
    <w:rsid w:val="006C6326"/>
    <w:rPr>
      <w:color w:val="0563C1" w:themeColor="hyperlink"/>
      <w:u w:val="single"/>
    </w:rPr>
  </w:style>
  <w:style w:type="character" w:styleId="UnresolvedMention">
    <w:name w:val="Unresolved Mention"/>
    <w:basedOn w:val="DefaultParagraphFont"/>
    <w:uiPriority w:val="99"/>
    <w:semiHidden/>
    <w:unhideWhenUsed/>
    <w:rsid w:val="006C6326"/>
    <w:rPr>
      <w:color w:val="605E5C"/>
      <w:shd w:val="clear" w:color="auto" w:fill="E1DFDD"/>
    </w:rPr>
  </w:style>
  <w:style w:type="paragraph" w:styleId="BodyText">
    <w:name w:val="Body Text"/>
    <w:basedOn w:val="Normal"/>
    <w:link w:val="BodyTextChar"/>
    <w:uiPriority w:val="1"/>
    <w:qFormat/>
    <w:rsid w:val="001F7307"/>
    <w:pPr>
      <w:widowControl w:val="0"/>
      <w:autoSpaceDE w:val="0"/>
      <w:autoSpaceDN w:val="0"/>
    </w:pPr>
  </w:style>
  <w:style w:type="character" w:customStyle="1" w:styleId="BodyTextChar">
    <w:name w:val="Body Text Char"/>
    <w:basedOn w:val="DefaultParagraphFont"/>
    <w:link w:val="BodyText"/>
    <w:uiPriority w:val="1"/>
    <w:rsid w:val="001F73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48193-EDB0-4CCB-A7B4-B478A108DAF1}">
  <ds:schemaRefs>
    <ds:schemaRef ds:uri="http://schemas.microsoft.com/sharepoint/v3/contenttype/forms"/>
  </ds:schemaRefs>
</ds:datastoreItem>
</file>

<file path=customXml/itemProps2.xml><?xml version="1.0" encoding="utf-8"?>
<ds:datastoreItem xmlns:ds="http://schemas.openxmlformats.org/officeDocument/2006/customXml" ds:itemID="{2C50E269-5E56-4E6B-BDAD-F8A1446F4485}">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customXml/itemProps3.xml><?xml version="1.0" encoding="utf-8"?>
<ds:datastoreItem xmlns:ds="http://schemas.openxmlformats.org/officeDocument/2006/customXml" ds:itemID="{C41CF251-E3F8-4695-8FE0-EE773CEDAA5E}">
  <ds:schemaRefs>
    <ds:schemaRef ds:uri="http://schemas.openxmlformats.org/officeDocument/2006/bibliography"/>
  </ds:schemaRefs>
</ds:datastoreItem>
</file>

<file path=customXml/itemProps4.xml><?xml version="1.0" encoding="utf-8"?>
<ds:datastoreItem xmlns:ds="http://schemas.openxmlformats.org/officeDocument/2006/customXml" ds:itemID="{2AC0F681-1C37-4F83-AB44-EDAB313EF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1851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Holmes-Brooks, Colette N. (ATF) (CTR)</cp:lastModifiedBy>
  <cp:revision>2</cp:revision>
  <cp:lastPrinted>2015-11-17T12:54:00Z</cp:lastPrinted>
  <dcterms:created xsi:type="dcterms:W3CDTF">2025-09-24T17:37:00Z</dcterms:created>
  <dcterms:modified xsi:type="dcterms:W3CDTF">2025-09-24T17:37:00Z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