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765A9" w:rsidRPr="00D765A9" w:rsidP="00D765A9" w14:paraId="12D8022D" w14:textId="59B371D9">
      <w:r>
        <w:t xml:space="preserve">2025 </w:t>
      </w:r>
      <w:r w:rsidRPr="00D765A9">
        <w:t>Privacy Act statement for ICR 1140-0066</w:t>
      </w:r>
    </w:p>
    <w:p w:rsidR="00D765A9" w:rsidRPr="00D765A9" w:rsidP="00D765A9" w14:paraId="156C040C" w14:textId="51B7CA48">
      <w:r w:rsidRPr="00D765A9">
        <w:rPr>
          <w:b/>
          <w:bCs/>
        </w:rPr>
        <w:t>Privacy Act Statement</w:t>
      </w:r>
      <w:r w:rsidRPr="00D765A9">
        <w:br/>
        <w:t>This information is provided pursuant to Sections 3 and 7(b) of the Privacy Act of 1974 (5 U.S.C. § 552a(e)(3)):</w:t>
      </w:r>
    </w:p>
    <w:p w:rsidR="00D765A9" w:rsidRPr="00D765A9" w:rsidP="00D765A9" w14:paraId="6BE3F2EF" w14:textId="3A0D1C4F">
      <w:r w:rsidRPr="00D765A9">
        <w:rPr>
          <w:b/>
          <w:bCs/>
        </w:rPr>
        <w:t>Authority:</w:t>
      </w:r>
      <w:r w:rsidRPr="00D765A9">
        <w:t xml:space="preserve"> Collection and retention of this information is authorized under 18 U.S.C. §§ 922(a)(7), (8), and (b)(5), and implemented through 27 CFR §§ 478.37, 478.122(b), 478.123(b), 478.125(c), and 478.129. The Bureau of Alcohol, Tobacco, Firearms</w:t>
      </w:r>
      <w:r w:rsidR="00BA4052">
        <w:t>,</w:t>
      </w:r>
      <w:r w:rsidRPr="00D765A9">
        <w:t xml:space="preserve"> and Explosives (ATF) is authorized to require these records as part of its regulatory and law enforcement responsibilities concerning the lawful distribution of armor-piercing ammunition.</w:t>
      </w:r>
    </w:p>
    <w:p w:rsidR="00D765A9" w:rsidRPr="00D765A9" w:rsidP="00D765A9" w14:paraId="22EBABF8" w14:textId="77777777">
      <w:r w:rsidRPr="00D765A9">
        <w:rPr>
          <w:b/>
          <w:bCs/>
        </w:rPr>
        <w:t>Purpose:</w:t>
      </w:r>
      <w:r w:rsidRPr="00D765A9">
        <w:t xml:space="preserve"> The information maintained under this requirement documents the lawful transfer of armor-piercing ammunition by licensed manufacturers, importers, dealers, and collectors. These records are used primarily for law enforcement and regulatory compliance purposes, including criminal investigations, inspection of licensees, and tracing ammunition recovered as evidence.</w:t>
      </w:r>
    </w:p>
    <w:p w:rsidR="00D765A9" w:rsidRPr="00D765A9" w:rsidP="00D765A9" w14:paraId="4631075C" w14:textId="4ABFB75B">
      <w:r w:rsidRPr="00D765A9">
        <w:rPr>
          <w:b/>
          <w:bCs/>
        </w:rPr>
        <w:t xml:space="preserve">Routine </w:t>
      </w:r>
      <w:r w:rsidR="00932E1B">
        <w:rPr>
          <w:b/>
          <w:bCs/>
        </w:rPr>
        <w:t>u</w:t>
      </w:r>
      <w:r w:rsidRPr="00D765A9">
        <w:rPr>
          <w:b/>
          <w:bCs/>
        </w:rPr>
        <w:t>ses:</w:t>
      </w:r>
      <w:r w:rsidRPr="00D765A9">
        <w:t xml:space="preserve"> The information may be disclosed as permitted by the Privacy Act of 1974 (5 U.S.C. § 552a) and in accordance with System of Records Notice (SORN) JUSTICE/ATF-008, Regulatory Enforcement Record System. It may be shared with federal, state, local, tribal, and foreign law enforcement agencies and regulatory authorities for criminal investigations, inspections, enforcement actions, or national security purposes.</w:t>
      </w:r>
    </w:p>
    <w:p w:rsidR="00D765A9" w:rsidRPr="00D765A9" w:rsidP="00D765A9" w14:paraId="61F42C16" w14:textId="77777777">
      <w:r w:rsidRPr="00D765A9">
        <w:rPr>
          <w:b/>
          <w:bCs/>
        </w:rPr>
        <w:t>Disclosure:</w:t>
      </w:r>
      <w:r w:rsidRPr="00D765A9">
        <w:t xml:space="preserve"> Maintaining these records is mandatory for all licensees under 18 U.S.C. § 922(b)(5) and applicable regulations in 27 CFR Part 478. Required information includes the name, age, and place of residence of individual recipients of armor-piercing ammunition, or, in the case of business entities, their name and principal and local places of business. These records are maintained on the licensee’s premises and are not submitted to ATF unless requested during an inspection or investigation. Failure to comply with the recordkeeping requirements may result in license revocation and civil or criminal penalties.</w:t>
      </w:r>
    </w:p>
    <w:p w:rsidR="00DC1107" w14:paraId="2998755E"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5A9"/>
    <w:rsid w:val="001C56CE"/>
    <w:rsid w:val="00577075"/>
    <w:rsid w:val="008B674D"/>
    <w:rsid w:val="00932E1B"/>
    <w:rsid w:val="00B50224"/>
    <w:rsid w:val="00BA4052"/>
    <w:rsid w:val="00D765A9"/>
    <w:rsid w:val="00DC1107"/>
    <w:rsid w:val="00E768C0"/>
    <w:rsid w:val="00EC52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1BD5ED"/>
  <w15:chartTrackingRefBased/>
  <w15:docId w15:val="{C7219AF3-A84F-4CE4-8AE0-56915D8F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5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65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65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65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65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65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5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5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5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5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65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65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65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65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65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5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5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5A9"/>
    <w:rPr>
      <w:rFonts w:eastAsiaTheme="majorEastAsia" w:cstheme="majorBidi"/>
      <w:color w:val="272727" w:themeColor="text1" w:themeTint="D8"/>
    </w:rPr>
  </w:style>
  <w:style w:type="paragraph" w:styleId="Title">
    <w:name w:val="Title"/>
    <w:basedOn w:val="Normal"/>
    <w:next w:val="Normal"/>
    <w:link w:val="TitleChar"/>
    <w:uiPriority w:val="10"/>
    <w:qFormat/>
    <w:rsid w:val="00D765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5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5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5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5A9"/>
    <w:pPr>
      <w:spacing w:before="160"/>
      <w:jc w:val="center"/>
    </w:pPr>
    <w:rPr>
      <w:i/>
      <w:iCs/>
      <w:color w:val="404040" w:themeColor="text1" w:themeTint="BF"/>
    </w:rPr>
  </w:style>
  <w:style w:type="character" w:customStyle="1" w:styleId="QuoteChar">
    <w:name w:val="Quote Char"/>
    <w:basedOn w:val="DefaultParagraphFont"/>
    <w:link w:val="Quote"/>
    <w:uiPriority w:val="29"/>
    <w:rsid w:val="00D765A9"/>
    <w:rPr>
      <w:i/>
      <w:iCs/>
      <w:color w:val="404040" w:themeColor="text1" w:themeTint="BF"/>
    </w:rPr>
  </w:style>
  <w:style w:type="paragraph" w:styleId="ListParagraph">
    <w:name w:val="List Paragraph"/>
    <w:basedOn w:val="Normal"/>
    <w:uiPriority w:val="34"/>
    <w:qFormat/>
    <w:rsid w:val="00D765A9"/>
    <w:pPr>
      <w:ind w:left="720"/>
      <w:contextualSpacing/>
    </w:pPr>
  </w:style>
  <w:style w:type="character" w:styleId="IntenseEmphasis">
    <w:name w:val="Intense Emphasis"/>
    <w:basedOn w:val="DefaultParagraphFont"/>
    <w:uiPriority w:val="21"/>
    <w:qFormat/>
    <w:rsid w:val="00D765A9"/>
    <w:rPr>
      <w:i/>
      <w:iCs/>
      <w:color w:val="2F5496" w:themeColor="accent1" w:themeShade="BF"/>
    </w:rPr>
  </w:style>
  <w:style w:type="paragraph" w:styleId="IntenseQuote">
    <w:name w:val="Intense Quote"/>
    <w:basedOn w:val="Normal"/>
    <w:next w:val="Normal"/>
    <w:link w:val="IntenseQuoteChar"/>
    <w:uiPriority w:val="30"/>
    <w:qFormat/>
    <w:rsid w:val="00D765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65A9"/>
    <w:rPr>
      <w:i/>
      <w:iCs/>
      <w:color w:val="2F5496" w:themeColor="accent1" w:themeShade="BF"/>
    </w:rPr>
  </w:style>
  <w:style w:type="character" w:styleId="IntenseReference">
    <w:name w:val="Intense Reference"/>
    <w:basedOn w:val="DefaultParagraphFont"/>
    <w:uiPriority w:val="32"/>
    <w:qFormat/>
    <w:rsid w:val="00D765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C38A95AC1B7746BEBF8970EC813D2D" ma:contentTypeVersion="14" ma:contentTypeDescription="Create a new document." ma:contentTypeScope="" ma:versionID="753a55981b318e624fcc6e69d5db0967">
  <xsd:schema xmlns:xsd="http://www.w3.org/2001/XMLSchema" xmlns:xs="http://www.w3.org/2001/XMLSchema" xmlns:p="http://schemas.microsoft.com/office/2006/metadata/properties" xmlns:ns3="3a0610ba-0cc1-443f-8762-ce09613829bf" xmlns:ns4="6873da09-23e8-4ec5-9901-4c59125a6acf" targetNamespace="http://schemas.microsoft.com/office/2006/metadata/properties" ma:root="true" ma:fieldsID="8994ac728742227991d24e2e5ac7691b" ns3:_="" ns4:_="">
    <xsd:import namespace="3a0610ba-0cc1-443f-8762-ce09613829bf"/>
    <xsd:import namespace="6873da09-23e8-4ec5-9901-4c59125a6a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610ba-0cc1-443f-8762-ce0961382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3da09-23e8-4ec5-9901-4c59125a6ac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a0610ba-0cc1-443f-8762-ce09613829bf" xsi:nil="true"/>
  </documentManagement>
</p:properties>
</file>

<file path=customXml/itemProps1.xml><?xml version="1.0" encoding="utf-8"?>
<ds:datastoreItem xmlns:ds="http://schemas.openxmlformats.org/officeDocument/2006/customXml" ds:itemID="{09D5357E-1D00-449C-906D-6D8EBECC0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610ba-0cc1-443f-8762-ce09613829bf"/>
    <ds:schemaRef ds:uri="6873da09-23e8-4ec5-9901-4c59125a6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44ABE4-6CBB-4422-869A-2D363CD19A7B}">
  <ds:schemaRefs>
    <ds:schemaRef ds:uri="http://schemas.microsoft.com/sharepoint/v3/contenttype/forms"/>
  </ds:schemaRefs>
</ds:datastoreItem>
</file>

<file path=customXml/itemProps3.xml><?xml version="1.0" encoding="utf-8"?>
<ds:datastoreItem xmlns:ds="http://schemas.openxmlformats.org/officeDocument/2006/customXml" ds:itemID="{B776D0E7-370F-410A-B645-CB8A122F66BD}">
  <ds:schemaRefs>
    <ds:schemaRef ds:uri="http://schemas.microsoft.com/office/2006/metadata/properties"/>
    <ds:schemaRef ds:uri="http://schemas.microsoft.com/office/infopath/2007/PartnerControls"/>
    <ds:schemaRef ds:uri="3a0610ba-0cc1-443f-8762-ce09613829bf"/>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Keravuori</dc:creator>
  <cp:lastModifiedBy>Kimberly Keravuori</cp:lastModifiedBy>
  <cp:revision>3</cp:revision>
  <dcterms:created xsi:type="dcterms:W3CDTF">2025-04-10T05:04:00Z</dcterms:created>
  <dcterms:modified xsi:type="dcterms:W3CDTF">2025-04-10T05:07:00Z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0x01010061C38A95AC1B7746BEBF8970EC813D2D</vt:lpwstr>
  </property>
</Properties>
</file>