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F75" w:rsidR="000F5D39" w:rsidP="000F5D39" w:rsidRDefault="000F5D39" w14:paraId="1D6C4FE7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5F420045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02114F7B" w14:textId="77777777">
      <w:pPr>
        <w:jc w:val="center"/>
        <w:rPr>
          <w:rFonts w:ascii="Arial" w:hAnsi="Arial" w:cs="Arial"/>
          <w:b/>
        </w:rPr>
      </w:pPr>
    </w:p>
    <w:p w:rsidRPr="006D2637" w:rsidR="00D57A6D" w:rsidP="00D57A6D" w:rsidRDefault="00D57A6D" w14:paraId="6D22D130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  <w:highlight w:val="yellow"/>
        </w:rPr>
      </w:pPr>
      <w:r w:rsidRPr="006D2637">
        <w:rPr>
          <w:rFonts w:ascii="Arial" w:hAnsi="Arial" w:cs="Arial"/>
          <w:color w:val="auto"/>
          <w:sz w:val="32"/>
          <w:szCs w:val="32"/>
          <w:highlight w:val="yellow"/>
        </w:rPr>
        <w:t>Formative Data Collections for ACF Research</w:t>
      </w:r>
    </w:p>
    <w:p w:rsidRPr="002C4F75" w:rsidR="00D57A6D" w:rsidP="00D57A6D" w:rsidRDefault="00D57A6D" w14:paraId="6BBFFE6C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2C4F75" w:rsidR="00D57A6D" w:rsidP="00D57A6D" w:rsidRDefault="007B7808" w14:paraId="3F9059DD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  <w:highlight w:val="green"/>
        </w:rPr>
        <w:t>1290</w:t>
      </w:r>
      <w:r w:rsidRPr="00BE7952" w:rsidR="00D57A6D">
        <w:rPr>
          <w:rFonts w:ascii="Arial" w:hAnsi="Arial" w:cs="Arial"/>
          <w:color w:val="auto"/>
          <w:sz w:val="32"/>
          <w:szCs w:val="32"/>
          <w:highlight w:val="green"/>
        </w:rPr>
        <w:t xml:space="preserve"> - </w:t>
      </w:r>
      <w:r>
        <w:rPr>
          <w:rFonts w:ascii="Arial" w:hAnsi="Arial" w:cs="Arial"/>
          <w:color w:val="auto"/>
          <w:sz w:val="32"/>
          <w:szCs w:val="32"/>
          <w:highlight w:val="green"/>
        </w:rPr>
        <w:t>XXX</w:t>
      </w:r>
      <w:r w:rsidRPr="00BE7952" w:rsidR="00D57A6D">
        <w:rPr>
          <w:rFonts w:ascii="Arial" w:hAnsi="Arial" w:cs="Arial"/>
          <w:color w:val="auto"/>
          <w:sz w:val="32"/>
          <w:szCs w:val="32"/>
          <w:highlight w:val="green"/>
        </w:rPr>
        <w:t>X</w:t>
      </w:r>
    </w:p>
    <w:p w:rsidRPr="002C4F75" w:rsidR="00D57A6D" w:rsidP="00D57A6D" w:rsidRDefault="00D57A6D" w14:paraId="1FD44B07" w14:textId="77777777">
      <w:pPr>
        <w:rPr>
          <w:rFonts w:ascii="Arial" w:hAnsi="Arial" w:cs="Arial"/>
          <w:szCs w:val="22"/>
        </w:rPr>
      </w:pPr>
    </w:p>
    <w:p w:rsidRPr="002C4F75" w:rsidR="000F5D39" w:rsidP="000F5D39" w:rsidRDefault="000F5D39" w14:paraId="2E4F19EB" w14:textId="77777777">
      <w:pPr>
        <w:rPr>
          <w:rFonts w:ascii="Arial" w:hAnsi="Arial" w:cs="Arial"/>
          <w:szCs w:val="22"/>
        </w:rPr>
      </w:pPr>
    </w:p>
    <w:p w:rsidRPr="002C4F75" w:rsidR="000F5D39" w:rsidP="000F5D39" w:rsidRDefault="000F5D39" w14:paraId="2BA2261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 w14:paraId="069AF78D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0F5D39" w:rsidP="000F5D39" w:rsidRDefault="000F5D39" w14:paraId="0217977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Pr="002C4F75" w:rsidR="0030356A" w:rsidP="0030356A" w:rsidRDefault="0030356A" w14:paraId="5E1B8A3F" w14:textId="77777777">
      <w:pPr>
        <w:pStyle w:val="ReportCover-Date"/>
        <w:jc w:val="center"/>
        <w:rPr>
          <w:rFonts w:ascii="Arial" w:hAnsi="Arial" w:cs="Arial"/>
          <w:color w:val="auto"/>
        </w:rPr>
      </w:pPr>
      <w:r w:rsidRPr="002D4B0A">
        <w:rPr>
          <w:rFonts w:ascii="Arial" w:hAnsi="Arial" w:cs="Arial"/>
          <w:color w:val="auto"/>
          <w:highlight w:val="green"/>
        </w:rPr>
        <w:t>MONTH YEAR</w:t>
      </w:r>
    </w:p>
    <w:p w:rsidRPr="002C4F75" w:rsidR="000F5D39" w:rsidP="000F5D39" w:rsidRDefault="000F5D39" w14:paraId="61938C0C" w14:textId="77777777">
      <w:pPr>
        <w:jc w:val="center"/>
        <w:rPr>
          <w:rFonts w:ascii="Arial" w:hAnsi="Arial" w:cs="Arial"/>
        </w:rPr>
      </w:pPr>
    </w:p>
    <w:p w:rsidR="0030356A" w:rsidP="0030356A" w:rsidRDefault="0030356A" w14:paraId="74708E2F" w14:textId="77777777">
      <w:pPr>
        <w:shd w:val="clear" w:color="auto" w:fill="D9D9D9"/>
        <w:jc w:val="center"/>
        <w:rPr>
          <w:b/>
        </w:rPr>
      </w:pPr>
    </w:p>
    <w:p w:rsidR="0030356A" w:rsidP="0030356A" w:rsidRDefault="0030356A" w14:paraId="1D0B9B82" w14:textId="77777777">
      <w:pPr>
        <w:shd w:val="clear" w:color="auto" w:fill="D9D9D9"/>
        <w:jc w:val="center"/>
        <w:rPr>
          <w:b/>
        </w:rPr>
      </w:pPr>
    </w:p>
    <w:p w:rsidR="0030356A" w:rsidP="0030356A" w:rsidRDefault="0030356A" w14:paraId="61599C92" w14:textId="77777777">
      <w:pPr>
        <w:shd w:val="clear" w:color="auto" w:fill="D9D9D9"/>
        <w:jc w:val="center"/>
        <w:rPr>
          <w:b/>
        </w:rPr>
      </w:pPr>
    </w:p>
    <w:p w:rsidR="0030356A" w:rsidP="0030356A" w:rsidRDefault="0030356A" w14:paraId="45D87EC8" w14:textId="77777777">
      <w:pPr>
        <w:shd w:val="clear" w:color="auto" w:fill="D9D9D9"/>
        <w:jc w:val="center"/>
        <w:rPr>
          <w:b/>
        </w:rPr>
      </w:pPr>
    </w:p>
    <w:p w:rsidR="0030356A" w:rsidP="0030356A" w:rsidRDefault="0030356A" w14:paraId="1D848E28" w14:textId="77777777">
      <w:pPr>
        <w:shd w:val="clear" w:color="auto" w:fill="D9D9D9"/>
        <w:jc w:val="center"/>
        <w:rPr>
          <w:b/>
        </w:rPr>
      </w:pPr>
    </w:p>
    <w:p w:rsidRPr="00E05A0A" w:rsidR="00E05A0A" w:rsidP="00735EBE" w:rsidRDefault="000F5D39" w14:paraId="014E63A9" w14:textId="77777777">
      <w:pPr>
        <w:spacing w:after="120"/>
        <w:rPr>
          <w:b/>
        </w:rPr>
      </w:pPr>
      <w:r>
        <w:rPr>
          <w:b/>
        </w:rPr>
        <w:br w:type="page"/>
      </w:r>
      <w:r w:rsidR="00E05A0A">
        <w:rPr>
          <w:b/>
        </w:rPr>
        <w:lastRenderedPageBreak/>
        <w:t>B1. Respondent Universe and Sampling Methods</w:t>
      </w:r>
    </w:p>
    <w:p w:rsidRPr="00FD1B70" w:rsidR="00253148" w:rsidP="00F20419" w:rsidRDefault="00253148" w14:paraId="3751F6AE" w14:textId="77777777">
      <w:pPr>
        <w:shd w:val="clear" w:color="auto" w:fill="D9D9D9"/>
      </w:pPr>
    </w:p>
    <w:p w:rsidR="00253148" w:rsidP="00F20419" w:rsidRDefault="00253148" w14:paraId="5E713219" w14:textId="77777777">
      <w:pPr>
        <w:shd w:val="clear" w:color="auto" w:fill="D9D9D9"/>
      </w:pPr>
    </w:p>
    <w:p w:rsidR="006F30E0" w:rsidP="00F20419" w:rsidRDefault="006F30E0" w14:paraId="379BD9ED" w14:textId="77777777">
      <w:pPr>
        <w:shd w:val="clear" w:color="auto" w:fill="D9D9D9"/>
      </w:pPr>
    </w:p>
    <w:p w:rsidR="00FE1C8E" w:rsidP="00FD1B70" w:rsidRDefault="00FE1C8E" w14:paraId="710421B3" w14:textId="77777777">
      <w:pPr>
        <w:rPr>
          <w:b/>
        </w:rPr>
      </w:pPr>
    </w:p>
    <w:p w:rsidR="00F20419" w:rsidP="00FD1B70" w:rsidRDefault="00F20419" w14:paraId="468DD09B" w14:textId="77777777">
      <w:pPr>
        <w:rPr>
          <w:b/>
        </w:rPr>
      </w:pPr>
    </w:p>
    <w:p w:rsidRPr="00E05A0A" w:rsidR="00E05A0A" w:rsidP="00735EBE" w:rsidRDefault="00E05A0A" w14:paraId="49889875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Pr="00FD1B70" w:rsidR="00FE1C8E" w:rsidP="00F20419" w:rsidRDefault="00FE1C8E" w14:paraId="184DABA7" w14:textId="77777777">
      <w:pPr>
        <w:shd w:val="clear" w:color="auto" w:fill="D9D9D9"/>
      </w:pPr>
    </w:p>
    <w:p w:rsidR="00FE1C8E" w:rsidP="00F20419" w:rsidRDefault="00FE1C8E" w14:paraId="76BEF5C3" w14:textId="77777777">
      <w:pPr>
        <w:shd w:val="clear" w:color="auto" w:fill="D9D9D9"/>
      </w:pPr>
    </w:p>
    <w:p w:rsidR="00FE1C8E" w:rsidP="00F20419" w:rsidRDefault="00FE1C8E" w14:paraId="16E740B7" w14:textId="77777777">
      <w:pPr>
        <w:shd w:val="clear" w:color="auto" w:fill="D9D9D9"/>
      </w:pPr>
    </w:p>
    <w:p w:rsidR="00253148" w:rsidP="00FD1B70" w:rsidRDefault="00253148" w14:paraId="40AA5E29" w14:textId="77777777"/>
    <w:p w:rsidR="00253148" w:rsidP="00FD1B70" w:rsidRDefault="00253148" w14:paraId="62EB0EC7" w14:textId="77777777">
      <w:pPr>
        <w:rPr>
          <w:b/>
        </w:rPr>
      </w:pPr>
    </w:p>
    <w:p w:rsidR="00E05A0A" w:rsidP="00FD1B70" w:rsidRDefault="00E05A0A" w14:paraId="6EA2D7DC" w14:textId="77777777">
      <w:pPr>
        <w:rPr>
          <w:b/>
        </w:rPr>
      </w:pPr>
      <w:r>
        <w:rPr>
          <w:b/>
        </w:rPr>
        <w:t>B3. Methods to Maximize Response Rates and Deal with Nonresponse</w:t>
      </w:r>
    </w:p>
    <w:p w:rsidR="00F56220" w:rsidP="00FD1B70" w:rsidRDefault="00F56220" w14:paraId="783FFE84" w14:textId="77777777">
      <w:pPr>
        <w:rPr>
          <w:b/>
          <w:i/>
        </w:rPr>
      </w:pPr>
    </w:p>
    <w:p w:rsidR="00EC6101" w:rsidP="00735EBE" w:rsidRDefault="00EC6101" w14:paraId="4A1407DC" w14:textId="77777777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Pr="00FD1B70" w:rsidR="00FE1C8E" w:rsidP="00F20419" w:rsidRDefault="00FE1C8E" w14:paraId="7D7E7123" w14:textId="77777777">
      <w:pPr>
        <w:shd w:val="clear" w:color="auto" w:fill="D9D9D9"/>
      </w:pPr>
    </w:p>
    <w:p w:rsidR="00FE1C8E" w:rsidP="00F20419" w:rsidRDefault="00FE1C8E" w14:paraId="76C75355" w14:textId="77777777">
      <w:pPr>
        <w:shd w:val="clear" w:color="auto" w:fill="D9D9D9"/>
      </w:pPr>
    </w:p>
    <w:p w:rsidR="00FE1C8E" w:rsidP="00F20419" w:rsidRDefault="00FE1C8E" w14:paraId="57D4DB63" w14:textId="77777777">
      <w:pPr>
        <w:shd w:val="clear" w:color="auto" w:fill="D9D9D9"/>
      </w:pPr>
    </w:p>
    <w:p w:rsidR="00F56220" w:rsidP="00EC6101" w:rsidRDefault="00F56220" w14:paraId="1BF15A61" w14:textId="77777777">
      <w:pPr>
        <w:spacing w:line="276" w:lineRule="auto"/>
        <w:rPr>
          <w:b/>
          <w:i/>
        </w:rPr>
      </w:pPr>
    </w:p>
    <w:p w:rsidRPr="007378E7" w:rsidR="00EC6101" w:rsidP="00735EBE" w:rsidRDefault="00EC6101" w14:paraId="152506EB" w14:textId="77777777">
      <w:pPr>
        <w:spacing w:after="60" w:line="276" w:lineRule="auto"/>
        <w:rPr>
          <w:b/>
          <w:i/>
        </w:rPr>
      </w:pPr>
      <w:r w:rsidRPr="007378E7">
        <w:rPr>
          <w:b/>
          <w:i/>
        </w:rPr>
        <w:t>Dealing with Nonresponse</w:t>
      </w:r>
    </w:p>
    <w:p w:rsidRPr="00FD1B70" w:rsidR="00EC6101" w:rsidP="00F20419" w:rsidRDefault="00EC6101" w14:paraId="48872A61" w14:textId="77777777">
      <w:pPr>
        <w:shd w:val="clear" w:color="auto" w:fill="D9D9D9"/>
      </w:pPr>
    </w:p>
    <w:p w:rsidR="00EC6101" w:rsidP="00F20419" w:rsidRDefault="00EC6101" w14:paraId="0471B03F" w14:textId="77777777">
      <w:pPr>
        <w:shd w:val="clear" w:color="auto" w:fill="D9D9D9"/>
      </w:pPr>
    </w:p>
    <w:p w:rsidR="00EC6101" w:rsidP="00F20419" w:rsidRDefault="00EC6101" w14:paraId="18830EAC" w14:textId="77777777">
      <w:pPr>
        <w:shd w:val="clear" w:color="auto" w:fill="D9D9D9"/>
      </w:pPr>
    </w:p>
    <w:p w:rsidR="00253148" w:rsidP="00FD1B70" w:rsidRDefault="00253148" w14:paraId="76D68F48" w14:textId="77777777"/>
    <w:p w:rsidRPr="007378E7" w:rsidR="00EC6101" w:rsidP="00735EBE" w:rsidRDefault="00EC6101" w14:paraId="2043C335" w14:textId="77777777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</w:p>
    <w:p w:rsidRPr="00FD1B70" w:rsidR="00EC6101" w:rsidP="00F20419" w:rsidRDefault="00EC6101" w14:paraId="62A47A14" w14:textId="77777777">
      <w:pPr>
        <w:shd w:val="clear" w:color="auto" w:fill="D9D9D9"/>
      </w:pPr>
    </w:p>
    <w:p w:rsidR="00EC6101" w:rsidP="00F20419" w:rsidRDefault="00EC6101" w14:paraId="5AEC4973" w14:textId="77777777">
      <w:pPr>
        <w:shd w:val="clear" w:color="auto" w:fill="D9D9D9"/>
      </w:pPr>
    </w:p>
    <w:p w:rsidR="00EC6101" w:rsidP="00F20419" w:rsidRDefault="00EC6101" w14:paraId="35CAA81B" w14:textId="77777777">
      <w:pPr>
        <w:shd w:val="clear" w:color="auto" w:fill="D9D9D9"/>
      </w:pPr>
    </w:p>
    <w:p w:rsidR="00EC6101" w:rsidP="00FD1B70" w:rsidRDefault="00EC6101" w14:paraId="3A9FD9CB" w14:textId="77777777"/>
    <w:p w:rsidR="00F20419" w:rsidP="00FD1B70" w:rsidRDefault="00F20419" w14:paraId="21730D40" w14:textId="77777777"/>
    <w:p w:rsidR="00E05A0A" w:rsidP="00735EBE" w:rsidRDefault="00E05A0A" w14:paraId="55D0152F" w14:textId="77777777">
      <w:pPr>
        <w:spacing w:after="120"/>
        <w:rPr>
          <w:b/>
        </w:rPr>
      </w:pPr>
      <w:r>
        <w:rPr>
          <w:b/>
        </w:rPr>
        <w:t>B4. Tests of Procedures or Methods to be Undertaken</w:t>
      </w:r>
    </w:p>
    <w:p w:rsidRPr="00FD1B70" w:rsidR="00FE1C8E" w:rsidP="00F20419" w:rsidRDefault="00FE1C8E" w14:paraId="2AC98A1C" w14:textId="77777777">
      <w:pPr>
        <w:shd w:val="clear" w:color="auto" w:fill="D9D9D9"/>
      </w:pPr>
    </w:p>
    <w:p w:rsidR="00FE1C8E" w:rsidP="00F20419" w:rsidRDefault="00FE1C8E" w14:paraId="10C42C71" w14:textId="77777777">
      <w:pPr>
        <w:shd w:val="clear" w:color="auto" w:fill="D9D9D9"/>
      </w:pPr>
    </w:p>
    <w:p w:rsidR="00F20419" w:rsidP="00F20419" w:rsidRDefault="00F20419" w14:paraId="50E99D7A" w14:textId="77777777">
      <w:pPr>
        <w:shd w:val="clear" w:color="auto" w:fill="D9D9D9"/>
      </w:pPr>
    </w:p>
    <w:p w:rsidR="000D53DF" w:rsidP="00F20419" w:rsidRDefault="000D53DF" w14:paraId="2D4B3487" w14:textId="77777777"/>
    <w:p w:rsidRPr="00FD1B70" w:rsidR="00F20419" w:rsidP="00F20419" w:rsidRDefault="00F20419" w14:paraId="392AE567" w14:textId="77777777"/>
    <w:p w:rsidR="00E05A0A" w:rsidP="00735EBE" w:rsidRDefault="00E05A0A" w14:paraId="3DAF6966" w14:textId="77777777">
      <w:pPr>
        <w:spacing w:after="120"/>
        <w:rPr>
          <w:b/>
        </w:rPr>
      </w:pPr>
      <w:r>
        <w:rPr>
          <w:b/>
        </w:rPr>
        <w:t xml:space="preserve">B5. </w:t>
      </w:r>
      <w:r w:rsidR="0008315A">
        <w:rPr>
          <w:b/>
        </w:rPr>
        <w:t>Individual(s)</w:t>
      </w:r>
      <w:r>
        <w:rPr>
          <w:b/>
        </w:rPr>
        <w:t xml:space="preserve"> Consulted on Statistical Aspects and Individuals Collecting and/or Analyzing Data</w:t>
      </w:r>
    </w:p>
    <w:p w:rsidRPr="00FD1B70" w:rsidR="00FE1C8E" w:rsidP="00F20419" w:rsidRDefault="00FE1C8E" w14:paraId="0D6B44C0" w14:textId="77777777">
      <w:pPr>
        <w:shd w:val="clear" w:color="auto" w:fill="D9D9D9"/>
      </w:pPr>
    </w:p>
    <w:p w:rsidR="00FE1C8E" w:rsidP="00F20419" w:rsidRDefault="00FE1C8E" w14:paraId="6739334B" w14:textId="77777777">
      <w:pPr>
        <w:shd w:val="clear" w:color="auto" w:fill="D9D9D9"/>
      </w:pPr>
    </w:p>
    <w:p w:rsidR="000D53DF" w:rsidP="00FD1B70" w:rsidRDefault="000D53DF" w14:paraId="1871B145" w14:textId="77777777"/>
    <w:sectPr w:rsidR="000D53DF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5F6B" w14:textId="77777777" w:rsidR="0060077F" w:rsidRDefault="0060077F">
      <w:r>
        <w:separator/>
      </w:r>
    </w:p>
  </w:endnote>
  <w:endnote w:type="continuationSeparator" w:id="0">
    <w:p w14:paraId="0BB7DB87" w14:textId="77777777" w:rsidR="0060077F" w:rsidRDefault="0060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8D13" w14:textId="77777777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7808">
      <w:rPr>
        <w:noProof/>
      </w:rPr>
      <w:t>2</w:t>
    </w:r>
    <w:r>
      <w:fldChar w:fldCharType="end"/>
    </w:r>
  </w:p>
  <w:p w14:paraId="6B311A6B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628E" w14:textId="77777777" w:rsidR="0060077F" w:rsidRDefault="0060077F">
      <w:r>
        <w:separator/>
      </w:r>
    </w:p>
  </w:footnote>
  <w:footnote w:type="continuationSeparator" w:id="0">
    <w:p w14:paraId="3458B5F0" w14:textId="77777777" w:rsidR="0060077F" w:rsidRDefault="0060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0F20" w14:textId="77777777" w:rsidR="0030356A" w:rsidRDefault="0030356A" w:rsidP="0030356A">
    <w:pPr>
      <w:pStyle w:val="Header"/>
      <w:pBdr>
        <w:bottom w:val="single" w:sz="12" w:space="1" w:color="auto"/>
      </w:pBdr>
    </w:pPr>
    <w:r>
      <w:t xml:space="preserve">Fill out this template using the OMB Approval Clearance Manual. </w:t>
    </w:r>
    <w:r w:rsidRPr="00BE7952">
      <w:rPr>
        <w:shd w:val="clear" w:color="auto" w:fill="D9D9D9"/>
      </w:rPr>
      <w:t>Gray sections must be completed</w:t>
    </w:r>
    <w:r>
      <w:t xml:space="preserve">, words </w:t>
    </w:r>
    <w:r w:rsidRPr="00BE7952">
      <w:rPr>
        <w:highlight w:val="green"/>
      </w:rPr>
      <w:t>highlighted in green should be replaced</w:t>
    </w:r>
    <w:r>
      <w:t xml:space="preserve"> with accurate information, and sections </w:t>
    </w:r>
    <w:r w:rsidRPr="00BE7952">
      <w:rPr>
        <w:highlight w:val="yellow"/>
      </w:rPr>
      <w:t xml:space="preserve">highlighted in yellow should be </w:t>
    </w:r>
    <w:r w:rsidRPr="008C6A6B">
      <w:rPr>
        <w:highlight w:val="yellow"/>
      </w:rPr>
      <w:t>checked for accuracy</w:t>
    </w:r>
    <w:r>
      <w:t xml:space="preserve"> </w:t>
    </w:r>
    <w:r w:rsidRPr="008C6A6B">
      <w:rPr>
        <w:szCs w:val="18"/>
      </w:rPr>
      <w:t>(REPLACE IF NOT ACCURATE, this is just suggested language).</w:t>
    </w:r>
    <w:r w:rsidRPr="008C6A6B">
      <w:rPr>
        <w:sz w:val="36"/>
      </w:rPr>
      <w:t xml:space="preserve"> </w:t>
    </w:r>
  </w:p>
  <w:p w14:paraId="06B50570" w14:textId="77777777" w:rsidR="00EC6101" w:rsidRDefault="00EC6101" w:rsidP="00FE1C8E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F2C"/>
    <w:rsid w:val="0008315A"/>
    <w:rsid w:val="00091C59"/>
    <w:rsid w:val="000B5EA8"/>
    <w:rsid w:val="000D53DF"/>
    <w:rsid w:val="000F5D39"/>
    <w:rsid w:val="0016012E"/>
    <w:rsid w:val="001779C2"/>
    <w:rsid w:val="00183C0F"/>
    <w:rsid w:val="001C4D60"/>
    <w:rsid w:val="0020382F"/>
    <w:rsid w:val="002231FA"/>
    <w:rsid w:val="00234E8D"/>
    <w:rsid w:val="00235A6D"/>
    <w:rsid w:val="00253148"/>
    <w:rsid w:val="00292B70"/>
    <w:rsid w:val="002A1F68"/>
    <w:rsid w:val="002B4DBE"/>
    <w:rsid w:val="0030356A"/>
    <w:rsid w:val="0037156C"/>
    <w:rsid w:val="00374DAB"/>
    <w:rsid w:val="003D5231"/>
    <w:rsid w:val="004554B1"/>
    <w:rsid w:val="00456E2F"/>
    <w:rsid w:val="00482DDE"/>
    <w:rsid w:val="004B587E"/>
    <w:rsid w:val="004D6CA9"/>
    <w:rsid w:val="004F4E1D"/>
    <w:rsid w:val="005046F0"/>
    <w:rsid w:val="00520737"/>
    <w:rsid w:val="005353B7"/>
    <w:rsid w:val="00541024"/>
    <w:rsid w:val="005A64C5"/>
    <w:rsid w:val="005B134D"/>
    <w:rsid w:val="005E17E2"/>
    <w:rsid w:val="005F2061"/>
    <w:rsid w:val="0060077F"/>
    <w:rsid w:val="00607351"/>
    <w:rsid w:val="00651DBA"/>
    <w:rsid w:val="00657424"/>
    <w:rsid w:val="006B6845"/>
    <w:rsid w:val="006F30E0"/>
    <w:rsid w:val="00701045"/>
    <w:rsid w:val="0072204D"/>
    <w:rsid w:val="00723219"/>
    <w:rsid w:val="00735EBE"/>
    <w:rsid w:val="00772457"/>
    <w:rsid w:val="00784137"/>
    <w:rsid w:val="007A5A9B"/>
    <w:rsid w:val="007A6EEC"/>
    <w:rsid w:val="007B7808"/>
    <w:rsid w:val="008172E0"/>
    <w:rsid w:val="0087234E"/>
    <w:rsid w:val="008B7F2C"/>
    <w:rsid w:val="00932D71"/>
    <w:rsid w:val="00945CD6"/>
    <w:rsid w:val="009648CE"/>
    <w:rsid w:val="009D47D2"/>
    <w:rsid w:val="00A35E23"/>
    <w:rsid w:val="00AA29C0"/>
    <w:rsid w:val="00AC4338"/>
    <w:rsid w:val="00B14396"/>
    <w:rsid w:val="00B679DB"/>
    <w:rsid w:val="00BD4CFB"/>
    <w:rsid w:val="00BE17F5"/>
    <w:rsid w:val="00C12B95"/>
    <w:rsid w:val="00C204C8"/>
    <w:rsid w:val="00C56EA9"/>
    <w:rsid w:val="00CE6EFF"/>
    <w:rsid w:val="00D012A6"/>
    <w:rsid w:val="00D06D5F"/>
    <w:rsid w:val="00D519D9"/>
    <w:rsid w:val="00D54678"/>
    <w:rsid w:val="00D57A6D"/>
    <w:rsid w:val="00D67880"/>
    <w:rsid w:val="00E05A0A"/>
    <w:rsid w:val="00E41D46"/>
    <w:rsid w:val="00E72E9A"/>
    <w:rsid w:val="00EB5B54"/>
    <w:rsid w:val="00EC329F"/>
    <w:rsid w:val="00EC6101"/>
    <w:rsid w:val="00F20419"/>
    <w:rsid w:val="00F56220"/>
    <w:rsid w:val="00F73374"/>
    <w:rsid w:val="00F93449"/>
    <w:rsid w:val="00F95F02"/>
    <w:rsid w:val="00FC04C5"/>
    <w:rsid w:val="00FD1B70"/>
    <w:rsid w:val="00FD7600"/>
    <w:rsid w:val="00FE1C8E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296000"/>
  <w15:chartTrackingRefBased/>
  <w15:docId w15:val="{C1D48681-BB5C-4D7E-B293-49A5A3F7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1A0F0-25DD-4BFD-9686-E9EB9F43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311B2-21DC-462E-9E5B-FE0AD6F0E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Yi, Chayun - ASP</cp:lastModifiedBy>
  <cp:revision>2</cp:revision>
  <cp:lastPrinted>2009-01-26T16:35:00Z</cp:lastPrinted>
  <dcterms:created xsi:type="dcterms:W3CDTF">2022-04-14T21:42:00Z</dcterms:created>
  <dcterms:modified xsi:type="dcterms:W3CDTF">2022-04-14T21:42:00Z</dcterms:modified>
</cp:coreProperties>
</file>