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2C4F75" w14:paraId="301B8F78" w14:textId="77777777">
      <w:pPr>
        <w:jc w:val="center"/>
        <w:rPr>
          <w:rFonts w:ascii="Arial" w:hAnsi="Arial" w:cs="Arial"/>
          <w:b/>
        </w:rPr>
      </w:pPr>
    </w:p>
    <w:p w:rsidR="002C4F75" w:rsidRPr="002C4F75" w:rsidP="002C4F75" w14:paraId="2C5BABF6" w14:textId="3AC7AEF5">
      <w:pPr>
        <w:pStyle w:val="ReportCover-Title"/>
        <w:rPr>
          <w:rFonts w:ascii="Arial" w:hAnsi="Arial" w:cs="Arial"/>
          <w:color w:val="auto"/>
        </w:rPr>
      </w:pPr>
    </w:p>
    <w:p w:rsidR="41784F5E" w:rsidP="41784F5E" w14:paraId="1A94B930" w14:textId="57AEC6A1">
      <w:pPr>
        <w:pStyle w:val="ReportCover-Title"/>
        <w:rPr>
          <w:rFonts w:ascii="Arial" w:hAnsi="Arial" w:cs="Arial"/>
          <w:color w:val="auto"/>
        </w:rPr>
      </w:pPr>
    </w:p>
    <w:p w:rsidR="2269DA95" w:rsidRPr="00500FED" w:rsidP="41784F5E" w14:paraId="53E0CD24" w14:textId="7C1EFF22">
      <w:pPr>
        <w:pStyle w:val="ReportCover-Title"/>
        <w:jc w:val="center"/>
        <w:rPr>
          <w:rFonts w:ascii="Arial" w:hAnsi="Arial" w:cs="Arial"/>
          <w:color w:val="auto"/>
        </w:rPr>
      </w:pPr>
      <w:r w:rsidRPr="00500FED">
        <w:rPr>
          <w:rFonts w:ascii="Arial" w:eastAsia="Arial Unicode MS" w:hAnsi="Arial" w:cs="Arial"/>
          <w:noProof/>
          <w:color w:val="auto"/>
        </w:rPr>
        <w:t>Evaluation of the Wagner-Peyser Act Employment Service Operations</w:t>
      </w:r>
    </w:p>
    <w:p w:rsidR="41784F5E" w:rsidRPr="00500FED" w:rsidP="41784F5E" w14:paraId="1A02C7BE" w14:textId="12060C74">
      <w:pPr>
        <w:pStyle w:val="ReportCover-Title"/>
        <w:jc w:val="center"/>
        <w:rPr>
          <w:rFonts w:ascii="Arial" w:eastAsia="Arial Unicode MS" w:hAnsi="Arial" w:cs="Arial"/>
          <w:noProof/>
          <w:color w:val="auto"/>
        </w:rPr>
      </w:pPr>
    </w:p>
    <w:p w:rsidR="002C4F75" w:rsidRPr="00500FED" w:rsidP="002C4F75" w14:paraId="722AB092" w14:textId="77777777">
      <w:pPr>
        <w:pStyle w:val="ReportCover-Title"/>
        <w:rPr>
          <w:rFonts w:ascii="Arial" w:hAnsi="Arial" w:cs="Arial"/>
          <w:color w:val="auto"/>
        </w:rPr>
      </w:pPr>
    </w:p>
    <w:p w:rsidR="002C4F75" w:rsidRPr="00500FED" w:rsidP="002C4F75" w14:paraId="6AC4D0B7" w14:textId="77777777">
      <w:pPr>
        <w:pStyle w:val="ReportCover-Title"/>
        <w:rPr>
          <w:rFonts w:ascii="Arial" w:hAnsi="Arial" w:cs="Arial"/>
          <w:color w:val="auto"/>
        </w:rPr>
      </w:pPr>
    </w:p>
    <w:p w:rsidR="002C4F75" w:rsidRPr="00500FED" w:rsidP="002C4F75" w14:paraId="1B87EA1A" w14:textId="77777777">
      <w:pPr>
        <w:pStyle w:val="ReportCover-Title"/>
        <w:jc w:val="center"/>
        <w:rPr>
          <w:rFonts w:ascii="Arial" w:hAnsi="Arial" w:cs="Arial"/>
          <w:color w:val="auto"/>
          <w:sz w:val="32"/>
          <w:szCs w:val="32"/>
        </w:rPr>
      </w:pPr>
      <w:r w:rsidRPr="00500FED">
        <w:rPr>
          <w:rFonts w:ascii="Arial" w:hAnsi="Arial" w:cs="Arial"/>
          <w:color w:val="auto"/>
          <w:sz w:val="32"/>
          <w:szCs w:val="32"/>
        </w:rPr>
        <w:t xml:space="preserve">Formative Data Collections for </w:t>
      </w:r>
      <w:r w:rsidRPr="00500FED" w:rsidR="008C6472">
        <w:rPr>
          <w:rFonts w:ascii="Arial" w:hAnsi="Arial" w:cs="Arial"/>
          <w:color w:val="auto"/>
          <w:sz w:val="32"/>
          <w:szCs w:val="32"/>
        </w:rPr>
        <w:t>DOL</w:t>
      </w:r>
      <w:r w:rsidRPr="00500FED">
        <w:rPr>
          <w:rFonts w:ascii="Arial" w:hAnsi="Arial" w:cs="Arial"/>
          <w:color w:val="auto"/>
          <w:sz w:val="32"/>
          <w:szCs w:val="32"/>
        </w:rPr>
        <w:t xml:space="preserve"> Research</w:t>
      </w:r>
    </w:p>
    <w:p w:rsidR="006D2637" w:rsidRPr="00500FED" w:rsidP="002C4F75" w14:paraId="482CB765" w14:textId="77777777">
      <w:pPr>
        <w:pStyle w:val="ReportCover-Title"/>
        <w:jc w:val="center"/>
        <w:rPr>
          <w:rFonts w:ascii="Arial" w:hAnsi="Arial" w:cs="Arial"/>
          <w:color w:val="auto"/>
          <w:sz w:val="32"/>
          <w:szCs w:val="32"/>
        </w:rPr>
      </w:pPr>
    </w:p>
    <w:p w:rsidR="002C4F75" w:rsidRPr="002C4F75" w:rsidP="002C4F75" w14:paraId="76847042" w14:textId="046A6815">
      <w:pPr>
        <w:pStyle w:val="ReportCover-Title"/>
        <w:jc w:val="center"/>
        <w:rPr>
          <w:rFonts w:ascii="Arial" w:hAnsi="Arial" w:cs="Arial"/>
          <w:color w:val="auto"/>
          <w:sz w:val="32"/>
          <w:szCs w:val="32"/>
        </w:rPr>
      </w:pPr>
      <w:r w:rsidRPr="00500FED">
        <w:rPr>
          <w:rFonts w:ascii="Arial" w:hAnsi="Arial" w:cs="Arial"/>
          <w:color w:val="auto"/>
          <w:sz w:val="32"/>
          <w:szCs w:val="32"/>
        </w:rPr>
        <w:t xml:space="preserve">1290 </w:t>
      </w:r>
      <w:r w:rsidRPr="00500FED" w:rsidR="007B0C19">
        <w:rPr>
          <w:rFonts w:ascii="Arial" w:hAnsi="Arial" w:cs="Arial"/>
          <w:color w:val="auto"/>
          <w:sz w:val="32"/>
          <w:szCs w:val="32"/>
        </w:rPr>
        <w:t>–</w:t>
      </w:r>
      <w:r w:rsidRPr="00500FED">
        <w:rPr>
          <w:rFonts w:ascii="Arial" w:hAnsi="Arial" w:cs="Arial"/>
          <w:color w:val="auto"/>
          <w:sz w:val="32"/>
          <w:szCs w:val="32"/>
        </w:rPr>
        <w:t xml:space="preserve"> </w:t>
      </w:r>
      <w:r w:rsidRPr="00500FED" w:rsidR="007B0C19">
        <w:rPr>
          <w:rFonts w:ascii="Arial" w:hAnsi="Arial" w:cs="Arial"/>
          <w:color w:val="auto"/>
          <w:sz w:val="32"/>
          <w:szCs w:val="32"/>
        </w:rPr>
        <w:t>0043</w:t>
      </w:r>
    </w:p>
    <w:p w:rsidR="002C4F75" w:rsidRPr="002C4F75" w:rsidP="002C4F75" w14:paraId="51D39A9F" w14:textId="77777777">
      <w:pPr>
        <w:rPr>
          <w:rFonts w:ascii="Arial" w:hAnsi="Arial" w:cs="Arial"/>
          <w:szCs w:val="22"/>
        </w:rPr>
      </w:pPr>
    </w:p>
    <w:p w:rsidR="002C4F75" w:rsidRPr="002C4F75" w:rsidP="002C4F75" w14:paraId="3DDFAF56" w14:textId="77777777">
      <w:pPr>
        <w:pStyle w:val="ReportCover-Date"/>
        <w:jc w:val="center"/>
        <w:rPr>
          <w:rFonts w:ascii="Arial" w:hAnsi="Arial" w:cs="Arial"/>
          <w:color w:val="auto"/>
        </w:rPr>
      </w:pPr>
    </w:p>
    <w:p w:rsidR="002C4F75" w:rsidRPr="002C4F75" w:rsidP="002C4F75" w14:paraId="49564D7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RPr="002C4F75" w:rsidP="002C4F75" w14:paraId="38C37431" w14:textId="27E7415E">
      <w:pPr>
        <w:pStyle w:val="ReportCover-Date"/>
        <w:jc w:val="center"/>
        <w:rPr>
          <w:rFonts w:ascii="Arial" w:hAnsi="Arial" w:cs="Arial"/>
          <w:color w:val="auto"/>
        </w:rPr>
      </w:pPr>
      <w:r>
        <w:rPr>
          <w:rFonts w:ascii="Arial" w:hAnsi="Arial" w:cs="Arial"/>
          <w:color w:val="auto"/>
        </w:rPr>
        <w:t>March 2026</w:t>
      </w:r>
    </w:p>
    <w:p w:rsidR="002C4F75" w:rsidP="002C4F75" w14:paraId="3D4D3CEA" w14:textId="77777777">
      <w:pPr>
        <w:jc w:val="center"/>
        <w:rPr>
          <w:rFonts w:ascii="Arial" w:hAnsi="Arial" w:cs="Arial"/>
        </w:rPr>
      </w:pPr>
    </w:p>
    <w:p w:rsidR="00CD7CB3" w:rsidP="002C4F75" w14:paraId="2327D016" w14:textId="77777777">
      <w:pPr>
        <w:jc w:val="center"/>
        <w:rPr>
          <w:rFonts w:ascii="Arial" w:hAnsi="Arial" w:cs="Arial"/>
        </w:rPr>
      </w:pPr>
    </w:p>
    <w:p w:rsidR="00CD7CB3" w:rsidP="002C4F75" w14:paraId="00414D42" w14:textId="77777777">
      <w:pPr>
        <w:jc w:val="center"/>
        <w:rPr>
          <w:rFonts w:ascii="Arial" w:hAnsi="Arial" w:cs="Arial"/>
        </w:rPr>
      </w:pPr>
    </w:p>
    <w:p w:rsidR="00CD7CB3" w:rsidP="002C4F75" w14:paraId="29FDD6C1" w14:textId="77777777">
      <w:pPr>
        <w:jc w:val="center"/>
        <w:rPr>
          <w:rFonts w:ascii="Arial" w:hAnsi="Arial" w:cs="Arial"/>
        </w:rPr>
      </w:pPr>
    </w:p>
    <w:p w:rsidR="00CD7CB3" w:rsidP="002C4F75" w14:paraId="331B3984" w14:textId="77777777">
      <w:pPr>
        <w:jc w:val="center"/>
        <w:rPr>
          <w:rFonts w:ascii="Arial" w:hAnsi="Arial" w:cs="Arial"/>
        </w:rPr>
      </w:pPr>
    </w:p>
    <w:p w:rsidR="00CD7CB3" w:rsidP="002C4F75" w14:paraId="0CDC6CE1" w14:textId="77777777">
      <w:pPr>
        <w:jc w:val="center"/>
        <w:rPr>
          <w:rFonts w:ascii="Arial" w:hAnsi="Arial" w:cs="Arial"/>
        </w:rPr>
      </w:pPr>
    </w:p>
    <w:p w:rsidR="00CD7CB3" w:rsidP="002C4F75" w14:paraId="4A723A31" w14:textId="77777777">
      <w:pPr>
        <w:jc w:val="center"/>
        <w:rPr>
          <w:rFonts w:ascii="Arial" w:hAnsi="Arial" w:cs="Arial"/>
        </w:rPr>
      </w:pPr>
    </w:p>
    <w:p w:rsidR="00CD7CB3" w:rsidP="002C4F75" w14:paraId="7F6AFA70" w14:textId="77777777">
      <w:pPr>
        <w:jc w:val="center"/>
        <w:rPr>
          <w:rFonts w:ascii="Arial" w:hAnsi="Arial" w:cs="Arial"/>
        </w:rPr>
      </w:pPr>
    </w:p>
    <w:p w:rsidR="00CD7CB3" w:rsidP="002C4F75" w14:paraId="694A10B7" w14:textId="77777777">
      <w:pPr>
        <w:jc w:val="center"/>
        <w:rPr>
          <w:rFonts w:ascii="Arial" w:hAnsi="Arial" w:cs="Arial"/>
        </w:rPr>
      </w:pPr>
    </w:p>
    <w:p w:rsidR="00CD7CB3" w:rsidP="002C4F75" w14:paraId="3F20166A" w14:textId="77777777">
      <w:pPr>
        <w:jc w:val="center"/>
        <w:rPr>
          <w:rFonts w:ascii="Arial" w:hAnsi="Arial" w:cs="Arial"/>
        </w:rPr>
      </w:pPr>
    </w:p>
    <w:p w:rsidR="00CD7CB3" w:rsidP="002C4F75" w14:paraId="622CA226" w14:textId="77777777">
      <w:pPr>
        <w:jc w:val="center"/>
        <w:rPr>
          <w:rFonts w:ascii="Arial" w:hAnsi="Arial" w:cs="Arial"/>
        </w:rPr>
      </w:pPr>
    </w:p>
    <w:p w:rsidR="00CD7CB3" w:rsidRPr="002C4F75" w:rsidP="002C4F75" w14:paraId="1C81AA91" w14:textId="77777777">
      <w:pPr>
        <w:jc w:val="center"/>
        <w:rPr>
          <w:rFonts w:ascii="Arial" w:hAnsi="Arial" w:cs="Arial"/>
        </w:rPr>
      </w:pPr>
    </w:p>
    <w:p w:rsidR="002C4F75" w:rsidP="00BE7952" w14:paraId="5726B0ED" w14:textId="77777777">
      <w:pPr>
        <w:shd w:val="clear" w:color="auto" w:fill="D9D9D9"/>
        <w:jc w:val="center"/>
        <w:rPr>
          <w:b/>
        </w:rPr>
      </w:pPr>
    </w:p>
    <w:p w:rsidR="00BE7952" w:rsidP="00BE7952" w14:paraId="025E5EBA" w14:textId="77777777">
      <w:pPr>
        <w:shd w:val="clear" w:color="auto" w:fill="D9D9D9"/>
        <w:jc w:val="center"/>
        <w:rPr>
          <w:b/>
        </w:rPr>
      </w:pPr>
    </w:p>
    <w:p w:rsidR="00BE7952" w:rsidP="00BE7952" w14:paraId="7964A4E3" w14:textId="77777777">
      <w:pPr>
        <w:shd w:val="clear" w:color="auto" w:fill="D9D9D9"/>
        <w:jc w:val="center"/>
        <w:rPr>
          <w:b/>
        </w:rPr>
      </w:pPr>
    </w:p>
    <w:p w:rsidR="00BE7952" w:rsidP="00BE7952" w14:paraId="251695D3" w14:textId="77777777">
      <w:pPr>
        <w:shd w:val="clear" w:color="auto" w:fill="D9D9D9"/>
        <w:jc w:val="center"/>
        <w:rPr>
          <w:b/>
        </w:rPr>
      </w:pPr>
    </w:p>
    <w:p w:rsidR="008C6472" w:rsidP="00436F5E" w14:paraId="6E7E85B5" w14:textId="77777777">
      <w:pPr>
        <w:spacing w:after="120"/>
        <w:rPr>
          <w:b/>
        </w:rPr>
      </w:pPr>
    </w:p>
    <w:p w:rsidR="00945CD6" w:rsidRPr="000D53DF" w:rsidP="00436F5E" w14:paraId="06DC6A97" w14:textId="77777777">
      <w:pPr>
        <w:spacing w:after="120"/>
        <w:rPr>
          <w:b/>
        </w:rPr>
      </w:pPr>
      <w:r w:rsidRPr="000D53DF">
        <w:rPr>
          <w:b/>
        </w:rPr>
        <w:t xml:space="preserve">A1. Necessity for </w:t>
      </w:r>
      <w:r w:rsidRPr="000D53DF">
        <w:rPr>
          <w:b/>
        </w:rPr>
        <w:t>the Data</w:t>
      </w:r>
      <w:r w:rsidRPr="000D53DF">
        <w:rPr>
          <w:b/>
        </w:rPr>
        <w:t xml:space="preserve"> Collection</w:t>
      </w:r>
    </w:p>
    <w:p w:rsidR="00984CA2" w:rsidP="6FE92986" w14:paraId="47C84A92" w14:textId="5C59B919">
      <w:pPr>
        <w:shd w:val="clear" w:color="auto" w:fill="D9D9D9" w:themeFill="background1" w:themeFillShade="D9"/>
      </w:pPr>
      <w:r w:rsidRPr="00CA165A">
        <w:t>The Chief Evaluation Office (CEO) at the U.S. Department of Labor (DOL),</w:t>
      </w:r>
      <w:r>
        <w:t xml:space="preserve"> </w:t>
      </w:r>
      <w:r w:rsidRPr="00572A37" w:rsidR="00572A37">
        <w:t xml:space="preserve">in partnership with the Employment and Training Administration, has commissioned an evaluation of the Wagner-Peyser Act Employer Service Program (ES). This program aims to provide universal access to job seekers, with services such as career counseling and job search assistance, to help them find a job that best meets their skills and interests. In addition to providing basic career services, ES provides services to employers and outreach to migrant and seasonal </w:t>
      </w:r>
      <w:r w:rsidRPr="00572A37" w:rsidR="00572A37">
        <w:t>farmworkers</w:t>
      </w:r>
      <w:r w:rsidRPr="00572A37" w:rsidR="00572A37">
        <w:t xml:space="preserve">. Furthering the critical role ES plays in the public workforce system, the Workforce Innovation and Opportunity Act (WIOA) of 2014 required ES services to be located alongside the services of the WIOA Title 1 Adult and Dislocated Worker programs (WIOA Title 1 programs) at American Job Centers (AJCs; previously called one-stop centers). </w:t>
      </w:r>
    </w:p>
    <w:p w:rsidR="00984CA2" w:rsidP="6FE92986" w14:paraId="40A942E6" w14:textId="28DDAF8C">
      <w:pPr>
        <w:shd w:val="clear" w:color="auto" w:fill="D9D9D9" w:themeFill="background1" w:themeFillShade="D9"/>
      </w:pPr>
    </w:p>
    <w:p w:rsidR="00984CA2" w:rsidP="6FE92986" w14:paraId="6ABDB545" w14:textId="499D0EAC">
      <w:pPr>
        <w:shd w:val="clear" w:color="auto" w:fill="D9D9D9" w:themeFill="background1" w:themeFillShade="D9"/>
      </w:pPr>
      <w:r w:rsidRPr="00572A37">
        <w:t>The Evaluation of the Wagner-Peyser Act Employment Service Operations (WPESO) offers a unique opportunity to build knowledge about the implementation and effectiveness</w:t>
      </w:r>
      <w:r w:rsidR="00FF43B8">
        <w:t xml:space="preserve"> of</w:t>
      </w:r>
      <w:r w:rsidR="003C1BC6">
        <w:t xml:space="preserve"> </w:t>
      </w:r>
      <w:r w:rsidRPr="00572A37">
        <w:t xml:space="preserve">approaches to providing program services and other factors such as coordination with other agencies, relationships with training providers, staff tenure, and staff training. </w:t>
      </w:r>
      <w:r w:rsidR="3F3FE96C">
        <w:t xml:space="preserve">DOL contracted with </w:t>
      </w:r>
      <w:r w:rsidRPr="00572A37">
        <w:t>Mathematica</w:t>
      </w:r>
      <w:r w:rsidRPr="00572A37">
        <w:t xml:space="preserve"> </w:t>
      </w:r>
      <w:r w:rsidRPr="00572A37">
        <w:t>and its subcontractors</w:t>
      </w:r>
      <w:r w:rsidR="00AF0ED3">
        <w:t xml:space="preserve">, </w:t>
      </w:r>
      <w:r w:rsidRPr="00572A37">
        <w:t xml:space="preserve">American Institutes for Research and MEF Associates, along with consultant Dr. Cynthia Forland, to conduct </w:t>
      </w:r>
      <w:r w:rsidR="0EF7EE0E">
        <w:t xml:space="preserve">the WPESO evaluation. </w:t>
      </w:r>
      <w:r w:rsidR="00FE4BEF">
        <w:t xml:space="preserve">This data collection effort will inform evaluation design options and state selection </w:t>
      </w:r>
      <w:r w:rsidR="003C1BC6">
        <w:t xml:space="preserve">for the evaluation. The early interviews described in this submission will allow the evaluation team to better understand </w:t>
      </w:r>
      <w:r w:rsidR="00563EED">
        <w:t xml:space="preserve">states’ approaches for delivering Wagner-Peyser employment services, which is critical for developing </w:t>
      </w:r>
      <w:r w:rsidR="00AE59B3">
        <w:t xml:space="preserve">feasible </w:t>
      </w:r>
      <w:r w:rsidR="00563EED">
        <w:t xml:space="preserve">study design options that effectively answer the </w:t>
      </w:r>
      <w:r w:rsidR="009E4A89">
        <w:t xml:space="preserve">evaluation’s research questions. After conducting the interviews, the evaluation team will use the collected information to identify states for inclusion in the evaluation. </w:t>
      </w:r>
    </w:p>
    <w:p w:rsidR="00984CA2" w:rsidP="00436F5E" w14:paraId="0AE00AEF" w14:textId="77777777">
      <w:pPr>
        <w:shd w:val="clear" w:color="auto" w:fill="D9D9D9"/>
      </w:pPr>
    </w:p>
    <w:p w:rsidR="006D2637" w:rsidRPr="00CD7CB3" w:rsidP="00436F5E" w14:paraId="501037C2" w14:textId="2948AC23">
      <w:pPr>
        <w:pStyle w:val="Heading4"/>
        <w:numPr>
          <w:ilvl w:val="3"/>
          <w:numId w:val="0"/>
        </w:numPr>
        <w:tabs>
          <w:tab w:val="num" w:pos="180"/>
        </w:tabs>
        <w:spacing w:before="60" w:line="264" w:lineRule="auto"/>
        <w:rPr>
          <w:rFonts w:ascii="Times New Roman" w:hAnsi="Times New Roman"/>
          <w:b w:val="0"/>
          <w:sz w:val="22"/>
          <w:szCs w:val="24"/>
        </w:rPr>
      </w:pPr>
      <w:r w:rsidRPr="00CD7CB3">
        <w:rPr>
          <w:rFonts w:ascii="Times New Roman" w:hAnsi="Times New Roman"/>
          <w:b w:val="0"/>
          <w:sz w:val="22"/>
          <w:szCs w:val="24"/>
        </w:rPr>
        <w:t xml:space="preserve">This proposed information collection </w:t>
      </w:r>
      <w:r w:rsidRPr="00CD7CB3" w:rsidR="008C6472">
        <w:rPr>
          <w:rFonts w:ascii="Times New Roman" w:hAnsi="Times New Roman"/>
          <w:b w:val="0"/>
          <w:sz w:val="22"/>
          <w:szCs w:val="24"/>
        </w:rPr>
        <w:t>meets the following goals of DOL</w:t>
      </w:r>
      <w:r w:rsidRPr="00CD7CB3">
        <w:rPr>
          <w:rFonts w:ascii="Times New Roman" w:hAnsi="Times New Roman"/>
          <w:b w:val="0"/>
          <w:sz w:val="22"/>
          <w:szCs w:val="24"/>
        </w:rPr>
        <w:t xml:space="preserve">’s generic clearance for </w:t>
      </w:r>
      <w:r w:rsidRPr="00CD7CB3" w:rsidR="008C6472">
        <w:rPr>
          <w:rFonts w:ascii="Times New Roman" w:hAnsi="Times New Roman"/>
          <w:b w:val="0"/>
          <w:sz w:val="22"/>
          <w:szCs w:val="24"/>
        </w:rPr>
        <w:t>formative data collections (1290-</w:t>
      </w:r>
      <w:r w:rsidRPr="00CD7CB3" w:rsidR="007B0C19">
        <w:rPr>
          <w:rFonts w:ascii="Times New Roman" w:hAnsi="Times New Roman"/>
          <w:b w:val="0"/>
          <w:sz w:val="22"/>
          <w:szCs w:val="24"/>
        </w:rPr>
        <w:t>0043</w:t>
      </w:r>
      <w:r w:rsidRPr="00CD7CB3">
        <w:rPr>
          <w:rFonts w:ascii="Times New Roman" w:hAnsi="Times New Roman"/>
          <w:b w:val="0"/>
          <w:sz w:val="22"/>
          <w:szCs w:val="24"/>
        </w:rPr>
        <w:t>):</w:t>
      </w:r>
    </w:p>
    <w:p w:rsidR="00D44EA5" w:rsidRPr="00CD7CB3" w:rsidP="00D44EA5" w14:paraId="1937EB84" w14:textId="77777777">
      <w:pPr>
        <w:numPr>
          <w:ilvl w:val="0"/>
          <w:numId w:val="16"/>
        </w:numPr>
      </w:pPr>
      <w:r w:rsidRPr="00CD7CB3">
        <w:rPr>
          <w:rFonts w:ascii="TimesNewRoman" w:hAnsi="TimesNewRoman" w:cs="TimesNewRoman"/>
        </w:rPr>
        <w:t>i</w:t>
      </w:r>
      <w:r w:rsidRPr="00CD7CB3" w:rsidR="008C6472">
        <w:rPr>
          <w:rFonts w:ascii="TimesNewRoman" w:hAnsi="TimesNewRoman" w:cs="TimesNewRoman"/>
        </w:rPr>
        <w:t>nform the development of DOL</w:t>
      </w:r>
      <w:r w:rsidRPr="00CD7CB3">
        <w:rPr>
          <w:rFonts w:ascii="TimesNewRoman" w:hAnsi="TimesNewRoman" w:cs="TimesNewRoman"/>
        </w:rPr>
        <w:t xml:space="preserve"> research</w:t>
      </w:r>
    </w:p>
    <w:p w:rsidR="00D44EA5" w:rsidRPr="00CD7CB3" w:rsidP="00D44EA5" w14:paraId="1152D8DC" w14:textId="77777777">
      <w:pPr>
        <w:numPr>
          <w:ilvl w:val="0"/>
          <w:numId w:val="16"/>
        </w:numPr>
      </w:pPr>
      <w:r w:rsidRPr="00CD7CB3">
        <w:rPr>
          <w:rFonts w:ascii="TimesNewRoman" w:hAnsi="TimesNewRoman" w:cs="TimesNewRoman"/>
        </w:rPr>
        <w:t>maintain a research agenda that is rigorous and relevant</w:t>
      </w:r>
    </w:p>
    <w:p w:rsidR="006D2637" w:rsidRPr="00CD7CB3" w:rsidP="006D2637" w14:paraId="52D8DB7D" w14:textId="39F4D893">
      <w:pPr>
        <w:numPr>
          <w:ilvl w:val="0"/>
          <w:numId w:val="16"/>
        </w:numPr>
      </w:pPr>
      <w:r w:rsidRPr="00CD7CB3">
        <w:rPr>
          <w:rFonts w:ascii="TimesNewRoman" w:hAnsi="TimesNewRoman" w:cs="TimesNewRoman"/>
        </w:rPr>
        <w:t xml:space="preserve">ensure that research products are as current as possible </w:t>
      </w:r>
    </w:p>
    <w:p w:rsidR="00077711" w:rsidRPr="00077711" w:rsidP="00077711" w14:paraId="155D9033" w14:textId="77777777">
      <w:pPr>
        <w:ind w:left="720"/>
        <w:rPr>
          <w:highlight w:val="yellow"/>
        </w:rPr>
      </w:pPr>
    </w:p>
    <w:p w:rsidR="00984CA2" w:rsidRPr="00177982" w:rsidP="00436F5E" w14:paraId="646939C0" w14:textId="4005CCC3">
      <w:pPr>
        <w:pStyle w:val="Heading4"/>
        <w:numPr>
          <w:ilvl w:val="3"/>
          <w:numId w:val="0"/>
        </w:numPr>
        <w:tabs>
          <w:tab w:val="num" w:pos="180"/>
        </w:tabs>
        <w:spacing w:before="60" w:line="264" w:lineRule="auto"/>
        <w:rPr>
          <w:rFonts w:ascii="Times New Roman" w:hAnsi="Times New Roman"/>
          <w:i/>
          <w:sz w:val="24"/>
          <w:szCs w:val="24"/>
        </w:rPr>
      </w:pPr>
      <w:r w:rsidRPr="00FE6ABF">
        <w:rPr>
          <w:rFonts w:ascii="Times New Roman" w:hAnsi="Times New Roman"/>
          <w:i/>
          <w:sz w:val="24"/>
          <w:szCs w:val="24"/>
        </w:rPr>
        <w:t>Study Background</w:t>
      </w:r>
      <w:r w:rsidRPr="00177982">
        <w:rPr>
          <w:rFonts w:ascii="Times New Roman" w:hAnsi="Times New Roman"/>
          <w:i/>
          <w:sz w:val="24"/>
          <w:szCs w:val="24"/>
        </w:rPr>
        <w:t xml:space="preserve"> </w:t>
      </w:r>
    </w:p>
    <w:p w:rsidR="00B15492" w:rsidP="004F7A40" w14:paraId="19F7044B" w14:textId="250D74D2">
      <w:pPr>
        <w:shd w:val="clear" w:color="auto" w:fill="D9D9D9"/>
      </w:pPr>
      <w:r w:rsidRPr="00844A0F">
        <w:t xml:space="preserve">Since passage of ES in 1933, ES has been a cornerstone of public workforce services providing universal access to job seekers to connect them to job openings. Any individual can access ES services, such as career counseling and job search assistance, to help them find a job that best meets their skills and interests. Further cementing the critical role ES plays in the public workforce system, WIOA required ES services to be located alongside the services of the WIOA </w:t>
      </w:r>
      <w:r w:rsidRPr="00844A0F">
        <w:t>Title</w:t>
      </w:r>
      <w:r w:rsidRPr="00844A0F">
        <w:t xml:space="preserve"> I </w:t>
      </w:r>
      <w:r w:rsidRPr="00844A0F">
        <w:t>programs</w:t>
      </w:r>
      <w:r w:rsidRPr="00844A0F">
        <w:t xml:space="preserve"> at AJCs, referred to as one-stop centers in the legislation. </w:t>
      </w:r>
      <w:r w:rsidRPr="00645313">
        <w:t>Generally, ES provides basic career services and WIOA Title I programs provide more intensive one-on-one services and training</w:t>
      </w:r>
      <w:r w:rsidRPr="00844A0F">
        <w:t xml:space="preserve"> </w:t>
      </w:r>
    </w:p>
    <w:p w:rsidR="004F7A40" w:rsidP="004F7A40" w14:paraId="57C3C37E" w14:textId="77777777">
      <w:pPr>
        <w:shd w:val="clear" w:color="auto" w:fill="D9D9D9"/>
      </w:pPr>
    </w:p>
    <w:p w:rsidR="00AA3C3B" w:rsidP="2E1B5670" w14:paraId="23CA0BBD" w14:textId="21643197">
      <w:pPr>
        <w:shd w:val="clear" w:color="auto" w:fill="D9D9D9" w:themeFill="background1" w:themeFillShade="D9"/>
      </w:pPr>
      <w:r>
        <w:t>A</w:t>
      </w:r>
      <w:r w:rsidR="001126FE">
        <w:t xml:space="preserve"> critical part of states’ ES programs is </w:t>
      </w:r>
      <w:r w:rsidR="00BF620A">
        <w:t>developing</w:t>
      </w:r>
      <w:r w:rsidR="001126FE">
        <w:t xml:space="preserve"> the labor exchange </w:t>
      </w:r>
      <w:r w:rsidR="00BF620A">
        <w:t>between job seekers and employers</w:t>
      </w:r>
      <w:r w:rsidR="00E03835">
        <w:t xml:space="preserve">. </w:t>
      </w:r>
      <w:r w:rsidR="00256D2B">
        <w:t>Thus,</w:t>
      </w:r>
      <w:r w:rsidR="00E03835">
        <w:t xml:space="preserve"> </w:t>
      </w:r>
      <w:r w:rsidR="00D172D9">
        <w:t xml:space="preserve">employers </w:t>
      </w:r>
      <w:r w:rsidR="008673C2">
        <w:t xml:space="preserve">are critical </w:t>
      </w:r>
      <w:r w:rsidR="0099751C">
        <w:t xml:space="preserve">ES program </w:t>
      </w:r>
      <w:r w:rsidR="008673C2">
        <w:t>customer</w:t>
      </w:r>
      <w:r w:rsidR="6615D868">
        <w:t>s</w:t>
      </w:r>
      <w:r w:rsidR="00CE2295">
        <w:t xml:space="preserve">. </w:t>
      </w:r>
    </w:p>
    <w:p w:rsidR="00B15492" w:rsidP="004F7A40" w14:paraId="27BC5BD3" w14:textId="77777777">
      <w:pPr>
        <w:shd w:val="clear" w:color="auto" w:fill="D9D9D9"/>
      </w:pPr>
    </w:p>
    <w:p w:rsidR="00984CA2" w:rsidP="6FE92986" w14:paraId="33D977CE" w14:textId="263BDDF6">
      <w:pPr>
        <w:shd w:val="clear" w:color="auto" w:fill="D9D9D9" w:themeFill="background1" w:themeFillShade="D9"/>
      </w:pPr>
      <w:r>
        <w:t>Th</w:t>
      </w:r>
      <w:r w:rsidR="0E81C2CC">
        <w:t xml:space="preserve">e </w:t>
      </w:r>
      <w:r w:rsidR="05DFCCB8">
        <w:t xml:space="preserve">WPESO </w:t>
      </w:r>
      <w:r w:rsidR="0E81C2CC">
        <w:t xml:space="preserve">evaluation </w:t>
      </w:r>
      <w:r>
        <w:t>see</w:t>
      </w:r>
      <w:r w:rsidR="00456F73">
        <w:t>ks to u</w:t>
      </w:r>
      <w:r w:rsidR="005704EF">
        <w:t xml:space="preserve">nderstand how ES </w:t>
      </w:r>
      <w:r w:rsidR="0D143D96">
        <w:t xml:space="preserve">career services are </w:t>
      </w:r>
      <w:r w:rsidR="005704EF">
        <w:t>implemented in states and AJCs</w:t>
      </w:r>
      <w:r w:rsidR="56E601FD">
        <w:t xml:space="preserve"> and what outcomes or impacts are </w:t>
      </w:r>
      <w:r w:rsidR="0912484A">
        <w:t>associated</w:t>
      </w:r>
      <w:r w:rsidR="56E601FD">
        <w:t xml:space="preserve"> with different career service offerings and </w:t>
      </w:r>
      <w:r w:rsidR="61122444">
        <w:t>approaches t</w:t>
      </w:r>
      <w:r w:rsidR="00BC22F0">
        <w:t>o</w:t>
      </w:r>
      <w:r w:rsidR="56E601FD">
        <w:t xml:space="preserve"> d</w:t>
      </w:r>
      <w:r w:rsidR="02DD5BD7">
        <w:t>e</w:t>
      </w:r>
      <w:r w:rsidR="56E601FD">
        <w:t xml:space="preserve">livering those services. </w:t>
      </w:r>
      <w:r w:rsidR="508A3DB6">
        <w:t xml:space="preserve">The data collection included in this request will inform the </w:t>
      </w:r>
      <w:r w:rsidR="002D137B">
        <w:t>design</w:t>
      </w:r>
      <w:r w:rsidR="508A3DB6">
        <w:t xml:space="preserve"> of the WPESO </w:t>
      </w:r>
      <w:r w:rsidR="00A921D1">
        <w:t>evaluation’s</w:t>
      </w:r>
      <w:r w:rsidR="508A3DB6">
        <w:t xml:space="preserve"> landscape and </w:t>
      </w:r>
      <w:r w:rsidR="00A921D1">
        <w:t>outcomes</w:t>
      </w:r>
      <w:r w:rsidR="508A3DB6">
        <w:t>/impact studies.</w:t>
      </w:r>
    </w:p>
    <w:p w:rsidR="00984CA2" w:rsidP="00436F5E" w14:paraId="38D5F9BF" w14:textId="77777777">
      <w:pPr>
        <w:shd w:val="clear" w:color="auto" w:fill="D9D9D9"/>
      </w:pPr>
    </w:p>
    <w:p w:rsidR="00984CA2" w:rsidRPr="005E6750"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5E6750">
        <w:rPr>
          <w:rFonts w:ascii="Times New Roman" w:hAnsi="Times New Roman"/>
          <w:i/>
          <w:sz w:val="24"/>
          <w:szCs w:val="24"/>
        </w:rPr>
        <w:t xml:space="preserve">Legal or Administrative Requirements that Necessitate </w:t>
      </w:r>
      <w:r w:rsidRPr="005E6750">
        <w:rPr>
          <w:rFonts w:ascii="Times New Roman" w:hAnsi="Times New Roman"/>
          <w:i/>
          <w:sz w:val="24"/>
          <w:szCs w:val="24"/>
        </w:rPr>
        <w:t>the Collection</w:t>
      </w:r>
      <w:r w:rsidRPr="005E6750">
        <w:rPr>
          <w:rFonts w:ascii="Times New Roman" w:hAnsi="Times New Roman"/>
          <w:i/>
          <w:sz w:val="24"/>
          <w:szCs w:val="24"/>
        </w:rPr>
        <w:t xml:space="preserve"> </w:t>
      </w:r>
    </w:p>
    <w:p w:rsidR="00D90EF6" w:rsidRPr="005E6750" w:rsidP="00436F5E" w14:paraId="390EFEE7" w14:textId="39DCB6CF">
      <w:pPr>
        <w:shd w:val="clear" w:color="auto" w:fill="D9D9D9"/>
      </w:pPr>
      <w:r w:rsidRPr="005E6750">
        <w:rPr>
          <w:sz w:val="22"/>
          <w:szCs w:val="22"/>
        </w:rPr>
        <w:t xml:space="preserve">There are no legal or administrative requirements that necessitate the collection. </w:t>
      </w:r>
      <w:r w:rsidRPr="005E6750" w:rsidR="008C6472">
        <w:rPr>
          <w:sz w:val="22"/>
        </w:rPr>
        <w:t>CEO</w:t>
      </w:r>
      <w:r w:rsidRPr="005E6750">
        <w:rPr>
          <w:sz w:val="22"/>
        </w:rPr>
        <w:t xml:space="preserve"> is undertaking the collection at the discretion of the agency.</w:t>
      </w:r>
    </w:p>
    <w:p w:rsidR="00BE7952" w:rsidRPr="005E6750" w:rsidP="00292B70" w14:paraId="0F55A376" w14:textId="77777777">
      <w:pPr>
        <w:rPr>
          <w:b/>
        </w:rPr>
      </w:pPr>
    </w:p>
    <w:p w:rsidR="00945CD6" w:rsidRPr="005E6750" w:rsidP="00436F5E" w14:paraId="636C9A8A" w14:textId="77777777">
      <w:pPr>
        <w:spacing w:after="120"/>
        <w:rPr>
          <w:b/>
        </w:rPr>
      </w:pPr>
      <w:r w:rsidRPr="005E6750">
        <w:rPr>
          <w:b/>
        </w:rPr>
        <w:t>A2. Purpose of Survey and Data Collection Procedures</w:t>
      </w:r>
    </w:p>
    <w:p w:rsidR="00984CA2" w:rsidRPr="00177982" w:rsidP="00436F5E" w14:paraId="58719492" w14:textId="38D2B0CF">
      <w:pPr>
        <w:spacing w:after="60"/>
        <w:rPr>
          <w:b/>
          <w:i/>
        </w:rPr>
      </w:pPr>
      <w:r w:rsidRPr="005E6750">
        <w:rPr>
          <w:b/>
          <w:i/>
        </w:rPr>
        <w:t>Overview of Purpose and Approach</w:t>
      </w:r>
    </w:p>
    <w:p w:rsidR="00495E58" w:rsidP="6FE92986" w14:paraId="28EBD2B8" w14:textId="3AA0634B">
      <w:pPr>
        <w:shd w:val="clear" w:color="auto" w:fill="D9D9D9" w:themeFill="background1" w:themeFillShade="D9"/>
      </w:pPr>
      <w:r w:rsidRPr="003E3AC1">
        <w:t xml:space="preserve">The </w:t>
      </w:r>
      <w:r>
        <w:t xml:space="preserve">WPESO </w:t>
      </w:r>
      <w:r w:rsidRPr="003E3AC1">
        <w:t>evaluation includes two components: (1) a</w:t>
      </w:r>
      <w:r w:rsidR="00E61010">
        <w:t xml:space="preserve"> landscape </w:t>
      </w:r>
      <w:r w:rsidR="00180FB6">
        <w:t>study</w:t>
      </w:r>
      <w:r w:rsidRPr="003E3AC1" w:rsidR="00180FB6">
        <w:t xml:space="preserve"> </w:t>
      </w:r>
      <w:r w:rsidRPr="003E3AC1">
        <w:t xml:space="preserve">to understand program implementation and (2) an </w:t>
      </w:r>
      <w:r w:rsidR="00E61010">
        <w:t>outcomes</w:t>
      </w:r>
      <w:r w:rsidR="00E61010">
        <w:t>/</w:t>
      </w:r>
      <w:r w:rsidRPr="003E3AC1">
        <w:t xml:space="preserve">impact </w:t>
      </w:r>
      <w:r w:rsidR="00180FB6">
        <w:t>study</w:t>
      </w:r>
      <w:r w:rsidRPr="003E3AC1">
        <w:t xml:space="preserve"> to measure how different </w:t>
      </w:r>
      <w:r>
        <w:t xml:space="preserve">approaches to career services and career counseling affect </w:t>
      </w:r>
      <w:r w:rsidRPr="00367B50">
        <w:t>intended participant outcomes, such as employment and earnings, and/or career advancement.</w:t>
      </w:r>
      <w:r w:rsidRPr="003E3AC1">
        <w:t xml:space="preserve"> It will take place over </w:t>
      </w:r>
      <w:r>
        <w:t>four</w:t>
      </w:r>
      <w:r w:rsidRPr="003E3AC1">
        <w:t xml:space="preserve"> years (202</w:t>
      </w:r>
      <w:r>
        <w:t>5</w:t>
      </w:r>
      <w:r w:rsidRPr="003E3AC1">
        <w:t xml:space="preserve"> to 2029).</w:t>
      </w:r>
    </w:p>
    <w:p w:rsidR="00495E58" w:rsidP="00436F5E" w14:paraId="2777BC7A" w14:textId="77777777">
      <w:pPr>
        <w:shd w:val="clear" w:color="auto" w:fill="D9D9D9"/>
      </w:pPr>
    </w:p>
    <w:p w:rsidR="00D90EF6" w:rsidP="6FE92986" w14:paraId="5765FD90" w14:textId="648CD863">
      <w:pPr>
        <w:shd w:val="clear" w:color="auto" w:fill="D9D9D9" w:themeFill="background1" w:themeFillShade="D9"/>
      </w:pPr>
      <w:r>
        <w:t xml:space="preserve">The data collected through the </w:t>
      </w:r>
      <w:r w:rsidR="0046790D">
        <w:t xml:space="preserve">data collection described </w:t>
      </w:r>
      <w:r>
        <w:t xml:space="preserve">in this request will be used </w:t>
      </w:r>
      <w:r w:rsidR="00E61010">
        <w:t xml:space="preserve">to inform the design of the </w:t>
      </w:r>
      <w:r w:rsidR="006000AF">
        <w:t xml:space="preserve">evaluation’s </w:t>
      </w:r>
      <w:r w:rsidR="00E61010">
        <w:t>landscape and outcomes/impact studies</w:t>
      </w:r>
      <w:r w:rsidR="006000AF">
        <w:t xml:space="preserve">. It will also begin to </w:t>
      </w:r>
      <w:r>
        <w:t xml:space="preserve">provide evidence on </w:t>
      </w:r>
      <w:r w:rsidR="00294973">
        <w:t xml:space="preserve">states’ </w:t>
      </w:r>
      <w:r>
        <w:t xml:space="preserve">approaches to </w:t>
      </w:r>
      <w:r w:rsidR="0095741B">
        <w:t>provid</w:t>
      </w:r>
      <w:r w:rsidR="1E34F817">
        <w:t>ing</w:t>
      </w:r>
      <w:r w:rsidR="0095741B">
        <w:t xml:space="preserve"> services to </w:t>
      </w:r>
      <w:r>
        <w:t>job seekers</w:t>
      </w:r>
      <w:r w:rsidR="005D3ED2">
        <w:t xml:space="preserve"> and employers</w:t>
      </w:r>
      <w:r>
        <w:t xml:space="preserve">. </w:t>
      </w:r>
    </w:p>
    <w:p w:rsidR="00495E58" w:rsidP="00436F5E" w14:paraId="1513F063" w14:textId="77777777">
      <w:pPr>
        <w:shd w:val="clear" w:color="auto" w:fill="D9D9D9"/>
      </w:pPr>
    </w:p>
    <w:p w:rsidR="002338AC" w:rsidP="002338AC" w14:paraId="7EBD5D71" w14:textId="77777777">
      <w:pPr>
        <w:ind w:left="180"/>
        <w:rPr>
          <w:b/>
          <w:i/>
        </w:rPr>
      </w:pPr>
    </w:p>
    <w:p w:rsidR="00A44209" w:rsidP="00436F5E" w14:paraId="41B6B9FA" w14:textId="395949F5">
      <w:pPr>
        <w:spacing w:after="60"/>
        <w:rPr>
          <w:b/>
          <w:i/>
        </w:rPr>
      </w:pPr>
      <w:r>
        <w:rPr>
          <w:b/>
          <w:i/>
        </w:rPr>
        <w:t>Research Questions</w:t>
      </w:r>
    </w:p>
    <w:p w:rsidR="00022B6E" w:rsidRPr="00E3677A" w:rsidP="5F2956F0" w14:paraId="68710B48" w14:textId="64007169">
      <w:pPr>
        <w:shd w:val="clear" w:color="auto" w:fill="D9D9D9" w:themeFill="background1" w:themeFillShade="D9"/>
      </w:pPr>
      <w:r>
        <w:t>The</w:t>
      </w:r>
      <w:r w:rsidRPr="00F23E6F">
        <w:t xml:space="preserve"> knowledge development interviews will provide important contextual information and will help inform larger impact and landscape studies</w:t>
      </w:r>
      <w:r>
        <w:t>. To that end, t</w:t>
      </w:r>
      <w:r w:rsidRPr="00E3677A" w:rsidR="000776BF">
        <w:t xml:space="preserve">he knowledge development interviews </w:t>
      </w:r>
      <w:r w:rsidR="009959E2">
        <w:t>(</w:t>
      </w:r>
      <w:r w:rsidR="0097173F">
        <w:t>for</w:t>
      </w:r>
      <w:r w:rsidR="009959E2">
        <w:t xml:space="preserve"> which this </w:t>
      </w:r>
      <w:r w:rsidR="0097173F">
        <w:t xml:space="preserve">supporting statement is requesting approval) </w:t>
      </w:r>
      <w:r w:rsidRPr="00E3677A" w:rsidR="000776BF">
        <w:t>will address</w:t>
      </w:r>
      <w:r>
        <w:t xml:space="preserve"> the</w:t>
      </w:r>
      <w:r w:rsidRPr="00E3677A" w:rsidR="000776BF">
        <w:t xml:space="preserve"> </w:t>
      </w:r>
      <w:r w:rsidR="00A921F8">
        <w:t>following</w:t>
      </w:r>
      <w:r w:rsidRPr="00E3677A" w:rsidR="00A921F8">
        <w:t xml:space="preserve"> </w:t>
      </w:r>
      <w:r w:rsidRPr="00E3677A" w:rsidR="000776BF">
        <w:t xml:space="preserve">research questions: </w:t>
      </w:r>
    </w:p>
    <w:p w:rsidR="00A921F8" w:rsidRPr="00A921F8" w:rsidP="00AA79B4" w14:paraId="29A7CEF9" w14:textId="77777777">
      <w:pPr>
        <w:shd w:val="clear" w:color="auto" w:fill="D9D9D9" w:themeFill="background1" w:themeFillShade="D9"/>
      </w:pPr>
      <w:r w:rsidRPr="00AA79B4">
        <w:rPr>
          <w:b/>
          <w:bCs/>
          <w:u w:val="single"/>
        </w:rPr>
        <w:t>Implementation brief</w:t>
      </w:r>
      <w:r w:rsidRPr="00A921F8">
        <w:t> </w:t>
      </w:r>
    </w:p>
    <w:p w:rsidR="00A921F8" w:rsidRPr="00A921F8" w:rsidP="00A921F8" w14:paraId="25BBF668" w14:textId="77777777">
      <w:pPr>
        <w:pStyle w:val="ListParagraph"/>
        <w:numPr>
          <w:ilvl w:val="0"/>
          <w:numId w:val="22"/>
        </w:numPr>
        <w:shd w:val="clear" w:color="auto" w:fill="D9D9D9" w:themeFill="background1" w:themeFillShade="D9"/>
      </w:pPr>
      <w:r w:rsidRPr="00A921F8">
        <w:t>What role does Wagner-Peyser play in advancing states’ strategic visions for their workforce systems?  How do states’ strategic workforce plans shape the services offered to job seekers and employers through Wagner-Peyser? </w:t>
      </w:r>
    </w:p>
    <w:p w:rsidR="00A921F8" w:rsidRPr="00A921F8" w:rsidP="00A921F8" w14:paraId="36E8C65A" w14:textId="77777777">
      <w:pPr>
        <w:pStyle w:val="ListParagraph"/>
        <w:numPr>
          <w:ilvl w:val="0"/>
          <w:numId w:val="22"/>
        </w:numPr>
        <w:shd w:val="clear" w:color="auto" w:fill="D9D9D9" w:themeFill="background1" w:themeFillShade="D9"/>
      </w:pPr>
      <w:r w:rsidRPr="00A921F8">
        <w:t>What roles do states play in delivering Wagner-Peyser? What roles do LWDBs or AJCs play? How do these entities work together to serve job seekers and employer customers? </w:t>
      </w:r>
    </w:p>
    <w:p w:rsidR="00A921F8" w:rsidRPr="00A921F8" w:rsidP="00A921F8" w14:paraId="1B0E4AFB" w14:textId="77777777">
      <w:pPr>
        <w:pStyle w:val="ListParagraph"/>
        <w:numPr>
          <w:ilvl w:val="0"/>
          <w:numId w:val="22"/>
        </w:numPr>
        <w:shd w:val="clear" w:color="auto" w:fill="D9D9D9" w:themeFill="background1" w:themeFillShade="D9"/>
      </w:pPr>
      <w:r w:rsidRPr="00A921F8">
        <w:t>To what extent and in what ways do ES job seeker and employer services vary by local area and/or AJC? To what extent and in what ways do their interactions with other workforce programs vary by local area and/or AJC?  </w:t>
      </w:r>
    </w:p>
    <w:p w:rsidR="00A921F8" w:rsidRPr="00A921F8" w:rsidP="00A921F8" w14:paraId="0E5F4253" w14:textId="77777777">
      <w:pPr>
        <w:pStyle w:val="ListParagraph"/>
        <w:numPr>
          <w:ilvl w:val="0"/>
          <w:numId w:val="22"/>
        </w:numPr>
        <w:shd w:val="clear" w:color="auto" w:fill="D9D9D9" w:themeFill="background1" w:themeFillShade="D9"/>
      </w:pPr>
      <w:r w:rsidRPr="00A921F8">
        <w:t>How do </w:t>
      </w:r>
      <w:r w:rsidRPr="00A921F8">
        <w:t>job-seekers</w:t>
      </w:r>
      <w:r w:rsidRPr="00A921F8">
        <w:t> typically engage with Wagner-Peyser services? How do states encourage job seekers to participate in Wagner-Peyser services (through referrals, co-enrollment)?  </w:t>
      </w:r>
    </w:p>
    <w:p w:rsidR="00A921F8" w:rsidRPr="00A921F8" w:rsidP="00A921F8" w14:paraId="77801409" w14:textId="43432EB5">
      <w:pPr>
        <w:pStyle w:val="ListParagraph"/>
        <w:numPr>
          <w:ilvl w:val="0"/>
          <w:numId w:val="22"/>
        </w:numPr>
        <w:shd w:val="clear" w:color="auto" w:fill="D9D9D9" w:themeFill="background1" w:themeFillShade="D9"/>
      </w:pPr>
      <w:r w:rsidRPr="00A921F8">
        <w:t>How do Wagner-Peyser staff deliver services to employers? What services do they provide and with whom do they collaborate?  </w:t>
      </w:r>
    </w:p>
    <w:p w:rsidR="00A921F8" w:rsidRPr="00A921F8" w:rsidP="00A921F8" w14:paraId="078D8BB8" w14:textId="77777777">
      <w:pPr>
        <w:pStyle w:val="ListParagraph"/>
        <w:numPr>
          <w:ilvl w:val="0"/>
          <w:numId w:val="22"/>
        </w:numPr>
        <w:shd w:val="clear" w:color="auto" w:fill="D9D9D9" w:themeFill="background1" w:themeFillShade="D9"/>
      </w:pPr>
      <w:r w:rsidRPr="00A921F8">
        <w:t xml:space="preserve">What are state perspectives on different service modes, such as self-directed, staff-assisted in-person services, and staff-assisted virtual services? Do states plan to shift their service delivery modes </w:t>
      </w:r>
      <w:r w:rsidRPr="00A921F8">
        <w:t>in the near future</w:t>
      </w:r>
      <w:r w:rsidRPr="00A921F8">
        <w:t>?  </w:t>
      </w:r>
    </w:p>
    <w:p w:rsidR="00A921F8" w:rsidRPr="00A921F8" w:rsidP="00A921F8" w14:paraId="5C35BB6D" w14:textId="77777777">
      <w:pPr>
        <w:pStyle w:val="ListParagraph"/>
        <w:numPr>
          <w:ilvl w:val="0"/>
          <w:numId w:val="22"/>
        </w:numPr>
        <w:shd w:val="clear" w:color="auto" w:fill="D9D9D9" w:themeFill="background1" w:themeFillShade="D9"/>
      </w:pPr>
      <w:r w:rsidRPr="00A921F8">
        <w:t>What waivers, if any, might the state pursue in the coming program year? Which waivers do they see affecting Wagner-Peyser service offerings and delivery?  </w:t>
      </w:r>
    </w:p>
    <w:p w:rsidR="00022B6E" w:rsidP="00022B6E" w14:paraId="754F15FB" w14:textId="77777777">
      <w:pPr>
        <w:shd w:val="clear" w:color="auto" w:fill="D9D9D9" w:themeFill="background1" w:themeFillShade="D9"/>
        <w:ind w:left="360"/>
        <w:rPr>
          <w:b/>
          <w:bCs/>
          <w:u w:val="single"/>
        </w:rPr>
      </w:pPr>
    </w:p>
    <w:p w:rsidR="00A921F8" w:rsidRPr="00A921F8" w:rsidP="00AA79B4" w14:paraId="14643D89" w14:textId="709DEB0C">
      <w:pPr>
        <w:shd w:val="clear" w:color="auto" w:fill="D9D9D9" w:themeFill="background1" w:themeFillShade="D9"/>
        <w:ind w:left="360"/>
      </w:pPr>
      <w:r w:rsidRPr="00AA79B4">
        <w:rPr>
          <w:b/>
          <w:bCs/>
          <w:u w:val="single"/>
        </w:rPr>
        <w:t>Impact design</w:t>
      </w:r>
      <w:r w:rsidRPr="00A921F8">
        <w:t> </w:t>
      </w:r>
    </w:p>
    <w:p w:rsidR="00A921F8" w:rsidRPr="00A921F8" w:rsidP="00A921F8" w14:paraId="64996AB0" w14:textId="77777777">
      <w:pPr>
        <w:pStyle w:val="ListParagraph"/>
        <w:numPr>
          <w:ilvl w:val="0"/>
          <w:numId w:val="22"/>
        </w:numPr>
        <w:shd w:val="clear" w:color="auto" w:fill="D9D9D9" w:themeFill="background1" w:themeFillShade="D9"/>
      </w:pPr>
      <w:r w:rsidRPr="00A921F8">
        <w:t>What basic and individualized career services do states provide through Wagner-Peyser? </w:t>
      </w:r>
    </w:p>
    <w:p w:rsidR="00A921F8" w:rsidRPr="00A921F8" w:rsidP="00AA79B4" w14:paraId="6C9ECB6F" w14:textId="77777777">
      <w:pPr>
        <w:pStyle w:val="ListParagraph"/>
        <w:numPr>
          <w:ilvl w:val="1"/>
          <w:numId w:val="22"/>
        </w:numPr>
        <w:shd w:val="clear" w:color="auto" w:fill="D9D9D9" w:themeFill="background1" w:themeFillShade="D9"/>
      </w:pPr>
      <w:r w:rsidRPr="00A921F8">
        <w:t>How do you determine which services to offer different participants? </w:t>
      </w:r>
    </w:p>
    <w:p w:rsidR="00A921F8" w:rsidRPr="00A921F8" w:rsidP="00AA79B4" w14:paraId="22EF57F0" w14:textId="77777777">
      <w:pPr>
        <w:pStyle w:val="ListParagraph"/>
        <w:numPr>
          <w:ilvl w:val="1"/>
          <w:numId w:val="22"/>
        </w:numPr>
        <w:shd w:val="clear" w:color="auto" w:fill="D9D9D9" w:themeFill="background1" w:themeFillShade="D9"/>
      </w:pPr>
      <w:r w:rsidRPr="00A921F8">
        <w:t>How does this vary across local areas or AJCs?  </w:t>
      </w:r>
    </w:p>
    <w:p w:rsidR="00A921F8" w:rsidRPr="00A921F8" w:rsidP="00AA79B4" w14:paraId="530D5A58" w14:textId="77777777">
      <w:pPr>
        <w:pStyle w:val="ListParagraph"/>
        <w:numPr>
          <w:ilvl w:val="1"/>
          <w:numId w:val="22"/>
        </w:numPr>
        <w:shd w:val="clear" w:color="auto" w:fill="D9D9D9" w:themeFill="background1" w:themeFillShade="D9"/>
      </w:pPr>
      <w:r w:rsidRPr="00A921F8">
        <w:t>How are these services offered (in-person, virtual, hybrid). What determines how each participant receives services? </w:t>
      </w:r>
    </w:p>
    <w:p w:rsidR="00A921F8" w:rsidRPr="00A921F8" w:rsidP="00A921F8" w14:paraId="424FB8BC" w14:textId="77777777">
      <w:pPr>
        <w:pStyle w:val="ListParagraph"/>
        <w:numPr>
          <w:ilvl w:val="0"/>
          <w:numId w:val="22"/>
        </w:numPr>
        <w:shd w:val="clear" w:color="auto" w:fill="D9D9D9" w:themeFill="background1" w:themeFillShade="D9"/>
      </w:pPr>
      <w:r w:rsidRPr="00A921F8">
        <w:t>What services does each state provide to employers? </w:t>
      </w:r>
    </w:p>
    <w:p w:rsidR="00A921F8" w:rsidRPr="00A921F8" w:rsidP="00AA79B4" w14:paraId="076EEB2D" w14:textId="77777777">
      <w:pPr>
        <w:pStyle w:val="ListParagraph"/>
        <w:numPr>
          <w:ilvl w:val="1"/>
          <w:numId w:val="22"/>
        </w:numPr>
        <w:shd w:val="clear" w:color="auto" w:fill="D9D9D9" w:themeFill="background1" w:themeFillShade="D9"/>
      </w:pPr>
      <w:r w:rsidRPr="00A921F8">
        <w:t>How do states determine which services to offer each employer? </w:t>
      </w:r>
    </w:p>
    <w:p w:rsidR="00A921F8" w:rsidRPr="00A921F8" w:rsidP="00A921F8" w14:paraId="4540DFE2" w14:textId="77777777">
      <w:pPr>
        <w:pStyle w:val="ListParagraph"/>
        <w:numPr>
          <w:ilvl w:val="0"/>
          <w:numId w:val="22"/>
        </w:numPr>
        <w:shd w:val="clear" w:color="auto" w:fill="D9D9D9" w:themeFill="background1" w:themeFillShade="D9"/>
      </w:pPr>
      <w:r w:rsidRPr="00A921F8">
        <w:t>What data system does each state use? What are the levels at which data is collected (i.e. participant, employer, events)? </w:t>
      </w:r>
    </w:p>
    <w:p w:rsidR="00A921F8" w:rsidRPr="00A921F8" w:rsidP="00AA79B4" w14:paraId="64D9C654" w14:textId="77777777">
      <w:pPr>
        <w:pStyle w:val="ListParagraph"/>
        <w:numPr>
          <w:ilvl w:val="1"/>
          <w:numId w:val="22"/>
        </w:numPr>
        <w:shd w:val="clear" w:color="auto" w:fill="D9D9D9" w:themeFill="background1" w:themeFillShade="D9"/>
      </w:pPr>
      <w:r w:rsidRPr="00A921F8">
        <w:t>What data are routinely collected on participant services beyond what is included in the WIPS? </w:t>
      </w:r>
    </w:p>
    <w:p w:rsidR="00A921F8" w:rsidRPr="00A921F8" w:rsidP="00AA79B4" w14:paraId="119A6D91" w14:textId="77777777">
      <w:pPr>
        <w:pStyle w:val="ListParagraph"/>
        <w:numPr>
          <w:ilvl w:val="1"/>
          <w:numId w:val="22"/>
        </w:numPr>
        <w:shd w:val="clear" w:color="auto" w:fill="D9D9D9" w:themeFill="background1" w:themeFillShade="D9"/>
      </w:pPr>
      <w:r w:rsidRPr="00A921F8">
        <w:t>Does the state systematically collect data on Wagner-Peyser employer services? What data are routinely collected?  </w:t>
      </w:r>
    </w:p>
    <w:p w:rsidR="00A921F8" w:rsidRPr="00A921F8" w:rsidP="00A921F8" w14:paraId="5DBCBBE5" w14:textId="77777777">
      <w:pPr>
        <w:pStyle w:val="ListParagraph"/>
        <w:numPr>
          <w:ilvl w:val="0"/>
          <w:numId w:val="22"/>
        </w:numPr>
        <w:shd w:val="clear" w:color="auto" w:fill="D9D9D9" w:themeFill="background1" w:themeFillShade="D9"/>
      </w:pPr>
      <w:r w:rsidRPr="00A921F8">
        <w:t>What are the most important barriers to employment faced by participants that we may want to consider including in an impact study? </w:t>
      </w:r>
    </w:p>
    <w:p w:rsidR="000776BF" w:rsidP="00436F5E" w14:paraId="49AA8B0E" w14:textId="77777777">
      <w:pPr>
        <w:shd w:val="clear" w:color="auto" w:fill="D9D9D9"/>
      </w:pP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A83E0E" w:rsidP="00A83E0E" w14:paraId="68823C1F" w14:textId="77777777">
      <w:pPr>
        <w:shd w:val="clear" w:color="auto" w:fill="D9D9D9" w:themeFill="background1" w:themeFillShade="D9"/>
        <w:rPr>
          <w:sz w:val="22"/>
          <w:szCs w:val="22"/>
        </w:rPr>
      </w:pPr>
      <w:r>
        <w:t>For this data collection request, t</w:t>
      </w:r>
      <w:r w:rsidR="00643529">
        <w:t xml:space="preserve">he team will conduct knowledge development interviews with </w:t>
      </w:r>
      <w:r w:rsidR="00AC634D">
        <w:t xml:space="preserve">administrators of state workforce agencies in </w:t>
      </w:r>
      <w:r w:rsidR="00643529">
        <w:t xml:space="preserve">up to </w:t>
      </w:r>
      <w:r w:rsidR="005A7891">
        <w:t xml:space="preserve">18 </w:t>
      </w:r>
      <w:r w:rsidR="00643529">
        <w:t xml:space="preserve">states to learn about their approaches </w:t>
      </w:r>
      <w:r w:rsidR="00C232D7">
        <w:t>to providing</w:t>
      </w:r>
      <w:r w:rsidR="00CF7D93">
        <w:t xml:space="preserve"> career services to job seekers and services to employers. </w:t>
      </w:r>
      <w:r>
        <w:rPr>
          <w:sz w:val="22"/>
          <w:szCs w:val="22"/>
        </w:rPr>
        <w:t>To select states for inclusion in the interviews, the team first solicited recommendations from the Employment and Training Administration (ETA). Staff from ETA recommended 10 states, all of which will be included in the interviews. To select the remaining eight states, the team reviewed data on Wagner-Peyser services and participants that are available in the Program Year (PY) 2023 WIOA State Data Books. The team then selected states to ensure consistent representation across DOL’s six regions. Within each region, the team selected states based on the duration of Wagner-Peyser services and the extent to which the provision of basic and individualized career services mirrored or exceeded the national average for each service.</w:t>
      </w:r>
    </w:p>
    <w:p w:rsidR="20EB9147" w:rsidP="20EB9147" w14:paraId="3BA9566C" w14:textId="1C01DAE8">
      <w:pPr>
        <w:shd w:val="clear" w:color="auto" w:fill="D9D9D9" w:themeFill="background1" w:themeFillShade="D9"/>
        <w:rPr>
          <w:sz w:val="22"/>
          <w:szCs w:val="22"/>
        </w:rPr>
      </w:pPr>
    </w:p>
    <w:p w:rsidR="565707C9" w:rsidP="20EB9147" w14:paraId="6A5903E3" w14:textId="2E059209">
      <w:pPr>
        <w:shd w:val="clear" w:color="auto" w:fill="D9D9D9" w:themeFill="background1" w:themeFillShade="D9"/>
        <w:rPr>
          <w:sz w:val="22"/>
          <w:szCs w:val="22"/>
        </w:rPr>
      </w:pPr>
      <w:r w:rsidRPr="20EB9147">
        <w:rPr>
          <w:sz w:val="22"/>
          <w:szCs w:val="22"/>
        </w:rPr>
        <w:t>To ensure the interview protocol obtains the information necessary to answer the knowledge development research questions and determine feasible study design options, the study team will first pilot th</w:t>
      </w:r>
      <w:r w:rsidRPr="20EB9147" w:rsidR="2BA3DE9A">
        <w:rPr>
          <w:sz w:val="22"/>
          <w:szCs w:val="22"/>
        </w:rPr>
        <w:t xml:space="preserve">e interview protocol with nine or fewer respondents. Following these initial interviews, the study team will </w:t>
      </w:r>
      <w:r w:rsidRPr="20EB9147" w:rsidR="2BA3DE9A">
        <w:rPr>
          <w:sz w:val="22"/>
          <w:szCs w:val="22"/>
        </w:rPr>
        <w:t xml:space="preserve">refine the protocol to ensure the included questions obtain the necessary information and that the </w:t>
      </w:r>
      <w:r w:rsidRPr="20EB9147" w:rsidR="2E709FFA">
        <w:rPr>
          <w:sz w:val="22"/>
          <w:szCs w:val="22"/>
        </w:rPr>
        <w:t>interview can be completed within the allotted time.</w:t>
      </w:r>
    </w:p>
    <w:p w:rsidR="00A83E0E" w:rsidP="00643529" w14:paraId="5CE74650" w14:textId="67495A3C">
      <w:pPr>
        <w:shd w:val="clear" w:color="auto" w:fill="D9D9D9"/>
      </w:pPr>
    </w:p>
    <w:p w:rsidR="00643529" w:rsidP="00643529" w14:paraId="0331D627" w14:textId="1BBA80AE">
      <w:pPr>
        <w:shd w:val="clear" w:color="auto" w:fill="D9D9D9"/>
      </w:pPr>
      <w:r>
        <w:t xml:space="preserve">From these interviews, a list of </w:t>
      </w:r>
      <w:r w:rsidR="00F233D8">
        <w:t xml:space="preserve">up to </w:t>
      </w:r>
      <w:r>
        <w:t xml:space="preserve">12 states will be identified as priority for inclusion in the full evaluation. </w:t>
      </w:r>
      <w:r w:rsidR="00DD4577">
        <w:t xml:space="preserve">The interviews will also inform the development of </w:t>
      </w:r>
      <w:r w:rsidR="00D94472">
        <w:t>other study components.</w:t>
      </w:r>
    </w:p>
    <w:p w:rsidR="00495E58" w:rsidP="00643529" w14:paraId="5E5078EA" w14:textId="77777777">
      <w:pPr>
        <w:shd w:val="clear" w:color="auto" w:fill="D9D9D9"/>
      </w:pPr>
    </w:p>
    <w:p w:rsidR="00984CA2" w:rsidP="00984CA2" w14:paraId="506E1D5F" w14:textId="77777777">
      <w:pPr>
        <w:rPr>
          <w:b/>
          <w:i/>
        </w:rPr>
      </w:pPr>
    </w:p>
    <w:p w:rsidR="00984CA2" w:rsidRPr="00177982" w:rsidP="00436F5E" w14:paraId="2B69A413" w14:textId="52605830">
      <w:pPr>
        <w:spacing w:after="60"/>
        <w:rPr>
          <w:b/>
          <w:i/>
        </w:rPr>
      </w:pPr>
      <w:r>
        <w:rPr>
          <w:b/>
          <w:i/>
        </w:rPr>
        <w:t>Universe of Data Collection Efforts</w:t>
      </w:r>
    </w:p>
    <w:p w:rsidR="009B7A95" w:rsidP="003D22D0" w14:paraId="252B56FA" w14:textId="2D8B2FF3">
      <w:pPr>
        <w:shd w:val="clear" w:color="auto" w:fill="D9D9D9"/>
      </w:pPr>
      <w:r w:rsidRPr="003E12E4">
        <w:t>The current clearance request includes the</w:t>
      </w:r>
      <w:r>
        <w:t xml:space="preserve"> guide for knowledge development interviews</w:t>
      </w:r>
      <w:r w:rsidR="006F63CF">
        <w:t>.</w:t>
      </w:r>
      <w:r w:rsidR="006F63CF">
        <w:rPr>
          <w:b/>
          <w:bCs/>
        </w:rPr>
        <w:t xml:space="preserve"> </w:t>
      </w:r>
      <w:r>
        <w:t xml:space="preserve">These interviews will be conducted with up to </w:t>
      </w:r>
      <w:r w:rsidR="00C51469">
        <w:t xml:space="preserve">18 </w:t>
      </w:r>
      <w:r>
        <w:t>states</w:t>
      </w:r>
      <w:r w:rsidR="00C95AF7">
        <w:t>, which will be purposively selected, as described above</w:t>
      </w:r>
      <w:r>
        <w:t xml:space="preserve">. </w:t>
      </w:r>
      <w:r w:rsidR="00FB0BBA">
        <w:t xml:space="preserve">Each </w:t>
      </w:r>
      <w:r>
        <w:t xml:space="preserve">will be conducted virtually and </w:t>
      </w:r>
      <w:r w:rsidR="00FB0BBA">
        <w:t xml:space="preserve">for up to </w:t>
      </w:r>
      <w:r>
        <w:t xml:space="preserve">90 minutes. </w:t>
      </w:r>
      <w:r w:rsidRPr="009B7A95">
        <w:t>Unlike a structured survey</w:t>
      </w:r>
      <w:r w:rsidR="00921628">
        <w:t xml:space="preserve"> that</w:t>
      </w:r>
      <w:r w:rsidRPr="009B7A95">
        <w:t xml:space="preserve"> follows a prescribed set of questions or a script, semi-structured discussions are designed to be more flexible and responsive to the direction of the conversations prompted by the respondent’s comments.</w:t>
      </w:r>
    </w:p>
    <w:p w:rsidR="003D22D0" w:rsidP="003D22D0" w14:paraId="4EC1E02E" w14:textId="77777777">
      <w:pPr>
        <w:shd w:val="clear" w:color="auto" w:fill="D9D9D9"/>
      </w:pPr>
    </w:p>
    <w:p w:rsidR="003D22D0" w:rsidRPr="009B7A95" w:rsidP="003D22D0" w14:paraId="75A2ACCD" w14:textId="4D6E59D3">
      <w:pPr>
        <w:shd w:val="clear" w:color="auto" w:fill="D9D9D9"/>
      </w:pPr>
      <w:r>
        <w:t xml:space="preserve">A future submission will </w:t>
      </w:r>
      <w:r w:rsidR="00586408">
        <w:t xml:space="preserve">be submitted to receive clearance for </w:t>
      </w:r>
      <w:r w:rsidR="00776093">
        <w:t>additional</w:t>
      </w:r>
      <w:r w:rsidR="00586408">
        <w:t xml:space="preserve"> data collection efforts</w:t>
      </w:r>
      <w:r w:rsidR="005A4563">
        <w:t xml:space="preserve"> </w:t>
      </w:r>
      <w:r w:rsidR="00776093">
        <w:t>to support the</w:t>
      </w:r>
      <w:r w:rsidR="00634164">
        <w:t xml:space="preserve"> WPESO evaluation’s</w:t>
      </w:r>
      <w:r w:rsidR="00776093">
        <w:t xml:space="preserve"> impact/outcomes </w:t>
      </w:r>
      <w:r w:rsidR="005A4563">
        <w:t xml:space="preserve">and </w:t>
      </w:r>
      <w:r w:rsidR="00591CB5">
        <w:t xml:space="preserve">landscape </w:t>
      </w:r>
      <w:r w:rsidR="00776093">
        <w:t>studies</w:t>
      </w:r>
      <w:r w:rsidR="00586408">
        <w:t>.</w:t>
      </w:r>
    </w:p>
    <w:p w:rsidR="004554B1" w:rsidP="00D90EF6" w14:paraId="12B16523" w14:textId="77777777"/>
    <w:p w:rsidR="00945CD6" w:rsidRPr="0072204D" w:rsidP="00436F5E" w14:paraId="3A819D6C" w14:textId="77777777">
      <w:pPr>
        <w:spacing w:after="120"/>
        <w:rPr>
          <w:b/>
        </w:rPr>
      </w:pPr>
      <w:r>
        <w:rPr>
          <w:b/>
        </w:rPr>
        <w:t xml:space="preserve">A3. </w:t>
      </w:r>
      <w:r w:rsidRPr="0072204D">
        <w:rPr>
          <w:b/>
        </w:rPr>
        <w:t>Improved Information Technology to Reduce Burden</w:t>
      </w:r>
    </w:p>
    <w:p w:rsidR="00EA32C5" w:rsidP="00EA32C5" w14:paraId="570A8D95" w14:textId="77777777">
      <w:pPr>
        <w:shd w:val="clear" w:color="auto" w:fill="D9D9D9"/>
      </w:pPr>
      <w:r>
        <w:t xml:space="preserve">Data collection will be conducted using advanced technology to reduce burden on program participants and grantee and partner staff whenever possible. </w:t>
      </w:r>
    </w:p>
    <w:p w:rsidR="00413C7D" w:rsidP="00EA32C5" w14:paraId="08373A4F" w14:textId="77777777">
      <w:pPr>
        <w:shd w:val="clear" w:color="auto" w:fill="D9D9D9"/>
      </w:pPr>
    </w:p>
    <w:p w:rsidR="00FA48B2" w:rsidRPr="00FA48B2" w:rsidP="00FA48B2" w14:paraId="246D3EA3" w14:textId="54F9C796">
      <w:pPr>
        <w:shd w:val="clear" w:color="auto" w:fill="D9D9D9"/>
      </w:pPr>
    </w:p>
    <w:p w:rsidR="00FA48B2" w:rsidRPr="00FA48B2" w:rsidP="00FA48B2" w14:paraId="77159412" w14:textId="77777777">
      <w:pPr>
        <w:shd w:val="clear" w:color="auto" w:fill="D9D9D9"/>
      </w:pPr>
      <w:r w:rsidRPr="00FA48B2">
        <w:t xml:space="preserve">Knowledge development interviews will be conducted using telephone or secure video conferencing platforms (e.g., </w:t>
      </w:r>
      <w:r w:rsidRPr="00FA48B2">
        <w:t>WebEx</w:t>
      </w:r>
      <w:r w:rsidRPr="00FA48B2">
        <w:t xml:space="preserve"> or similar platforms), based on respondent preference. Providing multiple participation options allows respondents to select the mode that is most convenient and least burdensome, reducing scheduling constraints and eliminating the need for travel.</w:t>
      </w:r>
    </w:p>
    <w:p w:rsidR="00FA48B2" w:rsidP="00FA48B2" w14:paraId="74F913CA" w14:textId="77777777">
      <w:pPr>
        <w:shd w:val="clear" w:color="auto" w:fill="D9D9D9"/>
      </w:pPr>
    </w:p>
    <w:p w:rsidR="00FA48B2" w:rsidRPr="00FA48B2" w:rsidP="20EB9147" w14:paraId="11DE7A7E" w14:textId="0D6AB7D6">
      <w:pPr>
        <w:shd w:val="clear" w:color="auto" w:fill="D9D9D9" w:themeFill="background1" w:themeFillShade="D9"/>
      </w:pPr>
      <w:r w:rsidRPr="00FA48B2">
        <w:t xml:space="preserve">Respondents will receive electronic communications in advance of the interview, including calendar invitations, dial-in information, and secure links to virtual meeting platforms. These materials will be designed to facilitate easy access and reduce respondent preparation time. When appropriate, discussion </w:t>
      </w:r>
      <w:r w:rsidR="2834B82B">
        <w:t>topics</w:t>
      </w:r>
      <w:r>
        <w:t xml:space="preserve"> </w:t>
      </w:r>
      <w:r w:rsidRPr="00FA48B2">
        <w:t>be</w:t>
      </w:r>
      <w:r w:rsidRPr="00FA48B2">
        <w:t xml:space="preserve"> shared electronically in advance to streamline the interview process and improve efficiency.</w:t>
      </w:r>
    </w:p>
    <w:p w:rsidR="00FA48B2" w:rsidP="00FA48B2" w14:paraId="46B2A071" w14:textId="77777777">
      <w:pPr>
        <w:shd w:val="clear" w:color="auto" w:fill="D9D9D9"/>
      </w:pPr>
    </w:p>
    <w:p w:rsidR="00FA48B2" w:rsidRPr="00FA48B2" w:rsidP="00FA48B2" w14:paraId="1F0DE24E" w14:textId="0CFFA6E7">
      <w:pPr>
        <w:shd w:val="clear" w:color="auto" w:fill="D9D9D9"/>
      </w:pPr>
      <w:r w:rsidRPr="00FA48B2">
        <w:t>To further reduce burden, interviews will be scheduled at times convenient to respondents and will be designed to minimize duration while still collecting necessary information. No specialized software or equipment beyond standard telephone or internet access will be required to participate.</w:t>
      </w:r>
    </w:p>
    <w:p w:rsidR="00FA48B2" w:rsidP="00EA32C5" w14:paraId="7DF00441" w14:textId="77777777">
      <w:pPr>
        <w:shd w:val="clear" w:color="auto" w:fill="D9D9D9"/>
      </w:pPr>
    </w:p>
    <w:p w:rsidR="005046F0" w:rsidP="005046F0" w14:paraId="11A293F3" w14:textId="77777777">
      <w:pPr>
        <w:ind w:left="360"/>
      </w:pPr>
    </w:p>
    <w:p w:rsidR="00945CD6" w:rsidRPr="0072204D" w:rsidP="00436F5E" w14:paraId="2512794B" w14:textId="77777777">
      <w:pPr>
        <w:spacing w:after="120"/>
        <w:rPr>
          <w:b/>
        </w:rPr>
      </w:pPr>
      <w:r>
        <w:rPr>
          <w:b/>
        </w:rPr>
        <w:t xml:space="preserve">A4. </w:t>
      </w:r>
      <w:r w:rsidRPr="0072204D">
        <w:rPr>
          <w:b/>
        </w:rPr>
        <w:t>Efforts to Identify Duplication</w:t>
      </w:r>
    </w:p>
    <w:p w:rsidR="00D90EF6" w:rsidP="00436F5E" w14:paraId="50C3E592" w14:textId="27BA9E42">
      <w:pPr>
        <w:shd w:val="clear" w:color="auto" w:fill="D9D9D9"/>
      </w:pPr>
      <w:r w:rsidRPr="00307049">
        <w:t xml:space="preserve">WPESO will not require collection of information that is available through alternate sources. For example, the study will use available information from state </w:t>
      </w:r>
      <w:r w:rsidR="00CE62AC">
        <w:t>WIOA</w:t>
      </w:r>
      <w:r w:rsidRPr="00307049">
        <w:t xml:space="preserve"> plans</w:t>
      </w:r>
      <w:r w:rsidR="00D932C6">
        <w:t>, such as types of career services offered through American Job Centers,</w:t>
      </w:r>
      <w:r w:rsidRPr="00307049">
        <w:t xml:space="preserve"> to ensure that data collected through state administrator </w:t>
      </w:r>
      <w:r w:rsidR="00CE62AC">
        <w:t xml:space="preserve">interviews </w:t>
      </w:r>
      <w:r w:rsidRPr="00307049">
        <w:t xml:space="preserve">is not </w:t>
      </w:r>
      <w:r w:rsidR="00857740">
        <w:t xml:space="preserve">already </w:t>
      </w:r>
      <w:r w:rsidRPr="00307049">
        <w:t>available.</w:t>
      </w:r>
    </w:p>
    <w:p w:rsidR="00D90EF6" w:rsidP="00436F5E" w14:paraId="064AFC24" w14:textId="77777777">
      <w:pPr>
        <w:shd w:val="clear" w:color="auto" w:fill="D9D9D9"/>
      </w:pPr>
    </w:p>
    <w:p w:rsidR="005046F0" w:rsidP="005046F0" w14:paraId="05B7AC5A" w14:textId="77777777">
      <w:pPr>
        <w:ind w:left="360"/>
      </w:pP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Organizations</w:t>
      </w:r>
    </w:p>
    <w:p w:rsidR="006F63CF" w:rsidP="00436F5E" w14:paraId="7F324CAD" w14:textId="43870B65">
      <w:pPr>
        <w:shd w:val="clear" w:color="auto" w:fill="D9D9D9"/>
      </w:pPr>
      <w:r>
        <w:t xml:space="preserve">No small organizations will be involved in the knowledge development interviews. </w:t>
      </w: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D90EF6" w:rsidP="00436F5E" w14:paraId="0EE2AF9D" w14:textId="0549ED8F">
      <w:pPr>
        <w:shd w:val="clear" w:color="auto" w:fill="D9D9D9"/>
      </w:pPr>
      <w:r>
        <w:t xml:space="preserve">This is a one-time data collection. The study </w:t>
      </w:r>
      <w:r w:rsidR="008D3B43">
        <w:t>provides an important opportunity for DOL to understand current implementation of the Wagner-Peyser Act Employment program and inform the</w:t>
      </w:r>
      <w:r w:rsidR="0040682C">
        <w:t xml:space="preserve"> WPESO evaluation</w:t>
      </w:r>
      <w:r w:rsidRPr="00EF15B1" w:rsidR="00EF15B1">
        <w:t>.</w:t>
      </w: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BE7952" w:rsidRPr="00D23597" w:rsidP="00436F5E" w14:paraId="21645CEA" w14:textId="0FFDED4B">
      <w:pPr>
        <w:shd w:val="clear" w:color="auto" w:fill="D9D9D9"/>
        <w:rPr>
          <w:sz w:val="22"/>
          <w:szCs w:val="22"/>
        </w:rPr>
      </w:pPr>
      <w:r w:rsidRPr="00500FED">
        <w:rPr>
          <w:sz w:val="22"/>
          <w:szCs w:val="22"/>
        </w:rPr>
        <w:t>There are no special circumstances for the proposed data collection efforts.</w:t>
      </w: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RPr="00BE7952" w:rsidP="004104C0" w14:paraId="01F31836" w14:textId="5A9320A0">
      <w:pPr>
        <w:shd w:val="clear" w:color="auto" w:fill="D9D9D9"/>
        <w:rPr>
          <w:b/>
        </w:rPr>
      </w:pPr>
      <w:r w:rsidRPr="00AA79B4">
        <w:t>No public comments are requested for this information collection.</w:t>
      </w: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B63ED">
        <w:rPr>
          <w:rFonts w:ascii="Times New Roman" w:hAnsi="Times New Roman"/>
          <w:i/>
          <w:sz w:val="24"/>
          <w:szCs w:val="24"/>
        </w:rPr>
        <w:t>Consultation with Experts Outside of the Study</w:t>
      </w:r>
    </w:p>
    <w:p w:rsidR="007126A7" w:rsidP="007126A7" w14:paraId="55994DFE" w14:textId="1460B6E4">
      <w:pPr>
        <w:rPr>
          <w:szCs w:val="20"/>
        </w:rPr>
      </w:pPr>
      <w:r w:rsidRPr="00A112AA">
        <w:rPr>
          <w:szCs w:val="20"/>
        </w:rPr>
        <w:t xml:space="preserve">The study team is coordinating consultation on the research design and data needs. A list of study team members is </w:t>
      </w:r>
      <w:r w:rsidRPr="00A112AA">
        <w:rPr>
          <w:szCs w:val="20"/>
          <w:u w:val="single"/>
        </w:rPr>
        <w:t xml:space="preserve">presented as </w:t>
      </w:r>
      <w:r w:rsidRPr="00A112AA">
        <w:rPr>
          <w:szCs w:val="20"/>
        </w:rPr>
        <w:t>in Table A.</w:t>
      </w:r>
      <w:r w:rsidR="008F688D">
        <w:rPr>
          <w:szCs w:val="20"/>
        </w:rPr>
        <w:t>1</w:t>
      </w:r>
      <w:r w:rsidRPr="00A112AA">
        <w:rPr>
          <w:szCs w:val="20"/>
        </w:rPr>
        <w:t>.   </w:t>
      </w:r>
    </w:p>
    <w:p w:rsidR="007126A7" w:rsidRPr="007126A7" w:rsidP="007126A7" w14:paraId="25138F4E" w14:textId="77777777"/>
    <w:p w:rsidR="007A3949" w:rsidRPr="00AA79B4" w:rsidP="007A3949" w14:paraId="72950E9D" w14:textId="521B4743">
      <w:pPr>
        <w:shd w:val="clear" w:color="auto" w:fill="D9D9D9"/>
        <w:rPr>
          <w:b/>
          <w:bCs/>
        </w:rPr>
      </w:pPr>
      <w:r w:rsidRPr="00AA79B4">
        <w:rPr>
          <w:b/>
          <w:bCs/>
        </w:rPr>
        <w:t>Table A.</w:t>
      </w:r>
      <w:r w:rsidRPr="00AA79B4" w:rsidR="008F688D">
        <w:rPr>
          <w:b/>
          <w:bCs/>
        </w:rPr>
        <w:t>1</w:t>
      </w:r>
      <w:r w:rsidRPr="00AA79B4">
        <w:rPr>
          <w:b/>
          <w:bCs/>
        </w:rPr>
        <w:t>. Formative Study of W</w:t>
      </w:r>
      <w:r w:rsidR="00734263">
        <w:rPr>
          <w:b/>
          <w:bCs/>
        </w:rPr>
        <w:t>P</w:t>
      </w:r>
      <w:r w:rsidRPr="00AA79B4">
        <w:rPr>
          <w:b/>
          <w:bCs/>
        </w:rPr>
        <w:t>ESO study team  </w:t>
      </w:r>
    </w:p>
    <w:tbl>
      <w:tblPr>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60"/>
        <w:gridCol w:w="4485"/>
      </w:tblGrid>
      <w:tr w14:paraId="3FDD660A" w14:textId="77777777" w:rsidTr="00580110">
        <w:tblPrEx>
          <w:tblW w:w="9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860" w:type="dxa"/>
            <w:tcBorders>
              <w:top w:val="single" w:sz="6" w:space="0" w:color="auto"/>
              <w:left w:val="nil"/>
              <w:bottom w:val="single" w:sz="6" w:space="0" w:color="auto"/>
              <w:right w:val="nil"/>
            </w:tcBorders>
            <w:shd w:val="clear" w:color="auto" w:fill="808080"/>
            <w:hideMark/>
          </w:tcPr>
          <w:p w:rsidR="007A3949" w:rsidRPr="00AA79B4" w:rsidP="007A3949" w14:paraId="5B5E8D34" w14:textId="77777777">
            <w:pPr>
              <w:shd w:val="clear" w:color="auto" w:fill="D9D9D9"/>
            </w:pPr>
            <w:r w:rsidRPr="00AA79B4">
              <w:rPr>
                <w:b/>
                <w:bCs/>
              </w:rPr>
              <w:t>Organization </w:t>
            </w:r>
            <w:r w:rsidRPr="00AA79B4">
              <w:t> </w:t>
            </w:r>
          </w:p>
        </w:tc>
        <w:tc>
          <w:tcPr>
            <w:tcW w:w="4485" w:type="dxa"/>
            <w:tcBorders>
              <w:top w:val="single" w:sz="6" w:space="0" w:color="auto"/>
              <w:left w:val="nil"/>
              <w:bottom w:val="single" w:sz="6" w:space="0" w:color="auto"/>
              <w:right w:val="nil"/>
            </w:tcBorders>
            <w:shd w:val="clear" w:color="auto" w:fill="808080"/>
            <w:hideMark/>
          </w:tcPr>
          <w:p w:rsidR="007A3949" w:rsidRPr="00AA79B4" w:rsidP="007A3949" w14:paraId="555BDA95" w14:textId="77777777">
            <w:pPr>
              <w:shd w:val="clear" w:color="auto" w:fill="D9D9D9"/>
            </w:pPr>
            <w:r w:rsidRPr="00AA79B4">
              <w:rPr>
                <w:b/>
                <w:bCs/>
              </w:rPr>
              <w:t>Individuals </w:t>
            </w:r>
            <w:r w:rsidRPr="00AA79B4">
              <w:t> </w:t>
            </w:r>
          </w:p>
        </w:tc>
      </w:tr>
      <w:tr w14:paraId="4D073BDE" w14:textId="77777777" w:rsidTr="004259E9">
        <w:tblPrEx>
          <w:tblW w:w="9345" w:type="dxa"/>
          <w:tblCellMar>
            <w:left w:w="0" w:type="dxa"/>
            <w:right w:w="0" w:type="dxa"/>
          </w:tblCellMar>
          <w:tblLook w:val="04A0"/>
        </w:tblPrEx>
        <w:trPr>
          <w:trHeight w:val="885"/>
        </w:trPr>
        <w:tc>
          <w:tcPr>
            <w:tcW w:w="4860" w:type="dxa"/>
            <w:tcBorders>
              <w:top w:val="single" w:sz="6" w:space="0" w:color="auto"/>
              <w:left w:val="single" w:sz="6" w:space="0" w:color="auto"/>
              <w:right w:val="single" w:sz="6" w:space="0" w:color="auto"/>
            </w:tcBorders>
            <w:hideMark/>
          </w:tcPr>
          <w:p w:rsidR="00580110" w:rsidRPr="00AA79B4" w:rsidP="007A3949" w14:paraId="1A1FF648" w14:textId="77777777">
            <w:pPr>
              <w:shd w:val="clear" w:color="auto" w:fill="D9D9D9"/>
            </w:pPr>
            <w:r w:rsidRPr="00AA79B4">
              <w:t>Mathematica   </w:t>
            </w:r>
            <w:r w:rsidRPr="00AA79B4">
              <w:br/>
              <w:t>P.O. Box 2393  </w:t>
            </w:r>
            <w:r w:rsidRPr="00AA79B4">
              <w:br/>
              <w:t>Princeton, NJ 08543-2393  </w:t>
            </w:r>
            <w:r w:rsidRPr="00AA79B4">
              <w:br/>
              <w:t>(609) 799-3535  </w:t>
            </w:r>
          </w:p>
          <w:p w:rsidR="00580110" w:rsidRPr="00AA79B4" w:rsidP="007A3949" w14:paraId="2BA0544B" w14:textId="5737DCAE">
            <w:pPr>
              <w:shd w:val="clear" w:color="auto" w:fill="D9D9D9"/>
            </w:pPr>
            <w:r w:rsidRPr="00AA79B4">
              <w:t>  </w:t>
            </w:r>
          </w:p>
        </w:tc>
        <w:tc>
          <w:tcPr>
            <w:tcW w:w="4485" w:type="dxa"/>
            <w:tcBorders>
              <w:top w:val="single" w:sz="6" w:space="0" w:color="auto"/>
              <w:left w:val="single" w:sz="6" w:space="0" w:color="auto"/>
              <w:right w:val="single" w:sz="6" w:space="0" w:color="auto"/>
            </w:tcBorders>
            <w:hideMark/>
          </w:tcPr>
          <w:p w:rsidR="00580110" w:rsidRPr="00AA79B4" w:rsidP="007A3949" w14:paraId="4C0AA469" w14:textId="25C2E0D5">
            <w:pPr>
              <w:shd w:val="clear" w:color="auto" w:fill="D9D9D9"/>
            </w:pPr>
            <w:r w:rsidRPr="00AA79B4">
              <w:t xml:space="preserve">Ms. </w:t>
            </w:r>
            <w:r w:rsidRPr="00AA79B4" w:rsidR="009B682D">
              <w:t>Jeanne Bellotti</w:t>
            </w:r>
            <w:r w:rsidRPr="00AA79B4">
              <w:t> </w:t>
            </w:r>
            <w:r w:rsidRPr="00AA79B4">
              <w:br/>
              <w:t xml:space="preserve">Project Director </w:t>
            </w:r>
            <w:r w:rsidRPr="00AA79B4">
              <w:br/>
            </w:r>
            <w:r w:rsidRPr="00AA79B4" w:rsidR="001D713B">
              <w:t>(609) 375-2243</w:t>
            </w:r>
            <w:r w:rsidRPr="00AA79B4">
              <w:t> </w:t>
            </w:r>
          </w:p>
          <w:p w:rsidR="00580110" w:rsidRPr="00AA79B4" w:rsidP="007A3949" w14:paraId="7A0C5ACD" w14:textId="77777777">
            <w:pPr>
              <w:shd w:val="clear" w:color="auto" w:fill="D9D9D9"/>
            </w:pPr>
          </w:p>
          <w:p w:rsidR="00580110" w:rsidRPr="00AA79B4" w:rsidP="007A3949" w14:paraId="4F522184" w14:textId="6C67F807">
            <w:pPr>
              <w:shd w:val="clear" w:color="auto" w:fill="D9D9D9"/>
            </w:pPr>
            <w:r w:rsidRPr="00AA79B4">
              <w:t>Ms. Brittany English </w:t>
            </w:r>
            <w:r w:rsidRPr="00AA79B4">
              <w:br/>
            </w:r>
            <w:r w:rsidRPr="00AA79B4" w:rsidR="00E554A3">
              <w:t>Co-</w:t>
            </w:r>
            <w:r w:rsidRPr="00AA79B4">
              <w:t>Principal Investigator</w:t>
            </w:r>
            <w:r w:rsidRPr="00AA79B4">
              <w:br/>
              <w:t>(609) 275-2243  </w:t>
            </w:r>
          </w:p>
          <w:p w:rsidR="00580110" w:rsidRPr="00AA79B4" w:rsidP="007A3949" w14:paraId="1CDCA8D6" w14:textId="77777777">
            <w:pPr>
              <w:shd w:val="clear" w:color="auto" w:fill="D9D9D9"/>
            </w:pPr>
          </w:p>
          <w:p w:rsidR="00580110" w:rsidRPr="00AA79B4" w:rsidP="007A3949" w14:paraId="5845D216" w14:textId="77777777">
            <w:pPr>
              <w:shd w:val="clear" w:color="auto" w:fill="D9D9D9"/>
            </w:pPr>
            <w:r w:rsidRPr="00AA79B4">
              <w:t>Dr. Ariella Spitzer </w:t>
            </w:r>
            <w:r w:rsidRPr="00AA79B4">
              <w:br/>
              <w:t>Deputy Project Director  </w:t>
            </w:r>
            <w:r w:rsidRPr="00AA79B4">
              <w:br/>
              <w:t>(617) 715-6963  </w:t>
            </w:r>
          </w:p>
          <w:p w:rsidR="00580110" w:rsidRPr="00AA79B4" w:rsidP="007A3949" w14:paraId="0999869D" w14:textId="77777777">
            <w:pPr>
              <w:shd w:val="clear" w:color="auto" w:fill="D9D9D9"/>
            </w:pPr>
          </w:p>
          <w:p w:rsidR="00580110" w:rsidRPr="00AA79B4" w:rsidP="007A3949" w14:paraId="61CDE8BC" w14:textId="77777777">
            <w:pPr>
              <w:shd w:val="clear" w:color="auto" w:fill="D9D9D9"/>
            </w:pPr>
            <w:r w:rsidRPr="00AA79B4">
              <w:t>Dr. Lisbeth Goble </w:t>
            </w:r>
            <w:r w:rsidRPr="00AA79B4">
              <w:br/>
              <w:t>Principal Survey Researcher  </w:t>
            </w:r>
            <w:r w:rsidRPr="00AA79B4">
              <w:br/>
              <w:t>(312) 994-1016</w:t>
            </w:r>
          </w:p>
          <w:p w:rsidR="00E554A3" w:rsidRPr="00AA79B4" w:rsidP="007A3949" w14:paraId="75F1C612" w14:textId="77777777">
            <w:pPr>
              <w:shd w:val="clear" w:color="auto" w:fill="D9D9D9"/>
            </w:pPr>
          </w:p>
          <w:p w:rsidR="00580110" w:rsidRPr="00AA79B4" w:rsidP="007A3949" w14:paraId="40CE7FBD" w14:textId="778A0683">
            <w:pPr>
              <w:shd w:val="clear" w:color="auto" w:fill="D9D9D9"/>
            </w:pPr>
          </w:p>
        </w:tc>
      </w:tr>
      <w:tr w14:paraId="54632CBC" w14:textId="77777777" w:rsidTr="00580110">
        <w:tblPrEx>
          <w:tblW w:w="9345" w:type="dxa"/>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hideMark/>
          </w:tcPr>
          <w:p w:rsidR="00486423" w:rsidRPr="00AA79B4" w:rsidP="007A3949" w14:paraId="2CD0E78B" w14:textId="77777777">
            <w:pPr>
              <w:shd w:val="clear" w:color="auto" w:fill="D9D9D9"/>
            </w:pPr>
            <w:r w:rsidRPr="00AA79B4">
              <w:t>Edward J. Bloustein School of Planning and Public Policy</w:t>
            </w:r>
          </w:p>
          <w:p w:rsidR="00772C5F" w:rsidRPr="00AA79B4" w:rsidP="00772C5F" w14:paraId="4CE8A286" w14:textId="77777777">
            <w:pPr>
              <w:shd w:val="clear" w:color="auto" w:fill="D9D9D9"/>
            </w:pPr>
            <w:r w:rsidRPr="00AA79B4">
              <w:t>Rutgers, The State University of New Jersey</w:t>
            </w:r>
          </w:p>
          <w:p w:rsidR="00486423" w:rsidRPr="00AA79B4" w:rsidP="007A3949" w14:paraId="4DD76B33" w14:textId="658282BC">
            <w:pPr>
              <w:shd w:val="clear" w:color="auto" w:fill="D9D9D9"/>
            </w:pPr>
            <w:r w:rsidRPr="00AA79B4">
              <w:t>3</w:t>
            </w:r>
            <w:r w:rsidRPr="00AA79B4" w:rsidR="00772C5F">
              <w:t>0</w:t>
            </w:r>
            <w:r w:rsidRPr="00AA79B4">
              <w:t xml:space="preserve"> Livingston Avenue</w:t>
            </w:r>
            <w:r w:rsidRPr="00AA79B4" w:rsidR="00772C5F">
              <w:t xml:space="preserve"> </w:t>
            </w:r>
          </w:p>
          <w:p w:rsidR="007A3949" w:rsidRPr="00AA79B4" w:rsidP="007A3949" w14:paraId="3F2774D7" w14:textId="3B0F1CFA">
            <w:pPr>
              <w:shd w:val="clear" w:color="auto" w:fill="D9D9D9"/>
            </w:pPr>
            <w:r w:rsidRPr="00AA79B4">
              <w:t>New Brunswick, NJ 08901 </w:t>
            </w:r>
          </w:p>
        </w:tc>
        <w:tc>
          <w:tcPr>
            <w:tcW w:w="4485" w:type="dxa"/>
            <w:tcBorders>
              <w:top w:val="single" w:sz="6" w:space="0" w:color="auto"/>
              <w:left w:val="single" w:sz="6" w:space="0" w:color="auto"/>
              <w:bottom w:val="single" w:sz="6" w:space="0" w:color="auto"/>
              <w:right w:val="single" w:sz="6" w:space="0" w:color="auto"/>
            </w:tcBorders>
            <w:hideMark/>
          </w:tcPr>
          <w:p w:rsidR="007A3949" w:rsidRPr="00AA79B4" w:rsidP="007A3949" w14:paraId="6C98AF29" w14:textId="4BF17214">
            <w:pPr>
              <w:shd w:val="clear" w:color="auto" w:fill="D9D9D9"/>
            </w:pPr>
            <w:r w:rsidRPr="00AA79B4">
              <w:t xml:space="preserve">Dr. </w:t>
            </w:r>
            <w:r w:rsidRPr="00AA79B4" w:rsidR="00580110">
              <w:t>Laura Peck</w:t>
            </w:r>
            <w:r w:rsidRPr="00AA79B4">
              <w:t> </w:t>
            </w:r>
          </w:p>
          <w:p w:rsidR="000A7EA0" w:rsidRPr="00AA79B4" w:rsidP="007A3949" w14:paraId="5566C73B" w14:textId="7A5FB117">
            <w:pPr>
              <w:shd w:val="clear" w:color="auto" w:fill="D9D9D9"/>
            </w:pPr>
            <w:r w:rsidRPr="00AA79B4">
              <w:t>Co-</w:t>
            </w:r>
            <w:r w:rsidRPr="00AA79B4" w:rsidR="00486423">
              <w:t>Principal</w:t>
            </w:r>
            <w:r w:rsidRPr="00AA79B4">
              <w:t xml:space="preserve"> Investigator</w:t>
            </w:r>
          </w:p>
          <w:p w:rsidR="00DF22B3" w:rsidRPr="00AA79B4" w:rsidP="00DF22B3" w14:paraId="0C9420B0" w14:textId="33D0F9DF">
            <w:pPr>
              <w:shd w:val="clear" w:color="auto" w:fill="D9D9D9"/>
            </w:pPr>
            <w:r w:rsidRPr="00AA79B4">
              <w:t>(848) 932-1028</w:t>
            </w:r>
          </w:p>
          <w:p w:rsidR="000A7EA0" w:rsidRPr="00AA79B4" w:rsidP="007A3949" w14:paraId="7DA23F4B" w14:textId="0F79B041">
            <w:pPr>
              <w:shd w:val="clear" w:color="auto" w:fill="D9D9D9"/>
            </w:pPr>
          </w:p>
        </w:tc>
      </w:tr>
      <w:tr w14:paraId="69D99A99" w14:textId="77777777" w:rsidTr="00580110">
        <w:tblPrEx>
          <w:tblW w:w="9345" w:type="dxa"/>
          <w:tblCellMar>
            <w:left w:w="0" w:type="dxa"/>
            <w:right w:w="0" w:type="dxa"/>
          </w:tblCellMar>
          <w:tblLook w:val="04A0"/>
        </w:tblPrEx>
        <w:trPr>
          <w:trHeight w:val="300"/>
        </w:trPr>
        <w:tc>
          <w:tcPr>
            <w:tcW w:w="4860" w:type="dxa"/>
            <w:tcBorders>
              <w:top w:val="single" w:sz="6" w:space="0" w:color="auto"/>
              <w:left w:val="single" w:sz="6" w:space="0" w:color="auto"/>
              <w:bottom w:val="single" w:sz="6" w:space="0" w:color="auto"/>
              <w:right w:val="single" w:sz="6" w:space="0" w:color="auto"/>
            </w:tcBorders>
          </w:tcPr>
          <w:p w:rsidR="00930CFA" w:rsidRPr="00AA79B4" w:rsidP="007A3949" w14:paraId="461A0301" w14:textId="77777777">
            <w:pPr>
              <w:shd w:val="clear" w:color="auto" w:fill="D9D9D9"/>
            </w:pPr>
            <w:r w:rsidRPr="00AA79B4">
              <w:t>American Institutes for Research (AIR)</w:t>
            </w:r>
          </w:p>
          <w:p w:rsidR="004259E9" w:rsidRPr="00AA79B4" w:rsidP="007A3949" w14:paraId="319E89D6" w14:textId="77777777">
            <w:pPr>
              <w:shd w:val="clear" w:color="auto" w:fill="D9D9D9"/>
            </w:pPr>
            <w:r w:rsidRPr="00AA79B4">
              <w:t>1400 Crystal Dr</w:t>
            </w:r>
          </w:p>
          <w:p w:rsidR="00930CFA" w:rsidRPr="00AA79B4" w:rsidP="007A3949" w14:paraId="3CDADE46" w14:textId="2ACDA63C">
            <w:pPr>
              <w:shd w:val="clear" w:color="auto" w:fill="D9D9D9"/>
            </w:pPr>
            <w:r w:rsidRPr="00AA79B4">
              <w:t>Arlington, VA 22202</w:t>
            </w:r>
          </w:p>
        </w:tc>
        <w:tc>
          <w:tcPr>
            <w:tcW w:w="4485" w:type="dxa"/>
            <w:tcBorders>
              <w:top w:val="single" w:sz="6" w:space="0" w:color="auto"/>
              <w:left w:val="single" w:sz="6" w:space="0" w:color="auto"/>
              <w:bottom w:val="single" w:sz="6" w:space="0" w:color="auto"/>
              <w:right w:val="single" w:sz="6" w:space="0" w:color="auto"/>
            </w:tcBorders>
          </w:tcPr>
          <w:p w:rsidR="00930CFA" w:rsidRPr="00AA79B4" w:rsidP="007A3949" w14:paraId="6307AF1A" w14:textId="755B56CC">
            <w:pPr>
              <w:shd w:val="clear" w:color="auto" w:fill="D9D9D9"/>
              <w:rPr>
                <w:lang w:val=""/>
              </w:rPr>
            </w:pPr>
            <w:r>
              <w:rPr>
                <w:lang w:val=""/>
              </w:rPr>
              <w:t xml:space="preserve">Ms. </w:t>
            </w:r>
            <w:r w:rsidRPr="00AA79B4">
              <w:rPr>
                <w:lang w:val=""/>
              </w:rPr>
              <w:t>Sio</w:t>
            </w:r>
            <w:r w:rsidRPr="00AA79B4" w:rsidR="00D811E7">
              <w:rPr>
                <w:lang w:val=""/>
              </w:rPr>
              <w:t xml:space="preserve">bhan </w:t>
            </w:r>
            <w:r w:rsidRPr="00AA79B4" w:rsidR="00F120A2">
              <w:rPr>
                <w:lang w:val=""/>
              </w:rPr>
              <w:t>Mills De La Rosa</w:t>
            </w:r>
          </w:p>
          <w:p w:rsidR="00F120A2" w:rsidRPr="00AA79B4" w:rsidP="007A3949" w14:paraId="52A2DEE2" w14:textId="77777777">
            <w:pPr>
              <w:shd w:val="clear" w:color="auto" w:fill="D9D9D9"/>
              <w:rPr>
                <w:lang w:val=""/>
              </w:rPr>
            </w:pPr>
            <w:r w:rsidRPr="00AA79B4">
              <w:rPr>
                <w:lang w:val=""/>
              </w:rPr>
              <w:t xml:space="preserve">Senior </w:t>
            </w:r>
            <w:r w:rsidRPr="00AA79B4">
              <w:rPr>
                <w:lang w:val=""/>
              </w:rPr>
              <w:t>Researcher</w:t>
            </w:r>
          </w:p>
          <w:p w:rsidR="00537077" w:rsidRPr="00AA79B4" w:rsidP="007A3949" w14:paraId="28D2C278" w14:textId="1EAC8A64">
            <w:pPr>
              <w:shd w:val="clear" w:color="auto" w:fill="D9D9D9"/>
            </w:pPr>
            <w:r w:rsidRPr="00AA79B4">
              <w:t>(</w:t>
            </w:r>
            <w:r w:rsidRPr="00AA79B4" w:rsidR="004259E9">
              <w:t>718) 704-3112</w:t>
            </w:r>
          </w:p>
          <w:p w:rsidR="00930CFA" w:rsidRPr="00AA79B4" w:rsidP="007A3949" w14:paraId="338E016E" w14:textId="4761D6EA">
            <w:pPr>
              <w:shd w:val="clear" w:color="auto" w:fill="D9D9D9"/>
            </w:pPr>
          </w:p>
        </w:tc>
      </w:tr>
    </w:tbl>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P="00436F5E" w14:paraId="4F00BB29" w14:textId="57F561F2">
      <w:pPr>
        <w:shd w:val="clear" w:color="auto" w:fill="D9D9D9"/>
      </w:pPr>
      <w:r w:rsidRPr="00A139DD">
        <w:t xml:space="preserve">There are no payments or gifts to </w:t>
      </w:r>
      <w:r w:rsidR="006F63CF">
        <w:t>knowledge development interview</w:t>
      </w:r>
      <w:r w:rsidRPr="00A139DD" w:rsidR="006F63CF">
        <w:t xml:space="preserve"> </w:t>
      </w:r>
      <w:r w:rsidRPr="00A139DD">
        <w:t xml:space="preserve">respondents. </w:t>
      </w:r>
      <w:r w:rsidR="006F63CF">
        <w:t>These interviews</w:t>
      </w:r>
      <w:r w:rsidRPr="00A139DD">
        <w:t xml:space="preserve"> are expected to be carried out </w:t>
      </w:r>
      <w:r w:rsidRPr="00A139DD">
        <w:t>in the course of</w:t>
      </w:r>
      <w:r w:rsidRPr="00A139DD">
        <w:t xml:space="preserve"> </w:t>
      </w:r>
      <w:r w:rsidR="006F63CF">
        <w:t>ES staff’s normal</w:t>
      </w:r>
      <w:r w:rsidRPr="00A139DD" w:rsidR="006F63CF">
        <w:t xml:space="preserve"> </w:t>
      </w:r>
      <w:r w:rsidRPr="00A139DD">
        <w:t xml:space="preserve">employment, and no additional compensation will be provided outside of their normal pay. </w:t>
      </w:r>
    </w:p>
    <w:p w:rsidR="004222F8" w:rsidP="004222F8" w14:paraId="6A18FCB8" w14:textId="77777777">
      <w:pPr>
        <w:spacing w:after="120"/>
        <w:rPr>
          <w:b/>
        </w:rPr>
      </w:pPr>
    </w:p>
    <w:p w:rsidR="004222F8" w:rsidRPr="0072204D" w:rsidP="004222F8" w14:paraId="5BA3FD1A" w14:textId="3EFF692F">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36F5E" w:rsidRPr="005831D4" w:rsidP="00436F5E" w14:paraId="2D3DC88E" w14:textId="7C378F85">
      <w:pPr>
        <w:widowControl w:val="0"/>
        <w:autoSpaceDE w:val="0"/>
        <w:autoSpaceDN w:val="0"/>
        <w:adjustRightInd w:val="0"/>
      </w:pPr>
      <w:r w:rsidRPr="005831D4">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personally identifiable information. The Contractor shall ensure that </w:t>
      </w:r>
      <w:r w:rsidRPr="005831D4">
        <w:t>all of</w:t>
      </w:r>
      <w:r w:rsidRPr="005831D4">
        <w:t xml:space="preserve"> its employees, subcontractors (at all tiers), and employees of each subcontractor, who perform work under this contract/subcontract, are trained on data privacy issues and comply with the above requirements. </w:t>
      </w:r>
    </w:p>
    <w:p w:rsidR="00436F5E" w:rsidRPr="005831D4" w:rsidP="00436F5E" w14:paraId="3643CA2D" w14:textId="77777777"/>
    <w:p w:rsidR="00945CD6" w:rsidRPr="005831D4" w:rsidP="00436F5E" w14:paraId="61AFEAF9" w14:textId="77777777">
      <w:pPr>
        <w:spacing w:after="120"/>
        <w:rPr>
          <w:b/>
        </w:rPr>
      </w:pPr>
      <w:r w:rsidRPr="005831D4">
        <w:rPr>
          <w:b/>
        </w:rPr>
        <w:t>A11. Sensitive Questions</w:t>
      </w:r>
    </w:p>
    <w:p w:rsidR="00D90EF6" w:rsidP="00436F5E" w14:paraId="1CAF74C2" w14:textId="2BB5FF73">
      <w:pPr>
        <w:shd w:val="clear" w:color="auto" w:fill="D9D9D9"/>
      </w:pPr>
      <w:r w:rsidRPr="005831D4">
        <w:t>There are no sensitive questions in this data collection.</w:t>
      </w:r>
    </w:p>
    <w:p w:rsidR="005046F0" w:rsidP="005046F0" w14:paraId="121F0561" w14:textId="77777777">
      <w:pPr>
        <w:ind w:left="360"/>
      </w:pPr>
    </w:p>
    <w:p w:rsidR="00945CD6" w:rsidP="00436F5E" w14:paraId="4B1E17FB" w14:textId="77777777">
      <w:pPr>
        <w:spacing w:after="120"/>
        <w:rPr>
          <w:b/>
        </w:rPr>
      </w:pPr>
      <w:r>
        <w:rPr>
          <w:b/>
        </w:rPr>
        <w:t xml:space="preserve">A12. </w:t>
      </w:r>
      <w:r w:rsidRPr="0072204D">
        <w:rPr>
          <w:b/>
        </w:rPr>
        <w:t>Estimation of Information Collection Burden</w:t>
      </w:r>
    </w:p>
    <w:p w:rsidR="00093608" w:rsidRPr="002F3EDE" w:rsidP="00093608" w14:paraId="15C1160C" w14:textId="77777777">
      <w:pPr>
        <w:spacing w:after="60"/>
        <w:rPr>
          <w:b/>
          <w:i/>
        </w:rPr>
      </w:pPr>
      <w:r w:rsidRPr="002F3EDE">
        <w:rPr>
          <w:b/>
          <w:i/>
        </w:rPr>
        <w:t>Total Annual Cost</w:t>
      </w:r>
    </w:p>
    <w:p w:rsidR="003D73D5" w:rsidRPr="003D73D5" w:rsidP="003D73D5" w14:paraId="506276AC" w14:textId="7A8EB069">
      <w:pPr>
        <w:spacing w:after="120"/>
      </w:pPr>
      <w:r w:rsidRPr="003D73D5">
        <w:rPr>
          <w:highlight w:val="lightGray"/>
        </w:rPr>
        <w:t>Table A.</w:t>
      </w:r>
      <w:r w:rsidR="00204D4B">
        <w:rPr>
          <w:highlight w:val="lightGray"/>
        </w:rPr>
        <w:t>2</w:t>
      </w:r>
      <w:r w:rsidRPr="003D73D5">
        <w:rPr>
          <w:highlight w:val="lightGray"/>
        </w:rPr>
        <w:t xml:space="preserve">. includes assumptions about the annual number of respondents expected; the number of responses per respondent; the average hours of burden per response; the annual burden hours estimated; the time value assumed for respondents; and the total annualized monetary burden </w:t>
      </w:r>
      <w:r w:rsidRPr="003D73D5">
        <w:rPr>
          <w:highlight w:val="lightGray"/>
        </w:rPr>
        <w:t>hours for the employer interviews. The data collection activity this request covers takes place in one year, so the costs listed are the annual cost.</w:t>
      </w:r>
    </w:p>
    <w:p w:rsidR="00436F5E" w:rsidRPr="00A35B0D" w:rsidP="00A35B0D" w14:paraId="52C51794" w14:textId="1A80CDE2">
      <w:r>
        <w:rPr>
          <w:b/>
        </w:rPr>
        <w:t>A.</w:t>
      </w:r>
      <w:r w:rsidR="00204D4B">
        <w:rPr>
          <w:b/>
        </w:rPr>
        <w:t>2</w:t>
      </w:r>
      <w:r>
        <w:rPr>
          <w:b/>
        </w:rPr>
        <w:t xml:space="preserve">. </w:t>
      </w:r>
      <w:r w:rsidRPr="00A35B0D" w:rsidR="008B0B3C">
        <w:rPr>
          <w:b/>
        </w:rPr>
        <w:t>Total Burden Requested Under this Information Collection</w:t>
      </w:r>
    </w:p>
    <w:tbl>
      <w:tblPr>
        <w:tblW w:w="9445" w:type="dxa"/>
        <w:tblInd w:w="-95" w:type="dxa"/>
        <w:tblCellMar>
          <w:top w:w="15" w:type="dxa"/>
          <w:bottom w:w="15" w:type="dxa"/>
        </w:tblCellMar>
        <w:tblLook w:val="04A0"/>
      </w:tblPr>
      <w:tblGrid>
        <w:gridCol w:w="2071"/>
        <w:gridCol w:w="1155"/>
        <w:gridCol w:w="1072"/>
        <w:gridCol w:w="1013"/>
        <w:gridCol w:w="990"/>
        <w:gridCol w:w="1060"/>
        <w:gridCol w:w="1042"/>
        <w:gridCol w:w="1042"/>
      </w:tblGrid>
      <w:tr w14:paraId="33B3BE5E" w14:textId="77777777" w:rsidTr="008B0B3C">
        <w:tblPrEx>
          <w:tblW w:w="9445" w:type="dxa"/>
          <w:tblInd w:w="-95" w:type="dxa"/>
          <w:tblCellMar>
            <w:top w:w="15" w:type="dxa"/>
            <w:bottom w:w="15" w:type="dxa"/>
          </w:tblCellMar>
          <w:tblLook w:val="04A0"/>
        </w:tblPrEx>
        <w:trPr>
          <w:trHeight w:val="750"/>
        </w:trPr>
        <w:tc>
          <w:tcPr>
            <w:tcW w:w="2071"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7BFC735E" w14:textId="77777777">
            <w:pPr>
              <w:rPr>
                <w:rFonts w:ascii="Aptos" w:hAnsi="Aptos"/>
                <w:b/>
                <w:bCs/>
                <w:color w:val="000000"/>
                <w:sz w:val="18"/>
                <w:szCs w:val="14"/>
              </w:rPr>
            </w:pPr>
            <w:r w:rsidRPr="0086404C">
              <w:rPr>
                <w:rFonts w:ascii="Aptos" w:hAnsi="Aptos"/>
                <w:b/>
                <w:bCs/>
                <w:color w:val="000000"/>
                <w:sz w:val="18"/>
                <w:szCs w:val="14"/>
              </w:rPr>
              <w:t>Type of instrument (form/activity)</w:t>
            </w:r>
          </w:p>
        </w:tc>
        <w:tc>
          <w:tcPr>
            <w:tcW w:w="1155"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1EE2CE11" w14:textId="77777777">
            <w:pPr>
              <w:ind w:hanging="15"/>
              <w:rPr>
                <w:rFonts w:ascii="Aptos Narrow" w:hAnsi="Aptos Narrow"/>
                <w:b/>
                <w:bCs/>
                <w:color w:val="000000"/>
                <w:sz w:val="18"/>
                <w:szCs w:val="14"/>
              </w:rPr>
            </w:pPr>
            <w:r w:rsidRPr="0086404C">
              <w:rPr>
                <w:rFonts w:ascii="Aptos Narrow" w:hAnsi="Aptos Narrow"/>
                <w:b/>
                <w:bCs/>
                <w:color w:val="000000"/>
                <w:sz w:val="18"/>
                <w:szCs w:val="14"/>
              </w:rPr>
              <w:t>Number of respondents</w:t>
            </w:r>
          </w:p>
        </w:tc>
        <w:tc>
          <w:tcPr>
            <w:tcW w:w="1072"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7E0831D2" w14:textId="77777777">
            <w:pPr>
              <w:ind w:hanging="15"/>
              <w:rPr>
                <w:rFonts w:ascii="Aptos Narrow" w:hAnsi="Aptos Narrow"/>
                <w:b/>
                <w:bCs/>
                <w:color w:val="000000"/>
                <w:sz w:val="18"/>
                <w:szCs w:val="14"/>
              </w:rPr>
            </w:pPr>
            <w:r w:rsidRPr="0086404C">
              <w:rPr>
                <w:rFonts w:ascii="Aptos Narrow" w:hAnsi="Aptos Narrow"/>
                <w:b/>
                <w:bCs/>
                <w:color w:val="000000"/>
                <w:sz w:val="18"/>
                <w:szCs w:val="14"/>
              </w:rPr>
              <w:t>Number of responses per respondent</w:t>
            </w:r>
          </w:p>
        </w:tc>
        <w:tc>
          <w:tcPr>
            <w:tcW w:w="1013"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1B6C48B7" w14:textId="77777777">
            <w:pPr>
              <w:ind w:hanging="15"/>
              <w:rPr>
                <w:rFonts w:ascii="Aptos Narrow" w:hAnsi="Aptos Narrow"/>
                <w:b/>
                <w:bCs/>
                <w:color w:val="000000"/>
                <w:sz w:val="18"/>
                <w:szCs w:val="14"/>
              </w:rPr>
            </w:pPr>
            <w:r w:rsidRPr="0086404C">
              <w:rPr>
                <w:rFonts w:ascii="Aptos Narrow" w:hAnsi="Aptos Narrow"/>
                <w:b/>
                <w:bCs/>
                <w:color w:val="000000"/>
                <w:sz w:val="18"/>
                <w:szCs w:val="14"/>
              </w:rPr>
              <w:t>Total number of responses</w:t>
            </w:r>
          </w:p>
        </w:tc>
        <w:tc>
          <w:tcPr>
            <w:tcW w:w="990"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242E5F09" w14:textId="77777777">
            <w:pPr>
              <w:ind w:hanging="15"/>
              <w:rPr>
                <w:rFonts w:ascii="Aptos Narrow" w:hAnsi="Aptos Narrow"/>
                <w:b/>
                <w:bCs/>
                <w:color w:val="000000"/>
                <w:sz w:val="18"/>
                <w:szCs w:val="14"/>
              </w:rPr>
            </w:pPr>
            <w:r w:rsidRPr="0086404C">
              <w:rPr>
                <w:rFonts w:ascii="Aptos Narrow" w:hAnsi="Aptos Narrow"/>
                <w:b/>
                <w:bCs/>
                <w:color w:val="000000"/>
                <w:sz w:val="18"/>
                <w:szCs w:val="14"/>
              </w:rPr>
              <w:t>Time per response (hours)</w:t>
            </w:r>
          </w:p>
        </w:tc>
        <w:tc>
          <w:tcPr>
            <w:tcW w:w="1060" w:type="dxa"/>
            <w:tcBorders>
              <w:top w:val="single" w:sz="4" w:space="0" w:color="000000"/>
              <w:left w:val="single" w:sz="4" w:space="0" w:color="000000"/>
              <w:bottom w:val="single" w:sz="4" w:space="0" w:color="000000"/>
              <w:right w:val="single" w:sz="4" w:space="0" w:color="000000"/>
            </w:tcBorders>
            <w:shd w:val="clear" w:color="000000" w:fill="ADADAD"/>
            <w:vAlign w:val="bottom"/>
            <w:hideMark/>
          </w:tcPr>
          <w:p w:rsidR="008B59A0" w:rsidRPr="0086404C" w:rsidP="008B0B3C" w14:paraId="2200ABD8" w14:textId="77777777">
            <w:pPr>
              <w:ind w:hanging="15"/>
              <w:rPr>
                <w:rFonts w:ascii="Aptos Narrow" w:hAnsi="Aptos Narrow"/>
                <w:b/>
                <w:bCs/>
                <w:color w:val="000000"/>
                <w:sz w:val="18"/>
                <w:szCs w:val="14"/>
              </w:rPr>
            </w:pPr>
            <w:r w:rsidRPr="0086404C">
              <w:rPr>
                <w:rFonts w:ascii="Aptos Narrow" w:hAnsi="Aptos Narrow"/>
                <w:b/>
                <w:bCs/>
                <w:color w:val="000000"/>
                <w:sz w:val="18"/>
                <w:szCs w:val="14"/>
              </w:rPr>
              <w:t>Estimated total burden (hours)</w:t>
            </w:r>
          </w:p>
        </w:tc>
        <w:tc>
          <w:tcPr>
            <w:tcW w:w="1042" w:type="dxa"/>
            <w:tcBorders>
              <w:top w:val="single" w:sz="4" w:space="0" w:color="000000"/>
              <w:left w:val="single" w:sz="4" w:space="0" w:color="000000"/>
              <w:bottom w:val="single" w:sz="4" w:space="0" w:color="000000"/>
              <w:right w:val="single" w:sz="4" w:space="0" w:color="000000"/>
            </w:tcBorders>
            <w:shd w:val="clear" w:color="000000" w:fill="ADADAD"/>
            <w:vAlign w:val="bottom"/>
          </w:tcPr>
          <w:p w:rsidR="008B59A0" w:rsidRPr="005F7566" w:rsidP="008B0B3C" w14:paraId="0ECD5391" w14:textId="77777777">
            <w:pPr>
              <w:ind w:hanging="15"/>
              <w:rPr>
                <w:rFonts w:ascii="Aptos Narrow" w:hAnsi="Aptos Narrow"/>
                <w:b/>
                <w:bCs/>
                <w:color w:val="000000"/>
                <w:sz w:val="18"/>
                <w:szCs w:val="14"/>
              </w:rPr>
            </w:pPr>
            <w:r w:rsidRPr="005F7566">
              <w:rPr>
                <w:rFonts w:ascii="Aptos Narrow" w:hAnsi="Aptos Narrow"/>
                <w:b/>
                <w:bCs/>
                <w:color w:val="000000"/>
                <w:sz w:val="18"/>
                <w:szCs w:val="14"/>
              </w:rPr>
              <w:t xml:space="preserve">Average hourly </w:t>
            </w:r>
            <w:r w:rsidRPr="0086404C">
              <w:rPr>
                <w:rFonts w:ascii="Aptos Narrow" w:hAnsi="Aptos Narrow"/>
                <w:b/>
                <w:bCs/>
                <w:color w:val="000000"/>
                <w:sz w:val="18"/>
                <w:szCs w:val="14"/>
                <w:vertAlign w:val="superscript"/>
              </w:rPr>
              <w:t>a</w:t>
            </w:r>
          </w:p>
        </w:tc>
        <w:tc>
          <w:tcPr>
            <w:tcW w:w="1042" w:type="dxa"/>
            <w:tcBorders>
              <w:top w:val="single" w:sz="4" w:space="0" w:color="000000"/>
              <w:left w:val="single" w:sz="4" w:space="0" w:color="000000"/>
              <w:bottom w:val="single" w:sz="4" w:space="0" w:color="000000"/>
              <w:right w:val="single" w:sz="4" w:space="0" w:color="000000"/>
            </w:tcBorders>
            <w:shd w:val="clear" w:color="000000" w:fill="ADADAD"/>
            <w:vAlign w:val="bottom"/>
          </w:tcPr>
          <w:p w:rsidR="008B59A0" w:rsidRPr="005F7566" w:rsidP="008B0B3C" w14:paraId="760B89D6" w14:textId="77777777">
            <w:pPr>
              <w:ind w:hanging="15"/>
              <w:rPr>
                <w:rFonts w:ascii="Aptos Narrow" w:hAnsi="Aptos Narrow"/>
                <w:b/>
                <w:bCs/>
                <w:color w:val="000000"/>
                <w:sz w:val="18"/>
                <w:szCs w:val="14"/>
              </w:rPr>
            </w:pPr>
            <w:r w:rsidRPr="005F7566">
              <w:rPr>
                <w:rFonts w:ascii="Aptos Narrow" w:hAnsi="Aptos Narrow"/>
                <w:b/>
                <w:bCs/>
                <w:color w:val="000000"/>
                <w:sz w:val="18"/>
                <w:szCs w:val="14"/>
              </w:rPr>
              <w:t>Annual monetized burden hours</w:t>
            </w:r>
          </w:p>
        </w:tc>
      </w:tr>
      <w:tr w14:paraId="2D45C5CC" w14:textId="77777777">
        <w:tblPrEx>
          <w:tblW w:w="9445" w:type="dxa"/>
          <w:tblInd w:w="-95" w:type="dxa"/>
          <w:tblCellMar>
            <w:top w:w="15" w:type="dxa"/>
            <w:bottom w:w="15" w:type="dxa"/>
          </w:tblCellMar>
          <w:tblLook w:val="04A0"/>
        </w:tblPrEx>
        <w:trPr>
          <w:trHeight w:val="285"/>
        </w:trPr>
        <w:tc>
          <w:tcPr>
            <w:tcW w:w="2071" w:type="dxa"/>
            <w:tcBorders>
              <w:top w:val="single" w:sz="4" w:space="0" w:color="000000"/>
              <w:left w:val="single" w:sz="4" w:space="0" w:color="000000"/>
              <w:bottom w:val="single" w:sz="4" w:space="0" w:color="000000"/>
              <w:right w:val="single" w:sz="4" w:space="0" w:color="000000"/>
            </w:tcBorders>
            <w:noWrap/>
            <w:vAlign w:val="bottom"/>
            <w:hideMark/>
          </w:tcPr>
          <w:p w:rsidR="00416FA4" w:rsidRPr="0086404C" w14:paraId="769F6B8C" w14:textId="0D18B727">
            <w:pPr>
              <w:rPr>
                <w:rFonts w:ascii="Aptos" w:hAnsi="Aptos"/>
                <w:color w:val="000000"/>
                <w:sz w:val="18"/>
                <w:szCs w:val="14"/>
              </w:rPr>
            </w:pPr>
            <w:r>
              <w:rPr>
                <w:rFonts w:ascii="Aptos" w:hAnsi="Aptos"/>
                <w:color w:val="000000"/>
                <w:sz w:val="18"/>
                <w:szCs w:val="14"/>
              </w:rPr>
              <w:t>Knowledge development interviews</w:t>
            </w:r>
            <w:r w:rsidRPr="0086404C">
              <w:rPr>
                <w:rFonts w:ascii="Aptos" w:hAnsi="Aptos"/>
                <w:color w:val="000000"/>
                <w:sz w:val="18"/>
                <w:szCs w:val="14"/>
              </w:rPr>
              <w:t xml:space="preserve"> </w:t>
            </w:r>
          </w:p>
        </w:tc>
        <w:tc>
          <w:tcPr>
            <w:tcW w:w="1155" w:type="dxa"/>
            <w:tcBorders>
              <w:top w:val="single" w:sz="4" w:space="0" w:color="000000"/>
              <w:left w:val="single" w:sz="4" w:space="0" w:color="000000"/>
              <w:bottom w:val="single" w:sz="4" w:space="0" w:color="000000"/>
              <w:right w:val="single" w:sz="4" w:space="0" w:color="000000"/>
            </w:tcBorders>
            <w:noWrap/>
            <w:vAlign w:val="bottom"/>
            <w:hideMark/>
          </w:tcPr>
          <w:p w:rsidR="00416FA4" w:rsidRPr="0086404C" w14:paraId="5CEDDD0F" w14:textId="051137EF">
            <w:pPr>
              <w:jc w:val="right"/>
              <w:rPr>
                <w:rFonts w:ascii="Aptos Narrow" w:hAnsi="Aptos Narrow"/>
                <w:color w:val="000000"/>
                <w:sz w:val="18"/>
                <w:szCs w:val="14"/>
              </w:rPr>
            </w:pPr>
            <w:r w:rsidRPr="00630BCB">
              <w:rPr>
                <w:rFonts w:ascii="Aptos Narrow" w:hAnsi="Aptos Narrow"/>
                <w:color w:val="000000"/>
                <w:sz w:val="18"/>
                <w:szCs w:val="14"/>
              </w:rPr>
              <w:t>54</w:t>
            </w:r>
          </w:p>
        </w:tc>
        <w:tc>
          <w:tcPr>
            <w:tcW w:w="1072" w:type="dxa"/>
            <w:tcBorders>
              <w:top w:val="single" w:sz="4" w:space="0" w:color="000000"/>
              <w:left w:val="single" w:sz="4" w:space="0" w:color="000000"/>
              <w:bottom w:val="single" w:sz="4" w:space="0" w:color="000000"/>
              <w:right w:val="single" w:sz="4" w:space="0" w:color="000000"/>
            </w:tcBorders>
            <w:noWrap/>
            <w:vAlign w:val="bottom"/>
            <w:hideMark/>
          </w:tcPr>
          <w:p w:rsidR="00416FA4" w:rsidRPr="0086404C" w14:paraId="2C466463" w14:textId="77777777">
            <w:pPr>
              <w:jc w:val="right"/>
              <w:rPr>
                <w:rFonts w:ascii="Aptos Narrow" w:hAnsi="Aptos Narrow"/>
                <w:color w:val="000000"/>
                <w:sz w:val="18"/>
                <w:szCs w:val="14"/>
              </w:rPr>
            </w:pPr>
            <w:r w:rsidRPr="0086404C">
              <w:rPr>
                <w:rFonts w:ascii="Aptos Narrow" w:hAnsi="Aptos Narrow"/>
                <w:color w:val="000000"/>
                <w:sz w:val="18"/>
                <w:szCs w:val="14"/>
              </w:rPr>
              <w:t>1</w:t>
            </w:r>
          </w:p>
        </w:tc>
        <w:tc>
          <w:tcPr>
            <w:tcW w:w="1013" w:type="dxa"/>
            <w:tcBorders>
              <w:top w:val="single" w:sz="4" w:space="0" w:color="000000"/>
              <w:left w:val="single" w:sz="4" w:space="0" w:color="000000"/>
              <w:bottom w:val="single" w:sz="4" w:space="0" w:color="000000"/>
              <w:right w:val="single" w:sz="4" w:space="0" w:color="000000"/>
            </w:tcBorders>
            <w:noWrap/>
            <w:vAlign w:val="bottom"/>
            <w:hideMark/>
          </w:tcPr>
          <w:p w:rsidR="00416FA4" w:rsidRPr="0086404C" w14:paraId="2385FEF0" w14:textId="6AD3C319">
            <w:pPr>
              <w:jc w:val="right"/>
              <w:rPr>
                <w:rFonts w:ascii="Aptos Narrow" w:hAnsi="Aptos Narrow"/>
                <w:color w:val="000000"/>
                <w:sz w:val="18"/>
                <w:szCs w:val="14"/>
              </w:rPr>
            </w:pPr>
            <w:r w:rsidRPr="00630BCB">
              <w:rPr>
                <w:rFonts w:ascii="Aptos Narrow" w:hAnsi="Aptos Narrow"/>
                <w:color w:val="000000"/>
                <w:sz w:val="18"/>
                <w:szCs w:val="14"/>
              </w:rPr>
              <w:t>54</w:t>
            </w:r>
          </w:p>
        </w:tc>
        <w:tc>
          <w:tcPr>
            <w:tcW w:w="990" w:type="dxa"/>
            <w:tcBorders>
              <w:top w:val="single" w:sz="4" w:space="0" w:color="000000"/>
              <w:left w:val="single" w:sz="4" w:space="0" w:color="000000"/>
              <w:bottom w:val="single" w:sz="4" w:space="0" w:color="000000"/>
              <w:right w:val="single" w:sz="4" w:space="0" w:color="000000"/>
            </w:tcBorders>
            <w:noWrap/>
            <w:vAlign w:val="bottom"/>
            <w:hideMark/>
          </w:tcPr>
          <w:p w:rsidR="00416FA4" w:rsidRPr="0086404C" w14:paraId="6691EFE9" w14:textId="1BA0A6D6">
            <w:pPr>
              <w:jc w:val="right"/>
              <w:rPr>
                <w:rFonts w:ascii="Aptos Narrow" w:hAnsi="Aptos Narrow"/>
                <w:color w:val="000000"/>
                <w:sz w:val="18"/>
                <w:szCs w:val="14"/>
              </w:rPr>
            </w:pPr>
            <w:r>
              <w:rPr>
                <w:rFonts w:ascii="Aptos Narrow" w:hAnsi="Aptos Narrow"/>
                <w:color w:val="000000"/>
                <w:sz w:val="18"/>
                <w:szCs w:val="14"/>
              </w:rPr>
              <w:t>1</w:t>
            </w:r>
            <w:r w:rsidRPr="00630BCB" w:rsidR="009C2425">
              <w:rPr>
                <w:rFonts w:ascii="Aptos Narrow" w:hAnsi="Aptos Narrow"/>
                <w:color w:val="000000"/>
                <w:sz w:val="18"/>
                <w:szCs w:val="14"/>
              </w:rPr>
              <w:t>.5</w:t>
            </w:r>
          </w:p>
        </w:tc>
        <w:tc>
          <w:tcPr>
            <w:tcW w:w="1060" w:type="dxa"/>
            <w:tcBorders>
              <w:top w:val="single" w:sz="4" w:space="0" w:color="000000"/>
              <w:left w:val="single" w:sz="4" w:space="0" w:color="000000"/>
              <w:bottom w:val="single" w:sz="4" w:space="0" w:color="000000"/>
              <w:right w:val="single" w:sz="4" w:space="0" w:color="000000"/>
            </w:tcBorders>
            <w:noWrap/>
            <w:vAlign w:val="bottom"/>
            <w:hideMark/>
          </w:tcPr>
          <w:p w:rsidR="00416FA4" w:rsidRPr="00630BCB" w14:paraId="07ADBCBA" w14:textId="5709E8E2">
            <w:pPr>
              <w:jc w:val="right"/>
              <w:rPr>
                <w:rFonts w:ascii="Aptos Narrow" w:hAnsi="Aptos Narrow"/>
                <w:color w:val="000000"/>
                <w:sz w:val="18"/>
                <w:szCs w:val="14"/>
              </w:rPr>
            </w:pPr>
            <w:r w:rsidRPr="00630BCB">
              <w:rPr>
                <w:rFonts w:ascii="Aptos Narrow" w:hAnsi="Aptos Narrow"/>
                <w:color w:val="000000"/>
                <w:sz w:val="18"/>
                <w:szCs w:val="14"/>
              </w:rPr>
              <w:t>81</w:t>
            </w:r>
          </w:p>
        </w:tc>
        <w:tc>
          <w:tcPr>
            <w:tcW w:w="1042" w:type="dxa"/>
            <w:tcBorders>
              <w:top w:val="single" w:sz="4" w:space="0" w:color="000000"/>
              <w:left w:val="single" w:sz="4" w:space="0" w:color="000000"/>
              <w:bottom w:val="single" w:sz="4" w:space="0" w:color="000000"/>
              <w:right w:val="single" w:sz="4" w:space="0" w:color="000000"/>
            </w:tcBorders>
            <w:vAlign w:val="bottom"/>
          </w:tcPr>
          <w:p w:rsidR="00416FA4" w:rsidRPr="00500899" w14:paraId="2F2DE172" w14:textId="77777777">
            <w:pPr>
              <w:jc w:val="right"/>
              <w:rPr>
                <w:rFonts w:ascii="Aptos Narrow" w:hAnsi="Aptos Narrow"/>
                <w:color w:val="000000"/>
                <w:sz w:val="18"/>
                <w:szCs w:val="18"/>
              </w:rPr>
            </w:pPr>
            <w:r w:rsidRPr="0086404C">
              <w:rPr>
                <w:rFonts w:ascii="Aptos Narrow" w:hAnsi="Aptos Narrow"/>
                <w:color w:val="000000"/>
                <w:sz w:val="18"/>
                <w:szCs w:val="18"/>
              </w:rPr>
              <w:t xml:space="preserve"> $30.01 </w:t>
            </w:r>
          </w:p>
        </w:tc>
        <w:tc>
          <w:tcPr>
            <w:tcW w:w="1042" w:type="dxa"/>
            <w:tcBorders>
              <w:top w:val="single" w:sz="4" w:space="0" w:color="000000"/>
              <w:left w:val="single" w:sz="4" w:space="0" w:color="000000"/>
              <w:bottom w:val="single" w:sz="4" w:space="0" w:color="000000"/>
              <w:right w:val="single" w:sz="4" w:space="0" w:color="000000"/>
            </w:tcBorders>
            <w:vAlign w:val="bottom"/>
          </w:tcPr>
          <w:p w:rsidR="00416FA4" w:rsidRPr="00630BCB" w14:paraId="0E2E9CE5" w14:textId="2384A17E">
            <w:pPr>
              <w:jc w:val="right"/>
              <w:rPr>
                <w:rFonts w:ascii="Aptos Narrow" w:hAnsi="Aptos Narrow"/>
                <w:color w:val="000000"/>
                <w:sz w:val="18"/>
                <w:szCs w:val="18"/>
              </w:rPr>
            </w:pPr>
            <w:r w:rsidRPr="00630BCB">
              <w:rPr>
                <w:rFonts w:ascii="Aptos Narrow" w:hAnsi="Aptos Narrow"/>
                <w:color w:val="000000"/>
                <w:sz w:val="18"/>
                <w:szCs w:val="18"/>
              </w:rPr>
              <w:t xml:space="preserve"> $</w:t>
            </w:r>
            <w:r w:rsidRPr="00630BCB" w:rsidR="00E10F96">
              <w:rPr>
                <w:rFonts w:ascii="Aptos Narrow" w:hAnsi="Aptos Narrow"/>
                <w:color w:val="000000"/>
                <w:sz w:val="18"/>
                <w:szCs w:val="18"/>
              </w:rPr>
              <w:t>2,430.81</w:t>
            </w:r>
          </w:p>
        </w:tc>
      </w:tr>
      <w:tr w14:paraId="0D29C7D3" w14:textId="77777777" w:rsidTr="008B0B3C">
        <w:tblPrEx>
          <w:tblW w:w="9445" w:type="dxa"/>
          <w:tblInd w:w="-95" w:type="dxa"/>
          <w:tblCellMar>
            <w:top w:w="15" w:type="dxa"/>
            <w:bottom w:w="15" w:type="dxa"/>
          </w:tblCellMar>
          <w:tblLook w:val="04A0"/>
        </w:tblPrEx>
        <w:trPr>
          <w:trHeight w:val="335"/>
        </w:trPr>
        <w:tc>
          <w:tcPr>
            <w:tcW w:w="2071" w:type="dxa"/>
            <w:tcBorders>
              <w:top w:val="single" w:sz="4" w:space="0" w:color="000000"/>
              <w:left w:val="single" w:sz="4" w:space="0" w:color="000000"/>
              <w:bottom w:val="single" w:sz="4" w:space="0" w:color="000000"/>
              <w:right w:val="single" w:sz="4" w:space="0" w:color="000000"/>
            </w:tcBorders>
            <w:noWrap/>
            <w:vAlign w:val="bottom"/>
          </w:tcPr>
          <w:p w:rsidR="008B59A0" w:rsidRPr="0086404C" w:rsidP="008B0B3C" w14:paraId="47C82FAF" w14:textId="77777777">
            <w:pPr>
              <w:jc w:val="right"/>
              <w:rPr>
                <w:rFonts w:ascii="Aptos" w:hAnsi="Aptos"/>
                <w:b/>
                <w:bCs/>
                <w:color w:val="000000"/>
                <w:sz w:val="18"/>
                <w:szCs w:val="14"/>
              </w:rPr>
            </w:pPr>
            <w:r w:rsidRPr="0086404C">
              <w:rPr>
                <w:rFonts w:ascii="Aptos" w:hAnsi="Aptos"/>
                <w:b/>
                <w:bCs/>
                <w:color w:val="000000"/>
                <w:sz w:val="18"/>
                <w:szCs w:val="14"/>
              </w:rPr>
              <w:t>TOTAL</w:t>
            </w:r>
          </w:p>
        </w:tc>
        <w:tc>
          <w:tcPr>
            <w:tcW w:w="1155" w:type="dxa"/>
            <w:tcBorders>
              <w:top w:val="single" w:sz="4" w:space="0" w:color="000000"/>
              <w:left w:val="single" w:sz="4" w:space="0" w:color="000000"/>
              <w:bottom w:val="single" w:sz="4" w:space="0" w:color="000000"/>
              <w:right w:val="single" w:sz="4" w:space="0" w:color="000000"/>
            </w:tcBorders>
            <w:noWrap/>
            <w:vAlign w:val="bottom"/>
          </w:tcPr>
          <w:p w:rsidR="008B59A0" w:rsidRPr="0086404C" w:rsidP="008B0B3C" w14:paraId="65DA14BA" w14:textId="0A0A8D2D">
            <w:pPr>
              <w:jc w:val="right"/>
              <w:rPr>
                <w:rFonts w:ascii="Aptos Narrow" w:hAnsi="Aptos Narrow"/>
                <w:color w:val="000000"/>
                <w:sz w:val="18"/>
                <w:szCs w:val="14"/>
              </w:rPr>
            </w:pPr>
            <w:r>
              <w:rPr>
                <w:rFonts w:ascii="Aptos Narrow" w:hAnsi="Aptos Narrow"/>
                <w:color w:val="000000"/>
                <w:sz w:val="18"/>
                <w:szCs w:val="14"/>
              </w:rPr>
              <w:t>54</w:t>
            </w:r>
          </w:p>
        </w:tc>
        <w:tc>
          <w:tcPr>
            <w:tcW w:w="1072" w:type="dxa"/>
            <w:tcBorders>
              <w:top w:val="single" w:sz="4" w:space="0" w:color="000000"/>
              <w:left w:val="single" w:sz="4" w:space="0" w:color="000000"/>
              <w:bottom w:val="single" w:sz="4" w:space="0" w:color="000000"/>
              <w:right w:val="single" w:sz="4" w:space="0" w:color="000000"/>
            </w:tcBorders>
            <w:noWrap/>
            <w:vAlign w:val="bottom"/>
          </w:tcPr>
          <w:p w:rsidR="008B59A0" w:rsidRPr="0086404C" w:rsidP="008B0B3C" w14:paraId="7A5A20B3" w14:textId="77777777">
            <w:pPr>
              <w:jc w:val="right"/>
              <w:rPr>
                <w:rFonts w:ascii="Aptos Narrow" w:hAnsi="Aptos Narrow"/>
                <w:color w:val="000000"/>
                <w:sz w:val="18"/>
                <w:szCs w:val="14"/>
              </w:rPr>
            </w:pPr>
          </w:p>
        </w:tc>
        <w:tc>
          <w:tcPr>
            <w:tcW w:w="1013" w:type="dxa"/>
            <w:tcBorders>
              <w:top w:val="single" w:sz="4" w:space="0" w:color="000000"/>
              <w:left w:val="single" w:sz="4" w:space="0" w:color="000000"/>
              <w:bottom w:val="single" w:sz="4" w:space="0" w:color="000000"/>
              <w:right w:val="single" w:sz="4" w:space="0" w:color="000000"/>
            </w:tcBorders>
            <w:noWrap/>
            <w:vAlign w:val="bottom"/>
          </w:tcPr>
          <w:p w:rsidR="008B59A0" w:rsidRPr="0086404C" w:rsidP="008B0B3C" w14:paraId="6EA559E7" w14:textId="3F7ED41F">
            <w:pPr>
              <w:jc w:val="right"/>
              <w:rPr>
                <w:rFonts w:ascii="Aptos Narrow" w:hAnsi="Aptos Narrow"/>
                <w:color w:val="000000"/>
                <w:sz w:val="18"/>
                <w:szCs w:val="14"/>
              </w:rPr>
            </w:pPr>
            <w:r>
              <w:rPr>
                <w:rFonts w:ascii="Aptos Narrow" w:hAnsi="Aptos Narrow"/>
                <w:color w:val="000000"/>
                <w:sz w:val="18"/>
                <w:szCs w:val="14"/>
              </w:rPr>
              <w:t>54</w:t>
            </w:r>
          </w:p>
        </w:tc>
        <w:tc>
          <w:tcPr>
            <w:tcW w:w="990" w:type="dxa"/>
            <w:tcBorders>
              <w:top w:val="single" w:sz="4" w:space="0" w:color="000000"/>
              <w:left w:val="single" w:sz="4" w:space="0" w:color="000000"/>
              <w:bottom w:val="single" w:sz="4" w:space="0" w:color="000000"/>
              <w:right w:val="single" w:sz="4" w:space="0" w:color="000000"/>
            </w:tcBorders>
            <w:noWrap/>
            <w:vAlign w:val="bottom"/>
          </w:tcPr>
          <w:p w:rsidR="008B59A0" w:rsidRPr="0086404C" w:rsidP="008B0B3C" w14:paraId="5876DBE4" w14:textId="77777777">
            <w:pPr>
              <w:jc w:val="right"/>
              <w:rPr>
                <w:rFonts w:ascii="Aptos Narrow" w:hAnsi="Aptos Narrow"/>
                <w:color w:val="000000"/>
                <w:sz w:val="18"/>
                <w:szCs w:val="14"/>
              </w:rPr>
            </w:pPr>
          </w:p>
        </w:tc>
        <w:tc>
          <w:tcPr>
            <w:tcW w:w="1060" w:type="dxa"/>
            <w:tcBorders>
              <w:top w:val="single" w:sz="4" w:space="0" w:color="000000"/>
              <w:left w:val="single" w:sz="4" w:space="0" w:color="000000"/>
              <w:bottom w:val="single" w:sz="4" w:space="0" w:color="000000"/>
              <w:right w:val="single" w:sz="4" w:space="0" w:color="000000"/>
            </w:tcBorders>
            <w:noWrap/>
            <w:vAlign w:val="bottom"/>
          </w:tcPr>
          <w:p w:rsidR="008B59A0" w:rsidRPr="00630BCB" w:rsidP="008B0B3C" w14:paraId="62DEA619" w14:textId="0251B988">
            <w:pPr>
              <w:jc w:val="right"/>
              <w:rPr>
                <w:rFonts w:ascii="Aptos Narrow" w:hAnsi="Aptos Narrow"/>
                <w:color w:val="000000"/>
                <w:sz w:val="18"/>
                <w:szCs w:val="14"/>
              </w:rPr>
            </w:pPr>
            <w:r w:rsidRPr="00630BCB">
              <w:rPr>
                <w:rFonts w:ascii="Aptos Narrow" w:hAnsi="Aptos Narrow"/>
                <w:color w:val="000000"/>
                <w:sz w:val="18"/>
                <w:szCs w:val="14"/>
              </w:rPr>
              <w:t>81</w:t>
            </w:r>
          </w:p>
        </w:tc>
        <w:tc>
          <w:tcPr>
            <w:tcW w:w="1042" w:type="dxa"/>
            <w:tcBorders>
              <w:top w:val="single" w:sz="4" w:space="0" w:color="000000"/>
              <w:left w:val="single" w:sz="4" w:space="0" w:color="000000"/>
              <w:bottom w:val="single" w:sz="4" w:space="0" w:color="000000"/>
              <w:right w:val="single" w:sz="4" w:space="0" w:color="000000"/>
            </w:tcBorders>
            <w:vAlign w:val="bottom"/>
          </w:tcPr>
          <w:p w:rsidR="008B59A0" w:rsidRPr="005F7566" w:rsidP="008B0B3C" w14:paraId="1296F8FB" w14:textId="77777777">
            <w:pPr>
              <w:jc w:val="right"/>
              <w:rPr>
                <w:rFonts w:ascii="Aptos Narrow" w:hAnsi="Aptos Narrow"/>
                <w:color w:val="000000"/>
                <w:sz w:val="18"/>
                <w:szCs w:val="14"/>
              </w:rPr>
            </w:pPr>
          </w:p>
        </w:tc>
        <w:tc>
          <w:tcPr>
            <w:tcW w:w="1042" w:type="dxa"/>
            <w:tcBorders>
              <w:top w:val="single" w:sz="4" w:space="0" w:color="000000"/>
              <w:left w:val="single" w:sz="4" w:space="0" w:color="000000"/>
              <w:bottom w:val="single" w:sz="4" w:space="0" w:color="000000"/>
              <w:right w:val="single" w:sz="4" w:space="0" w:color="000000"/>
            </w:tcBorders>
            <w:vAlign w:val="bottom"/>
          </w:tcPr>
          <w:p w:rsidR="008B59A0" w:rsidRPr="00630BCB" w:rsidP="008B0B3C" w14:paraId="44DA7E3D" w14:textId="0593E10F">
            <w:pPr>
              <w:jc w:val="right"/>
              <w:rPr>
                <w:rFonts w:ascii="Aptos Narrow" w:hAnsi="Aptos Narrow"/>
                <w:color w:val="000000"/>
                <w:sz w:val="18"/>
                <w:szCs w:val="14"/>
              </w:rPr>
            </w:pPr>
            <w:r w:rsidRPr="00630BCB">
              <w:rPr>
                <w:rFonts w:ascii="Aptos Narrow" w:hAnsi="Aptos Narrow"/>
                <w:color w:val="000000"/>
                <w:sz w:val="18"/>
                <w:szCs w:val="18"/>
              </w:rPr>
              <w:t>$2,430.81</w:t>
            </w:r>
          </w:p>
        </w:tc>
      </w:tr>
    </w:tbl>
    <w:p w:rsidR="00436F5E" w:rsidP="00436F5E" w14:paraId="7B3F5421" w14:textId="712320D7">
      <w:r w:rsidRPr="00204B68">
        <w:rPr>
          <w:vertAlign w:val="superscript"/>
        </w:rPr>
        <w:t>a</w:t>
      </w:r>
      <w:r w:rsidRPr="00204B68">
        <w:t xml:space="preserve"> </w:t>
      </w:r>
      <w:r w:rsidRPr="00204B68">
        <w:rPr>
          <w:sz w:val="18"/>
          <w:szCs w:val="18"/>
        </w:rPr>
        <w:t xml:space="preserve">Average hourly wages were obtained from the U.S. Bureau of Labor Statistics, National, State, Metropolitan, and Nonmetropolitan Area Occupational Employment and Wage Estimates, May 2024 (accessed at https://www.bls.gov/oes/current/oes_nat.htm on May 30, 2025). Estimates of administrators’ and managers’ wages are based on the median wages for “social and community service managers” ($30.01). </w:t>
      </w:r>
    </w:p>
    <w:p w:rsidR="00204B68" w:rsidP="00436F5E" w14:paraId="5EE09F69" w14:textId="77777777"/>
    <w:p w:rsidR="00400B99" w:rsidRPr="00400B99" w:rsidP="00400B99" w14:paraId="0A457523" w14:textId="51744667">
      <w:pPr>
        <w:shd w:val="clear" w:color="auto" w:fill="D9D9D9"/>
      </w:pPr>
      <w:r w:rsidRPr="00400B99">
        <w:t xml:space="preserve">We estimate that the study team will successfully interview </w:t>
      </w:r>
      <w:r w:rsidR="007428EB">
        <w:t xml:space="preserve">administrators at </w:t>
      </w:r>
      <w:r w:rsidR="00525ADC">
        <w:t>18 state</w:t>
      </w:r>
      <w:r w:rsidRPr="00400B99">
        <w:t xml:space="preserve"> </w:t>
      </w:r>
      <w:r w:rsidR="005F3F47">
        <w:t>workforce agenc</w:t>
      </w:r>
      <w:r w:rsidR="007428EB">
        <w:t>ies</w:t>
      </w:r>
      <w:r w:rsidRPr="007428EB" w:rsidR="005F3F47">
        <w:t>.</w:t>
      </w:r>
      <w:r w:rsidRPr="007428EB">
        <w:t xml:space="preserve"> </w:t>
      </w:r>
      <w:r w:rsidRPr="007428EB">
        <w:t xml:space="preserve">We </w:t>
      </w:r>
      <w:r w:rsidRPr="007428EB" w:rsidR="00DC61CC">
        <w:t>assume that all interviews will include 3 participants (18 interviews * 3 participants)</w:t>
      </w:r>
      <w:r w:rsidR="005038CF">
        <w:t xml:space="preserve"> for a total of </w:t>
      </w:r>
      <w:r w:rsidRPr="007428EB" w:rsidR="009C2425">
        <w:t>54</w:t>
      </w:r>
      <w:r w:rsidRPr="007428EB" w:rsidR="00DC61CC">
        <w:t xml:space="preserve"> </w:t>
      </w:r>
      <w:r w:rsidRPr="007428EB">
        <w:t>respondents.</w:t>
      </w:r>
      <w:r w:rsidRPr="00400B99">
        <w:t>  </w:t>
      </w:r>
    </w:p>
    <w:p w:rsidR="00400B99" w:rsidRPr="00400B99" w:rsidP="00400B99" w14:paraId="25AB7D9C" w14:textId="77777777">
      <w:pPr>
        <w:shd w:val="clear" w:color="auto" w:fill="D9D9D9"/>
      </w:pPr>
      <w:r w:rsidRPr="00400B99">
        <w:t> </w:t>
      </w:r>
    </w:p>
    <w:p w:rsidR="00400B99" w:rsidRPr="00400B99" w:rsidP="00400B99" w14:paraId="3EFE7E7F" w14:textId="45923EE8">
      <w:pPr>
        <w:shd w:val="clear" w:color="auto" w:fill="D9D9D9"/>
      </w:pPr>
      <w:r w:rsidRPr="00400B99">
        <w:t xml:space="preserve">We estimate interviews will take about </w:t>
      </w:r>
      <w:r w:rsidR="009C2425">
        <w:t>90</w:t>
      </w:r>
      <w:r w:rsidRPr="00400B99">
        <w:t xml:space="preserve"> minutes to complete. The annualized burden is approximately </w:t>
      </w:r>
      <w:r w:rsidR="00630BCB">
        <w:t>81</w:t>
      </w:r>
      <w:r w:rsidRPr="00400B99">
        <w:t xml:space="preserve"> hours. Using the mean wage for </w:t>
      </w:r>
      <w:r w:rsidRPr="00CA7292" w:rsidR="00CA7292">
        <w:t xml:space="preserve">social and community service managers </w:t>
      </w:r>
      <w:r w:rsidRPr="00400B99">
        <w:t>of $</w:t>
      </w:r>
      <w:r w:rsidR="00F03C08">
        <w:t>30.01</w:t>
      </w:r>
      <w:r w:rsidRPr="00400B99">
        <w:t>, we estimate the annual cost to be $</w:t>
      </w:r>
      <w:r w:rsidR="00953EA3">
        <w:t>2,430.81</w:t>
      </w:r>
      <w:r w:rsidRPr="00400B99">
        <w:t>. </w:t>
      </w:r>
    </w:p>
    <w:p w:rsidR="002338AC" w:rsidP="00436F5E" w14:paraId="71C99DB3" w14:textId="77777777">
      <w:pPr>
        <w:shd w:val="clear" w:color="auto" w:fill="D9D9D9"/>
      </w:pP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BE7952" w:rsidP="00953EA3" w14:paraId="1E6B065E" w14:textId="1ED87583">
      <w:r w:rsidRPr="00953EA3">
        <w:t>There are no additional costs to respondents.</w:t>
      </w:r>
    </w:p>
    <w:p w:rsidR="002338AC" w:rsidP="00436F5E" w14:paraId="0AE0196C" w14:textId="77777777"/>
    <w:p w:rsidR="00945CD6" w:rsidRPr="0072204D" w:rsidP="00436F5E" w14:paraId="523BEC78" w14:textId="509F0886">
      <w:pPr>
        <w:spacing w:after="60"/>
        <w:rPr>
          <w:b/>
        </w:rPr>
      </w:pPr>
      <w:r>
        <w:rPr>
          <w:b/>
        </w:rPr>
        <w:t xml:space="preserve">A14. </w:t>
      </w:r>
      <w:r w:rsidRPr="0072204D">
        <w:rPr>
          <w:b/>
        </w:rPr>
        <w:t>Estimate of Cost to the Federal Government</w:t>
      </w:r>
    </w:p>
    <w:p w:rsidR="00571A5D" w:rsidP="00436F5E" w14:paraId="0B96D414" w14:textId="5D8B9D28">
      <w:r>
        <w:rPr>
          <w:b/>
          <w:bCs/>
        </w:rPr>
        <w:t xml:space="preserve">Contractor costs to conduct the study. </w:t>
      </w:r>
      <w:r w:rsidRPr="00781AAB">
        <w:t>The cost of the data collection activity is estimated at $5</w:t>
      </w:r>
      <w:r>
        <w:t>4</w:t>
      </w:r>
      <w:r w:rsidRPr="00781AAB">
        <w:t xml:space="preserve">,000, including contract staff salaries. These estimates are based on previous budgets for similar </w:t>
      </w:r>
      <w:r>
        <w:t xml:space="preserve">clarifying phone interviews with state administrators. </w:t>
      </w:r>
    </w:p>
    <w:p w:rsidR="00436F5E" w:rsidP="00436F5E" w14:paraId="6E535D2C" w14:textId="77777777"/>
    <w:p w:rsidR="00427F43" w:rsidRPr="00427F43" w:rsidP="00427F43" w14:paraId="5360A6FC" w14:textId="6630BA7E">
      <w:r w:rsidRPr="00427F43">
        <w:rPr>
          <w:b/>
          <w:bCs/>
        </w:rPr>
        <w:t xml:space="preserve">Costs of Federal Technical Staff. </w:t>
      </w:r>
      <w:r w:rsidRPr="00427F43">
        <w:t>The annual cost for DOL technical staff to oversee the contract is estimated to be $</w:t>
      </w:r>
      <w:r w:rsidR="00CD7CB3">
        <w:t>4,702</w:t>
      </w:r>
      <w:r w:rsidRPr="00427F43">
        <w:t xml:space="preserve">. We estimated this using a two-step process. First, we estimated the cost of DOL staff time. We expect the annual level of effort to oversee the studies covered in this OMB package will be </w:t>
      </w:r>
      <w:r w:rsidR="00CD7CB3">
        <w:t>40</w:t>
      </w:r>
      <w:r w:rsidRPr="00427F43">
        <w:t xml:space="preserve"> hours, multiplied by the hourly rate ($73.47) for one federal GS 14 step 4 employee based in the District of Columbia.</w:t>
      </w:r>
      <w:r>
        <w:rPr>
          <w:vertAlign w:val="superscript"/>
        </w:rPr>
        <w:footnoteReference w:customMarkFollows="1" w:id="2"/>
        <w:t xml:space="preserve">[1]</w:t>
      </w:r>
      <w:r w:rsidRPr="00427F43">
        <w:t xml:space="preserve"> Second, to account for fringe benefits and other overhead costs, DOL has applied a multiplication factor of 1.6, which yields </w:t>
      </w:r>
      <w:r w:rsidR="00CD7CB3">
        <w:t>40</w:t>
      </w:r>
      <w:r w:rsidRPr="00427F43">
        <w:t xml:space="preserve"> hours × $73.47 × 1.6 = $</w:t>
      </w:r>
      <w:r w:rsidR="00CD7CB3">
        <w:t>4,702.</w:t>
      </w:r>
      <w:r w:rsidRPr="00427F43">
        <w:t> </w:t>
      </w:r>
    </w:p>
    <w:p w:rsidR="00427F43" w:rsidRPr="00427F43" w:rsidP="00427F43" w14:paraId="3DF2FB45" w14:textId="77777777">
      <w:pPr>
        <w:rPr>
          <w:b/>
          <w:bCs/>
        </w:rPr>
      </w:pPr>
    </w:p>
    <w:p w:rsidR="00427F43" w:rsidRPr="00427F43" w:rsidP="00427F43" w14:paraId="2D9E6B39" w14:textId="304CE0B9">
      <w:r w:rsidRPr="00427F43">
        <w:t>Thus, the total annualized federal cost is $</w:t>
      </w:r>
      <w:r w:rsidR="001266E9">
        <w:t>54,000</w:t>
      </w:r>
      <w:r w:rsidRPr="00427F43">
        <w:t xml:space="preserve"> + $</w:t>
      </w:r>
      <w:r w:rsidR="00CD7CB3">
        <w:t>4,702</w:t>
      </w:r>
      <w:r w:rsidRPr="00427F43">
        <w:t xml:space="preserve"> = $</w:t>
      </w:r>
      <w:r w:rsidR="00CD7CB3">
        <w:t>58,702</w:t>
      </w:r>
      <w:r w:rsidRPr="00427F43">
        <w:t xml:space="preserve">. </w:t>
      </w:r>
    </w:p>
    <w:p w:rsidR="00427F43" w:rsidP="00436F5E" w14:paraId="46E859E4" w14:textId="77777777"/>
    <w:p w:rsidR="00427F43" w:rsidP="00436F5E" w14:paraId="14E62F23" w14:textId="77777777"/>
    <w:p w:rsidR="00945CD6" w:rsidP="00436F5E" w14:paraId="0F2A43BE" w14:textId="77777777">
      <w:pPr>
        <w:spacing w:after="120"/>
        <w:rPr>
          <w:b/>
        </w:rPr>
      </w:pPr>
      <w:r>
        <w:rPr>
          <w:b/>
        </w:rPr>
        <w:t xml:space="preserve">A15. </w:t>
      </w:r>
      <w:r w:rsidRPr="0072204D">
        <w:rPr>
          <w:b/>
        </w:rPr>
        <w:t>Change in Burden</w:t>
      </w:r>
    </w:p>
    <w:p w:rsidR="00CB2ED6" w:rsidRPr="00953EA3" w:rsidP="00CB2ED6" w14:paraId="63759315" w14:textId="5018EF15">
      <w:r w:rsidRPr="00953EA3">
        <w:t>This is for an individual information collection under the umbrella for</w:t>
      </w:r>
      <w:r w:rsidRPr="00953EA3" w:rsidR="008C6472">
        <w:t>mative generic clearance for DOL research (1290-</w:t>
      </w:r>
      <w:r w:rsidR="00235EBB">
        <w:t>0043</w:t>
      </w:r>
      <w:r w:rsidRPr="00953EA3">
        <w:t>)</w:t>
      </w:r>
      <w:r w:rsidRPr="00953EA3" w:rsidR="008C6472">
        <w:t xml:space="preserve">. </w:t>
      </w:r>
    </w:p>
    <w:p w:rsidR="002338AC" w:rsidP="005046F0" w14:paraId="30987C46" w14:textId="77777777">
      <w:pPr>
        <w:ind w:left="360"/>
      </w:pPr>
    </w:p>
    <w:p w:rsidR="00945CD6" w:rsidRPr="005A64C5" w:rsidP="00436F5E" w14:paraId="64E455A1" w14:textId="77777777">
      <w:pPr>
        <w:spacing w:after="60"/>
        <w:rPr>
          <w:b/>
        </w:rPr>
      </w:pPr>
      <w:r w:rsidRPr="005A64C5">
        <w:rPr>
          <w:b/>
        </w:rPr>
        <w:t>A16. Plan and Time Schedule for Information Collection, Tabulation and Publication</w:t>
      </w:r>
    </w:p>
    <w:p w:rsidR="00A8500C" w:rsidRPr="00A8500C" w:rsidP="00A8500C" w14:paraId="425269CE" w14:textId="59565B85">
      <w:pPr>
        <w:shd w:val="clear" w:color="auto" w:fill="D9D9D9"/>
        <w:rPr>
          <w:b/>
          <w:bCs/>
        </w:rPr>
      </w:pPr>
      <w:r w:rsidRPr="00A8500C">
        <w:rPr>
          <w:b/>
          <w:bCs/>
        </w:rPr>
        <w:t>1.</w:t>
      </w:r>
      <w:r w:rsidRPr="00A8500C">
        <w:rPr>
          <w:b/>
          <w:bCs/>
        </w:rPr>
        <w:tab/>
        <w:t>Analysis plan</w:t>
      </w:r>
    </w:p>
    <w:p w:rsidR="00832069" w:rsidRPr="00FA0624" w:rsidP="00832069" w14:paraId="326D7D31" w14:textId="367BBFEB">
      <w:pPr>
        <w:shd w:val="clear" w:color="auto" w:fill="D9D9D9" w:themeFill="background1" w:themeFillShade="D9"/>
        <w:rPr>
          <w:sz w:val="22"/>
          <w:szCs w:val="22"/>
        </w:rPr>
      </w:pPr>
      <w:r>
        <w:t xml:space="preserve">Analysis of interview data will involve coding and triangulating across data sources. The </w:t>
      </w:r>
      <w:r w:rsidRPr="00621411">
        <w:t xml:space="preserve">evaluation team will begin by </w:t>
      </w:r>
      <w:r w:rsidRPr="00621411">
        <w:t>writing up</w:t>
      </w:r>
      <w:r w:rsidRPr="00621411">
        <w:t xml:space="preserve"> notes from telephone interviews in a structured format. To code the qualitative data for key themes and topics, a coding scheme will be developed and organized according to key research questions</w:t>
      </w:r>
      <w:r w:rsidRPr="00621411" w:rsidR="002B11F8">
        <w:t xml:space="preserve"> and </w:t>
      </w:r>
      <w:r w:rsidRPr="00621411" w:rsidR="00FF4587">
        <w:t>interview topics</w:t>
      </w:r>
      <w:r w:rsidRPr="00621411" w:rsidR="002B11F8">
        <w:t xml:space="preserve">. </w:t>
      </w:r>
      <w:r w:rsidRPr="00621411">
        <w:t xml:space="preserve">This process will reduce the data into a manageable number of topics and themes for analysis. The evaluation team will then code the data using qualitative analysis software. </w:t>
      </w:r>
      <w:r w:rsidRPr="00621411">
        <w:t>The team will analyze data across states for each theme and determine trends in the data.</w:t>
      </w:r>
      <w:r w:rsidRPr="00212723">
        <w:rPr>
          <w:sz w:val="22"/>
          <w:szCs w:val="22"/>
        </w:rPr>
        <w:t xml:space="preserve"> </w:t>
      </w:r>
      <w:r w:rsidR="00D23A61">
        <w:t xml:space="preserve">The team </w:t>
      </w:r>
      <w:r w:rsidRPr="003963D5" w:rsidR="00C43C59">
        <w:t xml:space="preserve">will also look at </w:t>
      </w:r>
      <w:r w:rsidRPr="00BB2907" w:rsidR="00D23A61">
        <w:t xml:space="preserve">states </w:t>
      </w:r>
      <w:r w:rsidRPr="003963D5" w:rsidR="00C43C59">
        <w:t>individual</w:t>
      </w:r>
      <w:r w:rsidR="00D23A61">
        <w:t>ly</w:t>
      </w:r>
      <w:r w:rsidRPr="003963D5" w:rsidR="00C43C59">
        <w:t xml:space="preserve"> to determine if they are suitable candidates for the outcomes</w:t>
      </w:r>
      <w:r w:rsidR="00D23A61">
        <w:t xml:space="preserve"> and </w:t>
      </w:r>
      <w:r w:rsidRPr="003963D5" w:rsidR="00C43C59">
        <w:t>impact study.</w:t>
      </w:r>
    </w:p>
    <w:p w:rsidR="00A8500C" w:rsidRPr="00A8500C" w:rsidP="00A8500C" w14:paraId="68F6E9FC" w14:textId="3E231561">
      <w:pPr>
        <w:shd w:val="clear" w:color="auto" w:fill="D9D9D9"/>
        <w:rPr>
          <w:b/>
          <w:bCs/>
        </w:rPr>
      </w:pPr>
      <w:r w:rsidRPr="00A8500C">
        <w:rPr>
          <w:b/>
          <w:bCs/>
        </w:rPr>
        <w:t>2.</w:t>
      </w:r>
      <w:r w:rsidRPr="00A8500C">
        <w:rPr>
          <w:b/>
          <w:bCs/>
        </w:rPr>
        <w:tab/>
        <w:t>Publications</w:t>
      </w:r>
    </w:p>
    <w:p w:rsidR="00D90EF6" w:rsidP="00436F5E" w14:paraId="2DDC26F3" w14:textId="569A9F37">
      <w:pPr>
        <w:shd w:val="clear" w:color="auto" w:fill="D9D9D9"/>
      </w:pPr>
      <w:r>
        <w:t>Findings from the</w:t>
      </w:r>
      <w:r w:rsidR="00C71A65">
        <w:t xml:space="preserve"> WPESO knowledge development interviews will inform DOL about states’</w:t>
      </w:r>
      <w:r w:rsidR="002A4A42">
        <w:t xml:space="preserve"> </w:t>
      </w:r>
      <w:r w:rsidR="00530AD7">
        <w:t>implementation</w:t>
      </w:r>
      <w:r w:rsidR="002A4A42">
        <w:t xml:space="preserve"> of ES and will inform selection of states for the full evaluation.</w:t>
      </w:r>
      <w:r w:rsidR="00A734AE">
        <w:t xml:space="preserve"> T</w:t>
      </w:r>
      <w:r w:rsidRPr="00A734AE" w:rsidR="00A734AE">
        <w:t xml:space="preserve">he findings will not be the </w:t>
      </w:r>
      <w:r w:rsidRPr="00A734AE" w:rsidR="00A734AE">
        <w:t>main focus</w:t>
      </w:r>
      <w:r w:rsidRPr="00A734AE" w:rsidR="00A734AE">
        <w:t xml:space="preserve"> of any </w:t>
      </w:r>
      <w:r w:rsidRPr="00A734AE" w:rsidR="00A734AE">
        <w:t>reports, but</w:t>
      </w:r>
      <w:r w:rsidRPr="00A734AE" w:rsidR="00A734AE">
        <w:t xml:space="preserve"> may inform supplemental documents intended to provide contextual information for the main evaluation for state and local</w:t>
      </w:r>
      <w:r w:rsidR="002A4A42">
        <w:t xml:space="preserve"> </w:t>
      </w:r>
      <w:r w:rsidR="0039549C">
        <w:t xml:space="preserve">workforce </w:t>
      </w:r>
      <w:r w:rsidR="007815EF">
        <w:t>administrators and other</w:t>
      </w:r>
      <w:r w:rsidR="00046618">
        <w:t xml:space="preserve"> interest</w:t>
      </w:r>
      <w:r w:rsidR="002107BB">
        <w:t>ed</w:t>
      </w:r>
      <w:r w:rsidR="00046618">
        <w:t xml:space="preserve"> parties about ES operations and services to job seekers and employers. </w:t>
      </w:r>
      <w:r w:rsidR="00A8500C">
        <w:t xml:space="preserve"> </w:t>
      </w:r>
    </w:p>
    <w:p w:rsidR="002338AC" w:rsidP="00436F5E" w14:paraId="71CF0F0B" w14:textId="77777777">
      <w:pPr>
        <w:shd w:val="clear" w:color="auto" w:fill="D9D9D9"/>
      </w:pPr>
    </w:p>
    <w:p w:rsidR="002338AC" w:rsidP="00292B70" w14:paraId="2F80FFE0" w14:textId="77777777">
      <w:pPr>
        <w:rPr>
          <w:b/>
        </w:rPr>
      </w:pP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Expiration Date</w:t>
      </w:r>
    </w:p>
    <w:p w:rsidR="00D90EF6" w:rsidRPr="005831D4" w:rsidP="00436F5E" w14:paraId="5BF016F4" w14:textId="77777777">
      <w:pPr>
        <w:shd w:val="clear" w:color="auto" w:fill="D9D9D9"/>
      </w:pPr>
      <w:r w:rsidRPr="005831D4">
        <w:t>All instruments will display the expiration date for OMB approval.</w:t>
      </w:r>
    </w:p>
    <w:p w:rsidR="005046F0" w:rsidRPr="005831D4" w:rsidP="005046F0" w14:paraId="24AD72D2" w14:textId="77777777">
      <w:pPr>
        <w:ind w:left="360"/>
      </w:pPr>
    </w:p>
    <w:p w:rsidR="002338AC" w:rsidRPr="005831D4" w:rsidP="005046F0" w14:paraId="2D1AB683" w14:textId="77777777">
      <w:pPr>
        <w:ind w:left="360"/>
      </w:pPr>
    </w:p>
    <w:p w:rsidR="00945CD6" w:rsidRPr="005831D4" w:rsidP="00436F5E" w14:paraId="74D8795B" w14:textId="77777777">
      <w:pPr>
        <w:spacing w:after="120"/>
        <w:rPr>
          <w:b/>
        </w:rPr>
      </w:pPr>
      <w:r w:rsidRPr="005831D4">
        <w:rPr>
          <w:b/>
        </w:rPr>
        <w:t>A18.</w:t>
      </w:r>
      <w:r w:rsidRPr="005831D4" w:rsidR="000B5EA8">
        <w:rPr>
          <w:b/>
        </w:rPr>
        <w:t xml:space="preserve"> Exceptions to Certification for Paperwork Reduction Act Submissions</w:t>
      </w:r>
    </w:p>
    <w:p w:rsidR="00D90EF6" w:rsidP="00436F5E" w14:paraId="2FB499FC" w14:textId="77777777">
      <w:pPr>
        <w:shd w:val="clear" w:color="auto" w:fill="D9D9D9"/>
      </w:pPr>
      <w:r w:rsidRPr="005831D4">
        <w:rPr>
          <w:szCs w:val="22"/>
        </w:rPr>
        <w:t>No exceptions are necessary for this information collection.</w:t>
      </w:r>
      <w:r w:rsidR="000B5EA8">
        <w:tab/>
      </w:r>
    </w:p>
    <w:p w:rsidR="00D90EF6" w:rsidP="00436F5E" w14:paraId="3E843130" w14:textId="77777777">
      <w:pPr>
        <w:shd w:val="clear" w:color="auto" w:fill="D9D9D9"/>
      </w:pPr>
    </w:p>
    <w:p w:rsidR="00AA29C0" w:rsidP="00AA29C0" w14:paraId="705FD3B4" w14:textId="77777777"/>
    <w:p w:rsidR="00D06D5F" w:rsidP="000B5EA8" w14:paraId="2749955B" w14:textId="77777777">
      <w:pPr>
        <w:tabs>
          <w:tab w:val="left" w:pos="360"/>
        </w:tabs>
      </w:pPr>
    </w:p>
    <w:p w:rsidR="0072204D" w:rsidRPr="0072204D" w14:paraId="4CF38C5D"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77777777">
    <w:pPr>
      <w:pStyle w:val="Footer"/>
      <w:jc w:val="center"/>
    </w:pPr>
    <w:r>
      <w:fldChar w:fldCharType="begin"/>
    </w:r>
    <w:r>
      <w:instrText xml:space="preserve"> PAGE   \* MERGEFORMAT </w:instrText>
    </w:r>
    <w:r>
      <w:fldChar w:fldCharType="separate"/>
    </w:r>
    <w:r w:rsidR="00341420">
      <w:rPr>
        <w:noProof/>
      </w:rPr>
      <w:t>4</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00C4" w14:paraId="1BA0EBB9" w14:textId="77777777">
      <w:r>
        <w:separator/>
      </w:r>
    </w:p>
  </w:footnote>
  <w:footnote w:type="continuationSeparator" w:id="1">
    <w:p w:rsidR="00BD00C4" w14:paraId="4EA15FA2" w14:textId="77777777">
      <w:r>
        <w:continuationSeparator/>
      </w:r>
    </w:p>
  </w:footnote>
  <w:footnote w:id="2">
    <w:p w:rsidR="00427F43" w:rsidP="00427F43" w14:paraId="3184256D" w14:textId="77777777">
      <w:pPr>
        <w:pStyle w:val="FootnoteText"/>
      </w:pPr>
      <w:r>
        <w:rPr>
          <w:rStyle w:val="FootnoteReference"/>
        </w:rPr>
        <w:t>[1]</w:t>
      </w:r>
      <w:r>
        <w:t xml:space="preserve"> Office of Personnel Management, Salary Table 2024-DCB, </w:t>
      </w:r>
      <w:hyperlink r:id="rId1" w:history="1">
        <w:r>
          <w:rPr>
            <w:rStyle w:val="Hyperlink"/>
          </w:rPr>
          <w:t>https://www.opm.gov/policy-data-oversight/pay-leave/salaries-wages/salary-tables/pdf/2024/DCB_h.pdf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C19" w:rsidP="007B0C19" w14:paraId="1DBC0928" w14:textId="77777777">
    <w:pPr>
      <w:pStyle w:val="Header"/>
      <w:pBdr>
        <w:bottom w:val="single" w:sz="12" w:space="0" w:color="auto"/>
      </w:pBdr>
    </w:pPr>
    <w:r>
      <w:t>OMB Control Number: 1290-0043</w:t>
    </w:r>
  </w:p>
  <w:p w:rsidR="007B0C19" w:rsidP="007B0C19" w14:paraId="51B7F908" w14:textId="26E9199C">
    <w:pPr>
      <w:pStyle w:val="Header"/>
      <w:pBdr>
        <w:bottom w:val="single" w:sz="12" w:space="0" w:color="auto"/>
      </w:pBdr>
    </w:pPr>
    <w:r w:rsidRPr="007B0C19">
      <w:t>Evaluation of the Wagner-Peyser Act Employment Service Operations</w:t>
    </w:r>
  </w:p>
  <w:p w:rsidR="007B0C19" w:rsidP="007B0C19" w14:paraId="19D98169" w14:textId="77777777">
    <w:pPr>
      <w:pStyle w:val="Header"/>
      <w:pBdr>
        <w:bottom w:val="single" w:sz="12" w:space="0" w:color="auto"/>
      </w:pBdr>
    </w:pPr>
    <w:r>
      <w:t xml:space="preserve">OMB Expiration Date: </w:t>
    </w:r>
    <w:r w:rsidRPr="005E4493">
      <w:t>12/31/2028</w:t>
    </w:r>
  </w:p>
  <w:p w:rsidR="00A44209" w:rsidP="008C6A6B" w14:paraId="2F1F78B6" w14:textId="2F747A13">
    <w:pPr>
      <w:pStyle w:val="Header"/>
      <w:pBdr>
        <w:bottom w:val="single" w:sz="12" w:space="1" w:color="auto"/>
      </w:pBdr>
    </w:pPr>
    <w:r w:rsidRPr="008C6A6B">
      <w:rPr>
        <w:sz w:val="36"/>
      </w:rPr>
      <w:t xml:space="preserve"> </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356D46"/>
    <w:multiLevelType w:val="multilevel"/>
    <w:tmpl w:val="D25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EC7301"/>
    <w:multiLevelType w:val="multilevel"/>
    <w:tmpl w:val="976C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882554"/>
    <w:multiLevelType w:val="multilevel"/>
    <w:tmpl w:val="6990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2C035B"/>
    <w:multiLevelType w:val="multilevel"/>
    <w:tmpl w:val="D85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0A3C46"/>
    <w:multiLevelType w:val="multilevel"/>
    <w:tmpl w:val="23C6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277993"/>
    <w:multiLevelType w:val="multilevel"/>
    <w:tmpl w:val="89D6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F20BC2"/>
    <w:multiLevelType w:val="hybridMultilevel"/>
    <w:tmpl w:val="1F3A41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0E475D"/>
    <w:multiLevelType w:val="multilevel"/>
    <w:tmpl w:val="D90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21B6E84"/>
    <w:multiLevelType w:val="multilevel"/>
    <w:tmpl w:val="FF00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5EB3CFB"/>
    <w:multiLevelType w:val="hybridMultilevel"/>
    <w:tmpl w:val="370AD76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C472D5"/>
    <w:multiLevelType w:val="multilevel"/>
    <w:tmpl w:val="2D34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2">
    <w:nsid w:val="3A2A1AE9"/>
    <w:multiLevelType w:val="multilevel"/>
    <w:tmpl w:val="4628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E93AA1"/>
    <w:multiLevelType w:val="multilevel"/>
    <w:tmpl w:val="07F4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F0E40AC"/>
    <w:multiLevelType w:val="hybridMultilevel"/>
    <w:tmpl w:val="5B46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6840EF"/>
    <w:multiLevelType w:val="multilevel"/>
    <w:tmpl w:val="ACA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821F5B"/>
    <w:multiLevelType w:val="multilevel"/>
    <w:tmpl w:val="602C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FB75533"/>
    <w:multiLevelType w:val="multilevel"/>
    <w:tmpl w:val="8BB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51C579C"/>
    <w:multiLevelType w:val="multilevel"/>
    <w:tmpl w:val="820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57B1427"/>
    <w:multiLevelType w:val="multilevel"/>
    <w:tmpl w:val="C18C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AAF13DC"/>
    <w:multiLevelType w:val="hybridMultilevel"/>
    <w:tmpl w:val="02AA9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BFB5CF1"/>
    <w:multiLevelType w:val="multilevel"/>
    <w:tmpl w:val="BFFA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DB4C83"/>
    <w:multiLevelType w:val="multilevel"/>
    <w:tmpl w:val="F69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5D5418"/>
    <w:multiLevelType w:val="hybridMultilevel"/>
    <w:tmpl w:val="A68CB2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C24FA2"/>
    <w:multiLevelType w:val="multilevel"/>
    <w:tmpl w:val="9D64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BC1A50"/>
    <w:multiLevelType w:val="multilevel"/>
    <w:tmpl w:val="4C8C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66360903">
    <w:abstractNumId w:val="7"/>
  </w:num>
  <w:num w:numId="2" w16cid:durableId="961497167">
    <w:abstractNumId w:val="1"/>
  </w:num>
  <w:num w:numId="3" w16cid:durableId="1844852019">
    <w:abstractNumId w:val="31"/>
  </w:num>
  <w:num w:numId="4" w16cid:durableId="884172594">
    <w:abstractNumId w:val="15"/>
  </w:num>
  <w:num w:numId="5" w16cid:durableId="860361656">
    <w:abstractNumId w:val="18"/>
  </w:num>
  <w:num w:numId="6" w16cid:durableId="108745906">
    <w:abstractNumId w:val="33"/>
  </w:num>
  <w:num w:numId="7" w16cid:durableId="915744824">
    <w:abstractNumId w:val="32"/>
  </w:num>
  <w:num w:numId="8" w16cid:durableId="1941790016">
    <w:abstractNumId w:val="19"/>
  </w:num>
  <w:num w:numId="9" w16cid:durableId="2014796239">
    <w:abstractNumId w:val="26"/>
  </w:num>
  <w:num w:numId="10" w16cid:durableId="1769885711">
    <w:abstractNumId w:val="2"/>
  </w:num>
  <w:num w:numId="11" w16cid:durableId="207571982">
    <w:abstractNumId w:val="0"/>
  </w:num>
  <w:num w:numId="12" w16cid:durableId="1867792534">
    <w:abstractNumId w:val="5"/>
  </w:num>
  <w:num w:numId="13" w16cid:durableId="1071656112">
    <w:abstractNumId w:val="34"/>
  </w:num>
  <w:num w:numId="14" w16cid:durableId="131025217">
    <w:abstractNumId w:val="11"/>
  </w:num>
  <w:num w:numId="15" w16cid:durableId="511189612">
    <w:abstractNumId w:val="12"/>
  </w:num>
  <w:num w:numId="16" w16cid:durableId="2009357493">
    <w:abstractNumId w:val="40"/>
  </w:num>
  <w:num w:numId="17" w16cid:durableId="612444139">
    <w:abstractNumId w:val="42"/>
  </w:num>
  <w:num w:numId="18" w16cid:durableId="1278099941">
    <w:abstractNumId w:val="24"/>
  </w:num>
  <w:num w:numId="19" w16cid:durableId="763234096">
    <w:abstractNumId w:val="35"/>
  </w:num>
  <w:num w:numId="20" w16cid:durableId="2138404567">
    <w:abstractNumId w:val="38"/>
  </w:num>
  <w:num w:numId="21" w16cid:durableId="1051268718">
    <w:abstractNumId w:val="17"/>
  </w:num>
  <w:num w:numId="22" w16cid:durableId="1827626640">
    <w:abstractNumId w:val="13"/>
  </w:num>
  <w:num w:numId="23" w16cid:durableId="1508665902">
    <w:abstractNumId w:val="21"/>
  </w:num>
  <w:num w:numId="24" w16cid:durableId="12555485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5752965">
    <w:abstractNumId w:val="28"/>
  </w:num>
  <w:num w:numId="26" w16cid:durableId="1744596148">
    <w:abstractNumId w:val="6"/>
  </w:num>
  <w:num w:numId="27" w16cid:durableId="1848133463">
    <w:abstractNumId w:val="41"/>
  </w:num>
  <w:num w:numId="28" w16cid:durableId="2135171113">
    <w:abstractNumId w:val="9"/>
  </w:num>
  <w:num w:numId="29" w16cid:durableId="49043877">
    <w:abstractNumId w:val="37"/>
  </w:num>
  <w:num w:numId="30" w16cid:durableId="202210474">
    <w:abstractNumId w:val="30"/>
  </w:num>
  <w:num w:numId="31" w16cid:durableId="179592686">
    <w:abstractNumId w:val="36"/>
  </w:num>
  <w:num w:numId="32" w16cid:durableId="1273630184">
    <w:abstractNumId w:val="23"/>
  </w:num>
  <w:num w:numId="33" w16cid:durableId="1311638682">
    <w:abstractNumId w:val="10"/>
  </w:num>
  <w:num w:numId="34" w16cid:durableId="550649943">
    <w:abstractNumId w:val="16"/>
  </w:num>
  <w:num w:numId="35" w16cid:durableId="712510051">
    <w:abstractNumId w:val="39"/>
  </w:num>
  <w:num w:numId="36" w16cid:durableId="168177780">
    <w:abstractNumId w:val="22"/>
  </w:num>
  <w:num w:numId="37" w16cid:durableId="1688404665">
    <w:abstractNumId w:val="4"/>
  </w:num>
  <w:num w:numId="38" w16cid:durableId="850682259">
    <w:abstractNumId w:val="14"/>
  </w:num>
  <w:num w:numId="39" w16cid:durableId="1139110182">
    <w:abstractNumId w:val="3"/>
  </w:num>
  <w:num w:numId="40" w16cid:durableId="1330400142">
    <w:abstractNumId w:val="8"/>
  </w:num>
  <w:num w:numId="41" w16cid:durableId="1749498264">
    <w:abstractNumId w:val="27"/>
  </w:num>
  <w:num w:numId="42" w16cid:durableId="842012153">
    <w:abstractNumId w:val="25"/>
  </w:num>
  <w:num w:numId="43" w16cid:durableId="897591203">
    <w:abstractNumId w:val="20"/>
  </w:num>
  <w:num w:numId="44" w16cid:durableId="95521090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0A72"/>
    <w:rsid w:val="00001AFC"/>
    <w:rsid w:val="00002C62"/>
    <w:rsid w:val="0001517A"/>
    <w:rsid w:val="000215A5"/>
    <w:rsid w:val="00022B6E"/>
    <w:rsid w:val="00027378"/>
    <w:rsid w:val="00032872"/>
    <w:rsid w:val="00033EA2"/>
    <w:rsid w:val="00036AD3"/>
    <w:rsid w:val="0004202D"/>
    <w:rsid w:val="00042A40"/>
    <w:rsid w:val="000431B8"/>
    <w:rsid w:val="000442F3"/>
    <w:rsid w:val="00046618"/>
    <w:rsid w:val="000471EB"/>
    <w:rsid w:val="000517EA"/>
    <w:rsid w:val="0005355B"/>
    <w:rsid w:val="00055F46"/>
    <w:rsid w:val="00061EDF"/>
    <w:rsid w:val="00073D8D"/>
    <w:rsid w:val="00074304"/>
    <w:rsid w:val="00076073"/>
    <w:rsid w:val="000776BF"/>
    <w:rsid w:val="00077711"/>
    <w:rsid w:val="0008307A"/>
    <w:rsid w:val="00084ED3"/>
    <w:rsid w:val="000855C5"/>
    <w:rsid w:val="00085A27"/>
    <w:rsid w:val="0008643E"/>
    <w:rsid w:val="00091C59"/>
    <w:rsid w:val="00093608"/>
    <w:rsid w:val="000A0B2D"/>
    <w:rsid w:val="000A594E"/>
    <w:rsid w:val="000A6AE6"/>
    <w:rsid w:val="000A7EA0"/>
    <w:rsid w:val="000B202F"/>
    <w:rsid w:val="000B5EA8"/>
    <w:rsid w:val="000B67E9"/>
    <w:rsid w:val="000C29F8"/>
    <w:rsid w:val="000C2D5A"/>
    <w:rsid w:val="000C44F0"/>
    <w:rsid w:val="000C4FBF"/>
    <w:rsid w:val="000C5D7C"/>
    <w:rsid w:val="000C61B0"/>
    <w:rsid w:val="000C6781"/>
    <w:rsid w:val="000D1C07"/>
    <w:rsid w:val="000D36EC"/>
    <w:rsid w:val="000D53DF"/>
    <w:rsid w:val="000E4AB0"/>
    <w:rsid w:val="000E50B4"/>
    <w:rsid w:val="000F1800"/>
    <w:rsid w:val="000F23A9"/>
    <w:rsid w:val="000F70C4"/>
    <w:rsid w:val="000F7BAC"/>
    <w:rsid w:val="00103348"/>
    <w:rsid w:val="00103EEC"/>
    <w:rsid w:val="0010551D"/>
    <w:rsid w:val="001061C5"/>
    <w:rsid w:val="00110071"/>
    <w:rsid w:val="001126FE"/>
    <w:rsid w:val="00114D42"/>
    <w:rsid w:val="00123938"/>
    <w:rsid w:val="00124EBF"/>
    <w:rsid w:val="00126326"/>
    <w:rsid w:val="001266E9"/>
    <w:rsid w:val="00130457"/>
    <w:rsid w:val="00134842"/>
    <w:rsid w:val="001406D2"/>
    <w:rsid w:val="00141D7D"/>
    <w:rsid w:val="00143950"/>
    <w:rsid w:val="00144D4A"/>
    <w:rsid w:val="00145B3A"/>
    <w:rsid w:val="0016012E"/>
    <w:rsid w:val="00160BA9"/>
    <w:rsid w:val="001615D5"/>
    <w:rsid w:val="001622B5"/>
    <w:rsid w:val="00170597"/>
    <w:rsid w:val="00177982"/>
    <w:rsid w:val="00180FB6"/>
    <w:rsid w:val="00183C0F"/>
    <w:rsid w:val="001840CE"/>
    <w:rsid w:val="00193130"/>
    <w:rsid w:val="001A3C4E"/>
    <w:rsid w:val="001A4954"/>
    <w:rsid w:val="001A4A4E"/>
    <w:rsid w:val="001A5AF9"/>
    <w:rsid w:val="001B2BD0"/>
    <w:rsid w:val="001C25E6"/>
    <w:rsid w:val="001C4D60"/>
    <w:rsid w:val="001D2926"/>
    <w:rsid w:val="001D4F04"/>
    <w:rsid w:val="001D713B"/>
    <w:rsid w:val="001E41C5"/>
    <w:rsid w:val="001F0DB4"/>
    <w:rsid w:val="001F7228"/>
    <w:rsid w:val="00201BDF"/>
    <w:rsid w:val="0020382F"/>
    <w:rsid w:val="00204B68"/>
    <w:rsid w:val="00204D4B"/>
    <w:rsid w:val="002107BB"/>
    <w:rsid w:val="00211D70"/>
    <w:rsid w:val="002122A1"/>
    <w:rsid w:val="00212723"/>
    <w:rsid w:val="00217F44"/>
    <w:rsid w:val="00220CEC"/>
    <w:rsid w:val="00222579"/>
    <w:rsid w:val="00222AD3"/>
    <w:rsid w:val="002231FA"/>
    <w:rsid w:val="00225FD1"/>
    <w:rsid w:val="00226996"/>
    <w:rsid w:val="002301F4"/>
    <w:rsid w:val="002338AC"/>
    <w:rsid w:val="00234E8D"/>
    <w:rsid w:val="00235A6D"/>
    <w:rsid w:val="00235EBB"/>
    <w:rsid w:val="00237878"/>
    <w:rsid w:val="00237D59"/>
    <w:rsid w:val="002408DE"/>
    <w:rsid w:val="00243E3A"/>
    <w:rsid w:val="0025173C"/>
    <w:rsid w:val="00253148"/>
    <w:rsid w:val="00253F8F"/>
    <w:rsid w:val="00256D2B"/>
    <w:rsid w:val="00270BC9"/>
    <w:rsid w:val="0027300C"/>
    <w:rsid w:val="002734D1"/>
    <w:rsid w:val="00276226"/>
    <w:rsid w:val="00282359"/>
    <w:rsid w:val="00287A82"/>
    <w:rsid w:val="00290BB2"/>
    <w:rsid w:val="00290C48"/>
    <w:rsid w:val="00292B70"/>
    <w:rsid w:val="00294973"/>
    <w:rsid w:val="00294D37"/>
    <w:rsid w:val="002967C9"/>
    <w:rsid w:val="00297A44"/>
    <w:rsid w:val="002A1F68"/>
    <w:rsid w:val="002A2922"/>
    <w:rsid w:val="002A4A42"/>
    <w:rsid w:val="002A6EF4"/>
    <w:rsid w:val="002B11F8"/>
    <w:rsid w:val="002B1E86"/>
    <w:rsid w:val="002B4DBE"/>
    <w:rsid w:val="002C4F75"/>
    <w:rsid w:val="002C6144"/>
    <w:rsid w:val="002C76BD"/>
    <w:rsid w:val="002D137B"/>
    <w:rsid w:val="002D4B0A"/>
    <w:rsid w:val="002D51B2"/>
    <w:rsid w:val="002D6B8F"/>
    <w:rsid w:val="002E1A2A"/>
    <w:rsid w:val="002E3958"/>
    <w:rsid w:val="002E3E25"/>
    <w:rsid w:val="002E6F3F"/>
    <w:rsid w:val="002F0766"/>
    <w:rsid w:val="002F3EDE"/>
    <w:rsid w:val="002F5BE3"/>
    <w:rsid w:val="002F7BF6"/>
    <w:rsid w:val="00304D79"/>
    <w:rsid w:val="00307049"/>
    <w:rsid w:val="00313408"/>
    <w:rsid w:val="00327B2E"/>
    <w:rsid w:val="00332C11"/>
    <w:rsid w:val="00336E70"/>
    <w:rsid w:val="003378C4"/>
    <w:rsid w:val="00341420"/>
    <w:rsid w:val="00341F66"/>
    <w:rsid w:val="00347560"/>
    <w:rsid w:val="00356DA8"/>
    <w:rsid w:val="00364DDD"/>
    <w:rsid w:val="00366FAF"/>
    <w:rsid w:val="00367B50"/>
    <w:rsid w:val="00372C27"/>
    <w:rsid w:val="00373CFA"/>
    <w:rsid w:val="00374DAB"/>
    <w:rsid w:val="003776E7"/>
    <w:rsid w:val="0038291A"/>
    <w:rsid w:val="003852EF"/>
    <w:rsid w:val="00391162"/>
    <w:rsid w:val="00393B49"/>
    <w:rsid w:val="0039549C"/>
    <w:rsid w:val="003963D5"/>
    <w:rsid w:val="003A096F"/>
    <w:rsid w:val="003A2F90"/>
    <w:rsid w:val="003A4702"/>
    <w:rsid w:val="003B57C9"/>
    <w:rsid w:val="003B7E5A"/>
    <w:rsid w:val="003C1BC6"/>
    <w:rsid w:val="003D05EE"/>
    <w:rsid w:val="003D1C2C"/>
    <w:rsid w:val="003D22D0"/>
    <w:rsid w:val="003D5231"/>
    <w:rsid w:val="003D73D5"/>
    <w:rsid w:val="003E043D"/>
    <w:rsid w:val="003E12E4"/>
    <w:rsid w:val="003E3AC1"/>
    <w:rsid w:val="003E5D4B"/>
    <w:rsid w:val="003E6486"/>
    <w:rsid w:val="003F0AB0"/>
    <w:rsid w:val="00400B0E"/>
    <w:rsid w:val="00400B99"/>
    <w:rsid w:val="00403B3A"/>
    <w:rsid w:val="0040682C"/>
    <w:rsid w:val="004104C0"/>
    <w:rsid w:val="0041098C"/>
    <w:rsid w:val="00411C66"/>
    <w:rsid w:val="00413C7D"/>
    <w:rsid w:val="00416FA4"/>
    <w:rsid w:val="00417A01"/>
    <w:rsid w:val="00421758"/>
    <w:rsid w:val="004222F8"/>
    <w:rsid w:val="00422C1B"/>
    <w:rsid w:val="004259E9"/>
    <w:rsid w:val="00427F43"/>
    <w:rsid w:val="00431595"/>
    <w:rsid w:val="004331BA"/>
    <w:rsid w:val="004352E0"/>
    <w:rsid w:val="00436F5E"/>
    <w:rsid w:val="00437A58"/>
    <w:rsid w:val="0044179A"/>
    <w:rsid w:val="004522FF"/>
    <w:rsid w:val="004554B1"/>
    <w:rsid w:val="00456B4F"/>
    <w:rsid w:val="00456E2F"/>
    <w:rsid w:val="00456F73"/>
    <w:rsid w:val="00462E23"/>
    <w:rsid w:val="00463120"/>
    <w:rsid w:val="0046790D"/>
    <w:rsid w:val="0047450A"/>
    <w:rsid w:val="004756FD"/>
    <w:rsid w:val="00482DDE"/>
    <w:rsid w:val="00483F08"/>
    <w:rsid w:val="0048614E"/>
    <w:rsid w:val="00486423"/>
    <w:rsid w:val="004902A1"/>
    <w:rsid w:val="00491426"/>
    <w:rsid w:val="0049319C"/>
    <w:rsid w:val="00495100"/>
    <w:rsid w:val="00495E58"/>
    <w:rsid w:val="004A082C"/>
    <w:rsid w:val="004A2F8C"/>
    <w:rsid w:val="004A39D1"/>
    <w:rsid w:val="004A44DD"/>
    <w:rsid w:val="004B587E"/>
    <w:rsid w:val="004B5CE6"/>
    <w:rsid w:val="004B63ED"/>
    <w:rsid w:val="004B7184"/>
    <w:rsid w:val="004C2ADD"/>
    <w:rsid w:val="004D6CA9"/>
    <w:rsid w:val="004D71AB"/>
    <w:rsid w:val="004F2C9E"/>
    <w:rsid w:val="004F453F"/>
    <w:rsid w:val="004F4E1D"/>
    <w:rsid w:val="004F7A40"/>
    <w:rsid w:val="00500899"/>
    <w:rsid w:val="00500FED"/>
    <w:rsid w:val="005038CF"/>
    <w:rsid w:val="005046F0"/>
    <w:rsid w:val="00506C4F"/>
    <w:rsid w:val="0051011E"/>
    <w:rsid w:val="00511911"/>
    <w:rsid w:val="00512453"/>
    <w:rsid w:val="00520737"/>
    <w:rsid w:val="00520DA0"/>
    <w:rsid w:val="00523FB5"/>
    <w:rsid w:val="005241D3"/>
    <w:rsid w:val="00525ADC"/>
    <w:rsid w:val="00527E34"/>
    <w:rsid w:val="00530AD7"/>
    <w:rsid w:val="005353B7"/>
    <w:rsid w:val="005356A9"/>
    <w:rsid w:val="005361A0"/>
    <w:rsid w:val="00537077"/>
    <w:rsid w:val="005376A8"/>
    <w:rsid w:val="00541024"/>
    <w:rsid w:val="00554953"/>
    <w:rsid w:val="005568BE"/>
    <w:rsid w:val="00563EED"/>
    <w:rsid w:val="00564727"/>
    <w:rsid w:val="005704EF"/>
    <w:rsid w:val="00571A5D"/>
    <w:rsid w:val="00572A37"/>
    <w:rsid w:val="00574786"/>
    <w:rsid w:val="00580110"/>
    <w:rsid w:val="00580900"/>
    <w:rsid w:val="00580B51"/>
    <w:rsid w:val="00580E2D"/>
    <w:rsid w:val="0058249F"/>
    <w:rsid w:val="00582F0E"/>
    <w:rsid w:val="005831D4"/>
    <w:rsid w:val="00583E9B"/>
    <w:rsid w:val="005845FC"/>
    <w:rsid w:val="00584B53"/>
    <w:rsid w:val="00586408"/>
    <w:rsid w:val="00587CE1"/>
    <w:rsid w:val="00591CB5"/>
    <w:rsid w:val="005977D7"/>
    <w:rsid w:val="005A25FC"/>
    <w:rsid w:val="005A4563"/>
    <w:rsid w:val="005A62F9"/>
    <w:rsid w:val="005A64C5"/>
    <w:rsid w:val="005A7891"/>
    <w:rsid w:val="005B319A"/>
    <w:rsid w:val="005B52C7"/>
    <w:rsid w:val="005B5763"/>
    <w:rsid w:val="005B734A"/>
    <w:rsid w:val="005B762A"/>
    <w:rsid w:val="005C0C39"/>
    <w:rsid w:val="005C1D50"/>
    <w:rsid w:val="005C26BD"/>
    <w:rsid w:val="005C6A5D"/>
    <w:rsid w:val="005D3667"/>
    <w:rsid w:val="005D3ED2"/>
    <w:rsid w:val="005D7A29"/>
    <w:rsid w:val="005D7FBF"/>
    <w:rsid w:val="005E3FDE"/>
    <w:rsid w:val="005E4493"/>
    <w:rsid w:val="005E46D8"/>
    <w:rsid w:val="005E6750"/>
    <w:rsid w:val="005E78BB"/>
    <w:rsid w:val="005F2061"/>
    <w:rsid w:val="005F3F47"/>
    <w:rsid w:val="005F7566"/>
    <w:rsid w:val="006000AF"/>
    <w:rsid w:val="006010CA"/>
    <w:rsid w:val="0060339D"/>
    <w:rsid w:val="006041F1"/>
    <w:rsid w:val="00605E88"/>
    <w:rsid w:val="00607351"/>
    <w:rsid w:val="00610A52"/>
    <w:rsid w:val="00620FDB"/>
    <w:rsid w:val="00621411"/>
    <w:rsid w:val="00621704"/>
    <w:rsid w:val="0062240C"/>
    <w:rsid w:val="0062290B"/>
    <w:rsid w:val="00622F64"/>
    <w:rsid w:val="00630BCB"/>
    <w:rsid w:val="0063159E"/>
    <w:rsid w:val="0063269D"/>
    <w:rsid w:val="00634164"/>
    <w:rsid w:val="006358D8"/>
    <w:rsid w:val="00636A6C"/>
    <w:rsid w:val="00643529"/>
    <w:rsid w:val="00644F1B"/>
    <w:rsid w:val="00645313"/>
    <w:rsid w:val="00651DBA"/>
    <w:rsid w:val="006534E5"/>
    <w:rsid w:val="00655750"/>
    <w:rsid w:val="006567A4"/>
    <w:rsid w:val="00657424"/>
    <w:rsid w:val="00660789"/>
    <w:rsid w:val="00660DA5"/>
    <w:rsid w:val="00661AA7"/>
    <w:rsid w:val="0066588F"/>
    <w:rsid w:val="006744C3"/>
    <w:rsid w:val="00675177"/>
    <w:rsid w:val="00683627"/>
    <w:rsid w:val="00685648"/>
    <w:rsid w:val="00687096"/>
    <w:rsid w:val="006909C6"/>
    <w:rsid w:val="006922FB"/>
    <w:rsid w:val="00694DA4"/>
    <w:rsid w:val="00697558"/>
    <w:rsid w:val="006A129C"/>
    <w:rsid w:val="006A6E2F"/>
    <w:rsid w:val="006A7EFA"/>
    <w:rsid w:val="006B0645"/>
    <w:rsid w:val="006B6845"/>
    <w:rsid w:val="006C01C0"/>
    <w:rsid w:val="006C085B"/>
    <w:rsid w:val="006C0DE9"/>
    <w:rsid w:val="006C1C18"/>
    <w:rsid w:val="006C30DA"/>
    <w:rsid w:val="006C34E8"/>
    <w:rsid w:val="006D09BE"/>
    <w:rsid w:val="006D2637"/>
    <w:rsid w:val="006D281C"/>
    <w:rsid w:val="006D3E5C"/>
    <w:rsid w:val="006D4DBE"/>
    <w:rsid w:val="006E36DF"/>
    <w:rsid w:val="006E674B"/>
    <w:rsid w:val="006F63CF"/>
    <w:rsid w:val="006F7890"/>
    <w:rsid w:val="00701045"/>
    <w:rsid w:val="00702EA4"/>
    <w:rsid w:val="0070619A"/>
    <w:rsid w:val="00711BC5"/>
    <w:rsid w:val="007126A7"/>
    <w:rsid w:val="00712A3B"/>
    <w:rsid w:val="0071333E"/>
    <w:rsid w:val="0071405A"/>
    <w:rsid w:val="0071595E"/>
    <w:rsid w:val="0072204D"/>
    <w:rsid w:val="00722EF0"/>
    <w:rsid w:val="00724862"/>
    <w:rsid w:val="007250A3"/>
    <w:rsid w:val="0072602B"/>
    <w:rsid w:val="00727291"/>
    <w:rsid w:val="00730BCB"/>
    <w:rsid w:val="00731E74"/>
    <w:rsid w:val="00734263"/>
    <w:rsid w:val="00736F1D"/>
    <w:rsid w:val="007428EB"/>
    <w:rsid w:val="007508B7"/>
    <w:rsid w:val="00750A4D"/>
    <w:rsid w:val="0075423A"/>
    <w:rsid w:val="00762A16"/>
    <w:rsid w:val="007642DA"/>
    <w:rsid w:val="00771238"/>
    <w:rsid w:val="00772457"/>
    <w:rsid w:val="00772C5F"/>
    <w:rsid w:val="007739AF"/>
    <w:rsid w:val="00776093"/>
    <w:rsid w:val="00780599"/>
    <w:rsid w:val="0078112C"/>
    <w:rsid w:val="007815EF"/>
    <w:rsid w:val="00781AAB"/>
    <w:rsid w:val="00784137"/>
    <w:rsid w:val="00791D69"/>
    <w:rsid w:val="00793DC4"/>
    <w:rsid w:val="007A078D"/>
    <w:rsid w:val="007A1237"/>
    <w:rsid w:val="007A17BE"/>
    <w:rsid w:val="007A2637"/>
    <w:rsid w:val="007A2DDD"/>
    <w:rsid w:val="007A3949"/>
    <w:rsid w:val="007A5955"/>
    <w:rsid w:val="007A5BA7"/>
    <w:rsid w:val="007B0C19"/>
    <w:rsid w:val="007B5330"/>
    <w:rsid w:val="007B53D8"/>
    <w:rsid w:val="007D295D"/>
    <w:rsid w:val="007D4A66"/>
    <w:rsid w:val="007E681D"/>
    <w:rsid w:val="007F4E68"/>
    <w:rsid w:val="0080314B"/>
    <w:rsid w:val="00805A78"/>
    <w:rsid w:val="00806712"/>
    <w:rsid w:val="008072BB"/>
    <w:rsid w:val="00814E75"/>
    <w:rsid w:val="008218A9"/>
    <w:rsid w:val="008238AD"/>
    <w:rsid w:val="00826C8F"/>
    <w:rsid w:val="00827DA9"/>
    <w:rsid w:val="008307C5"/>
    <w:rsid w:val="00832069"/>
    <w:rsid w:val="008370D7"/>
    <w:rsid w:val="00841358"/>
    <w:rsid w:val="00842397"/>
    <w:rsid w:val="0084363F"/>
    <w:rsid w:val="00844A0F"/>
    <w:rsid w:val="00851272"/>
    <w:rsid w:val="00854B95"/>
    <w:rsid w:val="00854B9A"/>
    <w:rsid w:val="00857740"/>
    <w:rsid w:val="0086404C"/>
    <w:rsid w:val="008673C2"/>
    <w:rsid w:val="00870D94"/>
    <w:rsid w:val="0087234E"/>
    <w:rsid w:val="00873BC8"/>
    <w:rsid w:val="00877CC9"/>
    <w:rsid w:val="008809F4"/>
    <w:rsid w:val="00886B06"/>
    <w:rsid w:val="00892BE9"/>
    <w:rsid w:val="008967BC"/>
    <w:rsid w:val="00897C54"/>
    <w:rsid w:val="008A5455"/>
    <w:rsid w:val="008B0B3C"/>
    <w:rsid w:val="008B4D02"/>
    <w:rsid w:val="008B59A0"/>
    <w:rsid w:val="008B67B2"/>
    <w:rsid w:val="008B6ACB"/>
    <w:rsid w:val="008B7F2C"/>
    <w:rsid w:val="008C3E60"/>
    <w:rsid w:val="008C42BD"/>
    <w:rsid w:val="008C6472"/>
    <w:rsid w:val="008C6A6B"/>
    <w:rsid w:val="008C78B4"/>
    <w:rsid w:val="008D1C4F"/>
    <w:rsid w:val="008D2D79"/>
    <w:rsid w:val="008D3B43"/>
    <w:rsid w:val="008D579A"/>
    <w:rsid w:val="008D6C1D"/>
    <w:rsid w:val="008E3399"/>
    <w:rsid w:val="008E67AC"/>
    <w:rsid w:val="008F10A2"/>
    <w:rsid w:val="008F1C79"/>
    <w:rsid w:val="008F688D"/>
    <w:rsid w:val="008F6E7A"/>
    <w:rsid w:val="00900D11"/>
    <w:rsid w:val="00902346"/>
    <w:rsid w:val="00907DA8"/>
    <w:rsid w:val="00912299"/>
    <w:rsid w:val="00921628"/>
    <w:rsid w:val="00922E15"/>
    <w:rsid w:val="00924808"/>
    <w:rsid w:val="0093011A"/>
    <w:rsid w:val="009304A3"/>
    <w:rsid w:val="00930CFA"/>
    <w:rsid w:val="009318D8"/>
    <w:rsid w:val="00932D71"/>
    <w:rsid w:val="00935F82"/>
    <w:rsid w:val="0094211B"/>
    <w:rsid w:val="00945CD6"/>
    <w:rsid w:val="00952DD5"/>
    <w:rsid w:val="00953EA3"/>
    <w:rsid w:val="0095741B"/>
    <w:rsid w:val="00957706"/>
    <w:rsid w:val="00957AE3"/>
    <w:rsid w:val="0096174D"/>
    <w:rsid w:val="00962858"/>
    <w:rsid w:val="009629C8"/>
    <w:rsid w:val="009648CE"/>
    <w:rsid w:val="00964BD8"/>
    <w:rsid w:val="0097173F"/>
    <w:rsid w:val="00976893"/>
    <w:rsid w:val="00976D91"/>
    <w:rsid w:val="00984CA2"/>
    <w:rsid w:val="009959E2"/>
    <w:rsid w:val="0099751C"/>
    <w:rsid w:val="009A30D7"/>
    <w:rsid w:val="009B1638"/>
    <w:rsid w:val="009B3FFD"/>
    <w:rsid w:val="009B682D"/>
    <w:rsid w:val="009B7A95"/>
    <w:rsid w:val="009C2425"/>
    <w:rsid w:val="009C5C1E"/>
    <w:rsid w:val="009C6C5A"/>
    <w:rsid w:val="009D47D2"/>
    <w:rsid w:val="009D7DAA"/>
    <w:rsid w:val="009E28C8"/>
    <w:rsid w:val="009E29BF"/>
    <w:rsid w:val="009E4A89"/>
    <w:rsid w:val="009F7A8A"/>
    <w:rsid w:val="009F7E6F"/>
    <w:rsid w:val="00A04BBC"/>
    <w:rsid w:val="00A112AA"/>
    <w:rsid w:val="00A139DD"/>
    <w:rsid w:val="00A16951"/>
    <w:rsid w:val="00A2097C"/>
    <w:rsid w:val="00A32CDB"/>
    <w:rsid w:val="00A34341"/>
    <w:rsid w:val="00A35507"/>
    <w:rsid w:val="00A35B0D"/>
    <w:rsid w:val="00A35E23"/>
    <w:rsid w:val="00A37C74"/>
    <w:rsid w:val="00A412C5"/>
    <w:rsid w:val="00A44209"/>
    <w:rsid w:val="00A45987"/>
    <w:rsid w:val="00A504A0"/>
    <w:rsid w:val="00A5066D"/>
    <w:rsid w:val="00A54C10"/>
    <w:rsid w:val="00A60C32"/>
    <w:rsid w:val="00A61513"/>
    <w:rsid w:val="00A67ADB"/>
    <w:rsid w:val="00A734AE"/>
    <w:rsid w:val="00A82152"/>
    <w:rsid w:val="00A83E0E"/>
    <w:rsid w:val="00A8500C"/>
    <w:rsid w:val="00A921D1"/>
    <w:rsid w:val="00A921F8"/>
    <w:rsid w:val="00A93578"/>
    <w:rsid w:val="00A9523D"/>
    <w:rsid w:val="00A960CD"/>
    <w:rsid w:val="00A97D85"/>
    <w:rsid w:val="00AA10EE"/>
    <w:rsid w:val="00AA29C0"/>
    <w:rsid w:val="00AA3C3B"/>
    <w:rsid w:val="00AA79B4"/>
    <w:rsid w:val="00AA7B5A"/>
    <w:rsid w:val="00AB0977"/>
    <w:rsid w:val="00AC2FEC"/>
    <w:rsid w:val="00AC324C"/>
    <w:rsid w:val="00AC4700"/>
    <w:rsid w:val="00AC634D"/>
    <w:rsid w:val="00AD0432"/>
    <w:rsid w:val="00AD35DA"/>
    <w:rsid w:val="00AD3926"/>
    <w:rsid w:val="00AE59B3"/>
    <w:rsid w:val="00AF08AB"/>
    <w:rsid w:val="00AF0ED3"/>
    <w:rsid w:val="00AF5456"/>
    <w:rsid w:val="00B01561"/>
    <w:rsid w:val="00B04517"/>
    <w:rsid w:val="00B1265D"/>
    <w:rsid w:val="00B14396"/>
    <w:rsid w:val="00B14797"/>
    <w:rsid w:val="00B15492"/>
    <w:rsid w:val="00B159A8"/>
    <w:rsid w:val="00B17B00"/>
    <w:rsid w:val="00B20B62"/>
    <w:rsid w:val="00B219C1"/>
    <w:rsid w:val="00B2401D"/>
    <w:rsid w:val="00B26E6B"/>
    <w:rsid w:val="00B3420A"/>
    <w:rsid w:val="00B37210"/>
    <w:rsid w:val="00B41DF8"/>
    <w:rsid w:val="00B41F19"/>
    <w:rsid w:val="00B46B05"/>
    <w:rsid w:val="00B546A1"/>
    <w:rsid w:val="00B606EF"/>
    <w:rsid w:val="00B629E8"/>
    <w:rsid w:val="00B66874"/>
    <w:rsid w:val="00B6737F"/>
    <w:rsid w:val="00B70933"/>
    <w:rsid w:val="00B71FA1"/>
    <w:rsid w:val="00B73ACF"/>
    <w:rsid w:val="00B761BE"/>
    <w:rsid w:val="00B82F1D"/>
    <w:rsid w:val="00B84547"/>
    <w:rsid w:val="00B91D97"/>
    <w:rsid w:val="00B95CD1"/>
    <w:rsid w:val="00BB13A6"/>
    <w:rsid w:val="00BB2157"/>
    <w:rsid w:val="00BB2907"/>
    <w:rsid w:val="00BC065E"/>
    <w:rsid w:val="00BC22F0"/>
    <w:rsid w:val="00BC4005"/>
    <w:rsid w:val="00BC6563"/>
    <w:rsid w:val="00BD00C4"/>
    <w:rsid w:val="00BD3059"/>
    <w:rsid w:val="00BD4CFB"/>
    <w:rsid w:val="00BD61AF"/>
    <w:rsid w:val="00BD730C"/>
    <w:rsid w:val="00BE1C79"/>
    <w:rsid w:val="00BE5037"/>
    <w:rsid w:val="00BE7952"/>
    <w:rsid w:val="00BF0E3B"/>
    <w:rsid w:val="00BF4D46"/>
    <w:rsid w:val="00BF620A"/>
    <w:rsid w:val="00C01365"/>
    <w:rsid w:val="00C06951"/>
    <w:rsid w:val="00C073C5"/>
    <w:rsid w:val="00C07980"/>
    <w:rsid w:val="00C07EB1"/>
    <w:rsid w:val="00C1243D"/>
    <w:rsid w:val="00C12B95"/>
    <w:rsid w:val="00C1674B"/>
    <w:rsid w:val="00C232D7"/>
    <w:rsid w:val="00C30DA9"/>
    <w:rsid w:val="00C31BF4"/>
    <w:rsid w:val="00C321E4"/>
    <w:rsid w:val="00C33CFF"/>
    <w:rsid w:val="00C40480"/>
    <w:rsid w:val="00C43C59"/>
    <w:rsid w:val="00C45BC6"/>
    <w:rsid w:val="00C51469"/>
    <w:rsid w:val="00C51A9B"/>
    <w:rsid w:val="00C5321F"/>
    <w:rsid w:val="00C533FC"/>
    <w:rsid w:val="00C56EA9"/>
    <w:rsid w:val="00C66226"/>
    <w:rsid w:val="00C70CBF"/>
    <w:rsid w:val="00C71A65"/>
    <w:rsid w:val="00C762B8"/>
    <w:rsid w:val="00C8291B"/>
    <w:rsid w:val="00C83529"/>
    <w:rsid w:val="00C95AF7"/>
    <w:rsid w:val="00CA165A"/>
    <w:rsid w:val="00CA4D02"/>
    <w:rsid w:val="00CA6608"/>
    <w:rsid w:val="00CA7292"/>
    <w:rsid w:val="00CB26CF"/>
    <w:rsid w:val="00CB2ED6"/>
    <w:rsid w:val="00CB44BD"/>
    <w:rsid w:val="00CB466B"/>
    <w:rsid w:val="00CB58B9"/>
    <w:rsid w:val="00CB6684"/>
    <w:rsid w:val="00CB6868"/>
    <w:rsid w:val="00CB7633"/>
    <w:rsid w:val="00CC07D4"/>
    <w:rsid w:val="00CC1A9F"/>
    <w:rsid w:val="00CC4E0B"/>
    <w:rsid w:val="00CC51C2"/>
    <w:rsid w:val="00CD7CB3"/>
    <w:rsid w:val="00CE2295"/>
    <w:rsid w:val="00CE62AC"/>
    <w:rsid w:val="00CE6EFF"/>
    <w:rsid w:val="00CE7F7F"/>
    <w:rsid w:val="00CF16BD"/>
    <w:rsid w:val="00CF4455"/>
    <w:rsid w:val="00CF7087"/>
    <w:rsid w:val="00CF7D93"/>
    <w:rsid w:val="00D012A6"/>
    <w:rsid w:val="00D0156F"/>
    <w:rsid w:val="00D02EB9"/>
    <w:rsid w:val="00D06D5F"/>
    <w:rsid w:val="00D10477"/>
    <w:rsid w:val="00D10720"/>
    <w:rsid w:val="00D123F4"/>
    <w:rsid w:val="00D172D9"/>
    <w:rsid w:val="00D17469"/>
    <w:rsid w:val="00D23597"/>
    <w:rsid w:val="00D23A61"/>
    <w:rsid w:val="00D26A58"/>
    <w:rsid w:val="00D3063D"/>
    <w:rsid w:val="00D30F56"/>
    <w:rsid w:val="00D31874"/>
    <w:rsid w:val="00D35FB7"/>
    <w:rsid w:val="00D44EA5"/>
    <w:rsid w:val="00D453F6"/>
    <w:rsid w:val="00D45FF4"/>
    <w:rsid w:val="00D46127"/>
    <w:rsid w:val="00D46B72"/>
    <w:rsid w:val="00D47412"/>
    <w:rsid w:val="00D519D9"/>
    <w:rsid w:val="00D526C7"/>
    <w:rsid w:val="00D54436"/>
    <w:rsid w:val="00D57613"/>
    <w:rsid w:val="00D665A7"/>
    <w:rsid w:val="00D67569"/>
    <w:rsid w:val="00D71E19"/>
    <w:rsid w:val="00D73BDD"/>
    <w:rsid w:val="00D763DA"/>
    <w:rsid w:val="00D805AB"/>
    <w:rsid w:val="00D8086E"/>
    <w:rsid w:val="00D811E7"/>
    <w:rsid w:val="00D87BB3"/>
    <w:rsid w:val="00D87E62"/>
    <w:rsid w:val="00D90681"/>
    <w:rsid w:val="00D9097F"/>
    <w:rsid w:val="00D90EF6"/>
    <w:rsid w:val="00D932C6"/>
    <w:rsid w:val="00D94472"/>
    <w:rsid w:val="00DA0DA9"/>
    <w:rsid w:val="00DA57BE"/>
    <w:rsid w:val="00DB2AA4"/>
    <w:rsid w:val="00DB3111"/>
    <w:rsid w:val="00DB31DB"/>
    <w:rsid w:val="00DB7121"/>
    <w:rsid w:val="00DC083C"/>
    <w:rsid w:val="00DC61CC"/>
    <w:rsid w:val="00DD2CCC"/>
    <w:rsid w:val="00DD4577"/>
    <w:rsid w:val="00DD4622"/>
    <w:rsid w:val="00DD4D2E"/>
    <w:rsid w:val="00DD5163"/>
    <w:rsid w:val="00DD7D43"/>
    <w:rsid w:val="00DE2502"/>
    <w:rsid w:val="00DE3B8B"/>
    <w:rsid w:val="00DE5EF0"/>
    <w:rsid w:val="00DF22B3"/>
    <w:rsid w:val="00E00860"/>
    <w:rsid w:val="00E01161"/>
    <w:rsid w:val="00E03835"/>
    <w:rsid w:val="00E05A0A"/>
    <w:rsid w:val="00E10F96"/>
    <w:rsid w:val="00E11C3F"/>
    <w:rsid w:val="00E14BD4"/>
    <w:rsid w:val="00E26D13"/>
    <w:rsid w:val="00E3677A"/>
    <w:rsid w:val="00E37227"/>
    <w:rsid w:val="00E41D46"/>
    <w:rsid w:val="00E42973"/>
    <w:rsid w:val="00E4308E"/>
    <w:rsid w:val="00E43D95"/>
    <w:rsid w:val="00E4505C"/>
    <w:rsid w:val="00E51167"/>
    <w:rsid w:val="00E549D7"/>
    <w:rsid w:val="00E554A3"/>
    <w:rsid w:val="00E5693C"/>
    <w:rsid w:val="00E61010"/>
    <w:rsid w:val="00E61BAE"/>
    <w:rsid w:val="00E63315"/>
    <w:rsid w:val="00E70428"/>
    <w:rsid w:val="00E72E9A"/>
    <w:rsid w:val="00E746BF"/>
    <w:rsid w:val="00E74A5B"/>
    <w:rsid w:val="00E82858"/>
    <w:rsid w:val="00E845B2"/>
    <w:rsid w:val="00E84C86"/>
    <w:rsid w:val="00E86DB9"/>
    <w:rsid w:val="00E93827"/>
    <w:rsid w:val="00E95338"/>
    <w:rsid w:val="00E96130"/>
    <w:rsid w:val="00EA12DE"/>
    <w:rsid w:val="00EA32C5"/>
    <w:rsid w:val="00EA7BDB"/>
    <w:rsid w:val="00EB30D7"/>
    <w:rsid w:val="00EB5B54"/>
    <w:rsid w:val="00EB71B9"/>
    <w:rsid w:val="00EB71EE"/>
    <w:rsid w:val="00EC156D"/>
    <w:rsid w:val="00EC329F"/>
    <w:rsid w:val="00EC792A"/>
    <w:rsid w:val="00EE32FE"/>
    <w:rsid w:val="00EE7C51"/>
    <w:rsid w:val="00EF131E"/>
    <w:rsid w:val="00EF142A"/>
    <w:rsid w:val="00EF15B1"/>
    <w:rsid w:val="00EF4019"/>
    <w:rsid w:val="00F03C08"/>
    <w:rsid w:val="00F07E05"/>
    <w:rsid w:val="00F11F86"/>
    <w:rsid w:val="00F120A2"/>
    <w:rsid w:val="00F1278E"/>
    <w:rsid w:val="00F1441D"/>
    <w:rsid w:val="00F14D58"/>
    <w:rsid w:val="00F16B91"/>
    <w:rsid w:val="00F22E52"/>
    <w:rsid w:val="00F233D8"/>
    <w:rsid w:val="00F23E6F"/>
    <w:rsid w:val="00F263DD"/>
    <w:rsid w:val="00F271FE"/>
    <w:rsid w:val="00F34839"/>
    <w:rsid w:val="00F4034F"/>
    <w:rsid w:val="00F45069"/>
    <w:rsid w:val="00F61F20"/>
    <w:rsid w:val="00F66A01"/>
    <w:rsid w:val="00F704E0"/>
    <w:rsid w:val="00F70559"/>
    <w:rsid w:val="00F71059"/>
    <w:rsid w:val="00F73374"/>
    <w:rsid w:val="00F7409E"/>
    <w:rsid w:val="00F8381B"/>
    <w:rsid w:val="00F85298"/>
    <w:rsid w:val="00F90D1A"/>
    <w:rsid w:val="00F92E2E"/>
    <w:rsid w:val="00F968F6"/>
    <w:rsid w:val="00F96D8A"/>
    <w:rsid w:val="00FA05FE"/>
    <w:rsid w:val="00FA0624"/>
    <w:rsid w:val="00FA48B2"/>
    <w:rsid w:val="00FA723A"/>
    <w:rsid w:val="00FB0BBA"/>
    <w:rsid w:val="00FB3ED9"/>
    <w:rsid w:val="00FB522C"/>
    <w:rsid w:val="00FB6128"/>
    <w:rsid w:val="00FB72C4"/>
    <w:rsid w:val="00FC04C5"/>
    <w:rsid w:val="00FC2571"/>
    <w:rsid w:val="00FC3014"/>
    <w:rsid w:val="00FC338B"/>
    <w:rsid w:val="00FD1B70"/>
    <w:rsid w:val="00FD7600"/>
    <w:rsid w:val="00FE2109"/>
    <w:rsid w:val="00FE3A09"/>
    <w:rsid w:val="00FE4BEF"/>
    <w:rsid w:val="00FE65B6"/>
    <w:rsid w:val="00FE6ABF"/>
    <w:rsid w:val="00FE75CE"/>
    <w:rsid w:val="00FF23B0"/>
    <w:rsid w:val="00FF3048"/>
    <w:rsid w:val="00FF43B8"/>
    <w:rsid w:val="00FF4587"/>
    <w:rsid w:val="00FF75F5"/>
    <w:rsid w:val="02DD5BD7"/>
    <w:rsid w:val="0491AE2C"/>
    <w:rsid w:val="05DFCCB8"/>
    <w:rsid w:val="06DCE3AE"/>
    <w:rsid w:val="0912484A"/>
    <w:rsid w:val="0A93F972"/>
    <w:rsid w:val="0B4D5889"/>
    <w:rsid w:val="0D143D96"/>
    <w:rsid w:val="0E63EF66"/>
    <w:rsid w:val="0E81C2CC"/>
    <w:rsid w:val="0EF7EE0E"/>
    <w:rsid w:val="0F75D443"/>
    <w:rsid w:val="12D4607A"/>
    <w:rsid w:val="14A36A51"/>
    <w:rsid w:val="1549FB5B"/>
    <w:rsid w:val="17638177"/>
    <w:rsid w:val="1E34F817"/>
    <w:rsid w:val="1F857104"/>
    <w:rsid w:val="20EB9147"/>
    <w:rsid w:val="2269DA95"/>
    <w:rsid w:val="22F3C05C"/>
    <w:rsid w:val="2435DC82"/>
    <w:rsid w:val="24847D23"/>
    <w:rsid w:val="25E87C9E"/>
    <w:rsid w:val="2834B82B"/>
    <w:rsid w:val="288EEC9A"/>
    <w:rsid w:val="28D45449"/>
    <w:rsid w:val="298567E4"/>
    <w:rsid w:val="2BA3DE9A"/>
    <w:rsid w:val="2E1B5670"/>
    <w:rsid w:val="2E709FFA"/>
    <w:rsid w:val="329DF196"/>
    <w:rsid w:val="3785778A"/>
    <w:rsid w:val="39E1A82F"/>
    <w:rsid w:val="3CBD3E24"/>
    <w:rsid w:val="3F3FE96C"/>
    <w:rsid w:val="41784F5E"/>
    <w:rsid w:val="418E55E1"/>
    <w:rsid w:val="508A3DB6"/>
    <w:rsid w:val="565707C9"/>
    <w:rsid w:val="56E601FD"/>
    <w:rsid w:val="56E6EB98"/>
    <w:rsid w:val="5F2956F0"/>
    <w:rsid w:val="5FDB6DAD"/>
    <w:rsid w:val="61122444"/>
    <w:rsid w:val="6615D868"/>
    <w:rsid w:val="6FE92986"/>
    <w:rsid w:val="73D4ED46"/>
    <w:rsid w:val="74798F2B"/>
    <w:rsid w:val="76FD22EC"/>
    <w:rsid w:val="7848B4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AB93DD66-2400-4530-BCC1-B74D188C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paragraph" w:styleId="Revision">
    <w:name w:val="Revision"/>
    <w:hidden/>
    <w:uiPriority w:val="99"/>
    <w:semiHidden/>
    <w:rsid w:val="004104C0"/>
    <w:rPr>
      <w:sz w:val="24"/>
      <w:szCs w:val="24"/>
    </w:rPr>
  </w:style>
  <w:style w:type="character" w:styleId="UnresolvedMention">
    <w:name w:val="Unresolved Mention"/>
    <w:basedOn w:val="DefaultParagraphFont"/>
    <w:uiPriority w:val="99"/>
    <w:semiHidden/>
    <w:unhideWhenUsed/>
    <w:rsid w:val="00C83529"/>
    <w:rPr>
      <w:color w:val="605E5C"/>
      <w:shd w:val="clear" w:color="auto" w:fill="E1DFDD"/>
    </w:rPr>
  </w:style>
  <w:style w:type="paragraph" w:customStyle="1" w:styleId="MarkforTableTitle">
    <w:name w:val="Mark for Table Title"/>
    <w:basedOn w:val="Normal"/>
    <w:next w:val="NormalSS"/>
    <w:qFormat/>
    <w:rsid w:val="0044179A"/>
    <w:pPr>
      <w:keepNext/>
      <w:spacing w:after="60"/>
    </w:pPr>
    <w:rPr>
      <w:rFonts w:ascii="Arial Black" w:hAnsi="Arial Black"/>
      <w:sz w:val="22"/>
      <w:szCs w:val="20"/>
    </w:rPr>
  </w:style>
  <w:style w:type="paragraph" w:styleId="ListParagraph">
    <w:name w:val="List Paragraph"/>
    <w:basedOn w:val="Normal"/>
    <w:uiPriority w:val="34"/>
    <w:qFormat/>
    <w:rsid w:val="006D281C"/>
    <w:pPr>
      <w:ind w:left="720"/>
      <w:contextualSpacing/>
    </w:pPr>
  </w:style>
  <w:style w:type="paragraph" w:customStyle="1" w:styleId="TableHeaderLeft">
    <w:name w:val="Table Header Left"/>
    <w:basedOn w:val="TableText"/>
    <w:next w:val="TableText"/>
    <w:qFormat/>
    <w:rsid w:val="002D51B2"/>
    <w:pPr>
      <w:spacing w:before="120" w:after="60"/>
    </w:pPr>
    <w:rPr>
      <w:b/>
      <w:color w:val="FFFFFF" w:themeColor="background1"/>
    </w:rPr>
  </w:style>
  <w:style w:type="paragraph" w:customStyle="1" w:styleId="TableHeaderCenter">
    <w:name w:val="Table Header Center"/>
    <w:basedOn w:val="TableHeaderLeft"/>
    <w:qFormat/>
    <w:rsid w:val="002D51B2"/>
    <w:pPr>
      <w:jc w:val="center"/>
    </w:pPr>
  </w:style>
  <w:style w:type="paragraph" w:customStyle="1" w:styleId="TableText">
    <w:name w:val="Table Text"/>
    <w:basedOn w:val="Normal"/>
    <w:qFormat/>
    <w:rsid w:val="002D51B2"/>
    <w:rPr>
      <w:rFonts w:ascii="Arial" w:hAnsi="Arial"/>
      <w:sz w:val="18"/>
      <w:szCs w:val="20"/>
    </w:rPr>
  </w:style>
  <w:style w:type="table" w:customStyle="1" w:styleId="MPRBaseTable">
    <w:name w:val="MPR Base Table"/>
    <w:basedOn w:val="TableNormal"/>
    <w:uiPriority w:val="99"/>
    <w:rsid w:val="002D51B2"/>
    <w:pPr>
      <w:textboxTightWrap w:val="allLines"/>
      <w:spacing w:line="360" w:lineRule="auto"/>
      <w:contextualSpacing/>
    </w:pPr>
    <w:rPr>
      <w:rFonts w:ascii="Arial" w:hAnsi="Arial" w:eastAsiaTheme="minorEastAsia" w:cstheme="minorBidi"/>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am12.safelinks.protection.outlook.com/?url=https%3A%2F%2Fwww.opm.gov%2Fpolicy-data-oversight%2Fpay-leave%2Fsalaries-wages%2Fsalary-tables%2Fpdf%2F2024%2FDCB_h.pdf&amp;data=05%7C02%7CBEnglish%40mathematica-mpr.com%7C23c48eb0d5af4d07342a08de90f55941%7C13af8d650b4b4c0fa446a427419abfd6%7C0%7C0%7C639107580635445790%7CUnknown%7CTWFpbGZsb3d8eyJFbXB0eU1hcGkiOnRydWUsIlYiOiIwLjAuMDAwMCIsIlAiOiJXaW4zMiIsIkFOIjoiTWFpbCIsIldUIjoyfQ%3D%3D%7C0%7C%7C%7C&amp;sdata=%2BTfIRI5xqXhRsmBg6vPmpkPMs0iNJ68gjZrLQ3F314c%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0545A25B5D2643B0C70029BFE825FE" ma:contentTypeVersion="4" ma:contentTypeDescription="Create a new document." ma:contentTypeScope="" ma:versionID="21c6c5372d82198df7302a51b1341cf6">
  <xsd:schema xmlns:xsd="http://www.w3.org/2001/XMLSchema" xmlns:xs="http://www.w3.org/2001/XMLSchema" xmlns:p="http://schemas.microsoft.com/office/2006/metadata/properties" xmlns:ns2="a8e4d159-9bbe-4e01-9a20-6e81e1fc1129" targetNamespace="http://schemas.microsoft.com/office/2006/metadata/properties" ma:root="true" ma:fieldsID="9b16d00802e7762c4b6e4a3c02f9bf50" ns2:_="">
    <xsd:import namespace="a8e4d159-9bbe-4e01-9a20-6e81e1fc1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d159-9bbe-4e01-9a20-6e81e1fc1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customXml/itemProps2.xml><?xml version="1.0" encoding="utf-8"?>
<ds:datastoreItem xmlns:ds="http://schemas.openxmlformats.org/officeDocument/2006/customXml" ds:itemID="{386B6853-F8A9-447B-893D-F24E6A9D3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d159-9bbe-4e01-9a20-6e81e1fc1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B75AF-AA46-4940-8E63-08FB17E13940}">
  <ds:schemaRefs>
    <ds:schemaRef ds:uri="http://www.w3.org/XML/1998/namespace"/>
    <ds:schemaRef ds:uri="a8e4d159-9bbe-4e01-9a20-6e81e1fc1129"/>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B0C2B77-7127-4977-98A3-39BB35BD3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2758</Words>
  <Characters>15832</Characters>
  <Application>Microsoft Office Word</Application>
  <DocSecurity>0</DocSecurity>
  <Lines>395</Lines>
  <Paragraphs>167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Hannon, Bradley - ASP</cp:lastModifiedBy>
  <cp:revision>2</cp:revision>
  <cp:lastPrinted>2009-01-26T08:35:00Z</cp:lastPrinted>
  <dcterms:created xsi:type="dcterms:W3CDTF">2026-04-29T15:23:00Z</dcterms:created>
  <dcterms:modified xsi:type="dcterms:W3CDTF">2026-04-29T15:23:00Z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0x010100FA0545A25B5D2643B0C70029BFE825FE</vt:lpwstr>
  </property>
</Properties>
</file>