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4E3F" w:rsidRPr="00F2037E" w14:paraId="69AA1E82" w14:textId="77777777">
      <w:pPr>
        <w:pStyle w:val="Heading1"/>
        <w:jc w:val="center"/>
        <w:rPr>
          <w:b w:val="0"/>
          <w:bCs w:val="0"/>
          <w:u w:val="single"/>
        </w:rPr>
      </w:pPr>
      <w:r w:rsidRPr="00F2037E">
        <w:rPr>
          <w:b w:val="0"/>
          <w:bCs w:val="0"/>
          <w:u w:val="single"/>
        </w:rPr>
        <w:t>Supporting Statement</w:t>
      </w:r>
    </w:p>
    <w:p w:rsidR="00F2037E" w:rsidRPr="00F2037E" w:rsidP="00F2037E" w14:paraId="3E61566A" w14:textId="77777777">
      <w:pPr>
        <w:jc w:val="center"/>
        <w:rPr>
          <w:u w:val="single"/>
        </w:rPr>
      </w:pPr>
      <w:r w:rsidRPr="00F2037E">
        <w:rPr>
          <w:u w:val="single"/>
        </w:rPr>
        <w:t>OMB Control Number 1506-0014</w:t>
      </w:r>
    </w:p>
    <w:p w:rsidR="00017BCF" w:rsidRPr="009F166A" w:rsidP="00A866F3" w14:paraId="39DB7450" w14:textId="0FEFA189">
      <w:pPr>
        <w:jc w:val="center"/>
        <w:rPr>
          <w:u w:val="single"/>
        </w:rPr>
      </w:pPr>
      <w:r w:rsidRPr="00D41F30">
        <w:rPr>
          <w:bCs/>
          <w:u w:val="single"/>
        </w:rPr>
        <w:t xml:space="preserve">Report of </w:t>
      </w:r>
      <w:r w:rsidR="008A4BEF">
        <w:rPr>
          <w:bCs/>
          <w:u w:val="single"/>
        </w:rPr>
        <w:t xml:space="preserve">International </w:t>
      </w:r>
      <w:r w:rsidRPr="00D41F30">
        <w:rPr>
          <w:bCs/>
          <w:u w:val="single"/>
        </w:rPr>
        <w:t>Transportation of Currency or Monetary Instruments</w:t>
      </w:r>
      <w:r w:rsidR="00916053">
        <w:rPr>
          <w:bCs/>
          <w:u w:val="single"/>
        </w:rPr>
        <w:t xml:space="preserve"> (CMIR)</w:t>
      </w:r>
      <w:r w:rsidR="00761CAD">
        <w:rPr>
          <w:bCs/>
          <w:u w:val="single"/>
        </w:rPr>
        <w:t xml:space="preserve"> </w:t>
      </w:r>
      <w:r w:rsidRPr="003B7715" w:rsidR="00761CAD">
        <w:rPr>
          <w:rFonts w:eastAsia="MS Mincho"/>
          <w:u w:val="single"/>
        </w:rPr>
        <w:t>– FinCEN Form 105</w:t>
      </w:r>
    </w:p>
    <w:p w:rsidR="00264E3F" w14:paraId="330A04F1" w14:textId="77777777">
      <w:pPr>
        <w:spacing w:before="225"/>
        <w:rPr>
          <w:szCs w:val="22"/>
          <w:u w:val="single"/>
        </w:rPr>
      </w:pPr>
      <w:r>
        <w:rPr>
          <w:szCs w:val="22"/>
        </w:rPr>
        <w:t xml:space="preserve">1. </w:t>
      </w:r>
      <w:r w:rsidRPr="00033C6F">
        <w:rPr>
          <w:szCs w:val="22"/>
          <w:u w:val="single"/>
        </w:rPr>
        <w:t xml:space="preserve">Circumstances </w:t>
      </w:r>
      <w:r w:rsidRPr="00033C6F" w:rsidR="00097E30">
        <w:rPr>
          <w:szCs w:val="22"/>
          <w:u w:val="single"/>
        </w:rPr>
        <w:t>necessitating collection of information</w:t>
      </w:r>
      <w:r w:rsidRPr="00033C6F" w:rsidR="007F70D8">
        <w:rPr>
          <w:szCs w:val="22"/>
          <w:u w:val="single"/>
        </w:rPr>
        <w:t>.</w:t>
      </w:r>
    </w:p>
    <w:p w:rsidR="00264E3F" w14:paraId="226C7043" w14:textId="77777777"/>
    <w:p w:rsidR="009446F6" w:rsidP="7A93C39C" w14:paraId="182AE26B" w14:textId="37C03F1F">
      <w:pPr>
        <w:suppressAutoHyphens/>
      </w:pPr>
      <w:r>
        <w:tab/>
      </w:r>
      <w:r w:rsidRPr="009446F6" w:rsidR="53F448DA">
        <w:t xml:space="preserve">The legislative framework generally referred to as the </w:t>
      </w:r>
      <w:r w:rsidR="36CEE36F">
        <w:t>Bank Secrecy Act (</w:t>
      </w:r>
      <w:r w:rsidRPr="009446F6" w:rsidR="53F448DA">
        <w:t>BSA</w:t>
      </w:r>
      <w:r w:rsidR="36CEE36F">
        <w:t>)</w:t>
      </w:r>
      <w:r w:rsidRPr="009446F6" w:rsidR="53F448DA">
        <w:t xml:space="preserve"> consists of the Currency and Foreign Transactions Reporting Act of 1970,</w:t>
      </w:r>
      <w:r>
        <w:rPr>
          <w:rStyle w:val="FootnoteReference"/>
        </w:rPr>
        <w:footnoteReference w:id="3"/>
      </w:r>
      <w:r w:rsidRPr="009446F6" w:rsidR="53F448DA">
        <w:t xml:space="preserve"> as amended by the Uniting and Strengthening America by Providing Appropriate Tools Required to Intercept and Obstruct Terrorism Act of 2001 (USA PATRIOT Act),</w:t>
      </w:r>
      <w:r>
        <w:rPr>
          <w:vertAlign w:val="superscript"/>
        </w:rPr>
        <w:footnoteReference w:id="4"/>
      </w:r>
      <w:r w:rsidRPr="009446F6" w:rsidR="53F448DA">
        <w:t xml:space="preserve"> and other legislation, including the Anti-Money Laundering Act of 2020 (AML Act).</w:t>
      </w:r>
      <w:r>
        <w:rPr>
          <w:vertAlign w:val="superscript"/>
        </w:rPr>
        <w:footnoteReference w:id="5"/>
      </w:r>
      <w:r w:rsidRPr="009446F6" w:rsidR="53F448DA">
        <w:t xml:space="preserve">  The BSA is codified at 12 U.S.C. 1829b and 1951–1960</w:t>
      </w:r>
      <w:r w:rsidR="543D0015">
        <w:t xml:space="preserve">, </w:t>
      </w:r>
      <w:r w:rsidRPr="009446F6" w:rsidR="53F448DA">
        <w:t>31 U.S.C. 5311–5314 and 5316–5336, including notes thereto</w:t>
      </w:r>
      <w:r w:rsidRPr="009446F6" w:rsidR="0DAF0F9C">
        <w:t>,</w:t>
      </w:r>
      <w:r w:rsidRPr="009446F6" w:rsidR="53F448DA">
        <w:t xml:space="preserve"> with implementing regulations at 31 CFR chapter X. </w:t>
      </w:r>
    </w:p>
    <w:p w:rsidR="009446F6" w:rsidRPr="009446F6" w:rsidP="009446F6" w14:paraId="0EFFEA49" w14:textId="5FC809C0">
      <w:pPr>
        <w:tabs>
          <w:tab w:val="left" w:pos="-720"/>
        </w:tabs>
        <w:suppressAutoHyphens/>
      </w:pPr>
      <w:r w:rsidRPr="009446F6">
        <w:t xml:space="preserve">  </w:t>
      </w:r>
    </w:p>
    <w:p w:rsidR="009446F6" w:rsidP="7A93C39C" w14:paraId="0ACBA819" w14:textId="42D3B35F">
      <w:pPr>
        <w:suppressAutoHyphens/>
      </w:pPr>
      <w:r>
        <w:tab/>
      </w:r>
      <w:r w:rsidRPr="009446F6" w:rsidR="53F448DA">
        <w:t xml:space="preserve">The BSA authorizes the Secretary of the Treasury (Secretary) to, </w:t>
      </w:r>
      <w:r w:rsidRPr="7A93C39C" w:rsidR="53F448DA">
        <w:rPr>
          <w:i/>
          <w:iCs/>
        </w:rPr>
        <w:t>inter alia</w:t>
      </w:r>
      <w:r w:rsidRPr="009446F6" w:rsidR="53F448DA">
        <w:t xml:space="preserve">, require financial institutions to keep records and file reports that are determined to have a high degree of usefulness in criminal, tax, or regulatory </w:t>
      </w:r>
      <w:r w:rsidR="3960EDD9">
        <w:t>matters</w:t>
      </w:r>
      <w:r w:rsidRPr="009446F6" w:rsidR="53F448DA">
        <w:t>, risk assessments or proceedings, or in</w:t>
      </w:r>
      <w:r w:rsidRPr="009446F6" w:rsidR="53F448DA">
        <w:t xml:space="preserve"> </w:t>
      </w:r>
      <w:r w:rsidRPr="009446F6" w:rsidR="53F448DA">
        <w:t>intelligence or counter-intelligence activities, including analysis, to protect against terrorism, and to implement anti-money laundering/countering the financing of terrorism (AML/CFT) programs and compliance procedures.</w:t>
      </w:r>
      <w:r>
        <w:rPr>
          <w:vertAlign w:val="superscript"/>
        </w:rPr>
        <w:footnoteReference w:id="6"/>
      </w:r>
      <w:r w:rsidRPr="009446F6" w:rsidR="53F448DA">
        <w:t xml:space="preserve">  The Secretary has delegated to the Director of FinCEN (Director) the authority to administer the BSA.</w:t>
      </w:r>
      <w:r>
        <w:rPr>
          <w:vertAlign w:val="superscript"/>
        </w:rPr>
        <w:footnoteReference w:id="7"/>
      </w:r>
    </w:p>
    <w:p w:rsidR="009446F6" w:rsidRPr="009446F6" w:rsidP="009446F6" w14:paraId="6E6994AB" w14:textId="77777777">
      <w:pPr>
        <w:tabs>
          <w:tab w:val="left" w:pos="-720"/>
        </w:tabs>
        <w:suppressAutoHyphens/>
        <w:rPr>
          <w:b/>
          <w:bCs/>
        </w:rPr>
      </w:pPr>
    </w:p>
    <w:p w:rsidR="009446F6" w:rsidP="7A93C39C" w14:paraId="41FC75B0" w14:textId="63794959">
      <w:pPr>
        <w:suppressAutoHyphens/>
      </w:pPr>
      <w:r>
        <w:tab/>
      </w:r>
      <w:r w:rsidRPr="009446F6" w:rsidR="53F448DA">
        <w:t>31 U.S.C. 5316 requires, with limited exceptions, that a person, or an agent or bailee of the person, file a report when the person, agent, or bailee knowingly: (</w:t>
      </w:r>
      <w:r w:rsidRPr="009446F6" w:rsidR="53F448DA">
        <w:t>i</w:t>
      </w:r>
      <w:r w:rsidRPr="009446F6" w:rsidR="53F448DA">
        <w:t>) transports, is about to transport, or has transported monetary instruments</w:t>
      </w:r>
      <w:r>
        <w:rPr>
          <w:vertAlign w:val="superscript"/>
        </w:rPr>
        <w:footnoteReference w:id="8"/>
      </w:r>
      <w:r w:rsidRPr="009446F6" w:rsidR="53F448DA">
        <w:t xml:space="preserve"> of more than $10,000 at one time from a place in the United States to or through a place outside the United States, or to a place in the United States from or through a place outside the United States; or (ii) receives monetary instruments of more than $10,000 at one time transported into the United States from or through a place outside the United States.  The regulations implementing this statutory requirement </w:t>
      </w:r>
      <w:r w:rsidRPr="7A93C39C" w:rsidR="53F448DA">
        <w:t>are found at 31 CFR 1010.340 and 31 CFR 1010.306.</w:t>
      </w:r>
      <w:r>
        <w:rPr>
          <w:vertAlign w:val="superscript"/>
        </w:rPr>
        <w:footnoteReference w:id="9"/>
      </w:r>
      <w:r w:rsidRPr="009446F6" w:rsidR="53F448DA">
        <w:rPr>
          <w:bCs/>
        </w:rPr>
        <w:t xml:space="preserve"> </w:t>
      </w:r>
    </w:p>
    <w:p w:rsidR="009446F6" w:rsidRPr="009446F6" w:rsidP="009446F6" w14:paraId="75209045" w14:textId="77777777">
      <w:pPr>
        <w:tabs>
          <w:tab w:val="left" w:pos="-720"/>
        </w:tabs>
        <w:suppressAutoHyphens/>
        <w:rPr>
          <w:bCs/>
        </w:rPr>
      </w:pPr>
    </w:p>
    <w:p w:rsidR="009446F6" w:rsidP="7A93C39C" w14:paraId="0D3BBA08" w14:textId="4C00241A">
      <w:pPr>
        <w:suppressAutoHyphens/>
      </w:pPr>
      <w:r>
        <w:tab/>
      </w:r>
      <w:r w:rsidRPr="009446F6" w:rsidR="53F448DA">
        <w:t>31 CFR 1010.306(d) states that CMIRs required to be filed pursuant to 31 CFR 1010.340 must be filed on forms prescribed by the Secretary and all information called for in such form must be furnished.  CMIRs may be obtained from</w:t>
      </w:r>
      <w:r w:rsidR="251578F7">
        <w:t xml:space="preserve"> Customs and Border Protection</w:t>
      </w:r>
      <w:r w:rsidRPr="009446F6" w:rsidR="53F448DA">
        <w:t xml:space="preserve"> </w:t>
      </w:r>
      <w:r w:rsidR="251578F7">
        <w:t>(</w:t>
      </w:r>
      <w:r w:rsidRPr="009446F6" w:rsidR="53F448DA">
        <w:t>CBP</w:t>
      </w:r>
      <w:r w:rsidR="3EE1B106">
        <w:t>)</w:t>
      </w:r>
      <w:r w:rsidRPr="009446F6" w:rsidR="53F448DA">
        <w:t xml:space="preserve"> or FinCEN,</w:t>
      </w:r>
      <w:r>
        <w:rPr>
          <w:vertAlign w:val="superscript"/>
        </w:rPr>
        <w:footnoteReference w:id="10"/>
      </w:r>
      <w:r w:rsidRPr="009446F6" w:rsidR="53F448DA">
        <w:t xml:space="preserve"> and may be completed in paper or online via computer or handheld digital device with internet capability, such as a smartphone.</w:t>
      </w:r>
      <w:r>
        <w:rPr>
          <w:vertAlign w:val="superscript"/>
        </w:rPr>
        <w:footnoteReference w:id="11"/>
      </w:r>
      <w:r w:rsidRPr="009446F6" w:rsidR="53F448DA">
        <w:t xml:space="preserve">   </w:t>
      </w:r>
    </w:p>
    <w:p w:rsidR="009446F6" w:rsidRPr="009446F6" w:rsidP="009446F6" w14:paraId="14AA6AD8" w14:textId="77777777">
      <w:pPr>
        <w:tabs>
          <w:tab w:val="left" w:pos="-720"/>
        </w:tabs>
        <w:suppressAutoHyphens/>
      </w:pPr>
    </w:p>
    <w:p w:rsidR="009446F6" w:rsidP="7A93C39C" w14:paraId="475C7742" w14:textId="7A08E69A">
      <w:pPr>
        <w:suppressAutoHyphens/>
      </w:pPr>
      <w:r>
        <w:tab/>
      </w:r>
      <w:r w:rsidRPr="009446F6" w:rsidR="53F448DA">
        <w:t>31 CFR 1010.340(a) requires each person</w:t>
      </w:r>
      <w:r>
        <w:rPr>
          <w:vertAlign w:val="superscript"/>
        </w:rPr>
        <w:footnoteReference w:id="12"/>
      </w:r>
      <w:r w:rsidRPr="009446F6" w:rsidR="53F448DA">
        <w:t xml:space="preserve"> who physically transports, mails, or ships</w:t>
      </w:r>
      <w:r w:rsidR="0B361847">
        <w:t>;</w:t>
      </w:r>
      <w:r w:rsidRPr="009446F6" w:rsidR="53F448DA">
        <w:t xml:space="preserve"> or causes to be physically transported, mailed</w:t>
      </w:r>
      <w:r w:rsidR="00E16C92">
        <w:t>,</w:t>
      </w:r>
      <w:r w:rsidRPr="009446F6" w:rsidR="53F448DA">
        <w:t xml:space="preserve"> or shipped</w:t>
      </w:r>
      <w:r w:rsidR="4569826C">
        <w:t>;</w:t>
      </w:r>
      <w:r w:rsidRPr="009446F6" w:rsidR="53F448DA">
        <w:t xml:space="preserve"> or attempts to physically transport, mail, or ship</w:t>
      </w:r>
      <w:r w:rsidR="0D3654AA">
        <w:t>;</w:t>
      </w:r>
      <w:r w:rsidRPr="009446F6" w:rsidR="53F448DA">
        <w:t xml:space="preserve"> or attempts to cause to be physically transported, mailed</w:t>
      </w:r>
      <w:r w:rsidR="00E16C92">
        <w:t>,</w:t>
      </w:r>
      <w:r w:rsidRPr="009446F6" w:rsidR="53F448DA">
        <w:t xml:space="preserve"> or shipped, currency</w:t>
      </w:r>
      <w:r>
        <w:rPr>
          <w:vertAlign w:val="superscript"/>
        </w:rPr>
        <w:footnoteReference w:id="13"/>
      </w:r>
      <w:r w:rsidRPr="009446F6" w:rsidR="53F448DA">
        <w:t xml:space="preserve"> or other monetary instruments</w:t>
      </w:r>
      <w:r>
        <w:rPr>
          <w:vertAlign w:val="superscript"/>
        </w:rPr>
        <w:footnoteReference w:id="14"/>
      </w:r>
      <w:r w:rsidRPr="009446F6" w:rsidR="53F448DA">
        <w:t xml:space="preserve"> in an aggregate amount exceeding $10,000 at one time from the United States to any place outside the United States, or into the United States from any place outside the United States, to file a CMIR.</w:t>
      </w:r>
      <w:r>
        <w:rPr>
          <w:vertAlign w:val="superscript"/>
        </w:rPr>
        <w:footnoteReference w:id="15"/>
      </w:r>
      <w:r w:rsidRPr="009446F6" w:rsidR="53F448DA">
        <w:t xml:space="preserve">  CMIRs required to be filed pursuant to 31 CFR 1010.340(a) must be filed at the time of entry into the United States or at the time of departure, mailing</w:t>
      </w:r>
      <w:r w:rsidR="005C2BAE">
        <w:t>,</w:t>
      </w:r>
      <w:r w:rsidRPr="009446F6" w:rsidR="53F448DA">
        <w:t xml:space="preserve"> or shipping from the United States, unless otherwise specified by the Commissioner</w:t>
      </w:r>
      <w:r w:rsidRPr="009446F6" w:rsidR="2A732011">
        <w:t xml:space="preserve"> of CBP</w:t>
      </w:r>
      <w:r w:rsidRPr="009446F6" w:rsidR="53F448DA">
        <w:t>.</w:t>
      </w:r>
      <w:r>
        <w:rPr>
          <w:vertAlign w:val="superscript"/>
        </w:rPr>
        <w:footnoteReference w:id="16"/>
      </w:r>
      <w:r w:rsidRPr="009446F6" w:rsidR="53F448DA">
        <w:t xml:space="preserve">  CMIRs required to be filed pursuant to 31 CFR 1010.340(a) for currency or other monetary instruments not physically accompanying a person entering or departing from the United States may be filed by mail on or before the date of entry, departure, mailing, or shipping.</w:t>
      </w:r>
      <w:r>
        <w:rPr>
          <w:vertAlign w:val="superscript"/>
        </w:rPr>
        <w:footnoteReference w:id="17"/>
      </w:r>
      <w:r w:rsidRPr="009446F6" w:rsidR="53F448DA">
        <w:t xml:space="preserve"> </w:t>
      </w:r>
    </w:p>
    <w:p w:rsidR="009446F6" w:rsidRPr="009446F6" w:rsidP="009446F6" w14:paraId="6A3D91E6" w14:textId="77777777">
      <w:pPr>
        <w:tabs>
          <w:tab w:val="left" w:pos="-720"/>
        </w:tabs>
        <w:suppressAutoHyphens/>
      </w:pPr>
    </w:p>
    <w:p w:rsidR="009446F6" w:rsidP="7A93C39C" w14:paraId="4157FB37" w14:textId="77220F8F">
      <w:pPr>
        <w:suppressAutoHyphens/>
      </w:pPr>
      <w:r>
        <w:tab/>
      </w:r>
      <w:r w:rsidRPr="009446F6" w:rsidR="53F448DA">
        <w:t>31 CFR 1010.340(b) requires each person who receives in the United States</w:t>
      </w:r>
      <w:r w:rsidR="00EB3E80">
        <w:t>,</w:t>
      </w:r>
      <w:r w:rsidRPr="009446F6" w:rsidR="53F448DA">
        <w:t xml:space="preserve"> currency or other monetary instruments in an aggregate amount exceeding $10,000 at one time </w:t>
      </w:r>
      <w:r w:rsidR="1CEF8EF6">
        <w:t>wh</w:t>
      </w:r>
      <w:r w:rsidR="50C582EC">
        <w:t>ic</w:t>
      </w:r>
      <w:r w:rsidR="1CEF8EF6">
        <w:t>h have</w:t>
      </w:r>
      <w:r w:rsidR="225BAAAB">
        <w:t xml:space="preserve"> </w:t>
      </w:r>
      <w:r w:rsidRPr="009446F6" w:rsidR="53F448DA">
        <w:t xml:space="preserve">been transported, mailed, or shipped to such person from any place outside the United States, to file a CMIR if the CMIR has not already been filed pursuant to 31 CFR 1010.340(a), whether or not required to be filed thereunder.  The CMIR must include the amount, the date of receipt, the </w:t>
      </w:r>
      <w:r w:rsidRPr="009446F6" w:rsidR="53F448DA">
        <w:t>form of monetary instruments, and the person from whom the funds were received.  CMIRs required to be filed pursuant to 31 CFR 1010.3</w:t>
      </w:r>
      <w:r w:rsidRPr="009446F6" w:rsidR="53F448DA">
        <w:t>40</w:t>
      </w:r>
      <w:r w:rsidRPr="009446F6" w:rsidR="53F448DA">
        <w:t>(b) must be filed within 15 days after receipt of the currency or other monetary instruments.</w:t>
      </w:r>
      <w:r>
        <w:rPr>
          <w:vertAlign w:val="superscript"/>
        </w:rPr>
        <w:footnoteReference w:id="18"/>
      </w:r>
      <w:r w:rsidRPr="009446F6" w:rsidR="53F448DA">
        <w:t xml:space="preserve">  All CMIRs required to be filed pursuant to 31 CFR 1010.340 must be filed with the customs officer in charge at any port of entry or departure, or as otherwise specified by CBP, such as by mail.</w:t>
      </w:r>
      <w:r>
        <w:rPr>
          <w:vertAlign w:val="superscript"/>
        </w:rPr>
        <w:footnoteReference w:id="19"/>
      </w:r>
    </w:p>
    <w:p w:rsidR="7A93C39C" w14:paraId="4E819C5D" w14:textId="2B188408"/>
    <w:p w:rsidR="00A8306F" w:rsidP="7A93C39C" w14:paraId="14D7A480" w14:textId="4B569FE1">
      <w:pPr>
        <w:autoSpaceDE w:val="0"/>
        <w:autoSpaceDN w:val="0"/>
        <w:adjustRightInd w:val="0"/>
        <w:ind w:firstLine="720"/>
      </w:pPr>
      <w:r w:rsidRPr="7A93C39C">
        <w:t xml:space="preserve">31 CFR 1010.340(c) includes a list of </w:t>
      </w:r>
      <w:r w:rsidRPr="7A93C39C">
        <w:t>persons</w:t>
      </w:r>
      <w:r w:rsidRPr="7A93C39C">
        <w:t xml:space="preserve"> that are not required to file a CMIR</w:t>
      </w:r>
      <w:r w:rsidRPr="7A93C39C" w:rsidR="4C7AB182">
        <w:t>.  These include banks, foreign banks, and broker or dealers in securities, with respect to currency or other monetary instruments mailed or shipped through the postal service or by common carrier, and persons engaged as a business in the transportation of currency, monetary instruments and other commercial papers, with respect to the transportation of currency or other monetary instruments overland between established offices of banks or brokers or dealers in securities and foreign persons</w:t>
      </w:r>
      <w:r w:rsidRPr="00100F8E" w:rsidR="4C7AB182">
        <w:t>.</w:t>
      </w:r>
      <w:r>
        <w:rPr>
          <w:rStyle w:val="FootnoteReference"/>
        </w:rPr>
        <w:footnoteReference w:id="20"/>
      </w:r>
      <w:r w:rsidRPr="00C1357C" w:rsidR="4C7AB182">
        <w:t xml:space="preserve">  </w:t>
      </w:r>
    </w:p>
    <w:p w:rsidR="009446F6" w:rsidRPr="009446F6" w:rsidP="009446F6" w14:paraId="5E5246AD" w14:textId="77777777">
      <w:pPr>
        <w:tabs>
          <w:tab w:val="left" w:pos="-720"/>
        </w:tabs>
        <w:suppressAutoHyphens/>
      </w:pPr>
    </w:p>
    <w:p w:rsidR="009446F6" w:rsidP="7A93C39C" w14:paraId="70817A6D" w14:textId="44004413">
      <w:pPr>
        <w:suppressAutoHyphens/>
      </w:pPr>
      <w:r>
        <w:tab/>
      </w:r>
      <w:r w:rsidRPr="009446F6" w:rsidR="53F448DA">
        <w:t xml:space="preserve">31 CFR 1010.340(d) clarifies that a transfer of funds through normal banking procedures, which does not involve the physical transportation of currency or </w:t>
      </w:r>
      <w:r w:rsidRPr="009446F6" w:rsidR="577FEA68">
        <w:t xml:space="preserve">other </w:t>
      </w:r>
      <w:r w:rsidRPr="009446F6" w:rsidR="53F448DA">
        <w:t>monetary instruments, is not required to be reported on the CMIR.</w:t>
      </w:r>
      <w:r w:rsidRPr="009446F6" w:rsidR="53F448DA">
        <w:rPr>
          <w:vertAlign w:val="superscript"/>
        </w:rPr>
        <w:t xml:space="preserve"> </w:t>
      </w:r>
      <w:r w:rsidRPr="009446F6" w:rsidR="53F448DA">
        <w:t xml:space="preserve"> 31 CFR 1010.340(d) also states that no more than one CMIR needs to be filed covering a particular transportation, mailing</w:t>
      </w:r>
      <w:r w:rsidR="00811B30">
        <w:t>,</w:t>
      </w:r>
      <w:r w:rsidRPr="009446F6" w:rsidR="53F448DA">
        <w:t xml:space="preserve"> or shipping of currency or other monetary instruments with respect to which a complete and truthful CMIR has been filed by a person.  However, no person required to file a CMIR under 31 CFR 1010.340(a) or (b) is excused from liability for failure to do so, if in fact, a complete and truthful report has not been filed.</w:t>
      </w:r>
    </w:p>
    <w:p w:rsidR="009446F6" w:rsidRPr="009446F6" w:rsidP="009446F6" w14:paraId="1855727A" w14:textId="423B1AD7">
      <w:pPr>
        <w:tabs>
          <w:tab w:val="left" w:pos="-720"/>
        </w:tabs>
        <w:suppressAutoHyphens/>
      </w:pPr>
      <w:r w:rsidRPr="009446F6">
        <w:t xml:space="preserve">  </w:t>
      </w:r>
    </w:p>
    <w:p w:rsidR="009446F6" w:rsidP="00064419" w14:paraId="2115662C" w14:textId="770888F3">
      <w:pPr>
        <w:suppressAutoHyphens/>
        <w:ind w:firstLine="720"/>
      </w:pPr>
      <w:r>
        <w:t>A</w:t>
      </w:r>
      <w:r w:rsidRPr="009446F6" w:rsidR="5C7F9E05">
        <w:t xml:space="preserve"> person transporting, mailing, or shipping the person’s own currency or other monetary instruments in an aggregate amount in excess of $10,000 at one time from the U</w:t>
      </w:r>
      <w:r w:rsidR="0FB77792">
        <w:t>nited States</w:t>
      </w:r>
      <w:r w:rsidRPr="009446F6" w:rsidR="5C7F9E05">
        <w:t xml:space="preserve"> to any place outside the </w:t>
      </w:r>
      <w:r w:rsidR="751AA022">
        <w:t>United States</w:t>
      </w:r>
      <w:r w:rsidRPr="009446F6" w:rsidR="5C7F9E05">
        <w:t>, or into the U</w:t>
      </w:r>
      <w:r w:rsidR="30C9B5FE">
        <w:t>nited States</w:t>
      </w:r>
      <w:r w:rsidRPr="009446F6" w:rsidR="5C7F9E05">
        <w:t xml:space="preserve"> from any place outside the </w:t>
      </w:r>
      <w:r w:rsidR="30C9B5FE">
        <w:t>United States</w:t>
      </w:r>
      <w:r w:rsidRPr="009446F6" w:rsidR="5C7F9E05">
        <w:t>, or receiving such value on their own behalf from a place outside the U</w:t>
      </w:r>
      <w:r w:rsidR="6A12D4C2">
        <w:t>nited States</w:t>
      </w:r>
      <w:r w:rsidRPr="009446F6" w:rsidR="5C7F9E05">
        <w:t xml:space="preserve">, must provide their own information when completing the CMIR.  </w:t>
      </w:r>
      <w:r w:rsidR="74BAA085">
        <w:t>A</w:t>
      </w:r>
      <w:r w:rsidRPr="009446F6" w:rsidR="5C7F9E05">
        <w:t xml:space="preserve">n individual acting for anyone else when transporting, shipping, mailing, or receiving currency or </w:t>
      </w:r>
      <w:r w:rsidR="426EF751">
        <w:t xml:space="preserve">other </w:t>
      </w:r>
      <w:r w:rsidRPr="009446F6" w:rsidR="5C7F9E05">
        <w:t>monetary instruments in excess of $10,000 must provide (a) the individual’s own information, and (b) information about (</w:t>
      </w:r>
      <w:r w:rsidRPr="009446F6" w:rsidR="5C7F9E05">
        <w:t>i</w:t>
      </w:r>
      <w:r w:rsidRPr="009446F6" w:rsidR="5C7F9E05">
        <w:t>) the person (individual or entity) on whose behalf the transaction was conducted, and, if currency is mailed, (ii) the person from whom the currency or monetary instruments were received, and/or (iii) the person to whom the currency or</w:t>
      </w:r>
      <w:r w:rsidR="3C6B5715">
        <w:t xml:space="preserve"> other </w:t>
      </w:r>
      <w:r w:rsidRPr="009446F6" w:rsidR="5C7F9E05">
        <w:t>monetary instruments were shipped.</w:t>
      </w:r>
      <w:r>
        <w:rPr>
          <w:vertAlign w:val="superscript"/>
        </w:rPr>
        <w:footnoteReference w:id="21"/>
      </w:r>
    </w:p>
    <w:p w:rsidR="00F30B62" w:rsidP="003B7715" w14:paraId="35F8043D" w14:textId="77777777">
      <w:pPr>
        <w:spacing w:before="2"/>
        <w:ind w:firstLine="720"/>
      </w:pPr>
    </w:p>
    <w:p w:rsidR="00CF2D4F" w:rsidRPr="009446F6" w:rsidP="003B7715" w14:paraId="422D23B7" w14:textId="24FDC194">
      <w:pPr>
        <w:spacing w:before="2"/>
        <w:ind w:firstLine="720"/>
      </w:pPr>
      <w:r w:rsidRPr="00A87019">
        <w:t>A</w:t>
      </w:r>
      <w:r w:rsidR="00137E2C">
        <w:t>s applicable,</w:t>
      </w:r>
      <w:r w:rsidRPr="00A87019">
        <w:t xml:space="preserve"> records</w:t>
      </w:r>
      <w:r w:rsidR="00137E2C">
        <w:t xml:space="preserve"> </w:t>
      </w:r>
      <w:r w:rsidRPr="00A87019">
        <w:t>that are required to be retained by 31 CFR chapter X shall be retained for a period of five years.</w:t>
      </w:r>
      <w:r>
        <w:rPr>
          <w:vertAlign w:val="superscript"/>
        </w:rPr>
        <w:footnoteReference w:id="22"/>
      </w:r>
    </w:p>
    <w:p w:rsidR="00264E3F" w14:paraId="0763E667" w14:textId="77777777">
      <w:pPr>
        <w:tabs>
          <w:tab w:val="left" w:pos="-720"/>
        </w:tabs>
        <w:suppressAutoHyphens/>
      </w:pPr>
      <w:r>
        <w:tab/>
      </w:r>
    </w:p>
    <w:p w:rsidR="00264E3F" w14:paraId="1E8AAD60" w14:textId="77777777">
      <w:pPr>
        <w:tabs>
          <w:tab w:val="left" w:pos="-720"/>
        </w:tabs>
        <w:suppressAutoHyphens/>
        <w:rPr>
          <w:szCs w:val="22"/>
          <w:u w:val="single"/>
        </w:rPr>
      </w:pPr>
      <w:r>
        <w:rPr>
          <w:szCs w:val="22"/>
        </w:rPr>
        <w:t xml:space="preserve">2. </w:t>
      </w:r>
      <w:r>
        <w:rPr>
          <w:szCs w:val="22"/>
          <w:u w:val="single"/>
        </w:rPr>
        <w:t xml:space="preserve">Method of </w:t>
      </w:r>
      <w:r w:rsidR="00097E30">
        <w:rPr>
          <w:szCs w:val="22"/>
          <w:u w:val="single"/>
        </w:rPr>
        <w:t>collection and use of data</w:t>
      </w:r>
      <w:r w:rsidR="007F70D8">
        <w:rPr>
          <w:szCs w:val="22"/>
          <w:u w:val="single"/>
        </w:rPr>
        <w:t>.</w:t>
      </w:r>
    </w:p>
    <w:p w:rsidR="00264E3F" w14:paraId="4929F8F1" w14:textId="77777777">
      <w:pPr>
        <w:tabs>
          <w:tab w:val="left" w:pos="-720"/>
        </w:tabs>
        <w:suppressAutoHyphens/>
        <w:rPr>
          <w:szCs w:val="22"/>
          <w:u w:val="single"/>
        </w:rPr>
      </w:pPr>
    </w:p>
    <w:p w:rsidR="00E371A4" w:rsidP="7A93C39C" w14:paraId="0466FDFE" w14:textId="5EE969E8">
      <w:pPr>
        <w:suppressAutoHyphens/>
      </w:pPr>
      <w:r>
        <w:tab/>
      </w:r>
      <w:r w:rsidR="18864643">
        <w:t xml:space="preserve">As </w:t>
      </w:r>
      <w:r w:rsidR="4D912448">
        <w:t>noted</w:t>
      </w:r>
      <w:r w:rsidR="18864643">
        <w:t xml:space="preserve"> in Section 1, </w:t>
      </w:r>
      <w:r w:rsidRPr="009446F6" w:rsidR="18864643">
        <w:t>CMIRs may be obtained from</w:t>
      </w:r>
      <w:r w:rsidR="18864643">
        <w:t xml:space="preserve"> </w:t>
      </w:r>
      <w:r w:rsidRPr="009446F6" w:rsidR="18864643">
        <w:t>CBP or FinCEN, and may be completed in paper or online via computer or handheld digital device with internet capability, such as a smartphone</w:t>
      </w:r>
      <w:r w:rsidR="4B2E1DC3">
        <w:t xml:space="preserve">.  </w:t>
      </w:r>
      <w:r w:rsidR="001706B4">
        <w:t xml:space="preserve">Pursuant to 31 CFR 1010.340(a), </w:t>
      </w:r>
      <w:r w:rsidRPr="009446F6" w:rsidR="4B2E1DC3">
        <w:t>CMIRs must be filed at the time of entry into the United States or at the time of departure, mailing</w:t>
      </w:r>
      <w:r w:rsidR="001706B4">
        <w:t>,</w:t>
      </w:r>
      <w:r w:rsidRPr="009446F6" w:rsidR="4B2E1DC3">
        <w:t xml:space="preserve"> or shipping from the United States</w:t>
      </w:r>
      <w:r w:rsidR="06EEA11F">
        <w:t>.</w:t>
      </w:r>
      <w:r w:rsidRPr="009446F6" w:rsidR="4B2E1DC3">
        <w:t xml:space="preserve">  </w:t>
      </w:r>
      <w:r w:rsidR="001706B4">
        <w:t xml:space="preserve">Pursuant to 31 CFR 1010.340(a), </w:t>
      </w:r>
      <w:r w:rsidRPr="009446F6" w:rsidR="4B2E1DC3">
        <w:t>CMIRs for currency or other monetary instruments not physically accompanying a person entering or departing from the United States may be filed by mail on or before the date of entry, departure, mailing, or shipping.</w:t>
      </w:r>
      <w:r w:rsidR="0C2AFA17">
        <w:t xml:space="preserve">  </w:t>
      </w:r>
      <w:r w:rsidR="001706B4">
        <w:t>Pursuant to 31 CFR 1010.340(b), e</w:t>
      </w:r>
      <w:r w:rsidRPr="009446F6" w:rsidR="001706B4">
        <w:t xml:space="preserve">ach </w:t>
      </w:r>
      <w:r w:rsidRPr="009446F6" w:rsidR="0C2AFA17">
        <w:t xml:space="preserve">person who receives in the United States currency or other monetary instruments in an aggregate amount exceeding $10,000 at one time </w:t>
      </w:r>
      <w:r w:rsidR="0C2AFA17">
        <w:t xml:space="preserve">that has </w:t>
      </w:r>
      <w:r w:rsidRPr="009446F6" w:rsidR="0C2AFA17">
        <w:t xml:space="preserve">been transported, mailed, or shipped to such person from any place outside the United States, </w:t>
      </w:r>
      <w:r w:rsidR="06EEA11F">
        <w:t>must file</w:t>
      </w:r>
      <w:r w:rsidRPr="009446F6" w:rsidR="0C2AFA17">
        <w:t xml:space="preserve"> a CMIR if </w:t>
      </w:r>
      <w:r w:rsidR="5443A211">
        <w:t>a</w:t>
      </w:r>
      <w:r w:rsidRPr="009446F6" w:rsidR="0C2AFA17">
        <w:t xml:space="preserve"> CMIR has not already been filed.  </w:t>
      </w:r>
      <w:r w:rsidR="001706B4">
        <w:t>Pursuant to 31 CFR 1010.340(b), t</w:t>
      </w:r>
      <w:r w:rsidRPr="009446F6" w:rsidR="001706B4">
        <w:t xml:space="preserve">he </w:t>
      </w:r>
      <w:r w:rsidRPr="009446F6" w:rsidR="0C2AFA17">
        <w:t>CMIR must include the amount, the date of receipt, the form of monetary instruments, and the person from whom the funds were received</w:t>
      </w:r>
      <w:r w:rsidR="45E38D40">
        <w:t xml:space="preserve">, and </w:t>
      </w:r>
      <w:r w:rsidRPr="009446F6" w:rsidR="0C2AFA17">
        <w:t>must be filed within 15 days after receipt of the currency or other monetary instruments</w:t>
      </w:r>
      <w:r w:rsidR="7D4CFA8F">
        <w:t>.</w:t>
      </w:r>
      <w:r w:rsidR="00A866F3">
        <w:tab/>
      </w:r>
    </w:p>
    <w:p w:rsidR="00E371A4" w14:paraId="39674CCB" w14:textId="77777777">
      <w:pPr>
        <w:tabs>
          <w:tab w:val="left" w:pos="-720"/>
        </w:tabs>
        <w:suppressAutoHyphens/>
      </w:pPr>
    </w:p>
    <w:p w:rsidR="00264E3F" w14:paraId="6A4010D0" w14:textId="389B0083">
      <w:pPr>
        <w:tabs>
          <w:tab w:val="left" w:pos="-720"/>
        </w:tabs>
        <w:suppressAutoHyphens/>
        <w:rPr>
          <w:szCs w:val="22"/>
        </w:rPr>
      </w:pPr>
      <w:r>
        <w:tab/>
      </w:r>
      <w:r w:rsidRPr="00A87019" w:rsidR="008140BC">
        <w:rPr>
          <w:rFonts w:eastAsia="MS Mincho"/>
        </w:rPr>
        <w:t>The information collected may be used for purposes consistent with the BSA</w:t>
      </w:r>
      <w:r>
        <w:rPr>
          <w:rStyle w:val="FootnoteReference"/>
          <w:rFonts w:eastAsia="MS Mincho"/>
        </w:rPr>
        <w:footnoteReference w:id="23"/>
      </w:r>
      <w:r w:rsidRPr="00A87019" w:rsidR="008140BC">
        <w:rPr>
          <w:rFonts w:eastAsia="MS Mincho"/>
        </w:rPr>
        <w:t xml:space="preserve"> including assisting law enforcement in anti-money laundering, tax, and other financial investigations; advancing counterterrorism, counter-proliferation, and broader national security and intelligence interests; improving financial institutions’ ability to assess and mitigate risk; helping prevent evasion of financial sanctions; facilitating tax compliance; enhancing financial transparency; and advancing U.S. compliance with international standards and information sharing commitments.</w:t>
      </w:r>
    </w:p>
    <w:p w:rsidR="00264E3F" w14:paraId="36D1DE8B" w14:textId="77777777">
      <w:pPr>
        <w:spacing w:before="273"/>
        <w:rPr>
          <w:szCs w:val="22"/>
        </w:rPr>
      </w:pPr>
      <w:r>
        <w:rPr>
          <w:szCs w:val="22"/>
        </w:rPr>
        <w:t xml:space="preserve">3. </w:t>
      </w:r>
      <w:r>
        <w:rPr>
          <w:szCs w:val="22"/>
          <w:u w:val="single"/>
        </w:rPr>
        <w:t xml:space="preserve">Use of </w:t>
      </w:r>
      <w:r w:rsidR="002B616C">
        <w:rPr>
          <w:szCs w:val="22"/>
          <w:u w:val="single"/>
        </w:rPr>
        <w:t>improved information technology to reduce burden</w:t>
      </w:r>
      <w:r w:rsidR="007F70D8">
        <w:rPr>
          <w:szCs w:val="22"/>
          <w:u w:val="single"/>
        </w:rPr>
        <w:t>.</w:t>
      </w:r>
    </w:p>
    <w:p w:rsidR="00436D6A" w:rsidP="00066E56" w14:paraId="78E33D9D" w14:textId="164539C8">
      <w:pPr>
        <w:spacing w:before="273"/>
        <w:ind w:firstLine="720"/>
      </w:pPr>
      <w:r>
        <w:t>I</w:t>
      </w:r>
      <w:r w:rsidRPr="00221B7B" w:rsidR="76E429A4">
        <w:t>n early 202</w:t>
      </w:r>
      <w:r w:rsidR="76E429A4">
        <w:t>0, CBP</w:t>
      </w:r>
      <w:r w:rsidRPr="00221B7B" w:rsidR="76E429A4">
        <w:t xml:space="preserve"> implemented a web-based platform for the electronic completion of CMIRs by travelers transporting their own currency or </w:t>
      </w:r>
      <w:r w:rsidRPr="00221B7B" w:rsidR="6758CC7D">
        <w:t xml:space="preserve">other </w:t>
      </w:r>
      <w:r w:rsidRPr="00221B7B" w:rsidR="76E429A4">
        <w:t xml:space="preserve">monetary instruments. </w:t>
      </w:r>
      <w:r w:rsidR="76E429A4">
        <w:t xml:space="preserve"> </w:t>
      </w:r>
      <w:r w:rsidRPr="00221B7B" w:rsidR="76E429A4">
        <w:t xml:space="preserve">Travelers using this platform </w:t>
      </w:r>
      <w:r w:rsidR="76E429A4">
        <w:t xml:space="preserve">must </w:t>
      </w:r>
      <w:r w:rsidRPr="00221B7B" w:rsidR="76E429A4">
        <w:t xml:space="preserve">still present evidence of the electronic completion of the report to the </w:t>
      </w:r>
      <w:r w:rsidR="76E429A4">
        <w:t>CBP</w:t>
      </w:r>
      <w:r w:rsidRPr="00221B7B" w:rsidR="76E429A4">
        <w:t xml:space="preserve"> officer in charge at any port of entry or departure.</w:t>
      </w:r>
      <w:r>
        <w:rPr>
          <w:vertAlign w:val="superscript"/>
        </w:rPr>
        <w:footnoteReference w:id="24"/>
      </w:r>
      <w:r w:rsidR="76E429A4">
        <w:t xml:space="preserve">  </w:t>
      </w:r>
    </w:p>
    <w:p w:rsidR="00990A82" w14:paraId="16A08CBD" w14:textId="44D707F2">
      <w:pPr>
        <w:spacing w:before="283"/>
        <w:rPr>
          <w:szCs w:val="22"/>
          <w:u w:val="single"/>
        </w:rPr>
      </w:pPr>
      <w:r>
        <w:rPr>
          <w:szCs w:val="22"/>
        </w:rPr>
        <w:t xml:space="preserve">4. </w:t>
      </w:r>
      <w:r>
        <w:rPr>
          <w:szCs w:val="22"/>
          <w:u w:val="single"/>
        </w:rPr>
        <w:t xml:space="preserve">Efforts </w:t>
      </w:r>
      <w:r w:rsidR="00097E30">
        <w:rPr>
          <w:szCs w:val="22"/>
          <w:u w:val="single"/>
        </w:rPr>
        <w:t>to identify duplication</w:t>
      </w:r>
      <w:r w:rsidR="007F70D8">
        <w:rPr>
          <w:szCs w:val="22"/>
          <w:u w:val="single"/>
        </w:rPr>
        <w:t>.</w:t>
      </w:r>
      <w:r>
        <w:tab/>
      </w:r>
    </w:p>
    <w:p w:rsidR="00F06572" w:rsidP="00990A82" w14:paraId="5B78F392" w14:textId="767EE93B">
      <w:pPr>
        <w:spacing w:before="283"/>
        <w:ind w:firstLine="720"/>
        <w:rPr>
          <w:szCs w:val="22"/>
        </w:rPr>
      </w:pPr>
      <w:r w:rsidRPr="00A87019">
        <w:t xml:space="preserve">FinCEN has reviewed government and commercial databases to identify duplication.  FinCEN has determined there are no government or commercially available sources of information that could be used or modified by FinCEN </w:t>
      </w:r>
      <w:r w:rsidRPr="00A87019">
        <w:t>in</w:t>
      </w:r>
      <w:r w:rsidRPr="00A87019">
        <w:t xml:space="preserve"> duplicating the information provided</w:t>
      </w:r>
      <w:r>
        <w:t xml:space="preserve"> in CMIR filings.  </w:t>
      </w:r>
      <w:r w:rsidRPr="00A87019">
        <w:t>There are also no Federal rules that directly or fully duplicate or overlap with the information that may be collected and provided</w:t>
      </w:r>
      <w:r>
        <w:t xml:space="preserve"> in CMIR filings.  </w:t>
      </w:r>
      <w:r w:rsidRPr="00A87019">
        <w:t xml:space="preserve">Therefore, there is no information already available to the Federal government that could be used or modified by FinCEN to fully satisfy the statutory and regulatory requirements identified in Section 1 above or that fully serve the uses identified in Section 2 above.  </w:t>
      </w:r>
    </w:p>
    <w:p w:rsidR="00264E3F" w:rsidP="00F06572" w14:paraId="7F869BCD" w14:textId="77777777">
      <w:pPr>
        <w:spacing w:before="283"/>
        <w:rPr>
          <w:szCs w:val="22"/>
        </w:rPr>
      </w:pPr>
      <w:r w:rsidRPr="006B0E34">
        <w:rPr>
          <w:szCs w:val="22"/>
        </w:rPr>
        <w:t xml:space="preserve">5. </w:t>
      </w:r>
      <w:r w:rsidRPr="006B0E34">
        <w:rPr>
          <w:szCs w:val="22"/>
          <w:u w:val="single"/>
        </w:rPr>
        <w:t xml:space="preserve">Methods </w:t>
      </w:r>
      <w:r w:rsidRPr="006B0E34" w:rsidR="00097E30">
        <w:rPr>
          <w:szCs w:val="22"/>
          <w:u w:val="single"/>
        </w:rPr>
        <w:t>to minimize burden on small businesses or other small entities</w:t>
      </w:r>
      <w:r w:rsidRPr="006B0E34" w:rsidR="007F70D8">
        <w:rPr>
          <w:szCs w:val="22"/>
          <w:u w:val="single"/>
        </w:rPr>
        <w:t>.</w:t>
      </w:r>
    </w:p>
    <w:p w:rsidR="00F06572" w14:paraId="131FFE6C" w14:textId="77777777">
      <w:pPr>
        <w:widowControl w:val="0"/>
        <w:autoSpaceDE w:val="0"/>
        <w:autoSpaceDN w:val="0"/>
        <w:adjustRightInd w:val="0"/>
        <w:spacing w:line="240" w:lineRule="exact"/>
        <w:ind w:firstLine="744"/>
      </w:pPr>
    </w:p>
    <w:p w:rsidR="00137E2C" w:rsidP="008B64B2" w14:paraId="24EA0205" w14:textId="77777777">
      <w:pPr>
        <w:widowControl w:val="0"/>
        <w:autoSpaceDE w:val="0"/>
        <w:autoSpaceDN w:val="0"/>
        <w:adjustRightInd w:val="0"/>
        <w:ind w:firstLine="720"/>
      </w:pPr>
      <w:r>
        <w:t xml:space="preserve">The reporting requirements of these regulations and form </w:t>
      </w:r>
      <w:r w:rsidR="41E95D6A">
        <w:t>are not expected to</w:t>
      </w:r>
      <w:r>
        <w:t xml:space="preserve"> </w:t>
      </w:r>
      <w:r w:rsidR="0DF722AE">
        <w:t>impose</w:t>
      </w:r>
      <w:r w:rsidR="183BE0CB">
        <w:t xml:space="preserve"> </w:t>
      </w:r>
      <w:r>
        <w:t>adverse impact</w:t>
      </w:r>
      <w:r w:rsidR="0DF722AE">
        <w:t>s</w:t>
      </w:r>
      <w:r>
        <w:t xml:space="preserve"> </w:t>
      </w:r>
      <w:r w:rsidR="0DF722AE">
        <w:t xml:space="preserve">unique to </w:t>
      </w:r>
      <w:r w:rsidR="774BC7BD">
        <w:t>small</w:t>
      </w:r>
      <w:r w:rsidR="4998E644">
        <w:t xml:space="preserve"> business</w:t>
      </w:r>
      <w:r w:rsidR="44526EE7">
        <w:t>es</w:t>
      </w:r>
      <w:r w:rsidR="4998E644">
        <w:t xml:space="preserve"> or other small entities.</w:t>
      </w:r>
      <w:r w:rsidR="6B4B0024">
        <w:t xml:space="preserve">  </w:t>
      </w:r>
      <w:r w:rsidR="006D750A">
        <w:t xml:space="preserve">The information required to be reported on the CMIR is basic identifying and transaction information which would be readily accessible to an individual transporting, or receiving, currency or other monetary instruments either on the individual’s own behalf or on behalf of any other individual or entity.  </w:t>
      </w:r>
    </w:p>
    <w:p w:rsidR="00137E2C" w:rsidP="008B64B2" w14:paraId="237A819B" w14:textId="77777777">
      <w:pPr>
        <w:widowControl w:val="0"/>
        <w:autoSpaceDE w:val="0"/>
        <w:autoSpaceDN w:val="0"/>
        <w:adjustRightInd w:val="0"/>
        <w:ind w:firstLine="720"/>
      </w:pPr>
    </w:p>
    <w:p w:rsidR="00264E3F" w:rsidP="008B64B2" w14:paraId="1E1B2226" w14:textId="24BDC044">
      <w:pPr>
        <w:widowControl w:val="0"/>
        <w:autoSpaceDE w:val="0"/>
        <w:autoSpaceDN w:val="0"/>
        <w:adjustRightInd w:val="0"/>
        <w:ind w:firstLine="720"/>
      </w:pPr>
      <w:r>
        <w:t>Moreover, the reporting requirements apply only when certain conditions are met</w:t>
      </w:r>
      <w:r w:rsidR="00137E2C">
        <w:t xml:space="preserve">, thus minimizing </w:t>
      </w:r>
      <w:r w:rsidR="00137E2C">
        <w:t>burden</w:t>
      </w:r>
      <w:r w:rsidR="00137E2C">
        <w:t xml:space="preserve"> on small businesses or other small entities</w:t>
      </w:r>
      <w:r>
        <w:t xml:space="preserve">.  Specifically, </w:t>
      </w:r>
      <w:r w:rsidR="00EB3E80">
        <w:t xml:space="preserve">pursuant to 31 CFR 1010.340(a), </w:t>
      </w:r>
      <w:r w:rsidR="6B4B0024">
        <w:t>a person, or an agent or bailee of a person,</w:t>
      </w:r>
      <w:r>
        <w:t xml:space="preserve"> is required to file a CMIR when </w:t>
      </w:r>
      <w:r w:rsidR="00EB3E80">
        <w:t xml:space="preserve">a </w:t>
      </w:r>
      <w:r>
        <w:t>person</w:t>
      </w:r>
      <w:r w:rsidRPr="00E96857" w:rsidR="00E96857">
        <w:t xml:space="preserve"> physically transports, mails, or ships; or causes to be physically transported, mailed, or shipped; or attempts to physically transport, mail, or ship; or attempts to cause to be physically transported, mailed, or shipped, currency or other monetary instruments in an aggregate amount exceeding $10,000 at one time from the United States to any place outside the United States, or into the United States from any place outside the United States</w:t>
      </w:r>
      <w:r w:rsidR="00EB3E80">
        <w:t xml:space="preserve">.  Similarly, pursuant to 31 CFR 1010.340(b), a person, or an agent or bailee of a person, is required to file a CMIR when a person </w:t>
      </w:r>
      <w:r w:rsidRPr="009446F6" w:rsidR="003A7CF6">
        <w:t>receives in the United States</w:t>
      </w:r>
      <w:r w:rsidR="00EB3E80">
        <w:t>,</w:t>
      </w:r>
      <w:r w:rsidRPr="009446F6" w:rsidR="003A7CF6">
        <w:t xml:space="preserve"> currency or other monetary instruments in an aggregate amount exceeding $10,000 at one time </w:t>
      </w:r>
      <w:r w:rsidR="003A7CF6">
        <w:t xml:space="preserve">which have </w:t>
      </w:r>
      <w:r w:rsidRPr="009446F6" w:rsidR="003A7CF6">
        <w:t>been transported, mailed, or shipped to such person from any place outside the United States</w:t>
      </w:r>
      <w:r w:rsidR="6B4B0024">
        <w:t xml:space="preserve">. </w:t>
      </w:r>
      <w:r w:rsidR="5C0515C4">
        <w:t xml:space="preserve"> </w:t>
      </w:r>
    </w:p>
    <w:p w:rsidR="00264E3F" w14:paraId="11F9E07A" w14:textId="77777777">
      <w:pPr>
        <w:spacing w:before="288"/>
        <w:rPr>
          <w:szCs w:val="22"/>
        </w:rPr>
      </w:pPr>
      <w:r>
        <w:rPr>
          <w:szCs w:val="22"/>
        </w:rPr>
        <w:t xml:space="preserve">6. </w:t>
      </w:r>
      <w:r w:rsidRPr="00097E30" w:rsidR="00097E30">
        <w:rPr>
          <w:szCs w:val="22"/>
          <w:u w:val="single"/>
        </w:rPr>
        <w:t>Consequences of less frequent collection on Federal</w:t>
      </w:r>
      <w:r w:rsidR="00097E30">
        <w:rPr>
          <w:szCs w:val="22"/>
          <w:u w:val="single"/>
        </w:rPr>
        <w:t xml:space="preserve"> programs or policy activities</w:t>
      </w:r>
      <w:r w:rsidR="007F70D8">
        <w:rPr>
          <w:szCs w:val="22"/>
          <w:u w:val="single"/>
        </w:rPr>
        <w:t>.</w:t>
      </w:r>
    </w:p>
    <w:p w:rsidR="009E7910" w14:paraId="121B15D7" w14:textId="77777777">
      <w:pPr>
        <w:widowControl w:val="0"/>
        <w:autoSpaceDE w:val="0"/>
        <w:autoSpaceDN w:val="0"/>
        <w:adjustRightInd w:val="0"/>
        <w:spacing w:line="235" w:lineRule="exact"/>
        <w:ind w:firstLine="734"/>
      </w:pPr>
    </w:p>
    <w:p w:rsidR="00B37A61" w:rsidRPr="00F46E93" w:rsidP="00D739B9" w14:paraId="54C67DE1" w14:textId="7FCA60EB">
      <w:pPr>
        <w:widowControl w:val="0"/>
        <w:autoSpaceDE w:val="0"/>
        <w:autoSpaceDN w:val="0"/>
        <w:adjustRightInd w:val="0"/>
        <w:ind w:firstLine="720"/>
      </w:pPr>
      <w:r w:rsidRPr="00A87019">
        <w:t xml:space="preserve">The reporting requirements of </w:t>
      </w:r>
      <w:r>
        <w:t xml:space="preserve">the CMIR </w:t>
      </w:r>
      <w:r w:rsidRPr="00A87019">
        <w:t xml:space="preserve">are generally intended to help law enforcement and regulatory authorities detect, investigate, and prosecute money laundering and other financial crimes by preserving an information trail about reportable transactions involving </w:t>
      </w:r>
      <w:r>
        <w:t>certain transportation of currency or monetary instruments</w:t>
      </w:r>
      <w:r w:rsidRPr="00A87019">
        <w:t xml:space="preserve">.  </w:t>
      </w:r>
      <w:r>
        <w:t>Since t</w:t>
      </w:r>
      <w:r w:rsidR="095E4B7E">
        <w:t xml:space="preserve">he CMIR </w:t>
      </w:r>
      <w:r w:rsidR="004F4B2E">
        <w:t xml:space="preserve">may be </w:t>
      </w:r>
      <w:r w:rsidR="095E4B7E">
        <w:t xml:space="preserve">filed at the </w:t>
      </w:r>
      <w:r w:rsidR="3C9B346F">
        <w:t>time</w:t>
      </w:r>
      <w:r>
        <w:t xml:space="preserve">, or as applicable, within 15 </w:t>
      </w:r>
      <w:r w:rsidR="004F4B2E">
        <w:t>day</w:t>
      </w:r>
      <w:r>
        <w:t>s, when</w:t>
      </w:r>
      <w:r w:rsidR="3C9B346F">
        <w:t xml:space="preserve"> currency or</w:t>
      </w:r>
      <w:r w:rsidR="75E29475">
        <w:t xml:space="preserve"> other</w:t>
      </w:r>
      <w:r w:rsidR="3C9B346F">
        <w:t xml:space="preserve"> monetary instruments of more than $10,000 are transported into or out of the United States</w:t>
      </w:r>
      <w:r w:rsidR="095E4B7E">
        <w:t xml:space="preserve">, a failure to collect this information could hamper law enforcement efforts to detect illegal activity while it is still ongoing and discernible. The timely reporting of this information </w:t>
      </w:r>
      <w:r w:rsidR="2C803514">
        <w:t xml:space="preserve">may </w:t>
      </w:r>
      <w:r w:rsidR="095E4B7E">
        <w:t xml:space="preserve">provide law enforcement with important investigative leads to </w:t>
      </w:r>
      <w:r w:rsidR="095E4B7E">
        <w:t>take</w:t>
      </w:r>
      <w:r w:rsidR="095E4B7E">
        <w:t xml:space="preserve"> appropriate action, including tracing criminal proceeds, gathering additional evidence, seizing funds, and stopping the movement of funds before criminal elements can change their schemes for disposing of the profits of illegal activity</w:t>
      </w:r>
      <w:r w:rsidR="3C9B346F">
        <w:t>.</w:t>
      </w:r>
    </w:p>
    <w:p w:rsidR="00264E3F" w:rsidP="00097E30" w14:paraId="0AE501D6" w14:textId="33DFAA3C">
      <w:pPr>
        <w:spacing w:before="288"/>
        <w:rPr>
          <w:szCs w:val="22"/>
          <w:u w:val="single"/>
        </w:rPr>
      </w:pPr>
      <w:r>
        <w:rPr>
          <w:szCs w:val="22"/>
        </w:rPr>
        <w:t xml:space="preserve">7. </w:t>
      </w:r>
      <w:r w:rsidRPr="00097E30" w:rsidR="00097E30">
        <w:rPr>
          <w:szCs w:val="22"/>
          <w:u w:val="single"/>
        </w:rPr>
        <w:t>Special circumstances requiring data collection to be in</w:t>
      </w:r>
      <w:r w:rsidR="006F21AC">
        <w:rPr>
          <w:szCs w:val="22"/>
          <w:u w:val="single"/>
        </w:rPr>
        <w:t>con</w:t>
      </w:r>
      <w:r w:rsidRPr="00097E30" w:rsidR="00097E30">
        <w:rPr>
          <w:szCs w:val="22"/>
          <w:u w:val="single"/>
        </w:rPr>
        <w:t>sistent with gu</w:t>
      </w:r>
      <w:r w:rsidR="008F0655">
        <w:rPr>
          <w:szCs w:val="22"/>
          <w:u w:val="single"/>
        </w:rPr>
        <w:t>idelines</w:t>
      </w:r>
      <w:r w:rsidR="007F70D8">
        <w:rPr>
          <w:szCs w:val="22"/>
          <w:u w:val="single"/>
        </w:rPr>
        <w:t>.</w:t>
      </w:r>
    </w:p>
    <w:p w:rsidR="00097E30" w:rsidP="00097E30" w14:paraId="0E8420F3" w14:textId="60145FC8">
      <w:pPr>
        <w:rPr>
          <w:szCs w:val="22"/>
        </w:rPr>
      </w:pPr>
    </w:p>
    <w:p w:rsidR="00156F8C" w:rsidRPr="008F0655" w:rsidP="00156F8C" w14:paraId="5D29C19B" w14:textId="77777777">
      <w:pPr>
        <w:ind w:firstLine="720"/>
        <w:rPr>
          <w:sz w:val="16"/>
          <w:szCs w:val="16"/>
        </w:rPr>
      </w:pPr>
      <w:r w:rsidRPr="00CE52B1">
        <w:t xml:space="preserve">Pursuant to 31 CFR 1010.430(d), </w:t>
      </w:r>
      <w:r w:rsidRPr="00CE52B1">
        <w:rPr>
          <w:lang w:val="en"/>
        </w:rPr>
        <w:t xml:space="preserve">all records that are required to be retained by 31 CFR Chapter X must be retained for a period of five years. </w:t>
      </w:r>
      <w:r w:rsidRPr="00CE52B1">
        <w:t>Records must be kept for five years because such records may relate to substantive violations of law that are subject to statutes of limitation longer than three years.</w:t>
      </w:r>
      <w:r w:rsidRPr="00CE52B1">
        <w:rPr>
          <w:rStyle w:val="CommentReference"/>
        </w:rPr>
        <w:t xml:space="preserve"> </w:t>
      </w:r>
    </w:p>
    <w:p w:rsidR="6F8CEC64" w:rsidP="6F8CEC64" w14:paraId="1585E32C" w14:textId="6E152269">
      <w:pPr>
        <w:spacing w:line="259" w:lineRule="auto"/>
      </w:pPr>
    </w:p>
    <w:p w:rsidR="00264E3F" w14:paraId="7594533E" w14:textId="77777777">
      <w:pPr>
        <w:rPr>
          <w:szCs w:val="22"/>
        </w:rPr>
      </w:pPr>
      <w:r>
        <w:rPr>
          <w:szCs w:val="22"/>
        </w:rPr>
        <w:t xml:space="preserve">8. </w:t>
      </w:r>
      <w:r>
        <w:rPr>
          <w:szCs w:val="22"/>
          <w:u w:val="single"/>
        </w:rPr>
        <w:t xml:space="preserve">Consultation </w:t>
      </w:r>
      <w:r w:rsidR="00097E30">
        <w:rPr>
          <w:szCs w:val="22"/>
          <w:u w:val="single"/>
        </w:rPr>
        <w:t>with individuals outside of the agency on availability of data, frequency of collection, clarity of instructions and forms, and data elements</w:t>
      </w:r>
      <w:r w:rsidR="007F70D8">
        <w:rPr>
          <w:szCs w:val="22"/>
          <w:u w:val="single"/>
        </w:rPr>
        <w:t>.</w:t>
      </w:r>
    </w:p>
    <w:p w:rsidR="00264E3F" w14:paraId="564A7925" w14:textId="77777777">
      <w:pPr>
        <w:rPr>
          <w:szCs w:val="22"/>
        </w:rPr>
      </w:pPr>
    </w:p>
    <w:p w:rsidR="00264E3F" w:rsidP="00AC3458" w14:paraId="02165198" w14:textId="1116CE14">
      <w:pPr>
        <w:spacing w:line="259" w:lineRule="auto"/>
        <w:ind w:firstLine="720"/>
      </w:pPr>
      <w:r w:rsidRPr="42C3B287">
        <w:t>On</w:t>
      </w:r>
      <w:r>
        <w:rPr>
          <w:szCs w:val="20"/>
        </w:rPr>
        <w:t xml:space="preserve"> </w:t>
      </w:r>
      <w:r w:rsidRPr="42C3B287" w:rsidR="00122245">
        <w:t xml:space="preserve">June </w:t>
      </w:r>
      <w:r w:rsidRPr="42C3B287" w:rsidR="000C122E">
        <w:t>18</w:t>
      </w:r>
      <w:r w:rsidRPr="42C3B287">
        <w:t>, 20</w:t>
      </w:r>
      <w:r w:rsidRPr="42C3B287" w:rsidR="00BF4CC7">
        <w:t>2</w:t>
      </w:r>
      <w:r w:rsidRPr="42C3B287" w:rsidR="00122245">
        <w:t>5</w:t>
      </w:r>
      <w:r w:rsidRPr="42C3B287">
        <w:t xml:space="preserve">, FinCEN published in the Federal Register a </w:t>
      </w:r>
      <w:r w:rsidR="004F4B2E">
        <w:t xml:space="preserve">60-day </w:t>
      </w:r>
      <w:r w:rsidRPr="42C3B287">
        <w:t xml:space="preserve">notice and request for comments of its intention to renew, without change, information collection requirements </w:t>
      </w:r>
      <w:r w:rsidRPr="42C3B287" w:rsidR="000A630D">
        <w:t xml:space="preserve">relating to </w:t>
      </w:r>
      <w:r w:rsidRPr="42C3B287" w:rsidR="00FF24FE">
        <w:t>reports of international transportation of currency or monetary instruments</w:t>
      </w:r>
      <w:r w:rsidR="00B335AA">
        <w:rPr>
          <w:szCs w:val="20"/>
        </w:rPr>
        <w:t>.</w:t>
      </w:r>
      <w:r>
        <w:rPr>
          <w:rStyle w:val="FootnoteReference"/>
        </w:rPr>
        <w:footnoteReference w:id="25"/>
      </w:r>
      <w:r w:rsidR="00B335AA">
        <w:rPr>
          <w:szCs w:val="20"/>
        </w:rPr>
        <w:t xml:space="preserve"> </w:t>
      </w:r>
      <w:r>
        <w:rPr>
          <w:szCs w:val="20"/>
        </w:rPr>
        <w:t xml:space="preserve"> </w:t>
      </w:r>
      <w:r w:rsidRPr="42C3B287" w:rsidR="00AA22C5">
        <w:t xml:space="preserve">The </w:t>
      </w:r>
      <w:r w:rsidR="00053FDB">
        <w:t xml:space="preserve">60-day </w:t>
      </w:r>
      <w:r w:rsidRPr="42C3B287" w:rsidR="00AA22C5">
        <w:t xml:space="preserve">comment period closed on </w:t>
      </w:r>
      <w:r w:rsidRPr="42C3B287" w:rsidR="00145BBE">
        <w:t>August 18, 2025</w:t>
      </w:r>
      <w:r w:rsidR="0028200C">
        <w:rPr>
          <w:szCs w:val="20"/>
        </w:rPr>
        <w:t>.</w:t>
      </w:r>
      <w:r w:rsidR="00DA693F">
        <w:rPr>
          <w:szCs w:val="20"/>
        </w:rPr>
        <w:t xml:space="preserve">  </w:t>
      </w:r>
      <w:r w:rsidRPr="42C3B287" w:rsidR="00DA693F">
        <w:t xml:space="preserve">In response to the notice, FinCEN received </w:t>
      </w:r>
      <w:r w:rsidRPr="00AC3458" w:rsidR="004F02AA">
        <w:t>two</w:t>
      </w:r>
      <w:r w:rsidRPr="42C3B287" w:rsidR="00DA693F">
        <w:t xml:space="preserve"> comments</w:t>
      </w:r>
      <w:r w:rsidR="00DA693F">
        <w:rPr>
          <w:szCs w:val="20"/>
        </w:rPr>
        <w:t xml:space="preserve">. </w:t>
      </w:r>
      <w:r w:rsidR="00297660">
        <w:t xml:space="preserve"> </w:t>
      </w:r>
      <w:r w:rsidR="001F60D4">
        <w:t xml:space="preserve">The first </w:t>
      </w:r>
      <w:r w:rsidR="00297660">
        <w:t xml:space="preserve">comment </w:t>
      </w:r>
      <w:r w:rsidR="00A2580D">
        <w:t xml:space="preserve">noted that the $10,000 threshold for filing </w:t>
      </w:r>
      <w:r w:rsidR="004F4B2E">
        <w:t xml:space="preserve">CMIRs </w:t>
      </w:r>
      <w:r w:rsidR="00A2580D">
        <w:t xml:space="preserve">has been in place for a very long time, and recommended the threshold be increased to $15,000. </w:t>
      </w:r>
      <w:r w:rsidR="00795161">
        <w:t xml:space="preserve"> </w:t>
      </w:r>
      <w:r w:rsidR="001F60D4">
        <w:t xml:space="preserve">The second comment, as FinCEN understood it, </w:t>
      </w:r>
      <w:r w:rsidR="00160939">
        <w:t>recommended</w:t>
      </w:r>
      <w:r w:rsidR="001F60D4">
        <w:t xml:space="preserve"> the use of </w:t>
      </w:r>
      <w:r w:rsidR="00555C1A">
        <w:t xml:space="preserve">CMIRs </w:t>
      </w:r>
      <w:r w:rsidR="1BF1C3E9">
        <w:t>in the context of</w:t>
      </w:r>
      <w:r w:rsidR="00555C1A">
        <w:t xml:space="preserve"> suspicious activity reports</w:t>
      </w:r>
      <w:r w:rsidR="001F60D4">
        <w:t xml:space="preserve">. </w:t>
      </w:r>
      <w:r w:rsidR="00555C1A">
        <w:t xml:space="preserve"> </w:t>
      </w:r>
    </w:p>
    <w:p w:rsidR="00A330F8" w:rsidP="00B335AA" w14:paraId="0E37DC90" w14:textId="77777777">
      <w:pPr>
        <w:ind w:firstLine="720"/>
      </w:pPr>
    </w:p>
    <w:p w:rsidR="00A330F8" w:rsidP="00A330F8" w14:paraId="3AE3B49A" w14:textId="42D027BB">
      <w:pPr>
        <w:ind w:firstLine="720"/>
      </w:pPr>
      <w:r w:rsidRPr="00A87019">
        <w:t>Overall, FinCEN determined there were no recommendations or objections with respect to the information collection being renewed or comments associated with the estimated burden or cost of the information collection being renewed</w:t>
      </w:r>
      <w:r w:rsidR="004F00A2">
        <w:t xml:space="preserve"> that require revision to the </w:t>
      </w:r>
      <w:r w:rsidR="002341C6">
        <w:t xml:space="preserve">analysis presented in the </w:t>
      </w:r>
      <w:r w:rsidR="004F4B2E">
        <w:t xml:space="preserve">Federal Register 60-day </w:t>
      </w:r>
      <w:r w:rsidR="002341C6">
        <w:t>notice</w:t>
      </w:r>
      <w:r w:rsidR="004F4B2E">
        <w:t xml:space="preserve"> and request for comments</w:t>
      </w:r>
      <w:r w:rsidRPr="00A87019">
        <w:t>.</w:t>
      </w:r>
    </w:p>
    <w:p w:rsidR="00264E3F" w14:paraId="2D44DCD5" w14:textId="77777777">
      <w:pPr>
        <w:widowControl w:val="0"/>
        <w:autoSpaceDE w:val="0"/>
        <w:autoSpaceDN w:val="0"/>
        <w:adjustRightInd w:val="0"/>
        <w:spacing w:line="240" w:lineRule="exact"/>
        <w:ind w:right="220" w:firstLine="715"/>
        <w:jc w:val="both"/>
      </w:pPr>
    </w:p>
    <w:p w:rsidR="00595F30" w:rsidRPr="00595F30" w:rsidP="00595F30" w14:paraId="45D89C17" w14:textId="77777777">
      <w:pPr>
        <w:rPr>
          <w:szCs w:val="22"/>
          <w:u w:val="single"/>
        </w:rPr>
      </w:pPr>
      <w:r>
        <w:rPr>
          <w:szCs w:val="22"/>
        </w:rPr>
        <w:t xml:space="preserve">9. </w:t>
      </w:r>
      <w:r w:rsidRPr="00595F30">
        <w:rPr>
          <w:szCs w:val="22"/>
          <w:u w:val="single"/>
        </w:rPr>
        <w:t>Explanation of decision to provide any payment or gift to respondents</w:t>
      </w:r>
      <w:r w:rsidR="007F70D8">
        <w:rPr>
          <w:szCs w:val="22"/>
          <w:u w:val="single"/>
        </w:rPr>
        <w:t>.</w:t>
      </w:r>
      <w:r w:rsidRPr="00595F30">
        <w:rPr>
          <w:szCs w:val="22"/>
          <w:u w:val="single"/>
        </w:rPr>
        <w:t xml:space="preserve">  </w:t>
      </w:r>
    </w:p>
    <w:p w:rsidR="00595F30" w:rsidRPr="00595F30" w:rsidP="00595F30" w14:paraId="21E8FE7E" w14:textId="77777777">
      <w:pPr>
        <w:rPr>
          <w:szCs w:val="22"/>
          <w:u w:val="single"/>
        </w:rPr>
      </w:pPr>
    </w:p>
    <w:p w:rsidR="00264E3F" w:rsidP="008F0655" w14:paraId="0277DCFA" w14:textId="77777777">
      <w:pPr>
        <w:ind w:firstLine="720"/>
      </w:pPr>
      <w:r w:rsidRPr="00595F30">
        <w:rPr>
          <w:szCs w:val="22"/>
        </w:rPr>
        <w:t>No payments or gifts were made to respondents.</w:t>
      </w:r>
    </w:p>
    <w:p w:rsidR="00595F30" w:rsidP="00595F30" w14:paraId="4B6514F2" w14:textId="77777777"/>
    <w:p w:rsidR="00595F30" w:rsidP="00F32362" w14:paraId="7FE1759C" w14:textId="77777777">
      <w:pPr>
        <w:pStyle w:val="BodyText2"/>
        <w:spacing w:after="0"/>
      </w:pPr>
      <w:r w:rsidRPr="00F871E7">
        <w:t>10.</w:t>
      </w:r>
      <w:r>
        <w:t xml:space="preserve"> </w:t>
      </w:r>
      <w:r w:rsidRPr="00F871E7">
        <w:t xml:space="preserve"> </w:t>
      </w:r>
      <w:r>
        <w:rPr>
          <w:u w:val="single"/>
        </w:rPr>
        <w:t>Assurance of confidentiality of responses</w:t>
      </w:r>
      <w:r w:rsidR="007F70D8">
        <w:rPr>
          <w:u w:val="single"/>
        </w:rPr>
        <w:t>.</w:t>
      </w:r>
      <w:r>
        <w:t xml:space="preserve">  </w:t>
      </w:r>
    </w:p>
    <w:p w:rsidR="002C616B" w:rsidRPr="009C70FF" w:rsidP="00F32362" w14:paraId="7545C16F" w14:textId="308B63D3">
      <w:pPr>
        <w:tabs>
          <w:tab w:val="left" w:pos="0"/>
        </w:tabs>
        <w:rPr>
          <w:vertAlign w:val="superscript"/>
        </w:rPr>
      </w:pPr>
      <w:r>
        <w:tab/>
      </w:r>
      <w:r w:rsidRPr="00A87019" w:rsidR="00905F85">
        <w:t xml:space="preserve">The information collected will be made available to the Department of the Treasury, its </w:t>
      </w:r>
      <w:r w:rsidRPr="00A87019" w:rsidR="00905F85">
        <w:t>designee</w:t>
      </w:r>
      <w:r w:rsidRPr="00A87019" w:rsidR="00905F85">
        <w:t>, and other authorized agencies.  Such information will be used for purposes consistent with the purposes set forth in 31 U.S.C. 5311, including but not limited to furthering a criminal, tax, or regulatory investigation, risk assessment, or proceeding, or use in intelligence or counterintelligence activities, including analysis, to protect against terrorism.</w:t>
      </w:r>
    </w:p>
    <w:p w:rsidR="00F32362" w:rsidRPr="002575CF" w:rsidP="00F32362" w14:paraId="2B33FAE3" w14:textId="77777777">
      <w:pPr>
        <w:tabs>
          <w:tab w:val="left" w:pos="0"/>
        </w:tabs>
        <w:rPr>
          <w:vertAlign w:val="superscript"/>
        </w:rPr>
      </w:pPr>
    </w:p>
    <w:p w:rsidR="00F32362" w:rsidP="00F32362" w14:paraId="476D2DCA" w14:textId="5538CE5D">
      <w:pPr>
        <w:rPr>
          <w:szCs w:val="22"/>
          <w:u w:val="single"/>
        </w:rPr>
      </w:pPr>
      <w:r>
        <w:rPr>
          <w:szCs w:val="22"/>
        </w:rPr>
        <w:t xml:space="preserve">11. </w:t>
      </w:r>
      <w:r>
        <w:rPr>
          <w:szCs w:val="22"/>
          <w:u w:val="single"/>
        </w:rPr>
        <w:t xml:space="preserve">Justification </w:t>
      </w:r>
      <w:r w:rsidR="00595F30">
        <w:rPr>
          <w:szCs w:val="22"/>
          <w:u w:val="single"/>
        </w:rPr>
        <w:t>of sensitive questions</w:t>
      </w:r>
      <w:r w:rsidR="007F70D8">
        <w:rPr>
          <w:szCs w:val="22"/>
          <w:u w:val="single"/>
        </w:rPr>
        <w:t>.</w:t>
      </w:r>
    </w:p>
    <w:p w:rsidR="00484539" w:rsidP="00F32362" w14:paraId="7F519CA0" w14:textId="77777777">
      <w:pPr>
        <w:rPr>
          <w:szCs w:val="22"/>
          <w:u w:val="single"/>
        </w:rPr>
      </w:pPr>
    </w:p>
    <w:p w:rsidR="00F30B62" w:rsidP="7A93C39C" w14:paraId="58133B14" w14:textId="1E43BB60">
      <w:pPr>
        <w:ind w:firstLine="720"/>
        <w:rPr>
          <w:color w:val="1F497D"/>
        </w:rPr>
      </w:pPr>
      <w:r w:rsidRPr="009B0659">
        <w:t xml:space="preserve">There are no questions of a sensitive nature in the collection of information, such as sexual behavior and attitudes, religious beliefs, and other matters that are commonly considered private.  Any personal </w:t>
      </w:r>
      <w:r w:rsidR="004F4B2E">
        <w:t xml:space="preserve">identifiers, or </w:t>
      </w:r>
      <w:r w:rsidRPr="009B0659">
        <w:t>identifiable information</w:t>
      </w:r>
      <w:r w:rsidR="004F4B2E">
        <w:t>,</w:t>
      </w:r>
      <w:r w:rsidRPr="009B0659">
        <w:t xml:space="preserve"> collected under the BSA</w:t>
      </w:r>
      <w:r>
        <w:t xml:space="preserve">, including the provision that </w:t>
      </w:r>
      <w:r w:rsidR="5576D257">
        <w:t xml:space="preserve">requires </w:t>
      </w:r>
      <w:r w:rsidR="54567B2A">
        <w:t>CMIRs</w:t>
      </w:r>
      <w:r>
        <w:t>,</w:t>
      </w:r>
      <w:r w:rsidRPr="009B0659">
        <w:t xml:space="preserve"> is strictly controlled as outlined in </w:t>
      </w:r>
      <w:r>
        <w:t xml:space="preserve">the relevant </w:t>
      </w:r>
      <w:r w:rsidRPr="009B0659">
        <w:t>FinCEN Privacy Act Systems of Records Notice for BSA reports</w:t>
      </w:r>
      <w:r w:rsidRPr="009B0659">
        <w:rPr>
          <w:color w:val="1F497D"/>
        </w:rPr>
        <w:t>.</w:t>
      </w:r>
      <w:r>
        <w:rPr>
          <w:rStyle w:val="FootnoteReference"/>
          <w:rFonts w:eastAsiaTheme="majorEastAsia"/>
        </w:rPr>
        <w:footnoteReference w:id="26"/>
      </w:r>
    </w:p>
    <w:p w:rsidR="00F30B62" w:rsidRPr="00F32362" w:rsidP="7A93C39C" w14:paraId="29D521E2" w14:textId="77777777">
      <w:pPr>
        <w:ind w:firstLine="720"/>
        <w:rPr>
          <w:u w:val="single"/>
        </w:rPr>
      </w:pPr>
    </w:p>
    <w:p w:rsidR="007C43E3" w:rsidP="00F32362" w14:paraId="5423A490" w14:textId="79EA3C12">
      <w:pPr>
        <w:rPr>
          <w:u w:val="single"/>
        </w:rPr>
      </w:pPr>
      <w:r>
        <w:t xml:space="preserve">12.  </w:t>
      </w:r>
      <w:r>
        <w:rPr>
          <w:u w:val="single"/>
        </w:rPr>
        <w:t xml:space="preserve">Estimated </w:t>
      </w:r>
      <w:r>
        <w:rPr>
          <w:u w:val="single"/>
        </w:rPr>
        <w:t xml:space="preserve">annual hourly </w:t>
      </w:r>
      <w:r>
        <w:rPr>
          <w:u w:val="single"/>
        </w:rPr>
        <w:t>burden</w:t>
      </w:r>
    </w:p>
    <w:p w:rsidR="00930EDE" w:rsidP="00F32362" w14:paraId="279F7431" w14:textId="77777777">
      <w:pPr>
        <w:rPr>
          <w:iCs/>
        </w:rPr>
      </w:pPr>
    </w:p>
    <w:p w:rsidR="00484539" w:rsidP="00A544D2" w14:paraId="747AC929" w14:textId="217ED82D">
      <w:pPr>
        <w:rPr>
          <w:szCs w:val="22"/>
        </w:rPr>
      </w:pPr>
      <w:r w:rsidRPr="00484539">
        <w:rPr>
          <w:szCs w:val="22"/>
          <w:u w:val="single"/>
        </w:rPr>
        <w:t>Frequency</w:t>
      </w:r>
      <w:r w:rsidRPr="003F444A">
        <w:rPr>
          <w:szCs w:val="22"/>
        </w:rPr>
        <w:t>:</w:t>
      </w:r>
      <w:r w:rsidRPr="00A544D2">
        <w:rPr>
          <w:szCs w:val="22"/>
        </w:rPr>
        <w:t xml:space="preserve">  </w:t>
      </w:r>
      <w:r>
        <w:rPr>
          <w:szCs w:val="22"/>
        </w:rPr>
        <w:t>As required.</w:t>
      </w:r>
    </w:p>
    <w:p w:rsidR="003F444A" w:rsidP="003F444A" w14:paraId="15A51E08" w14:textId="77777777">
      <w:pPr>
        <w:rPr>
          <w:szCs w:val="22"/>
        </w:rPr>
      </w:pPr>
    </w:p>
    <w:p w:rsidR="00D33BF9" w:rsidRPr="008D73E0" w:rsidP="009A64A2" w14:paraId="2B39354F" w14:textId="2EA1E57A">
      <w:pPr>
        <w:rPr>
          <w:szCs w:val="22"/>
        </w:rPr>
      </w:pPr>
      <w:r w:rsidRPr="009271E6">
        <w:rPr>
          <w:szCs w:val="22"/>
          <w:u w:val="single"/>
        </w:rPr>
        <w:t xml:space="preserve">Estimated Number of </w:t>
      </w:r>
      <w:r w:rsidR="00BF63EC">
        <w:rPr>
          <w:szCs w:val="22"/>
          <w:u w:val="single"/>
        </w:rPr>
        <w:t xml:space="preserve">Annual </w:t>
      </w:r>
      <w:r w:rsidRPr="009271E6">
        <w:rPr>
          <w:szCs w:val="22"/>
          <w:u w:val="single"/>
        </w:rPr>
        <w:t>Respondents</w:t>
      </w:r>
      <w:r w:rsidR="00AE2B2D">
        <w:rPr>
          <w:szCs w:val="22"/>
          <w:u w:val="single"/>
        </w:rPr>
        <w:t xml:space="preserve"> (also referred to as CMIR filers)</w:t>
      </w:r>
      <w:r w:rsidRPr="003B7715">
        <w:rPr>
          <w:szCs w:val="22"/>
        </w:rPr>
        <w:t>:</w:t>
      </w:r>
      <w:r>
        <w:rPr>
          <w:szCs w:val="22"/>
        </w:rPr>
        <w:t xml:space="preserve"> </w:t>
      </w:r>
      <w:r w:rsidRPr="000D6E11" w:rsidR="00A641B5">
        <w:t>108,400</w:t>
      </w:r>
      <w:r>
        <w:rPr>
          <w:rStyle w:val="FootnoteReference"/>
        </w:rPr>
        <w:footnoteReference w:id="27"/>
      </w:r>
    </w:p>
    <w:p w:rsidR="008D73E0" w:rsidP="0014759A" w14:paraId="41F56AF7" w14:textId="77777777">
      <w:pPr>
        <w:rPr>
          <w:szCs w:val="22"/>
        </w:rPr>
      </w:pPr>
    </w:p>
    <w:p w:rsidR="00D33BF9" w:rsidRPr="001333C4" w:rsidP="007C59AD" w14:paraId="53BF62D1" w14:textId="190F00F3">
      <w:pPr>
        <w:rPr>
          <w:szCs w:val="22"/>
        </w:rPr>
      </w:pPr>
      <w:r w:rsidRPr="7A93C39C">
        <w:rPr>
          <w:u w:val="single"/>
        </w:rPr>
        <w:t>Estimated Number of Responses</w:t>
      </w:r>
      <w:r w:rsidRPr="003B7715">
        <w:t>:</w:t>
      </w:r>
      <w:r>
        <w:rPr>
          <w:szCs w:val="22"/>
        </w:rPr>
        <w:t xml:space="preserve">  </w:t>
      </w:r>
      <w:r w:rsidRPr="00CA2ACA" w:rsidR="2BE656DD">
        <w:t>140,687</w:t>
      </w:r>
      <w:r w:rsidR="2BE656DD">
        <w:t xml:space="preserve"> </w:t>
      </w:r>
      <w:r w:rsidRPr="00C1357C" w:rsidR="2BE656DD">
        <w:t>reports.</w:t>
      </w:r>
      <w:r>
        <w:rPr>
          <w:rStyle w:val="FootnoteReference"/>
        </w:rPr>
        <w:footnoteReference w:id="28"/>
      </w:r>
    </w:p>
    <w:p w:rsidR="00F752CF" w:rsidP="007C59AD" w14:paraId="5FB9738A" w14:textId="77777777">
      <w:pPr>
        <w:rPr>
          <w:color w:val="000000"/>
          <w:u w:val="single"/>
        </w:rPr>
      </w:pPr>
    </w:p>
    <w:p w:rsidR="00067CD1" w:rsidP="007C59AD" w14:paraId="096F4912" w14:textId="016A227B">
      <w:pPr>
        <w:rPr>
          <w:color w:val="000000"/>
        </w:rPr>
      </w:pPr>
      <w:r w:rsidRPr="00453717">
        <w:rPr>
          <w:color w:val="000000"/>
          <w:u w:val="single"/>
        </w:rPr>
        <w:t>Estimated Burden per Respon</w:t>
      </w:r>
      <w:r w:rsidRPr="2AC8577D" w:rsidR="4E31481C">
        <w:rPr>
          <w:color w:val="000000" w:themeColor="text1"/>
          <w:u w:val="single"/>
        </w:rPr>
        <w:t>se</w:t>
      </w:r>
      <w:r w:rsidRPr="003B7715">
        <w:rPr>
          <w:color w:val="000000"/>
        </w:rPr>
        <w:t>:</w:t>
      </w:r>
      <w:r w:rsidRPr="00167010">
        <w:rPr>
          <w:color w:val="000000"/>
        </w:rPr>
        <w:t xml:space="preserve"> </w:t>
      </w:r>
      <w:r w:rsidR="755C57AF">
        <w:rPr>
          <w:color w:val="000000"/>
        </w:rPr>
        <w:t>17.95 minutes, on average.</w:t>
      </w:r>
      <w:r>
        <w:rPr>
          <w:rStyle w:val="FootnoteReference"/>
          <w:color w:val="000000"/>
        </w:rPr>
        <w:footnoteReference w:id="29"/>
      </w:r>
    </w:p>
    <w:p w:rsidR="00E45C15" w:rsidP="007C59AD" w14:paraId="5DFDC49E" w14:textId="77777777">
      <w:pPr>
        <w:rPr>
          <w:color w:val="000000"/>
        </w:rPr>
      </w:pPr>
    </w:p>
    <w:p w:rsidR="00E45C15" w:rsidRPr="004E574F" w:rsidP="007C59AD" w14:paraId="5530BD0B" w14:textId="1D30487C">
      <w:r w:rsidRPr="005231E1">
        <w:rPr>
          <w:color w:val="000000"/>
          <w:u w:val="single"/>
        </w:rPr>
        <w:t>Estimated Total Annual Burden Hours</w:t>
      </w:r>
      <w:r>
        <w:rPr>
          <w:color w:val="000000"/>
        </w:rPr>
        <w:t>:  42,089 hours.</w:t>
      </w:r>
      <w:r>
        <w:rPr>
          <w:rStyle w:val="FootnoteReference"/>
          <w:color w:val="000000"/>
        </w:rPr>
        <w:footnoteReference w:id="30"/>
      </w:r>
    </w:p>
    <w:p w:rsidR="004E574F" w:rsidP="004E574F" w14:paraId="304D843A" w14:textId="77777777">
      <w:pPr>
        <w:rPr>
          <w:szCs w:val="22"/>
        </w:rPr>
      </w:pPr>
    </w:p>
    <w:p w:rsidR="007C43E3" w:rsidP="00566FD2" w14:paraId="653F1428" w14:textId="2D7C0ED4">
      <w:pPr>
        <w:rPr>
          <w:u w:val="single"/>
        </w:rPr>
      </w:pPr>
      <w:r w:rsidRPr="006C7787">
        <w:t xml:space="preserve">13.  </w:t>
      </w:r>
      <w:r>
        <w:rPr>
          <w:u w:val="single"/>
        </w:rPr>
        <w:t>Estimated annual cost burden</w:t>
      </w:r>
      <w:r w:rsidRPr="006C7787">
        <w:rPr>
          <w:u w:val="single"/>
        </w:rPr>
        <w:t>.</w:t>
      </w:r>
    </w:p>
    <w:p w:rsidR="0011115A" w:rsidP="00F12CA7" w14:paraId="34DC44D6" w14:textId="345EA801">
      <w:pPr>
        <w:pStyle w:val="BodyTextIndent"/>
        <w:spacing w:after="0"/>
        <w:ind w:left="0"/>
      </w:pPr>
    </w:p>
    <w:p w:rsidR="000154C0" w:rsidP="00E676A8" w14:paraId="59B43AE7" w14:textId="7BFA093D">
      <w:pPr>
        <w:autoSpaceDE w:val="0"/>
        <w:autoSpaceDN w:val="0"/>
        <w:adjustRightInd w:val="0"/>
        <w:rPr>
          <w:color w:val="000000"/>
        </w:rPr>
      </w:pPr>
      <w:r w:rsidRPr="00C1357C">
        <w:rPr>
          <w:color w:val="000000"/>
          <w:u w:val="single"/>
        </w:rPr>
        <w:t xml:space="preserve">Estimated </w:t>
      </w:r>
      <w:r>
        <w:rPr>
          <w:color w:val="000000"/>
          <w:u w:val="single"/>
        </w:rPr>
        <w:t xml:space="preserve">Cost </w:t>
      </w:r>
      <w:r w:rsidRPr="00C1357C">
        <w:rPr>
          <w:color w:val="000000"/>
          <w:u w:val="single"/>
        </w:rPr>
        <w:t>per Respon</w:t>
      </w:r>
      <w:r>
        <w:rPr>
          <w:color w:val="000000"/>
          <w:u w:val="single"/>
        </w:rPr>
        <w:t>se</w:t>
      </w:r>
      <w:r w:rsidRPr="00C1357C">
        <w:rPr>
          <w:color w:val="000000"/>
        </w:rPr>
        <w:t xml:space="preserve">: </w:t>
      </w:r>
      <w:r>
        <w:rPr>
          <w:color w:val="000000"/>
        </w:rPr>
        <w:t>$15.99 on average.</w:t>
      </w:r>
      <w:r>
        <w:rPr>
          <w:rStyle w:val="FootnoteReference"/>
          <w:color w:val="000000"/>
        </w:rPr>
        <w:footnoteReference w:id="31"/>
      </w:r>
    </w:p>
    <w:p w:rsidR="0011115A" w:rsidRPr="000154C0" w:rsidP="00E676A8" w14:paraId="56567CE7" w14:textId="77777777">
      <w:pPr>
        <w:autoSpaceDE w:val="0"/>
        <w:autoSpaceDN w:val="0"/>
        <w:adjustRightInd w:val="0"/>
      </w:pPr>
    </w:p>
    <w:p w:rsidR="001F4154" w:rsidRPr="00F547E6" w:rsidP="00E676A8" w14:paraId="68F3F26B" w14:textId="3BC82AA2">
      <w:pPr>
        <w:autoSpaceDE w:val="0"/>
        <w:autoSpaceDN w:val="0"/>
        <w:adjustRightInd w:val="0"/>
      </w:pPr>
      <w:r w:rsidRPr="7A93C39C">
        <w:rPr>
          <w:u w:val="single"/>
        </w:rPr>
        <w:t xml:space="preserve">Estimated </w:t>
      </w:r>
      <w:r w:rsidRPr="7A93C39C" w:rsidR="3ABEB735">
        <w:rPr>
          <w:u w:val="single"/>
        </w:rPr>
        <w:t>Total Annual</w:t>
      </w:r>
      <w:r w:rsidRPr="7A93C39C">
        <w:rPr>
          <w:u w:val="single"/>
        </w:rPr>
        <w:t xml:space="preserve"> C</w:t>
      </w:r>
      <w:r w:rsidRPr="7A93C39C" w:rsidR="03372F97">
        <w:rPr>
          <w:u w:val="single"/>
        </w:rPr>
        <w:t>ost</w:t>
      </w:r>
      <w:r w:rsidRPr="7A93C39C" w:rsidR="7334ECB6">
        <w:rPr>
          <w:u w:val="single"/>
        </w:rPr>
        <w:t xml:space="preserve"> to the Public</w:t>
      </w:r>
      <w:r w:rsidRPr="7A93C39C" w:rsidR="03372F97">
        <w:rPr>
          <w:u w:val="single"/>
        </w:rPr>
        <w:t>:</w:t>
      </w:r>
      <w:r w:rsidRPr="00EE7F65" w:rsidR="03372F97">
        <w:rPr>
          <w:szCs w:val="18"/>
        </w:rPr>
        <w:t xml:space="preserve"> </w:t>
      </w:r>
      <w:r w:rsidR="03372F97">
        <w:rPr>
          <w:szCs w:val="18"/>
        </w:rPr>
        <w:t xml:space="preserve"> </w:t>
      </w:r>
      <w:r w:rsidRPr="00C1357C" w:rsidR="44C88C64">
        <w:rPr>
          <w:color w:val="000000"/>
        </w:rPr>
        <w:t>$</w:t>
      </w:r>
      <w:r w:rsidRPr="000B4171" w:rsidR="44C88C64">
        <w:rPr>
          <w:color w:val="000000"/>
        </w:rPr>
        <w:t>2,</w:t>
      </w:r>
      <w:r w:rsidR="44C88C64">
        <w:rPr>
          <w:color w:val="000000"/>
        </w:rPr>
        <w:t>250</w:t>
      </w:r>
      <w:r w:rsidRPr="000B4171" w:rsidR="44C88C64">
        <w:rPr>
          <w:color w:val="000000"/>
        </w:rPr>
        <w:t>,</w:t>
      </w:r>
      <w:r w:rsidR="74563ED6">
        <w:rPr>
          <w:color w:val="000000"/>
        </w:rPr>
        <w:t>49</w:t>
      </w:r>
      <w:r w:rsidRPr="2AC8577D" w:rsidR="119DFAA9">
        <w:rPr>
          <w:color w:val="000000" w:themeColor="text1"/>
        </w:rPr>
        <w:t>1</w:t>
      </w:r>
      <w:r w:rsidR="437B723C">
        <w:rPr>
          <w:color w:val="000000"/>
        </w:rPr>
        <w:t>.</w:t>
      </w:r>
      <w:r>
        <w:rPr>
          <w:rStyle w:val="FootnoteReference"/>
          <w:color w:val="000000"/>
        </w:rPr>
        <w:footnoteReference w:id="32"/>
      </w:r>
      <w:r w:rsidRPr="00F547E6" w:rsidR="00E62587">
        <w:t xml:space="preserve"> </w:t>
      </w:r>
    </w:p>
    <w:p w:rsidR="00F547E6" w:rsidP="00F547E6" w14:paraId="0F7DC6FC" w14:textId="77777777">
      <w:pPr>
        <w:autoSpaceDE w:val="0"/>
        <w:autoSpaceDN w:val="0"/>
        <w:adjustRightInd w:val="0"/>
        <w:ind w:left="720"/>
      </w:pPr>
    </w:p>
    <w:p w:rsidR="00E00BD0" w:rsidP="007B06E0" w14:paraId="5CA53DF9" w14:textId="5800FA96">
      <w:pPr>
        <w:spacing w:after="240"/>
        <w:ind w:firstLine="720"/>
      </w:pPr>
      <w:r w:rsidRPr="0054236D">
        <w:t xml:space="preserve">FinCEN has not separately estimated, or assigned a dollar value to, the non-labor costs </w:t>
      </w:r>
      <w:r w:rsidR="00A234EF">
        <w:t xml:space="preserve">to the public </w:t>
      </w:r>
      <w:r w:rsidRPr="0054236D">
        <w:t>associated with the covered reporting</w:t>
      </w:r>
      <w:r>
        <w:t xml:space="preserve"> </w:t>
      </w:r>
      <w:r w:rsidRPr="0054236D">
        <w:t>requirements</w:t>
      </w:r>
      <w:r w:rsidR="001F4154">
        <w:t>.</w:t>
      </w:r>
    </w:p>
    <w:p w:rsidR="00314D73" w:rsidP="0026159C" w14:paraId="432847C1" w14:textId="0F7A294F">
      <w:pPr>
        <w:rPr>
          <w:color w:val="000000"/>
        </w:rPr>
      </w:pPr>
      <w:r>
        <w:rPr>
          <w:szCs w:val="22"/>
        </w:rPr>
        <w:t xml:space="preserve">14. </w:t>
      </w:r>
      <w:r w:rsidRPr="00E63EEC" w:rsidR="00E00BD0">
        <w:rPr>
          <w:color w:val="000000"/>
          <w:u w:val="single"/>
        </w:rPr>
        <w:t>Estimated Annual Cost</w:t>
      </w:r>
      <w:r w:rsidRPr="00E63EEC" w:rsidR="0019387B">
        <w:rPr>
          <w:color w:val="000000"/>
          <w:u w:val="single"/>
        </w:rPr>
        <w:t xml:space="preserve"> to the </w:t>
      </w:r>
      <w:r w:rsidR="00406ABF">
        <w:rPr>
          <w:color w:val="000000"/>
          <w:u w:val="single"/>
        </w:rPr>
        <w:t xml:space="preserve">Federal </w:t>
      </w:r>
      <w:r w:rsidRPr="00E63EEC" w:rsidR="0019387B">
        <w:rPr>
          <w:color w:val="000000"/>
          <w:u w:val="single"/>
        </w:rPr>
        <w:t>Government</w:t>
      </w:r>
      <w:r w:rsidRPr="00E63EEC" w:rsidR="00E00BD0">
        <w:rPr>
          <w:color w:val="000000"/>
          <w:u w:val="single"/>
        </w:rPr>
        <w:t>:</w:t>
      </w:r>
      <w:r w:rsidRPr="00E63EEC" w:rsidR="00E00BD0">
        <w:rPr>
          <w:color w:val="000000"/>
        </w:rPr>
        <w:t xml:space="preserve">  </w:t>
      </w:r>
    </w:p>
    <w:p w:rsidR="00314D73" w:rsidP="0026159C" w14:paraId="7F679A1A" w14:textId="77777777">
      <w:pPr>
        <w:rPr>
          <w:color w:val="000000"/>
        </w:rPr>
      </w:pPr>
    </w:p>
    <w:p w:rsidR="001765FD" w:rsidP="001765FD" w14:paraId="6AAEB333" w14:textId="77777777">
      <w:pPr>
        <w:ind w:firstLine="720"/>
        <w:rPr>
          <w:szCs w:val="18"/>
        </w:rPr>
      </w:pPr>
      <w:r>
        <w:rPr>
          <w:color w:val="000000"/>
        </w:rPr>
        <w:t xml:space="preserve">FinCEN estimates that the total cost to the federal government, per year, will be approximately </w:t>
      </w:r>
      <w:r w:rsidRPr="007B06E0" w:rsidR="22472F48">
        <w:rPr>
          <w:color w:val="000000"/>
        </w:rPr>
        <w:t>$1,</w:t>
      </w:r>
      <w:r w:rsidRPr="007B06E0" w:rsidR="57DB1940">
        <w:rPr>
          <w:color w:val="000000"/>
        </w:rPr>
        <w:t>613</w:t>
      </w:r>
      <w:r w:rsidRPr="007B06E0" w:rsidR="22472F48">
        <w:rPr>
          <w:color w:val="000000"/>
        </w:rPr>
        <w:t>,</w:t>
      </w:r>
      <w:r w:rsidRPr="007B06E0" w:rsidR="57DB1940">
        <w:rPr>
          <w:color w:val="000000"/>
        </w:rPr>
        <w:t>522</w:t>
      </w:r>
      <w:r w:rsidRPr="007B06E0" w:rsidR="22472F48">
        <w:rPr>
          <w:color w:val="000000"/>
        </w:rPr>
        <w:t>.</w:t>
      </w:r>
      <w:r w:rsidRPr="007B06E0" w:rsidR="79AD1F19">
        <w:rPr>
          <w:color w:val="000000"/>
        </w:rPr>
        <w:t>26</w:t>
      </w:r>
      <w:r>
        <w:rPr>
          <w:color w:val="000000"/>
        </w:rPr>
        <w:t xml:space="preserve">. </w:t>
      </w:r>
      <w:r w:rsidR="2C3B424D">
        <w:rPr>
          <w:color w:val="000000"/>
        </w:rPr>
        <w:t xml:space="preserve"> </w:t>
      </w:r>
      <w:r>
        <w:rPr>
          <w:color w:val="000000"/>
        </w:rPr>
        <w:t xml:space="preserve">This estimate includes the </w:t>
      </w:r>
      <w:r w:rsidR="31FCF1F7">
        <w:rPr>
          <w:color w:val="000000"/>
        </w:rPr>
        <w:t xml:space="preserve">expected costs </w:t>
      </w:r>
      <w:r w:rsidR="31FCF1F7">
        <w:rPr>
          <w:color w:val="000000"/>
        </w:rPr>
        <w:t>to</w:t>
      </w:r>
      <w:r w:rsidR="31FCF1F7">
        <w:rPr>
          <w:color w:val="000000"/>
        </w:rPr>
        <w:t xml:space="preserve"> both CBP and FinCEN. </w:t>
      </w:r>
      <w:r w:rsidR="3827ED8F">
        <w:rPr>
          <w:color w:val="000000"/>
        </w:rPr>
        <w:t xml:space="preserve"> </w:t>
      </w:r>
      <w:r w:rsidR="19019E90">
        <w:rPr>
          <w:color w:val="000000"/>
        </w:rPr>
        <w:t>The annualized expected processing costs expected to be incurred by CBP annually are</w:t>
      </w:r>
      <w:r w:rsidRPr="7A93C39C" w:rsidR="22472F48">
        <w:t xml:space="preserve"> $</w:t>
      </w:r>
      <w:r w:rsidRPr="7A93C39C" w:rsidR="258C6E5F">
        <w:t>1,599,192.36</w:t>
      </w:r>
      <w:r w:rsidRPr="00DE71CC" w:rsidR="22472F48">
        <w:rPr>
          <w:szCs w:val="18"/>
        </w:rPr>
        <w:t>.</w:t>
      </w:r>
      <w:r w:rsidR="211D068F">
        <w:rPr>
          <w:szCs w:val="18"/>
        </w:rPr>
        <w:t xml:space="preserve">  </w:t>
      </w:r>
      <w:r w:rsidRPr="7A93C39C" w:rsidR="0E8CEBF9">
        <w:t>Estimated</w:t>
      </w:r>
      <w:r w:rsidRPr="7A93C39C" w:rsidR="38C7D10A">
        <w:t xml:space="preserve"> costs to CBP include the burden of processing paper filings</w:t>
      </w:r>
      <w:r w:rsidR="528AB03F">
        <w:rPr>
          <w:szCs w:val="18"/>
        </w:rPr>
        <w:t xml:space="preserve"> (</w:t>
      </w:r>
      <w:r w:rsidRPr="7A93C39C" w:rsidR="39BC0FBD">
        <w:t>$</w:t>
      </w:r>
      <w:r w:rsidRPr="7A93C39C" w:rsidR="27157A0E">
        <w:t>1,299,192.36</w:t>
      </w:r>
      <w:r>
        <w:rPr>
          <w:vertAlign w:val="superscript"/>
        </w:rPr>
        <w:footnoteReference w:id="33"/>
      </w:r>
      <w:r w:rsidR="528AB03F">
        <w:rPr>
          <w:szCs w:val="18"/>
        </w:rPr>
        <w:t>)</w:t>
      </w:r>
      <w:r w:rsidRPr="7A93C39C" w:rsidR="38C7D10A">
        <w:t xml:space="preserve"> and electronic filings</w:t>
      </w:r>
      <w:r w:rsidR="39BC0FBD">
        <w:rPr>
          <w:szCs w:val="18"/>
        </w:rPr>
        <w:t xml:space="preserve"> (</w:t>
      </w:r>
      <w:r w:rsidRPr="7A93C39C" w:rsidR="27157A0E">
        <w:t>$300,000.00</w:t>
      </w:r>
      <w:r>
        <w:rPr>
          <w:rStyle w:val="FootnoteReference"/>
        </w:rPr>
        <w:footnoteReference w:id="34"/>
      </w:r>
      <w:r w:rsidR="39BC0FBD">
        <w:rPr>
          <w:szCs w:val="18"/>
        </w:rPr>
        <w:t>)</w:t>
      </w:r>
      <w:r w:rsidR="528AB03F">
        <w:rPr>
          <w:szCs w:val="18"/>
        </w:rPr>
        <w:t xml:space="preserve">. </w:t>
      </w:r>
      <w:r w:rsidR="3827ED8F">
        <w:rPr>
          <w:szCs w:val="18"/>
        </w:rPr>
        <w:t xml:space="preserve"> </w:t>
      </w:r>
      <w:r w:rsidRPr="7A93C39C" w:rsidR="211D068F">
        <w:t xml:space="preserve">Additionally, FinCEN </w:t>
      </w:r>
      <w:r w:rsidRPr="7A93C39C" w:rsidR="4D62047A">
        <w:t>estimates</w:t>
      </w:r>
      <w:r w:rsidRPr="7A93C39C" w:rsidR="2DEDE79B">
        <w:t xml:space="preserve"> that it will</w:t>
      </w:r>
      <w:r w:rsidRPr="7A93C39C" w:rsidR="211D068F">
        <w:t xml:space="preserve"> incur annual</w:t>
      </w:r>
      <w:r w:rsidRPr="7A93C39C" w:rsidR="08B0279A">
        <w:t xml:space="preserve"> data </w:t>
      </w:r>
      <w:r w:rsidR="211D068F">
        <w:t>upl</w:t>
      </w:r>
      <w:r w:rsidRPr="67A27E38" w:rsidR="22472F48">
        <w:t>oad and stor</w:t>
      </w:r>
      <w:r w:rsidR="607AD920">
        <w:t>age</w:t>
      </w:r>
      <w:r w:rsidRPr="67A27E38" w:rsidR="22472F48">
        <w:t xml:space="preserve"> cost</w:t>
      </w:r>
      <w:r w:rsidR="08B0279A">
        <w:t xml:space="preserve">s of approximately </w:t>
      </w:r>
      <w:r w:rsidRPr="67A27E38" w:rsidR="22472F48">
        <w:t>$1</w:t>
      </w:r>
      <w:r w:rsidRPr="67A27E38" w:rsidR="2621680A">
        <w:t>4</w:t>
      </w:r>
      <w:r w:rsidRPr="67A27E38" w:rsidR="22472F48">
        <w:t>,</w:t>
      </w:r>
      <w:r w:rsidRPr="67A27E38" w:rsidR="7D039A75">
        <w:t>329</w:t>
      </w:r>
      <w:r w:rsidRPr="67A27E38" w:rsidR="22472F48">
        <w:t xml:space="preserve">.90 </w:t>
      </w:r>
      <w:r w:rsidR="08B0279A">
        <w:t xml:space="preserve">based on an assigned </w:t>
      </w:r>
      <w:r w:rsidRPr="67A27E38" w:rsidR="22472F48">
        <w:t xml:space="preserve">annual cost </w:t>
      </w:r>
      <w:r w:rsidR="02B569FF">
        <w:t xml:space="preserve">of </w:t>
      </w:r>
      <w:r w:rsidRPr="67A27E38" w:rsidR="22472F48">
        <w:t xml:space="preserve">$0.10 per </w:t>
      </w:r>
      <w:r w:rsidR="08B0279A">
        <w:t>CMIR</w:t>
      </w:r>
      <w:r w:rsidRPr="67A27E38" w:rsidR="22472F48">
        <w:t>, times the number of reports</w:t>
      </w:r>
      <w:r w:rsidR="6B2366D5">
        <w:t xml:space="preserve"> it expects to </w:t>
      </w:r>
      <w:r w:rsidR="02B569FF">
        <w:t>process</w:t>
      </w:r>
      <w:r w:rsidR="6B2366D5">
        <w:t xml:space="preserve"> annually</w:t>
      </w:r>
      <w:r w:rsidRPr="67A27E38" w:rsidR="22472F48">
        <w:t xml:space="preserve"> (</w:t>
      </w:r>
      <w:r w:rsidRPr="67A27E38" w:rsidR="3CC60505">
        <w:t>143</w:t>
      </w:r>
      <w:r w:rsidRPr="67A27E38" w:rsidR="22472F48">
        <w:t>,</w:t>
      </w:r>
      <w:r w:rsidRPr="67A27E38" w:rsidR="648A3861">
        <w:t>29</w:t>
      </w:r>
      <w:r w:rsidRPr="67A27E38" w:rsidR="22472F48">
        <w:t>9 reports).</w:t>
      </w:r>
      <w:r>
        <w:rPr>
          <w:vertAlign w:val="superscript"/>
        </w:rPr>
        <w:footnoteReference w:id="35"/>
      </w:r>
      <w:r w:rsidRPr="00DE71CC" w:rsidR="22472F48">
        <w:rPr>
          <w:szCs w:val="18"/>
        </w:rPr>
        <w:t xml:space="preserve"> </w:t>
      </w:r>
    </w:p>
    <w:p w:rsidR="00F752CF" w:rsidP="001765FD" w14:paraId="47A935FF" w14:textId="77777777">
      <w:pPr>
        <w:ind w:firstLine="720"/>
      </w:pPr>
    </w:p>
    <w:p w:rsidR="00943C3B" w:rsidRPr="001765FD" w:rsidP="001765FD" w14:paraId="72B722D8" w14:textId="732B998D">
      <w:r>
        <w:rPr>
          <w:szCs w:val="22"/>
        </w:rPr>
        <w:t xml:space="preserve">15. </w:t>
      </w:r>
      <w:r>
        <w:rPr>
          <w:szCs w:val="22"/>
          <w:u w:val="single"/>
        </w:rPr>
        <w:t>Reason</w:t>
      </w:r>
      <w:r w:rsidR="00595F30">
        <w:rPr>
          <w:szCs w:val="22"/>
          <w:u w:val="single"/>
        </w:rPr>
        <w:t>s</w:t>
      </w:r>
      <w:r>
        <w:rPr>
          <w:szCs w:val="22"/>
          <w:u w:val="single"/>
        </w:rPr>
        <w:t xml:space="preserve"> </w:t>
      </w:r>
      <w:r w:rsidR="00595F30">
        <w:rPr>
          <w:szCs w:val="22"/>
          <w:u w:val="single"/>
        </w:rPr>
        <w:t>for change in burden</w:t>
      </w:r>
      <w:r w:rsidR="007F70D8">
        <w:rPr>
          <w:szCs w:val="22"/>
          <w:u w:val="single"/>
        </w:rPr>
        <w:t>.</w:t>
      </w:r>
    </w:p>
    <w:p w:rsidR="00943C3B" w14:paraId="2158EFA5" w14:textId="605AC73F">
      <w:pPr>
        <w:ind w:firstLine="720"/>
        <w:rPr>
          <w:szCs w:val="22"/>
        </w:rPr>
      </w:pPr>
      <w:r>
        <w:rPr>
          <w:szCs w:val="22"/>
        </w:rPr>
        <w:t xml:space="preserve"> </w:t>
      </w:r>
    </w:p>
    <w:p w:rsidR="00D4746F" w:rsidP="005B5077" w14:paraId="1DB888FA" w14:textId="731B04D3">
      <w:pPr>
        <w:ind w:firstLine="720"/>
      </w:pPr>
      <w:r w:rsidRPr="7A93C39C">
        <w:t xml:space="preserve">The estimated total annual burden hours decreased by </w:t>
      </w:r>
      <w:r w:rsidRPr="7A93C39C" w:rsidR="4914CE15">
        <w:t>7</w:t>
      </w:r>
      <w:r w:rsidRPr="00BE411E" w:rsidR="2642C357">
        <w:rPr>
          <w:szCs w:val="22"/>
        </w:rPr>
        <w:t>,</w:t>
      </w:r>
      <w:r w:rsidRPr="7A93C39C" w:rsidR="649FBFCF">
        <w:t>662</w:t>
      </w:r>
      <w:r w:rsidRPr="7A93C39C">
        <w:t xml:space="preserve"> hours</w:t>
      </w:r>
      <w:r w:rsidR="260D0A4A">
        <w:rPr>
          <w:szCs w:val="22"/>
        </w:rPr>
        <w:t>,</w:t>
      </w:r>
      <w:r w:rsidRPr="7A93C39C">
        <w:t xml:space="preserve"> from </w:t>
      </w:r>
      <w:r w:rsidRPr="7A93C39C" w:rsidR="3FE782AF">
        <w:t xml:space="preserve">49,751 </w:t>
      </w:r>
      <w:r w:rsidRPr="7A93C39C">
        <w:t>hours in 20</w:t>
      </w:r>
      <w:r w:rsidRPr="7A93C39C" w:rsidR="3FE782AF">
        <w:t>22</w:t>
      </w:r>
      <w:r w:rsidRPr="7A93C39C">
        <w:t xml:space="preserve"> to 4</w:t>
      </w:r>
      <w:r w:rsidRPr="7A93C39C" w:rsidR="5824E679">
        <w:t>2</w:t>
      </w:r>
      <w:r w:rsidRPr="00BE411E">
        <w:rPr>
          <w:szCs w:val="22"/>
        </w:rPr>
        <w:t>,</w:t>
      </w:r>
      <w:r w:rsidRPr="7A93C39C" w:rsidR="5824E679">
        <w:t>089</w:t>
      </w:r>
      <w:r w:rsidRPr="7A93C39C">
        <w:t xml:space="preserve"> hours in 202</w:t>
      </w:r>
      <w:r w:rsidRPr="7A93C39C" w:rsidR="5824E679">
        <w:t>5</w:t>
      </w:r>
      <w:r w:rsidRPr="00BE411E">
        <w:rPr>
          <w:szCs w:val="22"/>
        </w:rPr>
        <w:t xml:space="preserve">. </w:t>
      </w:r>
      <w:r w:rsidRPr="00BE411E" w:rsidR="5E03D4BE">
        <w:rPr>
          <w:szCs w:val="22"/>
        </w:rPr>
        <w:t xml:space="preserve"> </w:t>
      </w:r>
      <w:r w:rsidRPr="7A93C39C" w:rsidR="2642C357">
        <w:t>Th</w:t>
      </w:r>
      <w:r w:rsidRPr="7A93C39C" w:rsidR="3A4B7418">
        <w:t>is</w:t>
      </w:r>
      <w:r w:rsidRPr="00BE411E" w:rsidR="2642C357">
        <w:rPr>
          <w:szCs w:val="22"/>
        </w:rPr>
        <w:t xml:space="preserve"> </w:t>
      </w:r>
      <w:r w:rsidRPr="7A93C39C" w:rsidR="4AFB919D">
        <w:t>difference</w:t>
      </w:r>
      <w:r w:rsidRPr="00BE411E" w:rsidR="4AFB919D">
        <w:rPr>
          <w:szCs w:val="22"/>
        </w:rPr>
        <w:t xml:space="preserve"> </w:t>
      </w:r>
      <w:r w:rsidRPr="7A93C39C" w:rsidR="2EFE3121">
        <w:t xml:space="preserve">in expected </w:t>
      </w:r>
      <w:r w:rsidRPr="7A93C39C" w:rsidR="5930ED12">
        <w:t xml:space="preserve">aggregate </w:t>
      </w:r>
      <w:r w:rsidRPr="7A93C39C" w:rsidR="2EFE3121">
        <w:t>burden</w:t>
      </w:r>
      <w:r w:rsidRPr="00BE411E" w:rsidR="2642C357">
        <w:rPr>
          <w:szCs w:val="22"/>
        </w:rPr>
        <w:t xml:space="preserve"> </w:t>
      </w:r>
      <w:r w:rsidRPr="7A93C39C" w:rsidR="3F0BB3D6">
        <w:t>reflects</w:t>
      </w:r>
      <w:r w:rsidRPr="7A93C39C" w:rsidR="2642C357">
        <w:t xml:space="preserve"> two</w:t>
      </w:r>
      <w:r w:rsidRPr="7A93C39C" w:rsidR="52590C9C">
        <w:t xml:space="preserve"> primary revision</w:t>
      </w:r>
      <w:r w:rsidRPr="7A93C39C" w:rsidR="4AFB919D">
        <w:t>s</w:t>
      </w:r>
      <w:r w:rsidRPr="00BE411E" w:rsidR="2642C357">
        <w:rPr>
          <w:szCs w:val="22"/>
        </w:rPr>
        <w:t xml:space="preserve">. </w:t>
      </w:r>
      <w:r w:rsidRPr="00BE411E" w:rsidR="69D48D72">
        <w:rPr>
          <w:szCs w:val="22"/>
        </w:rPr>
        <w:t xml:space="preserve"> </w:t>
      </w:r>
      <w:r w:rsidRPr="7A93C39C" w:rsidR="2642C357">
        <w:t>First, t</w:t>
      </w:r>
      <w:r w:rsidRPr="7A93C39C">
        <w:t xml:space="preserve">he </w:t>
      </w:r>
      <w:r w:rsidRPr="7A93C39C" w:rsidR="66F4FE54">
        <w:t>expected</w:t>
      </w:r>
      <w:r w:rsidRPr="42C3B287" w:rsidR="6344DDFB">
        <w:t xml:space="preserve"> </w:t>
      </w:r>
      <w:r w:rsidRPr="7A93C39C" w:rsidR="2833988F">
        <w:t xml:space="preserve">time burden per response </w:t>
      </w:r>
      <w:r w:rsidRPr="7A93C39C" w:rsidR="4160862F">
        <w:t>was revised</w:t>
      </w:r>
      <w:r w:rsidRPr="42C3B287" w:rsidR="7583D332">
        <w:t xml:space="preserve">, </w:t>
      </w:r>
      <w:r w:rsidRPr="7A93C39C" w:rsidR="58DF604E">
        <w:t>resulting in an</w:t>
      </w:r>
      <w:r w:rsidRPr="42C3B287" w:rsidR="4160862F">
        <w:t xml:space="preserve"> </w:t>
      </w:r>
      <w:r w:rsidRPr="7A93C39C" w:rsidR="144D595B">
        <w:t xml:space="preserve">increase </w:t>
      </w:r>
      <w:r w:rsidRPr="7A93C39C" w:rsidR="1B4843D9">
        <w:t xml:space="preserve">in the weighted average time per report </w:t>
      </w:r>
      <w:r w:rsidRPr="7A93C39C" w:rsidR="1E667AA1">
        <w:t xml:space="preserve">from </w:t>
      </w:r>
      <w:r w:rsidRPr="7A93C39C" w:rsidR="1B4843D9">
        <w:t>16.16 minutes in 2022</w:t>
      </w:r>
      <w:r w:rsidRPr="7A93C39C" w:rsidR="1B400EA8">
        <w:t xml:space="preserve"> to</w:t>
      </w:r>
      <w:r w:rsidRPr="7A93C39C" w:rsidR="1B4843D9">
        <w:t xml:space="preserve"> 17.95 minutes in 2025</w:t>
      </w:r>
      <w:r w:rsidRPr="42C3B287" w:rsidR="6D8EE8A0">
        <w:t>.</w:t>
      </w:r>
      <w:r>
        <w:rPr>
          <w:rStyle w:val="FootnoteReference"/>
        </w:rPr>
        <w:footnoteReference w:id="36"/>
      </w:r>
      <w:r w:rsidRPr="42C3B287" w:rsidR="2C5674A3">
        <w:t xml:space="preserve">  </w:t>
      </w:r>
      <w:r w:rsidRPr="7A93C39C" w:rsidR="2FCA9ACA">
        <w:t xml:space="preserve">Second, </w:t>
      </w:r>
      <w:r w:rsidRPr="7A93C39C" w:rsidR="6A47B81C">
        <w:t xml:space="preserve">the estimated number </w:t>
      </w:r>
      <w:r w:rsidRPr="7A93C39C" w:rsidR="154D3627">
        <w:t xml:space="preserve">of </w:t>
      </w:r>
      <w:r w:rsidRPr="7A93C39C" w:rsidR="75667672">
        <w:t xml:space="preserve">responses per year </w:t>
      </w:r>
      <w:r w:rsidRPr="7A93C39C" w:rsidR="2573D2B5">
        <w:t xml:space="preserve">was revised </w:t>
      </w:r>
      <w:r w:rsidRPr="7A93C39C" w:rsidR="3EF6AA35">
        <w:t xml:space="preserve">to reflect data from the most </w:t>
      </w:r>
      <w:r w:rsidRPr="7A93C39C" w:rsidR="3EF6AA35">
        <w:t xml:space="preserve">recent </w:t>
      </w:r>
      <w:r w:rsidRPr="7A93C39C" w:rsidR="0F7CA184">
        <w:t xml:space="preserve">historical </w:t>
      </w:r>
      <w:r w:rsidRPr="7A93C39C" w:rsidR="3EF6AA35">
        <w:t>three-year per</w:t>
      </w:r>
      <w:r w:rsidRPr="7A93C39C" w:rsidR="3E33CC51">
        <w:t xml:space="preserve">iod, </w:t>
      </w:r>
      <w:r w:rsidRPr="7A93C39C" w:rsidR="0F7CA184">
        <w:t>resulting in a</w:t>
      </w:r>
      <w:r w:rsidRPr="7A93C39C">
        <w:t xml:space="preserve"> reduction in the es</w:t>
      </w:r>
      <w:r w:rsidRPr="7A93C39C" w:rsidR="69D48D72">
        <w:t xml:space="preserve">timated </w:t>
      </w:r>
      <w:r w:rsidRPr="7A93C39C" w:rsidR="775122FD">
        <w:t xml:space="preserve">number of responses </w:t>
      </w:r>
      <w:r w:rsidRPr="7A93C39C" w:rsidR="7D5B4343">
        <w:t xml:space="preserve">expected </w:t>
      </w:r>
      <w:r w:rsidRPr="7A93C39C" w:rsidR="775122FD">
        <w:t>annually</w:t>
      </w:r>
      <w:r w:rsidRPr="7A93C39C">
        <w:t xml:space="preserve"> from 184,709 in 2022</w:t>
      </w:r>
      <w:r w:rsidRPr="7A93C39C" w:rsidR="4492B6D2">
        <w:t xml:space="preserve">, to </w:t>
      </w:r>
      <w:r w:rsidRPr="7A93C39C" w:rsidR="4059FE53">
        <w:t>140,687 in 2025</w:t>
      </w:r>
      <w:r w:rsidRPr="42C3B287">
        <w:t>.</w:t>
      </w:r>
      <w:r w:rsidRPr="7A93C39C" w:rsidR="24586BE8">
        <w:t xml:space="preserve">  Because the </w:t>
      </w:r>
      <w:r w:rsidRPr="7A93C39C" w:rsidR="0C15A7A1">
        <w:t xml:space="preserve">decrease in </w:t>
      </w:r>
      <w:r w:rsidRPr="7A93C39C" w:rsidR="5D28E86A">
        <w:t xml:space="preserve">the </w:t>
      </w:r>
      <w:r w:rsidRPr="7A93C39C" w:rsidR="24586BE8">
        <w:t>expected</w:t>
      </w:r>
      <w:r w:rsidRPr="7A93C39C" w:rsidR="0C15A7A1">
        <w:t xml:space="preserve"> number of responses per year</w:t>
      </w:r>
      <w:r w:rsidRPr="7A93C39C" w:rsidR="3FFCD3A2">
        <w:t xml:space="preserve"> outweighs the</w:t>
      </w:r>
      <w:r w:rsidRPr="7A93C39C" w:rsidR="1CFAD6CE">
        <w:t xml:space="preserve"> minor</w:t>
      </w:r>
      <w:r w:rsidRPr="7A93C39C" w:rsidR="3FFCD3A2">
        <w:t xml:space="preserve"> increase</w:t>
      </w:r>
      <w:r w:rsidRPr="7A93C39C" w:rsidR="1CFAD6CE">
        <w:t xml:space="preserve"> in the weighted average of expected time burden per response</w:t>
      </w:r>
      <w:r w:rsidRPr="7A93C39C" w:rsidR="2FBCDC12">
        <w:t xml:space="preserve">, the overall effect of the revisions was a decrease in </w:t>
      </w:r>
      <w:r w:rsidRPr="7A93C39C" w:rsidR="6658564A">
        <w:t>expected aggregate burden.</w:t>
      </w:r>
    </w:p>
    <w:p w:rsidR="00167B8B" w:rsidRPr="00BE411E" w:rsidP="005B5077" w14:paraId="6DD7AE26" w14:textId="77777777">
      <w:pPr>
        <w:ind w:firstLine="720"/>
      </w:pPr>
    </w:p>
    <w:p w:rsidR="002F745D" w:rsidP="00943C3B" w14:paraId="67CC9BCE" w14:textId="5F94C580">
      <w:pPr>
        <w:ind w:firstLine="720"/>
      </w:pPr>
      <w:r w:rsidRPr="7A93C39C">
        <w:t xml:space="preserve">The </w:t>
      </w:r>
      <w:r w:rsidRPr="7A93C39C" w:rsidR="456D4CB4">
        <w:t xml:space="preserve">increase in </w:t>
      </w:r>
      <w:r w:rsidRPr="7A93C39C" w:rsidR="5D28E86A">
        <w:t xml:space="preserve">the </w:t>
      </w:r>
      <w:r w:rsidRPr="7A93C39C" w:rsidR="05698A00">
        <w:t xml:space="preserve">associated </w:t>
      </w:r>
      <w:r w:rsidRPr="7A93C39C" w:rsidR="7C89A90F">
        <w:t>estimate</w:t>
      </w:r>
      <w:r w:rsidRPr="7A93C39C" w:rsidR="05698A00">
        <w:t xml:space="preserve"> of</w:t>
      </w:r>
      <w:r w:rsidRPr="42C3B287" w:rsidR="7C89A90F">
        <w:t xml:space="preserve"> </w:t>
      </w:r>
      <w:r w:rsidRPr="7A93C39C">
        <w:t xml:space="preserve">total cost </w:t>
      </w:r>
      <w:r w:rsidRPr="7A93C39C" w:rsidR="721A34E5">
        <w:t>to the public</w:t>
      </w:r>
      <w:r w:rsidRPr="42C3B287" w:rsidR="456D4CB4">
        <w:t xml:space="preserve">, </w:t>
      </w:r>
      <w:r w:rsidRPr="7A93C39C" w:rsidR="721A34E5">
        <w:t xml:space="preserve">from $1,859,471 in 2022 to </w:t>
      </w:r>
      <w:r w:rsidRPr="7A93C39C" w:rsidR="76AD8968">
        <w:t>$2,250,</w:t>
      </w:r>
      <w:r w:rsidRPr="42C3B287" w:rsidR="7BA262D4">
        <w:t>49</w:t>
      </w:r>
      <w:r w:rsidR="76DF1E3E">
        <w:t>1</w:t>
      </w:r>
      <w:r w:rsidRPr="7A93C39C" w:rsidR="76AD8968">
        <w:t xml:space="preserve"> in 2025</w:t>
      </w:r>
      <w:r w:rsidRPr="42C3B287" w:rsidR="456D4CB4">
        <w:t xml:space="preserve">, </w:t>
      </w:r>
      <w:r w:rsidRPr="7A93C39C" w:rsidR="3643A80B">
        <w:t xml:space="preserve">is attributable to </w:t>
      </w:r>
      <w:r w:rsidRPr="7A93C39C" w:rsidR="284A5159">
        <w:t xml:space="preserve">both general </w:t>
      </w:r>
      <w:r w:rsidRPr="7A93C39C" w:rsidR="34AC0946">
        <w:t xml:space="preserve">increases in wage rates from 2022 to 2025 and </w:t>
      </w:r>
      <w:r w:rsidRPr="7A93C39C" w:rsidR="3643A80B">
        <w:t>FinCEN’s</w:t>
      </w:r>
      <w:r w:rsidRPr="42C3B287" w:rsidR="268CB599">
        <w:t xml:space="preserve"> </w:t>
      </w:r>
      <w:r w:rsidRPr="7A93C39C" w:rsidR="34AC0946">
        <w:t>revisions to the</w:t>
      </w:r>
      <w:r w:rsidRPr="7A93C39C" w:rsidR="77CC3D89">
        <w:t xml:space="preserve"> attribution of varying wage</w:t>
      </w:r>
      <w:r w:rsidRPr="7A93C39C" w:rsidR="7CAA89DB">
        <w:t xml:space="preserve"> rate</w:t>
      </w:r>
      <w:r w:rsidRPr="7A93C39C" w:rsidR="77CC3D89">
        <w:t>s</w:t>
      </w:r>
      <w:r w:rsidRPr="7A93C39C" w:rsidR="7CAA89DB">
        <w:t xml:space="preserve"> to responses</w:t>
      </w:r>
      <w:r w:rsidRPr="7A93C39C" w:rsidR="77CC3D89">
        <w:t xml:space="preserve"> depende</w:t>
      </w:r>
      <w:r w:rsidRPr="7A93C39C" w:rsidR="06F1719D">
        <w:t>nt on filing and filer types.</w:t>
      </w:r>
      <w:r>
        <w:rPr>
          <w:rStyle w:val="FootnoteReference"/>
        </w:rPr>
        <w:footnoteReference w:id="37"/>
      </w:r>
      <w:r w:rsidRPr="42C3B287" w:rsidR="6DB6380E">
        <w:t xml:space="preserve"> </w:t>
      </w:r>
      <w:r w:rsidRPr="42C3B287" w:rsidR="13F75601">
        <w:t xml:space="preserve"> </w:t>
      </w:r>
    </w:p>
    <w:p w:rsidR="00DA1634" w:rsidRPr="00BE411E" w:rsidP="00943C3B" w14:paraId="5A00CB0A" w14:textId="77777777">
      <w:pPr>
        <w:ind w:firstLine="720"/>
      </w:pPr>
    </w:p>
    <w:p w:rsidR="006B090B" w:rsidP="006B090B" w14:paraId="595AC902" w14:textId="4897BED6">
      <w:pPr>
        <w:ind w:firstLine="720"/>
      </w:pPr>
      <w:r w:rsidRPr="42C3B287">
        <w:t>Expected a</w:t>
      </w:r>
      <w:r w:rsidRPr="42C3B287" w:rsidR="00A8006C">
        <w:t xml:space="preserve">nnual costs to the </w:t>
      </w:r>
      <w:r w:rsidRPr="42C3B287" w:rsidR="007E4B90">
        <w:t>federal</w:t>
      </w:r>
      <w:r w:rsidRPr="42C3B287">
        <w:t xml:space="preserve"> government </w:t>
      </w:r>
      <w:r w:rsidRPr="42C3B287">
        <w:t xml:space="preserve">also </w:t>
      </w:r>
      <w:r w:rsidRPr="42C3B287">
        <w:t xml:space="preserve">increased from </w:t>
      </w:r>
      <w:r w:rsidRPr="42C3B287" w:rsidR="00060CAA">
        <w:t xml:space="preserve">$1,434,835 </w:t>
      </w:r>
      <w:r w:rsidRPr="42C3B287">
        <w:t>in 2022 to $</w:t>
      </w:r>
      <w:r w:rsidRPr="42C3B287" w:rsidR="00060CAA">
        <w:t xml:space="preserve">1,613,522 </w:t>
      </w:r>
      <w:r w:rsidRPr="42C3B287">
        <w:t xml:space="preserve">in 2025. </w:t>
      </w:r>
      <w:r w:rsidRPr="42C3B287" w:rsidR="000545C8">
        <w:t xml:space="preserve"> </w:t>
      </w:r>
      <w:r w:rsidRPr="42C3B287">
        <w:t xml:space="preserve">This increase is </w:t>
      </w:r>
      <w:r w:rsidRPr="42C3B287" w:rsidR="00B86E11">
        <w:t xml:space="preserve">primarily </w:t>
      </w:r>
      <w:r w:rsidRPr="42C3B287">
        <w:t xml:space="preserve">due to </w:t>
      </w:r>
      <w:r w:rsidRPr="42C3B287" w:rsidR="006220F9">
        <w:t>an increase in the</w:t>
      </w:r>
      <w:r w:rsidRPr="42C3B287" w:rsidR="00EF6845">
        <w:t xml:space="preserve"> estimated</w:t>
      </w:r>
      <w:r w:rsidRPr="42C3B287" w:rsidR="006220F9">
        <w:t xml:space="preserve"> cost</w:t>
      </w:r>
      <w:r w:rsidRPr="42C3B287" w:rsidR="00EF6845">
        <w:t>s</w:t>
      </w:r>
      <w:r w:rsidRPr="42C3B287" w:rsidR="006220F9">
        <w:t xml:space="preserve"> </w:t>
      </w:r>
      <w:r w:rsidRPr="42C3B287" w:rsidR="00A64FC4">
        <w:t xml:space="preserve">to </w:t>
      </w:r>
      <w:r w:rsidRPr="42C3B287" w:rsidR="007212CA">
        <w:t xml:space="preserve">CBP </w:t>
      </w:r>
      <w:r w:rsidRPr="42C3B287" w:rsidR="006220F9">
        <w:t>of</w:t>
      </w:r>
      <w:r w:rsidRPr="42C3B287" w:rsidR="006220F9">
        <w:t xml:space="preserve"> processing paper CMIR forms. </w:t>
      </w:r>
    </w:p>
    <w:p w:rsidR="00D4746F" w:rsidP="00943C3B" w14:paraId="6571B12C" w14:textId="77777777">
      <w:pPr>
        <w:ind w:firstLine="720"/>
        <w:rPr>
          <w:szCs w:val="22"/>
        </w:rPr>
      </w:pPr>
    </w:p>
    <w:p w:rsidR="00264E3F" w:rsidP="00943C3B" w14:paraId="00DE6697" w14:textId="77777777">
      <w:pPr>
        <w:rPr>
          <w:szCs w:val="22"/>
        </w:rPr>
      </w:pPr>
      <w:r>
        <w:rPr>
          <w:szCs w:val="22"/>
        </w:rPr>
        <w:t xml:space="preserve">16. </w:t>
      </w:r>
      <w:r>
        <w:rPr>
          <w:szCs w:val="22"/>
          <w:u w:val="single"/>
        </w:rPr>
        <w:t xml:space="preserve">Plans </w:t>
      </w:r>
      <w:r w:rsidR="00595F30">
        <w:rPr>
          <w:szCs w:val="22"/>
          <w:u w:val="single"/>
        </w:rPr>
        <w:t>for tabulation, statistical analysis, and publication</w:t>
      </w:r>
      <w:r w:rsidR="007F70D8">
        <w:rPr>
          <w:szCs w:val="22"/>
          <w:u w:val="single"/>
        </w:rPr>
        <w:t>.</w:t>
      </w:r>
    </w:p>
    <w:p w:rsidR="00943C3B" w:rsidP="00943C3B" w14:paraId="312C77E3" w14:textId="77777777">
      <w:pPr>
        <w:pStyle w:val="BodyText"/>
        <w:spacing w:before="0"/>
        <w:ind w:firstLine="720"/>
        <w:rPr>
          <w:sz w:val="24"/>
          <w:szCs w:val="24"/>
        </w:rPr>
      </w:pPr>
    </w:p>
    <w:p w:rsidR="00943C3B" w:rsidP="00943C3B" w14:paraId="767D0741" w14:textId="025150EE">
      <w:pPr>
        <w:pStyle w:val="BodyText"/>
        <w:spacing w:before="0"/>
        <w:ind w:firstLine="720"/>
        <w:rPr>
          <w:sz w:val="24"/>
          <w:szCs w:val="24"/>
        </w:rPr>
      </w:pPr>
      <w:r w:rsidRPr="00C14283">
        <w:rPr>
          <w:sz w:val="24"/>
          <w:szCs w:val="24"/>
        </w:rPr>
        <w:t>This</w:t>
      </w:r>
      <w:r w:rsidRPr="00C14283">
        <w:rPr>
          <w:spacing w:val="-3"/>
          <w:sz w:val="24"/>
          <w:szCs w:val="24"/>
        </w:rPr>
        <w:t xml:space="preserve"> </w:t>
      </w:r>
      <w:r w:rsidRPr="00C14283">
        <w:rPr>
          <w:sz w:val="24"/>
          <w:szCs w:val="24"/>
        </w:rPr>
        <w:t>collection</w:t>
      </w:r>
      <w:r w:rsidRPr="00C14283">
        <w:rPr>
          <w:spacing w:val="16"/>
          <w:sz w:val="24"/>
          <w:szCs w:val="24"/>
        </w:rPr>
        <w:t xml:space="preserve"> </w:t>
      </w:r>
      <w:r w:rsidRPr="00C14283">
        <w:rPr>
          <w:sz w:val="24"/>
          <w:szCs w:val="24"/>
        </w:rPr>
        <w:t>of</w:t>
      </w:r>
      <w:r w:rsidRPr="00C14283">
        <w:rPr>
          <w:spacing w:val="3"/>
          <w:sz w:val="24"/>
          <w:szCs w:val="24"/>
        </w:rPr>
        <w:t xml:space="preserve"> </w:t>
      </w:r>
      <w:r w:rsidRPr="00C14283">
        <w:rPr>
          <w:sz w:val="24"/>
          <w:szCs w:val="24"/>
        </w:rPr>
        <w:t>information</w:t>
      </w:r>
      <w:r w:rsidRPr="00C14283">
        <w:rPr>
          <w:spacing w:val="13"/>
          <w:sz w:val="24"/>
          <w:szCs w:val="24"/>
        </w:rPr>
        <w:t xml:space="preserve"> </w:t>
      </w:r>
      <w:r w:rsidRPr="00C14283">
        <w:rPr>
          <w:sz w:val="24"/>
          <w:szCs w:val="24"/>
        </w:rPr>
        <w:t>will</w:t>
      </w:r>
      <w:r w:rsidRPr="00C14283">
        <w:rPr>
          <w:spacing w:val="20"/>
          <w:sz w:val="24"/>
          <w:szCs w:val="24"/>
        </w:rPr>
        <w:t xml:space="preserve"> </w:t>
      </w:r>
      <w:r w:rsidRPr="00C14283">
        <w:rPr>
          <w:sz w:val="24"/>
          <w:szCs w:val="24"/>
        </w:rPr>
        <w:t>not</w:t>
      </w:r>
      <w:r w:rsidRPr="00C14283">
        <w:rPr>
          <w:spacing w:val="16"/>
          <w:sz w:val="24"/>
          <w:szCs w:val="24"/>
        </w:rPr>
        <w:t xml:space="preserve"> </w:t>
      </w:r>
      <w:r w:rsidRPr="00C14283">
        <w:rPr>
          <w:sz w:val="24"/>
          <w:szCs w:val="24"/>
        </w:rPr>
        <w:t>be</w:t>
      </w:r>
      <w:r w:rsidRPr="00C14283">
        <w:rPr>
          <w:spacing w:val="3"/>
          <w:sz w:val="24"/>
          <w:szCs w:val="24"/>
        </w:rPr>
        <w:t xml:space="preserve"> </w:t>
      </w:r>
      <w:r w:rsidR="007A7310">
        <w:rPr>
          <w:spacing w:val="3"/>
          <w:sz w:val="24"/>
          <w:szCs w:val="24"/>
        </w:rPr>
        <w:t>tabulated or comp</w:t>
      </w:r>
      <w:r w:rsidR="00321581">
        <w:rPr>
          <w:spacing w:val="3"/>
          <w:sz w:val="24"/>
          <w:szCs w:val="24"/>
        </w:rPr>
        <w:t>i</w:t>
      </w:r>
      <w:r w:rsidR="007A7310">
        <w:rPr>
          <w:spacing w:val="3"/>
          <w:sz w:val="24"/>
          <w:szCs w:val="24"/>
        </w:rPr>
        <w:t xml:space="preserve">led for </w:t>
      </w:r>
      <w:r w:rsidRPr="00C14283">
        <w:rPr>
          <w:sz w:val="24"/>
          <w:szCs w:val="24"/>
        </w:rPr>
        <w:t>publi</w:t>
      </w:r>
      <w:r w:rsidR="007A7310">
        <w:rPr>
          <w:sz w:val="24"/>
          <w:szCs w:val="24"/>
        </w:rPr>
        <w:t>cation</w:t>
      </w:r>
      <w:r w:rsidRPr="00C14283">
        <w:rPr>
          <w:sz w:val="24"/>
          <w:szCs w:val="24"/>
        </w:rPr>
        <w:t>.</w:t>
      </w:r>
    </w:p>
    <w:p w:rsidR="00943C3B" w:rsidRPr="00C14283" w:rsidP="00943C3B" w14:paraId="5A65732F" w14:textId="77777777">
      <w:pPr>
        <w:pStyle w:val="BodyText"/>
        <w:spacing w:before="0"/>
        <w:ind w:firstLine="720"/>
        <w:rPr>
          <w:sz w:val="24"/>
          <w:szCs w:val="24"/>
        </w:rPr>
      </w:pPr>
    </w:p>
    <w:p w:rsidR="00595F30" w:rsidP="00943C3B" w14:paraId="2A46B810" w14:textId="7C947CB5">
      <w:r>
        <w:t xml:space="preserve">17.  </w:t>
      </w:r>
      <w:r w:rsidR="00BF6843">
        <w:rPr>
          <w:u w:val="single"/>
        </w:rPr>
        <w:t>Request not to display the</w:t>
      </w:r>
      <w:r>
        <w:rPr>
          <w:u w:val="single"/>
        </w:rPr>
        <w:t xml:space="preserve"> expiration date</w:t>
      </w:r>
      <w:r w:rsidR="00BF6843">
        <w:rPr>
          <w:u w:val="single"/>
        </w:rPr>
        <w:t xml:space="preserve"> of the OMB control number</w:t>
      </w:r>
      <w:r w:rsidR="007F70D8">
        <w:t>.</w:t>
      </w:r>
      <w:r>
        <w:t xml:space="preserve"> </w:t>
      </w:r>
    </w:p>
    <w:p w:rsidR="00595F30" w:rsidP="00943C3B" w14:paraId="76101A0C" w14:textId="77777777">
      <w:pPr>
        <w:ind w:left="450"/>
      </w:pPr>
      <w:r>
        <w:tab/>
      </w:r>
    </w:p>
    <w:p w:rsidR="00BF6843" w:rsidP="00BF6843" w14:paraId="48C64ABE" w14:textId="28BC38C4">
      <w:pPr>
        <w:ind w:firstLine="720"/>
      </w:pPr>
      <w:r w:rsidRPr="001F7618">
        <w:t>FinCEN requests that</w:t>
      </w:r>
      <w:r w:rsidR="00B720C9">
        <w:t xml:space="preserve"> it </w:t>
      </w:r>
      <w:r w:rsidR="00B720C9">
        <w:t>not be</w:t>
      </w:r>
      <w:r w:rsidR="00B720C9">
        <w:t xml:space="preserve"> required to display</w:t>
      </w:r>
      <w:r w:rsidRPr="001F7618">
        <w:t xml:space="preserve"> the expiration date of th</w:t>
      </w:r>
      <w:r>
        <w:t xml:space="preserve">e control number </w:t>
      </w:r>
      <w:r w:rsidR="00FE62B9">
        <w:t>so that the regulations and</w:t>
      </w:r>
      <w:r w:rsidR="003928A5">
        <w:t xml:space="preserve"> </w:t>
      </w:r>
      <w:r>
        <w:t>the CMIR</w:t>
      </w:r>
      <w:r w:rsidR="00EC7246">
        <w:t xml:space="preserve"> will not have to be amended for </w:t>
      </w:r>
      <w:r w:rsidR="009123FE">
        <w:t>new expiration date every three years, or earlier, as applicable.</w:t>
      </w:r>
      <w:r w:rsidRPr="001F7618">
        <w:t xml:space="preserve">  This requ</w:t>
      </w:r>
      <w:r>
        <w:t>est will not affect the normal three</w:t>
      </w:r>
      <w:r w:rsidRPr="001F7618">
        <w:t>-year PRA renewal process.</w:t>
      </w:r>
    </w:p>
    <w:p w:rsidR="00595F30" w:rsidP="00BF6843" w14:paraId="1B53A6A6" w14:textId="5C6674A9"/>
    <w:p w:rsidR="00595F30" w:rsidP="00595F30" w14:paraId="732CF017" w14:textId="77777777">
      <w:r>
        <w:t xml:space="preserve">18.  </w:t>
      </w:r>
      <w:r>
        <w:rPr>
          <w:u w:val="single"/>
        </w:rPr>
        <w:t>Exceptions to the certification statement</w:t>
      </w:r>
      <w:r w:rsidR="007F70D8">
        <w:rPr>
          <w:u w:val="single"/>
        </w:rPr>
        <w:t>.</w:t>
      </w:r>
    </w:p>
    <w:p w:rsidR="00264E3F" w:rsidP="008A64EF" w14:paraId="1E038EA1" w14:textId="77777777">
      <w:pPr>
        <w:spacing w:before="283"/>
        <w:ind w:firstLine="720"/>
      </w:pPr>
      <w:r w:rsidRPr="00B96D75">
        <w:t>There are no exceptions to the certification statement.</w:t>
      </w:r>
    </w:p>
    <w:sectPr w:rsidSect="00AF4D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2C3" w14:paraId="29BBBB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07810"/>
      <w:docPartObj>
        <w:docPartGallery w:val="Page Numbers (Bottom of Page)"/>
        <w:docPartUnique/>
      </w:docPartObj>
    </w:sdtPr>
    <w:sdtEndPr>
      <w:rPr>
        <w:noProof/>
      </w:rPr>
    </w:sdtEndPr>
    <w:sdtContent>
      <w:p w:rsidR="00AA79F5" w14:paraId="1D7C269E" w14:textId="528B1299">
        <w:pPr>
          <w:pStyle w:val="Footer"/>
          <w:jc w:val="center"/>
        </w:pPr>
        <w:r>
          <w:fldChar w:fldCharType="begin"/>
        </w:r>
        <w:r>
          <w:instrText xml:space="preserve"> PAGE   \* MERGEFORMAT </w:instrText>
        </w:r>
        <w:r>
          <w:fldChar w:fldCharType="separate"/>
        </w:r>
        <w:r w:rsidR="00FF72C3">
          <w:rPr>
            <w:noProof/>
          </w:rPr>
          <w:t>5</w:t>
        </w:r>
        <w:r>
          <w:rPr>
            <w:noProof/>
          </w:rPr>
          <w:fldChar w:fldCharType="end"/>
        </w:r>
      </w:p>
    </w:sdtContent>
  </w:sdt>
  <w:p w:rsidR="00AA79F5" w14:paraId="03653B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2C3" w14:paraId="670BEC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4FDC" w:rsidP="001F4154" w14:paraId="599DD8D6" w14:textId="77777777">
      <w:r>
        <w:separator/>
      </w:r>
    </w:p>
  </w:footnote>
  <w:footnote w:type="continuationSeparator" w:id="1">
    <w:p w:rsidR="00894FDC" w:rsidP="001F4154" w14:paraId="34D3C4BF" w14:textId="77777777">
      <w:r>
        <w:continuationSeparator/>
      </w:r>
    </w:p>
  </w:footnote>
  <w:footnote w:type="continuationNotice" w:id="2">
    <w:p w:rsidR="00894FDC" w14:paraId="2F20DB3A" w14:textId="77777777"/>
  </w:footnote>
  <w:footnote w:id="3">
    <w:p w:rsidR="001254B0" w:rsidRPr="004F2655" w14:paraId="7EBC3B9B" w14:textId="4D7C543C">
      <w:pPr>
        <w:pStyle w:val="FootnoteText"/>
        <w:rPr>
          <w:rFonts w:ascii="Times New Roman" w:hAnsi="Times New Roman"/>
        </w:rPr>
      </w:pPr>
      <w:r w:rsidRPr="004F2655">
        <w:rPr>
          <w:rStyle w:val="FootnoteReference"/>
          <w:rFonts w:ascii="Times New Roman" w:hAnsi="Times New Roman"/>
        </w:rPr>
        <w:footnoteRef/>
      </w:r>
      <w:r w:rsidRPr="004F2655" w:rsidR="007F39B2">
        <w:rPr>
          <w:rFonts w:ascii="Times New Roman" w:hAnsi="Times New Roman"/>
        </w:rPr>
        <w:t xml:space="preserve"> Title II of Pub. L. 91–508, 84 Stat. 1118 (Oct. 26, 1970).</w:t>
      </w:r>
    </w:p>
  </w:footnote>
  <w:footnote w:id="4">
    <w:p w:rsidR="009446F6" w:rsidRPr="004F2655" w:rsidP="009446F6" w14:paraId="4CFD7422" w14:textId="00CFC7BC">
      <w:pPr>
        <w:pStyle w:val="FootnoteText"/>
        <w:rPr>
          <w:rFonts w:ascii="Times New Roman" w:hAnsi="Times New Roman"/>
        </w:rPr>
      </w:pPr>
      <w:r w:rsidRPr="004F2655">
        <w:rPr>
          <w:rStyle w:val="FootnoteReference"/>
          <w:rFonts w:ascii="Times New Roman" w:hAnsi="Times New Roman"/>
        </w:rPr>
        <w:footnoteRef/>
      </w:r>
      <w:r w:rsidRPr="004F2655" w:rsidR="7A93C39C">
        <w:rPr>
          <w:rFonts w:ascii="Times New Roman" w:hAnsi="Times New Roman"/>
        </w:rPr>
        <w:t xml:space="preserve"> USA PATRIOT Act, Pub. L. 107–56</w:t>
      </w:r>
      <w:bookmarkStart w:id="0" w:name="_Hlk173880181"/>
      <w:bookmarkStart w:id="1" w:name="_Hlk173882507"/>
      <w:r w:rsidRPr="004F2655" w:rsidR="7A93C39C">
        <w:rPr>
          <w:rFonts w:ascii="Times New Roman" w:hAnsi="Times New Roman"/>
        </w:rPr>
        <w:t>, 115 Stat. 272 (Oct. 26, 2001)</w:t>
      </w:r>
      <w:bookmarkEnd w:id="0"/>
      <w:r w:rsidRPr="004F2655" w:rsidR="7A93C39C">
        <w:rPr>
          <w:rFonts w:ascii="Times New Roman" w:hAnsi="Times New Roman"/>
        </w:rPr>
        <w:t>.</w:t>
      </w:r>
      <w:bookmarkEnd w:id="1"/>
    </w:p>
  </w:footnote>
  <w:footnote w:id="5">
    <w:p w:rsidR="009446F6" w:rsidRPr="004F2655" w:rsidP="009446F6" w14:paraId="325D2780" w14:textId="77777777">
      <w:pPr>
        <w:pStyle w:val="FootnoteText"/>
        <w:rPr>
          <w:rFonts w:ascii="Times New Roman" w:hAnsi="Times New Roman"/>
        </w:rPr>
      </w:pPr>
      <w:r w:rsidRPr="004F2655">
        <w:rPr>
          <w:rStyle w:val="FootnoteReference"/>
          <w:rFonts w:ascii="Times New Roman" w:hAnsi="Times New Roman"/>
        </w:rPr>
        <w:footnoteRef/>
      </w:r>
      <w:r w:rsidRPr="004F2655">
        <w:rPr>
          <w:rFonts w:ascii="Times New Roman" w:hAnsi="Times New Roman"/>
        </w:rPr>
        <w:t xml:space="preserve"> The AML Act was enacted as Division F, sections 6001-6511, of the William M. (Mac) Thornberry National Defense Authorization Act for Fiscal Year 2021, Pub. L. 116-283, 134 Stat. 3388 (Jan. 1, 2021).</w:t>
      </w:r>
    </w:p>
  </w:footnote>
  <w:footnote w:id="6">
    <w:p w:rsidR="009446F6" w:rsidRPr="004F2655" w:rsidP="009446F6" w14:paraId="3AC12999" w14:textId="318B8E42">
      <w:pPr>
        <w:pStyle w:val="FootnoteText"/>
        <w:rPr>
          <w:rFonts w:ascii="Times New Roman" w:hAnsi="Times New Roman"/>
        </w:rPr>
      </w:pPr>
      <w:r w:rsidRPr="004F2655">
        <w:rPr>
          <w:rStyle w:val="FootnoteReference"/>
          <w:rFonts w:ascii="Times New Roman" w:hAnsi="Times New Roman"/>
        </w:rPr>
        <w:footnoteRef/>
      </w:r>
      <w:r w:rsidRPr="004F2655" w:rsidR="7A93C39C">
        <w:rPr>
          <w:rFonts w:ascii="Times New Roman" w:hAnsi="Times New Roman"/>
        </w:rPr>
        <w:t xml:space="preserve"> </w:t>
      </w:r>
      <w:r w:rsidRPr="7A93C39C" w:rsidR="7A93C39C">
        <w:rPr>
          <w:rFonts w:ascii="Times New Roman" w:hAnsi="Times New Roman"/>
          <w:i/>
          <w:iCs/>
        </w:rPr>
        <w:t>See</w:t>
      </w:r>
      <w:r w:rsidRPr="004F2655" w:rsidR="7A93C39C">
        <w:rPr>
          <w:rFonts w:ascii="Times New Roman" w:hAnsi="Times New Roman"/>
        </w:rPr>
        <w:t xml:space="preserve"> 31 U.S.C. 5311(1)-(2).  Reporting requirements are authorized under other provisions in the BSA.  </w:t>
      </w:r>
      <w:r w:rsidRPr="7A93C39C" w:rsidR="7A93C39C">
        <w:rPr>
          <w:rFonts w:ascii="Times New Roman" w:hAnsi="Times New Roman"/>
          <w:i/>
          <w:iCs/>
        </w:rPr>
        <w:t xml:space="preserve">See </w:t>
      </w:r>
      <w:r w:rsidRPr="004F2655" w:rsidR="7A93C39C">
        <w:rPr>
          <w:rFonts w:ascii="Times New Roman" w:hAnsi="Times New Roman"/>
        </w:rPr>
        <w:t>31 U.S.C. 5313 (Currency Transaction Reports, or CTRs); 31 U.S.C. 5314 (Report of Foreign Bank and Financial Accounts, or FBARs); 31 U.S.C. 5318(a)(2) (authorizing the Secretary to impose reporting requirements for the purpose of ensuring compliance with the BSA or guarding against money laundering, the financing of terrorism, or other forms of illicit finance); 31 U.S.C. 5318(g) (Suspicious Activity Reports, or SARs); 31 U.S.C. 5330 (Registration of Money Services Businesses, or RMSBs); 31 U.S.C. 5331 (Report of Cash Payments Over $10,000 Received in a Trade or Business, or Form 8300s).</w:t>
      </w:r>
    </w:p>
  </w:footnote>
  <w:footnote w:id="7">
    <w:p w:rsidR="009446F6" w:rsidRPr="004F2655" w:rsidP="009446F6" w14:paraId="1F65B318" w14:textId="7D10CC18">
      <w:pPr>
        <w:autoSpaceDE w:val="0"/>
        <w:autoSpaceDN w:val="0"/>
        <w:adjustRightInd w:val="0"/>
        <w:rPr>
          <w:sz w:val="20"/>
          <w:szCs w:val="20"/>
        </w:rPr>
      </w:pPr>
      <w:r w:rsidRPr="004F2655">
        <w:rPr>
          <w:rStyle w:val="FootnoteReference"/>
          <w:sz w:val="20"/>
          <w:szCs w:val="20"/>
        </w:rPr>
        <w:footnoteRef/>
      </w:r>
      <w:r w:rsidRPr="004F2655" w:rsidR="7A93C39C">
        <w:rPr>
          <w:sz w:val="20"/>
          <w:szCs w:val="20"/>
        </w:rPr>
        <w:t xml:space="preserve"> </w:t>
      </w:r>
      <w:r w:rsidRPr="7A93C39C" w:rsidR="7A93C39C">
        <w:rPr>
          <w:i/>
          <w:iCs/>
          <w:sz w:val="20"/>
          <w:szCs w:val="20"/>
        </w:rPr>
        <w:t xml:space="preserve">See </w:t>
      </w:r>
      <w:r w:rsidRPr="004F2655" w:rsidR="7A93C39C">
        <w:rPr>
          <w:sz w:val="20"/>
          <w:szCs w:val="20"/>
        </w:rPr>
        <w:t>Treasury Order 180-01 (</w:t>
      </w:r>
      <w:r w:rsidR="00484E4B">
        <w:rPr>
          <w:i/>
          <w:iCs/>
          <w:sz w:val="20"/>
          <w:szCs w:val="20"/>
        </w:rPr>
        <w:t>r</w:t>
      </w:r>
      <w:r w:rsidRPr="7A93C39C" w:rsidR="00484E4B">
        <w:rPr>
          <w:i/>
          <w:iCs/>
          <w:sz w:val="20"/>
          <w:szCs w:val="20"/>
        </w:rPr>
        <w:t>eaffirmed</w:t>
      </w:r>
      <w:r w:rsidRPr="004F2655" w:rsidR="00484E4B">
        <w:rPr>
          <w:sz w:val="20"/>
          <w:szCs w:val="20"/>
        </w:rPr>
        <w:t xml:space="preserve"> </w:t>
      </w:r>
      <w:r w:rsidRPr="004F2655" w:rsidR="7A93C39C">
        <w:rPr>
          <w:sz w:val="20"/>
          <w:szCs w:val="20"/>
        </w:rPr>
        <w:t xml:space="preserve">Jan. 14, 2020); </w:t>
      </w:r>
      <w:r w:rsidRPr="7A93C39C" w:rsidR="7A93C39C">
        <w:rPr>
          <w:i/>
          <w:iCs/>
          <w:color w:val="000000"/>
          <w:sz w:val="20"/>
          <w:szCs w:val="20"/>
        </w:rPr>
        <w:t xml:space="preserve">see also </w:t>
      </w:r>
      <w:r w:rsidRPr="004F2655" w:rsidR="7A93C39C">
        <w:rPr>
          <w:color w:val="000000"/>
          <w:sz w:val="20"/>
          <w:szCs w:val="20"/>
        </w:rPr>
        <w:t>31 U.S.C. 310(b)(2)(I) (providing that the Director of FinCEN shall “[a]</w:t>
      </w:r>
      <w:r w:rsidRPr="004F2655" w:rsidR="7A93C39C">
        <w:rPr>
          <w:color w:val="000000"/>
          <w:sz w:val="20"/>
          <w:szCs w:val="20"/>
        </w:rPr>
        <w:t>dminister</w:t>
      </w:r>
      <w:r w:rsidRPr="004F2655" w:rsidR="7A93C39C">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4F2655" w:rsidR="7A93C39C">
        <w:rPr>
          <w:sz w:val="20"/>
          <w:szCs w:val="20"/>
        </w:rPr>
        <w:t>.</w:t>
      </w:r>
    </w:p>
  </w:footnote>
  <w:footnote w:id="8">
    <w:p w:rsidR="009446F6" w:rsidRPr="004F2655" w:rsidP="009446F6" w14:paraId="1B945166" w14:textId="76949A66">
      <w:pPr>
        <w:pStyle w:val="FootnoteText"/>
        <w:rPr>
          <w:rFonts w:ascii="Times New Roman" w:hAnsi="Times New Roman"/>
        </w:rPr>
      </w:pPr>
      <w:r w:rsidRPr="004F2655">
        <w:rPr>
          <w:rStyle w:val="FootnoteReference"/>
          <w:rFonts w:ascii="Times New Roman" w:hAnsi="Times New Roman"/>
        </w:rPr>
        <w:footnoteRef/>
      </w:r>
      <w:r w:rsidRPr="004F2655" w:rsidR="7A93C39C">
        <w:rPr>
          <w:rFonts w:ascii="Times New Roman" w:hAnsi="Times New Roman"/>
        </w:rPr>
        <w:t xml:space="preserve"> For purposes of 31 U.S.C. 5316, monetary instruments are defined at 31 U.S.C. 5312(a)(3).</w:t>
      </w:r>
    </w:p>
  </w:footnote>
  <w:footnote w:id="9">
    <w:p w:rsidR="009446F6" w:rsidRPr="004F2655" w:rsidP="009446F6" w14:paraId="240379F1" w14:textId="3DF432A4">
      <w:pPr>
        <w:pStyle w:val="FootnoteText"/>
        <w:rPr>
          <w:rFonts w:ascii="Times New Roman" w:hAnsi="Times New Roman"/>
        </w:rPr>
      </w:pPr>
      <w:r w:rsidRPr="004F2655">
        <w:rPr>
          <w:rStyle w:val="FootnoteReference"/>
          <w:rFonts w:ascii="Times New Roman" w:hAnsi="Times New Roman"/>
        </w:rPr>
        <w:footnoteRef/>
      </w:r>
      <w:r w:rsidRPr="004F2655" w:rsidR="7A93C39C">
        <w:rPr>
          <w:rFonts w:ascii="Times New Roman" w:hAnsi="Times New Roman"/>
        </w:rPr>
        <w:t xml:space="preserve"> </w:t>
      </w:r>
      <w:r w:rsidRPr="7A93C39C" w:rsidR="7A93C39C">
        <w:rPr>
          <w:rFonts w:ascii="Times New Roman" w:hAnsi="Times New Roman"/>
          <w:i/>
          <w:iCs/>
        </w:rPr>
        <w:t>See specifically</w:t>
      </w:r>
      <w:r w:rsidRPr="004F2655" w:rsidR="7A93C39C">
        <w:rPr>
          <w:rFonts w:ascii="Times New Roman" w:hAnsi="Times New Roman"/>
        </w:rPr>
        <w:t xml:space="preserve"> 31 CFR 1010.306 (b), (d), and (e).</w:t>
      </w:r>
    </w:p>
  </w:footnote>
  <w:footnote w:id="10">
    <w:p w:rsidR="009446F6" w:rsidRPr="008A226F" w:rsidP="009446F6" w14:paraId="3469DBC2" w14:textId="77777777">
      <w:pPr>
        <w:pStyle w:val="FootnoteText"/>
        <w:rPr>
          <w:rFonts w:ascii="Times New Roman" w:hAnsi="Times New Roman"/>
        </w:rPr>
      </w:pPr>
      <w:r w:rsidRPr="008A226F">
        <w:rPr>
          <w:rStyle w:val="FootnoteReference"/>
          <w:rFonts w:ascii="Times New Roman" w:hAnsi="Times New Roman"/>
        </w:rPr>
        <w:footnoteRef/>
      </w:r>
      <w:r w:rsidRPr="008A226F">
        <w:rPr>
          <w:rFonts w:ascii="Times New Roman" w:hAnsi="Times New Roman"/>
        </w:rPr>
        <w:t xml:space="preserve"> 31 CFR 1010.306(e).</w:t>
      </w:r>
    </w:p>
  </w:footnote>
  <w:footnote w:id="11">
    <w:p w:rsidR="009446F6" w:rsidRPr="008A226F" w:rsidP="009446F6" w14:paraId="5C2066B5" w14:textId="42EF73E6">
      <w:pPr>
        <w:pStyle w:val="FootnoteText"/>
        <w:rPr>
          <w:rFonts w:ascii="Times New Roman" w:hAnsi="Times New Roman"/>
        </w:rPr>
      </w:pPr>
      <w:r w:rsidRPr="008A226F">
        <w:rPr>
          <w:rStyle w:val="FootnoteReference"/>
          <w:rFonts w:ascii="Times New Roman" w:hAnsi="Times New Roman"/>
        </w:rPr>
        <w:footnoteRef/>
      </w:r>
      <w:r w:rsidRPr="008A226F">
        <w:rPr>
          <w:rFonts w:ascii="Times New Roman" w:hAnsi="Times New Roman"/>
        </w:rPr>
        <w:t xml:space="preserve"> </w:t>
      </w:r>
      <w:r w:rsidRPr="000A6FB5" w:rsidR="000A6FB5">
        <w:rPr>
          <w:rFonts w:ascii="Times New Roman" w:hAnsi="Times New Roman"/>
          <w:i/>
          <w:iCs/>
        </w:rPr>
        <w:t xml:space="preserve"> See</w:t>
      </w:r>
      <w:r w:rsidRPr="000A6FB5" w:rsidR="000A6FB5">
        <w:rPr>
          <w:rFonts w:ascii="Times New Roman" w:hAnsi="Times New Roman"/>
        </w:rPr>
        <w:t xml:space="preserve"> </w:t>
      </w:r>
      <w:hyperlink r:id="rId1" w:anchor="/" w:history="1">
        <w:r w:rsidRPr="000A6FB5" w:rsidR="000A6FB5">
          <w:rPr>
            <w:rStyle w:val="Hyperlink"/>
            <w:rFonts w:ascii="Times New Roman" w:hAnsi="Times New Roman"/>
          </w:rPr>
          <w:t>https://fincen105.cbp.dhs.gov/#/</w:t>
        </w:r>
      </w:hyperlink>
      <w:r w:rsidRPr="000A6FB5" w:rsidR="000A6FB5">
        <w:rPr>
          <w:rFonts w:ascii="Times New Roman" w:hAnsi="Times New Roman"/>
          <w:u w:val="single"/>
        </w:rPr>
        <w:t>.</w:t>
      </w:r>
    </w:p>
  </w:footnote>
  <w:footnote w:id="12">
    <w:p w:rsidR="009446F6" w:rsidRPr="008A226F" w:rsidP="009446F6" w14:paraId="621127A9" w14:textId="17F73B5B">
      <w:pPr>
        <w:rPr>
          <w:sz w:val="20"/>
          <w:szCs w:val="20"/>
        </w:rPr>
      </w:pPr>
      <w:r w:rsidRPr="008A226F">
        <w:rPr>
          <w:rStyle w:val="FootnoteReference"/>
          <w:sz w:val="20"/>
          <w:szCs w:val="20"/>
        </w:rPr>
        <w:footnoteRef/>
      </w:r>
      <w:r w:rsidRPr="008A226F" w:rsidR="7A93C39C">
        <w:rPr>
          <w:sz w:val="20"/>
          <w:szCs w:val="20"/>
        </w:rPr>
        <w:t xml:space="preserve"> FinCEN regulations define a “person” as an individual, a corporation, partnership, a trust or estate, a joint stock company, an association, a syndicate, joint venture or other unincorporated organization or group, an Indian Tribe (as that term is defined in the Indian Gaming Regulatory Act), and all entities cognizable as legal personalities.  31 CFR 1010.100(mm).  In this supporting statement, persons who are associated with the transportation, mailing, or shipment of currency or other monetary instruments completed in their capacity as individuals (on their own behalf or for another individual) are referred to as “individuals.”  All types of persons that are not individuals, but for whom a transportation, mailing, or shipment of currency or other monetary instruments that requires the submission of a CMIR is completed </w:t>
      </w:r>
      <w:r w:rsidR="00A272BC">
        <w:rPr>
          <w:sz w:val="20"/>
          <w:szCs w:val="20"/>
        </w:rPr>
        <w:t xml:space="preserve">are referred to </w:t>
      </w:r>
      <w:r w:rsidRPr="008A226F" w:rsidR="7A93C39C">
        <w:rPr>
          <w:sz w:val="20"/>
          <w:szCs w:val="20"/>
        </w:rPr>
        <w:t xml:space="preserve">as “entities.”  While FinCEN believes this use of terminology is generally consistent with classification and discussion elsewhere, such as in previous OMB control </w:t>
      </w:r>
      <w:r w:rsidRPr="00EB6572" w:rsidR="7A93C39C">
        <w:rPr>
          <w:sz w:val="20"/>
          <w:szCs w:val="20"/>
        </w:rPr>
        <w:t>renewals (</w:t>
      </w:r>
      <w:r w:rsidRPr="00EB6572" w:rsidR="7A93C39C">
        <w:rPr>
          <w:i/>
          <w:iCs/>
          <w:sz w:val="20"/>
          <w:szCs w:val="20"/>
        </w:rPr>
        <w:t>see</w:t>
      </w:r>
      <w:r w:rsidRPr="00EB6572" w:rsidR="7A93C39C">
        <w:rPr>
          <w:sz w:val="20"/>
          <w:szCs w:val="20"/>
        </w:rPr>
        <w:t xml:space="preserve">, </w:t>
      </w:r>
      <w:r w:rsidRPr="00EB6572" w:rsidR="7A93C39C">
        <w:rPr>
          <w:i/>
          <w:iCs/>
          <w:sz w:val="20"/>
          <w:szCs w:val="20"/>
        </w:rPr>
        <w:t>e.g.</w:t>
      </w:r>
      <w:r w:rsidRPr="00EB6572" w:rsidR="7A93C39C">
        <w:rPr>
          <w:sz w:val="20"/>
          <w:szCs w:val="20"/>
        </w:rPr>
        <w:t xml:space="preserve">, FinCEN, </w:t>
      </w:r>
      <w:r w:rsidRPr="00EB6572" w:rsidR="7A93C39C">
        <w:rPr>
          <w:i/>
          <w:iCs/>
          <w:sz w:val="20"/>
          <w:szCs w:val="20"/>
        </w:rPr>
        <w:t>Agency Information Collection Activities; Proposed Renewal; Comment Request; Renewal Without Change of the Report of International Transportation of Currency or Monetary Instruments; FinCEN Report 105</w:t>
      </w:r>
      <w:r w:rsidRPr="00EB6572" w:rsidR="7A93C39C">
        <w:rPr>
          <w:sz w:val="20"/>
          <w:szCs w:val="20"/>
        </w:rPr>
        <w:t xml:space="preserve">, </w:t>
      </w:r>
      <w:r w:rsidRPr="00EB6572" w:rsidR="00811B30">
        <w:rPr>
          <w:sz w:val="20"/>
          <w:szCs w:val="20"/>
        </w:rPr>
        <w:t>90 FR 26090</w:t>
      </w:r>
      <w:r w:rsidRPr="00EB6572" w:rsidR="00761CAD">
        <w:rPr>
          <w:sz w:val="20"/>
          <w:szCs w:val="20"/>
        </w:rPr>
        <w:t xml:space="preserve">  </w:t>
      </w:r>
      <w:r w:rsidRPr="00EB6572" w:rsidR="7A93C39C">
        <w:rPr>
          <w:sz w:val="20"/>
          <w:szCs w:val="20"/>
        </w:rPr>
        <w:t>(</w:t>
      </w:r>
      <w:r w:rsidRPr="00EB6572" w:rsidR="00761CAD">
        <w:rPr>
          <w:sz w:val="20"/>
          <w:szCs w:val="20"/>
        </w:rPr>
        <w:t>June 18, 2025</w:t>
      </w:r>
      <w:r w:rsidRPr="00EB6572" w:rsidR="7A93C39C">
        <w:rPr>
          <w:sz w:val="20"/>
          <w:szCs w:val="20"/>
        </w:rPr>
        <w:t>)</w:t>
      </w:r>
      <w:r w:rsidRPr="00EB6572" w:rsidR="00811B30">
        <w:rPr>
          <w:sz w:val="20"/>
          <w:szCs w:val="20"/>
        </w:rPr>
        <w:t xml:space="preserve">, </w:t>
      </w:r>
      <w:r w:rsidRPr="00EB6572" w:rsidR="7A93C39C">
        <w:rPr>
          <w:sz w:val="20"/>
          <w:szCs w:val="20"/>
        </w:rPr>
        <w:t xml:space="preserve">(the </w:t>
      </w:r>
      <w:r w:rsidRPr="00EB6572" w:rsidR="00761CAD">
        <w:rPr>
          <w:sz w:val="20"/>
          <w:szCs w:val="20"/>
        </w:rPr>
        <w:t xml:space="preserve">2025 </w:t>
      </w:r>
      <w:r w:rsidRPr="00EB6572" w:rsidR="7A93C39C">
        <w:rPr>
          <w:sz w:val="20"/>
          <w:szCs w:val="20"/>
        </w:rPr>
        <w:t xml:space="preserve">CMIR PRA Renewal); </w:t>
      </w:r>
      <w:r w:rsidRPr="00EB6572" w:rsidR="7A93C39C">
        <w:rPr>
          <w:i/>
          <w:iCs/>
          <w:sz w:val="20"/>
          <w:szCs w:val="20"/>
        </w:rPr>
        <w:t>see also</w:t>
      </w:r>
      <w:r w:rsidRPr="00EB6572" w:rsidR="7A93C39C">
        <w:rPr>
          <w:sz w:val="20"/>
          <w:szCs w:val="20"/>
        </w:rPr>
        <w:t xml:space="preserve"> FinCEN, </w:t>
      </w:r>
      <w:r w:rsidRPr="00EB6572" w:rsidR="7A93C39C">
        <w:rPr>
          <w:i/>
          <w:iCs/>
          <w:sz w:val="20"/>
          <w:szCs w:val="20"/>
        </w:rPr>
        <w:t>Agency Information Collection Activities; Proposed Renewal; Comment Request; Renewal Without Change of the Report of International Transportation of Currency or Monetary Instruments</w:t>
      </w:r>
      <w:r w:rsidRPr="00EB6572" w:rsidR="7A93C39C">
        <w:rPr>
          <w:sz w:val="20"/>
          <w:szCs w:val="20"/>
        </w:rPr>
        <w:t xml:space="preserve">, </w:t>
      </w:r>
      <w:r w:rsidRPr="00EB6572" w:rsidR="00811B30">
        <w:rPr>
          <w:sz w:val="20"/>
          <w:szCs w:val="20"/>
        </w:rPr>
        <w:t>87 FR 16548</w:t>
      </w:r>
      <w:r w:rsidRPr="00EB6572" w:rsidR="00761CAD">
        <w:rPr>
          <w:sz w:val="20"/>
          <w:szCs w:val="20"/>
        </w:rPr>
        <w:t xml:space="preserve"> </w:t>
      </w:r>
      <w:r w:rsidRPr="00EB6572" w:rsidR="7A93C39C">
        <w:rPr>
          <w:sz w:val="20"/>
          <w:szCs w:val="20"/>
        </w:rPr>
        <w:t>(</w:t>
      </w:r>
      <w:r w:rsidRPr="00EB6572" w:rsidR="00761CAD">
        <w:rPr>
          <w:sz w:val="20"/>
          <w:szCs w:val="20"/>
        </w:rPr>
        <w:t>Mar. 23, 2022</w:t>
      </w:r>
      <w:r w:rsidRPr="00EB6572" w:rsidR="7A93C39C">
        <w:rPr>
          <w:sz w:val="20"/>
          <w:szCs w:val="20"/>
        </w:rPr>
        <w:t>)),</w:t>
      </w:r>
      <w:r w:rsidRPr="00291841" w:rsidR="00811B30">
        <w:rPr>
          <w:sz w:val="20"/>
          <w:szCs w:val="20"/>
        </w:rPr>
        <w:t xml:space="preserve"> </w:t>
      </w:r>
      <w:r w:rsidRPr="00291841" w:rsidR="7A93C39C">
        <w:rPr>
          <w:sz w:val="20"/>
          <w:szCs w:val="20"/>
        </w:rPr>
        <w:t>and the electronic format and filing instructions of the CMIR (</w:t>
      </w:r>
      <w:r w:rsidRPr="00291841" w:rsidR="00291841">
        <w:rPr>
          <w:sz w:val="20"/>
          <w:szCs w:val="20"/>
          <w:shd w:val="clear" w:color="auto" w:fill="FFFFFF"/>
        </w:rPr>
        <w:t>CMIR general instructions, available at</w:t>
      </w:r>
      <w:r w:rsidRPr="00291841" w:rsidR="00291841">
        <w:rPr>
          <w:sz w:val="20"/>
          <w:szCs w:val="20"/>
        </w:rPr>
        <w:t xml:space="preserve"> </w:t>
      </w:r>
      <w:hyperlink r:id="rId2" w:history="1">
        <w:r w:rsidRPr="00291841" w:rsidR="00291841">
          <w:rPr>
            <w:rStyle w:val="Hyperlink"/>
            <w:sz w:val="20"/>
            <w:szCs w:val="20"/>
          </w:rPr>
          <w:t>https://www.fincen.gov/sites/default/files/shared/fin105_cmir.pdf</w:t>
        </w:r>
      </w:hyperlink>
      <w:r w:rsidRPr="00291841" w:rsidR="00291841">
        <w:rPr>
          <w:sz w:val="20"/>
          <w:szCs w:val="20"/>
          <w:shd w:val="clear" w:color="auto" w:fill="FFFFFF"/>
        </w:rPr>
        <w:t>.</w:t>
      </w:r>
      <w:r w:rsidRPr="00291841" w:rsidR="7A93C39C">
        <w:rPr>
          <w:sz w:val="20"/>
          <w:szCs w:val="20"/>
        </w:rPr>
        <w:t>), this classification</w:t>
      </w:r>
      <w:r w:rsidRPr="00EB6572" w:rsidR="7A93C39C">
        <w:rPr>
          <w:sz w:val="20"/>
          <w:szCs w:val="20"/>
        </w:rPr>
        <w:t xml:space="preserve"> may, in some cases differ from the terminology employed in other public documents discussing CMIR obligations</w:t>
      </w:r>
      <w:r w:rsidRPr="008A226F" w:rsidR="7A93C39C">
        <w:rPr>
          <w:sz w:val="20"/>
          <w:szCs w:val="20"/>
        </w:rPr>
        <w:t xml:space="preserve">. </w:t>
      </w:r>
    </w:p>
  </w:footnote>
  <w:footnote w:id="13">
    <w:p w:rsidR="009446F6" w:rsidRPr="008A226F" w:rsidP="009446F6" w14:paraId="472B6C8A" w14:textId="644379CD">
      <w:pPr>
        <w:pStyle w:val="FootnoteText"/>
        <w:rPr>
          <w:rFonts w:ascii="Times New Roman" w:hAnsi="Times New Roman"/>
        </w:rPr>
      </w:pPr>
      <w:r w:rsidRPr="008A226F">
        <w:rPr>
          <w:rStyle w:val="FootnoteReference"/>
          <w:rFonts w:ascii="Times New Roman" w:hAnsi="Times New Roman"/>
        </w:rPr>
        <w:footnoteRef/>
      </w:r>
      <w:r w:rsidRPr="008A226F" w:rsidR="7A93C39C">
        <w:rPr>
          <w:rFonts w:ascii="Times New Roman" w:hAnsi="Times New Roman"/>
        </w:rPr>
        <w:t xml:space="preserve"> </w:t>
      </w:r>
      <w:r w:rsidRPr="7A93C39C" w:rsidR="7A93C39C">
        <w:rPr>
          <w:rFonts w:ascii="Times New Roman" w:hAnsi="Times New Roman"/>
        </w:rPr>
        <w:t xml:space="preserve">FinCEN regulations define currency at </w:t>
      </w:r>
      <w:r w:rsidRPr="008A226F" w:rsidR="7A93C39C">
        <w:rPr>
          <w:rFonts w:ascii="Times New Roman" w:hAnsi="Times New Roman"/>
        </w:rPr>
        <w:t>31 CFR 1010.100(m).</w:t>
      </w:r>
    </w:p>
  </w:footnote>
  <w:footnote w:id="14">
    <w:p w:rsidR="009446F6" w:rsidRPr="008A226F" w:rsidP="009446F6" w14:paraId="67EFC46B" w14:textId="45ADAE48">
      <w:pPr>
        <w:pStyle w:val="FootnoteText"/>
        <w:rPr>
          <w:rFonts w:ascii="Times New Roman" w:hAnsi="Times New Roman"/>
        </w:rPr>
      </w:pPr>
      <w:r w:rsidRPr="008A226F">
        <w:rPr>
          <w:rStyle w:val="FootnoteReference"/>
          <w:rFonts w:ascii="Times New Roman" w:hAnsi="Times New Roman"/>
        </w:rPr>
        <w:footnoteRef/>
      </w:r>
      <w:r w:rsidRPr="008A226F" w:rsidR="7A93C39C">
        <w:rPr>
          <w:rFonts w:ascii="Times New Roman" w:hAnsi="Times New Roman"/>
        </w:rPr>
        <w:t xml:space="preserve"> </w:t>
      </w:r>
      <w:r w:rsidRPr="7A93C39C" w:rsidR="7A93C39C">
        <w:rPr>
          <w:rFonts w:ascii="Times New Roman" w:hAnsi="Times New Roman"/>
        </w:rPr>
        <w:t xml:space="preserve">FinCEN regulations define monetary instruments at </w:t>
      </w:r>
      <w:r w:rsidRPr="008A226F" w:rsidR="7A93C39C">
        <w:rPr>
          <w:rFonts w:ascii="Times New Roman" w:hAnsi="Times New Roman"/>
        </w:rPr>
        <w:t xml:space="preserve">31 CFR 1010.100(dd). </w:t>
      </w:r>
    </w:p>
  </w:footnote>
  <w:footnote w:id="15">
    <w:p w:rsidR="009446F6" w:rsidRPr="008A226F" w:rsidP="009446F6" w14:paraId="744F385A" w14:textId="1ACD81BF">
      <w:pPr>
        <w:pStyle w:val="FootnoteText"/>
        <w:rPr>
          <w:rFonts w:ascii="Times New Roman" w:hAnsi="Times New Roman"/>
        </w:rPr>
      </w:pPr>
      <w:r w:rsidRPr="008A226F">
        <w:rPr>
          <w:rStyle w:val="FootnoteReference"/>
          <w:rFonts w:ascii="Times New Roman" w:hAnsi="Times New Roman"/>
        </w:rPr>
        <w:footnoteRef/>
      </w:r>
      <w:r w:rsidRPr="008A226F">
        <w:rPr>
          <w:rFonts w:ascii="Times New Roman" w:hAnsi="Times New Roman"/>
        </w:rPr>
        <w:t xml:space="preserve"> A person is deemed to have caused such transportation, mailing or shipping when he or she aids, abets, counsels, commands, procures, or requests it to be done by a financial institution or any other person.  </w:t>
      </w:r>
      <w:r w:rsidRPr="008A226F" w:rsidR="002616ED">
        <w:rPr>
          <w:rFonts w:ascii="Times New Roman" w:hAnsi="Times New Roman"/>
          <w:i/>
          <w:iCs/>
        </w:rPr>
        <w:t xml:space="preserve">See </w:t>
      </w:r>
      <w:r w:rsidRPr="008A226F">
        <w:rPr>
          <w:rFonts w:ascii="Times New Roman" w:hAnsi="Times New Roman"/>
        </w:rPr>
        <w:t>31 CFR 1010.340(a).</w:t>
      </w:r>
    </w:p>
  </w:footnote>
  <w:footnote w:id="16">
    <w:p w:rsidR="009446F6" w:rsidRPr="008A226F" w:rsidP="009446F6" w14:paraId="1E31BBB9" w14:textId="3533A44B">
      <w:pPr>
        <w:pStyle w:val="FootnoteText"/>
        <w:rPr>
          <w:rFonts w:ascii="Times New Roman" w:hAnsi="Times New Roman"/>
        </w:rPr>
      </w:pPr>
      <w:r w:rsidRPr="008A226F">
        <w:rPr>
          <w:rStyle w:val="FootnoteReference"/>
          <w:rFonts w:ascii="Times New Roman" w:hAnsi="Times New Roman"/>
        </w:rPr>
        <w:footnoteRef/>
      </w:r>
      <w:r w:rsidRPr="008A226F" w:rsidR="7A93C39C">
        <w:rPr>
          <w:rFonts w:ascii="Times New Roman" w:hAnsi="Times New Roman"/>
        </w:rPr>
        <w:t xml:space="preserve"> 31 CFR 1010.306(b)(1) and (b)(3).</w:t>
      </w:r>
    </w:p>
  </w:footnote>
  <w:footnote w:id="17">
    <w:p w:rsidR="009446F6" w:rsidRPr="008A226F" w:rsidP="009446F6" w14:paraId="74FB78C1" w14:textId="1FA740DD">
      <w:pPr>
        <w:pStyle w:val="FootnoteText"/>
        <w:rPr>
          <w:rFonts w:ascii="Times New Roman" w:hAnsi="Times New Roman"/>
        </w:rPr>
      </w:pPr>
      <w:r w:rsidRPr="008A226F">
        <w:rPr>
          <w:rStyle w:val="FootnoteReference"/>
          <w:rFonts w:ascii="Times New Roman" w:hAnsi="Times New Roman"/>
        </w:rPr>
        <w:footnoteRef/>
      </w:r>
      <w:r w:rsidRPr="008A226F">
        <w:rPr>
          <w:rFonts w:ascii="Times New Roman" w:hAnsi="Times New Roman"/>
        </w:rPr>
        <w:t xml:space="preserve"> 31 CFR 1010.306(b)(3).  </w:t>
      </w:r>
    </w:p>
  </w:footnote>
  <w:footnote w:id="18">
    <w:p w:rsidR="009446F6" w:rsidRPr="00C82DD2" w:rsidP="009446F6" w14:paraId="37293A01" w14:textId="77777777">
      <w:pPr>
        <w:pStyle w:val="FootnoteText"/>
        <w:rPr>
          <w:rFonts w:ascii="Times New Roman" w:hAnsi="Times New Roman"/>
        </w:rPr>
      </w:pPr>
      <w:r w:rsidRPr="00C82DD2">
        <w:rPr>
          <w:rStyle w:val="FootnoteReference"/>
          <w:rFonts w:ascii="Times New Roman" w:hAnsi="Times New Roman"/>
        </w:rPr>
        <w:footnoteRef/>
      </w:r>
      <w:r w:rsidRPr="00C82DD2">
        <w:rPr>
          <w:rFonts w:ascii="Times New Roman" w:hAnsi="Times New Roman"/>
        </w:rPr>
        <w:t xml:space="preserve"> 31 CFR 1010.306(b)(2).</w:t>
      </w:r>
    </w:p>
  </w:footnote>
  <w:footnote w:id="19">
    <w:p w:rsidR="009446F6" w:rsidRPr="00993EB2" w:rsidP="009446F6" w14:paraId="43A30C82" w14:textId="52205A96">
      <w:pPr>
        <w:pStyle w:val="FootnoteText"/>
        <w:rPr>
          <w:rFonts w:ascii="Times New Roman" w:hAnsi="Times New Roman"/>
        </w:rPr>
      </w:pPr>
      <w:r w:rsidRPr="00993EB2">
        <w:rPr>
          <w:rStyle w:val="FootnoteReference"/>
          <w:rFonts w:ascii="Times New Roman" w:hAnsi="Times New Roman"/>
        </w:rPr>
        <w:footnoteRef/>
      </w:r>
      <w:r w:rsidRPr="00993EB2">
        <w:rPr>
          <w:rFonts w:ascii="Times New Roman" w:hAnsi="Times New Roman"/>
        </w:rPr>
        <w:t xml:space="preserve"> 31 CFR 1010.306(b)(3).</w:t>
      </w:r>
    </w:p>
  </w:footnote>
  <w:footnote w:id="20">
    <w:p w:rsidR="00201CD1" w:rsidRPr="00A610C2" w:rsidP="00201CD1" w14:paraId="77F5CE54" w14:textId="77777777">
      <w:pPr>
        <w:pStyle w:val="FootnoteText"/>
        <w:rPr>
          <w:rFonts w:ascii="Times New Roman" w:hAnsi="Times New Roman"/>
        </w:rPr>
      </w:pPr>
      <w:r w:rsidRPr="00A610C2">
        <w:rPr>
          <w:rStyle w:val="FootnoteReference"/>
          <w:rFonts w:ascii="Times New Roman" w:hAnsi="Times New Roman"/>
        </w:rPr>
        <w:footnoteRef/>
      </w:r>
      <w:r w:rsidRPr="00A610C2">
        <w:rPr>
          <w:rFonts w:ascii="Times New Roman" w:hAnsi="Times New Roman"/>
        </w:rPr>
        <w:t xml:space="preserve"> 31 CFR 1010.340(</w:t>
      </w:r>
      <w:r>
        <w:rPr>
          <w:rFonts w:ascii="Times New Roman" w:hAnsi="Times New Roman"/>
        </w:rPr>
        <w:t>c</w:t>
      </w:r>
      <w:r w:rsidRPr="00A610C2">
        <w:rPr>
          <w:rFonts w:ascii="Times New Roman" w:hAnsi="Times New Roman"/>
        </w:rPr>
        <w:t xml:space="preserve">)(2), (9). </w:t>
      </w:r>
    </w:p>
  </w:footnote>
  <w:footnote w:id="21">
    <w:p w:rsidR="00291841" w:rsidRPr="00811B30" w:rsidP="009446F6" w14:paraId="1BD3DF7B" w14:textId="6D2AD24A">
      <w:pPr>
        <w:pStyle w:val="FootnoteText"/>
        <w:rPr>
          <w:rFonts w:ascii="Times New Roman" w:hAnsi="Times New Roman"/>
          <w:shd w:val="clear" w:color="auto" w:fill="FFFFFF"/>
        </w:rPr>
      </w:pPr>
      <w:r w:rsidRPr="00AF7A1D">
        <w:rPr>
          <w:rStyle w:val="FootnoteReference"/>
          <w:rFonts w:ascii="Times New Roman" w:hAnsi="Times New Roman"/>
        </w:rPr>
        <w:footnoteRef/>
      </w:r>
      <w:r w:rsidRPr="00AF7A1D">
        <w:rPr>
          <w:rFonts w:ascii="Times New Roman" w:hAnsi="Times New Roman"/>
        </w:rPr>
        <w:t xml:space="preserve"> </w:t>
      </w:r>
      <w:r w:rsidRPr="00346A3B">
        <w:rPr>
          <w:rFonts w:ascii="Times New Roman" w:hAnsi="Times New Roman"/>
          <w:i/>
          <w:lang w:val="en-GB"/>
        </w:rPr>
        <w:t xml:space="preserve">See </w:t>
      </w:r>
      <w:r>
        <w:rPr>
          <w:rFonts w:ascii="Times New Roman" w:hAnsi="Times New Roman"/>
          <w:lang w:val="en-GB"/>
        </w:rPr>
        <w:t>31 CFR 1010.340(a), (b)</w:t>
      </w:r>
      <w:r w:rsidRPr="00B0416E">
        <w:rPr>
          <w:rFonts w:ascii="Times New Roman" w:hAnsi="Times New Roman"/>
          <w:lang w:val="en-GB"/>
        </w:rPr>
        <w:t xml:space="preserve">. </w:t>
      </w:r>
      <w:r>
        <w:rPr>
          <w:rFonts w:ascii="Times New Roman" w:hAnsi="Times New Roman"/>
          <w:lang w:val="en-GB"/>
        </w:rPr>
        <w:t xml:space="preserve"> </w:t>
      </w:r>
      <w:r w:rsidRPr="00346A3B">
        <w:rPr>
          <w:rFonts w:ascii="Times New Roman" w:hAnsi="Times New Roman"/>
          <w:i/>
          <w:lang w:val="en-GB"/>
        </w:rPr>
        <w:t>See</w:t>
      </w:r>
      <w:r w:rsidRPr="00B0416E">
        <w:rPr>
          <w:rFonts w:ascii="Times New Roman" w:hAnsi="Times New Roman"/>
          <w:lang w:val="en-GB"/>
        </w:rPr>
        <w:t xml:space="preserve"> also FIN-2014-G002</w:t>
      </w:r>
      <w:r>
        <w:rPr>
          <w:rFonts w:ascii="Times New Roman" w:hAnsi="Times New Roman"/>
          <w:lang w:val="en-GB"/>
        </w:rPr>
        <w:t xml:space="preserve"> (</w:t>
      </w:r>
      <w:r w:rsidRPr="381DD40B">
        <w:rPr>
          <w:rFonts w:ascii="Times New Roman" w:hAnsi="Times New Roman"/>
        </w:rPr>
        <w:t>Aug.1, 2014)</w:t>
      </w:r>
      <w:r>
        <w:rPr>
          <w:rFonts w:ascii="Times New Roman" w:hAnsi="Times New Roman"/>
          <w:lang w:val="en-GB"/>
        </w:rPr>
        <w:t xml:space="preserve"> (</w:t>
      </w:r>
      <w:r w:rsidRPr="00AF7A1D">
        <w:rPr>
          <w:rFonts w:ascii="Times New Roman" w:hAnsi="Times New Roman"/>
          <w:shd w:val="clear" w:color="auto" w:fill="FFFFFF"/>
        </w:rPr>
        <w:t>CMIR guidance for common carriers of currency, including ar</w:t>
      </w:r>
      <w:r>
        <w:rPr>
          <w:rFonts w:ascii="Times New Roman" w:hAnsi="Times New Roman"/>
          <w:shd w:val="clear" w:color="auto" w:fill="FFFFFF"/>
        </w:rPr>
        <w:t>mored car services</w:t>
      </w:r>
      <w:r w:rsidRPr="381DD40B">
        <w:rPr>
          <w:rFonts w:ascii="Times New Roman" w:hAnsi="Times New Roman"/>
        </w:rPr>
        <w:t>)</w:t>
      </w:r>
      <w:r>
        <w:rPr>
          <w:rFonts w:ascii="Times New Roman" w:hAnsi="Times New Roman"/>
          <w:shd w:val="clear" w:color="auto" w:fill="FFFFFF"/>
        </w:rPr>
        <w:t>,</w:t>
      </w:r>
      <w:r w:rsidRPr="381DD40B">
        <w:rPr>
          <w:rFonts w:ascii="Times New Roman" w:hAnsi="Times New Roman"/>
        </w:rPr>
        <w:t xml:space="preserve"> </w:t>
      </w:r>
      <w:r w:rsidR="001877EC">
        <w:rPr>
          <w:rFonts w:ascii="Times New Roman" w:hAnsi="Times New Roman"/>
        </w:rPr>
        <w:t>a</w:t>
      </w:r>
      <w:r w:rsidRPr="381DD40B">
        <w:rPr>
          <w:rFonts w:ascii="Times New Roman" w:hAnsi="Times New Roman"/>
        </w:rPr>
        <w:t xml:space="preserve">vailable at </w:t>
      </w:r>
      <w:hyperlink r:id="rId3" w:history="1">
        <w:r w:rsidRPr="00445B64">
          <w:rPr>
            <w:rStyle w:val="Hyperlink"/>
            <w:rFonts w:ascii="Times New Roman" w:hAnsi="Times New Roman"/>
            <w:shd w:val="clear" w:color="auto" w:fill="FFFFFF"/>
          </w:rPr>
          <w:t>https://www.fincen.gov/resources/statutes-regulations/guidance/cmir-guidance-common-carriers-currency-including-armored</w:t>
        </w:r>
      </w:hyperlink>
      <w:r w:rsidR="00811B30">
        <w:rPr>
          <w:rFonts w:ascii="Times New Roman" w:hAnsi="Times New Roman"/>
          <w:shd w:val="clear" w:color="auto" w:fill="FFFFFF"/>
        </w:rPr>
        <w:t>.</w:t>
      </w:r>
      <w:r w:rsidRPr="00092FB2" w:rsidR="00811B30">
        <w:rPr>
          <w:rFonts w:ascii="Times New Roman" w:hAnsi="Times New Roman"/>
          <w:shd w:val="clear" w:color="auto" w:fill="FFFFFF"/>
        </w:rPr>
        <w:t xml:space="preserve"> </w:t>
      </w:r>
      <w:r w:rsidR="00811B30">
        <w:rPr>
          <w:rFonts w:ascii="Times New Roman" w:hAnsi="Times New Roman"/>
          <w:shd w:val="clear" w:color="auto" w:fill="FFFFFF"/>
        </w:rPr>
        <w:t xml:space="preserve"> </w:t>
      </w:r>
      <w:r w:rsidRPr="00092FB2" w:rsidR="00092FB2">
        <w:rPr>
          <w:rFonts w:ascii="Times New Roman" w:hAnsi="Times New Roman"/>
          <w:shd w:val="clear" w:color="auto" w:fill="FFFFFF"/>
        </w:rPr>
        <w:t>CMIR general instructions, available at</w:t>
      </w:r>
      <w:r w:rsidRPr="00811B30" w:rsidR="00811B30">
        <w:t xml:space="preserve"> </w:t>
      </w:r>
      <w:hyperlink r:id="rId2" w:history="1">
        <w:r w:rsidRPr="00804392">
          <w:rPr>
            <w:rStyle w:val="Hyperlink"/>
            <w:rFonts w:ascii="Times New Roman" w:hAnsi="Times New Roman"/>
          </w:rPr>
          <w:t>https://www.fincen.gov/sites/default/files/shared/fin105_cmir.pdf</w:t>
        </w:r>
      </w:hyperlink>
      <w:r w:rsidRPr="00811B30" w:rsidR="00092FB2">
        <w:rPr>
          <w:rFonts w:ascii="Times New Roman" w:hAnsi="Times New Roman"/>
          <w:shd w:val="clear" w:color="auto" w:fill="FFFFFF"/>
        </w:rPr>
        <w:t>.)</w:t>
      </w:r>
      <w:r>
        <w:rPr>
          <w:rFonts w:ascii="Times New Roman" w:hAnsi="Times New Roman"/>
          <w:shd w:val="clear" w:color="auto" w:fill="FFFFFF"/>
        </w:rPr>
        <w:t>.</w:t>
      </w:r>
    </w:p>
  </w:footnote>
  <w:footnote w:id="22">
    <w:p w:rsidR="00CF2D4F" w:rsidRPr="002D0081" w:rsidP="00CF2D4F" w14:paraId="05D40172" w14:textId="77777777">
      <w:pPr>
        <w:pStyle w:val="FootnoteText"/>
        <w:rPr>
          <w:rFonts w:ascii="Times New Roman" w:hAnsi="Times New Roman"/>
        </w:rPr>
      </w:pPr>
      <w:r w:rsidRPr="002D0081">
        <w:rPr>
          <w:rStyle w:val="FootnoteReference"/>
          <w:rFonts w:ascii="Times New Roman" w:hAnsi="Times New Roman"/>
        </w:rPr>
        <w:footnoteRef/>
      </w:r>
      <w:r w:rsidRPr="002D0081">
        <w:rPr>
          <w:rFonts w:ascii="Times New Roman" w:hAnsi="Times New Roman"/>
        </w:rPr>
        <w:t xml:space="preserve"> 31 CFR 1010.430(d).</w:t>
      </w:r>
    </w:p>
  </w:footnote>
  <w:footnote w:id="23">
    <w:p w:rsidR="008140BC" w:rsidRPr="007A0F97" w:rsidP="008140BC" w14:paraId="40C4926D" w14:textId="77777777">
      <w:pPr>
        <w:pStyle w:val="FootnoteText"/>
        <w:rPr>
          <w:rFonts w:ascii="Times New Roman" w:hAnsi="Times New Roman"/>
        </w:rPr>
      </w:pPr>
      <w:r w:rsidRPr="007A0F97">
        <w:rPr>
          <w:rStyle w:val="FootnoteReference"/>
          <w:rFonts w:ascii="Times New Roman" w:hAnsi="Times New Roman"/>
        </w:rPr>
        <w:footnoteRef/>
      </w:r>
      <w:r w:rsidRPr="007A0F97">
        <w:rPr>
          <w:rFonts w:ascii="Times New Roman" w:hAnsi="Times New Roman"/>
        </w:rPr>
        <w:t xml:space="preserve"> </w:t>
      </w:r>
      <w:r w:rsidRPr="007A0F97">
        <w:rPr>
          <w:rFonts w:ascii="Times New Roman" w:hAnsi="Times New Roman"/>
          <w:i/>
          <w:iCs/>
        </w:rPr>
        <w:t>See, e.g.</w:t>
      </w:r>
      <w:r w:rsidRPr="007A0F97">
        <w:rPr>
          <w:rFonts w:ascii="Times New Roman" w:hAnsi="Times New Roman"/>
        </w:rPr>
        <w:t>, 31 U.S.C. 5311.</w:t>
      </w:r>
    </w:p>
  </w:footnote>
  <w:footnote w:id="24">
    <w:p w:rsidR="6795D2E3" w:rsidRPr="007A1193" w14:paraId="68571C6A" w14:textId="660177AF">
      <w:pPr>
        <w:rPr>
          <w:rStyle w:val="Hyperlink"/>
          <w:sz w:val="20"/>
          <w:szCs w:val="20"/>
        </w:rPr>
      </w:pPr>
      <w:r w:rsidRPr="007A1193">
        <w:rPr>
          <w:sz w:val="20"/>
          <w:szCs w:val="20"/>
          <w:vertAlign w:val="superscript"/>
        </w:rPr>
        <w:footnoteRef/>
      </w:r>
      <w:r w:rsidRPr="007A1193" w:rsidR="4184980B">
        <w:rPr>
          <w:sz w:val="20"/>
          <w:szCs w:val="20"/>
        </w:rPr>
        <w:t xml:space="preserve"> </w:t>
      </w:r>
      <w:r w:rsidRPr="007A1193" w:rsidR="4184980B">
        <w:rPr>
          <w:i/>
          <w:iCs/>
          <w:sz w:val="20"/>
          <w:szCs w:val="20"/>
        </w:rPr>
        <w:t>See</w:t>
      </w:r>
      <w:r w:rsidRPr="007A1193" w:rsidR="4184980B">
        <w:rPr>
          <w:sz w:val="20"/>
          <w:szCs w:val="20"/>
        </w:rPr>
        <w:t xml:space="preserve"> </w:t>
      </w:r>
      <w:r w:rsidRPr="003B7715" w:rsidR="000A6FB5">
        <w:rPr>
          <w:i/>
          <w:iCs/>
          <w:sz w:val="20"/>
          <w:szCs w:val="20"/>
        </w:rPr>
        <w:t>supra</w:t>
      </w:r>
      <w:r w:rsidR="000A6FB5">
        <w:rPr>
          <w:sz w:val="20"/>
          <w:szCs w:val="20"/>
        </w:rPr>
        <w:t xml:space="preserve"> note 9. </w:t>
      </w:r>
    </w:p>
  </w:footnote>
  <w:footnote w:id="25">
    <w:p w:rsidR="00B335AA" w:rsidRPr="00652C44" w14:paraId="4FC9D9A3" w14:textId="1C872D42">
      <w:pPr>
        <w:pStyle w:val="FootnoteText"/>
        <w:rPr>
          <w:rFonts w:ascii="Times New Roman" w:hAnsi="Times New Roman"/>
        </w:rPr>
      </w:pPr>
      <w:r w:rsidRPr="00652C44">
        <w:rPr>
          <w:rStyle w:val="FootnoteReference"/>
          <w:rFonts w:ascii="Times New Roman" w:hAnsi="Times New Roman"/>
        </w:rPr>
        <w:footnoteRef/>
      </w:r>
      <w:r w:rsidRPr="00652C44">
        <w:rPr>
          <w:rFonts w:ascii="Times New Roman" w:hAnsi="Times New Roman"/>
        </w:rPr>
        <w:t xml:space="preserve"> </w:t>
      </w:r>
      <w:r w:rsidRPr="00652C44" w:rsidR="00137E2C">
        <w:rPr>
          <w:rFonts w:ascii="Times New Roman" w:hAnsi="Times New Roman"/>
          <w:i/>
          <w:iCs/>
        </w:rPr>
        <w:t>See</w:t>
      </w:r>
      <w:r w:rsidR="00552560">
        <w:rPr>
          <w:rFonts w:ascii="Times New Roman" w:hAnsi="Times New Roman"/>
          <w:i/>
          <w:iCs/>
        </w:rPr>
        <w:t xml:space="preserve"> supra </w:t>
      </w:r>
      <w:r w:rsidRPr="00F97C47" w:rsidR="00552560">
        <w:rPr>
          <w:rFonts w:ascii="Times New Roman" w:hAnsi="Times New Roman"/>
        </w:rPr>
        <w:t>note 10,</w:t>
      </w:r>
      <w:r w:rsidRPr="00652C44" w:rsidR="00137E2C">
        <w:rPr>
          <w:rFonts w:ascii="Times New Roman" w:hAnsi="Times New Roman"/>
          <w:i/>
          <w:iCs/>
        </w:rPr>
        <w:t xml:space="preserve"> </w:t>
      </w:r>
      <w:r w:rsidRPr="00652C44" w:rsidR="00652C44">
        <w:rPr>
          <w:rFonts w:ascii="Times New Roman" w:hAnsi="Times New Roman"/>
        </w:rPr>
        <w:t>the 2025 CMIR PRA Renewal</w:t>
      </w:r>
      <w:r w:rsidRPr="00652C44" w:rsidR="00652C44">
        <w:rPr>
          <w:rFonts w:ascii="Times New Roman" w:hAnsi="Times New Roman"/>
          <w:i/>
          <w:iCs/>
        </w:rPr>
        <w:t>.</w:t>
      </w:r>
      <w:r w:rsidRPr="00652C44" w:rsidR="00137E2C">
        <w:rPr>
          <w:rFonts w:ascii="Times New Roman" w:hAnsi="Times New Roman"/>
        </w:rPr>
        <w:t xml:space="preserve">  </w:t>
      </w:r>
    </w:p>
  </w:footnote>
  <w:footnote w:id="26">
    <w:p w:rsidR="00A75897" w:rsidRPr="00006569" w:rsidP="00A75897" w14:paraId="4CFA8D13" w14:textId="47B9DB34">
      <w:pPr>
        <w:pStyle w:val="FootnoteText"/>
        <w:rPr>
          <w:rFonts w:ascii="Times New Roman" w:hAnsi="Times New Roman"/>
        </w:rPr>
      </w:pPr>
      <w:r w:rsidRPr="00B52FCC">
        <w:rPr>
          <w:rStyle w:val="FootnoteReference"/>
          <w:rFonts w:ascii="Times New Roman" w:hAnsi="Times New Roman" w:eastAsiaTheme="majorEastAsia"/>
        </w:rPr>
        <w:footnoteRef/>
      </w:r>
      <w:r w:rsidRPr="00B52FCC">
        <w:rPr>
          <w:rFonts w:ascii="Times New Roman" w:hAnsi="Times New Roman"/>
        </w:rPr>
        <w:t xml:space="preserve"> FinCEN, </w:t>
      </w:r>
      <w:r w:rsidRPr="00B52FCC" w:rsidR="00D062EF">
        <w:rPr>
          <w:rFonts w:ascii="Times New Roman" w:hAnsi="Times New Roman"/>
        </w:rPr>
        <w:t>Privacy Act of 1974, as Amended; System of Records Notice (FinCEN .003 - Bank Secrecy Act Reports System)</w:t>
      </w:r>
      <w:r w:rsidRPr="00B52FCC">
        <w:rPr>
          <w:rFonts w:ascii="Times New Roman" w:hAnsi="Times New Roman"/>
        </w:rPr>
        <w:t>, 79 FR 20969 (Apr. 14, 2014)</w:t>
      </w:r>
      <w:r>
        <w:rPr>
          <w:rFonts w:ascii="Times New Roman" w:hAnsi="Times New Roman"/>
        </w:rPr>
        <w:t>.</w:t>
      </w:r>
    </w:p>
  </w:footnote>
  <w:footnote w:id="27">
    <w:p w:rsidR="00A641B5" w:rsidRPr="00E711B1" w:rsidP="00A641B5" w14:paraId="61ABD986" w14:textId="474FE0F0">
      <w:pPr>
        <w:pStyle w:val="FootnoteText"/>
        <w:rPr>
          <w:rFonts w:ascii="Times New Roman" w:hAnsi="Times New Roman"/>
        </w:rPr>
      </w:pPr>
      <w:r w:rsidRPr="005F42F6">
        <w:rPr>
          <w:rStyle w:val="FootnoteReference"/>
          <w:rFonts w:ascii="Times New Roman" w:hAnsi="Times New Roman"/>
        </w:rPr>
        <w:footnoteRef/>
      </w:r>
      <w:r w:rsidRPr="005F42F6">
        <w:rPr>
          <w:rFonts w:ascii="Times New Roman" w:hAnsi="Times New Roman"/>
        </w:rPr>
        <w:t xml:space="preserve"> This estimate is based on the number of identifiably unique filers associated with CMIRs filed in calendar year 2024</w:t>
      </w:r>
      <w:r>
        <w:rPr>
          <w:rFonts w:ascii="Times New Roman" w:hAnsi="Times New Roman"/>
        </w:rPr>
        <w:t xml:space="preserve">, which included approximately 100,000 individuals and 8,400 </w:t>
      </w:r>
      <w:r w:rsidRPr="00E711B1">
        <w:rPr>
          <w:rFonts w:ascii="Times New Roman" w:hAnsi="Times New Roman"/>
        </w:rPr>
        <w:t>entities.</w:t>
      </w:r>
      <w:r w:rsidRPr="00E711B1" w:rsidR="00603F47">
        <w:rPr>
          <w:rFonts w:ascii="Times New Roman" w:hAnsi="Times New Roman"/>
        </w:rPr>
        <w:t xml:space="preserve"> </w:t>
      </w:r>
      <w:r w:rsidRPr="00E711B1" w:rsidR="00090EDB">
        <w:rPr>
          <w:rFonts w:ascii="Times New Roman" w:hAnsi="Times New Roman"/>
        </w:rPr>
        <w:t xml:space="preserve"> </w:t>
      </w:r>
      <w:r w:rsidRPr="00E711B1" w:rsidR="00603F47">
        <w:rPr>
          <w:rFonts w:ascii="Times New Roman" w:hAnsi="Times New Roman"/>
          <w:i/>
          <w:iCs/>
        </w:rPr>
        <w:t>See</w:t>
      </w:r>
      <w:r w:rsidRPr="00E711B1" w:rsidR="00603F47">
        <w:rPr>
          <w:rFonts w:ascii="Times New Roman" w:hAnsi="Times New Roman"/>
        </w:rPr>
        <w:t xml:space="preserve"> </w:t>
      </w:r>
      <w:r w:rsidRPr="00A2183E" w:rsidR="00E711B1">
        <w:rPr>
          <w:rFonts w:ascii="Times New Roman" w:hAnsi="Times New Roman"/>
        </w:rPr>
        <w:t>the 2025 CMIR PRA Renewal</w:t>
      </w:r>
      <w:r w:rsidRPr="00E711B1" w:rsidR="00EB0A85">
        <w:rPr>
          <w:rFonts w:ascii="Times New Roman" w:hAnsi="Times New Roman"/>
        </w:rPr>
        <w:t>.</w:t>
      </w:r>
      <w:r w:rsidRPr="00E711B1" w:rsidR="00053FDB">
        <w:rPr>
          <w:rFonts w:ascii="Times New Roman" w:hAnsi="Times New Roman"/>
        </w:rPr>
        <w:t xml:space="preserve"> </w:t>
      </w:r>
    </w:p>
  </w:footnote>
  <w:footnote w:id="28">
    <w:p w:rsidR="009B332A" w:rsidRPr="00957062" w:rsidP="009B332A" w14:paraId="09C811C5" w14:textId="7E4FF519">
      <w:pPr>
        <w:pStyle w:val="FootnoteText"/>
        <w:rPr>
          <w:rFonts w:ascii="Times New Roman" w:hAnsi="Times New Roman"/>
        </w:rPr>
      </w:pPr>
      <w:r w:rsidRPr="00EE735D">
        <w:rPr>
          <w:rStyle w:val="FootnoteReference"/>
          <w:rFonts w:ascii="Times New Roman" w:hAnsi="Times New Roman"/>
        </w:rPr>
        <w:footnoteRef/>
      </w:r>
      <w:r w:rsidRPr="00EE735D" w:rsidR="7A93C39C">
        <w:rPr>
          <w:rFonts w:ascii="Times New Roman" w:hAnsi="Times New Roman"/>
        </w:rPr>
        <w:t xml:space="preserve"> </w:t>
      </w:r>
      <w:r w:rsidRPr="00B535A3" w:rsidR="7A93C39C">
        <w:rPr>
          <w:rFonts w:ascii="Times New Roman" w:hAnsi="Times New Roman"/>
        </w:rPr>
        <w:t xml:space="preserve">This estimate is based on the average number of identifiably required CMIRs filed </w:t>
      </w:r>
      <w:r w:rsidR="00851DBB">
        <w:rPr>
          <w:rFonts w:ascii="Times New Roman" w:hAnsi="Times New Roman"/>
        </w:rPr>
        <w:t xml:space="preserve">(i.e., </w:t>
      </w:r>
      <w:r w:rsidRPr="00851DBB" w:rsidR="00851DBB">
        <w:rPr>
          <w:rFonts w:ascii="Times New Roman" w:hAnsi="Times New Roman"/>
        </w:rPr>
        <w:t>filings for reported amounts over $10,000</w:t>
      </w:r>
      <w:r w:rsidR="00851DBB">
        <w:rPr>
          <w:rFonts w:ascii="Times New Roman" w:hAnsi="Times New Roman"/>
        </w:rPr>
        <w:t xml:space="preserve">) </w:t>
      </w:r>
      <w:r w:rsidRPr="00B535A3" w:rsidR="7A93C39C">
        <w:rPr>
          <w:rFonts w:ascii="Times New Roman" w:hAnsi="Times New Roman"/>
        </w:rPr>
        <w:t>in the calendar years 2022-2024.</w:t>
      </w:r>
      <w:r w:rsidR="7A93C39C">
        <w:rPr>
          <w:rFonts w:ascii="Times New Roman" w:hAnsi="Times New Roman"/>
        </w:rPr>
        <w:t xml:space="preserve">  </w:t>
      </w:r>
      <w:r w:rsidRPr="00E711B1" w:rsidR="7A93C39C">
        <w:rPr>
          <w:rFonts w:ascii="Times New Roman" w:hAnsi="Times New Roman"/>
          <w:i/>
          <w:iCs/>
        </w:rPr>
        <w:t xml:space="preserve">See </w:t>
      </w:r>
      <w:r w:rsidR="00C82D0F">
        <w:rPr>
          <w:rFonts w:ascii="Times New Roman" w:hAnsi="Times New Roman"/>
          <w:i/>
          <w:iCs/>
        </w:rPr>
        <w:t xml:space="preserve">supra </w:t>
      </w:r>
      <w:r w:rsidRPr="00C82D0F" w:rsidR="00C82D0F">
        <w:rPr>
          <w:rFonts w:ascii="Times New Roman" w:hAnsi="Times New Roman"/>
        </w:rPr>
        <w:t xml:space="preserve">note 10, </w:t>
      </w:r>
      <w:r w:rsidRPr="00C82D0F" w:rsidR="00E711B1">
        <w:rPr>
          <w:rFonts w:ascii="Times New Roman" w:hAnsi="Times New Roman"/>
        </w:rPr>
        <w:t>the</w:t>
      </w:r>
      <w:r w:rsidRPr="00A2183E" w:rsidR="00E711B1">
        <w:rPr>
          <w:rFonts w:ascii="Times New Roman" w:hAnsi="Times New Roman"/>
        </w:rPr>
        <w:t xml:space="preserve"> 2025 CMIR PRA Renewal</w:t>
      </w:r>
      <w:r w:rsidRPr="00FE3D2A" w:rsidR="7A93C39C">
        <w:rPr>
          <w:rFonts w:ascii="Times New Roman" w:hAnsi="Times New Roman"/>
        </w:rPr>
        <w:t>.</w:t>
      </w:r>
    </w:p>
  </w:footnote>
  <w:footnote w:id="29">
    <w:p w:rsidR="00B02255" w:rsidRPr="00E711B1" w:rsidP="00B02255" w14:paraId="47E02537" w14:textId="4CF0A880">
      <w:pPr>
        <w:pStyle w:val="FootnoteText"/>
        <w:rPr>
          <w:rFonts w:ascii="Times New Roman" w:hAnsi="Times New Roman"/>
        </w:rPr>
      </w:pPr>
      <w:r w:rsidRPr="00E711B1">
        <w:rPr>
          <w:rStyle w:val="FootnoteReference"/>
          <w:rFonts w:ascii="Times New Roman" w:hAnsi="Times New Roman"/>
        </w:rPr>
        <w:footnoteRef/>
      </w:r>
      <w:r w:rsidRPr="00E711B1">
        <w:rPr>
          <w:rFonts w:ascii="Times New Roman" w:hAnsi="Times New Roman"/>
        </w:rPr>
        <w:t xml:space="preserve"> </w:t>
      </w:r>
      <w:r w:rsidRPr="004A4A6C" w:rsidR="004A4A6C">
        <w:rPr>
          <w:rFonts w:ascii="Times New Roman" w:hAnsi="Times New Roman"/>
          <w:i/>
          <w:iCs/>
        </w:rPr>
        <w:t xml:space="preserve">See supra </w:t>
      </w:r>
      <w:r w:rsidRPr="004A4A6C" w:rsidR="004A4A6C">
        <w:rPr>
          <w:rFonts w:ascii="Times New Roman" w:hAnsi="Times New Roman"/>
        </w:rPr>
        <w:t>note 10,</w:t>
      </w:r>
      <w:r w:rsidRPr="004A4A6C" w:rsidR="004A4A6C">
        <w:rPr>
          <w:rFonts w:ascii="Times New Roman" w:hAnsi="Times New Roman"/>
          <w:i/>
          <w:iCs/>
        </w:rPr>
        <w:t xml:space="preserve"> </w:t>
      </w:r>
      <w:r w:rsidRPr="00A2183E" w:rsidR="00E711B1">
        <w:rPr>
          <w:rFonts w:ascii="Times New Roman" w:hAnsi="Times New Roman"/>
        </w:rPr>
        <w:t>the 2025 CMIR PRA Renewal</w:t>
      </w:r>
      <w:r w:rsidRPr="00E711B1">
        <w:rPr>
          <w:rFonts w:ascii="Times New Roman" w:hAnsi="Times New Roman"/>
          <w:color w:val="000000"/>
        </w:rPr>
        <w:t>.</w:t>
      </w:r>
    </w:p>
  </w:footnote>
  <w:footnote w:id="30">
    <w:p w:rsidR="00E45C15" w:rsidRPr="00E45C15" w14:paraId="63E29D50" w14:textId="13A2B5F7">
      <w:pPr>
        <w:pStyle w:val="FootnoteText"/>
        <w:rPr>
          <w:rFonts w:ascii="Times New Roman" w:hAnsi="Times New Roman"/>
        </w:rPr>
      </w:pPr>
      <w:r w:rsidRPr="00E45C15">
        <w:rPr>
          <w:rStyle w:val="FootnoteReference"/>
          <w:rFonts w:ascii="Times New Roman" w:hAnsi="Times New Roman"/>
        </w:rPr>
        <w:footnoteRef/>
      </w:r>
      <w:r w:rsidR="009C076D">
        <w:rPr>
          <w:rFonts w:ascii="Times New Roman" w:hAnsi="Times New Roman"/>
        </w:rPr>
        <w:t xml:space="preserve"> </w:t>
      </w:r>
      <w:r w:rsidRPr="00C82D0F" w:rsidR="004A4A6C">
        <w:rPr>
          <w:rFonts w:ascii="Times New Roman" w:hAnsi="Times New Roman"/>
          <w:i/>
          <w:iCs/>
        </w:rPr>
        <w:t>Id.</w:t>
      </w:r>
      <w:r w:rsidR="004A4A6C">
        <w:rPr>
          <w:rFonts w:ascii="Times New Roman" w:hAnsi="Times New Roman"/>
        </w:rPr>
        <w:t xml:space="preserve"> </w:t>
      </w:r>
    </w:p>
  </w:footnote>
  <w:footnote w:id="31">
    <w:p w:rsidR="000154C0" w:rsidRPr="00E711B1" w:rsidP="000154C0" w14:paraId="49BC10C7" w14:textId="486F7B29">
      <w:pPr>
        <w:pStyle w:val="FootnoteText"/>
        <w:rPr>
          <w:rFonts w:ascii="Times New Roman" w:hAnsi="Times New Roman"/>
        </w:rPr>
      </w:pPr>
      <w:r w:rsidRPr="00E711B1">
        <w:rPr>
          <w:rStyle w:val="FootnoteReference"/>
          <w:rFonts w:ascii="Times New Roman" w:hAnsi="Times New Roman"/>
        </w:rPr>
        <w:footnoteRef/>
      </w:r>
      <w:r w:rsidRPr="00E711B1">
        <w:rPr>
          <w:rFonts w:ascii="Times New Roman" w:hAnsi="Times New Roman"/>
        </w:rPr>
        <w:t xml:space="preserve"> </w:t>
      </w:r>
      <w:r w:rsidRPr="00C82D0F" w:rsidR="004A4A6C">
        <w:rPr>
          <w:rFonts w:ascii="Times New Roman" w:hAnsi="Times New Roman"/>
          <w:i/>
          <w:iCs/>
        </w:rPr>
        <w:t>Id.</w:t>
      </w:r>
      <w:r w:rsidR="004A4A6C">
        <w:rPr>
          <w:rFonts w:ascii="Times New Roman" w:hAnsi="Times New Roman"/>
        </w:rPr>
        <w:t xml:space="preserve"> </w:t>
      </w:r>
    </w:p>
  </w:footnote>
  <w:footnote w:id="32">
    <w:p w:rsidR="008C601A" w:rsidRPr="00A2183E" w:rsidP="008C601A" w14:paraId="09185FD9" w14:textId="6BE298A4">
      <w:pPr>
        <w:pStyle w:val="FootnoteText"/>
        <w:rPr>
          <w:rFonts w:ascii="Times New Roman" w:hAnsi="Times New Roman"/>
        </w:rPr>
      </w:pPr>
      <w:r w:rsidRPr="00A2183E">
        <w:rPr>
          <w:rStyle w:val="FootnoteReference"/>
          <w:rFonts w:ascii="Times New Roman" w:hAnsi="Times New Roman"/>
        </w:rPr>
        <w:footnoteRef/>
      </w:r>
      <w:r w:rsidRPr="00A2183E" w:rsidR="00751EB9">
        <w:rPr>
          <w:rFonts w:ascii="Times New Roman" w:hAnsi="Times New Roman"/>
        </w:rPr>
        <w:t xml:space="preserve"> </w:t>
      </w:r>
      <w:r w:rsidRPr="00C82D0F" w:rsidR="004A4A6C">
        <w:rPr>
          <w:rFonts w:ascii="Times New Roman" w:hAnsi="Times New Roman"/>
          <w:i/>
          <w:iCs/>
        </w:rPr>
        <w:t>Id.</w:t>
      </w:r>
      <w:r w:rsidR="004A4A6C">
        <w:rPr>
          <w:rFonts w:ascii="Times New Roman" w:hAnsi="Times New Roman"/>
        </w:rPr>
        <w:t xml:space="preserve"> </w:t>
      </w:r>
    </w:p>
  </w:footnote>
  <w:footnote w:id="33">
    <w:p w:rsidR="00A96B2D" w:rsidRPr="009E6D33" w:rsidP="00A96B2D" w14:paraId="3AA2CD05" w14:textId="62075E1D">
      <w:pPr>
        <w:pStyle w:val="FootnoteText"/>
        <w:rPr>
          <w:rFonts w:ascii="Times New Roman" w:hAnsi="Times New Roman"/>
        </w:rPr>
      </w:pPr>
      <w:r w:rsidRPr="009E6D33">
        <w:rPr>
          <w:rStyle w:val="FootnoteReference"/>
          <w:rFonts w:ascii="Times New Roman" w:hAnsi="Times New Roman"/>
        </w:rPr>
        <w:footnoteRef/>
      </w:r>
      <w:r w:rsidRPr="009E6D33">
        <w:rPr>
          <w:rFonts w:ascii="Times New Roman" w:hAnsi="Times New Roman"/>
        </w:rPr>
        <w:t xml:space="preserve"> </w:t>
      </w:r>
      <w:r>
        <w:rPr>
          <w:rFonts w:ascii="Times New Roman" w:hAnsi="Times New Roman"/>
        </w:rPr>
        <w:t>Based on data provided by the</w:t>
      </w:r>
      <w:r w:rsidRPr="009E6D33">
        <w:rPr>
          <w:rFonts w:ascii="Times New Roman" w:hAnsi="Times New Roman"/>
        </w:rPr>
        <w:t xml:space="preserve"> </w:t>
      </w:r>
      <w:r>
        <w:rPr>
          <w:rFonts w:ascii="Times New Roman" w:hAnsi="Times New Roman"/>
        </w:rPr>
        <w:t>CBP,</w:t>
      </w:r>
      <w:r w:rsidRPr="009E6D33">
        <w:rPr>
          <w:rFonts w:ascii="Times New Roman" w:hAnsi="Times New Roman"/>
        </w:rPr>
        <w:t xml:space="preserve"> </w:t>
      </w:r>
      <w:r>
        <w:rPr>
          <w:rFonts w:ascii="Times New Roman" w:hAnsi="Times New Roman"/>
        </w:rPr>
        <w:t>processing paper CMIRs</w:t>
      </w:r>
      <w:r w:rsidRPr="009E6D33">
        <w:rPr>
          <w:rFonts w:ascii="Times New Roman" w:hAnsi="Times New Roman"/>
        </w:rPr>
        <w:t xml:space="preserve"> cost </w:t>
      </w:r>
      <w:r w:rsidRPr="00374B13">
        <w:rPr>
          <w:rFonts w:ascii="Times New Roman" w:hAnsi="Times New Roman"/>
        </w:rPr>
        <w:t>$974,394.27</w:t>
      </w:r>
      <w:r>
        <w:rPr>
          <w:rFonts w:ascii="Times New Roman" w:hAnsi="Times New Roman"/>
        </w:rPr>
        <w:t xml:space="preserve"> during the nine months </w:t>
      </w:r>
      <w:r w:rsidRPr="009E6D33">
        <w:rPr>
          <w:rFonts w:ascii="Times New Roman" w:hAnsi="Times New Roman"/>
        </w:rPr>
        <w:t xml:space="preserve">between </w:t>
      </w:r>
      <w:r>
        <w:rPr>
          <w:rFonts w:ascii="Times New Roman" w:hAnsi="Times New Roman"/>
        </w:rPr>
        <w:t>June</w:t>
      </w:r>
      <w:r w:rsidRPr="009E6D33">
        <w:rPr>
          <w:rFonts w:ascii="Times New Roman" w:hAnsi="Times New Roman"/>
        </w:rPr>
        <w:t xml:space="preserve"> </w:t>
      </w:r>
      <w:r>
        <w:rPr>
          <w:rFonts w:ascii="Times New Roman" w:hAnsi="Times New Roman"/>
        </w:rPr>
        <w:t>30</w:t>
      </w:r>
      <w:r w:rsidRPr="009E6D33">
        <w:rPr>
          <w:rFonts w:ascii="Times New Roman" w:hAnsi="Times New Roman"/>
        </w:rPr>
        <w:t>, 202</w:t>
      </w:r>
      <w:r>
        <w:rPr>
          <w:rFonts w:ascii="Times New Roman" w:hAnsi="Times New Roman"/>
        </w:rPr>
        <w:t>3</w:t>
      </w:r>
      <w:r w:rsidRPr="009E6D33">
        <w:rPr>
          <w:rFonts w:ascii="Times New Roman" w:hAnsi="Times New Roman"/>
        </w:rPr>
        <w:t xml:space="preserve"> and </w:t>
      </w:r>
      <w:r>
        <w:rPr>
          <w:rFonts w:ascii="Times New Roman" w:hAnsi="Times New Roman"/>
        </w:rPr>
        <w:t xml:space="preserve">March </w:t>
      </w:r>
      <w:r w:rsidRPr="009E6D33">
        <w:rPr>
          <w:rFonts w:ascii="Times New Roman" w:hAnsi="Times New Roman"/>
        </w:rPr>
        <w:t>3</w:t>
      </w:r>
      <w:r>
        <w:rPr>
          <w:rFonts w:ascii="Times New Roman" w:hAnsi="Times New Roman"/>
        </w:rPr>
        <w:t>1</w:t>
      </w:r>
      <w:r w:rsidRPr="009E6D33">
        <w:rPr>
          <w:rFonts w:ascii="Times New Roman" w:hAnsi="Times New Roman"/>
        </w:rPr>
        <w:t>, 2</w:t>
      </w:r>
      <w:r>
        <w:rPr>
          <w:rFonts w:ascii="Times New Roman" w:hAnsi="Times New Roman"/>
        </w:rPr>
        <w:t xml:space="preserve">024, which is equivalent to an annualized cost of </w:t>
      </w:r>
      <w:r w:rsidRPr="0061361C">
        <w:rPr>
          <w:rFonts w:ascii="Times New Roman" w:hAnsi="Times New Roman"/>
        </w:rPr>
        <w:t>$1,299,192.36</w:t>
      </w:r>
      <w:r>
        <w:rPr>
          <w:rFonts w:ascii="Times New Roman" w:hAnsi="Times New Roman"/>
        </w:rPr>
        <w:t>.</w:t>
      </w:r>
    </w:p>
  </w:footnote>
  <w:footnote w:id="34">
    <w:p w:rsidR="00F15A78" w:rsidRPr="006C0340" w14:paraId="68E57CE9" w14:textId="0FB4836B">
      <w:pPr>
        <w:pStyle w:val="FootnoteText"/>
        <w:rPr>
          <w:rFonts w:ascii="Times New Roman" w:hAnsi="Times New Roman"/>
        </w:rPr>
      </w:pPr>
      <w:r w:rsidRPr="006C0340">
        <w:rPr>
          <w:rStyle w:val="FootnoteReference"/>
          <w:rFonts w:ascii="Times New Roman" w:hAnsi="Times New Roman"/>
        </w:rPr>
        <w:footnoteRef/>
      </w:r>
      <w:r w:rsidRPr="006C0340">
        <w:rPr>
          <w:rFonts w:ascii="Times New Roman" w:hAnsi="Times New Roman"/>
        </w:rPr>
        <w:t xml:space="preserve"> </w:t>
      </w:r>
      <w:r w:rsidRPr="006C0340" w:rsidR="007F5F22">
        <w:rPr>
          <w:rFonts w:ascii="Times New Roman" w:hAnsi="Times New Roman"/>
        </w:rPr>
        <w:t>Based on data provided by CBP</w:t>
      </w:r>
      <w:r w:rsidR="00C80314">
        <w:rPr>
          <w:rFonts w:ascii="Times New Roman" w:hAnsi="Times New Roman"/>
        </w:rPr>
        <w:t>,</w:t>
      </w:r>
      <w:r w:rsidRPr="006C0340" w:rsidR="007F5F22">
        <w:rPr>
          <w:rFonts w:ascii="Times New Roman" w:hAnsi="Times New Roman"/>
        </w:rPr>
        <w:t xml:space="preserve"> </w:t>
      </w:r>
      <w:r w:rsidRPr="00BA0E35" w:rsidR="007F5F22">
        <w:rPr>
          <w:rFonts w:ascii="Times New Roman" w:hAnsi="Times New Roman"/>
        </w:rPr>
        <w:t>processing electronic CMIRs costs approximately $300,000 per year.</w:t>
      </w:r>
    </w:p>
  </w:footnote>
  <w:footnote w:id="35">
    <w:p w:rsidR="00B44833" w:rsidRPr="00E646B4" w:rsidP="00B44833" w14:paraId="5DE1CBF8" w14:textId="2BA56D0F">
      <w:pPr>
        <w:pStyle w:val="FootnoteText"/>
        <w:rPr>
          <w:rFonts w:ascii="Times New Roman" w:hAnsi="Times New Roman"/>
        </w:rPr>
      </w:pPr>
      <w:r w:rsidRPr="00E074D8">
        <w:rPr>
          <w:rStyle w:val="FootnoteReference"/>
          <w:rFonts w:ascii="Times New Roman" w:hAnsi="Times New Roman"/>
        </w:rPr>
        <w:footnoteRef/>
      </w:r>
      <w:r w:rsidRPr="00E074D8">
        <w:rPr>
          <w:rFonts w:ascii="Times New Roman" w:hAnsi="Times New Roman"/>
        </w:rPr>
        <w:t xml:space="preserve"> </w:t>
      </w:r>
      <w:r w:rsidR="00C94028">
        <w:rPr>
          <w:rFonts w:ascii="Times New Roman" w:hAnsi="Times New Roman"/>
          <w:iCs/>
        </w:rPr>
        <w:t xml:space="preserve">Although FinCEN </w:t>
      </w:r>
      <w:r w:rsidR="00E93E9D">
        <w:rPr>
          <w:rFonts w:ascii="Times New Roman" w:hAnsi="Times New Roman"/>
          <w:iCs/>
        </w:rPr>
        <w:t xml:space="preserve">estimates </w:t>
      </w:r>
      <w:r w:rsidR="00C94028">
        <w:rPr>
          <w:rFonts w:ascii="Times New Roman" w:hAnsi="Times New Roman"/>
          <w:iCs/>
        </w:rPr>
        <w:t xml:space="preserve">only </w:t>
      </w:r>
      <w:r w:rsidR="00D913A8">
        <w:rPr>
          <w:rFonts w:ascii="Times New Roman" w:hAnsi="Times New Roman"/>
          <w:iCs/>
        </w:rPr>
        <w:t>14</w:t>
      </w:r>
      <w:r w:rsidR="0010169D">
        <w:rPr>
          <w:rFonts w:ascii="Times New Roman" w:hAnsi="Times New Roman"/>
          <w:iCs/>
        </w:rPr>
        <w:t>0,687 required reports</w:t>
      </w:r>
      <w:r w:rsidR="00CA7504">
        <w:rPr>
          <w:rFonts w:ascii="Times New Roman" w:hAnsi="Times New Roman"/>
          <w:iCs/>
        </w:rPr>
        <w:t xml:space="preserve">, </w:t>
      </w:r>
      <w:r w:rsidR="00816477">
        <w:rPr>
          <w:rFonts w:ascii="Times New Roman" w:hAnsi="Times New Roman"/>
          <w:iCs/>
        </w:rPr>
        <w:t xml:space="preserve">annually, on average, </w:t>
      </w:r>
      <w:r w:rsidR="00CA7504">
        <w:rPr>
          <w:rFonts w:ascii="Times New Roman" w:hAnsi="Times New Roman"/>
          <w:iCs/>
        </w:rPr>
        <w:t xml:space="preserve">FinCEN anticipates processing </w:t>
      </w:r>
      <w:r w:rsidR="00704654">
        <w:rPr>
          <w:rFonts w:ascii="Times New Roman" w:hAnsi="Times New Roman"/>
          <w:iCs/>
        </w:rPr>
        <w:t xml:space="preserve">a higher </w:t>
      </w:r>
      <w:r w:rsidR="00F627EC">
        <w:rPr>
          <w:rFonts w:ascii="Times New Roman" w:hAnsi="Times New Roman"/>
          <w:iCs/>
        </w:rPr>
        <w:t>volume</w:t>
      </w:r>
      <w:r w:rsidR="003F6E69">
        <w:rPr>
          <w:rFonts w:ascii="Times New Roman" w:hAnsi="Times New Roman"/>
          <w:iCs/>
        </w:rPr>
        <w:t xml:space="preserve"> of </w:t>
      </w:r>
      <w:r w:rsidR="00CA7504">
        <w:rPr>
          <w:rFonts w:ascii="Times New Roman" w:hAnsi="Times New Roman"/>
          <w:iCs/>
        </w:rPr>
        <w:t>143,299 total reports</w:t>
      </w:r>
      <w:r w:rsidR="009F2CE5">
        <w:rPr>
          <w:rFonts w:ascii="Times New Roman" w:hAnsi="Times New Roman"/>
          <w:iCs/>
        </w:rPr>
        <w:t xml:space="preserve"> over the same period</w:t>
      </w:r>
      <w:r w:rsidR="00B223DB">
        <w:rPr>
          <w:rFonts w:ascii="Times New Roman" w:hAnsi="Times New Roman"/>
          <w:iCs/>
        </w:rPr>
        <w:t xml:space="preserve"> due to the </w:t>
      </w:r>
      <w:r w:rsidR="003E3E90">
        <w:rPr>
          <w:rFonts w:ascii="Times New Roman" w:hAnsi="Times New Roman"/>
          <w:iCs/>
        </w:rPr>
        <w:t xml:space="preserve">additional </w:t>
      </w:r>
      <w:r w:rsidR="00B223DB">
        <w:rPr>
          <w:rFonts w:ascii="Times New Roman" w:hAnsi="Times New Roman"/>
          <w:iCs/>
        </w:rPr>
        <w:t xml:space="preserve">inflow </w:t>
      </w:r>
      <w:r w:rsidR="00286D07">
        <w:rPr>
          <w:rFonts w:ascii="Times New Roman" w:hAnsi="Times New Roman"/>
          <w:iCs/>
        </w:rPr>
        <w:t>of</w:t>
      </w:r>
      <w:r w:rsidR="009514AF">
        <w:rPr>
          <w:rFonts w:ascii="Times New Roman" w:hAnsi="Times New Roman"/>
          <w:iCs/>
        </w:rPr>
        <w:t xml:space="preserve"> CMIRs that appear to be </w:t>
      </w:r>
      <w:r w:rsidR="00570418">
        <w:rPr>
          <w:rFonts w:ascii="Times New Roman" w:hAnsi="Times New Roman"/>
          <w:iCs/>
        </w:rPr>
        <w:t>filed voluntarily</w:t>
      </w:r>
      <w:r w:rsidR="003B2D67">
        <w:rPr>
          <w:rFonts w:ascii="Times New Roman" w:hAnsi="Times New Roman"/>
          <w:iCs/>
        </w:rPr>
        <w:t xml:space="preserve"> (</w:t>
      </w:r>
      <w:r w:rsidR="0076515C">
        <w:rPr>
          <w:rFonts w:ascii="Times New Roman" w:hAnsi="Times New Roman"/>
          <w:iCs/>
        </w:rPr>
        <w:t>approximately 2,612</w:t>
      </w:r>
      <w:r w:rsidR="00DD2EC4">
        <w:rPr>
          <w:rFonts w:ascii="Times New Roman" w:hAnsi="Times New Roman"/>
          <w:iCs/>
        </w:rPr>
        <w:t xml:space="preserve"> per year, on average)</w:t>
      </w:r>
      <w:r w:rsidR="00CA7504">
        <w:rPr>
          <w:rFonts w:ascii="Times New Roman" w:hAnsi="Times New Roman"/>
          <w:iCs/>
        </w:rPr>
        <w:t xml:space="preserve">. </w:t>
      </w:r>
    </w:p>
  </w:footnote>
  <w:footnote w:id="36">
    <w:p w:rsidR="00985B02" w14:paraId="6F31B7D0" w14:textId="1B6AF571">
      <w:pPr>
        <w:pStyle w:val="FootnoteText"/>
      </w:pPr>
      <w:r w:rsidRPr="00D83948">
        <w:rPr>
          <w:rStyle w:val="FootnoteReference"/>
          <w:rFonts w:ascii="Times New Roman" w:hAnsi="Times New Roman"/>
        </w:rPr>
        <w:footnoteRef/>
      </w:r>
      <w:r w:rsidRPr="00D83948">
        <w:rPr>
          <w:rFonts w:ascii="Times New Roman" w:hAnsi="Times New Roman"/>
        </w:rPr>
        <w:t xml:space="preserve"> </w:t>
      </w:r>
      <w:r w:rsidR="00DA53A6">
        <w:rPr>
          <w:rFonts w:ascii="Times New Roman" w:hAnsi="Times New Roman"/>
        </w:rPr>
        <w:t>I</w:t>
      </w:r>
      <w:r w:rsidRPr="00D83948" w:rsidR="00E646B4">
        <w:rPr>
          <w:rFonts w:ascii="Times New Roman" w:hAnsi="Times New Roman"/>
        </w:rPr>
        <w:t>n 2022,</w:t>
      </w:r>
      <w:r w:rsidR="009109BE">
        <w:rPr>
          <w:rFonts w:ascii="Times New Roman" w:hAnsi="Times New Roman"/>
        </w:rPr>
        <w:t xml:space="preserve"> FinCEN’s per response assigned time burdens were</w:t>
      </w:r>
      <w:r w:rsidR="00A549C7">
        <w:rPr>
          <w:rFonts w:ascii="Times New Roman" w:hAnsi="Times New Roman"/>
        </w:rPr>
        <w:t>:</w:t>
      </w:r>
      <w:r w:rsidRPr="00D83948" w:rsidR="00E646B4">
        <w:rPr>
          <w:rFonts w:ascii="Times New Roman" w:hAnsi="Times New Roman"/>
        </w:rPr>
        <w:t xml:space="preserve"> (</w:t>
      </w:r>
      <w:r w:rsidRPr="00D83948" w:rsidR="00E646B4">
        <w:rPr>
          <w:rFonts w:ascii="Times New Roman" w:hAnsi="Times New Roman"/>
        </w:rPr>
        <w:t>i</w:t>
      </w:r>
      <w:r w:rsidRPr="00D83948" w:rsidR="00E646B4">
        <w:rPr>
          <w:rFonts w:ascii="Times New Roman" w:hAnsi="Times New Roman"/>
        </w:rPr>
        <w:t>) 15 minutes per report filed by travelers reporting transactions involving their own currency or monetary instruments, and (ii) 30 minutes per report filed by currency transporters reporting transactions on behalf of others</w:t>
      </w:r>
      <w:r w:rsidR="000008B5">
        <w:rPr>
          <w:rFonts w:ascii="Times New Roman" w:hAnsi="Times New Roman"/>
        </w:rPr>
        <w:t>.</w:t>
      </w:r>
      <w:r w:rsidR="00D83948">
        <w:rPr>
          <w:rFonts w:ascii="Times New Roman" w:hAnsi="Times New Roman"/>
        </w:rPr>
        <w:t xml:space="preserve"> </w:t>
      </w:r>
      <w:r w:rsidR="000008B5">
        <w:rPr>
          <w:rFonts w:ascii="Times New Roman" w:hAnsi="Times New Roman"/>
        </w:rPr>
        <w:t xml:space="preserve"> I</w:t>
      </w:r>
      <w:r w:rsidRPr="00D83948" w:rsidR="00E646B4">
        <w:rPr>
          <w:rFonts w:ascii="Times New Roman" w:hAnsi="Times New Roman"/>
        </w:rPr>
        <w:t xml:space="preserve">n 2025, </w:t>
      </w:r>
      <w:r w:rsidR="00694E6C">
        <w:rPr>
          <w:rFonts w:ascii="Times New Roman" w:hAnsi="Times New Roman"/>
        </w:rPr>
        <w:t>FinCEN revised its estimated time burdens to</w:t>
      </w:r>
      <w:r w:rsidR="001E6AFA">
        <w:rPr>
          <w:rFonts w:ascii="Times New Roman" w:hAnsi="Times New Roman"/>
        </w:rPr>
        <w:t xml:space="preserve">: </w:t>
      </w:r>
      <w:r w:rsidRPr="00D83948" w:rsidR="00E646B4">
        <w:rPr>
          <w:rFonts w:ascii="Times New Roman" w:hAnsi="Times New Roman"/>
        </w:rPr>
        <w:t>(</w:t>
      </w:r>
      <w:r w:rsidRPr="00D83948" w:rsidR="00E646B4">
        <w:rPr>
          <w:rFonts w:ascii="Times New Roman" w:hAnsi="Times New Roman"/>
        </w:rPr>
        <w:t>i</w:t>
      </w:r>
      <w:r w:rsidRPr="00D83948" w:rsidR="00E646B4">
        <w:rPr>
          <w:rFonts w:ascii="Times New Roman" w:hAnsi="Times New Roman"/>
        </w:rPr>
        <w:t>) 15 minutes per report filed by individuals reporting transactions involving their own currency or monetary instruments, (ii) 25 minutes per report filed by individuals reporting transactions on behalf of other individuals, and (iii) 20 minutes per report filed by entities reporting transactions on behalf of their business.</w:t>
      </w:r>
    </w:p>
  </w:footnote>
  <w:footnote w:id="37">
    <w:p w:rsidR="004A56B8" w:rsidRPr="000545C8" w14:paraId="23509658" w14:textId="1EE45C0D">
      <w:pPr>
        <w:pStyle w:val="FootnoteText"/>
        <w:rPr>
          <w:rFonts w:ascii="Times New Roman" w:hAnsi="Times New Roman"/>
        </w:rPr>
      </w:pPr>
      <w:r w:rsidRPr="000545C8">
        <w:rPr>
          <w:rStyle w:val="FootnoteReference"/>
          <w:rFonts w:ascii="Times New Roman" w:hAnsi="Times New Roman"/>
        </w:rPr>
        <w:footnoteRef/>
      </w:r>
      <w:r w:rsidRPr="000545C8" w:rsidR="7A93C39C">
        <w:rPr>
          <w:rFonts w:ascii="Times New Roman" w:hAnsi="Times New Roman"/>
        </w:rPr>
        <w:t xml:space="preserve"> </w:t>
      </w:r>
      <w:r w:rsidRPr="00A8706D" w:rsidR="7A93C39C">
        <w:rPr>
          <w:rFonts w:ascii="Times New Roman" w:hAnsi="Times New Roman"/>
          <w:i/>
          <w:iCs/>
        </w:rPr>
        <w:t>See</w:t>
      </w:r>
      <w:r w:rsidRPr="00A8706D" w:rsidR="7A93C39C">
        <w:rPr>
          <w:rFonts w:ascii="Times New Roman" w:hAnsi="Times New Roman"/>
        </w:rPr>
        <w:t xml:space="preserve"> FinCEN, </w:t>
      </w:r>
      <w:r w:rsidRPr="00A8706D" w:rsidR="7A93C39C">
        <w:rPr>
          <w:rFonts w:ascii="Times New Roman" w:hAnsi="Times New Roman"/>
          <w:i/>
          <w:iCs/>
        </w:rPr>
        <w:t>Agency Information Collection Activities; Proposed Renewal; Comment Request; Renewal Without</w:t>
      </w:r>
      <w:r w:rsidRPr="00032EA5" w:rsidR="7A93C39C">
        <w:rPr>
          <w:rFonts w:ascii="Times New Roman" w:hAnsi="Times New Roman"/>
          <w:i/>
          <w:iCs/>
        </w:rPr>
        <w:t xml:space="preserve"> Change of the Report of International Transportation of Currency or Monetary Instruments; FinCEN Report 105</w:t>
      </w:r>
      <w:r w:rsidRPr="00032EA5" w:rsidR="7A93C39C">
        <w:rPr>
          <w:rFonts w:ascii="Times New Roman" w:hAnsi="Times New Roman"/>
        </w:rPr>
        <w:t xml:space="preserve">, </w:t>
      </w:r>
      <w:r w:rsidRPr="00A8706D" w:rsidR="00FB51F1">
        <w:rPr>
          <w:rFonts w:ascii="Times New Roman" w:hAnsi="Times New Roman"/>
        </w:rPr>
        <w:t>87 FR 16548</w:t>
      </w:r>
      <w:r w:rsidRPr="00032EA5" w:rsidR="7A93C39C">
        <w:rPr>
          <w:rFonts w:ascii="Times New Roman" w:hAnsi="Times New Roman"/>
        </w:rPr>
        <w:t xml:space="preserve"> (Mar. 23, 2022)</w:t>
      </w:r>
      <w:r w:rsidR="7A93C39C">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2C3" w14:paraId="11102E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9F5" w:rsidRPr="00AA79F5" w:rsidP="00AA79F5" w14:paraId="2EDFE378" w14:textId="14A65BAB">
    <w:pPr>
      <w:pStyle w:val="Header"/>
    </w:pPr>
  </w:p>
  <w:p w:rsidR="00AA79F5" w:rsidP="00AA79F5" w14:paraId="6C0C293E" w14:textId="472F5C24">
    <w:pPr>
      <w:pStyle w:val="Header"/>
      <w:tabs>
        <w:tab w:val="left" w:pos="1815"/>
        <w:tab w:val="clear" w:pos="4680"/>
        <w:tab w:val="clear"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72C3" w14:paraId="3B33F5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CF0336"/>
    <w:multiLevelType w:val="hybridMultilevel"/>
    <w:tmpl w:val="A3A2FCA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1980AF5"/>
    <w:multiLevelType w:val="hybridMultilevel"/>
    <w:tmpl w:val="36BC3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FA0CF1"/>
    <w:multiLevelType w:val="hybridMultilevel"/>
    <w:tmpl w:val="4A6450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62A414F"/>
    <w:multiLevelType w:val="hybridMultilevel"/>
    <w:tmpl w:val="DBC6F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C4104C"/>
    <w:multiLevelType w:val="hybridMultilevel"/>
    <w:tmpl w:val="AE240F6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95053059">
    <w:abstractNumId w:val="3"/>
  </w:num>
  <w:num w:numId="2" w16cid:durableId="1313558930">
    <w:abstractNumId w:val="2"/>
  </w:num>
  <w:num w:numId="3" w16cid:durableId="736781759">
    <w:abstractNumId w:val="4"/>
  </w:num>
  <w:num w:numId="4" w16cid:durableId="207762374">
    <w:abstractNumId w:val="1"/>
  </w:num>
  <w:num w:numId="5" w16cid:durableId="201549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AF"/>
    <w:rsid w:val="000008B5"/>
    <w:rsid w:val="00000BC0"/>
    <w:rsid w:val="000015B0"/>
    <w:rsid w:val="00003016"/>
    <w:rsid w:val="00006569"/>
    <w:rsid w:val="00007D40"/>
    <w:rsid w:val="00010023"/>
    <w:rsid w:val="0001111A"/>
    <w:rsid w:val="00012940"/>
    <w:rsid w:val="000131D7"/>
    <w:rsid w:val="00013DFC"/>
    <w:rsid w:val="000154C0"/>
    <w:rsid w:val="00017BCF"/>
    <w:rsid w:val="000234BA"/>
    <w:rsid w:val="00032EA5"/>
    <w:rsid w:val="00033C6F"/>
    <w:rsid w:val="00034C7A"/>
    <w:rsid w:val="00036D65"/>
    <w:rsid w:val="00040EE0"/>
    <w:rsid w:val="00041DC1"/>
    <w:rsid w:val="00042474"/>
    <w:rsid w:val="00042BD9"/>
    <w:rsid w:val="000434F2"/>
    <w:rsid w:val="000461FD"/>
    <w:rsid w:val="00051F88"/>
    <w:rsid w:val="00052A68"/>
    <w:rsid w:val="00053256"/>
    <w:rsid w:val="00053982"/>
    <w:rsid w:val="00053D54"/>
    <w:rsid w:val="00053FDB"/>
    <w:rsid w:val="000545C8"/>
    <w:rsid w:val="00056FA8"/>
    <w:rsid w:val="00057574"/>
    <w:rsid w:val="0005789F"/>
    <w:rsid w:val="00057E18"/>
    <w:rsid w:val="00060CAA"/>
    <w:rsid w:val="00062266"/>
    <w:rsid w:val="00064419"/>
    <w:rsid w:val="00066E56"/>
    <w:rsid w:val="00067CD1"/>
    <w:rsid w:val="00071285"/>
    <w:rsid w:val="00075E0B"/>
    <w:rsid w:val="0007685A"/>
    <w:rsid w:val="00081A1D"/>
    <w:rsid w:val="00085CB1"/>
    <w:rsid w:val="00085F49"/>
    <w:rsid w:val="00090EDB"/>
    <w:rsid w:val="000911A9"/>
    <w:rsid w:val="00091415"/>
    <w:rsid w:val="00092FB2"/>
    <w:rsid w:val="00093D2B"/>
    <w:rsid w:val="00097E30"/>
    <w:rsid w:val="000A053A"/>
    <w:rsid w:val="000A2811"/>
    <w:rsid w:val="000A2857"/>
    <w:rsid w:val="000A630D"/>
    <w:rsid w:val="000A6FB5"/>
    <w:rsid w:val="000B1710"/>
    <w:rsid w:val="000B1A7E"/>
    <w:rsid w:val="000B1C80"/>
    <w:rsid w:val="000B4171"/>
    <w:rsid w:val="000B4714"/>
    <w:rsid w:val="000B4A37"/>
    <w:rsid w:val="000B511F"/>
    <w:rsid w:val="000B5228"/>
    <w:rsid w:val="000B5D12"/>
    <w:rsid w:val="000B64B2"/>
    <w:rsid w:val="000C122E"/>
    <w:rsid w:val="000C1F15"/>
    <w:rsid w:val="000D2CEB"/>
    <w:rsid w:val="000D54F7"/>
    <w:rsid w:val="000D5688"/>
    <w:rsid w:val="000D5A36"/>
    <w:rsid w:val="000D6E11"/>
    <w:rsid w:val="000D7B49"/>
    <w:rsid w:val="000E341A"/>
    <w:rsid w:val="000E68C1"/>
    <w:rsid w:val="000E6C28"/>
    <w:rsid w:val="000E70E7"/>
    <w:rsid w:val="000E7116"/>
    <w:rsid w:val="000F1968"/>
    <w:rsid w:val="000F582D"/>
    <w:rsid w:val="000F58E2"/>
    <w:rsid w:val="000F7687"/>
    <w:rsid w:val="00100F8E"/>
    <w:rsid w:val="0010169D"/>
    <w:rsid w:val="0010543A"/>
    <w:rsid w:val="001061A8"/>
    <w:rsid w:val="00106BD0"/>
    <w:rsid w:val="00110298"/>
    <w:rsid w:val="0011109F"/>
    <w:rsid w:val="0011115A"/>
    <w:rsid w:val="0011295D"/>
    <w:rsid w:val="0011668B"/>
    <w:rsid w:val="00116754"/>
    <w:rsid w:val="00116879"/>
    <w:rsid w:val="00117DD0"/>
    <w:rsid w:val="001207E8"/>
    <w:rsid w:val="00122245"/>
    <w:rsid w:val="00124055"/>
    <w:rsid w:val="001254B0"/>
    <w:rsid w:val="00126381"/>
    <w:rsid w:val="00126970"/>
    <w:rsid w:val="001331E2"/>
    <w:rsid w:val="001333C4"/>
    <w:rsid w:val="0013656F"/>
    <w:rsid w:val="00136657"/>
    <w:rsid w:val="0013787D"/>
    <w:rsid w:val="00137E2C"/>
    <w:rsid w:val="00141D6A"/>
    <w:rsid w:val="001423FA"/>
    <w:rsid w:val="0014581F"/>
    <w:rsid w:val="00145BBE"/>
    <w:rsid w:val="0014759A"/>
    <w:rsid w:val="00150676"/>
    <w:rsid w:val="00151C7B"/>
    <w:rsid w:val="00152C80"/>
    <w:rsid w:val="00155F78"/>
    <w:rsid w:val="00156F8C"/>
    <w:rsid w:val="00157046"/>
    <w:rsid w:val="001575E5"/>
    <w:rsid w:val="00160939"/>
    <w:rsid w:val="00162864"/>
    <w:rsid w:val="00163E90"/>
    <w:rsid w:val="00167010"/>
    <w:rsid w:val="00167454"/>
    <w:rsid w:val="00167B8B"/>
    <w:rsid w:val="001706B4"/>
    <w:rsid w:val="001757D4"/>
    <w:rsid w:val="00175AC9"/>
    <w:rsid w:val="00175B41"/>
    <w:rsid w:val="001765FD"/>
    <w:rsid w:val="00177071"/>
    <w:rsid w:val="00177110"/>
    <w:rsid w:val="001814E7"/>
    <w:rsid w:val="00183E38"/>
    <w:rsid w:val="00184C30"/>
    <w:rsid w:val="00185750"/>
    <w:rsid w:val="00187142"/>
    <w:rsid w:val="001877EC"/>
    <w:rsid w:val="00190600"/>
    <w:rsid w:val="00190921"/>
    <w:rsid w:val="0019374D"/>
    <w:rsid w:val="0019387B"/>
    <w:rsid w:val="00195B99"/>
    <w:rsid w:val="00196AB8"/>
    <w:rsid w:val="00197FA9"/>
    <w:rsid w:val="001A2B30"/>
    <w:rsid w:val="001A3618"/>
    <w:rsid w:val="001A7D92"/>
    <w:rsid w:val="001B07AC"/>
    <w:rsid w:val="001B3A19"/>
    <w:rsid w:val="001B40A4"/>
    <w:rsid w:val="001B5CD2"/>
    <w:rsid w:val="001B68C7"/>
    <w:rsid w:val="001B71D2"/>
    <w:rsid w:val="001B770E"/>
    <w:rsid w:val="001C2989"/>
    <w:rsid w:val="001C4A73"/>
    <w:rsid w:val="001C4D6D"/>
    <w:rsid w:val="001C4E94"/>
    <w:rsid w:val="001C6BF8"/>
    <w:rsid w:val="001D0206"/>
    <w:rsid w:val="001D186B"/>
    <w:rsid w:val="001D21E6"/>
    <w:rsid w:val="001D4241"/>
    <w:rsid w:val="001E052E"/>
    <w:rsid w:val="001E2ECC"/>
    <w:rsid w:val="001E338B"/>
    <w:rsid w:val="001E3881"/>
    <w:rsid w:val="001E5D50"/>
    <w:rsid w:val="001E6129"/>
    <w:rsid w:val="001E61CA"/>
    <w:rsid w:val="001E6219"/>
    <w:rsid w:val="001E6AFA"/>
    <w:rsid w:val="001F09D9"/>
    <w:rsid w:val="001F252C"/>
    <w:rsid w:val="001F3C4B"/>
    <w:rsid w:val="001F4154"/>
    <w:rsid w:val="001F4E91"/>
    <w:rsid w:val="001F60D4"/>
    <w:rsid w:val="001F7618"/>
    <w:rsid w:val="001F7CD0"/>
    <w:rsid w:val="0020130A"/>
    <w:rsid w:val="00201CD1"/>
    <w:rsid w:val="00204726"/>
    <w:rsid w:val="00204809"/>
    <w:rsid w:val="00204A68"/>
    <w:rsid w:val="00205214"/>
    <w:rsid w:val="00207434"/>
    <w:rsid w:val="002101AE"/>
    <w:rsid w:val="002104E1"/>
    <w:rsid w:val="002137C0"/>
    <w:rsid w:val="00217266"/>
    <w:rsid w:val="00221B7B"/>
    <w:rsid w:val="00224F78"/>
    <w:rsid w:val="00226548"/>
    <w:rsid w:val="002269D6"/>
    <w:rsid w:val="002329E2"/>
    <w:rsid w:val="002341C6"/>
    <w:rsid w:val="00236104"/>
    <w:rsid w:val="002408C8"/>
    <w:rsid w:val="00240FB6"/>
    <w:rsid w:val="00242044"/>
    <w:rsid w:val="00242F2E"/>
    <w:rsid w:val="002446C3"/>
    <w:rsid w:val="00245014"/>
    <w:rsid w:val="00245B4A"/>
    <w:rsid w:val="002544D5"/>
    <w:rsid w:val="002575CF"/>
    <w:rsid w:val="00257E92"/>
    <w:rsid w:val="0026159C"/>
    <w:rsid w:val="002616ED"/>
    <w:rsid w:val="002622BA"/>
    <w:rsid w:val="0026325A"/>
    <w:rsid w:val="002632B7"/>
    <w:rsid w:val="00263C19"/>
    <w:rsid w:val="00264E3F"/>
    <w:rsid w:val="00271A1F"/>
    <w:rsid w:val="002740AF"/>
    <w:rsid w:val="00274B7E"/>
    <w:rsid w:val="00274B98"/>
    <w:rsid w:val="00281038"/>
    <w:rsid w:val="00281FEB"/>
    <w:rsid w:val="0028200C"/>
    <w:rsid w:val="00283DAE"/>
    <w:rsid w:val="00283EE5"/>
    <w:rsid w:val="00286BD4"/>
    <w:rsid w:val="00286D07"/>
    <w:rsid w:val="002908D8"/>
    <w:rsid w:val="00291841"/>
    <w:rsid w:val="00291C5E"/>
    <w:rsid w:val="002961A9"/>
    <w:rsid w:val="00297660"/>
    <w:rsid w:val="002A0CCC"/>
    <w:rsid w:val="002A22F3"/>
    <w:rsid w:val="002A3ACB"/>
    <w:rsid w:val="002A46E4"/>
    <w:rsid w:val="002A5718"/>
    <w:rsid w:val="002A6898"/>
    <w:rsid w:val="002A71DB"/>
    <w:rsid w:val="002B1AFE"/>
    <w:rsid w:val="002B4636"/>
    <w:rsid w:val="002B489F"/>
    <w:rsid w:val="002B616C"/>
    <w:rsid w:val="002B73B2"/>
    <w:rsid w:val="002C2D6C"/>
    <w:rsid w:val="002C3FBD"/>
    <w:rsid w:val="002C616B"/>
    <w:rsid w:val="002D0081"/>
    <w:rsid w:val="002D02E9"/>
    <w:rsid w:val="002D146C"/>
    <w:rsid w:val="002D3A2C"/>
    <w:rsid w:val="002D3CC2"/>
    <w:rsid w:val="002D4CF3"/>
    <w:rsid w:val="002D6630"/>
    <w:rsid w:val="002D7ABB"/>
    <w:rsid w:val="002E19A9"/>
    <w:rsid w:val="002E272D"/>
    <w:rsid w:val="002E4C1E"/>
    <w:rsid w:val="002E54F5"/>
    <w:rsid w:val="002F00AC"/>
    <w:rsid w:val="002F0B41"/>
    <w:rsid w:val="002F3A79"/>
    <w:rsid w:val="002F3CDC"/>
    <w:rsid w:val="002F4295"/>
    <w:rsid w:val="002F4C7C"/>
    <w:rsid w:val="002F745D"/>
    <w:rsid w:val="00301014"/>
    <w:rsid w:val="00303F8E"/>
    <w:rsid w:val="00305363"/>
    <w:rsid w:val="00307017"/>
    <w:rsid w:val="00307020"/>
    <w:rsid w:val="003116D2"/>
    <w:rsid w:val="00312674"/>
    <w:rsid w:val="00313294"/>
    <w:rsid w:val="0031417E"/>
    <w:rsid w:val="00314D73"/>
    <w:rsid w:val="00314D83"/>
    <w:rsid w:val="00315495"/>
    <w:rsid w:val="00321581"/>
    <w:rsid w:val="00322E90"/>
    <w:rsid w:val="003266D1"/>
    <w:rsid w:val="003268D1"/>
    <w:rsid w:val="00327A7D"/>
    <w:rsid w:val="003311A1"/>
    <w:rsid w:val="003343C7"/>
    <w:rsid w:val="00342DA7"/>
    <w:rsid w:val="003430AF"/>
    <w:rsid w:val="00343FE9"/>
    <w:rsid w:val="00344A4F"/>
    <w:rsid w:val="00346A3B"/>
    <w:rsid w:val="003519C5"/>
    <w:rsid w:val="00351C1C"/>
    <w:rsid w:val="0035435D"/>
    <w:rsid w:val="00355C4A"/>
    <w:rsid w:val="00355CB9"/>
    <w:rsid w:val="00361CC9"/>
    <w:rsid w:val="003621E0"/>
    <w:rsid w:val="00364EE8"/>
    <w:rsid w:val="00371A73"/>
    <w:rsid w:val="00374B13"/>
    <w:rsid w:val="00376039"/>
    <w:rsid w:val="003761BA"/>
    <w:rsid w:val="003772A9"/>
    <w:rsid w:val="00377F95"/>
    <w:rsid w:val="00380EA9"/>
    <w:rsid w:val="00382C35"/>
    <w:rsid w:val="0038335F"/>
    <w:rsid w:val="003844A2"/>
    <w:rsid w:val="003848CA"/>
    <w:rsid w:val="0038555F"/>
    <w:rsid w:val="00385D55"/>
    <w:rsid w:val="003903F3"/>
    <w:rsid w:val="003928A5"/>
    <w:rsid w:val="00392B88"/>
    <w:rsid w:val="00393681"/>
    <w:rsid w:val="00393A1A"/>
    <w:rsid w:val="00395592"/>
    <w:rsid w:val="00396577"/>
    <w:rsid w:val="00396BCA"/>
    <w:rsid w:val="00397135"/>
    <w:rsid w:val="003A1D45"/>
    <w:rsid w:val="003A2A60"/>
    <w:rsid w:val="003A2F9C"/>
    <w:rsid w:val="003A4ED7"/>
    <w:rsid w:val="003A7CF6"/>
    <w:rsid w:val="003B1BD6"/>
    <w:rsid w:val="003B2D67"/>
    <w:rsid w:val="003B56B4"/>
    <w:rsid w:val="003B7715"/>
    <w:rsid w:val="003C26B4"/>
    <w:rsid w:val="003C27C9"/>
    <w:rsid w:val="003C4FF6"/>
    <w:rsid w:val="003C6459"/>
    <w:rsid w:val="003C7A28"/>
    <w:rsid w:val="003C7B3F"/>
    <w:rsid w:val="003D091E"/>
    <w:rsid w:val="003D0E8E"/>
    <w:rsid w:val="003D6A7E"/>
    <w:rsid w:val="003E1063"/>
    <w:rsid w:val="003E118E"/>
    <w:rsid w:val="003E19EC"/>
    <w:rsid w:val="003E1AF8"/>
    <w:rsid w:val="003E1E10"/>
    <w:rsid w:val="003E292F"/>
    <w:rsid w:val="003E3BCC"/>
    <w:rsid w:val="003E3E90"/>
    <w:rsid w:val="003E4C65"/>
    <w:rsid w:val="003F13FC"/>
    <w:rsid w:val="003F2E68"/>
    <w:rsid w:val="003F444A"/>
    <w:rsid w:val="003F45E5"/>
    <w:rsid w:val="003F58F0"/>
    <w:rsid w:val="003F6861"/>
    <w:rsid w:val="003F6E69"/>
    <w:rsid w:val="00400964"/>
    <w:rsid w:val="00401A8C"/>
    <w:rsid w:val="004026BC"/>
    <w:rsid w:val="0040586F"/>
    <w:rsid w:val="00406ABF"/>
    <w:rsid w:val="00406C3B"/>
    <w:rsid w:val="004077EA"/>
    <w:rsid w:val="004108EF"/>
    <w:rsid w:val="0041186C"/>
    <w:rsid w:val="004135B6"/>
    <w:rsid w:val="00413EFD"/>
    <w:rsid w:val="00421B30"/>
    <w:rsid w:val="00422C13"/>
    <w:rsid w:val="00422F42"/>
    <w:rsid w:val="00424348"/>
    <w:rsid w:val="00425D51"/>
    <w:rsid w:val="00426391"/>
    <w:rsid w:val="004302E2"/>
    <w:rsid w:val="004309AD"/>
    <w:rsid w:val="00431371"/>
    <w:rsid w:val="00435297"/>
    <w:rsid w:val="00436D6A"/>
    <w:rsid w:val="00437F1C"/>
    <w:rsid w:val="004414E5"/>
    <w:rsid w:val="004427DD"/>
    <w:rsid w:val="00445B64"/>
    <w:rsid w:val="00446DA8"/>
    <w:rsid w:val="00453717"/>
    <w:rsid w:val="00453A1D"/>
    <w:rsid w:val="0045430A"/>
    <w:rsid w:val="004544E0"/>
    <w:rsid w:val="0045669C"/>
    <w:rsid w:val="00460259"/>
    <w:rsid w:val="004626C3"/>
    <w:rsid w:val="00463717"/>
    <w:rsid w:val="004646F6"/>
    <w:rsid w:val="00464727"/>
    <w:rsid w:val="00466180"/>
    <w:rsid w:val="0046714A"/>
    <w:rsid w:val="00467767"/>
    <w:rsid w:val="00467C6D"/>
    <w:rsid w:val="00470D6E"/>
    <w:rsid w:val="00470ED4"/>
    <w:rsid w:val="00471E13"/>
    <w:rsid w:val="00473C80"/>
    <w:rsid w:val="004819BC"/>
    <w:rsid w:val="00484539"/>
    <w:rsid w:val="00484E4B"/>
    <w:rsid w:val="0048538C"/>
    <w:rsid w:val="004863A5"/>
    <w:rsid w:val="00487037"/>
    <w:rsid w:val="0049253B"/>
    <w:rsid w:val="00496B3D"/>
    <w:rsid w:val="004978BD"/>
    <w:rsid w:val="00497DC4"/>
    <w:rsid w:val="004A4A6C"/>
    <w:rsid w:val="004A56B8"/>
    <w:rsid w:val="004A5C43"/>
    <w:rsid w:val="004A6A37"/>
    <w:rsid w:val="004A711C"/>
    <w:rsid w:val="004A7A7E"/>
    <w:rsid w:val="004A7C21"/>
    <w:rsid w:val="004B3105"/>
    <w:rsid w:val="004B66E7"/>
    <w:rsid w:val="004B6F09"/>
    <w:rsid w:val="004B7E25"/>
    <w:rsid w:val="004C0003"/>
    <w:rsid w:val="004C0D04"/>
    <w:rsid w:val="004C19EE"/>
    <w:rsid w:val="004D0D0A"/>
    <w:rsid w:val="004D3CAE"/>
    <w:rsid w:val="004E23A1"/>
    <w:rsid w:val="004E2945"/>
    <w:rsid w:val="004E574F"/>
    <w:rsid w:val="004F00A2"/>
    <w:rsid w:val="004F02AA"/>
    <w:rsid w:val="004F02DE"/>
    <w:rsid w:val="004F21AD"/>
    <w:rsid w:val="004F2595"/>
    <w:rsid w:val="004F2655"/>
    <w:rsid w:val="004F2F24"/>
    <w:rsid w:val="004F3DBB"/>
    <w:rsid w:val="004F4B2E"/>
    <w:rsid w:val="004F6026"/>
    <w:rsid w:val="004F64BB"/>
    <w:rsid w:val="004F69FF"/>
    <w:rsid w:val="005003E1"/>
    <w:rsid w:val="0050238E"/>
    <w:rsid w:val="00503CB2"/>
    <w:rsid w:val="00504758"/>
    <w:rsid w:val="00504CD7"/>
    <w:rsid w:val="005105E8"/>
    <w:rsid w:val="00512285"/>
    <w:rsid w:val="00512949"/>
    <w:rsid w:val="005147EB"/>
    <w:rsid w:val="005164A2"/>
    <w:rsid w:val="005212F0"/>
    <w:rsid w:val="005217B9"/>
    <w:rsid w:val="005231E1"/>
    <w:rsid w:val="00525068"/>
    <w:rsid w:val="00526118"/>
    <w:rsid w:val="00527291"/>
    <w:rsid w:val="0053065D"/>
    <w:rsid w:val="00530DC4"/>
    <w:rsid w:val="00532A88"/>
    <w:rsid w:val="0053378A"/>
    <w:rsid w:val="005348FB"/>
    <w:rsid w:val="00535A98"/>
    <w:rsid w:val="00535EA0"/>
    <w:rsid w:val="005366F2"/>
    <w:rsid w:val="005367B5"/>
    <w:rsid w:val="0053725A"/>
    <w:rsid w:val="00541D08"/>
    <w:rsid w:val="0054236D"/>
    <w:rsid w:val="0054348F"/>
    <w:rsid w:val="0054689D"/>
    <w:rsid w:val="00546B06"/>
    <w:rsid w:val="00546D02"/>
    <w:rsid w:val="005476E3"/>
    <w:rsid w:val="00550A14"/>
    <w:rsid w:val="00552560"/>
    <w:rsid w:val="00555C1A"/>
    <w:rsid w:val="0055606C"/>
    <w:rsid w:val="005567E2"/>
    <w:rsid w:val="00556BBD"/>
    <w:rsid w:val="00557169"/>
    <w:rsid w:val="00560F0D"/>
    <w:rsid w:val="005623F0"/>
    <w:rsid w:val="00562604"/>
    <w:rsid w:val="005631CE"/>
    <w:rsid w:val="00563E11"/>
    <w:rsid w:val="00566FD2"/>
    <w:rsid w:val="0056761E"/>
    <w:rsid w:val="00567701"/>
    <w:rsid w:val="00567E90"/>
    <w:rsid w:val="00570418"/>
    <w:rsid w:val="0057083E"/>
    <w:rsid w:val="0057087C"/>
    <w:rsid w:val="00571AE7"/>
    <w:rsid w:val="00571FBA"/>
    <w:rsid w:val="00572975"/>
    <w:rsid w:val="00575B4A"/>
    <w:rsid w:val="00576521"/>
    <w:rsid w:val="005771B2"/>
    <w:rsid w:val="00581FEF"/>
    <w:rsid w:val="00583B23"/>
    <w:rsid w:val="00585718"/>
    <w:rsid w:val="00591FA5"/>
    <w:rsid w:val="00592391"/>
    <w:rsid w:val="00592D8A"/>
    <w:rsid w:val="00593A06"/>
    <w:rsid w:val="00595F30"/>
    <w:rsid w:val="005972F0"/>
    <w:rsid w:val="005A326E"/>
    <w:rsid w:val="005A3EB1"/>
    <w:rsid w:val="005A47FB"/>
    <w:rsid w:val="005A7566"/>
    <w:rsid w:val="005B0A9A"/>
    <w:rsid w:val="005B5077"/>
    <w:rsid w:val="005C0104"/>
    <w:rsid w:val="005C206F"/>
    <w:rsid w:val="005C2BAE"/>
    <w:rsid w:val="005C7502"/>
    <w:rsid w:val="005D4BE3"/>
    <w:rsid w:val="005D4F8E"/>
    <w:rsid w:val="005D6C27"/>
    <w:rsid w:val="005E2F92"/>
    <w:rsid w:val="005E5279"/>
    <w:rsid w:val="005F21BA"/>
    <w:rsid w:val="005F42F6"/>
    <w:rsid w:val="00601BAF"/>
    <w:rsid w:val="00603F47"/>
    <w:rsid w:val="00606A20"/>
    <w:rsid w:val="00611C64"/>
    <w:rsid w:val="0061361C"/>
    <w:rsid w:val="0061459B"/>
    <w:rsid w:val="006148CF"/>
    <w:rsid w:val="00616BBE"/>
    <w:rsid w:val="006173B2"/>
    <w:rsid w:val="00617DAD"/>
    <w:rsid w:val="00617FD6"/>
    <w:rsid w:val="006210B7"/>
    <w:rsid w:val="006220F9"/>
    <w:rsid w:val="0062222B"/>
    <w:rsid w:val="00625E09"/>
    <w:rsid w:val="0062639C"/>
    <w:rsid w:val="00632189"/>
    <w:rsid w:val="00632906"/>
    <w:rsid w:val="00632934"/>
    <w:rsid w:val="0063517F"/>
    <w:rsid w:val="00640D29"/>
    <w:rsid w:val="00644BA5"/>
    <w:rsid w:val="006451C3"/>
    <w:rsid w:val="00645D25"/>
    <w:rsid w:val="006517FB"/>
    <w:rsid w:val="00652C44"/>
    <w:rsid w:val="00652DAE"/>
    <w:rsid w:val="00653E3D"/>
    <w:rsid w:val="0065700B"/>
    <w:rsid w:val="006577D2"/>
    <w:rsid w:val="0066025C"/>
    <w:rsid w:val="006610C2"/>
    <w:rsid w:val="006611AE"/>
    <w:rsid w:val="00661C76"/>
    <w:rsid w:val="0066233A"/>
    <w:rsid w:val="00662348"/>
    <w:rsid w:val="00662911"/>
    <w:rsid w:val="00663235"/>
    <w:rsid w:val="00663E8C"/>
    <w:rsid w:val="00665C84"/>
    <w:rsid w:val="006719F9"/>
    <w:rsid w:val="0067554C"/>
    <w:rsid w:val="00676DA9"/>
    <w:rsid w:val="00677F7C"/>
    <w:rsid w:val="00681CFA"/>
    <w:rsid w:val="00686B7E"/>
    <w:rsid w:val="00686CAC"/>
    <w:rsid w:val="0068774A"/>
    <w:rsid w:val="00690F7E"/>
    <w:rsid w:val="00692376"/>
    <w:rsid w:val="006931A2"/>
    <w:rsid w:val="006934C1"/>
    <w:rsid w:val="0069419A"/>
    <w:rsid w:val="00694E6C"/>
    <w:rsid w:val="00696508"/>
    <w:rsid w:val="006A2ECC"/>
    <w:rsid w:val="006A4364"/>
    <w:rsid w:val="006A54F8"/>
    <w:rsid w:val="006A5591"/>
    <w:rsid w:val="006A7A53"/>
    <w:rsid w:val="006B0653"/>
    <w:rsid w:val="006B090B"/>
    <w:rsid w:val="006B0E34"/>
    <w:rsid w:val="006B397A"/>
    <w:rsid w:val="006B3E6B"/>
    <w:rsid w:val="006C0340"/>
    <w:rsid w:val="006C2CEC"/>
    <w:rsid w:val="006C3946"/>
    <w:rsid w:val="006C5524"/>
    <w:rsid w:val="006C7787"/>
    <w:rsid w:val="006D3A7B"/>
    <w:rsid w:val="006D750A"/>
    <w:rsid w:val="006E0BF3"/>
    <w:rsid w:val="006E1D1A"/>
    <w:rsid w:val="006E2255"/>
    <w:rsid w:val="006E3113"/>
    <w:rsid w:val="006E347B"/>
    <w:rsid w:val="006E390F"/>
    <w:rsid w:val="006E54C2"/>
    <w:rsid w:val="006E674F"/>
    <w:rsid w:val="006F0B47"/>
    <w:rsid w:val="006F21AC"/>
    <w:rsid w:val="006F2518"/>
    <w:rsid w:val="006F295E"/>
    <w:rsid w:val="006F36F0"/>
    <w:rsid w:val="006F432B"/>
    <w:rsid w:val="006F4BBE"/>
    <w:rsid w:val="006F4FD9"/>
    <w:rsid w:val="006F545E"/>
    <w:rsid w:val="006F5503"/>
    <w:rsid w:val="00700A45"/>
    <w:rsid w:val="00701B3D"/>
    <w:rsid w:val="00703DE0"/>
    <w:rsid w:val="00704654"/>
    <w:rsid w:val="00714780"/>
    <w:rsid w:val="007153E1"/>
    <w:rsid w:val="00716C9A"/>
    <w:rsid w:val="0071765A"/>
    <w:rsid w:val="0071790F"/>
    <w:rsid w:val="00717DAA"/>
    <w:rsid w:val="007212CA"/>
    <w:rsid w:val="00722B4C"/>
    <w:rsid w:val="007247C8"/>
    <w:rsid w:val="00725275"/>
    <w:rsid w:val="0072571D"/>
    <w:rsid w:val="00730233"/>
    <w:rsid w:val="007309C1"/>
    <w:rsid w:val="0073221C"/>
    <w:rsid w:val="00733726"/>
    <w:rsid w:val="0073414B"/>
    <w:rsid w:val="00735A47"/>
    <w:rsid w:val="00736EAE"/>
    <w:rsid w:val="00740EC4"/>
    <w:rsid w:val="00741740"/>
    <w:rsid w:val="00742D9B"/>
    <w:rsid w:val="00745903"/>
    <w:rsid w:val="007459AA"/>
    <w:rsid w:val="0074628A"/>
    <w:rsid w:val="00746BFA"/>
    <w:rsid w:val="00751EB9"/>
    <w:rsid w:val="00755C26"/>
    <w:rsid w:val="007601B0"/>
    <w:rsid w:val="00761B57"/>
    <w:rsid w:val="00761CAD"/>
    <w:rsid w:val="00763B7C"/>
    <w:rsid w:val="00764D88"/>
    <w:rsid w:val="0076515C"/>
    <w:rsid w:val="00765726"/>
    <w:rsid w:val="00766C7F"/>
    <w:rsid w:val="007710FA"/>
    <w:rsid w:val="00777C23"/>
    <w:rsid w:val="00780218"/>
    <w:rsid w:val="007858C8"/>
    <w:rsid w:val="0078699E"/>
    <w:rsid w:val="00786AE5"/>
    <w:rsid w:val="0079198A"/>
    <w:rsid w:val="00795161"/>
    <w:rsid w:val="007951A9"/>
    <w:rsid w:val="00795545"/>
    <w:rsid w:val="00796442"/>
    <w:rsid w:val="0079731E"/>
    <w:rsid w:val="007A0F97"/>
    <w:rsid w:val="007A1193"/>
    <w:rsid w:val="007A2978"/>
    <w:rsid w:val="007A4BC2"/>
    <w:rsid w:val="007A7310"/>
    <w:rsid w:val="007A778B"/>
    <w:rsid w:val="007B06E0"/>
    <w:rsid w:val="007B2A43"/>
    <w:rsid w:val="007B3162"/>
    <w:rsid w:val="007B3660"/>
    <w:rsid w:val="007B4889"/>
    <w:rsid w:val="007B5D4B"/>
    <w:rsid w:val="007B689B"/>
    <w:rsid w:val="007B73B1"/>
    <w:rsid w:val="007B7971"/>
    <w:rsid w:val="007C0CC6"/>
    <w:rsid w:val="007C1933"/>
    <w:rsid w:val="007C1987"/>
    <w:rsid w:val="007C19A5"/>
    <w:rsid w:val="007C43E3"/>
    <w:rsid w:val="007C59AD"/>
    <w:rsid w:val="007C7450"/>
    <w:rsid w:val="007D1D0F"/>
    <w:rsid w:val="007D3112"/>
    <w:rsid w:val="007D4E8E"/>
    <w:rsid w:val="007D62B1"/>
    <w:rsid w:val="007D7A33"/>
    <w:rsid w:val="007D7EB2"/>
    <w:rsid w:val="007E1D2F"/>
    <w:rsid w:val="007E1EA3"/>
    <w:rsid w:val="007E2625"/>
    <w:rsid w:val="007E4B90"/>
    <w:rsid w:val="007E525F"/>
    <w:rsid w:val="007E7859"/>
    <w:rsid w:val="007F39B2"/>
    <w:rsid w:val="007F5F22"/>
    <w:rsid w:val="007F64AD"/>
    <w:rsid w:val="007F70D8"/>
    <w:rsid w:val="007F7D84"/>
    <w:rsid w:val="00802993"/>
    <w:rsid w:val="00804392"/>
    <w:rsid w:val="00804BDC"/>
    <w:rsid w:val="00805D98"/>
    <w:rsid w:val="00807596"/>
    <w:rsid w:val="00810841"/>
    <w:rsid w:val="00810FE0"/>
    <w:rsid w:val="00811B30"/>
    <w:rsid w:val="00812827"/>
    <w:rsid w:val="008140BC"/>
    <w:rsid w:val="00815228"/>
    <w:rsid w:val="008154B1"/>
    <w:rsid w:val="0081559A"/>
    <w:rsid w:val="008156FF"/>
    <w:rsid w:val="00816477"/>
    <w:rsid w:val="00817AA2"/>
    <w:rsid w:val="0082047F"/>
    <w:rsid w:val="00820DDB"/>
    <w:rsid w:val="00821992"/>
    <w:rsid w:val="00823508"/>
    <w:rsid w:val="00827E34"/>
    <w:rsid w:val="0083229A"/>
    <w:rsid w:val="0083254D"/>
    <w:rsid w:val="00832FD2"/>
    <w:rsid w:val="00840FA7"/>
    <w:rsid w:val="00841355"/>
    <w:rsid w:val="0085159D"/>
    <w:rsid w:val="008516AA"/>
    <w:rsid w:val="00851DBB"/>
    <w:rsid w:val="00852DF2"/>
    <w:rsid w:val="00852F21"/>
    <w:rsid w:val="00854F27"/>
    <w:rsid w:val="00857C72"/>
    <w:rsid w:val="00862D71"/>
    <w:rsid w:val="00865635"/>
    <w:rsid w:val="008658A1"/>
    <w:rsid w:val="00873E7F"/>
    <w:rsid w:val="00874DAF"/>
    <w:rsid w:val="00875351"/>
    <w:rsid w:val="00875B3E"/>
    <w:rsid w:val="00876ED6"/>
    <w:rsid w:val="00880E98"/>
    <w:rsid w:val="00881132"/>
    <w:rsid w:val="00882158"/>
    <w:rsid w:val="00882696"/>
    <w:rsid w:val="008833BE"/>
    <w:rsid w:val="00886F20"/>
    <w:rsid w:val="00890721"/>
    <w:rsid w:val="00891C8B"/>
    <w:rsid w:val="008922CA"/>
    <w:rsid w:val="0089284D"/>
    <w:rsid w:val="00892BFD"/>
    <w:rsid w:val="008936B5"/>
    <w:rsid w:val="00894FDC"/>
    <w:rsid w:val="0089666D"/>
    <w:rsid w:val="008976BB"/>
    <w:rsid w:val="008A0F45"/>
    <w:rsid w:val="008A226F"/>
    <w:rsid w:val="008A4BEF"/>
    <w:rsid w:val="008A5BB9"/>
    <w:rsid w:val="008A64EF"/>
    <w:rsid w:val="008B26BD"/>
    <w:rsid w:val="008B2EEE"/>
    <w:rsid w:val="008B4A59"/>
    <w:rsid w:val="008B528E"/>
    <w:rsid w:val="008B640B"/>
    <w:rsid w:val="008B64B2"/>
    <w:rsid w:val="008B6CA8"/>
    <w:rsid w:val="008B7358"/>
    <w:rsid w:val="008C0E98"/>
    <w:rsid w:val="008C1D47"/>
    <w:rsid w:val="008C1E0D"/>
    <w:rsid w:val="008C5BE8"/>
    <w:rsid w:val="008C601A"/>
    <w:rsid w:val="008C6CB0"/>
    <w:rsid w:val="008D58CA"/>
    <w:rsid w:val="008D61AF"/>
    <w:rsid w:val="008D73E0"/>
    <w:rsid w:val="008E47D8"/>
    <w:rsid w:val="008E5866"/>
    <w:rsid w:val="008E6385"/>
    <w:rsid w:val="008E6BB0"/>
    <w:rsid w:val="008E7C71"/>
    <w:rsid w:val="008F0655"/>
    <w:rsid w:val="008F0B29"/>
    <w:rsid w:val="008F1E65"/>
    <w:rsid w:val="008F32CB"/>
    <w:rsid w:val="008F366B"/>
    <w:rsid w:val="008F77DD"/>
    <w:rsid w:val="0090117B"/>
    <w:rsid w:val="00901626"/>
    <w:rsid w:val="009034D5"/>
    <w:rsid w:val="0090402A"/>
    <w:rsid w:val="00905530"/>
    <w:rsid w:val="00905F85"/>
    <w:rsid w:val="009078B4"/>
    <w:rsid w:val="009078F7"/>
    <w:rsid w:val="009109BE"/>
    <w:rsid w:val="00910FEB"/>
    <w:rsid w:val="009123FE"/>
    <w:rsid w:val="00913E0C"/>
    <w:rsid w:val="00916053"/>
    <w:rsid w:val="00916FA1"/>
    <w:rsid w:val="00920744"/>
    <w:rsid w:val="00920987"/>
    <w:rsid w:val="00920C31"/>
    <w:rsid w:val="0092560F"/>
    <w:rsid w:val="009271E6"/>
    <w:rsid w:val="00927D53"/>
    <w:rsid w:val="00930EDE"/>
    <w:rsid w:val="00931302"/>
    <w:rsid w:val="00931FCA"/>
    <w:rsid w:val="009328E9"/>
    <w:rsid w:val="00933275"/>
    <w:rsid w:val="0093613B"/>
    <w:rsid w:val="00936504"/>
    <w:rsid w:val="0093683A"/>
    <w:rsid w:val="0094396B"/>
    <w:rsid w:val="00943C3B"/>
    <w:rsid w:val="009446F6"/>
    <w:rsid w:val="00946235"/>
    <w:rsid w:val="009514AF"/>
    <w:rsid w:val="009528B6"/>
    <w:rsid w:val="00953735"/>
    <w:rsid w:val="00953FF8"/>
    <w:rsid w:val="00955E84"/>
    <w:rsid w:val="00956814"/>
    <w:rsid w:val="00956C25"/>
    <w:rsid w:val="00957062"/>
    <w:rsid w:val="0096189A"/>
    <w:rsid w:val="00962C46"/>
    <w:rsid w:val="0096317E"/>
    <w:rsid w:val="00966350"/>
    <w:rsid w:val="0096716B"/>
    <w:rsid w:val="0096F2E7"/>
    <w:rsid w:val="009701EB"/>
    <w:rsid w:val="00970280"/>
    <w:rsid w:val="009709A5"/>
    <w:rsid w:val="00972BFF"/>
    <w:rsid w:val="0097389B"/>
    <w:rsid w:val="00976AEC"/>
    <w:rsid w:val="00980A29"/>
    <w:rsid w:val="00983BAF"/>
    <w:rsid w:val="00985B02"/>
    <w:rsid w:val="009871A6"/>
    <w:rsid w:val="00987645"/>
    <w:rsid w:val="00990A82"/>
    <w:rsid w:val="009916F0"/>
    <w:rsid w:val="009923D8"/>
    <w:rsid w:val="00993446"/>
    <w:rsid w:val="009936B9"/>
    <w:rsid w:val="00993EB2"/>
    <w:rsid w:val="00994121"/>
    <w:rsid w:val="00994C72"/>
    <w:rsid w:val="00994CA7"/>
    <w:rsid w:val="0099582A"/>
    <w:rsid w:val="00996BC3"/>
    <w:rsid w:val="009A02B6"/>
    <w:rsid w:val="009A13E6"/>
    <w:rsid w:val="009A1CD5"/>
    <w:rsid w:val="009A64A2"/>
    <w:rsid w:val="009B0659"/>
    <w:rsid w:val="009B10F3"/>
    <w:rsid w:val="009B1535"/>
    <w:rsid w:val="009B1C8A"/>
    <w:rsid w:val="009B274E"/>
    <w:rsid w:val="009B332A"/>
    <w:rsid w:val="009B391F"/>
    <w:rsid w:val="009B4904"/>
    <w:rsid w:val="009C020C"/>
    <w:rsid w:val="009C076D"/>
    <w:rsid w:val="009C1589"/>
    <w:rsid w:val="009C5E1C"/>
    <w:rsid w:val="009C70FF"/>
    <w:rsid w:val="009D365D"/>
    <w:rsid w:val="009D3A75"/>
    <w:rsid w:val="009D6AFD"/>
    <w:rsid w:val="009D6C4E"/>
    <w:rsid w:val="009D73AA"/>
    <w:rsid w:val="009E08CC"/>
    <w:rsid w:val="009E2D7A"/>
    <w:rsid w:val="009E3C6A"/>
    <w:rsid w:val="009E4BDE"/>
    <w:rsid w:val="009E6D33"/>
    <w:rsid w:val="009E74A6"/>
    <w:rsid w:val="009E7910"/>
    <w:rsid w:val="009F166A"/>
    <w:rsid w:val="009F2CE5"/>
    <w:rsid w:val="009F4477"/>
    <w:rsid w:val="009F60CB"/>
    <w:rsid w:val="009F65A5"/>
    <w:rsid w:val="009F7484"/>
    <w:rsid w:val="00A017CB"/>
    <w:rsid w:val="00A038DA"/>
    <w:rsid w:val="00A062C1"/>
    <w:rsid w:val="00A06473"/>
    <w:rsid w:val="00A06FBD"/>
    <w:rsid w:val="00A07469"/>
    <w:rsid w:val="00A100B1"/>
    <w:rsid w:val="00A11305"/>
    <w:rsid w:val="00A16AFE"/>
    <w:rsid w:val="00A1795B"/>
    <w:rsid w:val="00A17BF9"/>
    <w:rsid w:val="00A2183E"/>
    <w:rsid w:val="00A224AA"/>
    <w:rsid w:val="00A233B9"/>
    <w:rsid w:val="00A234EF"/>
    <w:rsid w:val="00A2580D"/>
    <w:rsid w:val="00A272BC"/>
    <w:rsid w:val="00A330F8"/>
    <w:rsid w:val="00A36AE2"/>
    <w:rsid w:val="00A36E8C"/>
    <w:rsid w:val="00A3705F"/>
    <w:rsid w:val="00A41DB1"/>
    <w:rsid w:val="00A4305A"/>
    <w:rsid w:val="00A4515C"/>
    <w:rsid w:val="00A45AD9"/>
    <w:rsid w:val="00A544D2"/>
    <w:rsid w:val="00A549C7"/>
    <w:rsid w:val="00A54D72"/>
    <w:rsid w:val="00A563AA"/>
    <w:rsid w:val="00A5776C"/>
    <w:rsid w:val="00A60ECC"/>
    <w:rsid w:val="00A610C2"/>
    <w:rsid w:val="00A62832"/>
    <w:rsid w:val="00A63DA5"/>
    <w:rsid w:val="00A6415C"/>
    <w:rsid w:val="00A641B5"/>
    <w:rsid w:val="00A64FC4"/>
    <w:rsid w:val="00A6571F"/>
    <w:rsid w:val="00A66C95"/>
    <w:rsid w:val="00A67B3D"/>
    <w:rsid w:val="00A709A1"/>
    <w:rsid w:val="00A70E3E"/>
    <w:rsid w:val="00A725CE"/>
    <w:rsid w:val="00A7263B"/>
    <w:rsid w:val="00A75897"/>
    <w:rsid w:val="00A76655"/>
    <w:rsid w:val="00A8006C"/>
    <w:rsid w:val="00A81A38"/>
    <w:rsid w:val="00A8306F"/>
    <w:rsid w:val="00A8485D"/>
    <w:rsid w:val="00A84C1E"/>
    <w:rsid w:val="00A86244"/>
    <w:rsid w:val="00A8656D"/>
    <w:rsid w:val="00A866F3"/>
    <w:rsid w:val="00A86D5F"/>
    <w:rsid w:val="00A87019"/>
    <w:rsid w:val="00A8706D"/>
    <w:rsid w:val="00A874E2"/>
    <w:rsid w:val="00A91D2D"/>
    <w:rsid w:val="00A921E9"/>
    <w:rsid w:val="00A96A3E"/>
    <w:rsid w:val="00A96B2D"/>
    <w:rsid w:val="00A96CF2"/>
    <w:rsid w:val="00AA0369"/>
    <w:rsid w:val="00AA22C5"/>
    <w:rsid w:val="00AA249A"/>
    <w:rsid w:val="00AA279B"/>
    <w:rsid w:val="00AA6489"/>
    <w:rsid w:val="00AA6D09"/>
    <w:rsid w:val="00AA79F5"/>
    <w:rsid w:val="00AB3AA4"/>
    <w:rsid w:val="00AB4122"/>
    <w:rsid w:val="00AC19E4"/>
    <w:rsid w:val="00AC1B52"/>
    <w:rsid w:val="00AC3458"/>
    <w:rsid w:val="00AC4401"/>
    <w:rsid w:val="00AC5085"/>
    <w:rsid w:val="00AC7066"/>
    <w:rsid w:val="00AD0B71"/>
    <w:rsid w:val="00AE2B2D"/>
    <w:rsid w:val="00AE32F6"/>
    <w:rsid w:val="00AE429A"/>
    <w:rsid w:val="00AF1653"/>
    <w:rsid w:val="00AF21EF"/>
    <w:rsid w:val="00AF4D72"/>
    <w:rsid w:val="00AF4E69"/>
    <w:rsid w:val="00AF7A1D"/>
    <w:rsid w:val="00B02255"/>
    <w:rsid w:val="00B0305B"/>
    <w:rsid w:val="00B03280"/>
    <w:rsid w:val="00B0385C"/>
    <w:rsid w:val="00B0405C"/>
    <w:rsid w:val="00B0416E"/>
    <w:rsid w:val="00B0438C"/>
    <w:rsid w:val="00B04B75"/>
    <w:rsid w:val="00B074B1"/>
    <w:rsid w:val="00B107E7"/>
    <w:rsid w:val="00B11F55"/>
    <w:rsid w:val="00B13073"/>
    <w:rsid w:val="00B14DFC"/>
    <w:rsid w:val="00B15FC2"/>
    <w:rsid w:val="00B164D4"/>
    <w:rsid w:val="00B223DB"/>
    <w:rsid w:val="00B22A15"/>
    <w:rsid w:val="00B247E0"/>
    <w:rsid w:val="00B30834"/>
    <w:rsid w:val="00B33567"/>
    <w:rsid w:val="00B335AA"/>
    <w:rsid w:val="00B33F91"/>
    <w:rsid w:val="00B35ECC"/>
    <w:rsid w:val="00B3611B"/>
    <w:rsid w:val="00B36135"/>
    <w:rsid w:val="00B36ADE"/>
    <w:rsid w:val="00B37A61"/>
    <w:rsid w:val="00B37BDA"/>
    <w:rsid w:val="00B40817"/>
    <w:rsid w:val="00B40C37"/>
    <w:rsid w:val="00B40FCF"/>
    <w:rsid w:val="00B4317B"/>
    <w:rsid w:val="00B43595"/>
    <w:rsid w:val="00B44833"/>
    <w:rsid w:val="00B44D32"/>
    <w:rsid w:val="00B45D92"/>
    <w:rsid w:val="00B462F3"/>
    <w:rsid w:val="00B52FCC"/>
    <w:rsid w:val="00B535A3"/>
    <w:rsid w:val="00B54D0A"/>
    <w:rsid w:val="00B63438"/>
    <w:rsid w:val="00B647C0"/>
    <w:rsid w:val="00B71E2D"/>
    <w:rsid w:val="00B720C9"/>
    <w:rsid w:val="00B72191"/>
    <w:rsid w:val="00B72DD8"/>
    <w:rsid w:val="00B742D8"/>
    <w:rsid w:val="00B77701"/>
    <w:rsid w:val="00B80AE4"/>
    <w:rsid w:val="00B80F4E"/>
    <w:rsid w:val="00B82546"/>
    <w:rsid w:val="00B83300"/>
    <w:rsid w:val="00B84085"/>
    <w:rsid w:val="00B86E11"/>
    <w:rsid w:val="00B91B31"/>
    <w:rsid w:val="00B9341C"/>
    <w:rsid w:val="00B94E71"/>
    <w:rsid w:val="00B95063"/>
    <w:rsid w:val="00B95DCE"/>
    <w:rsid w:val="00B96208"/>
    <w:rsid w:val="00B96D75"/>
    <w:rsid w:val="00B978FB"/>
    <w:rsid w:val="00BA0E35"/>
    <w:rsid w:val="00BA1774"/>
    <w:rsid w:val="00BA1B2F"/>
    <w:rsid w:val="00BA26B2"/>
    <w:rsid w:val="00BA2A6D"/>
    <w:rsid w:val="00BA51A4"/>
    <w:rsid w:val="00BA6C65"/>
    <w:rsid w:val="00BA71DD"/>
    <w:rsid w:val="00BB175A"/>
    <w:rsid w:val="00BB27C9"/>
    <w:rsid w:val="00BB4B45"/>
    <w:rsid w:val="00BB5468"/>
    <w:rsid w:val="00BB6D69"/>
    <w:rsid w:val="00BB7C5D"/>
    <w:rsid w:val="00BC010D"/>
    <w:rsid w:val="00BC1412"/>
    <w:rsid w:val="00BC1456"/>
    <w:rsid w:val="00BC534D"/>
    <w:rsid w:val="00BC703C"/>
    <w:rsid w:val="00BD09A2"/>
    <w:rsid w:val="00BD1423"/>
    <w:rsid w:val="00BD2DB6"/>
    <w:rsid w:val="00BD41AE"/>
    <w:rsid w:val="00BD712B"/>
    <w:rsid w:val="00BE037B"/>
    <w:rsid w:val="00BE18BF"/>
    <w:rsid w:val="00BE1A5E"/>
    <w:rsid w:val="00BE3D01"/>
    <w:rsid w:val="00BE411E"/>
    <w:rsid w:val="00BF1B13"/>
    <w:rsid w:val="00BF4C2B"/>
    <w:rsid w:val="00BF4CC7"/>
    <w:rsid w:val="00BF5523"/>
    <w:rsid w:val="00BF5763"/>
    <w:rsid w:val="00BF63EC"/>
    <w:rsid w:val="00BF64E0"/>
    <w:rsid w:val="00BF6843"/>
    <w:rsid w:val="00C00290"/>
    <w:rsid w:val="00C009F4"/>
    <w:rsid w:val="00C0330E"/>
    <w:rsid w:val="00C057BD"/>
    <w:rsid w:val="00C06F4C"/>
    <w:rsid w:val="00C07AD8"/>
    <w:rsid w:val="00C11DAD"/>
    <w:rsid w:val="00C1357C"/>
    <w:rsid w:val="00C14023"/>
    <w:rsid w:val="00C14283"/>
    <w:rsid w:val="00C17EFD"/>
    <w:rsid w:val="00C22CD1"/>
    <w:rsid w:val="00C25D59"/>
    <w:rsid w:val="00C26F27"/>
    <w:rsid w:val="00C31445"/>
    <w:rsid w:val="00C31DEB"/>
    <w:rsid w:val="00C32B6E"/>
    <w:rsid w:val="00C349C6"/>
    <w:rsid w:val="00C35473"/>
    <w:rsid w:val="00C373CD"/>
    <w:rsid w:val="00C37B43"/>
    <w:rsid w:val="00C425C9"/>
    <w:rsid w:val="00C42FE3"/>
    <w:rsid w:val="00C43168"/>
    <w:rsid w:val="00C43595"/>
    <w:rsid w:val="00C44FDF"/>
    <w:rsid w:val="00C46BDD"/>
    <w:rsid w:val="00C47916"/>
    <w:rsid w:val="00C50D3C"/>
    <w:rsid w:val="00C516A9"/>
    <w:rsid w:val="00C51B1C"/>
    <w:rsid w:val="00C52C6E"/>
    <w:rsid w:val="00C52FD5"/>
    <w:rsid w:val="00C60675"/>
    <w:rsid w:val="00C6173F"/>
    <w:rsid w:val="00C63647"/>
    <w:rsid w:val="00C65967"/>
    <w:rsid w:val="00C702B2"/>
    <w:rsid w:val="00C71275"/>
    <w:rsid w:val="00C716A7"/>
    <w:rsid w:val="00C73415"/>
    <w:rsid w:val="00C75605"/>
    <w:rsid w:val="00C80314"/>
    <w:rsid w:val="00C81E46"/>
    <w:rsid w:val="00C8230C"/>
    <w:rsid w:val="00C82668"/>
    <w:rsid w:val="00C82D0F"/>
    <w:rsid w:val="00C82DD2"/>
    <w:rsid w:val="00C84E89"/>
    <w:rsid w:val="00C8519E"/>
    <w:rsid w:val="00C906C3"/>
    <w:rsid w:val="00C90D20"/>
    <w:rsid w:val="00C93304"/>
    <w:rsid w:val="00C94028"/>
    <w:rsid w:val="00C945DE"/>
    <w:rsid w:val="00C9720F"/>
    <w:rsid w:val="00CA0CED"/>
    <w:rsid w:val="00CA1029"/>
    <w:rsid w:val="00CA11FC"/>
    <w:rsid w:val="00CA1BAC"/>
    <w:rsid w:val="00CA2ACA"/>
    <w:rsid w:val="00CA5C5D"/>
    <w:rsid w:val="00CA610E"/>
    <w:rsid w:val="00CA7504"/>
    <w:rsid w:val="00CB0444"/>
    <w:rsid w:val="00CB175C"/>
    <w:rsid w:val="00CB4D71"/>
    <w:rsid w:val="00CC27BB"/>
    <w:rsid w:val="00CC2AA5"/>
    <w:rsid w:val="00CC4C6A"/>
    <w:rsid w:val="00CD05CC"/>
    <w:rsid w:val="00CD3026"/>
    <w:rsid w:val="00CD517B"/>
    <w:rsid w:val="00CE2338"/>
    <w:rsid w:val="00CE52B1"/>
    <w:rsid w:val="00CE7336"/>
    <w:rsid w:val="00CF20AB"/>
    <w:rsid w:val="00CF2334"/>
    <w:rsid w:val="00CF2501"/>
    <w:rsid w:val="00CF2D4F"/>
    <w:rsid w:val="00CF46E4"/>
    <w:rsid w:val="00CF5387"/>
    <w:rsid w:val="00D00590"/>
    <w:rsid w:val="00D019F7"/>
    <w:rsid w:val="00D03BD0"/>
    <w:rsid w:val="00D05E5F"/>
    <w:rsid w:val="00D062EF"/>
    <w:rsid w:val="00D0660F"/>
    <w:rsid w:val="00D069A5"/>
    <w:rsid w:val="00D076F0"/>
    <w:rsid w:val="00D10127"/>
    <w:rsid w:val="00D10ADF"/>
    <w:rsid w:val="00D16876"/>
    <w:rsid w:val="00D16DE0"/>
    <w:rsid w:val="00D16E79"/>
    <w:rsid w:val="00D20220"/>
    <w:rsid w:val="00D20DD3"/>
    <w:rsid w:val="00D21A57"/>
    <w:rsid w:val="00D2515C"/>
    <w:rsid w:val="00D263D1"/>
    <w:rsid w:val="00D30FFC"/>
    <w:rsid w:val="00D33BF9"/>
    <w:rsid w:val="00D342F0"/>
    <w:rsid w:val="00D41F30"/>
    <w:rsid w:val="00D431F5"/>
    <w:rsid w:val="00D44005"/>
    <w:rsid w:val="00D4746F"/>
    <w:rsid w:val="00D47B9E"/>
    <w:rsid w:val="00D51B30"/>
    <w:rsid w:val="00D52A3B"/>
    <w:rsid w:val="00D538E0"/>
    <w:rsid w:val="00D53A36"/>
    <w:rsid w:val="00D55F84"/>
    <w:rsid w:val="00D56CB6"/>
    <w:rsid w:val="00D56CFB"/>
    <w:rsid w:val="00D621B9"/>
    <w:rsid w:val="00D63E9E"/>
    <w:rsid w:val="00D64B37"/>
    <w:rsid w:val="00D64DFE"/>
    <w:rsid w:val="00D6768D"/>
    <w:rsid w:val="00D719F1"/>
    <w:rsid w:val="00D73761"/>
    <w:rsid w:val="00D739B9"/>
    <w:rsid w:val="00D7709C"/>
    <w:rsid w:val="00D83249"/>
    <w:rsid w:val="00D83948"/>
    <w:rsid w:val="00D84F01"/>
    <w:rsid w:val="00D9077C"/>
    <w:rsid w:val="00D90C93"/>
    <w:rsid w:val="00D913A8"/>
    <w:rsid w:val="00D91756"/>
    <w:rsid w:val="00D93D16"/>
    <w:rsid w:val="00D94C2F"/>
    <w:rsid w:val="00D95C1D"/>
    <w:rsid w:val="00DA0FB7"/>
    <w:rsid w:val="00DA1634"/>
    <w:rsid w:val="00DA269C"/>
    <w:rsid w:val="00DA3B04"/>
    <w:rsid w:val="00DA53A6"/>
    <w:rsid w:val="00DA693F"/>
    <w:rsid w:val="00DB3945"/>
    <w:rsid w:val="00DB4BA9"/>
    <w:rsid w:val="00DB674C"/>
    <w:rsid w:val="00DC1021"/>
    <w:rsid w:val="00DC1639"/>
    <w:rsid w:val="00DC2734"/>
    <w:rsid w:val="00DC3E45"/>
    <w:rsid w:val="00DC4D65"/>
    <w:rsid w:val="00DD0CC2"/>
    <w:rsid w:val="00DD10ED"/>
    <w:rsid w:val="00DD1748"/>
    <w:rsid w:val="00DD2EC4"/>
    <w:rsid w:val="00DD3B7D"/>
    <w:rsid w:val="00DD7B7C"/>
    <w:rsid w:val="00DD7C66"/>
    <w:rsid w:val="00DE0170"/>
    <w:rsid w:val="00DE1051"/>
    <w:rsid w:val="00DE3040"/>
    <w:rsid w:val="00DE3392"/>
    <w:rsid w:val="00DE6002"/>
    <w:rsid w:val="00DE67BC"/>
    <w:rsid w:val="00DE71CC"/>
    <w:rsid w:val="00DE78C7"/>
    <w:rsid w:val="00DF36D4"/>
    <w:rsid w:val="00DF3E4F"/>
    <w:rsid w:val="00DF47A5"/>
    <w:rsid w:val="00DF4C16"/>
    <w:rsid w:val="00DF594C"/>
    <w:rsid w:val="00DF7425"/>
    <w:rsid w:val="00E00BD0"/>
    <w:rsid w:val="00E00D07"/>
    <w:rsid w:val="00E03D19"/>
    <w:rsid w:val="00E04726"/>
    <w:rsid w:val="00E05B3E"/>
    <w:rsid w:val="00E064F7"/>
    <w:rsid w:val="00E066B7"/>
    <w:rsid w:val="00E06880"/>
    <w:rsid w:val="00E068C0"/>
    <w:rsid w:val="00E06EB0"/>
    <w:rsid w:val="00E074D8"/>
    <w:rsid w:val="00E074E0"/>
    <w:rsid w:val="00E109D5"/>
    <w:rsid w:val="00E11F3E"/>
    <w:rsid w:val="00E11FD2"/>
    <w:rsid w:val="00E15280"/>
    <w:rsid w:val="00E16C92"/>
    <w:rsid w:val="00E21A1D"/>
    <w:rsid w:val="00E22704"/>
    <w:rsid w:val="00E232AC"/>
    <w:rsid w:val="00E2468A"/>
    <w:rsid w:val="00E25E60"/>
    <w:rsid w:val="00E30533"/>
    <w:rsid w:val="00E3171D"/>
    <w:rsid w:val="00E32074"/>
    <w:rsid w:val="00E32546"/>
    <w:rsid w:val="00E33625"/>
    <w:rsid w:val="00E3445B"/>
    <w:rsid w:val="00E34AED"/>
    <w:rsid w:val="00E34DBC"/>
    <w:rsid w:val="00E368E4"/>
    <w:rsid w:val="00E371A4"/>
    <w:rsid w:val="00E417CC"/>
    <w:rsid w:val="00E42065"/>
    <w:rsid w:val="00E45C15"/>
    <w:rsid w:val="00E4673A"/>
    <w:rsid w:val="00E54DC9"/>
    <w:rsid w:val="00E55A83"/>
    <w:rsid w:val="00E56356"/>
    <w:rsid w:val="00E56CF0"/>
    <w:rsid w:val="00E60604"/>
    <w:rsid w:val="00E60CC3"/>
    <w:rsid w:val="00E6234D"/>
    <w:rsid w:val="00E62587"/>
    <w:rsid w:val="00E634E3"/>
    <w:rsid w:val="00E63889"/>
    <w:rsid w:val="00E6398D"/>
    <w:rsid w:val="00E63EEC"/>
    <w:rsid w:val="00E646B4"/>
    <w:rsid w:val="00E6503B"/>
    <w:rsid w:val="00E676A8"/>
    <w:rsid w:val="00E70D94"/>
    <w:rsid w:val="00E711B1"/>
    <w:rsid w:val="00E71606"/>
    <w:rsid w:val="00E7303C"/>
    <w:rsid w:val="00E73325"/>
    <w:rsid w:val="00E80257"/>
    <w:rsid w:val="00E85DAC"/>
    <w:rsid w:val="00E85F83"/>
    <w:rsid w:val="00E873E1"/>
    <w:rsid w:val="00E87464"/>
    <w:rsid w:val="00E904F5"/>
    <w:rsid w:val="00E90D1D"/>
    <w:rsid w:val="00E91655"/>
    <w:rsid w:val="00E93E9D"/>
    <w:rsid w:val="00E944B9"/>
    <w:rsid w:val="00E95B80"/>
    <w:rsid w:val="00E9681F"/>
    <w:rsid w:val="00E96857"/>
    <w:rsid w:val="00E96D3B"/>
    <w:rsid w:val="00EA107C"/>
    <w:rsid w:val="00EA1F46"/>
    <w:rsid w:val="00EA2792"/>
    <w:rsid w:val="00EA2F19"/>
    <w:rsid w:val="00EA3836"/>
    <w:rsid w:val="00EA4F28"/>
    <w:rsid w:val="00EA627B"/>
    <w:rsid w:val="00EA6F25"/>
    <w:rsid w:val="00EB0A85"/>
    <w:rsid w:val="00EB0E0B"/>
    <w:rsid w:val="00EB0E9B"/>
    <w:rsid w:val="00EB3739"/>
    <w:rsid w:val="00EB3E6A"/>
    <w:rsid w:val="00EB3E80"/>
    <w:rsid w:val="00EB4959"/>
    <w:rsid w:val="00EB6572"/>
    <w:rsid w:val="00EB6975"/>
    <w:rsid w:val="00EC0749"/>
    <w:rsid w:val="00EC1BED"/>
    <w:rsid w:val="00EC2796"/>
    <w:rsid w:val="00EC298F"/>
    <w:rsid w:val="00EC520D"/>
    <w:rsid w:val="00EC55F4"/>
    <w:rsid w:val="00EC7246"/>
    <w:rsid w:val="00ED38E2"/>
    <w:rsid w:val="00ED3B78"/>
    <w:rsid w:val="00EE3E8F"/>
    <w:rsid w:val="00EE4350"/>
    <w:rsid w:val="00EE5353"/>
    <w:rsid w:val="00EE5A2D"/>
    <w:rsid w:val="00EE735D"/>
    <w:rsid w:val="00EE796C"/>
    <w:rsid w:val="00EE7F65"/>
    <w:rsid w:val="00EF0F51"/>
    <w:rsid w:val="00EF24DC"/>
    <w:rsid w:val="00EF3913"/>
    <w:rsid w:val="00EF6845"/>
    <w:rsid w:val="00F01FF4"/>
    <w:rsid w:val="00F02587"/>
    <w:rsid w:val="00F02A2C"/>
    <w:rsid w:val="00F02FF5"/>
    <w:rsid w:val="00F04C0C"/>
    <w:rsid w:val="00F05349"/>
    <w:rsid w:val="00F05F9F"/>
    <w:rsid w:val="00F06572"/>
    <w:rsid w:val="00F077BF"/>
    <w:rsid w:val="00F10221"/>
    <w:rsid w:val="00F12A62"/>
    <w:rsid w:val="00F12CA7"/>
    <w:rsid w:val="00F1359C"/>
    <w:rsid w:val="00F135B1"/>
    <w:rsid w:val="00F149F1"/>
    <w:rsid w:val="00F15A78"/>
    <w:rsid w:val="00F200F3"/>
    <w:rsid w:val="00F2037E"/>
    <w:rsid w:val="00F227BA"/>
    <w:rsid w:val="00F22AB7"/>
    <w:rsid w:val="00F23140"/>
    <w:rsid w:val="00F30B62"/>
    <w:rsid w:val="00F3133A"/>
    <w:rsid w:val="00F32362"/>
    <w:rsid w:val="00F367E4"/>
    <w:rsid w:val="00F36901"/>
    <w:rsid w:val="00F3737C"/>
    <w:rsid w:val="00F428A4"/>
    <w:rsid w:val="00F442D0"/>
    <w:rsid w:val="00F4482B"/>
    <w:rsid w:val="00F44DC6"/>
    <w:rsid w:val="00F46E93"/>
    <w:rsid w:val="00F479C3"/>
    <w:rsid w:val="00F51D4D"/>
    <w:rsid w:val="00F52281"/>
    <w:rsid w:val="00F524A6"/>
    <w:rsid w:val="00F547E6"/>
    <w:rsid w:val="00F576AE"/>
    <w:rsid w:val="00F60AAD"/>
    <w:rsid w:val="00F61EAD"/>
    <w:rsid w:val="00F627EC"/>
    <w:rsid w:val="00F649E5"/>
    <w:rsid w:val="00F7119A"/>
    <w:rsid w:val="00F717F6"/>
    <w:rsid w:val="00F730A8"/>
    <w:rsid w:val="00F7359B"/>
    <w:rsid w:val="00F752CF"/>
    <w:rsid w:val="00F75E7A"/>
    <w:rsid w:val="00F80D80"/>
    <w:rsid w:val="00F80F58"/>
    <w:rsid w:val="00F83C18"/>
    <w:rsid w:val="00F84B78"/>
    <w:rsid w:val="00F84D04"/>
    <w:rsid w:val="00F850D7"/>
    <w:rsid w:val="00F871E7"/>
    <w:rsid w:val="00F91A8E"/>
    <w:rsid w:val="00F93B0F"/>
    <w:rsid w:val="00F93F9B"/>
    <w:rsid w:val="00F94D3E"/>
    <w:rsid w:val="00F94FA3"/>
    <w:rsid w:val="00F97C47"/>
    <w:rsid w:val="00FA273F"/>
    <w:rsid w:val="00FA289C"/>
    <w:rsid w:val="00FA332A"/>
    <w:rsid w:val="00FA360C"/>
    <w:rsid w:val="00FA3C16"/>
    <w:rsid w:val="00FA7141"/>
    <w:rsid w:val="00FB192E"/>
    <w:rsid w:val="00FB242C"/>
    <w:rsid w:val="00FB24F4"/>
    <w:rsid w:val="00FB51F1"/>
    <w:rsid w:val="00FB66FF"/>
    <w:rsid w:val="00FB7BC9"/>
    <w:rsid w:val="00FC010E"/>
    <w:rsid w:val="00FC46A0"/>
    <w:rsid w:val="00FC509E"/>
    <w:rsid w:val="00FC51E8"/>
    <w:rsid w:val="00FC6B3D"/>
    <w:rsid w:val="00FC7EDA"/>
    <w:rsid w:val="00FD1200"/>
    <w:rsid w:val="00FD285F"/>
    <w:rsid w:val="00FD2D7C"/>
    <w:rsid w:val="00FD42F6"/>
    <w:rsid w:val="00FD75EE"/>
    <w:rsid w:val="00FD77FE"/>
    <w:rsid w:val="00FE3D2A"/>
    <w:rsid w:val="00FE4D24"/>
    <w:rsid w:val="00FE62B9"/>
    <w:rsid w:val="00FE6418"/>
    <w:rsid w:val="00FF030B"/>
    <w:rsid w:val="00FF24FE"/>
    <w:rsid w:val="00FF3C40"/>
    <w:rsid w:val="00FF72C3"/>
    <w:rsid w:val="01608837"/>
    <w:rsid w:val="019FBCDF"/>
    <w:rsid w:val="01C94DBA"/>
    <w:rsid w:val="01FD66DD"/>
    <w:rsid w:val="0218C324"/>
    <w:rsid w:val="0249ACFD"/>
    <w:rsid w:val="02B569FF"/>
    <w:rsid w:val="03270E0D"/>
    <w:rsid w:val="03372F97"/>
    <w:rsid w:val="03E03C1A"/>
    <w:rsid w:val="040D8C82"/>
    <w:rsid w:val="04F4A05C"/>
    <w:rsid w:val="050AA258"/>
    <w:rsid w:val="05698A00"/>
    <w:rsid w:val="05DA136E"/>
    <w:rsid w:val="061AB47D"/>
    <w:rsid w:val="061FB9F6"/>
    <w:rsid w:val="0640C8EB"/>
    <w:rsid w:val="066AB35C"/>
    <w:rsid w:val="06A58058"/>
    <w:rsid w:val="06CFB743"/>
    <w:rsid w:val="06D1918C"/>
    <w:rsid w:val="06D9C1C3"/>
    <w:rsid w:val="06EEA11F"/>
    <w:rsid w:val="06F1719D"/>
    <w:rsid w:val="074465D5"/>
    <w:rsid w:val="07AC0425"/>
    <w:rsid w:val="07BE0F72"/>
    <w:rsid w:val="08226120"/>
    <w:rsid w:val="082288AE"/>
    <w:rsid w:val="08B0279A"/>
    <w:rsid w:val="095E4B7E"/>
    <w:rsid w:val="0966D122"/>
    <w:rsid w:val="09B25FF4"/>
    <w:rsid w:val="09BAC0FB"/>
    <w:rsid w:val="09D9CC97"/>
    <w:rsid w:val="0AC1EFFA"/>
    <w:rsid w:val="0B2F2295"/>
    <w:rsid w:val="0B361847"/>
    <w:rsid w:val="0C15A7A1"/>
    <w:rsid w:val="0C2AFA17"/>
    <w:rsid w:val="0CA2C056"/>
    <w:rsid w:val="0D3654AA"/>
    <w:rsid w:val="0DAF0F9C"/>
    <w:rsid w:val="0DF722AE"/>
    <w:rsid w:val="0E4224B2"/>
    <w:rsid w:val="0E87E5BE"/>
    <w:rsid w:val="0E8CEBF9"/>
    <w:rsid w:val="0E94DA19"/>
    <w:rsid w:val="0F600C21"/>
    <w:rsid w:val="0F7CA184"/>
    <w:rsid w:val="0FB77792"/>
    <w:rsid w:val="0FC48565"/>
    <w:rsid w:val="100B58DD"/>
    <w:rsid w:val="103B9129"/>
    <w:rsid w:val="1085C267"/>
    <w:rsid w:val="10B520E5"/>
    <w:rsid w:val="1161C714"/>
    <w:rsid w:val="119DFAA9"/>
    <w:rsid w:val="128EB64D"/>
    <w:rsid w:val="12D20FAC"/>
    <w:rsid w:val="13370636"/>
    <w:rsid w:val="13A1A537"/>
    <w:rsid w:val="13E94CE7"/>
    <w:rsid w:val="13F75601"/>
    <w:rsid w:val="14157DBF"/>
    <w:rsid w:val="14461AE1"/>
    <w:rsid w:val="144D595B"/>
    <w:rsid w:val="144EB95C"/>
    <w:rsid w:val="154D3627"/>
    <w:rsid w:val="1598D9D0"/>
    <w:rsid w:val="1601C8B7"/>
    <w:rsid w:val="167CB4C9"/>
    <w:rsid w:val="16B22E2E"/>
    <w:rsid w:val="171A11A1"/>
    <w:rsid w:val="174717D4"/>
    <w:rsid w:val="175952F7"/>
    <w:rsid w:val="18047ED6"/>
    <w:rsid w:val="183BE0CB"/>
    <w:rsid w:val="18864643"/>
    <w:rsid w:val="18E53A2D"/>
    <w:rsid w:val="19019E90"/>
    <w:rsid w:val="1948B6A6"/>
    <w:rsid w:val="19841770"/>
    <w:rsid w:val="1ABCB4F2"/>
    <w:rsid w:val="1ACEBD16"/>
    <w:rsid w:val="1AFB73C8"/>
    <w:rsid w:val="1B400EA8"/>
    <w:rsid w:val="1B4843D9"/>
    <w:rsid w:val="1B9AF616"/>
    <w:rsid w:val="1BC5F903"/>
    <w:rsid w:val="1BF1C3E9"/>
    <w:rsid w:val="1CA108F8"/>
    <w:rsid w:val="1CEF8EF6"/>
    <w:rsid w:val="1CFAD6CE"/>
    <w:rsid w:val="1D2CA5A4"/>
    <w:rsid w:val="1D5BFCC3"/>
    <w:rsid w:val="1D6CBC42"/>
    <w:rsid w:val="1D745E66"/>
    <w:rsid w:val="1D772DB8"/>
    <w:rsid w:val="1D79CC98"/>
    <w:rsid w:val="1D831670"/>
    <w:rsid w:val="1DB3B132"/>
    <w:rsid w:val="1E008182"/>
    <w:rsid w:val="1E4E46B8"/>
    <w:rsid w:val="1E667AA1"/>
    <w:rsid w:val="1E7C3B02"/>
    <w:rsid w:val="1FC2615B"/>
    <w:rsid w:val="200BAEDF"/>
    <w:rsid w:val="20A676C4"/>
    <w:rsid w:val="20E49312"/>
    <w:rsid w:val="21060F47"/>
    <w:rsid w:val="211D068F"/>
    <w:rsid w:val="2158D01E"/>
    <w:rsid w:val="21674E86"/>
    <w:rsid w:val="21C71649"/>
    <w:rsid w:val="22472F48"/>
    <w:rsid w:val="225BAAAB"/>
    <w:rsid w:val="230C93BB"/>
    <w:rsid w:val="23E1B5DD"/>
    <w:rsid w:val="242455EA"/>
    <w:rsid w:val="24459165"/>
    <w:rsid w:val="24586BE8"/>
    <w:rsid w:val="2466B6F6"/>
    <w:rsid w:val="248371B4"/>
    <w:rsid w:val="24865AF3"/>
    <w:rsid w:val="251578F7"/>
    <w:rsid w:val="251DEC44"/>
    <w:rsid w:val="254E2F86"/>
    <w:rsid w:val="2573D2B5"/>
    <w:rsid w:val="258C6E5F"/>
    <w:rsid w:val="25FA6C46"/>
    <w:rsid w:val="25FCFBBD"/>
    <w:rsid w:val="260D0A4A"/>
    <w:rsid w:val="2621680A"/>
    <w:rsid w:val="2634AEE0"/>
    <w:rsid w:val="2642C357"/>
    <w:rsid w:val="2669E4E5"/>
    <w:rsid w:val="268CB599"/>
    <w:rsid w:val="26B50F17"/>
    <w:rsid w:val="27157A0E"/>
    <w:rsid w:val="280B07B2"/>
    <w:rsid w:val="280F4E55"/>
    <w:rsid w:val="2833988F"/>
    <w:rsid w:val="284A5159"/>
    <w:rsid w:val="29E02B2D"/>
    <w:rsid w:val="29E60AC6"/>
    <w:rsid w:val="2A447A8D"/>
    <w:rsid w:val="2A5718BC"/>
    <w:rsid w:val="2A732011"/>
    <w:rsid w:val="2AC8577D"/>
    <w:rsid w:val="2ACEC89C"/>
    <w:rsid w:val="2B911F20"/>
    <w:rsid w:val="2BE656DD"/>
    <w:rsid w:val="2C3B424D"/>
    <w:rsid w:val="2C5674A3"/>
    <w:rsid w:val="2C71ABDC"/>
    <w:rsid w:val="2C803514"/>
    <w:rsid w:val="2CC4A576"/>
    <w:rsid w:val="2D1BEF26"/>
    <w:rsid w:val="2D2FADFE"/>
    <w:rsid w:val="2DCE021D"/>
    <w:rsid w:val="2DE783EA"/>
    <w:rsid w:val="2DEDE79B"/>
    <w:rsid w:val="2E5AA61D"/>
    <w:rsid w:val="2ED1A0CD"/>
    <w:rsid w:val="2EEEC635"/>
    <w:rsid w:val="2EFE3121"/>
    <w:rsid w:val="2F1A483D"/>
    <w:rsid w:val="2F38DC89"/>
    <w:rsid w:val="2FB6DE48"/>
    <w:rsid w:val="2FBCDC12"/>
    <w:rsid w:val="2FC9945C"/>
    <w:rsid w:val="2FCA9ACA"/>
    <w:rsid w:val="30497657"/>
    <w:rsid w:val="30A275EF"/>
    <w:rsid w:val="30C9B5FE"/>
    <w:rsid w:val="30F332C5"/>
    <w:rsid w:val="31332BA0"/>
    <w:rsid w:val="31445B8C"/>
    <w:rsid w:val="315A69B8"/>
    <w:rsid w:val="31B3A7FA"/>
    <w:rsid w:val="31FCF1F7"/>
    <w:rsid w:val="32161C44"/>
    <w:rsid w:val="324C1088"/>
    <w:rsid w:val="3269F22F"/>
    <w:rsid w:val="3284AEC5"/>
    <w:rsid w:val="328A5C45"/>
    <w:rsid w:val="32DE191D"/>
    <w:rsid w:val="32EA768E"/>
    <w:rsid w:val="33686280"/>
    <w:rsid w:val="337FE03F"/>
    <w:rsid w:val="338443C8"/>
    <w:rsid w:val="33D0EB8B"/>
    <w:rsid w:val="34251D95"/>
    <w:rsid w:val="34304636"/>
    <w:rsid w:val="344B406C"/>
    <w:rsid w:val="34517D1F"/>
    <w:rsid w:val="34AC0946"/>
    <w:rsid w:val="34B15038"/>
    <w:rsid w:val="35C78A9F"/>
    <w:rsid w:val="35F5B46A"/>
    <w:rsid w:val="3643A80B"/>
    <w:rsid w:val="369E15E2"/>
    <w:rsid w:val="36CEE36F"/>
    <w:rsid w:val="3789C731"/>
    <w:rsid w:val="381DD40B"/>
    <w:rsid w:val="3827ED8F"/>
    <w:rsid w:val="38C7D10A"/>
    <w:rsid w:val="395662E8"/>
    <w:rsid w:val="3960EDD9"/>
    <w:rsid w:val="39BC0FBD"/>
    <w:rsid w:val="39F1C95F"/>
    <w:rsid w:val="3A4B7418"/>
    <w:rsid w:val="3A73B2F2"/>
    <w:rsid w:val="3ABEB735"/>
    <w:rsid w:val="3ADDBB17"/>
    <w:rsid w:val="3AEEABF6"/>
    <w:rsid w:val="3B621B9E"/>
    <w:rsid w:val="3C04A8B4"/>
    <w:rsid w:val="3C31E900"/>
    <w:rsid w:val="3C6B5715"/>
    <w:rsid w:val="3C896DF6"/>
    <w:rsid w:val="3C9B346F"/>
    <w:rsid w:val="3CC60505"/>
    <w:rsid w:val="3CCC4E66"/>
    <w:rsid w:val="3E33CC51"/>
    <w:rsid w:val="3E706E11"/>
    <w:rsid w:val="3E889B66"/>
    <w:rsid w:val="3EDA1A71"/>
    <w:rsid w:val="3EE1B106"/>
    <w:rsid w:val="3EE5887A"/>
    <w:rsid w:val="3EEB4001"/>
    <w:rsid w:val="3EF6AA35"/>
    <w:rsid w:val="3F0BB3D6"/>
    <w:rsid w:val="3F7274D0"/>
    <w:rsid w:val="3F8B2AD9"/>
    <w:rsid w:val="3F943F69"/>
    <w:rsid w:val="3FC6FA86"/>
    <w:rsid w:val="3FE782AF"/>
    <w:rsid w:val="3FFCD3A2"/>
    <w:rsid w:val="4059FE53"/>
    <w:rsid w:val="41444BBF"/>
    <w:rsid w:val="4155EE2A"/>
    <w:rsid w:val="415D3687"/>
    <w:rsid w:val="4160862F"/>
    <w:rsid w:val="4184980B"/>
    <w:rsid w:val="4193E076"/>
    <w:rsid w:val="41B266B1"/>
    <w:rsid w:val="41E95D6A"/>
    <w:rsid w:val="41EACB18"/>
    <w:rsid w:val="41F15290"/>
    <w:rsid w:val="423AF2E8"/>
    <w:rsid w:val="426EF751"/>
    <w:rsid w:val="4276F8BB"/>
    <w:rsid w:val="42C3B287"/>
    <w:rsid w:val="4320B9D8"/>
    <w:rsid w:val="432BDE17"/>
    <w:rsid w:val="4340E8D7"/>
    <w:rsid w:val="43590503"/>
    <w:rsid w:val="437B723C"/>
    <w:rsid w:val="43A7D7A0"/>
    <w:rsid w:val="44526EE7"/>
    <w:rsid w:val="4492B6D2"/>
    <w:rsid w:val="44A32D47"/>
    <w:rsid w:val="44A48414"/>
    <w:rsid w:val="44A67F1A"/>
    <w:rsid w:val="44A6C400"/>
    <w:rsid w:val="44C348C4"/>
    <w:rsid w:val="44C88C64"/>
    <w:rsid w:val="450D5C65"/>
    <w:rsid w:val="453B0668"/>
    <w:rsid w:val="4569826C"/>
    <w:rsid w:val="456D4CB4"/>
    <w:rsid w:val="459420C5"/>
    <w:rsid w:val="45E38D40"/>
    <w:rsid w:val="46A3CA2B"/>
    <w:rsid w:val="46AB3D21"/>
    <w:rsid w:val="4727F9D2"/>
    <w:rsid w:val="47805FFC"/>
    <w:rsid w:val="4780E800"/>
    <w:rsid w:val="47BAAA1C"/>
    <w:rsid w:val="47DA05D4"/>
    <w:rsid w:val="47E9F170"/>
    <w:rsid w:val="481E2929"/>
    <w:rsid w:val="4871743E"/>
    <w:rsid w:val="48B8E76B"/>
    <w:rsid w:val="48DDAC1B"/>
    <w:rsid w:val="4914CE15"/>
    <w:rsid w:val="492D145E"/>
    <w:rsid w:val="4998E644"/>
    <w:rsid w:val="4A7D6627"/>
    <w:rsid w:val="4AA3F733"/>
    <w:rsid w:val="4ACAE205"/>
    <w:rsid w:val="4AFB919D"/>
    <w:rsid w:val="4B10CDA9"/>
    <w:rsid w:val="4B2E1DC3"/>
    <w:rsid w:val="4B67240A"/>
    <w:rsid w:val="4BC2D262"/>
    <w:rsid w:val="4C24EDCE"/>
    <w:rsid w:val="4C7AB182"/>
    <w:rsid w:val="4CF814CC"/>
    <w:rsid w:val="4D3C3170"/>
    <w:rsid w:val="4D62047A"/>
    <w:rsid w:val="4D81C78F"/>
    <w:rsid w:val="4D912448"/>
    <w:rsid w:val="4D97D5CF"/>
    <w:rsid w:val="4DBDFCBA"/>
    <w:rsid w:val="4DC2AD2A"/>
    <w:rsid w:val="4DF82030"/>
    <w:rsid w:val="4E0B7320"/>
    <w:rsid w:val="4E31481C"/>
    <w:rsid w:val="4E886EBB"/>
    <w:rsid w:val="4F4C028D"/>
    <w:rsid w:val="5015FE33"/>
    <w:rsid w:val="5074F4D1"/>
    <w:rsid w:val="508D9B9A"/>
    <w:rsid w:val="50C582EC"/>
    <w:rsid w:val="5134FD06"/>
    <w:rsid w:val="521CE293"/>
    <w:rsid w:val="52590C9C"/>
    <w:rsid w:val="528AB03F"/>
    <w:rsid w:val="528D6BB9"/>
    <w:rsid w:val="528DA145"/>
    <w:rsid w:val="52BB472D"/>
    <w:rsid w:val="53257994"/>
    <w:rsid w:val="53345BA8"/>
    <w:rsid w:val="5340D61B"/>
    <w:rsid w:val="53DC3294"/>
    <w:rsid w:val="53F448DA"/>
    <w:rsid w:val="54192FF3"/>
    <w:rsid w:val="541C0341"/>
    <w:rsid w:val="543D0015"/>
    <w:rsid w:val="5443A211"/>
    <w:rsid w:val="54567B2A"/>
    <w:rsid w:val="54D65DED"/>
    <w:rsid w:val="54E3DA4B"/>
    <w:rsid w:val="5576D257"/>
    <w:rsid w:val="559B3B85"/>
    <w:rsid w:val="55CF8628"/>
    <w:rsid w:val="56129036"/>
    <w:rsid w:val="563FDFAF"/>
    <w:rsid w:val="567DC561"/>
    <w:rsid w:val="56F8F41B"/>
    <w:rsid w:val="577FEA68"/>
    <w:rsid w:val="57896722"/>
    <w:rsid w:val="578D7028"/>
    <w:rsid w:val="57D721C7"/>
    <w:rsid w:val="57DB1940"/>
    <w:rsid w:val="57EB3311"/>
    <w:rsid w:val="5824E679"/>
    <w:rsid w:val="588DAEF3"/>
    <w:rsid w:val="589DFD59"/>
    <w:rsid w:val="58C9C9FF"/>
    <w:rsid w:val="58DF604E"/>
    <w:rsid w:val="58E5B64D"/>
    <w:rsid w:val="58F116D9"/>
    <w:rsid w:val="5930ED12"/>
    <w:rsid w:val="5A180AE4"/>
    <w:rsid w:val="5A9C6235"/>
    <w:rsid w:val="5ABD81FE"/>
    <w:rsid w:val="5B465C97"/>
    <w:rsid w:val="5BFA62EF"/>
    <w:rsid w:val="5C0515C4"/>
    <w:rsid w:val="5C21D9AC"/>
    <w:rsid w:val="5C78E8E6"/>
    <w:rsid w:val="5C7F9E05"/>
    <w:rsid w:val="5D20FD85"/>
    <w:rsid w:val="5D28E86A"/>
    <w:rsid w:val="5D2E6C38"/>
    <w:rsid w:val="5D489CA4"/>
    <w:rsid w:val="5D593087"/>
    <w:rsid w:val="5D96E2EB"/>
    <w:rsid w:val="5DFDD35C"/>
    <w:rsid w:val="5E03D4BE"/>
    <w:rsid w:val="5EDABA11"/>
    <w:rsid w:val="5EEC4E78"/>
    <w:rsid w:val="5F13B5F9"/>
    <w:rsid w:val="5F3D2EA1"/>
    <w:rsid w:val="5FB41C19"/>
    <w:rsid w:val="603A731B"/>
    <w:rsid w:val="6064BC75"/>
    <w:rsid w:val="607AD920"/>
    <w:rsid w:val="6117D949"/>
    <w:rsid w:val="61AFABD5"/>
    <w:rsid w:val="61D1A703"/>
    <w:rsid w:val="6204687F"/>
    <w:rsid w:val="620F1F42"/>
    <w:rsid w:val="625084BF"/>
    <w:rsid w:val="62531525"/>
    <w:rsid w:val="6280288A"/>
    <w:rsid w:val="6344DDFB"/>
    <w:rsid w:val="63D4F77A"/>
    <w:rsid w:val="63ED8E85"/>
    <w:rsid w:val="63F72851"/>
    <w:rsid w:val="648A3861"/>
    <w:rsid w:val="64936AEF"/>
    <w:rsid w:val="649FBFCF"/>
    <w:rsid w:val="6658564A"/>
    <w:rsid w:val="667A5940"/>
    <w:rsid w:val="66F4FE54"/>
    <w:rsid w:val="6702719F"/>
    <w:rsid w:val="6758CC7D"/>
    <w:rsid w:val="6795D2E3"/>
    <w:rsid w:val="67A27E38"/>
    <w:rsid w:val="67BF6128"/>
    <w:rsid w:val="67C99CE2"/>
    <w:rsid w:val="67DB6C91"/>
    <w:rsid w:val="681DDD72"/>
    <w:rsid w:val="6830FA07"/>
    <w:rsid w:val="68772EC2"/>
    <w:rsid w:val="6879AD73"/>
    <w:rsid w:val="68A6C6E2"/>
    <w:rsid w:val="68B85138"/>
    <w:rsid w:val="68E2B498"/>
    <w:rsid w:val="6992584E"/>
    <w:rsid w:val="69D48D72"/>
    <w:rsid w:val="6A12D4C2"/>
    <w:rsid w:val="6A2E18ED"/>
    <w:rsid w:val="6A47B81C"/>
    <w:rsid w:val="6A4E1E53"/>
    <w:rsid w:val="6B2366D5"/>
    <w:rsid w:val="6B4B0024"/>
    <w:rsid w:val="6B9F75C9"/>
    <w:rsid w:val="6BDCE6F8"/>
    <w:rsid w:val="6C4C6874"/>
    <w:rsid w:val="6C848DAE"/>
    <w:rsid w:val="6CCA087A"/>
    <w:rsid w:val="6CE5F856"/>
    <w:rsid w:val="6D8EE8A0"/>
    <w:rsid w:val="6DAE838C"/>
    <w:rsid w:val="6DB6380E"/>
    <w:rsid w:val="6EE57F60"/>
    <w:rsid w:val="6EF4893B"/>
    <w:rsid w:val="6F85CC6C"/>
    <w:rsid w:val="6F8CEC64"/>
    <w:rsid w:val="6F902EF2"/>
    <w:rsid w:val="70A8C0AF"/>
    <w:rsid w:val="712274ED"/>
    <w:rsid w:val="713F9F68"/>
    <w:rsid w:val="721A34E5"/>
    <w:rsid w:val="728B7BC3"/>
    <w:rsid w:val="729F577B"/>
    <w:rsid w:val="7334ECB6"/>
    <w:rsid w:val="733EE612"/>
    <w:rsid w:val="734E8A0B"/>
    <w:rsid w:val="742BBBE7"/>
    <w:rsid w:val="74563ED6"/>
    <w:rsid w:val="746584D1"/>
    <w:rsid w:val="749CAB35"/>
    <w:rsid w:val="74BAA085"/>
    <w:rsid w:val="74F9C1E1"/>
    <w:rsid w:val="751AA022"/>
    <w:rsid w:val="755C57AF"/>
    <w:rsid w:val="75667672"/>
    <w:rsid w:val="7583D332"/>
    <w:rsid w:val="75A14B40"/>
    <w:rsid w:val="75E29475"/>
    <w:rsid w:val="760E1C30"/>
    <w:rsid w:val="762C9A36"/>
    <w:rsid w:val="7664DE26"/>
    <w:rsid w:val="76AD8968"/>
    <w:rsid w:val="76DF1E3E"/>
    <w:rsid w:val="76E429A4"/>
    <w:rsid w:val="77133B7B"/>
    <w:rsid w:val="7714ACD7"/>
    <w:rsid w:val="774BC7BD"/>
    <w:rsid w:val="775122FD"/>
    <w:rsid w:val="7766A5F6"/>
    <w:rsid w:val="77CC3D89"/>
    <w:rsid w:val="783EDC32"/>
    <w:rsid w:val="78723445"/>
    <w:rsid w:val="790D7696"/>
    <w:rsid w:val="7947B8B2"/>
    <w:rsid w:val="795340E2"/>
    <w:rsid w:val="7984107E"/>
    <w:rsid w:val="79A1994E"/>
    <w:rsid w:val="79AD1F19"/>
    <w:rsid w:val="7A93C39C"/>
    <w:rsid w:val="7BA262D4"/>
    <w:rsid w:val="7C013E68"/>
    <w:rsid w:val="7C89A90F"/>
    <w:rsid w:val="7C9CDD57"/>
    <w:rsid w:val="7CAA89DB"/>
    <w:rsid w:val="7D039A75"/>
    <w:rsid w:val="7D3FCF1C"/>
    <w:rsid w:val="7D4CFA8F"/>
    <w:rsid w:val="7D5B4343"/>
    <w:rsid w:val="7D62B243"/>
    <w:rsid w:val="7D7B4D88"/>
    <w:rsid w:val="7DBBBC8B"/>
    <w:rsid w:val="7E7CCD19"/>
    <w:rsid w:val="7EC572AF"/>
    <w:rsid w:val="7FE2B44C"/>
  </w:rsids>
  <w:docVars>
    <w:docVar w:name="_AMO_ReportControlsVisible" w:val="Empty"/>
    <w:docVar w:name="_AMO_UniqueIdentifier" w:val="Empty"/>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AB636CE"/>
  <w15:docId w15:val="{606440DC-87DA-45BC-835A-1A7151A6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before="283"/>
    </w:pPr>
    <w:rPr>
      <w:sz w:val="22"/>
      <w:szCs w:val="22"/>
    </w:rPr>
  </w:style>
  <w:style w:type="character" w:styleId="Hyperlink">
    <w:name w:val="Hyperlink"/>
    <w:rsid w:val="008B26BD"/>
    <w:rPr>
      <w:color w:val="0000FF"/>
      <w:u w:val="single"/>
    </w:rPr>
  </w:style>
  <w:style w:type="character" w:styleId="FollowedHyperlink">
    <w:name w:val="FollowedHyperlink"/>
    <w:rsid w:val="008B26BD"/>
    <w:rPr>
      <w:color w:val="954F72"/>
      <w:u w:val="single"/>
    </w:rPr>
  </w:style>
  <w:style w:type="paragraph" w:styleId="BalloonText">
    <w:name w:val="Balloon Text"/>
    <w:basedOn w:val="Normal"/>
    <w:link w:val="BalloonTextChar"/>
    <w:rsid w:val="00804BDC"/>
    <w:rPr>
      <w:rFonts w:ascii="Segoe UI" w:hAnsi="Segoe UI" w:cs="Segoe UI"/>
      <w:sz w:val="18"/>
      <w:szCs w:val="18"/>
    </w:rPr>
  </w:style>
  <w:style w:type="character" w:customStyle="1" w:styleId="BalloonTextChar">
    <w:name w:val="Balloon Text Char"/>
    <w:link w:val="BalloonText"/>
    <w:rsid w:val="00804BDC"/>
    <w:rPr>
      <w:rFonts w:ascii="Segoe UI" w:hAnsi="Segoe UI" w:cs="Segoe UI"/>
      <w:sz w:val="18"/>
      <w:szCs w:val="18"/>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sid w:val="001F4154"/>
    <w:rPr>
      <w:vertAlign w:val="superscript"/>
    </w:rPr>
  </w:style>
  <w:style w:type="paragraph" w:styleId="FootnoteText">
    <w:name w:val="footnote text"/>
    <w:aliases w:val="Footnote Text Char Char,Footnote Text Char Char Char,Footnote Text Char Char Char Char Char,Footnote Text Char1 Char,Footnote Text Char1 Char Char,Footnote Text Char1 Char Char Char,Footnote Text Char1 Char Char Char Char Char,Style ,fn,ft"/>
    <w:basedOn w:val="Normal"/>
    <w:link w:val="FootnoteTextChar"/>
    <w:uiPriority w:val="99"/>
    <w:qFormat/>
    <w:rsid w:val="001F4154"/>
    <w:pPr>
      <w:widowControl w:val="0"/>
      <w:autoSpaceDE w:val="0"/>
      <w:autoSpaceDN w:val="0"/>
      <w:adjustRightInd w:val="0"/>
    </w:pPr>
    <w:rPr>
      <w:rFonts w:ascii="Courier 10cpi" w:hAnsi="Courier 10cpi"/>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1F4154"/>
    <w:rPr>
      <w:rFonts w:ascii="Courier 10cpi" w:hAnsi="Courier 10cpi"/>
      <w:lang w:eastAsia="en-US"/>
    </w:rPr>
  </w:style>
  <w:style w:type="character" w:styleId="CommentReference">
    <w:name w:val="annotation reference"/>
    <w:basedOn w:val="DefaultParagraphFont"/>
    <w:uiPriority w:val="99"/>
    <w:rsid w:val="003430AF"/>
    <w:rPr>
      <w:sz w:val="16"/>
      <w:szCs w:val="16"/>
    </w:rPr>
  </w:style>
  <w:style w:type="paragraph" w:styleId="CommentText">
    <w:name w:val="annotation text"/>
    <w:basedOn w:val="Normal"/>
    <w:link w:val="CommentTextChar"/>
    <w:rsid w:val="003430AF"/>
    <w:rPr>
      <w:sz w:val="20"/>
      <w:szCs w:val="20"/>
    </w:rPr>
  </w:style>
  <w:style w:type="character" w:customStyle="1" w:styleId="CommentTextChar">
    <w:name w:val="Comment Text Char"/>
    <w:basedOn w:val="DefaultParagraphFont"/>
    <w:link w:val="CommentText"/>
    <w:rsid w:val="003430AF"/>
    <w:rPr>
      <w:lang w:eastAsia="en-US"/>
    </w:rPr>
  </w:style>
  <w:style w:type="paragraph" w:styleId="CommentSubject">
    <w:name w:val="annotation subject"/>
    <w:basedOn w:val="CommentText"/>
    <w:next w:val="CommentText"/>
    <w:link w:val="CommentSubjectChar"/>
    <w:rsid w:val="003430AF"/>
    <w:rPr>
      <w:b/>
      <w:bCs/>
    </w:rPr>
  </w:style>
  <w:style w:type="character" w:customStyle="1" w:styleId="CommentSubjectChar">
    <w:name w:val="Comment Subject Char"/>
    <w:basedOn w:val="CommentTextChar"/>
    <w:link w:val="CommentSubject"/>
    <w:rsid w:val="003430AF"/>
    <w:rPr>
      <w:b/>
      <w:bCs/>
      <w:lang w:eastAsia="en-US"/>
    </w:rPr>
  </w:style>
  <w:style w:type="paragraph" w:styleId="BodyText2">
    <w:name w:val="Body Text 2"/>
    <w:basedOn w:val="Normal"/>
    <w:link w:val="BodyText2Char"/>
    <w:rsid w:val="00595F30"/>
    <w:pPr>
      <w:spacing w:after="120" w:line="480" w:lineRule="auto"/>
    </w:pPr>
  </w:style>
  <w:style w:type="character" w:customStyle="1" w:styleId="BodyText2Char">
    <w:name w:val="Body Text 2 Char"/>
    <w:basedOn w:val="DefaultParagraphFont"/>
    <w:link w:val="BodyText2"/>
    <w:rsid w:val="00595F30"/>
    <w:rPr>
      <w:sz w:val="24"/>
      <w:szCs w:val="24"/>
      <w:lang w:eastAsia="en-US"/>
    </w:rPr>
  </w:style>
  <w:style w:type="paragraph" w:styleId="PlainText">
    <w:name w:val="Plain Text"/>
    <w:basedOn w:val="Normal"/>
    <w:link w:val="PlainTextChar"/>
    <w:rsid w:val="00662911"/>
    <w:rPr>
      <w:rFonts w:ascii="Courier New" w:hAnsi="Courier New" w:cs="Courier New"/>
      <w:sz w:val="20"/>
      <w:szCs w:val="20"/>
    </w:rPr>
  </w:style>
  <w:style w:type="character" w:customStyle="1" w:styleId="PlainTextChar">
    <w:name w:val="Plain Text Char"/>
    <w:basedOn w:val="DefaultParagraphFont"/>
    <w:link w:val="PlainText"/>
    <w:rsid w:val="00662911"/>
    <w:rPr>
      <w:rFonts w:ascii="Courier New" w:hAnsi="Courier New" w:cs="Courier New"/>
      <w:lang w:eastAsia="en-US"/>
    </w:rPr>
  </w:style>
  <w:style w:type="character" w:customStyle="1" w:styleId="num2">
    <w:name w:val="num2"/>
    <w:basedOn w:val="DefaultParagraphFont"/>
    <w:rsid w:val="0072571D"/>
    <w:rPr>
      <w:b/>
      <w:bCs/>
    </w:rPr>
  </w:style>
  <w:style w:type="character" w:customStyle="1" w:styleId="chapeau">
    <w:name w:val="chapeau"/>
    <w:basedOn w:val="DefaultParagraphFont"/>
    <w:rsid w:val="0072571D"/>
  </w:style>
  <w:style w:type="paragraph" w:styleId="ListParagraph">
    <w:name w:val="List Paragraph"/>
    <w:basedOn w:val="Normal"/>
    <w:uiPriority w:val="34"/>
    <w:qFormat/>
    <w:rsid w:val="00D33BF9"/>
    <w:pPr>
      <w:ind w:left="720"/>
      <w:contextualSpacing/>
    </w:pPr>
  </w:style>
  <w:style w:type="paragraph" w:styleId="HTMLPreformatted">
    <w:name w:val="HTML Preformatted"/>
    <w:basedOn w:val="Normal"/>
    <w:link w:val="HTMLPreformattedChar"/>
    <w:unhideWhenUsed/>
    <w:rsid w:val="00F32362"/>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F32362"/>
    <w:rPr>
      <w:rFonts w:ascii="Consolas" w:hAnsi="Consolas" w:cs="Consolas"/>
      <w:lang w:eastAsia="en-US"/>
    </w:rPr>
  </w:style>
  <w:style w:type="paragraph" w:styleId="Header">
    <w:name w:val="header"/>
    <w:basedOn w:val="Normal"/>
    <w:link w:val="HeaderChar"/>
    <w:uiPriority w:val="99"/>
    <w:unhideWhenUsed/>
    <w:rsid w:val="00AA79F5"/>
    <w:pPr>
      <w:tabs>
        <w:tab w:val="center" w:pos="4680"/>
        <w:tab w:val="right" w:pos="9360"/>
      </w:tabs>
    </w:pPr>
  </w:style>
  <w:style w:type="character" w:customStyle="1" w:styleId="HeaderChar">
    <w:name w:val="Header Char"/>
    <w:basedOn w:val="DefaultParagraphFont"/>
    <w:link w:val="Header"/>
    <w:uiPriority w:val="99"/>
    <w:rsid w:val="00AA79F5"/>
    <w:rPr>
      <w:sz w:val="24"/>
      <w:szCs w:val="24"/>
      <w:lang w:eastAsia="en-US"/>
    </w:rPr>
  </w:style>
  <w:style w:type="paragraph" w:styleId="Footer">
    <w:name w:val="footer"/>
    <w:basedOn w:val="Normal"/>
    <w:link w:val="FooterChar"/>
    <w:uiPriority w:val="99"/>
    <w:unhideWhenUsed/>
    <w:rsid w:val="00AA79F5"/>
    <w:pPr>
      <w:tabs>
        <w:tab w:val="center" w:pos="4680"/>
        <w:tab w:val="right" w:pos="9360"/>
      </w:tabs>
    </w:pPr>
  </w:style>
  <w:style w:type="character" w:customStyle="1" w:styleId="FooterChar">
    <w:name w:val="Footer Char"/>
    <w:basedOn w:val="DefaultParagraphFont"/>
    <w:link w:val="Footer"/>
    <w:uiPriority w:val="99"/>
    <w:rsid w:val="00AA79F5"/>
    <w:rPr>
      <w:sz w:val="24"/>
      <w:szCs w:val="24"/>
      <w:lang w:eastAsia="en-US"/>
    </w:rPr>
  </w:style>
  <w:style w:type="paragraph" w:customStyle="1" w:styleId="indent-2">
    <w:name w:val="indent-2"/>
    <w:basedOn w:val="Normal"/>
    <w:rsid w:val="0062639C"/>
    <w:pPr>
      <w:spacing w:before="100" w:beforeAutospacing="1" w:after="100" w:afterAutospacing="1"/>
    </w:pPr>
  </w:style>
  <w:style w:type="paragraph" w:styleId="BodyTextIndent">
    <w:name w:val="Body Text Indent"/>
    <w:basedOn w:val="Normal"/>
    <w:link w:val="BodyTextIndentChar"/>
    <w:semiHidden/>
    <w:unhideWhenUsed/>
    <w:rsid w:val="001333C4"/>
    <w:pPr>
      <w:spacing w:after="120"/>
      <w:ind w:left="360"/>
    </w:pPr>
  </w:style>
  <w:style w:type="character" w:customStyle="1" w:styleId="BodyTextIndentChar">
    <w:name w:val="Body Text Indent Char"/>
    <w:basedOn w:val="DefaultParagraphFont"/>
    <w:link w:val="BodyTextIndent"/>
    <w:semiHidden/>
    <w:rsid w:val="001333C4"/>
    <w:rPr>
      <w:sz w:val="24"/>
      <w:szCs w:val="24"/>
      <w:lang w:eastAsia="en-US"/>
    </w:rPr>
  </w:style>
  <w:style w:type="table" w:styleId="TableGrid">
    <w:name w:val="Table Grid"/>
    <w:basedOn w:val="TableNormal"/>
    <w:uiPriority w:val="39"/>
    <w:rsid w:val="008D7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F01FF4"/>
    <w:rPr>
      <w:color w:val="605E5C"/>
      <w:shd w:val="clear" w:color="auto" w:fill="E1DFDD"/>
    </w:rPr>
  </w:style>
  <w:style w:type="character" w:styleId="Mention">
    <w:name w:val="Mention"/>
    <w:basedOn w:val="DefaultParagraphFont"/>
    <w:uiPriority w:val="99"/>
    <w:unhideWhenUsed/>
    <w:rsid w:val="001A7D92"/>
    <w:rPr>
      <w:color w:val="2B579A"/>
      <w:shd w:val="clear" w:color="auto" w:fill="E1DFDD"/>
    </w:rPr>
  </w:style>
  <w:style w:type="paragraph" w:styleId="Revision">
    <w:name w:val="Revision"/>
    <w:hidden/>
    <w:uiPriority w:val="99"/>
    <w:semiHidden/>
    <w:rsid w:val="00D63E9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fincen105.cbp.dhs.gov/" TargetMode="External" /><Relationship Id="rId2" Type="http://schemas.openxmlformats.org/officeDocument/2006/relationships/hyperlink" Target="https://www.fincen.gov/sites/default/files/shared/fin105_cmir.pdf" TargetMode="External" /><Relationship Id="rId3" Type="http://schemas.openxmlformats.org/officeDocument/2006/relationships/hyperlink" Target="https://www.fincen.gov/resources/statutes-regulations/guidance/cmir-guidance-common-carriers-currency-including-armor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ID xmlns="35eb0a87-3083-40ba-b880-8775b2bd43e8">93bc0a44-cd4d-4f1c-893a-32eddce7329c</DocID>
    <CaseID xmlns="35eb0a87-3083-40ba-b880-8775b2bd43e8">20258-TFI-9796</CaseID>
    <Category xmlns="35eb0a87-3083-40ba-b880-8775b2bd43e8">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07000B74D03745A456F1D4F0E2F0F9" ma:contentTypeVersion="4" ma:contentTypeDescription="Create a new document." ma:contentTypeScope="" ma:versionID="778b716901d2ea4b461fb6f239cc962d">
  <xsd:schema xmlns:xsd="http://www.w3.org/2001/XMLSchema" xmlns:xs="http://www.w3.org/2001/XMLSchema" xmlns:p="http://schemas.microsoft.com/office/2006/metadata/properties" xmlns:ns2="35eb0a87-3083-40ba-b880-8775b2bd43e8" xmlns:ns3="91882c98-ad7c-457b-bb99-16138be0c2aa" targetNamespace="http://schemas.microsoft.com/office/2006/metadata/properties" ma:root="true" ma:fieldsID="59ad7c85280c2203475d8ca8f8d9415b" ns2:_="" ns3:_="">
    <xsd:import namespace="35eb0a87-3083-40ba-b880-8775b2bd43e8"/>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b0a87-3083-40ba-b880-8775b2bd43e8"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1618A-3B2B-4CED-95D9-98636E973D0E}">
  <ds:schemaRefs>
    <ds:schemaRef ds:uri="http://schemas.openxmlformats.org/officeDocument/2006/bibliography"/>
  </ds:schemaRefs>
</ds:datastoreItem>
</file>

<file path=customXml/itemProps2.xml><?xml version="1.0" encoding="utf-8"?>
<ds:datastoreItem xmlns:ds="http://schemas.openxmlformats.org/officeDocument/2006/customXml" ds:itemID="{847C19CE-9100-46C7-A14E-A10EB83B5DEA}">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35eb0a87-3083-40ba-b880-8775b2bd43e8"/>
    <ds:schemaRef ds:uri="91882c98-ad7c-457b-bb99-16138be0c2aa"/>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DEAEB19-ED70-41D5-9515-7C4160DAE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b0a87-3083-40ba-b880-8775b2bd43e8"/>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59850-4866-4292-8AA3-3593EA655D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Information Technology</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StephR</dc:creator>
  <cp:lastModifiedBy>Stewart, Jaclyn</cp:lastModifiedBy>
  <cp:revision>2</cp:revision>
  <cp:lastPrinted>2015-08-21T21:18:00Z</cp:lastPrinted>
  <dcterms:created xsi:type="dcterms:W3CDTF">2025-08-27T12:36:00Z</dcterms:created>
  <dcterms:modified xsi:type="dcterms:W3CDTF">2025-08-27T12:36:00Z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0x0101007207000B74D03745A456F1D4F0E2F0F9</vt:lpwstr>
  </property>
</Properties>
</file>