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7125" w:rsidRPr="00377367" w:rsidP="00D4641E" w14:paraId="21B3E1C9" w14:textId="70B98DFC">
      <w:pPr>
        <w:jc w:val="center"/>
      </w:pPr>
      <w:r>
        <w:t>C</w:t>
      </w:r>
      <w:r w:rsidRPr="00377367">
        <w:t>ommunity Development Financial Institutions Fund, Department of the Treasury</w:t>
      </w:r>
    </w:p>
    <w:p w:rsidR="00BB7125" w:rsidRPr="00377367" w:rsidP="00BB7125" w14:paraId="7B7CDB67" w14:textId="77777777">
      <w:pPr>
        <w:pStyle w:val="Default"/>
        <w:jc w:val="center"/>
        <w:rPr>
          <w:color w:val="auto"/>
        </w:rPr>
      </w:pPr>
      <w:r w:rsidRPr="00377367">
        <w:rPr>
          <w:color w:val="auto"/>
        </w:rPr>
        <w:t>Supporting Statement – Part A</w:t>
      </w:r>
    </w:p>
    <w:p w:rsidR="00E21C1D" w:rsidP="00BB7125" w14:paraId="32870594" w14:textId="67870176">
      <w:pPr>
        <w:pStyle w:val="Default"/>
        <w:jc w:val="center"/>
      </w:pPr>
      <w:r w:rsidRPr="00377367">
        <w:t xml:space="preserve">Office of Compliance Monitoring and Evaluation </w:t>
      </w:r>
      <w:r>
        <w:t>Material Event Form</w:t>
      </w:r>
    </w:p>
    <w:p w:rsidR="00BB7125" w:rsidP="00BB7125" w14:paraId="7FF9FCD2" w14:textId="450DE449">
      <w:pPr>
        <w:pStyle w:val="Default"/>
        <w:jc w:val="center"/>
        <w:rPr>
          <w:color w:val="auto"/>
        </w:rPr>
      </w:pPr>
      <w:r w:rsidRPr="00377367">
        <w:t xml:space="preserve"> </w:t>
      </w:r>
      <w:r w:rsidRPr="00377367">
        <w:rPr>
          <w:color w:val="auto"/>
        </w:rPr>
        <w:t xml:space="preserve">OMB Control Number </w:t>
      </w:r>
      <w:r w:rsidRPr="00D1229E">
        <w:rPr>
          <w:color w:val="auto"/>
        </w:rPr>
        <w:t>1559-</w:t>
      </w:r>
      <w:r w:rsidRPr="00D1229E" w:rsidR="00D1229E">
        <w:rPr>
          <w:color w:val="auto"/>
        </w:rPr>
        <w:t>0037</w:t>
      </w:r>
    </w:p>
    <w:p w:rsidR="0072462A" w:rsidP="0072462A" w14:paraId="7B5E7AB1" w14:textId="77777777">
      <w:pPr>
        <w:jc w:val="center"/>
        <w:rPr>
          <w:b/>
        </w:rPr>
      </w:pPr>
    </w:p>
    <w:p w:rsidR="0072462A" w:rsidRPr="008754EE" w:rsidP="0072462A" w14:paraId="105E7C71" w14:textId="13D8B32D">
      <w:pPr>
        <w:jc w:val="center"/>
        <w:rPr>
          <w:b/>
        </w:rPr>
      </w:pPr>
      <w:r w:rsidRPr="008754EE">
        <w:rPr>
          <w:b/>
        </w:rPr>
        <w:t>Collection</w:t>
      </w:r>
      <w:r>
        <w:rPr>
          <w:b/>
        </w:rPr>
        <w:t xml:space="preserve"> Renewal</w:t>
      </w:r>
    </w:p>
    <w:p w:rsidR="0072462A" w:rsidRPr="00377367" w:rsidP="00BB7125" w14:paraId="40FBA10E" w14:textId="77777777">
      <w:pPr>
        <w:pStyle w:val="Default"/>
        <w:jc w:val="center"/>
        <w:rPr>
          <w:color w:val="auto"/>
        </w:rPr>
      </w:pPr>
    </w:p>
    <w:p w:rsidR="00BB7125" w:rsidRPr="00377367" w:rsidP="00BB7125" w14:paraId="3464EE9D" w14:textId="77777777">
      <w:pPr>
        <w:pStyle w:val="Default"/>
        <w:rPr>
          <w:b/>
          <w:bCs/>
          <w:color w:val="auto"/>
        </w:rPr>
      </w:pPr>
    </w:p>
    <w:p w:rsidR="00BB7125" w:rsidRPr="00377367" w:rsidP="00BB7125" w14:paraId="1F22CD49" w14:textId="77777777">
      <w:pPr>
        <w:pStyle w:val="Default"/>
        <w:rPr>
          <w:b/>
          <w:bCs/>
          <w:color w:val="auto"/>
        </w:rPr>
      </w:pPr>
      <w:r w:rsidRPr="00377367">
        <w:rPr>
          <w:b/>
          <w:bCs/>
          <w:color w:val="auto"/>
        </w:rPr>
        <w:t xml:space="preserve">A. Justification </w:t>
      </w:r>
    </w:p>
    <w:p w:rsidR="00BB7125" w:rsidRPr="00377367" w:rsidP="00BB7125" w14:paraId="152A319A" w14:textId="77777777">
      <w:pPr>
        <w:pStyle w:val="Default"/>
        <w:rPr>
          <w:color w:val="auto"/>
        </w:rPr>
      </w:pPr>
    </w:p>
    <w:p w:rsidR="00BB7125" w:rsidRPr="00377367" w:rsidP="00BB7125" w14:paraId="0EBDB0BF" w14:textId="77777777">
      <w:pPr>
        <w:pStyle w:val="Default"/>
        <w:rPr>
          <w:color w:val="auto"/>
          <w:u w:val="single"/>
        </w:rPr>
      </w:pPr>
      <w:r w:rsidRPr="00377367">
        <w:rPr>
          <w:color w:val="auto"/>
          <w:u w:val="single"/>
        </w:rPr>
        <w:t xml:space="preserve">1. Circumstances necessitating collection of information </w:t>
      </w:r>
    </w:p>
    <w:p w:rsidR="0072462A" w:rsidP="0072462A" w14:paraId="7B8288E1" w14:textId="77777777">
      <w:r>
        <w:t>Pursuant to 12 U.S.C 4701 et seq. the Community Development Financial Institutions Fund (the CDFI Fund) implements the Community Development Financial Institutions (CDFI) Program.  The CDFI Fund’s mission is to increase the capacity of financial institutions to provide capital, credit, and financial services in underserved markets.  In order to qualify for a financial assistance, technical assistance, or tax credits award from the CDFI Fund an applicant must obtain and maintain certification status.</w:t>
      </w:r>
    </w:p>
    <w:p w:rsidR="0072462A" w:rsidP="00D1229E" w14:paraId="3AF02A05" w14:textId="77777777">
      <w:pPr>
        <w:autoSpaceDE w:val="0"/>
        <w:autoSpaceDN w:val="0"/>
        <w:adjustRightInd w:val="0"/>
        <w:rPr>
          <w:rFonts w:eastAsiaTheme="minorHAnsi"/>
        </w:rPr>
      </w:pPr>
    </w:p>
    <w:p w:rsidR="00D1229E" w:rsidP="00D1229E" w14:paraId="63FF0F87" w14:textId="59CA24BC">
      <w:pPr>
        <w:autoSpaceDE w:val="0"/>
        <w:autoSpaceDN w:val="0"/>
        <w:adjustRightInd w:val="0"/>
      </w:pPr>
      <w:r>
        <w:rPr>
          <w:rFonts w:eastAsiaTheme="minorHAnsi"/>
        </w:rPr>
        <w:t xml:space="preserve">Certification of Material Events Forms are required per all Assistance, Award, Allocation, and Bond Loan Agreements when a recipient experiences a change in </w:t>
      </w:r>
      <w:r>
        <w:t xml:space="preserve">organizational condition that may lead to, or the actual, violation of any terms and conditions of their Agreement, regulation, or law.  Additionally, certified </w:t>
      </w:r>
      <w:r w:rsidRPr="008D22F5">
        <w:t>Community Development Financial Institution</w:t>
      </w:r>
      <w:r>
        <w:t>s (CDFIs) and Community Development Entities (CDEs) must report any condition or event that may cause the entity to no longer meet one or more certification criteria.</w:t>
      </w:r>
    </w:p>
    <w:p w:rsidR="00D4641E" w:rsidP="00D1229E" w14:paraId="6D7C68A3" w14:textId="77777777">
      <w:pPr>
        <w:autoSpaceDE w:val="0"/>
        <w:autoSpaceDN w:val="0"/>
        <w:adjustRightInd w:val="0"/>
      </w:pPr>
    </w:p>
    <w:p w:rsidR="00D4641E" w:rsidRPr="00FE552D" w:rsidP="00D4641E" w14:paraId="6579C195" w14:textId="305BD8BB">
      <w:pPr>
        <w:autoSpaceDE w:val="0"/>
        <w:autoSpaceDN w:val="0"/>
        <w:adjustRightInd w:val="0"/>
        <w:rPr>
          <w:rFonts w:eastAsia="Calibri"/>
          <w:color w:val="000000"/>
        </w:rPr>
      </w:pPr>
      <w:r w:rsidRPr="00794919">
        <w:rPr>
          <w:rFonts w:eastAsia="Calibri"/>
          <w:color w:val="000000"/>
        </w:rPr>
        <w:t xml:space="preserve">The CDFI Fund received a total of </w:t>
      </w:r>
      <w:r w:rsidRPr="00794919" w:rsidR="00794919">
        <w:rPr>
          <w:rFonts w:eastAsia="Calibri"/>
          <w:color w:val="000000"/>
        </w:rPr>
        <w:t>thirty</w:t>
      </w:r>
      <w:r w:rsidRPr="00794919" w:rsidR="002D52D9">
        <w:rPr>
          <w:rFonts w:eastAsia="Calibri"/>
          <w:color w:val="000000"/>
        </w:rPr>
        <w:t>-</w:t>
      </w:r>
      <w:r w:rsidRPr="00794919" w:rsidR="00794919">
        <w:rPr>
          <w:rFonts w:eastAsia="Calibri"/>
          <w:color w:val="000000"/>
        </w:rPr>
        <w:t>one</w:t>
      </w:r>
      <w:r w:rsidRPr="00794919">
        <w:rPr>
          <w:rFonts w:eastAsia="Calibri"/>
          <w:color w:val="000000"/>
        </w:rPr>
        <w:t xml:space="preserve"> (</w:t>
      </w:r>
      <w:r w:rsidRPr="00794919" w:rsidR="00794919">
        <w:rPr>
          <w:rFonts w:eastAsia="Calibri"/>
          <w:color w:val="000000"/>
        </w:rPr>
        <w:t>31</w:t>
      </w:r>
      <w:r w:rsidRPr="00794919">
        <w:rPr>
          <w:rFonts w:eastAsia="Calibri"/>
          <w:color w:val="000000"/>
        </w:rPr>
        <w:t xml:space="preserve">) comments from </w:t>
      </w:r>
      <w:r w:rsidRPr="00794919" w:rsidR="00794919">
        <w:rPr>
          <w:rFonts w:eastAsia="Calibri"/>
          <w:color w:val="000000"/>
        </w:rPr>
        <w:t>nine</w:t>
      </w:r>
      <w:r w:rsidRPr="00794919">
        <w:rPr>
          <w:rFonts w:eastAsia="Calibri"/>
          <w:color w:val="000000"/>
        </w:rPr>
        <w:t xml:space="preserve"> (</w:t>
      </w:r>
      <w:r w:rsidRPr="00794919" w:rsidR="00794919">
        <w:rPr>
          <w:rFonts w:eastAsia="Calibri"/>
          <w:color w:val="000000"/>
        </w:rPr>
        <w:t>9</w:t>
      </w:r>
      <w:r w:rsidRPr="00794919">
        <w:rPr>
          <w:rFonts w:eastAsia="Calibri"/>
          <w:color w:val="000000"/>
        </w:rPr>
        <w:t xml:space="preserve">) organizations on the </w:t>
      </w:r>
      <w:r w:rsidRPr="00794919">
        <w:rPr>
          <w:rFonts w:eastAsiaTheme="minorHAnsi"/>
        </w:rPr>
        <w:t>Certification of Material Events Forms</w:t>
      </w:r>
      <w:r w:rsidRPr="00794919">
        <w:rPr>
          <w:rFonts w:eastAsia="Calibri"/>
          <w:color w:val="000000"/>
        </w:rPr>
        <w:t xml:space="preserve">. The recommendations encompassed </w:t>
      </w:r>
      <w:r w:rsidRPr="00794919" w:rsidR="0000177D">
        <w:rPr>
          <w:rFonts w:eastAsia="Calibri"/>
          <w:color w:val="000000"/>
        </w:rPr>
        <w:t xml:space="preserve">typographical changes, clarification of existing items aimed at improving the quality and relevance of the </w:t>
      </w:r>
      <w:r w:rsidRPr="00794919">
        <w:rPr>
          <w:rFonts w:eastAsia="Calibri"/>
          <w:color w:val="000000"/>
        </w:rPr>
        <w:t>data collection forms.</w:t>
      </w:r>
    </w:p>
    <w:p w:rsidR="00BB7125" w:rsidRPr="00377367" w:rsidP="00BB7125" w14:paraId="1E325406" w14:textId="5465E495"/>
    <w:p w:rsidR="00BB7125" w:rsidRPr="00377367" w:rsidP="00BB7125" w14:paraId="704477B2" w14:textId="77777777">
      <w:pPr>
        <w:pStyle w:val="Default"/>
        <w:rPr>
          <w:color w:val="auto"/>
          <w:u w:val="single"/>
        </w:rPr>
      </w:pPr>
      <w:r w:rsidRPr="00377367">
        <w:rPr>
          <w:color w:val="auto"/>
          <w:u w:val="single"/>
        </w:rPr>
        <w:t xml:space="preserve">2. Method of collection and use of data </w:t>
      </w:r>
    </w:p>
    <w:p w:rsidR="001E78DA" w:rsidP="001E78DA" w14:paraId="63974931" w14:textId="56908D4C">
      <w:r>
        <w:rPr>
          <w:rFonts w:eastAsiaTheme="minorHAnsi"/>
        </w:rPr>
        <w:t xml:space="preserve">The Certification of Material Events Form </w:t>
      </w:r>
      <w:r w:rsidRPr="00377367" w:rsidR="00BB7125">
        <w:t xml:space="preserve">will be submitted </w:t>
      </w:r>
      <w:r w:rsidR="006F6492">
        <w:t>upon the occurrence of a “material event” as described in an</w:t>
      </w:r>
      <w:r w:rsidRPr="00494E47" w:rsidR="006F6492">
        <w:rPr>
          <w:iCs/>
        </w:rPr>
        <w:t xml:space="preserve"> applicable Assistance, Award, Allocation, or Bond Loan Agreement</w:t>
      </w:r>
      <w:r w:rsidR="000A05F4">
        <w:rPr>
          <w:iCs/>
        </w:rPr>
        <w:t>.</w:t>
      </w:r>
      <w:r>
        <w:rPr>
          <w:iCs/>
        </w:rPr>
        <w:t xml:space="preserve"> </w:t>
      </w:r>
      <w:r w:rsidRPr="007771F3">
        <w:t xml:space="preserve">The document will provide </w:t>
      </w:r>
      <w:r>
        <w:t xml:space="preserve">a series of questions to aid an organization in determining how a Material Event will impact the organization’s </w:t>
      </w:r>
      <w:r w:rsidRPr="001E78DA">
        <w:t>certification or compliance status.</w:t>
      </w:r>
      <w:r>
        <w:t xml:space="preserve"> </w:t>
      </w:r>
    </w:p>
    <w:p w:rsidR="00BB7125" w:rsidP="00BB7125" w14:paraId="55B66D17" w14:textId="272F7B3B">
      <w:pPr>
        <w:rPr>
          <w:iCs/>
        </w:rPr>
      </w:pPr>
    </w:p>
    <w:p w:rsidR="00BB7125" w:rsidRPr="00523E58" w:rsidP="00BB7125" w14:paraId="5283DC21" w14:textId="77777777">
      <w:pPr>
        <w:rPr>
          <w:u w:val="single"/>
        </w:rPr>
      </w:pPr>
      <w:r w:rsidRPr="00523E58">
        <w:t xml:space="preserve"> </w:t>
      </w:r>
      <w:r w:rsidRPr="00523E58">
        <w:rPr>
          <w:u w:val="single"/>
        </w:rPr>
        <w:t xml:space="preserve">3. Use of Information Technology </w:t>
      </w:r>
    </w:p>
    <w:p w:rsidR="00BB7125" w:rsidRPr="00523E58" w:rsidP="00BB7125" w14:paraId="27A0B07C" w14:textId="01C9E3A6">
      <w:r>
        <w:t xml:space="preserve">The </w:t>
      </w:r>
      <w:r w:rsidR="0000177D">
        <w:rPr>
          <w:rFonts w:eastAsiaTheme="minorHAnsi"/>
        </w:rPr>
        <w:t xml:space="preserve">Certification of Material Events Form </w:t>
      </w:r>
      <w:r>
        <w:t xml:space="preserve">is available to the public through the </w:t>
      </w:r>
      <w:r w:rsidR="0000177D">
        <w:t>fillable</w:t>
      </w:r>
      <w:r>
        <w:t xml:space="preserve"> file on the CDFI Fund’s web page</w:t>
      </w:r>
      <w:r w:rsidR="001E78DA">
        <w:t xml:space="preserve">. </w:t>
      </w:r>
      <w:r w:rsidRPr="00523E58">
        <w:t xml:space="preserve">The </w:t>
      </w:r>
      <w:r w:rsidR="00D1229E">
        <w:t>Material Events Form</w:t>
      </w:r>
      <w:r w:rsidRPr="00377367">
        <w:t xml:space="preserve"> </w:t>
      </w:r>
      <w:r w:rsidR="001E78DA">
        <w:t xml:space="preserve">is </w:t>
      </w:r>
      <w:r w:rsidRPr="00377367">
        <w:t xml:space="preserve">submitted through </w:t>
      </w:r>
      <w:r w:rsidR="006F6492">
        <w:t>the CDFI Fund’s Awards Management Information System (AMIS)</w:t>
      </w:r>
      <w:r w:rsidR="0000177D">
        <w:t>.</w:t>
      </w:r>
    </w:p>
    <w:p w:rsidR="00BB7125" w:rsidRPr="00377367" w:rsidP="00BB7125" w14:paraId="5A9F5E5C" w14:textId="77777777">
      <w:pPr>
        <w:pStyle w:val="Default"/>
      </w:pPr>
    </w:p>
    <w:p w:rsidR="00BB7125" w:rsidRPr="00377367" w:rsidP="00BB7125" w14:paraId="2EF3DD0B" w14:textId="77777777">
      <w:pPr>
        <w:pStyle w:val="Default"/>
        <w:rPr>
          <w:u w:val="single"/>
        </w:rPr>
      </w:pPr>
      <w:r w:rsidRPr="00377367">
        <w:rPr>
          <w:u w:val="single"/>
        </w:rPr>
        <w:t xml:space="preserve">4. Efforts to identify duplication </w:t>
      </w:r>
    </w:p>
    <w:p w:rsidR="0000177D" w:rsidRPr="00FE552D" w:rsidP="0000177D" w14:paraId="6CC6960C" w14:textId="76AC1FAA">
      <w:pPr>
        <w:autoSpaceDE w:val="0"/>
        <w:autoSpaceDN w:val="0"/>
        <w:adjustRightInd w:val="0"/>
        <w:rPr>
          <w:rFonts w:eastAsia="Calibri"/>
          <w:color w:val="000000"/>
        </w:rPr>
      </w:pPr>
      <w:r w:rsidRPr="00FE552D">
        <w:rPr>
          <w:rFonts w:eastAsia="Calibri"/>
          <w:color w:val="000000"/>
        </w:rPr>
        <w:t xml:space="preserve">The CDFI Fund has ensured no similar data is gathered or maintained by the CDFI Fund or </w:t>
      </w:r>
      <w:r>
        <w:rPr>
          <w:rFonts w:eastAsia="Calibri"/>
          <w:color w:val="000000"/>
        </w:rPr>
        <w:t>is</w:t>
      </w:r>
      <w:r w:rsidRPr="00FE552D">
        <w:rPr>
          <w:rFonts w:eastAsia="Calibri"/>
          <w:color w:val="000000"/>
        </w:rPr>
        <w:t xml:space="preserve"> available from other sources known to the CDFI Fund. All of the information requested is required in order to determine if a Recipient and/or Allocatee is in compliance with the terms and conditions of its </w:t>
      </w:r>
      <w:r>
        <w:rPr>
          <w:rFonts w:eastAsiaTheme="minorHAnsi"/>
        </w:rPr>
        <w:t>Assistance, Award, Allocation, and Bond Loan Agreement.</w:t>
      </w:r>
    </w:p>
    <w:p w:rsidR="00BB7125" w:rsidRPr="00377367" w:rsidP="00BB7125" w14:paraId="7313ACCF" w14:textId="1F261872">
      <w:pPr>
        <w:pStyle w:val="Default"/>
      </w:pPr>
    </w:p>
    <w:p w:rsidR="00BB7125" w:rsidRPr="00F42FF3" w:rsidP="00BB7125" w14:paraId="54D97B55" w14:textId="77777777">
      <w:pPr>
        <w:pStyle w:val="Default"/>
        <w:rPr>
          <w:color w:val="auto"/>
          <w:u w:val="single"/>
        </w:rPr>
      </w:pPr>
      <w:r w:rsidRPr="00F42FF3">
        <w:rPr>
          <w:color w:val="auto"/>
          <w:u w:val="single"/>
        </w:rPr>
        <w:t xml:space="preserve">5. Impact on small entities </w:t>
      </w:r>
    </w:p>
    <w:p w:rsidR="00BB7125" w:rsidP="00BB7125" w14:paraId="33BB7058" w14:textId="2C93F5BF">
      <w:pPr>
        <w:pStyle w:val="Default"/>
        <w:rPr>
          <w:color w:val="auto"/>
        </w:rPr>
      </w:pPr>
      <w:r w:rsidRPr="00F42FF3">
        <w:rPr>
          <w:color w:val="auto"/>
        </w:rPr>
        <w:t xml:space="preserve">Small business or other small entities may be involved in these efforts; however, </w:t>
      </w:r>
      <w:r w:rsidR="0063182C">
        <w:rPr>
          <w:color w:val="auto"/>
        </w:rPr>
        <w:t>this</w:t>
      </w:r>
      <w:r w:rsidRPr="00F42FF3">
        <w:rPr>
          <w:color w:val="auto"/>
        </w:rPr>
        <w:t xml:space="preserve"> collection of information is not expected to have a significant impact on small</w:t>
      </w:r>
      <w:r w:rsidR="001E78DA">
        <w:rPr>
          <w:color w:val="auto"/>
        </w:rPr>
        <w:t>.</w:t>
      </w:r>
    </w:p>
    <w:p w:rsidR="001E78DA" w:rsidP="00BB7125" w14:paraId="434762EC" w14:textId="77777777">
      <w:pPr>
        <w:pStyle w:val="Default"/>
        <w:rPr>
          <w:color w:val="auto"/>
          <w:u w:val="single"/>
        </w:rPr>
      </w:pPr>
    </w:p>
    <w:p w:rsidR="00BB7125" w:rsidRPr="00377367" w:rsidP="00BB7125" w14:paraId="38D1ADF8" w14:textId="77777777">
      <w:pPr>
        <w:pStyle w:val="Default"/>
        <w:rPr>
          <w:color w:val="auto"/>
          <w:u w:val="single"/>
        </w:rPr>
      </w:pPr>
      <w:r w:rsidRPr="00377367">
        <w:rPr>
          <w:color w:val="auto"/>
          <w:u w:val="single"/>
        </w:rPr>
        <w:t xml:space="preserve">6. Consequences of less frequent collection and obstacles to burden reduction </w:t>
      </w:r>
    </w:p>
    <w:p w:rsidR="00BB7125" w:rsidRPr="00377367" w:rsidP="001E78DA" w14:paraId="5F0BE04E" w14:textId="576F7001">
      <w:pPr>
        <w:rPr>
          <w:u w:val="single"/>
        </w:rPr>
      </w:pPr>
      <w:r w:rsidRPr="00377367">
        <w:t xml:space="preserve">The CDFI Fund cannot </w:t>
      </w:r>
      <w:r w:rsidRPr="00BD07AC">
        <w:t>assess</w:t>
      </w:r>
      <w:r w:rsidR="00351E16">
        <w:t xml:space="preserve"> the impact of “material events” on an organization </w:t>
      </w:r>
      <w:r>
        <w:t>without the</w:t>
      </w:r>
      <w:r w:rsidR="00351E16">
        <w:t xml:space="preserve"> submission of the</w:t>
      </w:r>
      <w:r>
        <w:t xml:space="preserve"> </w:t>
      </w:r>
      <w:r w:rsidR="0000177D">
        <w:rPr>
          <w:rFonts w:eastAsiaTheme="minorHAnsi"/>
        </w:rPr>
        <w:t>Certification of Material Events Form</w:t>
      </w:r>
      <w:r>
        <w:t>.</w:t>
      </w:r>
      <w:r w:rsidRPr="001E78DA" w:rsidR="001E78DA">
        <w:t xml:space="preserve"> </w:t>
      </w:r>
      <w:r w:rsidR="001E78DA">
        <w:t>The information collected enables the CDFI Fund to better manage the Material Events review process and monitor the effects of Material Events on certification or compliance status.</w:t>
      </w:r>
    </w:p>
    <w:p w:rsidR="00BB7125" w:rsidP="00BB7125" w14:paraId="65A8E8AD" w14:textId="77777777">
      <w:pPr>
        <w:pStyle w:val="Default"/>
        <w:rPr>
          <w:color w:val="auto"/>
          <w:u w:val="single"/>
        </w:rPr>
      </w:pPr>
    </w:p>
    <w:p w:rsidR="00BB7125" w:rsidRPr="00377367" w:rsidP="00BB7125" w14:paraId="1BF3149C" w14:textId="77777777">
      <w:pPr>
        <w:pStyle w:val="Default"/>
        <w:rPr>
          <w:color w:val="auto"/>
          <w:u w:val="single"/>
        </w:rPr>
      </w:pPr>
      <w:r w:rsidRPr="00377367">
        <w:rPr>
          <w:color w:val="auto"/>
          <w:u w:val="single"/>
        </w:rPr>
        <w:t xml:space="preserve">7. Circumstances requiring special information collection </w:t>
      </w:r>
    </w:p>
    <w:p w:rsidR="00BB7125" w:rsidP="00BB7125" w14:paraId="268DB26D" w14:textId="7183A569">
      <w:pPr>
        <w:pStyle w:val="Default"/>
        <w:rPr>
          <w:color w:val="auto"/>
        </w:rPr>
      </w:pPr>
      <w:r>
        <w:rPr>
          <w:color w:val="auto"/>
        </w:rPr>
        <w:t xml:space="preserve">Any </w:t>
      </w:r>
      <w:r w:rsidRPr="008C68F4">
        <w:rPr>
          <w:color w:val="auto"/>
        </w:rPr>
        <w:t>confidential business information submitted by applicants is safeguarded through the CDFI Fund’s records management procedures and information technology security protocols</w:t>
      </w:r>
      <w:r>
        <w:rPr>
          <w:color w:val="auto"/>
        </w:rPr>
        <w:t>.</w:t>
      </w:r>
    </w:p>
    <w:p w:rsidR="008C68F4" w:rsidRPr="00377367" w:rsidP="00BB7125" w14:paraId="2EAB973F" w14:textId="77777777">
      <w:pPr>
        <w:pStyle w:val="Default"/>
        <w:rPr>
          <w:color w:val="auto"/>
        </w:rPr>
      </w:pPr>
    </w:p>
    <w:p w:rsidR="00BB7125" w:rsidRPr="00377367" w:rsidP="00BB7125" w14:paraId="2502C50F" w14:textId="77777777">
      <w:pPr>
        <w:pStyle w:val="Default"/>
        <w:rPr>
          <w:color w:val="auto"/>
          <w:u w:val="single"/>
        </w:rPr>
      </w:pPr>
      <w:r w:rsidRPr="00377367">
        <w:rPr>
          <w:color w:val="auto"/>
          <w:u w:val="single"/>
        </w:rPr>
        <w:t xml:space="preserve">8. Consultation with Persons outside the Agency </w:t>
      </w:r>
    </w:p>
    <w:p w:rsidR="0000177D" w:rsidRPr="00FE552D" w:rsidP="0000177D" w14:paraId="2CC8F0E6" w14:textId="1FB47F89">
      <w:pPr>
        <w:autoSpaceDE w:val="0"/>
        <w:autoSpaceDN w:val="0"/>
        <w:adjustRightInd w:val="0"/>
        <w:rPr>
          <w:rFonts w:eastAsia="Calibri"/>
          <w:color w:val="000000"/>
        </w:rPr>
      </w:pPr>
      <w:r w:rsidRPr="004D4EBA">
        <w:rPr>
          <w:rFonts w:eastAsia="Calibri"/>
          <w:color w:val="000000"/>
        </w:rPr>
        <w:t xml:space="preserve">Pursuant to the notice and request for comments published in the Federal Register on </w:t>
      </w:r>
      <w:r w:rsidRPr="004D4EBA" w:rsidR="00290BC0">
        <w:rPr>
          <w:rFonts w:eastAsia="Calibri"/>
          <w:color w:val="000000"/>
        </w:rPr>
        <w:t>June 24</w:t>
      </w:r>
      <w:r w:rsidRPr="004D4EBA">
        <w:rPr>
          <w:rFonts w:eastAsia="Calibri"/>
          <w:color w:val="000000"/>
        </w:rPr>
        <w:t>, 202</w:t>
      </w:r>
      <w:r w:rsidRPr="004D4EBA" w:rsidR="00290BC0">
        <w:rPr>
          <w:rFonts w:eastAsia="Calibri"/>
          <w:color w:val="000000"/>
        </w:rPr>
        <w:t>5</w:t>
      </w:r>
      <w:r w:rsidRPr="004D4EBA">
        <w:rPr>
          <w:rFonts w:eastAsia="Calibri"/>
          <w:color w:val="000000"/>
        </w:rPr>
        <w:t xml:space="preserve">, at </w:t>
      </w:r>
      <w:r w:rsidRPr="004D4EBA" w:rsidR="00290BC0">
        <w:rPr>
          <w:rFonts w:eastAsia="Calibri"/>
          <w:color w:val="000000" w:themeColor="text1"/>
        </w:rPr>
        <w:t xml:space="preserve">90 </w:t>
      </w:r>
      <w:r w:rsidRPr="004D4EBA">
        <w:rPr>
          <w:rFonts w:eastAsia="Calibri"/>
          <w:color w:val="000000" w:themeColor="text1"/>
        </w:rPr>
        <w:t xml:space="preserve">FR </w:t>
      </w:r>
      <w:r>
        <w:rPr>
          <w:rFonts w:eastAsia="Calibri"/>
          <w:color w:val="000000" w:themeColor="text1"/>
        </w:rPr>
        <w:t>26902</w:t>
      </w:r>
      <w:r w:rsidRPr="004D4EBA">
        <w:rPr>
          <w:rFonts w:eastAsia="Calibri"/>
          <w:color w:val="000000" w:themeColor="text1"/>
        </w:rPr>
        <w:t xml:space="preserve">, the </w:t>
      </w:r>
      <w:r w:rsidRPr="004D4EBA">
        <w:rPr>
          <w:rFonts w:eastAsia="Calibri"/>
          <w:color w:val="000000"/>
        </w:rPr>
        <w:t xml:space="preserve">CDFI Fund received comments on or before </w:t>
      </w:r>
      <w:r w:rsidRPr="004D4EBA" w:rsidR="00290BC0">
        <w:rPr>
          <w:rFonts w:eastAsia="Calibri"/>
          <w:color w:val="000000"/>
        </w:rPr>
        <w:t>August 25</w:t>
      </w:r>
      <w:r w:rsidRPr="004D4EBA">
        <w:rPr>
          <w:rFonts w:eastAsia="Calibri"/>
          <w:color w:val="000000"/>
        </w:rPr>
        <w:t>, 202</w:t>
      </w:r>
      <w:r w:rsidRPr="004D4EBA" w:rsidR="00290BC0">
        <w:rPr>
          <w:rFonts w:eastAsia="Calibri"/>
          <w:color w:val="000000"/>
        </w:rPr>
        <w:t>5</w:t>
      </w:r>
      <w:r w:rsidRPr="004D4EBA">
        <w:rPr>
          <w:rFonts w:eastAsia="Calibri"/>
          <w:color w:val="000000"/>
        </w:rPr>
        <w:t xml:space="preserve">, from </w:t>
      </w:r>
      <w:r w:rsidRPr="004D4EBA" w:rsidR="00794919">
        <w:rPr>
          <w:rFonts w:eastAsia="Calibri"/>
          <w:color w:val="000000"/>
        </w:rPr>
        <w:t>nine</w:t>
      </w:r>
      <w:r w:rsidRPr="004D4EBA">
        <w:rPr>
          <w:rFonts w:eastAsia="Calibri"/>
          <w:color w:val="000000"/>
        </w:rPr>
        <w:t xml:space="preserve"> (</w:t>
      </w:r>
      <w:r w:rsidRPr="004D4EBA" w:rsidR="00794919">
        <w:rPr>
          <w:rFonts w:eastAsia="Calibri"/>
          <w:color w:val="000000"/>
        </w:rPr>
        <w:t>9</w:t>
      </w:r>
      <w:r w:rsidRPr="004D4EBA">
        <w:rPr>
          <w:rFonts w:eastAsia="Calibri"/>
          <w:color w:val="000000"/>
        </w:rPr>
        <w:t xml:space="preserve">) organizations responding to the solicitation for a total of </w:t>
      </w:r>
      <w:r w:rsidRPr="004D4EBA" w:rsidR="00794919">
        <w:rPr>
          <w:rFonts w:eastAsia="Calibri"/>
          <w:color w:val="000000"/>
        </w:rPr>
        <w:t>thirty</w:t>
      </w:r>
      <w:r w:rsidRPr="004D4EBA" w:rsidR="002D52D9">
        <w:rPr>
          <w:rFonts w:eastAsia="Calibri"/>
          <w:color w:val="000000"/>
        </w:rPr>
        <w:t>-</w:t>
      </w:r>
      <w:r w:rsidRPr="004D4EBA" w:rsidR="00794919">
        <w:rPr>
          <w:rFonts w:eastAsia="Calibri"/>
          <w:color w:val="000000"/>
        </w:rPr>
        <w:t>one</w:t>
      </w:r>
      <w:r w:rsidRPr="004D4EBA">
        <w:rPr>
          <w:rFonts w:eastAsia="Calibri"/>
          <w:color w:val="000000"/>
        </w:rPr>
        <w:t xml:space="preserve"> (</w:t>
      </w:r>
      <w:r w:rsidRPr="004D4EBA" w:rsidR="00794919">
        <w:rPr>
          <w:rFonts w:eastAsia="Calibri"/>
          <w:color w:val="000000"/>
        </w:rPr>
        <w:t>31</w:t>
      </w:r>
      <w:r w:rsidRPr="004D4EBA">
        <w:rPr>
          <w:rFonts w:eastAsia="Calibri"/>
          <w:color w:val="000000"/>
        </w:rPr>
        <w:t xml:space="preserve">) comments. </w:t>
      </w:r>
      <w:r w:rsidRPr="004D4EBA" w:rsidR="00714494">
        <w:rPr>
          <w:rFonts w:eastAsia="Calibri"/>
          <w:color w:val="000000"/>
        </w:rPr>
        <w:t xml:space="preserve">Please refer to the attached </w:t>
      </w:r>
      <w:r w:rsidRPr="004D4EBA" w:rsidR="00714494">
        <w:t>Public Comment Adjudication Table for a summary and disposition of comments received.</w:t>
      </w:r>
    </w:p>
    <w:p w:rsidR="000A05F4" w:rsidRPr="00377367" w:rsidP="00BB7125" w14:paraId="15E7E0E2" w14:textId="77777777"/>
    <w:p w:rsidR="00BB7125" w:rsidRPr="00377367" w:rsidP="00BB7125" w14:paraId="3F58738D" w14:textId="77777777">
      <w:pPr>
        <w:pStyle w:val="Default"/>
        <w:rPr>
          <w:u w:val="single"/>
        </w:rPr>
      </w:pPr>
      <w:r w:rsidRPr="00377367">
        <w:rPr>
          <w:u w:val="single"/>
        </w:rPr>
        <w:t xml:space="preserve">9. Provision of payment to respondents </w:t>
      </w:r>
    </w:p>
    <w:p w:rsidR="00BB7125" w:rsidRPr="00377367" w:rsidP="00BB7125" w14:paraId="3F55C3B6" w14:textId="77777777">
      <w:pPr>
        <w:pStyle w:val="Default"/>
      </w:pPr>
      <w:r w:rsidRPr="00377367">
        <w:t xml:space="preserve">No payments or gifts will be made to respondents. </w:t>
      </w:r>
    </w:p>
    <w:p w:rsidR="00BB7125" w:rsidRPr="00377367" w:rsidP="00BB7125" w14:paraId="5841EEA3" w14:textId="77777777">
      <w:pPr>
        <w:pStyle w:val="Default"/>
      </w:pPr>
    </w:p>
    <w:p w:rsidR="00BB7125" w:rsidRPr="00377367" w:rsidP="00BB7125" w14:paraId="746CD507" w14:textId="77777777">
      <w:pPr>
        <w:pStyle w:val="Default"/>
        <w:rPr>
          <w:u w:val="single"/>
        </w:rPr>
      </w:pPr>
      <w:r w:rsidRPr="00377367">
        <w:rPr>
          <w:u w:val="single"/>
        </w:rPr>
        <w:t xml:space="preserve">10. Assurance of confidentiality </w:t>
      </w:r>
    </w:p>
    <w:p w:rsidR="00BC561C" w:rsidP="00BC561C" w14:paraId="75A113FD" w14:textId="77777777">
      <w:pPr>
        <w:autoSpaceDE w:val="0"/>
        <w:autoSpaceDN w:val="0"/>
        <w:adjustRightInd w:val="0"/>
        <w:rPr>
          <w:rFonts w:eastAsia="Calibri"/>
          <w:color w:val="000000"/>
        </w:rPr>
      </w:pPr>
      <w:r w:rsidRPr="00FE552D">
        <w:rPr>
          <w:rFonts w:eastAsia="Calibri"/>
          <w:color w:val="000000"/>
        </w:rPr>
        <w:t xml:space="preserve">The CDFI Fund is subject to all Federal regulations with respect to confidentiality of information supplied in the annual compliance reports. Access to data submitted in response to this information collection will be limited to Recipients and/or Allocatees, and their designated representatives, CDFI Fund staff and, if applicable, designated contractors who are subject to all Federal regulations and have completed annual privacy and cybersecurity training.  </w:t>
      </w:r>
    </w:p>
    <w:p w:rsidR="00BC561C" w:rsidRPr="00FE552D" w:rsidP="00BC561C" w14:paraId="0C862468" w14:textId="77777777">
      <w:pPr>
        <w:autoSpaceDE w:val="0"/>
        <w:autoSpaceDN w:val="0"/>
        <w:adjustRightInd w:val="0"/>
        <w:rPr>
          <w:rFonts w:eastAsia="Calibri"/>
          <w:color w:val="000000"/>
        </w:rPr>
      </w:pPr>
    </w:p>
    <w:p w:rsidR="00BB7125" w:rsidRPr="00D95556" w:rsidP="00BB7125" w14:paraId="0E356A60" w14:textId="24E2DC6C">
      <w:pPr>
        <w:pStyle w:val="Default"/>
      </w:pPr>
      <w:r>
        <w:t xml:space="preserve">The CDFI Fund has provided no other assurances of confidentiality to respondents. </w:t>
      </w:r>
      <w:r w:rsidRPr="00D95556">
        <w:rPr>
          <w:rFonts w:eastAsia="Times New Roman"/>
          <w:color w:val="auto"/>
        </w:rPr>
        <w:t xml:space="preserve">All information collected </w:t>
      </w:r>
      <w:r>
        <w:rPr>
          <w:rFonts w:eastAsia="Times New Roman"/>
          <w:color w:val="auto"/>
        </w:rPr>
        <w:t xml:space="preserve">in the </w:t>
      </w:r>
      <w:r w:rsidR="00D1229E">
        <w:rPr>
          <w:rFonts w:eastAsia="Times New Roman"/>
          <w:color w:val="auto"/>
        </w:rPr>
        <w:t>Material Events Form</w:t>
      </w:r>
      <w:r>
        <w:rPr>
          <w:rFonts w:eastAsia="Times New Roman"/>
          <w:color w:val="auto"/>
        </w:rPr>
        <w:t xml:space="preserve"> </w:t>
      </w:r>
      <w:r w:rsidRPr="00D95556">
        <w:rPr>
          <w:rFonts w:eastAsia="Times New Roman"/>
          <w:color w:val="auto"/>
        </w:rPr>
        <w:t>is</w:t>
      </w:r>
      <w:r>
        <w:rPr>
          <w:rFonts w:eastAsia="Times New Roman"/>
          <w:color w:val="auto"/>
        </w:rPr>
        <w:t xml:space="preserve"> </w:t>
      </w:r>
      <w:r w:rsidRPr="00D95556">
        <w:rPr>
          <w:rFonts w:eastAsia="Times New Roman"/>
          <w:color w:val="auto"/>
        </w:rPr>
        <w:t xml:space="preserve">submitted through AMIS. Access to AMIS to submit organization’s </w:t>
      </w:r>
      <w:r w:rsidR="00BC561C">
        <w:rPr>
          <w:rFonts w:eastAsia="Times New Roman"/>
          <w:color w:val="auto"/>
        </w:rPr>
        <w:t xml:space="preserve">Certification of </w:t>
      </w:r>
      <w:r w:rsidR="00D1229E">
        <w:rPr>
          <w:rFonts w:eastAsia="Times New Roman"/>
          <w:color w:val="auto"/>
        </w:rPr>
        <w:t>Material Events Form</w:t>
      </w:r>
      <w:r w:rsidRPr="00D95556">
        <w:rPr>
          <w:rFonts w:eastAsia="Times New Roman"/>
          <w:color w:val="auto"/>
        </w:rPr>
        <w:t xml:space="preserve"> is restricted to </w:t>
      </w:r>
      <w:r w:rsidR="00BC561C">
        <w:rPr>
          <w:rFonts w:eastAsia="Times New Roman"/>
          <w:color w:val="auto"/>
        </w:rPr>
        <w:t>Recipients</w:t>
      </w:r>
      <w:r w:rsidRPr="00D95556">
        <w:rPr>
          <w:rFonts w:eastAsia="Times New Roman"/>
          <w:color w:val="auto"/>
        </w:rPr>
        <w:t>, and their designated representatives, through an authenticated and secure organizational profile</w:t>
      </w:r>
      <w:r w:rsidRPr="00D95556">
        <w:t xml:space="preserve">.  </w:t>
      </w:r>
    </w:p>
    <w:p w:rsidR="00BB7125" w:rsidRPr="00377367" w:rsidP="00BB7125" w14:paraId="323EB007" w14:textId="77777777">
      <w:pPr>
        <w:pStyle w:val="Default"/>
      </w:pPr>
    </w:p>
    <w:p w:rsidR="00BB7125" w:rsidRPr="00377367" w:rsidP="00BB7125" w14:paraId="29F3DD80" w14:textId="77777777">
      <w:pPr>
        <w:rPr>
          <w:u w:val="single"/>
        </w:rPr>
      </w:pPr>
      <w:r w:rsidRPr="00377367">
        <w:rPr>
          <w:u w:val="single"/>
        </w:rPr>
        <w:t>11. Justification of sensitive questions.</w:t>
      </w:r>
    </w:p>
    <w:p w:rsidR="00BB7125" w:rsidRPr="00377367" w:rsidP="00BB7125" w14:paraId="0B8552FE" w14:textId="440AB18B">
      <w:pPr>
        <w:pStyle w:val="Default"/>
      </w:pPr>
      <w:r w:rsidRPr="00377367">
        <w:t xml:space="preserve">No questions of a sensitive nature will be asked through this </w:t>
      </w:r>
      <w:r w:rsidR="00C33DBF">
        <w:t xml:space="preserve">Certification of </w:t>
      </w:r>
      <w:r w:rsidR="00D1229E">
        <w:t xml:space="preserve">Material Events </w:t>
      </w:r>
      <w:r w:rsidRPr="00BE3637" w:rsidR="00D1229E">
        <w:t>Form</w:t>
      </w:r>
      <w:r w:rsidRPr="00BE3637">
        <w:t xml:space="preserve">. No personally identifiable information will be collected.  </w:t>
      </w:r>
    </w:p>
    <w:p w:rsidR="00BB7125" w:rsidRPr="00377367" w:rsidP="00BB7125" w14:paraId="14CD856F" w14:textId="77777777">
      <w:pPr>
        <w:pStyle w:val="Default"/>
      </w:pPr>
    </w:p>
    <w:p w:rsidR="00BB7125" w:rsidRPr="00377367" w:rsidP="00BB7125" w14:paraId="2B84BEC7" w14:textId="77777777">
      <w:pPr>
        <w:rPr>
          <w:u w:val="single"/>
        </w:rPr>
      </w:pPr>
      <w:r w:rsidRPr="00377367">
        <w:rPr>
          <w:u w:val="single"/>
        </w:rPr>
        <w:t>12. Estimate of the hour burden of information collection.</w:t>
      </w:r>
    </w:p>
    <w:p w:rsidR="00BB7125" w:rsidRPr="00377367" w:rsidP="00BB7125" w14:paraId="1E97AEC3" w14:textId="77777777">
      <w:pPr>
        <w:rPr>
          <w:b/>
        </w:rPr>
      </w:pPr>
    </w:p>
    <w:tbl>
      <w:tblPr>
        <w:tblW w:w="9360" w:type="dxa"/>
        <w:tblLayout w:type="fixed"/>
        <w:tblCellMar>
          <w:left w:w="102" w:type="dxa"/>
          <w:right w:w="102" w:type="dxa"/>
        </w:tblCellMar>
        <w:tblLook w:val="0000"/>
      </w:tblPr>
      <w:tblGrid>
        <w:gridCol w:w="3051"/>
        <w:gridCol w:w="1710"/>
        <w:gridCol w:w="1800"/>
        <w:gridCol w:w="1620"/>
        <w:gridCol w:w="1179"/>
      </w:tblGrid>
      <w:tr w14:paraId="086FE67E" w14:textId="77777777" w:rsidTr="00942050">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BB7125" w:rsidRPr="00377367" w:rsidP="00942050" w14:paraId="3C1839D8" w14:textId="77777777">
            <w:pPr>
              <w:tabs>
                <w:tab w:val="left" w:pos="-1080"/>
                <w:tab w:val="left" w:pos="-720"/>
                <w:tab w:val="left" w:pos="0"/>
                <w:tab w:val="left" w:pos="450"/>
                <w:tab w:val="left" w:pos="720"/>
                <w:tab w:val="left" w:pos="2160"/>
              </w:tabs>
              <w:jc w:val="center"/>
            </w:pPr>
            <w:r w:rsidRPr="00377367">
              <w:t>Estimated Annual Reporting Burden</w:t>
            </w:r>
          </w:p>
        </w:tc>
      </w:tr>
      <w:tr w14:paraId="5B8280CB" w14:textId="77777777" w:rsidTr="00942050">
        <w:tblPrEx>
          <w:tblW w:w="9360" w:type="dxa"/>
          <w:tblLayout w:type="fixed"/>
          <w:tblCellMar>
            <w:left w:w="102" w:type="dxa"/>
            <w:right w:w="102" w:type="dxa"/>
          </w:tblCellMar>
          <w:tblLook w:val="0000"/>
        </w:tblPrEx>
        <w:tc>
          <w:tcPr>
            <w:tcW w:w="3051" w:type="dxa"/>
            <w:tcBorders>
              <w:top w:val="single" w:sz="7" w:space="0" w:color="000000"/>
              <w:left w:val="single" w:sz="7" w:space="0" w:color="000000"/>
              <w:bottom w:val="single" w:sz="6" w:space="0" w:color="FFFFFF"/>
              <w:right w:val="single" w:sz="6" w:space="0" w:color="FFFFFF"/>
            </w:tcBorders>
            <w:vAlign w:val="center"/>
          </w:tcPr>
          <w:p w:rsidR="00BB7125" w:rsidRPr="00377367" w:rsidP="00942050" w14:paraId="47EA2D24" w14:textId="77777777">
            <w:pPr>
              <w:tabs>
                <w:tab w:val="left" w:pos="-1080"/>
                <w:tab w:val="left" w:pos="-720"/>
                <w:tab w:val="left" w:pos="0"/>
                <w:tab w:val="left" w:pos="450"/>
                <w:tab w:val="left" w:pos="720"/>
                <w:tab w:val="left" w:pos="2160"/>
              </w:tabs>
              <w:jc w:val="center"/>
            </w:pPr>
            <w:r w:rsidRPr="00377367">
              <w:t>Type of Collection</w:t>
            </w:r>
          </w:p>
        </w:tc>
        <w:tc>
          <w:tcPr>
            <w:tcW w:w="1710" w:type="dxa"/>
            <w:tcBorders>
              <w:top w:val="single" w:sz="7" w:space="0" w:color="000000"/>
              <w:left w:val="single" w:sz="7" w:space="0" w:color="000000"/>
              <w:bottom w:val="single" w:sz="6" w:space="0" w:color="FFFFFF"/>
              <w:right w:val="single" w:sz="6" w:space="0" w:color="FFFFFF"/>
            </w:tcBorders>
            <w:vAlign w:val="center"/>
          </w:tcPr>
          <w:p w:rsidR="00BB7125" w:rsidRPr="00D95556" w:rsidP="00942050" w14:paraId="7DD28ED9" w14:textId="77777777">
            <w:pPr>
              <w:tabs>
                <w:tab w:val="left" w:pos="-1080"/>
                <w:tab w:val="left" w:pos="-720"/>
                <w:tab w:val="left" w:pos="0"/>
                <w:tab w:val="left" w:pos="450"/>
                <w:tab w:val="left" w:pos="720"/>
                <w:tab w:val="left" w:pos="2160"/>
              </w:tabs>
              <w:jc w:val="center"/>
            </w:pPr>
            <w:r w:rsidRPr="00D95556">
              <w:t>Number of Respondents</w:t>
            </w:r>
          </w:p>
        </w:tc>
        <w:tc>
          <w:tcPr>
            <w:tcW w:w="1800" w:type="dxa"/>
            <w:tcBorders>
              <w:top w:val="single" w:sz="7" w:space="0" w:color="000000"/>
              <w:left w:val="single" w:sz="7" w:space="0" w:color="000000"/>
              <w:bottom w:val="single" w:sz="6" w:space="0" w:color="FFFFFF"/>
              <w:right w:val="single" w:sz="6" w:space="0" w:color="FFFFFF"/>
            </w:tcBorders>
            <w:vAlign w:val="center"/>
          </w:tcPr>
          <w:p w:rsidR="00BB7125" w:rsidRPr="00377367" w:rsidP="00942050" w14:paraId="11BF13B2" w14:textId="77777777">
            <w:pPr>
              <w:tabs>
                <w:tab w:val="left" w:pos="-1080"/>
                <w:tab w:val="left" w:pos="-720"/>
                <w:tab w:val="left" w:pos="0"/>
                <w:tab w:val="left" w:pos="450"/>
                <w:tab w:val="left" w:pos="720"/>
                <w:tab w:val="left" w:pos="2160"/>
              </w:tabs>
              <w:jc w:val="center"/>
            </w:pPr>
            <w:r w:rsidRPr="00377367">
              <w:t>Annual Frequency per Response</w:t>
            </w:r>
          </w:p>
        </w:tc>
        <w:tc>
          <w:tcPr>
            <w:tcW w:w="1620" w:type="dxa"/>
            <w:tcBorders>
              <w:top w:val="single" w:sz="7" w:space="0" w:color="000000"/>
              <w:left w:val="single" w:sz="7" w:space="0" w:color="000000"/>
              <w:bottom w:val="single" w:sz="6" w:space="0" w:color="FFFFFF"/>
              <w:right w:val="single" w:sz="6" w:space="0" w:color="FFFFFF"/>
            </w:tcBorders>
            <w:vAlign w:val="center"/>
          </w:tcPr>
          <w:p w:rsidR="00BB7125" w:rsidRPr="00377367" w:rsidP="00942050" w14:paraId="6A6346B0" w14:textId="77777777">
            <w:pPr>
              <w:tabs>
                <w:tab w:val="left" w:pos="-1080"/>
                <w:tab w:val="left" w:pos="-720"/>
                <w:tab w:val="left" w:pos="0"/>
                <w:tab w:val="left" w:pos="450"/>
                <w:tab w:val="left" w:pos="720"/>
                <w:tab w:val="left" w:pos="2160"/>
              </w:tabs>
              <w:jc w:val="center"/>
            </w:pPr>
            <w:r w:rsidRPr="00377367">
              <w:t>Hours per Response</w:t>
            </w:r>
          </w:p>
        </w:tc>
        <w:tc>
          <w:tcPr>
            <w:tcW w:w="1179" w:type="dxa"/>
            <w:tcBorders>
              <w:top w:val="single" w:sz="7" w:space="0" w:color="000000"/>
              <w:left w:val="single" w:sz="7" w:space="0" w:color="000000"/>
              <w:bottom w:val="single" w:sz="6" w:space="0" w:color="FFFFFF"/>
              <w:right w:val="single" w:sz="7" w:space="0" w:color="000000"/>
            </w:tcBorders>
            <w:vAlign w:val="center"/>
          </w:tcPr>
          <w:p w:rsidR="00BB7125" w:rsidRPr="00377367" w:rsidP="00942050" w14:paraId="7D9BC286" w14:textId="77777777">
            <w:pPr>
              <w:tabs>
                <w:tab w:val="left" w:pos="-1080"/>
                <w:tab w:val="left" w:pos="-720"/>
                <w:tab w:val="left" w:pos="0"/>
                <w:tab w:val="left" w:pos="450"/>
                <w:tab w:val="left" w:pos="720"/>
                <w:tab w:val="left" w:pos="2160"/>
              </w:tabs>
              <w:jc w:val="center"/>
            </w:pPr>
            <w:r w:rsidRPr="00377367">
              <w:t>Total Hours</w:t>
            </w:r>
          </w:p>
        </w:tc>
      </w:tr>
      <w:tr w14:paraId="683DC242" w14:textId="77777777" w:rsidTr="00942050">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BB7125" w:rsidRPr="00377367" w:rsidP="00942050" w14:paraId="3893DE2A" w14:textId="499DA8A8">
            <w:pPr>
              <w:tabs>
                <w:tab w:val="left" w:pos="-1080"/>
                <w:tab w:val="left" w:pos="-720"/>
                <w:tab w:val="left" w:pos="0"/>
                <w:tab w:val="left" w:pos="450"/>
                <w:tab w:val="left" w:pos="720"/>
                <w:tab w:val="left" w:pos="2160"/>
              </w:tabs>
            </w:pPr>
            <w:r>
              <w:t>Material Events Form</w:t>
            </w:r>
          </w:p>
        </w:tc>
        <w:tc>
          <w:tcPr>
            <w:tcW w:w="1710" w:type="dxa"/>
            <w:tcBorders>
              <w:top w:val="single" w:sz="7" w:space="0" w:color="000000"/>
              <w:left w:val="single" w:sz="7" w:space="0" w:color="000000"/>
              <w:bottom w:val="single" w:sz="7" w:space="0" w:color="000000"/>
              <w:right w:val="single" w:sz="6" w:space="0" w:color="FFFFFF"/>
            </w:tcBorders>
            <w:vAlign w:val="center"/>
          </w:tcPr>
          <w:p w:rsidR="00BB7125" w:rsidRPr="00D95556" w:rsidP="00942050" w14:paraId="1BBEB2BF" w14:textId="4B1342BC">
            <w:pPr>
              <w:tabs>
                <w:tab w:val="left" w:pos="-1080"/>
                <w:tab w:val="left" w:pos="-720"/>
                <w:tab w:val="left" w:pos="0"/>
                <w:tab w:val="left" w:pos="450"/>
                <w:tab w:val="left" w:pos="720"/>
                <w:tab w:val="left" w:pos="2160"/>
              </w:tabs>
              <w:jc w:val="center"/>
            </w:pPr>
            <w:r>
              <w:t>3</w:t>
            </w:r>
            <w:r w:rsidR="00AE1978">
              <w:t>25</w:t>
            </w:r>
          </w:p>
        </w:tc>
        <w:tc>
          <w:tcPr>
            <w:tcW w:w="1800" w:type="dxa"/>
            <w:tcBorders>
              <w:top w:val="single" w:sz="7" w:space="0" w:color="000000"/>
              <w:left w:val="single" w:sz="7" w:space="0" w:color="000000"/>
              <w:bottom w:val="single" w:sz="7" w:space="0" w:color="000000"/>
              <w:right w:val="single" w:sz="6" w:space="0" w:color="FFFFFF"/>
            </w:tcBorders>
            <w:vAlign w:val="center"/>
          </w:tcPr>
          <w:p w:rsidR="00BB7125" w:rsidRPr="004D4EBA" w:rsidP="00942050" w14:paraId="7DDC19C8" w14:textId="576533D6">
            <w:pPr>
              <w:tabs>
                <w:tab w:val="left" w:pos="-1080"/>
                <w:tab w:val="left" w:pos="-720"/>
                <w:tab w:val="left" w:pos="0"/>
                <w:tab w:val="left" w:pos="450"/>
                <w:tab w:val="left" w:pos="720"/>
                <w:tab w:val="left" w:pos="2160"/>
              </w:tabs>
              <w:jc w:val="center"/>
            </w:pPr>
            <w:r w:rsidRPr="004D4EBA">
              <w:rPr>
                <w:color w:val="000000" w:themeColor="text1"/>
              </w:rPr>
              <w:t>2</w:t>
            </w:r>
          </w:p>
        </w:tc>
        <w:tc>
          <w:tcPr>
            <w:tcW w:w="1620" w:type="dxa"/>
            <w:tcBorders>
              <w:top w:val="single" w:sz="7" w:space="0" w:color="000000"/>
              <w:left w:val="single" w:sz="7" w:space="0" w:color="000000"/>
              <w:bottom w:val="single" w:sz="7" w:space="0" w:color="000000"/>
              <w:right w:val="single" w:sz="6" w:space="0" w:color="FFFFFF"/>
            </w:tcBorders>
            <w:vAlign w:val="center"/>
          </w:tcPr>
          <w:p w:rsidR="00BB7125" w:rsidRPr="00377367" w:rsidP="00942050" w14:paraId="7FD60A09" w14:textId="6C006924">
            <w:pPr>
              <w:tabs>
                <w:tab w:val="left" w:pos="-1080"/>
                <w:tab w:val="left" w:pos="-720"/>
                <w:tab w:val="left" w:pos="0"/>
                <w:tab w:val="left" w:pos="450"/>
                <w:tab w:val="left" w:pos="720"/>
                <w:tab w:val="left" w:pos="2160"/>
              </w:tabs>
              <w:jc w:val="center"/>
            </w:pPr>
            <w:r w:rsidRPr="00377367">
              <w:t>.</w:t>
            </w:r>
            <w:r w:rsidR="000A05F4">
              <w:t>25</w:t>
            </w:r>
          </w:p>
        </w:tc>
        <w:tc>
          <w:tcPr>
            <w:tcW w:w="1179" w:type="dxa"/>
            <w:tcBorders>
              <w:top w:val="single" w:sz="7" w:space="0" w:color="000000"/>
              <w:left w:val="single" w:sz="7" w:space="0" w:color="000000"/>
              <w:bottom w:val="single" w:sz="7" w:space="0" w:color="000000"/>
              <w:right w:val="single" w:sz="7" w:space="0" w:color="000000"/>
            </w:tcBorders>
            <w:vAlign w:val="center"/>
          </w:tcPr>
          <w:p w:rsidR="00BB7125" w:rsidRPr="00D95556" w:rsidP="00942050" w14:paraId="514BE930" w14:textId="3AC8D60F">
            <w:pPr>
              <w:tabs>
                <w:tab w:val="left" w:pos="-1080"/>
                <w:tab w:val="left" w:pos="-720"/>
                <w:tab w:val="left" w:pos="0"/>
                <w:tab w:val="left" w:pos="450"/>
                <w:tab w:val="left" w:pos="720"/>
                <w:tab w:val="left" w:pos="2160"/>
              </w:tabs>
              <w:jc w:val="center"/>
            </w:pPr>
            <w:r>
              <w:t>163</w:t>
            </w:r>
          </w:p>
        </w:tc>
      </w:tr>
    </w:tbl>
    <w:p w:rsidR="00BB7125" w:rsidP="00BB7125" w14:paraId="2452466E" w14:textId="77777777">
      <w:pPr>
        <w:pStyle w:val="Default"/>
        <w:rPr>
          <w:u w:val="single"/>
        </w:rPr>
      </w:pPr>
    </w:p>
    <w:p w:rsidR="00BB7125" w:rsidRPr="00D95556" w:rsidP="00BB7125" w14:paraId="0364A562" w14:textId="77777777">
      <w:pPr>
        <w:pStyle w:val="Default"/>
        <w:rPr>
          <w:u w:val="single"/>
        </w:rPr>
      </w:pPr>
      <w:r w:rsidRPr="00D95556">
        <w:rPr>
          <w:u w:val="single"/>
        </w:rPr>
        <w:t>13. Estimate of total annual cost burden to respondents</w:t>
      </w:r>
    </w:p>
    <w:p w:rsidR="00BB7125" w:rsidRPr="00377367" w:rsidP="00BB7125" w14:paraId="472955A7" w14:textId="77777777">
      <w:pPr>
        <w:pStyle w:val="Default"/>
      </w:pPr>
      <w:r w:rsidRPr="00377367">
        <w:t xml:space="preserve">There are no additional capital, start-up or ongoing operational, or maintenance costs associated with information collection. </w:t>
      </w:r>
    </w:p>
    <w:p w:rsidR="00BB7125" w:rsidRPr="00377367" w:rsidP="00BB7125" w14:paraId="17C7B239" w14:textId="77777777">
      <w:pPr>
        <w:pStyle w:val="Default"/>
        <w:rPr>
          <w:u w:val="single"/>
        </w:rPr>
      </w:pPr>
    </w:p>
    <w:p w:rsidR="00BB7125" w:rsidRPr="00377367" w:rsidP="00BB7125" w14:paraId="630D0447" w14:textId="77777777">
      <w:pPr>
        <w:pStyle w:val="Default"/>
        <w:rPr>
          <w:u w:val="single"/>
        </w:rPr>
      </w:pPr>
      <w:r w:rsidRPr="00377367">
        <w:rPr>
          <w:u w:val="single"/>
        </w:rPr>
        <w:t xml:space="preserve">14. Estimate of annualized cost to the Government </w:t>
      </w:r>
    </w:p>
    <w:p w:rsidR="00BC561C" w:rsidRPr="00FE552D" w:rsidP="00BC561C" w14:paraId="0ED9D1F9" w14:textId="77777777">
      <w:pPr>
        <w:autoSpaceDE w:val="0"/>
        <w:autoSpaceDN w:val="0"/>
        <w:adjustRightInd w:val="0"/>
        <w:rPr>
          <w:rFonts w:eastAsia="Calibri"/>
          <w:color w:val="000000"/>
        </w:rPr>
      </w:pPr>
      <w:r w:rsidRPr="00FE552D">
        <w:rPr>
          <w:rFonts w:eastAsia="Calibri"/>
          <w:color w:val="000000"/>
        </w:rPr>
        <w:t xml:space="preserve">Annual costs to the Government consist of the staff time associated with implementing information collections, reviewing information, and reporting results. It is not possible to accurately estimate the annualized cost to the Government of staff time due to variations in staff size, grades, and level of effort over the course of a given year. </w:t>
      </w:r>
    </w:p>
    <w:p w:rsidR="00BB7125" w:rsidRPr="00523E58" w:rsidP="00BB7125" w14:paraId="056A1441" w14:textId="04D05637">
      <w:pPr>
        <w:pStyle w:val="Default"/>
      </w:pPr>
    </w:p>
    <w:p w:rsidR="00BB7125" w:rsidRPr="00D95556" w:rsidP="00BB7125" w14:paraId="4258F88E" w14:textId="77777777">
      <w:pPr>
        <w:pStyle w:val="Default"/>
        <w:rPr>
          <w:u w:val="single"/>
        </w:rPr>
      </w:pPr>
      <w:r w:rsidRPr="00D95556">
        <w:rPr>
          <w:u w:val="single"/>
        </w:rPr>
        <w:t xml:space="preserve">15. Any program changes or adjustments </w:t>
      </w:r>
    </w:p>
    <w:p w:rsidR="00BB7125" w:rsidRPr="00377367" w:rsidP="00BB7125" w14:paraId="6A444171" w14:textId="0E80B70C">
      <w:pPr>
        <w:tabs>
          <w:tab w:val="left" w:pos="7601"/>
        </w:tabs>
        <w:rPr>
          <w:color w:val="000000"/>
        </w:rPr>
      </w:pPr>
      <w:r>
        <w:t xml:space="preserve">This submission is </w:t>
      </w:r>
      <w:r w:rsidRPr="00377367">
        <w:t xml:space="preserve">request for </w:t>
      </w:r>
      <w:r w:rsidR="0072462A">
        <w:t xml:space="preserve">the </w:t>
      </w:r>
      <w:r>
        <w:t xml:space="preserve">renewal of an existing collection instrument. </w:t>
      </w:r>
      <w:r w:rsidRPr="00627679">
        <w:t>Minor modification</w:t>
      </w:r>
      <w:r>
        <w:t>s</w:t>
      </w:r>
      <w:r w:rsidRPr="00627679">
        <w:t xml:space="preserve"> were made to the </w:t>
      </w:r>
      <w:r w:rsidR="00BC561C">
        <w:t xml:space="preserve">Certification of </w:t>
      </w:r>
      <w:r w:rsidRPr="00627679">
        <w:t xml:space="preserve">Material Event Form to include changes resulting from the implementation of new programs, modifications to existing Agreements and </w:t>
      </w:r>
      <w:r>
        <w:t>Office of Management and Budget (</w:t>
      </w:r>
      <w:r w:rsidRPr="00627679">
        <w:t>OMB</w:t>
      </w:r>
      <w:r>
        <w:t>)</w:t>
      </w:r>
      <w:r w:rsidRPr="00627679">
        <w:t xml:space="preserve"> requirements.</w:t>
      </w:r>
    </w:p>
    <w:p w:rsidR="00BB7125" w:rsidRPr="00377367" w:rsidP="00BB7125" w14:paraId="578F6E6E" w14:textId="77777777"/>
    <w:p w:rsidR="00BB7125" w:rsidRPr="00377367" w:rsidP="00BB7125" w14:paraId="348C5EC2" w14:textId="77777777">
      <w:pPr>
        <w:pStyle w:val="Default"/>
      </w:pPr>
      <w:r w:rsidRPr="00377367">
        <w:rPr>
          <w:u w:val="single"/>
        </w:rPr>
        <w:t xml:space="preserve">16. Plans for information tabulation and publication </w:t>
      </w:r>
    </w:p>
    <w:p w:rsidR="00BC561C" w:rsidRPr="00FE552D" w:rsidP="00BC561C" w14:paraId="088FBFC4" w14:textId="77777777">
      <w:pPr>
        <w:autoSpaceDE w:val="0"/>
        <w:autoSpaceDN w:val="0"/>
        <w:adjustRightInd w:val="0"/>
        <w:rPr>
          <w:rFonts w:eastAsia="Calibri"/>
          <w:color w:val="000000"/>
        </w:rPr>
      </w:pPr>
      <w:r w:rsidRPr="00FE552D">
        <w:rPr>
          <w:rFonts w:eastAsia="Calibri"/>
          <w:color w:val="000000"/>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limitations of the qualitative results discussed above. </w:t>
      </w:r>
    </w:p>
    <w:p w:rsidR="00BB7125" w:rsidRPr="00377367" w:rsidP="00BB7125" w14:paraId="367C102B" w14:textId="77777777">
      <w:pPr>
        <w:pStyle w:val="Default"/>
      </w:pPr>
    </w:p>
    <w:p w:rsidR="00BB7125" w:rsidRPr="00D95556" w:rsidP="00BB7125" w14:paraId="508521E7" w14:textId="77777777">
      <w:pPr>
        <w:pStyle w:val="Default"/>
        <w:rPr>
          <w:u w:val="single"/>
        </w:rPr>
      </w:pPr>
      <w:r w:rsidRPr="00D95556">
        <w:rPr>
          <w:u w:val="single"/>
        </w:rPr>
        <w:t xml:space="preserve">17. Reasons for not displaying expiration date of OMB approval </w:t>
      </w:r>
    </w:p>
    <w:p w:rsidR="008C68F4" w:rsidP="008C68F4" w14:paraId="62C14388" w14:textId="1F3DAD50">
      <w:r>
        <w:t xml:space="preserve">Not applicable. The CDFI Fund intends to display the expiration date of the OMB approval on the </w:t>
      </w:r>
      <w:r w:rsidRPr="00627679" w:rsidR="00B53D8C">
        <w:t>Material Event Form</w:t>
      </w:r>
      <w:r w:rsidR="00B53D8C">
        <w:t>.</w:t>
      </w:r>
    </w:p>
    <w:p w:rsidR="00BB7125" w:rsidRPr="00D95556" w:rsidP="00BB7125" w14:paraId="1E72846B" w14:textId="1236FE2A"/>
    <w:p w:rsidR="00BB7125" w:rsidRPr="00377367" w:rsidP="00BB7125" w14:paraId="2C1FE658" w14:textId="77777777">
      <w:pPr>
        <w:pStyle w:val="Default"/>
        <w:rPr>
          <w:u w:val="single"/>
        </w:rPr>
      </w:pPr>
      <w:r w:rsidRPr="00377367">
        <w:rPr>
          <w:u w:val="single"/>
        </w:rPr>
        <w:t xml:space="preserve">18. Explanation of exceptions to certification statement </w:t>
      </w:r>
    </w:p>
    <w:p w:rsidR="00BB7125" w:rsidRPr="00377367" w:rsidP="00BB7125" w14:paraId="5ED48DC4" w14:textId="77777777">
      <w:r w:rsidRPr="00377367">
        <w:t>Not applicable.</w:t>
      </w:r>
    </w:p>
    <w:p w:rsidR="00BB7125" w:rsidRPr="00377367" w:rsidP="00BB7125" w14:paraId="1B4F8334" w14:textId="77777777">
      <w:pPr>
        <w:pStyle w:val="Default"/>
        <w:rPr>
          <w:b/>
          <w:bCs/>
        </w:rPr>
      </w:pPr>
    </w:p>
    <w:p w:rsidR="00BB7125" w:rsidRPr="00377367" w:rsidP="00BB7125" w14:paraId="5469240D" w14:textId="77777777">
      <w:pPr>
        <w:pStyle w:val="Default"/>
        <w:rPr>
          <w:b/>
          <w:bCs/>
        </w:rPr>
      </w:pPr>
      <w:r w:rsidRPr="00377367">
        <w:rPr>
          <w:b/>
          <w:bCs/>
        </w:rPr>
        <w:t xml:space="preserve">B. Collections of Information Employing Statistical Methods </w:t>
      </w:r>
    </w:p>
    <w:p w:rsidR="00BB7125" w:rsidRPr="00377367" w:rsidP="00BB7125" w14:paraId="6098EF79" w14:textId="77777777">
      <w:pPr>
        <w:pStyle w:val="Default"/>
        <w:rPr>
          <w:bCs/>
        </w:rPr>
      </w:pPr>
      <w:r w:rsidRPr="00377367">
        <w:rPr>
          <w:bCs/>
        </w:rPr>
        <w:t>Not applicable.</w:t>
      </w:r>
    </w:p>
    <w:p w:rsidR="005F5581" w14:paraId="6627CC3F" w14:textId="03BFE803">
      <w:r>
        <w:br w:type="page"/>
      </w:r>
    </w:p>
    <w:p w:rsidR="00BB7125" w:rsidP="00496914" w14:paraId="74346BF1" w14:textId="626ED0D6">
      <w:pPr>
        <w:rPr>
          <w:b/>
          <w:bCs/>
        </w:rPr>
      </w:pPr>
      <w:r>
        <w:rPr>
          <w:b/>
          <w:bCs/>
        </w:rPr>
        <w:t>Appendix 1</w:t>
      </w:r>
      <w:r w:rsidR="00CA7C28">
        <w:rPr>
          <w:b/>
          <w:bCs/>
        </w:rPr>
        <w:t xml:space="preserve">: </w:t>
      </w:r>
      <w:r>
        <w:rPr>
          <w:b/>
          <w:bCs/>
        </w:rPr>
        <w:t>Material Event Form Response and Comment Summary</w:t>
      </w:r>
    </w:p>
    <w:p w:rsidR="009E4893" w:rsidP="00496914" w14:paraId="346306AD" w14:textId="77777777">
      <w:pPr>
        <w:rPr>
          <w:b/>
          <w:bCs/>
        </w:rPr>
      </w:pPr>
    </w:p>
    <w:p w:rsidR="009E4893" w:rsidP="00496914" w14:paraId="6C9BC5FA" w14:textId="77777777">
      <w:pPr>
        <w:rPr>
          <w:b/>
          <w:bCs/>
        </w:rPr>
      </w:pPr>
    </w:p>
    <w:p w:rsidR="00BA7ECF" w:rsidP="00496914" w14:paraId="7CFEC959" w14:textId="77777777">
      <w:pPr>
        <w:rPr>
          <w:b/>
          <w:bCs/>
        </w:rPr>
      </w:pPr>
    </w:p>
    <w:p w:rsidR="00BA7ECF" w:rsidRPr="009E4893" w:rsidP="00BA7ECF" w14:paraId="5E524B1E" w14:textId="4CA12F39">
      <w:pPr>
        <w:pStyle w:val="Caption"/>
        <w:rPr>
          <w:b/>
          <w:bCs/>
          <w:i w:val="0"/>
          <w:iCs w:val="0"/>
          <w:color w:val="auto"/>
          <w:sz w:val="22"/>
          <w:szCs w:val="22"/>
        </w:rPr>
      </w:pPr>
      <w:r w:rsidRPr="009E4893">
        <w:rPr>
          <w:b/>
          <w:bCs/>
          <w:i w:val="0"/>
          <w:iCs w:val="0"/>
          <w:color w:val="auto"/>
          <w:sz w:val="22"/>
          <w:szCs w:val="22"/>
        </w:rPr>
        <w:t>Table</w:t>
      </w:r>
      <w:r w:rsidR="006A79E1">
        <w:rPr>
          <w:b/>
          <w:bCs/>
          <w:i w:val="0"/>
          <w:iCs w:val="0"/>
          <w:color w:val="auto"/>
          <w:sz w:val="22"/>
          <w:szCs w:val="22"/>
        </w:rPr>
        <w:t xml:space="preserve"> 1</w:t>
      </w:r>
      <w:r w:rsidRPr="009E4893">
        <w:rPr>
          <w:b/>
          <w:bCs/>
          <w:i w:val="0"/>
          <w:iCs w:val="0"/>
          <w:color w:val="auto"/>
          <w:sz w:val="22"/>
          <w:szCs w:val="22"/>
        </w:rPr>
        <w:t>: Material Event Form Respondents</w:t>
      </w:r>
    </w:p>
    <w:tbl>
      <w:tblPr>
        <w:tblW w:w="9000" w:type="dxa"/>
        <w:tblLook w:val="04A0"/>
      </w:tblPr>
      <w:tblGrid>
        <w:gridCol w:w="1120"/>
        <w:gridCol w:w="5700"/>
        <w:gridCol w:w="2180"/>
      </w:tblGrid>
      <w:tr w14:paraId="645D1613" w14:textId="77777777" w:rsidTr="00BA7ECF">
        <w:tblPrEx>
          <w:tblW w:w="9000" w:type="dxa"/>
          <w:tblLook w:val="04A0"/>
        </w:tblPrEx>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BA7ECF" w:rsidRPr="00BA7ECF" w14:paraId="02B19D19" w14:textId="77777777">
            <w:pPr>
              <w:rPr>
                <w:b/>
                <w:bCs/>
                <w:color w:val="000000"/>
                <w:sz w:val="22"/>
                <w:szCs w:val="22"/>
              </w:rPr>
            </w:pPr>
            <w:r w:rsidRPr="00BA7ECF">
              <w:rPr>
                <w:b/>
                <w:bCs/>
                <w:color w:val="000000"/>
                <w:sz w:val="22"/>
                <w:szCs w:val="22"/>
              </w:rPr>
              <w:t>Date</w:t>
            </w:r>
          </w:p>
        </w:tc>
        <w:tc>
          <w:tcPr>
            <w:tcW w:w="5700" w:type="dxa"/>
            <w:tcBorders>
              <w:top w:val="single" w:sz="4" w:space="0" w:color="auto"/>
              <w:left w:val="nil"/>
              <w:bottom w:val="single" w:sz="4" w:space="0" w:color="auto"/>
              <w:right w:val="single" w:sz="4" w:space="0" w:color="auto"/>
            </w:tcBorders>
            <w:shd w:val="clear" w:color="auto" w:fill="auto"/>
            <w:hideMark/>
          </w:tcPr>
          <w:p w:rsidR="00BA7ECF" w:rsidRPr="00BA7ECF" w14:paraId="72E47CFB" w14:textId="77777777">
            <w:pPr>
              <w:rPr>
                <w:b/>
                <w:bCs/>
                <w:color w:val="000000"/>
                <w:sz w:val="22"/>
                <w:szCs w:val="22"/>
              </w:rPr>
            </w:pPr>
            <w:r w:rsidRPr="00BA7ECF">
              <w:rPr>
                <w:b/>
                <w:bCs/>
                <w:color w:val="000000"/>
                <w:sz w:val="22"/>
                <w:szCs w:val="22"/>
              </w:rPr>
              <w:t xml:space="preserve">Organization </w:t>
            </w:r>
          </w:p>
        </w:tc>
        <w:tc>
          <w:tcPr>
            <w:tcW w:w="2180" w:type="dxa"/>
            <w:tcBorders>
              <w:top w:val="single" w:sz="4" w:space="0" w:color="auto"/>
              <w:left w:val="nil"/>
              <w:bottom w:val="single" w:sz="4" w:space="0" w:color="auto"/>
              <w:right w:val="single" w:sz="4" w:space="0" w:color="auto"/>
            </w:tcBorders>
            <w:shd w:val="clear" w:color="auto" w:fill="auto"/>
            <w:hideMark/>
          </w:tcPr>
          <w:p w:rsidR="00BA7ECF" w:rsidRPr="00BA7ECF" w14:paraId="429B8C2B" w14:textId="77777777">
            <w:pPr>
              <w:rPr>
                <w:b/>
                <w:bCs/>
                <w:color w:val="000000"/>
                <w:sz w:val="22"/>
                <w:szCs w:val="22"/>
              </w:rPr>
            </w:pPr>
            <w:r w:rsidRPr="00BA7ECF">
              <w:rPr>
                <w:b/>
                <w:bCs/>
                <w:color w:val="000000"/>
                <w:sz w:val="22"/>
                <w:szCs w:val="22"/>
              </w:rPr>
              <w:t>Name</w:t>
            </w:r>
          </w:p>
        </w:tc>
      </w:tr>
      <w:tr w14:paraId="433ED26D" w14:textId="77777777" w:rsidTr="00BA7ECF">
        <w:tblPrEx>
          <w:tblW w:w="9000" w:type="dxa"/>
          <w:tblLook w:val="04A0"/>
        </w:tblPrEx>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6224C98A" w14:textId="77777777">
            <w:pPr>
              <w:rPr>
                <w:color w:val="000000"/>
                <w:sz w:val="22"/>
                <w:szCs w:val="22"/>
              </w:rPr>
            </w:pPr>
            <w:r w:rsidRPr="00BA7ECF">
              <w:rPr>
                <w:color w:val="000000"/>
                <w:sz w:val="22"/>
                <w:szCs w:val="22"/>
              </w:rPr>
              <w:t>8/25/2025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3854AFE4" w14:textId="77777777">
            <w:pPr>
              <w:rPr>
                <w:color w:val="000000"/>
                <w:sz w:val="22"/>
                <w:szCs w:val="22"/>
              </w:rPr>
            </w:pPr>
            <w:r w:rsidRPr="00BA7ECF">
              <w:rPr>
                <w:color w:val="000000"/>
                <w:sz w:val="22"/>
                <w:szCs w:val="22"/>
              </w:rPr>
              <w:t xml:space="preserve">American Bankers </w:t>
            </w:r>
            <w:r w:rsidRPr="00BA7ECF">
              <w:rPr>
                <w:color w:val="000000"/>
                <w:sz w:val="22"/>
                <w:szCs w:val="22"/>
              </w:rPr>
              <w:t>Association</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23EC81DD" w14:textId="77777777">
            <w:pPr>
              <w:rPr>
                <w:color w:val="000000"/>
                <w:sz w:val="22"/>
                <w:szCs w:val="22"/>
              </w:rPr>
            </w:pPr>
            <w:r w:rsidRPr="00BA7ECF">
              <w:rPr>
                <w:color w:val="000000"/>
                <w:sz w:val="22"/>
                <w:szCs w:val="22"/>
              </w:rPr>
              <w:t>Christopher Lewis</w:t>
            </w:r>
          </w:p>
        </w:tc>
      </w:tr>
      <w:tr w14:paraId="13C1E48B" w14:textId="77777777" w:rsidTr="00BA7ECF">
        <w:tblPrEx>
          <w:tblW w:w="9000" w:type="dxa"/>
          <w:tblLook w:val="04A0"/>
        </w:tblPrEx>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5C1B82F4" w14:textId="77777777">
            <w:pPr>
              <w:rPr>
                <w:color w:val="000000"/>
                <w:sz w:val="22"/>
                <w:szCs w:val="22"/>
              </w:rPr>
            </w:pPr>
            <w:r w:rsidRPr="00BA7ECF">
              <w:rPr>
                <w:color w:val="000000"/>
                <w:sz w:val="22"/>
                <w:szCs w:val="22"/>
              </w:rPr>
              <w:t>8/25/2025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267B9EF0" w14:textId="77777777">
            <w:pPr>
              <w:rPr>
                <w:color w:val="000000"/>
                <w:sz w:val="22"/>
                <w:szCs w:val="22"/>
              </w:rPr>
            </w:pPr>
            <w:r w:rsidRPr="00BA7ECF">
              <w:rPr>
                <w:color w:val="000000"/>
                <w:sz w:val="22"/>
                <w:szCs w:val="22"/>
              </w:rPr>
              <w:t>American Financial Services Association</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6F8D1DEC" w14:textId="77777777">
            <w:pPr>
              <w:rPr>
                <w:color w:val="000000"/>
                <w:sz w:val="22"/>
                <w:szCs w:val="22"/>
              </w:rPr>
            </w:pPr>
            <w:r w:rsidRPr="00BA7ECF">
              <w:rPr>
                <w:color w:val="000000"/>
                <w:sz w:val="22"/>
                <w:szCs w:val="22"/>
              </w:rPr>
              <w:t>Philip Bohi</w:t>
            </w:r>
          </w:p>
        </w:tc>
      </w:tr>
      <w:tr w14:paraId="4ABDCD08" w14:textId="77777777" w:rsidTr="00BA7ECF">
        <w:tblPrEx>
          <w:tblW w:w="9000" w:type="dxa"/>
          <w:tblLook w:val="04A0"/>
        </w:tblPrEx>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10695B13" w14:textId="77777777">
            <w:pPr>
              <w:rPr>
                <w:color w:val="000000"/>
                <w:sz w:val="22"/>
                <w:szCs w:val="22"/>
              </w:rPr>
            </w:pPr>
            <w:r w:rsidRPr="00BA7ECF">
              <w:rPr>
                <w:color w:val="000000"/>
                <w:sz w:val="22"/>
                <w:szCs w:val="22"/>
              </w:rPr>
              <w:t>7/14/2025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34D7B2AF" w14:textId="77777777">
            <w:pPr>
              <w:rPr>
                <w:color w:val="000000"/>
                <w:sz w:val="22"/>
                <w:szCs w:val="22"/>
              </w:rPr>
            </w:pPr>
            <w:r w:rsidRPr="00BA7ECF">
              <w:rPr>
                <w:color w:val="000000"/>
                <w:sz w:val="22"/>
                <w:szCs w:val="22"/>
              </w:rPr>
              <w:t>Community Development Bankers Association</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51EEA1B0" w14:textId="77777777">
            <w:pPr>
              <w:rPr>
                <w:color w:val="000000"/>
                <w:sz w:val="22"/>
                <w:szCs w:val="22"/>
              </w:rPr>
            </w:pPr>
            <w:r w:rsidRPr="00BA7ECF">
              <w:rPr>
                <w:color w:val="000000"/>
                <w:sz w:val="22"/>
                <w:szCs w:val="22"/>
              </w:rPr>
              <w:t>Jeannine Jacokes</w:t>
            </w:r>
          </w:p>
        </w:tc>
      </w:tr>
      <w:tr w14:paraId="0EC03480" w14:textId="77777777" w:rsidTr="00BA7ECF">
        <w:tblPrEx>
          <w:tblW w:w="9000" w:type="dxa"/>
          <w:tblLook w:val="04A0"/>
        </w:tblPrEx>
        <w:trPr>
          <w:trHeight w:val="6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6E6F7B8D" w14:textId="77777777">
            <w:pPr>
              <w:rPr>
                <w:color w:val="000000"/>
                <w:sz w:val="22"/>
                <w:szCs w:val="22"/>
              </w:rPr>
            </w:pPr>
            <w:r w:rsidRPr="00BA7ECF">
              <w:rPr>
                <w:color w:val="000000"/>
                <w:sz w:val="22"/>
                <w:szCs w:val="22"/>
              </w:rPr>
              <w:t>8/25/2025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45E3D3A6" w14:textId="77777777">
            <w:pPr>
              <w:rPr>
                <w:color w:val="000000"/>
                <w:sz w:val="22"/>
                <w:szCs w:val="22"/>
              </w:rPr>
            </w:pPr>
            <w:r w:rsidRPr="00BA7ECF">
              <w:rPr>
                <w:color w:val="000000"/>
                <w:sz w:val="22"/>
                <w:szCs w:val="22"/>
              </w:rPr>
              <w:t xml:space="preserve">Conference of State Bank Supervisors and the National Association of State </w:t>
            </w:r>
            <w:r w:rsidRPr="00BA7ECF">
              <w:rPr>
                <w:color w:val="000000"/>
                <w:sz w:val="22"/>
                <w:szCs w:val="22"/>
              </w:rPr>
              <w:t>Credit Union Supervisors</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503B51DC" w14:textId="77777777">
            <w:pPr>
              <w:rPr>
                <w:color w:val="000000"/>
                <w:sz w:val="22"/>
                <w:szCs w:val="22"/>
              </w:rPr>
            </w:pPr>
            <w:r w:rsidRPr="00BA7ECF">
              <w:rPr>
                <w:color w:val="000000"/>
                <w:sz w:val="22"/>
                <w:szCs w:val="22"/>
              </w:rPr>
              <w:t>Brandon Milhorn</w:t>
            </w:r>
            <w:r w:rsidRPr="00BA7ECF">
              <w:rPr>
                <w:color w:val="000000"/>
                <w:sz w:val="22"/>
                <w:szCs w:val="22"/>
              </w:rPr>
              <w:br/>
              <w:t>Brian Knight</w:t>
            </w:r>
          </w:p>
        </w:tc>
      </w:tr>
      <w:tr w14:paraId="7A54BF6B" w14:textId="77777777" w:rsidTr="00BA7ECF">
        <w:tblPrEx>
          <w:tblW w:w="9000" w:type="dxa"/>
          <w:tblLook w:val="04A0"/>
        </w:tblPrEx>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7EAAC23A" w14:textId="77777777">
            <w:pPr>
              <w:rPr>
                <w:color w:val="000000"/>
                <w:sz w:val="22"/>
                <w:szCs w:val="22"/>
              </w:rPr>
            </w:pPr>
            <w:r w:rsidRPr="00BA7ECF">
              <w:rPr>
                <w:color w:val="000000"/>
                <w:sz w:val="22"/>
                <w:szCs w:val="22"/>
              </w:rPr>
              <w:t>8/6/2025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77EA1FF5" w14:textId="77777777">
            <w:pPr>
              <w:rPr>
                <w:color w:val="000000"/>
                <w:sz w:val="22"/>
                <w:szCs w:val="22"/>
              </w:rPr>
            </w:pPr>
            <w:r w:rsidRPr="00BA7ECF">
              <w:rPr>
                <w:color w:val="000000"/>
                <w:sz w:val="22"/>
                <w:szCs w:val="22"/>
              </w:rPr>
              <w:t>CU Strategic Planning</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6BD8E1A1" w14:textId="77777777">
            <w:pPr>
              <w:rPr>
                <w:color w:val="000000"/>
                <w:sz w:val="22"/>
                <w:szCs w:val="22"/>
              </w:rPr>
            </w:pPr>
            <w:r w:rsidRPr="00BA7ECF">
              <w:rPr>
                <w:color w:val="000000"/>
                <w:sz w:val="22"/>
                <w:szCs w:val="22"/>
              </w:rPr>
              <w:t>Stacy Augustine</w:t>
            </w:r>
          </w:p>
        </w:tc>
      </w:tr>
      <w:tr w14:paraId="472E5C39" w14:textId="77777777" w:rsidTr="00BA7ECF">
        <w:tblPrEx>
          <w:tblW w:w="9000" w:type="dxa"/>
          <w:tblLook w:val="04A0"/>
        </w:tblPrEx>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2040554C" w14:textId="77777777">
            <w:pPr>
              <w:rPr>
                <w:color w:val="000000"/>
                <w:sz w:val="22"/>
                <w:szCs w:val="22"/>
              </w:rPr>
            </w:pPr>
            <w:r w:rsidRPr="00BA7ECF">
              <w:rPr>
                <w:color w:val="000000"/>
                <w:sz w:val="22"/>
                <w:szCs w:val="22"/>
              </w:rPr>
              <w:t>8/25/2025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5F150DF6" w14:textId="77777777">
            <w:pPr>
              <w:rPr>
                <w:color w:val="000000"/>
                <w:sz w:val="22"/>
                <w:szCs w:val="22"/>
              </w:rPr>
            </w:pPr>
            <w:r w:rsidRPr="00BA7ECF">
              <w:rPr>
                <w:color w:val="000000"/>
                <w:sz w:val="22"/>
                <w:szCs w:val="22"/>
              </w:rPr>
              <w:t>Inclusiv</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45C58FE7" w14:textId="77777777">
            <w:pPr>
              <w:rPr>
                <w:color w:val="000000"/>
                <w:sz w:val="22"/>
                <w:szCs w:val="22"/>
              </w:rPr>
            </w:pPr>
            <w:r w:rsidRPr="00BA7ECF">
              <w:rPr>
                <w:color w:val="000000"/>
                <w:sz w:val="22"/>
                <w:szCs w:val="22"/>
              </w:rPr>
              <w:t>Cathleen Mahon</w:t>
            </w:r>
          </w:p>
        </w:tc>
      </w:tr>
      <w:tr w14:paraId="4D8A4F7F" w14:textId="77777777" w:rsidTr="00BA7ECF">
        <w:tblPrEx>
          <w:tblW w:w="9000" w:type="dxa"/>
          <w:tblLook w:val="04A0"/>
        </w:tblPrEx>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5894BF3D" w14:textId="77777777">
            <w:pPr>
              <w:rPr>
                <w:color w:val="000000"/>
                <w:sz w:val="22"/>
                <w:szCs w:val="22"/>
              </w:rPr>
            </w:pPr>
            <w:r w:rsidRPr="00BA7ECF">
              <w:rPr>
                <w:color w:val="000000"/>
                <w:sz w:val="22"/>
                <w:szCs w:val="22"/>
              </w:rPr>
              <w:t>7/30/2025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5D795A67" w14:textId="77777777">
            <w:pPr>
              <w:rPr>
                <w:color w:val="000000"/>
                <w:sz w:val="22"/>
                <w:szCs w:val="22"/>
              </w:rPr>
            </w:pPr>
            <w:r w:rsidRPr="00BA7ECF">
              <w:rPr>
                <w:color w:val="000000"/>
                <w:sz w:val="22"/>
                <w:szCs w:val="22"/>
              </w:rPr>
              <w:t>Midwest Minnesota Community Development Corporation</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138E1A0E" w14:textId="77777777">
            <w:pPr>
              <w:rPr>
                <w:color w:val="000000"/>
                <w:sz w:val="22"/>
                <w:szCs w:val="22"/>
              </w:rPr>
            </w:pPr>
            <w:r w:rsidRPr="00BA7ECF">
              <w:rPr>
                <w:color w:val="000000"/>
                <w:sz w:val="22"/>
                <w:szCs w:val="22"/>
              </w:rPr>
              <w:t>Julia Nelmark</w:t>
            </w:r>
          </w:p>
        </w:tc>
      </w:tr>
      <w:tr w14:paraId="015B73A8" w14:textId="77777777" w:rsidTr="00BA7ECF">
        <w:tblPrEx>
          <w:tblW w:w="9000" w:type="dxa"/>
          <w:tblLook w:val="04A0"/>
        </w:tblPrEx>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4E188EC2" w14:textId="77777777">
            <w:pPr>
              <w:rPr>
                <w:color w:val="000000"/>
                <w:sz w:val="22"/>
                <w:szCs w:val="22"/>
              </w:rPr>
            </w:pPr>
            <w:r w:rsidRPr="00BA7ECF">
              <w:rPr>
                <w:color w:val="000000"/>
                <w:sz w:val="22"/>
                <w:szCs w:val="22"/>
              </w:rPr>
              <w:t>8/22/2025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1F29773B" w14:textId="77777777">
            <w:pPr>
              <w:rPr>
                <w:color w:val="000000"/>
                <w:sz w:val="22"/>
                <w:szCs w:val="22"/>
              </w:rPr>
            </w:pPr>
            <w:r w:rsidRPr="00BA7ECF">
              <w:rPr>
                <w:color w:val="000000"/>
                <w:sz w:val="22"/>
                <w:szCs w:val="22"/>
              </w:rPr>
              <w:t xml:space="preserve">Primary Care </w:t>
            </w:r>
            <w:r w:rsidRPr="00BA7ECF">
              <w:rPr>
                <w:color w:val="000000"/>
                <w:sz w:val="22"/>
                <w:szCs w:val="22"/>
              </w:rPr>
              <w:t>Development Corporation</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14:paraId="14CFC23E" w14:textId="77777777">
            <w:pPr>
              <w:rPr>
                <w:color w:val="000000"/>
                <w:sz w:val="22"/>
                <w:szCs w:val="22"/>
              </w:rPr>
            </w:pPr>
            <w:r w:rsidRPr="00BA7ECF">
              <w:rPr>
                <w:color w:val="000000"/>
                <w:sz w:val="22"/>
                <w:szCs w:val="22"/>
              </w:rPr>
              <w:t>Louise Cohen</w:t>
            </w:r>
          </w:p>
        </w:tc>
      </w:tr>
      <w:tr w14:paraId="0A91B77C" w14:textId="77777777" w:rsidTr="00BA7ECF">
        <w:tblPrEx>
          <w:tblW w:w="9000" w:type="dxa"/>
          <w:tblLook w:val="04A0"/>
        </w:tblPrEx>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BA7ECF" w:rsidRPr="00BA7ECF" w14:paraId="2C70B12D" w14:textId="77777777">
            <w:pPr>
              <w:rPr>
                <w:color w:val="000000"/>
                <w:sz w:val="22"/>
                <w:szCs w:val="22"/>
              </w:rPr>
            </w:pPr>
            <w:r w:rsidRPr="00BA7ECF">
              <w:rPr>
                <w:color w:val="000000"/>
                <w:sz w:val="22"/>
                <w:szCs w:val="22"/>
              </w:rPr>
              <w:t>8/25/2025</w:t>
            </w:r>
          </w:p>
        </w:tc>
        <w:tc>
          <w:tcPr>
            <w:tcW w:w="5700" w:type="dxa"/>
            <w:tcBorders>
              <w:top w:val="nil"/>
              <w:left w:val="nil"/>
              <w:bottom w:val="single" w:sz="4" w:space="0" w:color="auto"/>
              <w:right w:val="single" w:sz="4" w:space="0" w:color="auto"/>
            </w:tcBorders>
            <w:shd w:val="clear" w:color="auto" w:fill="auto"/>
            <w:vAlign w:val="center"/>
            <w:hideMark/>
          </w:tcPr>
          <w:p w:rsidR="00BA7ECF" w:rsidRPr="00BA7ECF" w14:paraId="7A49C737" w14:textId="77777777">
            <w:pPr>
              <w:rPr>
                <w:color w:val="000000"/>
                <w:sz w:val="22"/>
                <w:szCs w:val="22"/>
              </w:rPr>
            </w:pPr>
            <w:r w:rsidRPr="00BA7ECF">
              <w:rPr>
                <w:color w:val="000000"/>
                <w:sz w:val="22"/>
                <w:szCs w:val="22"/>
              </w:rPr>
              <w:t>The Low Income Investment Fund</w:t>
            </w:r>
          </w:p>
        </w:tc>
        <w:tc>
          <w:tcPr>
            <w:tcW w:w="2180" w:type="dxa"/>
            <w:tcBorders>
              <w:top w:val="nil"/>
              <w:left w:val="nil"/>
              <w:bottom w:val="single" w:sz="4" w:space="0" w:color="auto"/>
              <w:right w:val="single" w:sz="4" w:space="0" w:color="auto"/>
            </w:tcBorders>
            <w:shd w:val="clear" w:color="auto" w:fill="auto"/>
            <w:vAlign w:val="center"/>
            <w:hideMark/>
          </w:tcPr>
          <w:p w:rsidR="00BA7ECF" w:rsidRPr="00BA7ECF" w:rsidP="00BA7ECF" w14:paraId="7B6C7356" w14:textId="77777777">
            <w:pPr>
              <w:keepNext/>
              <w:rPr>
                <w:color w:val="000000"/>
                <w:sz w:val="22"/>
                <w:szCs w:val="22"/>
              </w:rPr>
            </w:pPr>
            <w:r w:rsidRPr="00BA7ECF">
              <w:rPr>
                <w:color w:val="000000"/>
                <w:sz w:val="22"/>
                <w:szCs w:val="22"/>
              </w:rPr>
              <w:t>Daniel A. Nissenbaum</w:t>
            </w:r>
          </w:p>
        </w:tc>
      </w:tr>
    </w:tbl>
    <w:p w:rsidR="005F5581" w:rsidP="00496914" w14:paraId="5B7CB1B6" w14:textId="77777777"/>
    <w:p w:rsidR="009E4893" w14:paraId="614F4E3F" w14:textId="1402114B">
      <w:pPr>
        <w:rPr>
          <w:b/>
          <w:bCs/>
        </w:rPr>
      </w:pPr>
      <w:r>
        <w:rPr>
          <w:b/>
          <w:bCs/>
        </w:rPr>
        <w:br w:type="page"/>
      </w:r>
    </w:p>
    <w:p w:rsidR="009E4893" w:rsidP="00BA7ECF" w14:paraId="294E16B2" w14:textId="77777777">
      <w:pPr>
        <w:rPr>
          <w:b/>
          <w:bCs/>
        </w:rPr>
        <w:sectPr w:rsidSect="008477E4">
          <w:footerReference w:type="default" r:id="rId10"/>
          <w:pgSz w:w="12240" w:h="15840" w:code="1"/>
          <w:pgMar w:top="1152" w:right="1440" w:bottom="1152" w:left="1440" w:header="720" w:footer="720" w:gutter="0"/>
          <w:cols w:space="720"/>
          <w:noEndnote/>
          <w:titlePg/>
        </w:sectPr>
      </w:pPr>
    </w:p>
    <w:p w:rsidR="00BA7ECF" w:rsidP="00BA7ECF" w14:paraId="1BD733F0" w14:textId="39518067">
      <w:pPr>
        <w:rPr>
          <w:b/>
          <w:bCs/>
        </w:rPr>
      </w:pPr>
      <w:r w:rsidRPr="006A79E1">
        <w:rPr>
          <w:b/>
          <w:bCs/>
        </w:rPr>
        <w:t>Table 2</w:t>
      </w:r>
      <w:r>
        <w:rPr>
          <w:b/>
          <w:bCs/>
          <w:i/>
          <w:iCs/>
          <w:sz w:val="22"/>
          <w:szCs w:val="22"/>
        </w:rPr>
        <w:t xml:space="preserve">: </w:t>
      </w:r>
      <w:r w:rsidR="009E4893">
        <w:rPr>
          <w:b/>
          <w:bCs/>
        </w:rPr>
        <w:t xml:space="preserve"> Material Event Form Comment Summary</w:t>
      </w:r>
    </w:p>
    <w:p w:rsidR="005F5581" w:rsidRPr="005F5581" w:rsidP="00496914" w14:paraId="62992627" w14:textId="77777777">
      <w:pPr>
        <w:rPr>
          <w:b/>
          <w:bCs/>
        </w:rPr>
      </w:pPr>
    </w:p>
    <w:tbl>
      <w:tblPr>
        <w:tblW w:w="13180" w:type="dxa"/>
        <w:tblLook w:val="04A0"/>
      </w:tblPr>
      <w:tblGrid>
        <w:gridCol w:w="1304"/>
        <w:gridCol w:w="1776"/>
        <w:gridCol w:w="5530"/>
        <w:gridCol w:w="4570"/>
      </w:tblGrid>
      <w:tr w14:paraId="3D113F00" w14:textId="77777777" w:rsidTr="009E4893">
        <w:tblPrEx>
          <w:tblW w:w="13180" w:type="dxa"/>
          <w:tblLook w:val="04A0"/>
        </w:tblPrEx>
        <w:trPr>
          <w:trHeight w:val="540"/>
        </w:trPr>
        <w:tc>
          <w:tcPr>
            <w:tcW w:w="124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9E4893" w14:paraId="4934B54D" w14:textId="77777777">
            <w:pPr>
              <w:rPr>
                <w:b/>
                <w:bCs/>
                <w:color w:val="000000"/>
                <w:sz w:val="22"/>
                <w:szCs w:val="22"/>
              </w:rPr>
            </w:pPr>
            <w:r>
              <w:rPr>
                <w:b/>
                <w:bCs/>
                <w:color w:val="000000"/>
                <w:sz w:val="22"/>
                <w:szCs w:val="22"/>
              </w:rPr>
              <w:t>Author Name</w:t>
            </w:r>
          </w:p>
        </w:tc>
        <w:tc>
          <w:tcPr>
            <w:tcW w:w="1780" w:type="dxa"/>
            <w:tcBorders>
              <w:top w:val="single" w:sz="8" w:space="0" w:color="auto"/>
              <w:left w:val="nil"/>
              <w:bottom w:val="single" w:sz="8" w:space="0" w:color="auto"/>
              <w:right w:val="single" w:sz="4" w:space="0" w:color="auto"/>
            </w:tcBorders>
            <w:shd w:val="clear" w:color="000000" w:fill="FFFFFF"/>
            <w:vAlign w:val="center"/>
            <w:hideMark/>
          </w:tcPr>
          <w:p w:rsidR="009E4893" w14:paraId="061C2318" w14:textId="77777777">
            <w:pPr>
              <w:rPr>
                <w:b/>
                <w:bCs/>
                <w:color w:val="000000"/>
                <w:sz w:val="22"/>
                <w:szCs w:val="22"/>
              </w:rPr>
            </w:pPr>
            <w:r>
              <w:rPr>
                <w:b/>
                <w:bCs/>
                <w:color w:val="000000"/>
                <w:sz w:val="22"/>
                <w:szCs w:val="22"/>
              </w:rPr>
              <w:t>Organization</w:t>
            </w:r>
          </w:p>
        </w:tc>
        <w:tc>
          <w:tcPr>
            <w:tcW w:w="5560" w:type="dxa"/>
            <w:tcBorders>
              <w:top w:val="single" w:sz="8" w:space="0" w:color="auto"/>
              <w:left w:val="nil"/>
              <w:bottom w:val="single" w:sz="8" w:space="0" w:color="auto"/>
              <w:right w:val="single" w:sz="4" w:space="0" w:color="auto"/>
            </w:tcBorders>
            <w:shd w:val="clear" w:color="000000" w:fill="FFFFFF"/>
            <w:vAlign w:val="center"/>
            <w:hideMark/>
          </w:tcPr>
          <w:p w:rsidR="009E4893" w14:paraId="007AF437" w14:textId="77777777">
            <w:pPr>
              <w:jc w:val="center"/>
              <w:rPr>
                <w:b/>
                <w:bCs/>
                <w:color w:val="000000"/>
                <w:sz w:val="22"/>
                <w:szCs w:val="22"/>
              </w:rPr>
            </w:pPr>
            <w:r>
              <w:rPr>
                <w:b/>
                <w:bCs/>
                <w:color w:val="000000"/>
                <w:sz w:val="22"/>
                <w:szCs w:val="22"/>
              </w:rPr>
              <w:t>Comment</w:t>
            </w:r>
          </w:p>
        </w:tc>
        <w:tc>
          <w:tcPr>
            <w:tcW w:w="4600" w:type="dxa"/>
            <w:tcBorders>
              <w:top w:val="single" w:sz="8" w:space="0" w:color="auto"/>
              <w:left w:val="nil"/>
              <w:bottom w:val="single" w:sz="8" w:space="0" w:color="auto"/>
              <w:right w:val="single" w:sz="8" w:space="0" w:color="auto"/>
            </w:tcBorders>
            <w:shd w:val="clear" w:color="000000" w:fill="FFFFFF"/>
            <w:vAlign w:val="center"/>
            <w:hideMark/>
          </w:tcPr>
          <w:p w:rsidR="009E4893" w14:paraId="07F780B4" w14:textId="77777777">
            <w:pPr>
              <w:jc w:val="center"/>
              <w:rPr>
                <w:b/>
                <w:bCs/>
                <w:color w:val="000000"/>
                <w:sz w:val="22"/>
                <w:szCs w:val="22"/>
              </w:rPr>
            </w:pPr>
            <w:r>
              <w:rPr>
                <w:b/>
                <w:bCs/>
                <w:color w:val="000000"/>
                <w:sz w:val="22"/>
                <w:szCs w:val="22"/>
              </w:rPr>
              <w:t>Recommendation</w:t>
            </w:r>
          </w:p>
        </w:tc>
      </w:tr>
      <w:tr w14:paraId="088FC0EE" w14:textId="77777777" w:rsidTr="009E4893">
        <w:tblPrEx>
          <w:tblW w:w="13180" w:type="dxa"/>
          <w:tblLook w:val="04A0"/>
        </w:tblPrEx>
        <w:trPr>
          <w:trHeight w:val="2833"/>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59AABE86" w14:textId="77777777">
            <w:pPr>
              <w:rPr>
                <w:color w:val="000000"/>
                <w:sz w:val="22"/>
                <w:szCs w:val="22"/>
              </w:rPr>
            </w:pPr>
            <w:r>
              <w:rPr>
                <w:color w:val="000000"/>
                <w:sz w:val="22"/>
                <w:szCs w:val="22"/>
              </w:rPr>
              <w:t>Christopher Lewis</w:t>
            </w:r>
          </w:p>
        </w:tc>
        <w:tc>
          <w:tcPr>
            <w:tcW w:w="1780" w:type="dxa"/>
            <w:tcBorders>
              <w:top w:val="nil"/>
              <w:left w:val="nil"/>
              <w:bottom w:val="single" w:sz="4" w:space="0" w:color="auto"/>
              <w:right w:val="single" w:sz="4" w:space="0" w:color="auto"/>
            </w:tcBorders>
            <w:shd w:val="clear" w:color="auto" w:fill="auto"/>
            <w:vAlign w:val="center"/>
            <w:hideMark/>
          </w:tcPr>
          <w:p w:rsidR="009E4893" w14:paraId="065C02D5" w14:textId="77777777">
            <w:pPr>
              <w:rPr>
                <w:color w:val="000000"/>
                <w:sz w:val="22"/>
                <w:szCs w:val="22"/>
              </w:rPr>
            </w:pPr>
            <w:r>
              <w:rPr>
                <w:color w:val="000000"/>
                <w:sz w:val="22"/>
                <w:szCs w:val="22"/>
              </w:rPr>
              <w:t>American Bankers Association</w:t>
            </w:r>
          </w:p>
        </w:tc>
        <w:tc>
          <w:tcPr>
            <w:tcW w:w="5560" w:type="dxa"/>
            <w:tcBorders>
              <w:top w:val="nil"/>
              <w:left w:val="nil"/>
              <w:bottom w:val="single" w:sz="4" w:space="0" w:color="auto"/>
              <w:right w:val="single" w:sz="4" w:space="0" w:color="auto"/>
            </w:tcBorders>
            <w:shd w:val="clear" w:color="auto" w:fill="auto"/>
            <w:hideMark/>
          </w:tcPr>
          <w:p w:rsidR="009E4893" w14:paraId="12E56B4A" w14:textId="77777777">
            <w:pPr>
              <w:rPr>
                <w:color w:val="000000"/>
                <w:sz w:val="22"/>
                <w:szCs w:val="22"/>
              </w:rPr>
            </w:pPr>
            <w:r>
              <w:rPr>
                <w:color w:val="000000"/>
                <w:sz w:val="22"/>
                <w:szCs w:val="22"/>
              </w:rPr>
              <w:t>CAMELS Ratings Disclosure (Item 41): We respectfully urge the CDFI Fund to preserve the status quo. CAMELS ratings should not be incorporated into the CDFI certification process. While these ratings may continue to affect eligibility for awards, they should not determine whether an institution can remain certified. Maintaining this distinction will ensure that the CDFI Fund’s certification framework continues to recognize the unique challenges CDFIs face, particularly in rural markets, while upholding the a</w:t>
            </w:r>
            <w:r>
              <w:rPr>
                <w:color w:val="000000"/>
                <w:sz w:val="22"/>
                <w:szCs w:val="22"/>
              </w:rPr>
              <w:t>ppropriate role of prudential regulators in supervising safety and soundness.</w:t>
            </w:r>
          </w:p>
        </w:tc>
        <w:tc>
          <w:tcPr>
            <w:tcW w:w="4600" w:type="dxa"/>
            <w:tcBorders>
              <w:top w:val="nil"/>
              <w:left w:val="nil"/>
              <w:bottom w:val="single" w:sz="4" w:space="0" w:color="auto"/>
              <w:right w:val="single" w:sz="8" w:space="0" w:color="auto"/>
            </w:tcBorders>
            <w:shd w:val="clear" w:color="auto" w:fill="auto"/>
            <w:hideMark/>
          </w:tcPr>
          <w:p w:rsidR="009E4893" w14:paraId="0651BB6C" w14:textId="77777777">
            <w:pPr>
              <w:rPr>
                <w:color w:val="000000"/>
                <w:sz w:val="22"/>
                <w:szCs w:val="22"/>
              </w:rPr>
            </w:pPr>
            <w:r>
              <w:rPr>
                <w:color w:val="000000"/>
                <w:sz w:val="22"/>
                <w:szCs w:val="22"/>
              </w:rPr>
              <w:t>The CDFI Fund supports removing this provision from the Certification of Material Event Form and the underlying requirement found in the CDFI Certification Agreement.</w:t>
            </w:r>
          </w:p>
        </w:tc>
      </w:tr>
      <w:tr w14:paraId="4EBC3774" w14:textId="77777777" w:rsidTr="009E4893">
        <w:tblPrEx>
          <w:tblW w:w="13180" w:type="dxa"/>
          <w:tblLook w:val="04A0"/>
        </w:tblPrEx>
        <w:trPr>
          <w:trHeight w:val="21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0DE921C3" w14:textId="77777777">
            <w:pPr>
              <w:rPr>
                <w:color w:val="000000"/>
                <w:sz w:val="22"/>
                <w:szCs w:val="22"/>
              </w:rPr>
            </w:pPr>
            <w:r>
              <w:rPr>
                <w:color w:val="000000"/>
                <w:sz w:val="22"/>
                <w:szCs w:val="22"/>
              </w:rPr>
              <w:t>Christopher Lewis</w:t>
            </w:r>
          </w:p>
        </w:tc>
        <w:tc>
          <w:tcPr>
            <w:tcW w:w="1780" w:type="dxa"/>
            <w:tcBorders>
              <w:top w:val="nil"/>
              <w:left w:val="nil"/>
              <w:bottom w:val="single" w:sz="4" w:space="0" w:color="auto"/>
              <w:right w:val="single" w:sz="4" w:space="0" w:color="auto"/>
            </w:tcBorders>
            <w:shd w:val="clear" w:color="auto" w:fill="auto"/>
            <w:vAlign w:val="center"/>
            <w:hideMark/>
          </w:tcPr>
          <w:p w:rsidR="009E4893" w14:paraId="43C0EB44" w14:textId="77777777">
            <w:pPr>
              <w:rPr>
                <w:color w:val="000000"/>
                <w:sz w:val="22"/>
                <w:szCs w:val="22"/>
              </w:rPr>
            </w:pPr>
            <w:r>
              <w:rPr>
                <w:color w:val="000000"/>
                <w:sz w:val="22"/>
                <w:szCs w:val="22"/>
              </w:rPr>
              <w:t>American Bankers Association</w:t>
            </w:r>
          </w:p>
        </w:tc>
        <w:tc>
          <w:tcPr>
            <w:tcW w:w="5560" w:type="dxa"/>
            <w:tcBorders>
              <w:top w:val="nil"/>
              <w:left w:val="nil"/>
              <w:bottom w:val="single" w:sz="4" w:space="0" w:color="auto"/>
              <w:right w:val="single" w:sz="4" w:space="0" w:color="auto"/>
            </w:tcBorders>
            <w:shd w:val="clear" w:color="auto" w:fill="auto"/>
            <w:hideMark/>
          </w:tcPr>
          <w:p w:rsidR="009E4893" w14:paraId="5B0E56BC" w14:textId="77777777">
            <w:pPr>
              <w:rPr>
                <w:color w:val="000000"/>
                <w:sz w:val="22"/>
                <w:szCs w:val="22"/>
              </w:rPr>
            </w:pPr>
            <w:r>
              <w:rPr>
                <w:color w:val="000000"/>
                <w:sz w:val="22"/>
                <w:szCs w:val="22"/>
              </w:rPr>
              <w:t>We respectfully note that the CDFI Fund’s statutory authority does not extend to regulating or supervising the safety and soundness of insured depository institutions. Under 12 USC § 4707, the Fund is specifically prohibited from assuming a supervisory role over financial institutions—a responsibility that remains with the appropriate federal banking agencies.</w:t>
            </w:r>
          </w:p>
        </w:tc>
        <w:tc>
          <w:tcPr>
            <w:tcW w:w="4600" w:type="dxa"/>
            <w:tcBorders>
              <w:top w:val="nil"/>
              <w:left w:val="nil"/>
              <w:bottom w:val="single" w:sz="4" w:space="0" w:color="auto"/>
              <w:right w:val="single" w:sz="8" w:space="0" w:color="auto"/>
            </w:tcBorders>
            <w:shd w:val="clear" w:color="auto" w:fill="auto"/>
            <w:hideMark/>
          </w:tcPr>
          <w:p w:rsidR="009E4893" w14:paraId="50224BA1" w14:textId="77777777">
            <w:pPr>
              <w:rPr>
                <w:color w:val="000000"/>
                <w:sz w:val="22"/>
                <w:szCs w:val="22"/>
              </w:rPr>
            </w:pPr>
            <w:r>
              <w:rPr>
                <w:color w:val="000000"/>
                <w:sz w:val="22"/>
                <w:szCs w:val="22"/>
              </w:rPr>
              <w:t>The CDFI Fund will review the merits of this recommendation in revising supplemental guidance that supports the submission of the form and the CDFI/CDE Certification application.</w:t>
            </w:r>
          </w:p>
        </w:tc>
      </w:tr>
      <w:tr w14:paraId="34D22F1C" w14:textId="77777777" w:rsidTr="009E4893">
        <w:tblPrEx>
          <w:tblW w:w="13180" w:type="dxa"/>
          <w:tblLook w:val="04A0"/>
        </w:tblPrEx>
        <w:trPr>
          <w:trHeight w:val="314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25A8406C" w14:textId="77777777">
            <w:pPr>
              <w:rPr>
                <w:color w:val="000000"/>
                <w:sz w:val="22"/>
                <w:szCs w:val="22"/>
              </w:rPr>
            </w:pPr>
            <w:r>
              <w:rPr>
                <w:color w:val="000000"/>
                <w:sz w:val="22"/>
                <w:szCs w:val="22"/>
              </w:rPr>
              <w:t>Christopher Lewis</w:t>
            </w:r>
          </w:p>
        </w:tc>
        <w:tc>
          <w:tcPr>
            <w:tcW w:w="1780" w:type="dxa"/>
            <w:tcBorders>
              <w:top w:val="nil"/>
              <w:left w:val="nil"/>
              <w:bottom w:val="single" w:sz="4" w:space="0" w:color="auto"/>
              <w:right w:val="single" w:sz="4" w:space="0" w:color="auto"/>
            </w:tcBorders>
            <w:shd w:val="clear" w:color="auto" w:fill="auto"/>
            <w:vAlign w:val="center"/>
            <w:hideMark/>
          </w:tcPr>
          <w:p w:rsidR="009E4893" w14:paraId="42BC3C8F" w14:textId="77777777">
            <w:pPr>
              <w:rPr>
                <w:color w:val="000000"/>
                <w:sz w:val="22"/>
                <w:szCs w:val="22"/>
              </w:rPr>
            </w:pPr>
            <w:r>
              <w:rPr>
                <w:color w:val="000000"/>
                <w:sz w:val="22"/>
                <w:szCs w:val="22"/>
              </w:rPr>
              <w:t>American Bankers Association</w:t>
            </w:r>
          </w:p>
        </w:tc>
        <w:tc>
          <w:tcPr>
            <w:tcW w:w="5560" w:type="dxa"/>
            <w:tcBorders>
              <w:top w:val="nil"/>
              <w:left w:val="nil"/>
              <w:bottom w:val="single" w:sz="4" w:space="0" w:color="auto"/>
              <w:right w:val="single" w:sz="4" w:space="0" w:color="auto"/>
            </w:tcBorders>
            <w:shd w:val="clear" w:color="auto" w:fill="auto"/>
            <w:hideMark/>
          </w:tcPr>
          <w:p w:rsidR="009E4893" w14:paraId="4A6C252C" w14:textId="77777777">
            <w:pPr>
              <w:rPr>
                <w:color w:val="000000"/>
                <w:sz w:val="22"/>
                <w:szCs w:val="22"/>
              </w:rPr>
            </w:pPr>
            <w:r>
              <w:rPr>
                <w:color w:val="000000"/>
                <w:sz w:val="22"/>
                <w:szCs w:val="22"/>
              </w:rPr>
              <w:t xml:space="preserve">The proposed requirement to report any negative or adverse finding by a bank’s regulatory agency is overly </w:t>
            </w:r>
            <w:r>
              <w:rPr>
                <w:color w:val="000000"/>
                <w:sz w:val="22"/>
                <w:szCs w:val="22"/>
              </w:rPr>
              <w:t>broad and may create confusion regarding materiality. Regulatory findings vary widely in severity and are often based on examiner discretion. Some may address minor procedural issues that do not rise to the level of a safety or soundness concern.</w:t>
            </w:r>
            <w:r>
              <w:rPr>
                <w:color w:val="000000"/>
                <w:sz w:val="22"/>
                <w:szCs w:val="22"/>
              </w:rPr>
              <w:br/>
              <w:t>We suggest narrowing this requirement to only those regulatory findings that contribute to a CAMELS composite rating of 5. This would allow the Fund to be appropriately informed of significant developments while avoiding excessive or duplicative reporting obligatio</w:t>
            </w:r>
            <w:r>
              <w:rPr>
                <w:color w:val="000000"/>
                <w:sz w:val="22"/>
                <w:szCs w:val="22"/>
              </w:rPr>
              <w:t>ns.</w:t>
            </w:r>
          </w:p>
        </w:tc>
        <w:tc>
          <w:tcPr>
            <w:tcW w:w="4600" w:type="dxa"/>
            <w:tcBorders>
              <w:top w:val="nil"/>
              <w:left w:val="nil"/>
              <w:bottom w:val="single" w:sz="4" w:space="0" w:color="auto"/>
              <w:right w:val="single" w:sz="8" w:space="0" w:color="auto"/>
            </w:tcBorders>
            <w:shd w:val="clear" w:color="auto" w:fill="auto"/>
            <w:hideMark/>
          </w:tcPr>
          <w:p w:rsidR="009E4893" w14:paraId="31DAE00D"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0264432E" w14:textId="77777777" w:rsidTr="006A79E1">
        <w:tblPrEx>
          <w:tblW w:w="13180" w:type="dxa"/>
          <w:tblLook w:val="04A0"/>
        </w:tblPrEx>
        <w:trPr>
          <w:trHeight w:val="314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7E661D95" w14:textId="77777777">
            <w:pPr>
              <w:rPr>
                <w:color w:val="000000"/>
                <w:sz w:val="22"/>
                <w:szCs w:val="22"/>
              </w:rPr>
            </w:pPr>
            <w:r>
              <w:rPr>
                <w:color w:val="000000"/>
                <w:sz w:val="22"/>
                <w:szCs w:val="22"/>
              </w:rPr>
              <w:t>Christopher Lewis</w:t>
            </w:r>
          </w:p>
        </w:tc>
        <w:tc>
          <w:tcPr>
            <w:tcW w:w="1780" w:type="dxa"/>
            <w:tcBorders>
              <w:top w:val="nil"/>
              <w:left w:val="nil"/>
              <w:bottom w:val="single" w:sz="4" w:space="0" w:color="auto"/>
              <w:right w:val="single" w:sz="4" w:space="0" w:color="auto"/>
            </w:tcBorders>
            <w:shd w:val="clear" w:color="auto" w:fill="auto"/>
            <w:vAlign w:val="center"/>
            <w:hideMark/>
          </w:tcPr>
          <w:p w:rsidR="009E4893" w14:paraId="2E89EA38" w14:textId="77777777">
            <w:pPr>
              <w:rPr>
                <w:color w:val="000000"/>
                <w:sz w:val="22"/>
                <w:szCs w:val="22"/>
              </w:rPr>
            </w:pPr>
            <w:r>
              <w:rPr>
                <w:color w:val="000000"/>
                <w:sz w:val="22"/>
                <w:szCs w:val="22"/>
              </w:rPr>
              <w:t>American Bankers Association</w:t>
            </w:r>
          </w:p>
        </w:tc>
        <w:tc>
          <w:tcPr>
            <w:tcW w:w="5560" w:type="dxa"/>
            <w:tcBorders>
              <w:top w:val="nil"/>
              <w:left w:val="nil"/>
              <w:bottom w:val="single" w:sz="4" w:space="0" w:color="auto"/>
              <w:right w:val="single" w:sz="4" w:space="0" w:color="auto"/>
            </w:tcBorders>
            <w:shd w:val="clear" w:color="auto" w:fill="auto"/>
            <w:hideMark/>
          </w:tcPr>
          <w:p w:rsidR="009E4893" w14:paraId="7BEB4161" w14:textId="77777777">
            <w:pPr>
              <w:rPr>
                <w:color w:val="000000"/>
                <w:sz w:val="22"/>
                <w:szCs w:val="22"/>
              </w:rPr>
            </w:pPr>
            <w:r>
              <w:rPr>
                <w:color w:val="000000"/>
                <w:sz w:val="22"/>
                <w:szCs w:val="22"/>
              </w:rPr>
              <w:t xml:space="preserve">Violations of Law (Item 43): The proposed requirement to </w:t>
            </w:r>
            <w:r>
              <w:rPr>
                <w:color w:val="000000"/>
                <w:sz w:val="22"/>
                <w:szCs w:val="22"/>
              </w:rPr>
              <w:t>submit a Notice of Material Event for all violations of law or regulation may inadvertently capture routine technical matters that are commonly identified and resolved during standard examinations. We recommend restricting this notification requirement to instances where legal or regulatory violations are associated with a CAMELS rating of 5. This would help focus attention on institutions where compliance issues may pose a more serious risk while minimizing the risk of unnecessary alerts in cases where iss</w:t>
            </w:r>
            <w:r>
              <w:rPr>
                <w:color w:val="000000"/>
                <w:sz w:val="22"/>
                <w:szCs w:val="22"/>
              </w:rPr>
              <w:t>ues are minor or already addressed</w:t>
            </w:r>
          </w:p>
        </w:tc>
        <w:tc>
          <w:tcPr>
            <w:tcW w:w="4600" w:type="dxa"/>
            <w:tcBorders>
              <w:top w:val="nil"/>
              <w:left w:val="nil"/>
              <w:bottom w:val="single" w:sz="4" w:space="0" w:color="auto"/>
              <w:right w:val="single" w:sz="8" w:space="0" w:color="auto"/>
            </w:tcBorders>
            <w:shd w:val="clear" w:color="auto" w:fill="auto"/>
            <w:hideMark/>
          </w:tcPr>
          <w:p w:rsidR="009E4893" w14:paraId="0B381AAE"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3BC3436E" w14:textId="77777777" w:rsidTr="009E4893">
        <w:tblPrEx>
          <w:tblW w:w="13180" w:type="dxa"/>
          <w:tblLook w:val="04A0"/>
        </w:tblPrEx>
        <w:trPr>
          <w:trHeight w:val="39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5B71F781" w14:textId="77777777">
            <w:pPr>
              <w:rPr>
                <w:color w:val="000000"/>
                <w:sz w:val="22"/>
                <w:szCs w:val="22"/>
              </w:rPr>
            </w:pPr>
            <w:r>
              <w:rPr>
                <w:color w:val="000000"/>
                <w:sz w:val="22"/>
                <w:szCs w:val="22"/>
              </w:rPr>
              <w:t>Christopher Lewis</w:t>
            </w:r>
          </w:p>
        </w:tc>
        <w:tc>
          <w:tcPr>
            <w:tcW w:w="1780" w:type="dxa"/>
            <w:tcBorders>
              <w:top w:val="nil"/>
              <w:left w:val="nil"/>
              <w:bottom w:val="single" w:sz="4" w:space="0" w:color="auto"/>
              <w:right w:val="single" w:sz="4" w:space="0" w:color="auto"/>
            </w:tcBorders>
            <w:shd w:val="clear" w:color="auto" w:fill="auto"/>
            <w:vAlign w:val="center"/>
            <w:hideMark/>
          </w:tcPr>
          <w:p w:rsidR="009E4893" w14:paraId="3E30E7C2" w14:textId="77777777">
            <w:pPr>
              <w:rPr>
                <w:color w:val="000000"/>
                <w:sz w:val="22"/>
                <w:szCs w:val="22"/>
              </w:rPr>
            </w:pPr>
            <w:r>
              <w:rPr>
                <w:color w:val="000000"/>
                <w:sz w:val="22"/>
                <w:szCs w:val="22"/>
              </w:rPr>
              <w:t>American Bankers Association</w:t>
            </w:r>
          </w:p>
        </w:tc>
        <w:tc>
          <w:tcPr>
            <w:tcW w:w="5560" w:type="dxa"/>
            <w:tcBorders>
              <w:top w:val="nil"/>
              <w:left w:val="nil"/>
              <w:bottom w:val="single" w:sz="4" w:space="0" w:color="auto"/>
              <w:right w:val="single" w:sz="4" w:space="0" w:color="auto"/>
            </w:tcBorders>
            <w:shd w:val="clear" w:color="auto" w:fill="auto"/>
            <w:hideMark/>
          </w:tcPr>
          <w:p w:rsidR="009E4893" w14:paraId="7537CA6D" w14:textId="77777777">
            <w:pPr>
              <w:rPr>
                <w:color w:val="000000"/>
                <w:sz w:val="22"/>
                <w:szCs w:val="22"/>
              </w:rPr>
            </w:pPr>
            <w:r>
              <w:rPr>
                <w:color w:val="000000"/>
                <w:sz w:val="22"/>
                <w:szCs w:val="22"/>
              </w:rPr>
              <w:t xml:space="preserve">We are concerned that </w:t>
            </w:r>
            <w:r>
              <w:rPr>
                <w:color w:val="000000"/>
                <w:sz w:val="22"/>
                <w:szCs w:val="22"/>
              </w:rPr>
              <w:t>implementation of the proposed provisions could unintentionally discourage participation in the CDFI program by regulated financial institutions. The possibility of losing CDFI certification based on supervisory matters that are not indicative of mission failure and do not call into question the safety and soundness of a bank could jeopardize important sources of capital including Community Reinvestment Act motivated investments, public deposits, and participation in programs such as Emergency Capital Inves</w:t>
            </w:r>
            <w:r>
              <w:rPr>
                <w:color w:val="000000"/>
                <w:sz w:val="22"/>
                <w:szCs w:val="22"/>
              </w:rPr>
              <w:t>tment Program. Given the role that CDFI certified banks play in delivering responsible and inclusive financial services in underserved markets any change that may inhibit their participation warrants careful review.</w:t>
            </w:r>
          </w:p>
        </w:tc>
        <w:tc>
          <w:tcPr>
            <w:tcW w:w="4600" w:type="dxa"/>
            <w:tcBorders>
              <w:top w:val="nil"/>
              <w:left w:val="nil"/>
              <w:bottom w:val="single" w:sz="4" w:space="0" w:color="auto"/>
              <w:right w:val="single" w:sz="8" w:space="0" w:color="auto"/>
            </w:tcBorders>
            <w:shd w:val="clear" w:color="auto" w:fill="auto"/>
            <w:hideMark/>
          </w:tcPr>
          <w:p w:rsidR="009E4893" w14:paraId="785DA657" w14:textId="77777777">
            <w:pPr>
              <w:rPr>
                <w:color w:val="000000"/>
                <w:sz w:val="22"/>
                <w:szCs w:val="22"/>
              </w:rPr>
            </w:pPr>
            <w:r>
              <w:rPr>
                <w:color w:val="000000"/>
                <w:sz w:val="22"/>
                <w:szCs w:val="22"/>
              </w:rPr>
              <w:t xml:space="preserve">The information collected in the Certification of Material Event Form in used in conjunction with other information to determine if a Material Event affects CDFI/CDE certification. </w:t>
            </w:r>
            <w:r>
              <w:rPr>
                <w:color w:val="000000"/>
                <w:sz w:val="22"/>
                <w:szCs w:val="22"/>
              </w:rPr>
              <w:br/>
              <w:t xml:space="preserve">Organizations are usually provided an opportunity to rectify the matter before the termination of its CDFI/CDE certification. </w:t>
            </w:r>
          </w:p>
        </w:tc>
      </w:tr>
      <w:tr w14:paraId="7D5C0474" w14:textId="77777777" w:rsidTr="006A79E1">
        <w:tblPrEx>
          <w:tblW w:w="13180" w:type="dxa"/>
          <w:tblLook w:val="04A0"/>
        </w:tblPrEx>
        <w:trPr>
          <w:trHeight w:val="566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4CFE951F" w14:textId="77777777">
            <w:pPr>
              <w:rPr>
                <w:color w:val="000000"/>
                <w:sz w:val="22"/>
                <w:szCs w:val="22"/>
              </w:rPr>
            </w:pPr>
            <w:r>
              <w:rPr>
                <w:color w:val="000000"/>
                <w:sz w:val="22"/>
                <w:szCs w:val="22"/>
              </w:rPr>
              <w:t>Philip Bohi</w:t>
            </w:r>
          </w:p>
        </w:tc>
        <w:tc>
          <w:tcPr>
            <w:tcW w:w="1780" w:type="dxa"/>
            <w:tcBorders>
              <w:top w:val="nil"/>
              <w:left w:val="nil"/>
              <w:bottom w:val="single" w:sz="4" w:space="0" w:color="auto"/>
              <w:right w:val="single" w:sz="4" w:space="0" w:color="auto"/>
            </w:tcBorders>
            <w:shd w:val="clear" w:color="auto" w:fill="auto"/>
            <w:vAlign w:val="center"/>
            <w:hideMark/>
          </w:tcPr>
          <w:p w:rsidR="009E4893" w14:paraId="5DABAF03" w14:textId="77777777">
            <w:pPr>
              <w:rPr>
                <w:color w:val="000000"/>
                <w:sz w:val="22"/>
                <w:szCs w:val="22"/>
              </w:rPr>
            </w:pPr>
            <w:r>
              <w:rPr>
                <w:color w:val="000000"/>
                <w:sz w:val="22"/>
                <w:szCs w:val="22"/>
              </w:rPr>
              <w:t>American Financial Services Association</w:t>
            </w:r>
          </w:p>
        </w:tc>
        <w:tc>
          <w:tcPr>
            <w:tcW w:w="5560" w:type="dxa"/>
            <w:tcBorders>
              <w:top w:val="nil"/>
              <w:left w:val="nil"/>
              <w:bottom w:val="single" w:sz="4" w:space="0" w:color="auto"/>
              <w:right w:val="single" w:sz="4" w:space="0" w:color="auto"/>
            </w:tcBorders>
            <w:shd w:val="clear" w:color="auto" w:fill="auto"/>
            <w:hideMark/>
          </w:tcPr>
          <w:p w:rsidR="009E4893" w14:paraId="1E65DD62" w14:textId="77777777">
            <w:pPr>
              <w:rPr>
                <w:color w:val="000000"/>
                <w:sz w:val="22"/>
                <w:szCs w:val="22"/>
              </w:rPr>
            </w:pPr>
            <w:r>
              <w:rPr>
                <w:color w:val="000000"/>
                <w:sz w:val="22"/>
                <w:szCs w:val="22"/>
              </w:rPr>
              <w:t xml:space="preserve">The general eligibility conditions relating to CDFI funding are improper, as they seek to create an arbitrary federal usury limit of 36% using the Military Annual Percentage Rate </w:t>
            </w:r>
            <w:r>
              <w:rPr>
                <w:color w:val="000000"/>
                <w:sz w:val="22"/>
                <w:szCs w:val="22"/>
              </w:rPr>
              <w:t>(MAPR) standard to exclude law-abiding creditors from receiving CDFI funding. The CDFI eligibility criteria state that institutions offering credit at interest rates higher than 36% MAPR and</w:t>
            </w:r>
            <w:r>
              <w:rPr>
                <w:color w:val="000000"/>
                <w:sz w:val="22"/>
                <w:szCs w:val="22"/>
              </w:rPr>
              <w:br/>
              <w:t>including the following attributes are ineligible for program participation:</w:t>
            </w:r>
            <w:r>
              <w:rPr>
                <w:color w:val="000000"/>
                <w:sz w:val="22"/>
                <w:szCs w:val="22"/>
              </w:rPr>
              <w:br/>
              <w:t>• the loans have an annual default rate over five percent;</w:t>
            </w:r>
            <w:r>
              <w:rPr>
                <w:color w:val="000000"/>
                <w:sz w:val="22"/>
                <w:szCs w:val="22"/>
              </w:rPr>
              <w:br/>
              <w:t>• the loans in question include a leveraged payment mechanism;</w:t>
            </w:r>
            <w:r>
              <w:rPr>
                <w:color w:val="000000"/>
                <w:sz w:val="22"/>
                <w:szCs w:val="22"/>
              </w:rPr>
              <w:br/>
              <w:t>• any such loans of $1,000 or less have repayment timeframes that exceed 12 months;</w:t>
            </w:r>
            <w:r>
              <w:rPr>
                <w:color w:val="000000"/>
                <w:sz w:val="22"/>
                <w:szCs w:val="22"/>
              </w:rPr>
              <w:br/>
              <w:t>• for a period of 12 full months after</w:t>
            </w:r>
            <w:r>
              <w:rPr>
                <w:color w:val="000000"/>
                <w:sz w:val="22"/>
                <w:szCs w:val="22"/>
              </w:rPr>
              <w:t xml:space="preserve"> the issuance of any such loan, the Applicant does not waive any upfront fees for any refinance or new loan issued to the same borrower;</w:t>
            </w:r>
            <w:r>
              <w:rPr>
                <w:color w:val="000000"/>
                <w:sz w:val="22"/>
                <w:szCs w:val="22"/>
              </w:rPr>
              <w:br/>
              <w:t>• of the loan or pro rata refundable in the event of early repayment (including through a refinance); or</w:t>
            </w:r>
            <w:r>
              <w:rPr>
                <w:color w:val="000000"/>
                <w:sz w:val="22"/>
                <w:szCs w:val="22"/>
              </w:rPr>
              <w:br/>
              <w:t>• all payments on any such installment loans are not substantially equal and do not amortize smoothly to a zero balance by the end of the loan term.</w:t>
            </w:r>
          </w:p>
        </w:tc>
        <w:tc>
          <w:tcPr>
            <w:tcW w:w="4600" w:type="dxa"/>
            <w:tcBorders>
              <w:top w:val="nil"/>
              <w:left w:val="nil"/>
              <w:bottom w:val="single" w:sz="4" w:space="0" w:color="auto"/>
              <w:right w:val="single" w:sz="8" w:space="0" w:color="auto"/>
            </w:tcBorders>
            <w:shd w:val="clear" w:color="auto" w:fill="auto"/>
            <w:hideMark/>
          </w:tcPr>
          <w:p w:rsidR="009E4893" w14:paraId="44EAC388" w14:textId="77777777">
            <w:pPr>
              <w:rPr>
                <w:color w:val="000000"/>
                <w:sz w:val="22"/>
                <w:szCs w:val="22"/>
              </w:rPr>
            </w:pPr>
            <w:r>
              <w:rPr>
                <w:color w:val="000000"/>
                <w:sz w:val="22"/>
                <w:szCs w:val="22"/>
              </w:rPr>
              <w:t>Comment is not relevant to the Certification of Material Event form and better suited to comments regarding the CDFI Certification Application.</w:t>
            </w:r>
          </w:p>
        </w:tc>
      </w:tr>
      <w:tr w14:paraId="6BE9A6F2" w14:textId="77777777" w:rsidTr="009E4893">
        <w:tblPrEx>
          <w:tblW w:w="13180" w:type="dxa"/>
          <w:tblLook w:val="04A0"/>
        </w:tblPrEx>
        <w:trPr>
          <w:trHeight w:val="24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4E23E45B" w14:textId="77777777">
            <w:pPr>
              <w:rPr>
                <w:color w:val="000000"/>
                <w:sz w:val="22"/>
                <w:szCs w:val="22"/>
              </w:rPr>
            </w:pPr>
            <w:r>
              <w:rPr>
                <w:color w:val="000000"/>
                <w:sz w:val="22"/>
                <w:szCs w:val="22"/>
              </w:rPr>
              <w:t>Jeannine Jacokes</w:t>
            </w:r>
          </w:p>
        </w:tc>
        <w:tc>
          <w:tcPr>
            <w:tcW w:w="1780" w:type="dxa"/>
            <w:tcBorders>
              <w:top w:val="nil"/>
              <w:left w:val="nil"/>
              <w:bottom w:val="single" w:sz="4" w:space="0" w:color="auto"/>
              <w:right w:val="single" w:sz="4" w:space="0" w:color="auto"/>
            </w:tcBorders>
            <w:shd w:val="clear" w:color="auto" w:fill="auto"/>
            <w:vAlign w:val="center"/>
            <w:hideMark/>
          </w:tcPr>
          <w:p w:rsidR="009E4893" w14:paraId="51FC479B" w14:textId="77777777">
            <w:pPr>
              <w:rPr>
                <w:color w:val="000000"/>
                <w:sz w:val="22"/>
                <w:szCs w:val="22"/>
              </w:rPr>
            </w:pPr>
            <w:r>
              <w:rPr>
                <w:color w:val="000000"/>
                <w:sz w:val="22"/>
                <w:szCs w:val="22"/>
              </w:rPr>
              <w:t>Community Development Bankers Association</w:t>
            </w:r>
          </w:p>
        </w:tc>
        <w:tc>
          <w:tcPr>
            <w:tcW w:w="5560" w:type="dxa"/>
            <w:tcBorders>
              <w:top w:val="nil"/>
              <w:left w:val="nil"/>
              <w:bottom w:val="single" w:sz="4" w:space="0" w:color="auto"/>
              <w:right w:val="single" w:sz="4" w:space="0" w:color="auto"/>
            </w:tcBorders>
            <w:shd w:val="clear" w:color="auto" w:fill="auto"/>
            <w:hideMark/>
          </w:tcPr>
          <w:p w:rsidR="009E4893" w14:paraId="5653E943" w14:textId="77777777">
            <w:pPr>
              <w:rPr>
                <w:color w:val="000000"/>
                <w:sz w:val="22"/>
                <w:szCs w:val="22"/>
              </w:rPr>
            </w:pPr>
            <w:r>
              <w:rPr>
                <w:color w:val="000000"/>
                <w:sz w:val="22"/>
                <w:szCs w:val="22"/>
              </w:rPr>
              <w:t xml:space="preserve">The requirement to file a Certification of Material Event if an organization receives a “CAMELS Composite Rating of 3, 4, or 5” or "negative or adverse finding by the </w:t>
            </w:r>
            <w:r>
              <w:rPr>
                <w:color w:val="000000"/>
                <w:sz w:val="22"/>
                <w:szCs w:val="22"/>
              </w:rPr>
              <w:t>Appropriate Federal Banking Agency related to the Certified CDFI.” constitutes overreach of the CDFI Fund's authority, could introduce uncertainty and unfairness into the certification of depository CDFIs, and could result in the release of confidential non-public information.</w:t>
            </w:r>
          </w:p>
        </w:tc>
        <w:tc>
          <w:tcPr>
            <w:tcW w:w="4600" w:type="dxa"/>
            <w:tcBorders>
              <w:top w:val="nil"/>
              <w:left w:val="nil"/>
              <w:bottom w:val="single" w:sz="4" w:space="0" w:color="auto"/>
              <w:right w:val="single" w:sz="8" w:space="0" w:color="auto"/>
            </w:tcBorders>
            <w:shd w:val="clear" w:color="auto" w:fill="auto"/>
            <w:hideMark/>
          </w:tcPr>
          <w:p w:rsidR="009E4893" w14:paraId="6C289504" w14:textId="77777777">
            <w:pPr>
              <w:rPr>
                <w:color w:val="000000"/>
                <w:sz w:val="22"/>
                <w:szCs w:val="22"/>
              </w:rPr>
            </w:pPr>
            <w:r>
              <w:rPr>
                <w:color w:val="000000"/>
                <w:sz w:val="22"/>
                <w:szCs w:val="22"/>
              </w:rPr>
              <w:t>The CDFI Fund supports removing this provision from the Certification of Material Event Form and the underlying requirement found in the CDFI Certification Agreement.</w:t>
            </w:r>
          </w:p>
        </w:tc>
      </w:tr>
      <w:tr w14:paraId="0085203D" w14:textId="77777777" w:rsidTr="006A79E1">
        <w:tblPrEx>
          <w:tblW w:w="13180" w:type="dxa"/>
          <w:tblLook w:val="04A0"/>
        </w:tblPrEx>
        <w:trPr>
          <w:trHeight w:val="323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7DB692B6" w14:textId="77777777">
            <w:pPr>
              <w:rPr>
                <w:color w:val="000000"/>
                <w:sz w:val="22"/>
                <w:szCs w:val="22"/>
              </w:rPr>
            </w:pPr>
            <w:r>
              <w:rPr>
                <w:color w:val="000000"/>
                <w:sz w:val="22"/>
                <w:szCs w:val="22"/>
              </w:rPr>
              <w:t>Brandon Milhorn</w:t>
            </w:r>
            <w:r>
              <w:rPr>
                <w:color w:val="000000"/>
                <w:sz w:val="22"/>
                <w:szCs w:val="22"/>
              </w:rPr>
              <w:br/>
              <w:t>Brian Knight</w:t>
            </w:r>
          </w:p>
        </w:tc>
        <w:tc>
          <w:tcPr>
            <w:tcW w:w="1780" w:type="dxa"/>
            <w:tcBorders>
              <w:top w:val="nil"/>
              <w:left w:val="nil"/>
              <w:bottom w:val="single" w:sz="4" w:space="0" w:color="auto"/>
              <w:right w:val="single" w:sz="4" w:space="0" w:color="auto"/>
            </w:tcBorders>
            <w:shd w:val="clear" w:color="auto" w:fill="auto"/>
            <w:vAlign w:val="center"/>
            <w:hideMark/>
          </w:tcPr>
          <w:p w:rsidR="009E4893" w14:paraId="6027599C" w14:textId="77777777">
            <w:pPr>
              <w:rPr>
                <w:color w:val="000000"/>
                <w:sz w:val="22"/>
                <w:szCs w:val="22"/>
              </w:rPr>
            </w:pPr>
            <w:r>
              <w:rPr>
                <w:color w:val="000000"/>
                <w:sz w:val="22"/>
                <w:szCs w:val="22"/>
              </w:rPr>
              <w:t xml:space="preserve">Conference of State Bank </w:t>
            </w:r>
            <w:r>
              <w:rPr>
                <w:color w:val="000000"/>
                <w:sz w:val="22"/>
                <w:szCs w:val="22"/>
              </w:rPr>
              <w:t>Supervisors and the National Association of State Credit Union Supervisors</w:t>
            </w:r>
          </w:p>
        </w:tc>
        <w:tc>
          <w:tcPr>
            <w:tcW w:w="5560" w:type="dxa"/>
            <w:tcBorders>
              <w:top w:val="nil"/>
              <w:left w:val="nil"/>
              <w:bottom w:val="single" w:sz="4" w:space="0" w:color="auto"/>
              <w:right w:val="single" w:sz="4" w:space="0" w:color="auto"/>
            </w:tcBorders>
            <w:shd w:val="clear" w:color="auto" w:fill="auto"/>
            <w:hideMark/>
          </w:tcPr>
          <w:p w:rsidR="009E4893" w14:paraId="60A59B7F" w14:textId="77777777">
            <w:pPr>
              <w:rPr>
                <w:color w:val="000000"/>
                <w:sz w:val="22"/>
                <w:szCs w:val="22"/>
              </w:rPr>
            </w:pPr>
            <w:r>
              <w:rPr>
                <w:color w:val="000000"/>
                <w:sz w:val="22"/>
                <w:szCs w:val="22"/>
              </w:rPr>
              <w:t>The new Material Events Form provisions allow the CDFI Fund, in its sole discretion, to terminate a CDFI’s certification if its composite CAMELS rating drops below a “2”, or if it receives any negative or adverse finding by the appropriate Federal Banking Agency. These provisions are unjustifiable on both legal and practical grounds.</w:t>
            </w:r>
            <w:r>
              <w:rPr>
                <w:color w:val="000000"/>
                <w:sz w:val="22"/>
                <w:szCs w:val="22"/>
              </w:rPr>
              <w:br/>
              <w:t>State and federal laws prohibit the disclosure of CSI [confidential supervisory information], including composite CAMELS ratings and exam findings, to non-prudential regulators. The CDFI Fund is not a prudential regulator, and nothing in the CDFI Fund’s authorizing statutes requires disclosure of CSI related to CDFI depositories.</w:t>
            </w:r>
          </w:p>
        </w:tc>
        <w:tc>
          <w:tcPr>
            <w:tcW w:w="4600" w:type="dxa"/>
            <w:tcBorders>
              <w:top w:val="nil"/>
              <w:left w:val="nil"/>
              <w:bottom w:val="single" w:sz="4" w:space="0" w:color="auto"/>
              <w:right w:val="single" w:sz="8" w:space="0" w:color="auto"/>
            </w:tcBorders>
            <w:shd w:val="clear" w:color="auto" w:fill="auto"/>
            <w:hideMark/>
          </w:tcPr>
          <w:p w:rsidR="009E4893" w14:paraId="4C4B5192" w14:textId="77777777">
            <w:pPr>
              <w:rPr>
                <w:color w:val="000000"/>
                <w:sz w:val="22"/>
                <w:szCs w:val="22"/>
              </w:rPr>
            </w:pPr>
            <w:r>
              <w:rPr>
                <w:color w:val="000000"/>
                <w:sz w:val="22"/>
                <w:szCs w:val="22"/>
              </w:rPr>
              <w:t>The CDFI Fund supports removing this provision from the Certification of Material Event Form and the underlying requirement found in the CDFI Certification Agreement.</w:t>
            </w:r>
          </w:p>
        </w:tc>
      </w:tr>
      <w:tr w14:paraId="24518222" w14:textId="77777777" w:rsidTr="009E4893">
        <w:tblPrEx>
          <w:tblW w:w="13180" w:type="dxa"/>
          <w:tblLook w:val="04A0"/>
        </w:tblPrEx>
        <w:trPr>
          <w:trHeight w:val="27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0E32819B" w14:textId="77777777">
            <w:pPr>
              <w:rPr>
                <w:color w:val="000000"/>
                <w:sz w:val="22"/>
                <w:szCs w:val="22"/>
              </w:rPr>
            </w:pPr>
            <w:r>
              <w:rPr>
                <w:color w:val="000000"/>
                <w:sz w:val="22"/>
                <w:szCs w:val="22"/>
              </w:rPr>
              <w:t>Stacy Augustine</w:t>
            </w:r>
          </w:p>
        </w:tc>
        <w:tc>
          <w:tcPr>
            <w:tcW w:w="1780" w:type="dxa"/>
            <w:tcBorders>
              <w:top w:val="nil"/>
              <w:left w:val="nil"/>
              <w:bottom w:val="single" w:sz="4" w:space="0" w:color="auto"/>
              <w:right w:val="single" w:sz="4" w:space="0" w:color="auto"/>
            </w:tcBorders>
            <w:shd w:val="clear" w:color="auto" w:fill="auto"/>
            <w:vAlign w:val="center"/>
            <w:hideMark/>
          </w:tcPr>
          <w:p w:rsidR="009E4893" w14:paraId="42A2C8B0" w14:textId="77777777">
            <w:pPr>
              <w:rPr>
                <w:color w:val="000000"/>
                <w:sz w:val="22"/>
                <w:szCs w:val="22"/>
              </w:rPr>
            </w:pPr>
            <w:r>
              <w:rPr>
                <w:color w:val="000000"/>
                <w:sz w:val="22"/>
                <w:szCs w:val="22"/>
              </w:rPr>
              <w:t>CU Strategic Planning</w:t>
            </w:r>
          </w:p>
        </w:tc>
        <w:tc>
          <w:tcPr>
            <w:tcW w:w="5560" w:type="dxa"/>
            <w:tcBorders>
              <w:top w:val="nil"/>
              <w:left w:val="nil"/>
              <w:bottom w:val="single" w:sz="4" w:space="0" w:color="auto"/>
              <w:right w:val="single" w:sz="4" w:space="0" w:color="auto"/>
            </w:tcBorders>
            <w:shd w:val="clear" w:color="auto" w:fill="auto"/>
            <w:hideMark/>
          </w:tcPr>
          <w:p w:rsidR="009E4893" w14:paraId="79F9E1D0" w14:textId="77777777">
            <w:pPr>
              <w:rPr>
                <w:color w:val="000000"/>
                <w:sz w:val="22"/>
                <w:szCs w:val="22"/>
              </w:rPr>
            </w:pPr>
            <w:r>
              <w:rPr>
                <w:color w:val="000000"/>
                <w:sz w:val="22"/>
                <w:szCs w:val="22"/>
              </w:rPr>
              <w:t xml:space="preserve">Changing the CDFI Fund’s definition of a material event to exclude a </w:t>
            </w:r>
            <w:r>
              <w:rPr>
                <w:color w:val="000000"/>
                <w:sz w:val="22"/>
                <w:szCs w:val="22"/>
              </w:rPr>
              <w:t>change in board leadership, change in board membership or change in key staff while maintaining the firm requirement that any event that could lead to the violation of an Assistance Agreement, law, or regulation or conditions that might cause an entity to no longer meet one or more certification criteria, would minimize unnecessary regulatory burden on CDFIs and reduce the time needed to review these changes by CDFI Fund staff.</w:t>
            </w:r>
          </w:p>
        </w:tc>
        <w:tc>
          <w:tcPr>
            <w:tcW w:w="4600" w:type="dxa"/>
            <w:tcBorders>
              <w:top w:val="nil"/>
              <w:left w:val="nil"/>
              <w:bottom w:val="single" w:sz="4" w:space="0" w:color="auto"/>
              <w:right w:val="single" w:sz="8" w:space="0" w:color="auto"/>
            </w:tcBorders>
            <w:shd w:val="clear" w:color="auto" w:fill="auto"/>
            <w:hideMark/>
          </w:tcPr>
          <w:p w:rsidR="009E4893" w14:paraId="0258D0DE" w14:textId="77777777">
            <w:pPr>
              <w:rPr>
                <w:color w:val="000000"/>
                <w:sz w:val="22"/>
                <w:szCs w:val="22"/>
              </w:rPr>
            </w:pPr>
            <w:r>
              <w:rPr>
                <w:color w:val="000000"/>
                <w:sz w:val="22"/>
                <w:szCs w:val="22"/>
              </w:rPr>
              <w:t>The CDFI Fund rejects this recommendation and supports the continued reporting of changes in the board and key personnel given the potential impact of such changes on CDFI Certification and the proper management of Awards.</w:t>
            </w:r>
          </w:p>
        </w:tc>
      </w:tr>
      <w:tr w14:paraId="571DC083" w14:textId="77777777" w:rsidTr="009E4893">
        <w:tblPrEx>
          <w:tblW w:w="13180" w:type="dxa"/>
          <w:tblLook w:val="04A0"/>
        </w:tblPrEx>
        <w:trPr>
          <w:trHeight w:val="27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65FA0FA5" w14:textId="77777777">
            <w:pPr>
              <w:rPr>
                <w:color w:val="000000"/>
                <w:sz w:val="22"/>
                <w:szCs w:val="22"/>
              </w:rPr>
            </w:pPr>
            <w:r>
              <w:rPr>
                <w:color w:val="000000"/>
                <w:sz w:val="22"/>
                <w:szCs w:val="22"/>
              </w:rPr>
              <w:t>Cathleen Mahon</w:t>
            </w:r>
          </w:p>
        </w:tc>
        <w:tc>
          <w:tcPr>
            <w:tcW w:w="1780" w:type="dxa"/>
            <w:tcBorders>
              <w:top w:val="nil"/>
              <w:left w:val="nil"/>
              <w:bottom w:val="single" w:sz="4" w:space="0" w:color="auto"/>
              <w:right w:val="single" w:sz="4" w:space="0" w:color="auto"/>
            </w:tcBorders>
            <w:shd w:val="clear" w:color="auto" w:fill="auto"/>
            <w:vAlign w:val="center"/>
            <w:hideMark/>
          </w:tcPr>
          <w:p w:rsidR="009E4893" w14:paraId="45370DC0" w14:textId="77777777">
            <w:pPr>
              <w:rPr>
                <w:color w:val="000000"/>
                <w:sz w:val="22"/>
                <w:szCs w:val="22"/>
              </w:rPr>
            </w:pPr>
            <w:r>
              <w:rPr>
                <w:color w:val="000000"/>
                <w:sz w:val="22"/>
                <w:szCs w:val="22"/>
              </w:rPr>
              <w:t>Inclusiv</w:t>
            </w:r>
          </w:p>
        </w:tc>
        <w:tc>
          <w:tcPr>
            <w:tcW w:w="5560" w:type="dxa"/>
            <w:tcBorders>
              <w:top w:val="nil"/>
              <w:left w:val="nil"/>
              <w:bottom w:val="single" w:sz="4" w:space="0" w:color="auto"/>
              <w:right w:val="single" w:sz="4" w:space="0" w:color="auto"/>
            </w:tcBorders>
            <w:shd w:val="clear" w:color="auto" w:fill="auto"/>
            <w:hideMark/>
          </w:tcPr>
          <w:p w:rsidR="009E4893" w14:paraId="6C174C4C" w14:textId="77777777">
            <w:pPr>
              <w:rPr>
                <w:color w:val="000000"/>
                <w:sz w:val="22"/>
                <w:szCs w:val="22"/>
              </w:rPr>
            </w:pPr>
            <w:r>
              <w:rPr>
                <w:color w:val="000000"/>
                <w:sz w:val="22"/>
                <w:szCs w:val="22"/>
              </w:rPr>
              <w:t xml:space="preserve">Remove CAMELS Ratings and Adverse Findings from Material Events for </w:t>
            </w:r>
            <w:r>
              <w:rPr>
                <w:color w:val="000000"/>
                <w:sz w:val="22"/>
                <w:szCs w:val="22"/>
              </w:rPr>
              <w:t>Certification (#41): We encourage the Fund to proceed with waiving this requirement for all depository institutions and remove item #41 from the Material Events Form. CAMELS ratings are not a component of the CDFI Certification Application and therefore should not be considered material for maintaining certification. CAMELS ratings and exam findings are also confidential.</w:t>
            </w:r>
          </w:p>
        </w:tc>
        <w:tc>
          <w:tcPr>
            <w:tcW w:w="4600" w:type="dxa"/>
            <w:tcBorders>
              <w:top w:val="nil"/>
              <w:left w:val="nil"/>
              <w:bottom w:val="single" w:sz="4" w:space="0" w:color="auto"/>
              <w:right w:val="single" w:sz="8" w:space="0" w:color="auto"/>
            </w:tcBorders>
            <w:shd w:val="clear" w:color="auto" w:fill="auto"/>
            <w:hideMark/>
          </w:tcPr>
          <w:p w:rsidR="009E4893" w14:paraId="54D6FFBC" w14:textId="77777777">
            <w:pPr>
              <w:rPr>
                <w:color w:val="000000"/>
                <w:sz w:val="22"/>
                <w:szCs w:val="22"/>
              </w:rPr>
            </w:pPr>
            <w:r>
              <w:rPr>
                <w:color w:val="000000"/>
                <w:sz w:val="22"/>
                <w:szCs w:val="22"/>
              </w:rPr>
              <w:t>The CDFI Fund supports removing this provision from the Certification of Material Event Form and the underlying requirement found in the CDFI Certification Agreement.</w:t>
            </w:r>
          </w:p>
        </w:tc>
      </w:tr>
      <w:tr w14:paraId="6172C937" w14:textId="77777777" w:rsidTr="009E4893">
        <w:tblPrEx>
          <w:tblW w:w="13180" w:type="dxa"/>
          <w:tblLook w:val="04A0"/>
        </w:tblPrEx>
        <w:trPr>
          <w:trHeight w:val="24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2B6F4D0A" w14:textId="77777777">
            <w:pPr>
              <w:rPr>
                <w:color w:val="000000"/>
                <w:sz w:val="22"/>
                <w:szCs w:val="22"/>
              </w:rPr>
            </w:pPr>
            <w:r>
              <w:rPr>
                <w:color w:val="000000"/>
                <w:sz w:val="22"/>
                <w:szCs w:val="22"/>
              </w:rPr>
              <w:t>Cathleen Mahon</w:t>
            </w:r>
          </w:p>
        </w:tc>
        <w:tc>
          <w:tcPr>
            <w:tcW w:w="1780" w:type="dxa"/>
            <w:tcBorders>
              <w:top w:val="nil"/>
              <w:left w:val="nil"/>
              <w:bottom w:val="single" w:sz="4" w:space="0" w:color="auto"/>
              <w:right w:val="single" w:sz="4" w:space="0" w:color="auto"/>
            </w:tcBorders>
            <w:shd w:val="clear" w:color="auto" w:fill="auto"/>
            <w:vAlign w:val="center"/>
            <w:hideMark/>
          </w:tcPr>
          <w:p w:rsidR="009E4893" w14:paraId="67EB3E3D" w14:textId="77777777">
            <w:pPr>
              <w:rPr>
                <w:color w:val="000000"/>
                <w:sz w:val="22"/>
                <w:szCs w:val="22"/>
              </w:rPr>
            </w:pPr>
            <w:r>
              <w:rPr>
                <w:color w:val="000000"/>
                <w:sz w:val="22"/>
                <w:szCs w:val="22"/>
              </w:rPr>
              <w:t>Inclusiv</w:t>
            </w:r>
          </w:p>
        </w:tc>
        <w:tc>
          <w:tcPr>
            <w:tcW w:w="5560" w:type="dxa"/>
            <w:tcBorders>
              <w:top w:val="nil"/>
              <w:left w:val="nil"/>
              <w:bottom w:val="single" w:sz="4" w:space="0" w:color="auto"/>
              <w:right w:val="single" w:sz="4" w:space="0" w:color="auto"/>
            </w:tcBorders>
            <w:shd w:val="clear" w:color="auto" w:fill="auto"/>
            <w:hideMark/>
          </w:tcPr>
          <w:p w:rsidR="009E4893" w14:paraId="46BFA08C" w14:textId="77777777">
            <w:pPr>
              <w:rPr>
                <w:color w:val="000000"/>
                <w:sz w:val="22"/>
                <w:szCs w:val="22"/>
              </w:rPr>
            </w:pPr>
            <w:r>
              <w:rPr>
                <w:color w:val="000000"/>
                <w:sz w:val="22"/>
                <w:szCs w:val="22"/>
              </w:rPr>
              <w:t>Specify Adverse Findings Considered Material for CDFI Award Recipients (#16): #16 on the Form lists “any adverse finding by the Appropriate Federal Banking Agency” as a material event for recipients of CDFI awards. However, this request is vague and would likely result in excessive Material Events Form submissions because every examination will arguably produce items that could be considered adverse findings of varying materiality.</w:t>
            </w:r>
          </w:p>
        </w:tc>
        <w:tc>
          <w:tcPr>
            <w:tcW w:w="4600" w:type="dxa"/>
            <w:tcBorders>
              <w:top w:val="nil"/>
              <w:left w:val="nil"/>
              <w:bottom w:val="single" w:sz="4" w:space="0" w:color="auto"/>
              <w:right w:val="single" w:sz="8" w:space="0" w:color="auto"/>
            </w:tcBorders>
            <w:shd w:val="clear" w:color="auto" w:fill="auto"/>
            <w:hideMark/>
          </w:tcPr>
          <w:p w:rsidR="009E4893" w14:paraId="407EF466"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77B65D41" w14:textId="77777777" w:rsidTr="009E4893">
        <w:tblPrEx>
          <w:tblW w:w="13180" w:type="dxa"/>
          <w:tblLook w:val="04A0"/>
        </w:tblPrEx>
        <w:trPr>
          <w:trHeight w:val="24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0B9E2CDC" w14:textId="77777777">
            <w:pPr>
              <w:rPr>
                <w:color w:val="000000"/>
                <w:sz w:val="22"/>
                <w:szCs w:val="22"/>
              </w:rPr>
            </w:pPr>
            <w:r>
              <w:rPr>
                <w:color w:val="000000"/>
                <w:sz w:val="22"/>
                <w:szCs w:val="22"/>
              </w:rPr>
              <w:t>Cathleen Mahon</w:t>
            </w:r>
          </w:p>
        </w:tc>
        <w:tc>
          <w:tcPr>
            <w:tcW w:w="1780" w:type="dxa"/>
            <w:tcBorders>
              <w:top w:val="nil"/>
              <w:left w:val="nil"/>
              <w:bottom w:val="single" w:sz="4" w:space="0" w:color="auto"/>
              <w:right w:val="single" w:sz="4" w:space="0" w:color="auto"/>
            </w:tcBorders>
            <w:shd w:val="clear" w:color="auto" w:fill="auto"/>
            <w:vAlign w:val="center"/>
            <w:hideMark/>
          </w:tcPr>
          <w:p w:rsidR="009E4893" w14:paraId="4E2B9A49" w14:textId="77777777">
            <w:pPr>
              <w:rPr>
                <w:color w:val="000000"/>
                <w:sz w:val="22"/>
                <w:szCs w:val="22"/>
              </w:rPr>
            </w:pPr>
            <w:r>
              <w:rPr>
                <w:color w:val="000000"/>
                <w:sz w:val="22"/>
                <w:szCs w:val="22"/>
              </w:rPr>
              <w:t>Inclusiv</w:t>
            </w:r>
          </w:p>
        </w:tc>
        <w:tc>
          <w:tcPr>
            <w:tcW w:w="5560" w:type="dxa"/>
            <w:tcBorders>
              <w:top w:val="nil"/>
              <w:left w:val="nil"/>
              <w:bottom w:val="single" w:sz="4" w:space="0" w:color="auto"/>
              <w:right w:val="single" w:sz="4" w:space="0" w:color="auto"/>
            </w:tcBorders>
            <w:shd w:val="clear" w:color="auto" w:fill="auto"/>
            <w:hideMark/>
          </w:tcPr>
          <w:p w:rsidR="009E4893" w14:paraId="79CABC5B" w14:textId="77777777">
            <w:pPr>
              <w:rPr>
                <w:color w:val="000000"/>
                <w:sz w:val="22"/>
                <w:szCs w:val="22"/>
              </w:rPr>
            </w:pPr>
            <w:r>
              <w:rPr>
                <w:color w:val="000000"/>
                <w:sz w:val="22"/>
                <w:szCs w:val="22"/>
              </w:rPr>
              <w:t xml:space="preserve">In Part D of the Material Events Form, CDFIs are asked to, “Provide a narrative statement indicating how the </w:t>
            </w:r>
            <w:r>
              <w:rPr>
                <w:color w:val="000000"/>
                <w:sz w:val="22"/>
                <w:szCs w:val="22"/>
              </w:rPr>
              <w:t>organization intends to correct or address the Material Event.” The framing of this request assumes that every material event is an adverse event that needs to be remedied in some way, even though some material events are neutral, such as changes in name or executive leadership.</w:t>
            </w:r>
          </w:p>
        </w:tc>
        <w:tc>
          <w:tcPr>
            <w:tcW w:w="4600" w:type="dxa"/>
            <w:tcBorders>
              <w:top w:val="nil"/>
              <w:left w:val="nil"/>
              <w:bottom w:val="single" w:sz="4" w:space="0" w:color="auto"/>
              <w:right w:val="single" w:sz="8" w:space="0" w:color="auto"/>
            </w:tcBorders>
            <w:shd w:val="clear" w:color="auto" w:fill="auto"/>
            <w:hideMark/>
          </w:tcPr>
          <w:p w:rsidR="009E4893" w14:paraId="71A8E717" w14:textId="77777777">
            <w:pPr>
              <w:rPr>
                <w:color w:val="000000"/>
                <w:sz w:val="22"/>
                <w:szCs w:val="22"/>
              </w:rPr>
            </w:pPr>
            <w:r>
              <w:rPr>
                <w:color w:val="000000"/>
                <w:sz w:val="22"/>
                <w:szCs w:val="22"/>
              </w:rPr>
              <w:t>The CDFI Fund will revise the document to incorporate this recommendation.</w:t>
            </w:r>
          </w:p>
        </w:tc>
      </w:tr>
      <w:tr w14:paraId="6C6BB256" w14:textId="77777777" w:rsidTr="009E4893">
        <w:tblPrEx>
          <w:tblW w:w="13180" w:type="dxa"/>
          <w:tblLook w:val="04A0"/>
        </w:tblPrEx>
        <w:trPr>
          <w:trHeight w:val="1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2A248937" w14:textId="77777777">
            <w:pPr>
              <w:rPr>
                <w:color w:val="000000"/>
                <w:sz w:val="22"/>
                <w:szCs w:val="22"/>
              </w:rPr>
            </w:pPr>
            <w:r>
              <w:rPr>
                <w:color w:val="000000"/>
                <w:sz w:val="22"/>
                <w:szCs w:val="22"/>
              </w:rPr>
              <w:t>Julia 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56B0CD88" w14:textId="77777777">
            <w:pPr>
              <w:rPr>
                <w:color w:val="000000"/>
                <w:sz w:val="22"/>
                <w:szCs w:val="22"/>
              </w:rPr>
            </w:pPr>
            <w:r>
              <w:rPr>
                <w:color w:val="000000"/>
                <w:sz w:val="22"/>
                <w:szCs w:val="22"/>
              </w:rPr>
              <w:t>Midwest Minnesota 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57C9D058" w14:textId="77777777">
            <w:pPr>
              <w:rPr>
                <w:color w:val="000000"/>
                <w:sz w:val="22"/>
                <w:szCs w:val="22"/>
              </w:rPr>
            </w:pPr>
            <w:r>
              <w:rPr>
                <w:color w:val="000000"/>
                <w:sz w:val="22"/>
                <w:szCs w:val="22"/>
              </w:rPr>
              <w:t>Q5 - Add "and electronically sign before submitting."</w:t>
            </w:r>
          </w:p>
        </w:tc>
        <w:tc>
          <w:tcPr>
            <w:tcW w:w="4600" w:type="dxa"/>
            <w:tcBorders>
              <w:top w:val="nil"/>
              <w:left w:val="nil"/>
              <w:bottom w:val="single" w:sz="4" w:space="0" w:color="auto"/>
              <w:right w:val="single" w:sz="8" w:space="0" w:color="auto"/>
            </w:tcBorders>
            <w:shd w:val="clear" w:color="auto" w:fill="auto"/>
            <w:hideMark/>
          </w:tcPr>
          <w:p w:rsidR="009E4893" w14:paraId="744A960F" w14:textId="77777777">
            <w:pPr>
              <w:rPr>
                <w:color w:val="000000"/>
                <w:sz w:val="22"/>
                <w:szCs w:val="22"/>
              </w:rPr>
            </w:pPr>
            <w:r>
              <w:rPr>
                <w:color w:val="000000"/>
                <w:sz w:val="22"/>
                <w:szCs w:val="22"/>
              </w:rPr>
              <w:t>The CDFI Fund will revise the document to incorporate this recommendation.</w:t>
            </w:r>
          </w:p>
        </w:tc>
      </w:tr>
      <w:tr w14:paraId="68246FD4" w14:textId="77777777" w:rsidTr="009E4893">
        <w:tblPrEx>
          <w:tblW w:w="13180" w:type="dxa"/>
          <w:tblLook w:val="04A0"/>
        </w:tblPrEx>
        <w:trPr>
          <w:trHeight w:val="1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7AA574DD" w14:textId="77777777">
            <w:pPr>
              <w:rPr>
                <w:color w:val="000000"/>
                <w:sz w:val="22"/>
                <w:szCs w:val="22"/>
              </w:rPr>
            </w:pPr>
            <w:r>
              <w:rPr>
                <w:color w:val="000000"/>
                <w:sz w:val="22"/>
                <w:szCs w:val="22"/>
              </w:rPr>
              <w:t>Julia 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38814A95" w14:textId="77777777">
            <w:pPr>
              <w:rPr>
                <w:color w:val="000000"/>
                <w:sz w:val="22"/>
                <w:szCs w:val="22"/>
              </w:rPr>
            </w:pPr>
            <w:r>
              <w:rPr>
                <w:color w:val="000000"/>
                <w:sz w:val="22"/>
                <w:szCs w:val="22"/>
              </w:rPr>
              <w:t>Midwest Minnesota 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5316F930" w14:textId="77777777">
            <w:pPr>
              <w:rPr>
                <w:color w:val="000000"/>
                <w:sz w:val="22"/>
                <w:szCs w:val="22"/>
              </w:rPr>
            </w:pPr>
            <w:r>
              <w:rPr>
                <w:color w:val="000000"/>
                <w:sz w:val="22"/>
                <w:szCs w:val="22"/>
              </w:rPr>
              <w:t>Q5 - Remove "s" from the word officials in the first line.</w:t>
            </w:r>
          </w:p>
        </w:tc>
        <w:tc>
          <w:tcPr>
            <w:tcW w:w="4600" w:type="dxa"/>
            <w:tcBorders>
              <w:top w:val="nil"/>
              <w:left w:val="nil"/>
              <w:bottom w:val="single" w:sz="4" w:space="0" w:color="auto"/>
              <w:right w:val="single" w:sz="8" w:space="0" w:color="auto"/>
            </w:tcBorders>
            <w:shd w:val="clear" w:color="auto" w:fill="auto"/>
            <w:hideMark/>
          </w:tcPr>
          <w:p w:rsidR="009E4893" w14:paraId="33629615" w14:textId="77777777">
            <w:pPr>
              <w:rPr>
                <w:color w:val="000000"/>
                <w:sz w:val="22"/>
                <w:szCs w:val="22"/>
              </w:rPr>
            </w:pPr>
            <w:r>
              <w:rPr>
                <w:color w:val="000000"/>
                <w:sz w:val="22"/>
                <w:szCs w:val="22"/>
              </w:rPr>
              <w:t>The CDFI Fund will revise the document to incorporate this recommendation.</w:t>
            </w:r>
          </w:p>
        </w:tc>
      </w:tr>
      <w:tr w14:paraId="5A24AC20" w14:textId="77777777" w:rsidTr="009E4893">
        <w:tblPrEx>
          <w:tblW w:w="13180" w:type="dxa"/>
          <w:tblLook w:val="04A0"/>
        </w:tblPrEx>
        <w:trPr>
          <w:trHeight w:val="1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58E30DCD" w14:textId="77777777">
            <w:pPr>
              <w:rPr>
                <w:color w:val="000000"/>
                <w:sz w:val="22"/>
                <w:szCs w:val="22"/>
              </w:rPr>
            </w:pPr>
            <w:r>
              <w:rPr>
                <w:color w:val="000000"/>
                <w:sz w:val="22"/>
                <w:szCs w:val="22"/>
              </w:rPr>
              <w:t xml:space="preserve">Julia </w:t>
            </w:r>
            <w:r>
              <w:rPr>
                <w:color w:val="000000"/>
                <w:sz w:val="22"/>
                <w:szCs w:val="22"/>
              </w:rPr>
              <w:t>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19955FFF" w14:textId="77777777">
            <w:pPr>
              <w:rPr>
                <w:color w:val="000000"/>
                <w:sz w:val="22"/>
                <w:szCs w:val="22"/>
              </w:rPr>
            </w:pPr>
            <w:r>
              <w:rPr>
                <w:color w:val="000000"/>
                <w:sz w:val="22"/>
                <w:szCs w:val="22"/>
              </w:rPr>
              <w:t>Midwest Minnesota 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12906A0B" w14:textId="77777777">
            <w:pPr>
              <w:rPr>
                <w:color w:val="000000"/>
                <w:sz w:val="22"/>
                <w:szCs w:val="22"/>
              </w:rPr>
            </w:pPr>
            <w:r>
              <w:rPr>
                <w:color w:val="000000"/>
                <w:sz w:val="22"/>
                <w:szCs w:val="22"/>
              </w:rPr>
              <w:t xml:space="preserve">Q6 - Should this say "lines of" before the word "business"? </w:t>
            </w:r>
          </w:p>
        </w:tc>
        <w:tc>
          <w:tcPr>
            <w:tcW w:w="4600" w:type="dxa"/>
            <w:tcBorders>
              <w:top w:val="nil"/>
              <w:left w:val="nil"/>
              <w:bottom w:val="single" w:sz="4" w:space="0" w:color="auto"/>
              <w:right w:val="single" w:sz="8" w:space="0" w:color="auto"/>
            </w:tcBorders>
            <w:shd w:val="clear" w:color="auto" w:fill="auto"/>
            <w:hideMark/>
          </w:tcPr>
          <w:p w:rsidR="009E4893" w14:paraId="4940E882" w14:textId="77777777">
            <w:pPr>
              <w:rPr>
                <w:color w:val="000000"/>
                <w:sz w:val="22"/>
                <w:szCs w:val="22"/>
              </w:rPr>
            </w:pPr>
            <w:r>
              <w:rPr>
                <w:color w:val="000000"/>
                <w:sz w:val="22"/>
                <w:szCs w:val="22"/>
              </w:rPr>
              <w:t>The CDFI Fund will revise the document to incorporate this recommendation.</w:t>
            </w:r>
          </w:p>
        </w:tc>
      </w:tr>
      <w:tr w14:paraId="1F7261F1" w14:textId="77777777" w:rsidTr="009E4893">
        <w:tblPrEx>
          <w:tblW w:w="13180" w:type="dxa"/>
          <w:tblLook w:val="04A0"/>
        </w:tblPrEx>
        <w:trPr>
          <w:trHeight w:val="1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4BEC2CDA" w14:textId="77777777">
            <w:pPr>
              <w:rPr>
                <w:color w:val="000000"/>
                <w:sz w:val="22"/>
                <w:szCs w:val="22"/>
              </w:rPr>
            </w:pPr>
            <w:r>
              <w:rPr>
                <w:color w:val="000000"/>
                <w:sz w:val="22"/>
                <w:szCs w:val="22"/>
              </w:rPr>
              <w:t>Julia 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3E81903F" w14:textId="77777777">
            <w:pPr>
              <w:rPr>
                <w:color w:val="000000"/>
                <w:sz w:val="22"/>
                <w:szCs w:val="22"/>
              </w:rPr>
            </w:pPr>
            <w:r>
              <w:rPr>
                <w:color w:val="000000"/>
                <w:sz w:val="22"/>
                <w:szCs w:val="22"/>
              </w:rPr>
              <w:t>Midwest Minnesota 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0B878DB1" w14:textId="77777777">
            <w:pPr>
              <w:rPr>
                <w:color w:val="000000"/>
                <w:sz w:val="22"/>
                <w:szCs w:val="22"/>
              </w:rPr>
            </w:pPr>
            <w:r>
              <w:rPr>
                <w:color w:val="000000"/>
                <w:sz w:val="22"/>
                <w:szCs w:val="22"/>
              </w:rPr>
              <w:t>Q8 -Change violations to "convictions"</w:t>
            </w:r>
          </w:p>
        </w:tc>
        <w:tc>
          <w:tcPr>
            <w:tcW w:w="4600" w:type="dxa"/>
            <w:tcBorders>
              <w:top w:val="nil"/>
              <w:left w:val="nil"/>
              <w:bottom w:val="single" w:sz="4" w:space="0" w:color="auto"/>
              <w:right w:val="single" w:sz="8" w:space="0" w:color="auto"/>
            </w:tcBorders>
            <w:shd w:val="clear" w:color="auto" w:fill="auto"/>
            <w:hideMark/>
          </w:tcPr>
          <w:p w:rsidR="009E4893" w14:paraId="6A5379BE" w14:textId="77777777">
            <w:pPr>
              <w:rPr>
                <w:color w:val="000000"/>
                <w:sz w:val="22"/>
                <w:szCs w:val="22"/>
              </w:rPr>
            </w:pPr>
            <w:r>
              <w:rPr>
                <w:color w:val="000000"/>
                <w:sz w:val="22"/>
                <w:szCs w:val="22"/>
              </w:rPr>
              <w:t>The CDFI Fund rejects this recommendation as the use of "convictions" may exclude noteworthy issues that might not have resulted in a criminal/civic conviction.</w:t>
            </w:r>
          </w:p>
        </w:tc>
      </w:tr>
      <w:tr w14:paraId="4A9A3457" w14:textId="77777777" w:rsidTr="009E4893">
        <w:tblPrEx>
          <w:tblW w:w="13180" w:type="dxa"/>
          <w:tblLook w:val="04A0"/>
        </w:tblPrEx>
        <w:trPr>
          <w:trHeight w:val="1515"/>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02240DF5" w14:textId="77777777">
            <w:pPr>
              <w:rPr>
                <w:color w:val="000000"/>
                <w:sz w:val="22"/>
                <w:szCs w:val="22"/>
              </w:rPr>
            </w:pPr>
            <w:r>
              <w:rPr>
                <w:color w:val="000000"/>
                <w:sz w:val="22"/>
                <w:szCs w:val="22"/>
              </w:rPr>
              <w:t>Julia 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3C381458" w14:textId="77777777">
            <w:pPr>
              <w:rPr>
                <w:color w:val="000000"/>
                <w:sz w:val="22"/>
                <w:szCs w:val="22"/>
              </w:rPr>
            </w:pPr>
            <w:r>
              <w:rPr>
                <w:color w:val="000000"/>
                <w:sz w:val="22"/>
                <w:szCs w:val="22"/>
              </w:rPr>
              <w:t xml:space="preserve">Midwest Minnesota </w:t>
            </w:r>
            <w:r>
              <w:rPr>
                <w:color w:val="000000"/>
                <w:sz w:val="22"/>
                <w:szCs w:val="22"/>
              </w:rPr>
              <w:t>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4E71517B" w14:textId="77777777">
            <w:pPr>
              <w:rPr>
                <w:color w:val="000000"/>
                <w:sz w:val="22"/>
                <w:szCs w:val="22"/>
              </w:rPr>
            </w:pPr>
            <w:r>
              <w:rPr>
                <w:color w:val="000000"/>
                <w:sz w:val="22"/>
                <w:szCs w:val="22"/>
              </w:rPr>
              <w:t>Q11 - Insert the word "material" prior to the term "non-compliance"</w:t>
            </w:r>
          </w:p>
        </w:tc>
        <w:tc>
          <w:tcPr>
            <w:tcW w:w="4600" w:type="dxa"/>
            <w:tcBorders>
              <w:top w:val="nil"/>
              <w:left w:val="nil"/>
              <w:bottom w:val="single" w:sz="4" w:space="0" w:color="auto"/>
              <w:right w:val="single" w:sz="8" w:space="0" w:color="auto"/>
            </w:tcBorders>
            <w:shd w:val="clear" w:color="auto" w:fill="auto"/>
            <w:hideMark/>
          </w:tcPr>
          <w:p w:rsidR="009E4893" w14:paraId="6C4FC089" w14:textId="77777777">
            <w:pPr>
              <w:rPr>
                <w:color w:val="000000"/>
                <w:sz w:val="22"/>
                <w:szCs w:val="22"/>
              </w:rPr>
            </w:pPr>
            <w:r>
              <w:rPr>
                <w:color w:val="000000"/>
                <w:sz w:val="22"/>
                <w:szCs w:val="22"/>
              </w:rPr>
              <w:t>The CDFI Fund rejects this recommendation as the inclusion of the word "material" could lead to the underreporting of relevant issues.</w:t>
            </w:r>
          </w:p>
        </w:tc>
      </w:tr>
      <w:tr w14:paraId="4D41D068" w14:textId="77777777" w:rsidTr="009E4893">
        <w:tblPrEx>
          <w:tblW w:w="13180" w:type="dxa"/>
          <w:tblLook w:val="04A0"/>
        </w:tblPrEx>
        <w:trPr>
          <w:trHeight w:val="1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18D6CF17" w14:textId="77777777">
            <w:pPr>
              <w:rPr>
                <w:color w:val="000000"/>
                <w:sz w:val="22"/>
                <w:szCs w:val="22"/>
              </w:rPr>
            </w:pPr>
            <w:r>
              <w:rPr>
                <w:color w:val="000000"/>
                <w:sz w:val="22"/>
                <w:szCs w:val="22"/>
              </w:rPr>
              <w:t xml:space="preserve">Julia </w:t>
            </w:r>
            <w:r>
              <w:rPr>
                <w:color w:val="000000"/>
                <w:sz w:val="22"/>
                <w:szCs w:val="22"/>
              </w:rPr>
              <w:t>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03D364E6" w14:textId="77777777">
            <w:pPr>
              <w:rPr>
                <w:color w:val="000000"/>
                <w:sz w:val="22"/>
                <w:szCs w:val="22"/>
              </w:rPr>
            </w:pPr>
            <w:r>
              <w:rPr>
                <w:color w:val="000000"/>
                <w:sz w:val="22"/>
                <w:szCs w:val="22"/>
              </w:rPr>
              <w:t>Midwest Minnesota 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5FD2803A" w14:textId="77777777">
            <w:pPr>
              <w:rPr>
                <w:color w:val="000000"/>
                <w:sz w:val="22"/>
                <w:szCs w:val="22"/>
              </w:rPr>
            </w:pPr>
            <w:r>
              <w:rPr>
                <w:color w:val="000000"/>
                <w:sz w:val="22"/>
                <w:szCs w:val="22"/>
              </w:rPr>
              <w:t>Q14 - We would appreciate more clarity here. Is this just the CDFI awardee, and shouldn't it pertain to CDFI Fund award funds specifically, and during the performance  period only?</w:t>
            </w:r>
          </w:p>
        </w:tc>
        <w:tc>
          <w:tcPr>
            <w:tcW w:w="4600" w:type="dxa"/>
            <w:tcBorders>
              <w:top w:val="single" w:sz="8" w:space="0" w:color="auto"/>
              <w:left w:val="nil"/>
              <w:bottom w:val="single" w:sz="4" w:space="0" w:color="auto"/>
              <w:right w:val="single" w:sz="8" w:space="0" w:color="auto"/>
            </w:tcBorders>
            <w:shd w:val="clear" w:color="auto" w:fill="auto"/>
            <w:hideMark/>
          </w:tcPr>
          <w:p w:rsidR="009E4893" w14:paraId="298E2583"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16A949BA" w14:textId="77777777" w:rsidTr="009E4893">
        <w:tblPrEx>
          <w:tblW w:w="13180" w:type="dxa"/>
          <w:tblLook w:val="04A0"/>
        </w:tblPrEx>
        <w:trPr>
          <w:trHeight w:val="1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70E4F9FF" w14:textId="77777777">
            <w:pPr>
              <w:rPr>
                <w:color w:val="000000"/>
                <w:sz w:val="22"/>
                <w:szCs w:val="22"/>
              </w:rPr>
            </w:pPr>
            <w:r>
              <w:rPr>
                <w:color w:val="000000"/>
                <w:sz w:val="22"/>
                <w:szCs w:val="22"/>
              </w:rPr>
              <w:t>Julia 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1B57B223" w14:textId="77777777">
            <w:pPr>
              <w:rPr>
                <w:color w:val="000000"/>
                <w:sz w:val="22"/>
                <w:szCs w:val="22"/>
              </w:rPr>
            </w:pPr>
            <w:r>
              <w:rPr>
                <w:color w:val="000000"/>
                <w:sz w:val="22"/>
                <w:szCs w:val="22"/>
              </w:rPr>
              <w:t>Midwest Minnesota 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0E599DFE" w14:textId="77777777">
            <w:pPr>
              <w:rPr>
                <w:color w:val="000000"/>
                <w:sz w:val="22"/>
                <w:szCs w:val="22"/>
              </w:rPr>
            </w:pPr>
            <w:r>
              <w:rPr>
                <w:color w:val="000000"/>
                <w:sz w:val="22"/>
                <w:szCs w:val="22"/>
              </w:rPr>
              <w:t xml:space="preserve">Q22 - Add "during the performance period of an </w:t>
            </w:r>
            <w:r>
              <w:rPr>
                <w:color w:val="000000"/>
                <w:sz w:val="22"/>
                <w:szCs w:val="22"/>
              </w:rPr>
              <w:t>allocation" at the close of the sentence</w:t>
            </w:r>
          </w:p>
        </w:tc>
        <w:tc>
          <w:tcPr>
            <w:tcW w:w="4600" w:type="dxa"/>
            <w:tcBorders>
              <w:top w:val="nil"/>
              <w:left w:val="nil"/>
              <w:bottom w:val="single" w:sz="4" w:space="0" w:color="auto"/>
              <w:right w:val="single" w:sz="8" w:space="0" w:color="auto"/>
            </w:tcBorders>
            <w:shd w:val="clear" w:color="auto" w:fill="auto"/>
            <w:hideMark/>
          </w:tcPr>
          <w:p w:rsidR="009E4893" w14:paraId="1F0ED25F" w14:textId="77777777">
            <w:pPr>
              <w:rPr>
                <w:color w:val="000000"/>
                <w:sz w:val="22"/>
                <w:szCs w:val="22"/>
              </w:rPr>
            </w:pPr>
            <w:r>
              <w:rPr>
                <w:color w:val="000000"/>
                <w:sz w:val="22"/>
                <w:szCs w:val="22"/>
              </w:rPr>
              <w:t>The CDFI Fund will revise the document to incorporate this recommendation.</w:t>
            </w:r>
          </w:p>
        </w:tc>
      </w:tr>
      <w:tr w14:paraId="17BBBC79" w14:textId="77777777" w:rsidTr="009E4893">
        <w:tblPrEx>
          <w:tblW w:w="13180" w:type="dxa"/>
          <w:tblLook w:val="04A0"/>
        </w:tblPrEx>
        <w:trPr>
          <w:trHeight w:val="1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777E156C" w14:textId="77777777">
            <w:pPr>
              <w:rPr>
                <w:color w:val="000000"/>
                <w:sz w:val="22"/>
                <w:szCs w:val="22"/>
              </w:rPr>
            </w:pPr>
            <w:r>
              <w:rPr>
                <w:color w:val="000000"/>
                <w:sz w:val="22"/>
                <w:szCs w:val="22"/>
              </w:rPr>
              <w:t>Julia Nelmark</w:t>
            </w:r>
          </w:p>
        </w:tc>
        <w:tc>
          <w:tcPr>
            <w:tcW w:w="1780" w:type="dxa"/>
            <w:tcBorders>
              <w:top w:val="nil"/>
              <w:left w:val="nil"/>
              <w:bottom w:val="single" w:sz="4" w:space="0" w:color="auto"/>
              <w:right w:val="single" w:sz="4" w:space="0" w:color="auto"/>
            </w:tcBorders>
            <w:shd w:val="clear" w:color="auto" w:fill="auto"/>
            <w:vAlign w:val="center"/>
            <w:hideMark/>
          </w:tcPr>
          <w:p w:rsidR="009E4893" w14:paraId="3B08BA8F" w14:textId="77777777">
            <w:pPr>
              <w:rPr>
                <w:color w:val="000000"/>
                <w:sz w:val="22"/>
                <w:szCs w:val="22"/>
              </w:rPr>
            </w:pPr>
            <w:r>
              <w:rPr>
                <w:color w:val="000000"/>
                <w:sz w:val="22"/>
                <w:szCs w:val="22"/>
              </w:rPr>
              <w:t>Midwest Minnesota Community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58E9D032" w14:textId="77777777">
            <w:pPr>
              <w:rPr>
                <w:color w:val="000000"/>
                <w:sz w:val="22"/>
                <w:szCs w:val="22"/>
              </w:rPr>
            </w:pPr>
            <w:r>
              <w:rPr>
                <w:color w:val="000000"/>
                <w:sz w:val="22"/>
                <w:szCs w:val="22"/>
              </w:rPr>
              <w:t xml:space="preserve">Q44 - Perhaps add "that could reasonably be expected to be" prior to </w:t>
            </w:r>
            <w:r>
              <w:rPr>
                <w:color w:val="000000"/>
                <w:sz w:val="22"/>
                <w:szCs w:val="22"/>
              </w:rPr>
              <w:t>"deemed relevant ... "</w:t>
            </w:r>
          </w:p>
        </w:tc>
        <w:tc>
          <w:tcPr>
            <w:tcW w:w="4600" w:type="dxa"/>
            <w:tcBorders>
              <w:top w:val="nil"/>
              <w:left w:val="nil"/>
              <w:bottom w:val="single" w:sz="4" w:space="0" w:color="auto"/>
              <w:right w:val="single" w:sz="8" w:space="0" w:color="auto"/>
            </w:tcBorders>
            <w:shd w:val="clear" w:color="auto" w:fill="auto"/>
            <w:hideMark/>
          </w:tcPr>
          <w:p w:rsidR="009E4893" w14:paraId="1CE4FC9C"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067DEAD3" w14:textId="77777777" w:rsidTr="009E4893">
        <w:tblPrEx>
          <w:tblW w:w="13180" w:type="dxa"/>
          <w:tblLook w:val="04A0"/>
        </w:tblPrEx>
        <w:trPr>
          <w:trHeight w:val="24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183A3298" w14:textId="77777777">
            <w:pPr>
              <w:rPr>
                <w:color w:val="000000"/>
                <w:sz w:val="22"/>
                <w:szCs w:val="22"/>
              </w:rPr>
            </w:pPr>
            <w:r>
              <w:rPr>
                <w:color w:val="000000"/>
                <w:sz w:val="22"/>
                <w:szCs w:val="22"/>
              </w:rPr>
              <w:t>Louise Cohen</w:t>
            </w:r>
          </w:p>
        </w:tc>
        <w:tc>
          <w:tcPr>
            <w:tcW w:w="1780" w:type="dxa"/>
            <w:tcBorders>
              <w:top w:val="nil"/>
              <w:left w:val="nil"/>
              <w:bottom w:val="single" w:sz="4" w:space="0" w:color="auto"/>
              <w:right w:val="single" w:sz="4" w:space="0" w:color="auto"/>
            </w:tcBorders>
            <w:shd w:val="clear" w:color="auto" w:fill="auto"/>
            <w:vAlign w:val="center"/>
            <w:hideMark/>
          </w:tcPr>
          <w:p w:rsidR="009E4893" w14:paraId="0BB3B362" w14:textId="77777777">
            <w:pPr>
              <w:rPr>
                <w:color w:val="000000"/>
                <w:sz w:val="22"/>
                <w:szCs w:val="22"/>
              </w:rPr>
            </w:pPr>
            <w:r>
              <w:rPr>
                <w:color w:val="000000"/>
                <w:sz w:val="22"/>
                <w:szCs w:val="22"/>
              </w:rPr>
              <w:t>Primary Care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07F578FE" w14:textId="77777777">
            <w:pPr>
              <w:rPr>
                <w:color w:val="000000"/>
                <w:sz w:val="22"/>
                <w:szCs w:val="22"/>
              </w:rPr>
            </w:pPr>
            <w:r>
              <w:rPr>
                <w:color w:val="000000"/>
                <w:sz w:val="22"/>
                <w:szCs w:val="22"/>
              </w:rPr>
              <w:t>Clarify the deadlines for when to submit the Material Event Forms. According to the proposed Material Event Form, “A Material Event must be reported within 30 days of the occurrence or as specified in the agreement(s) for the specific CDFI Fund program.” While these instructions are clear, it is unclear when the CDFI Fund considers the “occurrence” that would cause the need for a CDFI to submit a Material Events Form to have begun.</w:t>
            </w:r>
          </w:p>
        </w:tc>
        <w:tc>
          <w:tcPr>
            <w:tcW w:w="4600" w:type="dxa"/>
            <w:tcBorders>
              <w:top w:val="nil"/>
              <w:left w:val="nil"/>
              <w:bottom w:val="single" w:sz="4" w:space="0" w:color="auto"/>
              <w:right w:val="single" w:sz="8" w:space="0" w:color="auto"/>
            </w:tcBorders>
            <w:shd w:val="clear" w:color="auto" w:fill="auto"/>
            <w:hideMark/>
          </w:tcPr>
          <w:p w:rsidR="009E4893" w14:paraId="6F2F5933"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53FD78BE" w14:textId="77777777" w:rsidTr="009E4893">
        <w:tblPrEx>
          <w:tblW w:w="13180" w:type="dxa"/>
          <w:tblLook w:val="04A0"/>
        </w:tblPrEx>
        <w:trPr>
          <w:trHeight w:val="1215"/>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27A64658" w14:textId="77777777">
            <w:pPr>
              <w:rPr>
                <w:color w:val="000000"/>
                <w:sz w:val="22"/>
                <w:szCs w:val="22"/>
              </w:rPr>
            </w:pPr>
            <w:r>
              <w:rPr>
                <w:color w:val="000000"/>
                <w:sz w:val="22"/>
                <w:szCs w:val="22"/>
              </w:rPr>
              <w:t>Louise Cohen</w:t>
            </w:r>
          </w:p>
        </w:tc>
        <w:tc>
          <w:tcPr>
            <w:tcW w:w="1780" w:type="dxa"/>
            <w:tcBorders>
              <w:top w:val="nil"/>
              <w:left w:val="nil"/>
              <w:bottom w:val="single" w:sz="4" w:space="0" w:color="auto"/>
              <w:right w:val="single" w:sz="4" w:space="0" w:color="auto"/>
            </w:tcBorders>
            <w:shd w:val="clear" w:color="auto" w:fill="auto"/>
            <w:vAlign w:val="center"/>
            <w:hideMark/>
          </w:tcPr>
          <w:p w:rsidR="009E4893" w14:paraId="30E55F75" w14:textId="77777777">
            <w:pPr>
              <w:rPr>
                <w:color w:val="000000"/>
                <w:sz w:val="22"/>
                <w:szCs w:val="22"/>
              </w:rPr>
            </w:pPr>
            <w:r>
              <w:rPr>
                <w:color w:val="000000"/>
                <w:sz w:val="22"/>
                <w:szCs w:val="22"/>
              </w:rPr>
              <w:t>Primary Care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6A8BDBE6" w14:textId="77777777">
            <w:pPr>
              <w:rPr>
                <w:color w:val="000000"/>
                <w:sz w:val="22"/>
                <w:szCs w:val="22"/>
              </w:rPr>
            </w:pPr>
            <w:r>
              <w:rPr>
                <w:color w:val="000000"/>
                <w:sz w:val="22"/>
                <w:szCs w:val="22"/>
              </w:rPr>
              <w:t xml:space="preserve">Section 6 which outlines a “substantial change in the business of the Recipient/Borrower/Certified CDFI” as a material event. This is overly broad and a lack of a specific </w:t>
            </w:r>
            <w:r>
              <w:rPr>
                <w:color w:val="000000"/>
                <w:sz w:val="22"/>
                <w:szCs w:val="22"/>
              </w:rPr>
              <w:t>definition for the term.</w:t>
            </w:r>
          </w:p>
        </w:tc>
        <w:tc>
          <w:tcPr>
            <w:tcW w:w="4600" w:type="dxa"/>
            <w:tcBorders>
              <w:top w:val="nil"/>
              <w:left w:val="nil"/>
              <w:bottom w:val="single" w:sz="4" w:space="0" w:color="auto"/>
              <w:right w:val="single" w:sz="8" w:space="0" w:color="auto"/>
            </w:tcBorders>
            <w:shd w:val="clear" w:color="auto" w:fill="auto"/>
            <w:hideMark/>
          </w:tcPr>
          <w:p w:rsidR="009E4893" w14:paraId="128002F0"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15790951" w14:textId="77777777" w:rsidTr="009E4893">
        <w:tblPrEx>
          <w:tblW w:w="13180" w:type="dxa"/>
          <w:tblLook w:val="04A0"/>
        </w:tblPrEx>
        <w:trPr>
          <w:trHeight w:val="18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3E0DFCC5" w14:textId="77777777">
            <w:pPr>
              <w:rPr>
                <w:color w:val="000000"/>
                <w:sz w:val="22"/>
                <w:szCs w:val="22"/>
              </w:rPr>
            </w:pPr>
            <w:r>
              <w:rPr>
                <w:color w:val="000000"/>
                <w:sz w:val="22"/>
                <w:szCs w:val="22"/>
              </w:rPr>
              <w:t>Louise Cohen</w:t>
            </w:r>
          </w:p>
        </w:tc>
        <w:tc>
          <w:tcPr>
            <w:tcW w:w="1780" w:type="dxa"/>
            <w:tcBorders>
              <w:top w:val="nil"/>
              <w:left w:val="nil"/>
              <w:bottom w:val="single" w:sz="4" w:space="0" w:color="auto"/>
              <w:right w:val="single" w:sz="4" w:space="0" w:color="auto"/>
            </w:tcBorders>
            <w:shd w:val="clear" w:color="auto" w:fill="auto"/>
            <w:vAlign w:val="center"/>
            <w:hideMark/>
          </w:tcPr>
          <w:p w:rsidR="009E4893" w14:paraId="39A6F30C" w14:textId="77777777">
            <w:pPr>
              <w:rPr>
                <w:color w:val="000000"/>
                <w:sz w:val="22"/>
                <w:szCs w:val="22"/>
              </w:rPr>
            </w:pPr>
            <w:r>
              <w:rPr>
                <w:color w:val="000000"/>
                <w:sz w:val="22"/>
                <w:szCs w:val="22"/>
              </w:rPr>
              <w:t>Primary Care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54C6F943" w14:textId="77777777">
            <w:pPr>
              <w:rPr>
                <w:color w:val="000000"/>
                <w:sz w:val="22"/>
                <w:szCs w:val="22"/>
              </w:rPr>
            </w:pPr>
            <w:r>
              <w:rPr>
                <w:color w:val="000000"/>
                <w:sz w:val="22"/>
                <w:szCs w:val="22"/>
              </w:rPr>
              <w:t xml:space="preserve">Section 8 which outlines </w:t>
            </w:r>
            <w:r>
              <w:rPr>
                <w:color w:val="000000"/>
                <w:sz w:val="22"/>
                <w:szCs w:val="22"/>
              </w:rPr>
              <w:t>“violations of Federal criminal law involving fraud, bribery, or gratuity violations potentially affecting the Federal award or CDFI Certification status” as a material event. It isn’t clear whether a violation here means an informal accusation or finding, an indictment, or a conviction.</w:t>
            </w:r>
          </w:p>
        </w:tc>
        <w:tc>
          <w:tcPr>
            <w:tcW w:w="4600" w:type="dxa"/>
            <w:tcBorders>
              <w:top w:val="single" w:sz="8" w:space="0" w:color="auto"/>
              <w:left w:val="nil"/>
              <w:bottom w:val="single" w:sz="4" w:space="0" w:color="auto"/>
              <w:right w:val="single" w:sz="8" w:space="0" w:color="auto"/>
            </w:tcBorders>
            <w:shd w:val="clear" w:color="auto" w:fill="auto"/>
            <w:hideMark/>
          </w:tcPr>
          <w:p w:rsidR="009E4893" w14:paraId="70555A60" w14:textId="77777777">
            <w:pPr>
              <w:rPr>
                <w:color w:val="000000"/>
                <w:sz w:val="22"/>
                <w:szCs w:val="22"/>
              </w:rPr>
            </w:pPr>
            <w:r>
              <w:rPr>
                <w:color w:val="000000"/>
                <w:sz w:val="22"/>
                <w:szCs w:val="22"/>
              </w:rPr>
              <w:t>The CDFI Fund rejects this recommendation as the use of "convictions" may exclude noteworthy issues that might not have resulted in a criminal/civic conviction.</w:t>
            </w:r>
          </w:p>
        </w:tc>
      </w:tr>
      <w:tr w14:paraId="3811CEF3" w14:textId="77777777" w:rsidTr="009E4893">
        <w:tblPrEx>
          <w:tblW w:w="13180" w:type="dxa"/>
          <w:tblLook w:val="04A0"/>
        </w:tblPrEx>
        <w:trPr>
          <w:trHeight w:val="18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5F672664" w14:textId="77777777">
            <w:pPr>
              <w:rPr>
                <w:color w:val="000000"/>
                <w:sz w:val="22"/>
                <w:szCs w:val="22"/>
              </w:rPr>
            </w:pPr>
            <w:r>
              <w:rPr>
                <w:color w:val="000000"/>
                <w:sz w:val="22"/>
                <w:szCs w:val="22"/>
              </w:rPr>
              <w:t>Louise Cohen</w:t>
            </w:r>
          </w:p>
        </w:tc>
        <w:tc>
          <w:tcPr>
            <w:tcW w:w="1780" w:type="dxa"/>
            <w:tcBorders>
              <w:top w:val="nil"/>
              <w:left w:val="nil"/>
              <w:bottom w:val="single" w:sz="4" w:space="0" w:color="auto"/>
              <w:right w:val="single" w:sz="4" w:space="0" w:color="auto"/>
            </w:tcBorders>
            <w:shd w:val="clear" w:color="auto" w:fill="auto"/>
            <w:vAlign w:val="center"/>
            <w:hideMark/>
          </w:tcPr>
          <w:p w:rsidR="009E4893" w14:paraId="1338AC7D" w14:textId="77777777">
            <w:pPr>
              <w:rPr>
                <w:color w:val="000000"/>
                <w:sz w:val="22"/>
                <w:szCs w:val="22"/>
              </w:rPr>
            </w:pPr>
            <w:r>
              <w:rPr>
                <w:color w:val="000000"/>
                <w:sz w:val="22"/>
                <w:szCs w:val="22"/>
              </w:rPr>
              <w:t>Primary Care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003DE8F1" w14:textId="77777777">
            <w:pPr>
              <w:rPr>
                <w:color w:val="000000"/>
                <w:sz w:val="22"/>
                <w:szCs w:val="22"/>
              </w:rPr>
            </w:pPr>
            <w:r>
              <w:rPr>
                <w:color w:val="000000"/>
                <w:sz w:val="22"/>
                <w:szCs w:val="22"/>
              </w:rPr>
              <w:t>Section 11 which outlines “existence of any non-compliance with the terms and conditions of any loan or other credit agreement with a creditor other than the CDFI Fund” as a material event. This is overly broad and should include a more detailed definition of what an act of non-compliance would include.</w:t>
            </w:r>
          </w:p>
        </w:tc>
        <w:tc>
          <w:tcPr>
            <w:tcW w:w="4600" w:type="dxa"/>
            <w:tcBorders>
              <w:top w:val="nil"/>
              <w:left w:val="nil"/>
              <w:bottom w:val="single" w:sz="4" w:space="0" w:color="auto"/>
              <w:right w:val="single" w:sz="8" w:space="0" w:color="auto"/>
            </w:tcBorders>
            <w:shd w:val="clear" w:color="auto" w:fill="auto"/>
            <w:hideMark/>
          </w:tcPr>
          <w:p w:rsidR="009E4893" w14:paraId="621E1B7F"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200A75E0" w14:textId="77777777" w:rsidTr="009E4893">
        <w:tblPrEx>
          <w:tblW w:w="13180" w:type="dxa"/>
          <w:tblLook w:val="04A0"/>
        </w:tblPrEx>
        <w:trPr>
          <w:trHeight w:val="21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1E3D1327" w14:textId="77777777">
            <w:pPr>
              <w:rPr>
                <w:color w:val="000000"/>
                <w:sz w:val="22"/>
                <w:szCs w:val="22"/>
              </w:rPr>
            </w:pPr>
            <w:r>
              <w:rPr>
                <w:color w:val="000000"/>
                <w:sz w:val="22"/>
                <w:szCs w:val="22"/>
              </w:rPr>
              <w:t>Louise Cohen</w:t>
            </w:r>
          </w:p>
        </w:tc>
        <w:tc>
          <w:tcPr>
            <w:tcW w:w="1780" w:type="dxa"/>
            <w:tcBorders>
              <w:top w:val="nil"/>
              <w:left w:val="nil"/>
              <w:bottom w:val="single" w:sz="4" w:space="0" w:color="auto"/>
              <w:right w:val="single" w:sz="4" w:space="0" w:color="auto"/>
            </w:tcBorders>
            <w:shd w:val="clear" w:color="auto" w:fill="auto"/>
            <w:vAlign w:val="center"/>
            <w:hideMark/>
          </w:tcPr>
          <w:p w:rsidR="009E4893" w14:paraId="28146E99" w14:textId="77777777">
            <w:pPr>
              <w:rPr>
                <w:color w:val="000000"/>
                <w:sz w:val="22"/>
                <w:szCs w:val="22"/>
              </w:rPr>
            </w:pPr>
            <w:r>
              <w:rPr>
                <w:color w:val="000000"/>
                <w:sz w:val="22"/>
                <w:szCs w:val="22"/>
              </w:rPr>
              <w:t>Primary Care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32E3BC99" w14:textId="77777777">
            <w:pPr>
              <w:rPr>
                <w:color w:val="000000"/>
                <w:sz w:val="22"/>
                <w:szCs w:val="22"/>
              </w:rPr>
            </w:pPr>
            <w:r>
              <w:rPr>
                <w:color w:val="000000"/>
                <w:sz w:val="22"/>
                <w:szCs w:val="22"/>
              </w:rPr>
              <w:t xml:space="preserve">Section 40 </w:t>
            </w:r>
            <w:r>
              <w:rPr>
                <w:color w:val="000000"/>
                <w:sz w:val="22"/>
                <w:szCs w:val="22"/>
              </w:rPr>
              <w:t>which outlines “any event or change that could result in a material change to the information in any Schedule to the CDFI Certification Agreement” as a material event. This is overly broad and should provide examples of what events or changes that the CDFI Fund believes could result in any schedule to a CDFI Certification Agreement.</w:t>
            </w:r>
          </w:p>
        </w:tc>
        <w:tc>
          <w:tcPr>
            <w:tcW w:w="4600" w:type="dxa"/>
            <w:tcBorders>
              <w:top w:val="nil"/>
              <w:left w:val="nil"/>
              <w:bottom w:val="single" w:sz="4" w:space="0" w:color="auto"/>
              <w:right w:val="single" w:sz="8" w:space="0" w:color="auto"/>
            </w:tcBorders>
            <w:shd w:val="clear" w:color="auto" w:fill="auto"/>
            <w:hideMark/>
          </w:tcPr>
          <w:p w:rsidR="009E4893" w14:paraId="65C70B54" w14:textId="77777777">
            <w:pPr>
              <w:rPr>
                <w:color w:val="000000"/>
                <w:sz w:val="22"/>
                <w:szCs w:val="22"/>
              </w:rPr>
            </w:pPr>
            <w:r>
              <w:rPr>
                <w:color w:val="000000"/>
                <w:sz w:val="22"/>
                <w:szCs w:val="22"/>
              </w:rPr>
              <w:t>The CDFI Fund will review the CDFI Certification Agreement in assessing the merits of this recommendation.</w:t>
            </w:r>
          </w:p>
        </w:tc>
      </w:tr>
      <w:tr w14:paraId="16669D1D" w14:textId="77777777" w:rsidTr="009E4893">
        <w:tblPrEx>
          <w:tblW w:w="13180" w:type="dxa"/>
          <w:tblLook w:val="04A0"/>
        </w:tblPrEx>
        <w:trPr>
          <w:trHeight w:val="24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4C58DC7B" w14:textId="77777777">
            <w:pPr>
              <w:rPr>
                <w:color w:val="000000"/>
                <w:sz w:val="22"/>
                <w:szCs w:val="22"/>
              </w:rPr>
            </w:pPr>
            <w:r>
              <w:rPr>
                <w:color w:val="000000"/>
                <w:sz w:val="22"/>
                <w:szCs w:val="22"/>
              </w:rPr>
              <w:t>Louise Cohen</w:t>
            </w:r>
          </w:p>
        </w:tc>
        <w:tc>
          <w:tcPr>
            <w:tcW w:w="1780" w:type="dxa"/>
            <w:tcBorders>
              <w:top w:val="nil"/>
              <w:left w:val="nil"/>
              <w:bottom w:val="single" w:sz="4" w:space="0" w:color="auto"/>
              <w:right w:val="single" w:sz="4" w:space="0" w:color="auto"/>
            </w:tcBorders>
            <w:shd w:val="clear" w:color="auto" w:fill="auto"/>
            <w:vAlign w:val="center"/>
            <w:hideMark/>
          </w:tcPr>
          <w:p w:rsidR="009E4893" w14:paraId="080F26D1" w14:textId="77777777">
            <w:pPr>
              <w:rPr>
                <w:color w:val="000000"/>
                <w:sz w:val="22"/>
                <w:szCs w:val="22"/>
              </w:rPr>
            </w:pPr>
            <w:r>
              <w:rPr>
                <w:color w:val="000000"/>
                <w:sz w:val="22"/>
                <w:szCs w:val="22"/>
              </w:rPr>
              <w:t>Primary Care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4850C205" w14:textId="77777777">
            <w:pPr>
              <w:rPr>
                <w:color w:val="000000"/>
                <w:sz w:val="22"/>
                <w:szCs w:val="22"/>
              </w:rPr>
            </w:pPr>
            <w:r>
              <w:rPr>
                <w:color w:val="000000"/>
                <w:sz w:val="22"/>
                <w:szCs w:val="22"/>
              </w:rPr>
              <w:t xml:space="preserve">Section 43 </w:t>
            </w:r>
            <w:r>
              <w:rPr>
                <w:color w:val="000000"/>
                <w:sz w:val="22"/>
                <w:szCs w:val="22"/>
              </w:rPr>
              <w:t>which describes the CDFI Fund or another related entity “to be out of compliance with a Federal, State and/or local law or regulation” as a material event. This is overly broad and is missing an explanation or example of what noncompliance would meet the requirements of this section. In addition, PCDC urges the CDFI Fund to include examples of what federal, state, or local laws could be broken under this definition.</w:t>
            </w:r>
          </w:p>
        </w:tc>
        <w:tc>
          <w:tcPr>
            <w:tcW w:w="4600" w:type="dxa"/>
            <w:tcBorders>
              <w:top w:val="nil"/>
              <w:left w:val="nil"/>
              <w:bottom w:val="single" w:sz="4" w:space="0" w:color="auto"/>
              <w:right w:val="single" w:sz="8" w:space="0" w:color="auto"/>
            </w:tcBorders>
            <w:shd w:val="clear" w:color="auto" w:fill="auto"/>
            <w:hideMark/>
          </w:tcPr>
          <w:p w:rsidR="009E4893" w14:paraId="5D300618"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5462E175" w14:textId="77777777" w:rsidTr="009E4893">
        <w:tblPrEx>
          <w:tblW w:w="13180" w:type="dxa"/>
          <w:tblLook w:val="04A0"/>
        </w:tblPrEx>
        <w:trPr>
          <w:trHeight w:val="18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79A62591" w14:textId="77777777">
            <w:pPr>
              <w:rPr>
                <w:color w:val="000000"/>
                <w:sz w:val="22"/>
                <w:szCs w:val="22"/>
              </w:rPr>
            </w:pPr>
            <w:r>
              <w:rPr>
                <w:color w:val="000000"/>
                <w:sz w:val="22"/>
                <w:szCs w:val="22"/>
              </w:rPr>
              <w:t>Louise Cohen</w:t>
            </w:r>
          </w:p>
        </w:tc>
        <w:tc>
          <w:tcPr>
            <w:tcW w:w="1780" w:type="dxa"/>
            <w:tcBorders>
              <w:top w:val="nil"/>
              <w:left w:val="nil"/>
              <w:bottom w:val="single" w:sz="4" w:space="0" w:color="auto"/>
              <w:right w:val="single" w:sz="4" w:space="0" w:color="auto"/>
            </w:tcBorders>
            <w:shd w:val="clear" w:color="auto" w:fill="auto"/>
            <w:vAlign w:val="center"/>
            <w:hideMark/>
          </w:tcPr>
          <w:p w:rsidR="009E4893" w14:paraId="75FC292D" w14:textId="77777777">
            <w:pPr>
              <w:rPr>
                <w:color w:val="000000"/>
                <w:sz w:val="22"/>
                <w:szCs w:val="22"/>
              </w:rPr>
            </w:pPr>
            <w:r>
              <w:rPr>
                <w:color w:val="000000"/>
                <w:sz w:val="22"/>
                <w:szCs w:val="22"/>
              </w:rPr>
              <w:t>Primary Care Development Corporation</w:t>
            </w:r>
          </w:p>
        </w:tc>
        <w:tc>
          <w:tcPr>
            <w:tcW w:w="5560" w:type="dxa"/>
            <w:tcBorders>
              <w:top w:val="nil"/>
              <w:left w:val="nil"/>
              <w:bottom w:val="single" w:sz="4" w:space="0" w:color="auto"/>
              <w:right w:val="single" w:sz="4" w:space="0" w:color="auto"/>
            </w:tcBorders>
            <w:shd w:val="clear" w:color="auto" w:fill="auto"/>
            <w:hideMark/>
          </w:tcPr>
          <w:p w:rsidR="009E4893" w14:paraId="65C4AD24" w14:textId="77777777">
            <w:pPr>
              <w:rPr>
                <w:color w:val="000000"/>
                <w:sz w:val="22"/>
                <w:szCs w:val="22"/>
              </w:rPr>
            </w:pPr>
            <w:r>
              <w:rPr>
                <w:color w:val="000000"/>
                <w:sz w:val="22"/>
                <w:szCs w:val="22"/>
              </w:rPr>
              <w:t xml:space="preserve">We urge the CDFI Fund to consider the ramifications the newly proposed material events form can have on a lender’s ability to remain certified. While we </w:t>
            </w:r>
            <w:r>
              <w:rPr>
                <w:color w:val="000000"/>
                <w:sz w:val="22"/>
                <w:szCs w:val="22"/>
              </w:rPr>
              <w:t>agree with the intent of the changes, it would be a disservice to the mission of CDFI Fund and the communities that all CDFIs serve if lenders in good standing were unnecessarily decertified.</w:t>
            </w:r>
          </w:p>
        </w:tc>
        <w:tc>
          <w:tcPr>
            <w:tcW w:w="4600" w:type="dxa"/>
            <w:tcBorders>
              <w:top w:val="nil"/>
              <w:left w:val="nil"/>
              <w:bottom w:val="single" w:sz="4" w:space="0" w:color="auto"/>
              <w:right w:val="single" w:sz="8" w:space="0" w:color="auto"/>
            </w:tcBorders>
            <w:shd w:val="clear" w:color="auto" w:fill="auto"/>
            <w:hideMark/>
          </w:tcPr>
          <w:p w:rsidR="009E4893" w14:paraId="4533196A" w14:textId="77777777">
            <w:pPr>
              <w:rPr>
                <w:color w:val="000000"/>
                <w:sz w:val="22"/>
                <w:szCs w:val="22"/>
              </w:rPr>
            </w:pPr>
            <w:r>
              <w:rPr>
                <w:color w:val="000000"/>
                <w:sz w:val="22"/>
                <w:szCs w:val="22"/>
              </w:rPr>
              <w:t>The CDFI Fund will review the merits of this recommendation in revising supplemental guidance that supports the submission of the form and the CDFI/CDE Certification application.</w:t>
            </w:r>
          </w:p>
        </w:tc>
      </w:tr>
      <w:tr w14:paraId="3FF55149" w14:textId="77777777" w:rsidTr="009E4893">
        <w:tblPrEx>
          <w:tblW w:w="13180" w:type="dxa"/>
          <w:tblLook w:val="04A0"/>
        </w:tblPrEx>
        <w:trPr>
          <w:trHeight w:val="45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70701932" w14:textId="77777777">
            <w:pPr>
              <w:rPr>
                <w:color w:val="000000"/>
                <w:sz w:val="22"/>
                <w:szCs w:val="22"/>
              </w:rPr>
            </w:pPr>
            <w:r>
              <w:rPr>
                <w:color w:val="000000"/>
                <w:sz w:val="22"/>
                <w:szCs w:val="22"/>
              </w:rPr>
              <w:t>Daniel A. Nissenbaum</w:t>
            </w:r>
          </w:p>
        </w:tc>
        <w:tc>
          <w:tcPr>
            <w:tcW w:w="1780" w:type="dxa"/>
            <w:tcBorders>
              <w:top w:val="nil"/>
              <w:left w:val="nil"/>
              <w:bottom w:val="single" w:sz="4" w:space="0" w:color="auto"/>
              <w:right w:val="single" w:sz="4" w:space="0" w:color="auto"/>
            </w:tcBorders>
            <w:shd w:val="clear" w:color="auto" w:fill="auto"/>
            <w:vAlign w:val="center"/>
            <w:hideMark/>
          </w:tcPr>
          <w:p w:rsidR="009E4893" w14:paraId="17838F40" w14:textId="77777777">
            <w:pPr>
              <w:rPr>
                <w:color w:val="000000"/>
                <w:sz w:val="22"/>
                <w:szCs w:val="22"/>
              </w:rPr>
            </w:pPr>
            <w:r>
              <w:rPr>
                <w:color w:val="000000"/>
                <w:sz w:val="22"/>
                <w:szCs w:val="22"/>
              </w:rPr>
              <w:t>The Low Income Investment Fund</w:t>
            </w:r>
          </w:p>
        </w:tc>
        <w:tc>
          <w:tcPr>
            <w:tcW w:w="5560" w:type="dxa"/>
            <w:tcBorders>
              <w:top w:val="nil"/>
              <w:left w:val="nil"/>
              <w:bottom w:val="single" w:sz="4" w:space="0" w:color="auto"/>
              <w:right w:val="single" w:sz="4" w:space="0" w:color="auto"/>
            </w:tcBorders>
            <w:shd w:val="clear" w:color="auto" w:fill="auto"/>
            <w:hideMark/>
          </w:tcPr>
          <w:p w:rsidR="009E4893" w14:paraId="2D1B35EF" w14:textId="77777777">
            <w:pPr>
              <w:rPr>
                <w:color w:val="000000"/>
                <w:sz w:val="22"/>
                <w:szCs w:val="22"/>
              </w:rPr>
            </w:pPr>
            <w:r>
              <w:rPr>
                <w:color w:val="000000"/>
                <w:sz w:val="22"/>
                <w:szCs w:val="22"/>
              </w:rPr>
              <w:t xml:space="preserve">#5 – Replacement of Key Management Officials:  We request further clarity </w:t>
            </w:r>
            <w:r>
              <w:rPr>
                <w:color w:val="000000"/>
                <w:sz w:val="22"/>
                <w:szCs w:val="22"/>
              </w:rPr>
              <w:t>regarding the designation of “key management officials.” While examples provided include the Executive Director, Chief Financial Officer, and Board Chairperson, our organization frequently assigns significant management responsibility to positions such as Market Director or Head of Community Facilities, which may not carry traditional “C-level” titles. It would be helpful if the Fund could explicitly define what constitutes a key management official for the purposes of material event reporting and clarify h</w:t>
            </w:r>
            <w:r>
              <w:rPr>
                <w:color w:val="000000"/>
                <w:sz w:val="22"/>
                <w:szCs w:val="22"/>
              </w:rPr>
              <w:t>ow changes to roles not traditionally considered “executive” should be handled. Additionally, more explicit language identifying which changes to NMTC Advisory Board members would warrant a material event is recommended.</w:t>
            </w:r>
          </w:p>
        </w:tc>
        <w:tc>
          <w:tcPr>
            <w:tcW w:w="4600" w:type="dxa"/>
            <w:tcBorders>
              <w:top w:val="nil"/>
              <w:left w:val="nil"/>
              <w:bottom w:val="single" w:sz="4" w:space="0" w:color="auto"/>
              <w:right w:val="single" w:sz="8" w:space="0" w:color="auto"/>
            </w:tcBorders>
            <w:shd w:val="clear" w:color="auto" w:fill="auto"/>
            <w:hideMark/>
          </w:tcPr>
          <w:p w:rsidR="009E4893" w14:paraId="07F0E7B2"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1DDA63AA" w14:textId="77777777" w:rsidTr="009E4893">
        <w:tblPrEx>
          <w:tblW w:w="13180" w:type="dxa"/>
          <w:tblLook w:val="04A0"/>
        </w:tblPrEx>
        <w:trPr>
          <w:trHeight w:val="3915"/>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413C2B25" w14:textId="77777777">
            <w:pPr>
              <w:rPr>
                <w:color w:val="000000"/>
                <w:sz w:val="22"/>
                <w:szCs w:val="22"/>
              </w:rPr>
            </w:pPr>
            <w:r>
              <w:rPr>
                <w:color w:val="000000"/>
                <w:sz w:val="22"/>
                <w:szCs w:val="22"/>
              </w:rPr>
              <w:t>Daniel A. Nissenbaum</w:t>
            </w:r>
          </w:p>
        </w:tc>
        <w:tc>
          <w:tcPr>
            <w:tcW w:w="1780" w:type="dxa"/>
            <w:tcBorders>
              <w:top w:val="nil"/>
              <w:left w:val="nil"/>
              <w:bottom w:val="single" w:sz="4" w:space="0" w:color="auto"/>
              <w:right w:val="single" w:sz="4" w:space="0" w:color="auto"/>
            </w:tcBorders>
            <w:shd w:val="clear" w:color="auto" w:fill="auto"/>
            <w:vAlign w:val="center"/>
            <w:hideMark/>
          </w:tcPr>
          <w:p w:rsidR="009E4893" w14:paraId="3C500B2D" w14:textId="77777777">
            <w:pPr>
              <w:rPr>
                <w:color w:val="000000"/>
                <w:sz w:val="22"/>
                <w:szCs w:val="22"/>
              </w:rPr>
            </w:pPr>
            <w:r>
              <w:rPr>
                <w:color w:val="000000"/>
                <w:sz w:val="22"/>
                <w:szCs w:val="22"/>
              </w:rPr>
              <w:t>The Low Income Investment Fund</w:t>
            </w:r>
          </w:p>
        </w:tc>
        <w:tc>
          <w:tcPr>
            <w:tcW w:w="5560" w:type="dxa"/>
            <w:tcBorders>
              <w:top w:val="nil"/>
              <w:left w:val="nil"/>
              <w:bottom w:val="single" w:sz="4" w:space="0" w:color="auto"/>
              <w:right w:val="single" w:sz="4" w:space="0" w:color="auto"/>
            </w:tcBorders>
            <w:shd w:val="clear" w:color="auto" w:fill="auto"/>
            <w:hideMark/>
          </w:tcPr>
          <w:p w:rsidR="009E4893" w14:paraId="65C983EE" w14:textId="77777777">
            <w:pPr>
              <w:rPr>
                <w:color w:val="000000"/>
                <w:sz w:val="22"/>
                <w:szCs w:val="22"/>
              </w:rPr>
            </w:pPr>
            <w:r>
              <w:rPr>
                <w:color w:val="000000"/>
                <w:sz w:val="22"/>
                <w:szCs w:val="22"/>
              </w:rPr>
              <w:t xml:space="preserve">#12 – Findings of Noncompliance with Civil Rights Requirements. Further detail on the rational for </w:t>
            </w:r>
            <w:r>
              <w:rPr>
                <w:color w:val="000000"/>
                <w:sz w:val="22"/>
                <w:szCs w:val="22"/>
              </w:rPr>
              <w:t>the changes to this requirement would be helpful, particularly since prior language was generally consistent, for example, with provisions in the BGP loan agreement and CDFI certification agreement forms. We seek clarification regarding whether CDFI Fund agreement forms will be modified in tandem with the Material Event Form or if the changes are primarily driven by the recent implementation of requirements such as the Title VI compliance worksheet. Clear guidance on the interaction between updated civil ri</w:t>
            </w:r>
            <w:r>
              <w:rPr>
                <w:color w:val="000000"/>
                <w:sz w:val="22"/>
                <w:szCs w:val="22"/>
              </w:rPr>
              <w:t>ghts reporting requirements and existing agreement terms will be beneficial for compliance.</w:t>
            </w:r>
          </w:p>
        </w:tc>
        <w:tc>
          <w:tcPr>
            <w:tcW w:w="4600" w:type="dxa"/>
            <w:tcBorders>
              <w:top w:val="nil"/>
              <w:left w:val="nil"/>
              <w:bottom w:val="single" w:sz="4" w:space="0" w:color="auto"/>
              <w:right w:val="single" w:sz="8" w:space="0" w:color="auto"/>
            </w:tcBorders>
            <w:shd w:val="clear" w:color="auto" w:fill="auto"/>
            <w:hideMark/>
          </w:tcPr>
          <w:p w:rsidR="009E4893" w14:paraId="7ED71F58" w14:textId="77777777">
            <w:pPr>
              <w:rPr>
                <w:color w:val="000000"/>
                <w:sz w:val="22"/>
                <w:szCs w:val="22"/>
              </w:rPr>
            </w:pPr>
            <w:r>
              <w:rPr>
                <w:color w:val="000000"/>
                <w:sz w:val="22"/>
                <w:szCs w:val="22"/>
              </w:rPr>
              <w:t xml:space="preserve">The Certification of Material Event Form was modified with changes resulting from the implementation of new programs, modifications to existing Agreements and OMB requirements.  </w:t>
            </w:r>
          </w:p>
        </w:tc>
      </w:tr>
      <w:tr w14:paraId="5664CB1B" w14:textId="77777777" w:rsidTr="009E4893">
        <w:tblPrEx>
          <w:tblW w:w="13180" w:type="dxa"/>
          <w:tblLook w:val="04A0"/>
        </w:tblPrEx>
        <w:trPr>
          <w:trHeight w:val="36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9E4893" w14:paraId="5E2E2B6D" w14:textId="77777777">
            <w:pPr>
              <w:rPr>
                <w:color w:val="000000"/>
                <w:sz w:val="22"/>
                <w:szCs w:val="22"/>
              </w:rPr>
            </w:pPr>
            <w:r>
              <w:rPr>
                <w:color w:val="000000"/>
                <w:sz w:val="22"/>
                <w:szCs w:val="22"/>
              </w:rPr>
              <w:t>Daniel A. Nissenbaum</w:t>
            </w:r>
          </w:p>
        </w:tc>
        <w:tc>
          <w:tcPr>
            <w:tcW w:w="1780" w:type="dxa"/>
            <w:tcBorders>
              <w:top w:val="nil"/>
              <w:left w:val="nil"/>
              <w:bottom w:val="single" w:sz="4" w:space="0" w:color="auto"/>
              <w:right w:val="single" w:sz="4" w:space="0" w:color="auto"/>
            </w:tcBorders>
            <w:shd w:val="clear" w:color="auto" w:fill="auto"/>
            <w:vAlign w:val="center"/>
            <w:hideMark/>
          </w:tcPr>
          <w:p w:rsidR="009E4893" w14:paraId="2C44D70E" w14:textId="77777777">
            <w:pPr>
              <w:rPr>
                <w:color w:val="000000"/>
                <w:sz w:val="22"/>
                <w:szCs w:val="22"/>
              </w:rPr>
            </w:pPr>
            <w:r>
              <w:rPr>
                <w:color w:val="000000"/>
                <w:sz w:val="22"/>
                <w:szCs w:val="22"/>
              </w:rPr>
              <w:t>The Low Income Investment Fund</w:t>
            </w:r>
          </w:p>
        </w:tc>
        <w:tc>
          <w:tcPr>
            <w:tcW w:w="5560" w:type="dxa"/>
            <w:tcBorders>
              <w:top w:val="nil"/>
              <w:left w:val="nil"/>
              <w:bottom w:val="single" w:sz="4" w:space="0" w:color="auto"/>
              <w:right w:val="single" w:sz="4" w:space="0" w:color="auto"/>
            </w:tcBorders>
            <w:shd w:val="clear" w:color="auto" w:fill="auto"/>
            <w:hideMark/>
          </w:tcPr>
          <w:p w:rsidR="009E4893" w14:paraId="67FB017C" w14:textId="77777777">
            <w:pPr>
              <w:rPr>
                <w:color w:val="000000"/>
                <w:sz w:val="22"/>
                <w:szCs w:val="22"/>
              </w:rPr>
            </w:pPr>
            <w:r>
              <w:rPr>
                <w:color w:val="000000"/>
                <w:sz w:val="22"/>
                <w:szCs w:val="22"/>
              </w:rPr>
              <w:t xml:space="preserve">#13 – Changes to Banking Information in System for Award Management (SAM):  Please clarify the process and expectations regarding banking information in the System for Award Management (SAM). Specifically:  </w:t>
            </w:r>
            <w:r>
              <w:rPr>
                <w:color w:val="000000"/>
                <w:sz w:val="22"/>
                <w:szCs w:val="22"/>
              </w:rPr>
              <w:br/>
              <w:t>• If changes (including typographical corrections) to banking information occur, do all such changes constitute a material event requiring reporting, even when made to correct non-material errors?</w:t>
            </w:r>
            <w:r>
              <w:rPr>
                <w:color w:val="000000"/>
                <w:sz w:val="22"/>
                <w:szCs w:val="22"/>
              </w:rPr>
              <w:br/>
              <w:t>• As this information is managed outside our direct control, notification about changes may be delayed; how should entities handle inadvertent or delayed awareness of such changes?</w:t>
            </w:r>
          </w:p>
        </w:tc>
        <w:tc>
          <w:tcPr>
            <w:tcW w:w="4600" w:type="dxa"/>
            <w:tcBorders>
              <w:top w:val="single" w:sz="8" w:space="0" w:color="auto"/>
              <w:left w:val="nil"/>
              <w:bottom w:val="single" w:sz="4" w:space="0" w:color="auto"/>
              <w:right w:val="single" w:sz="8" w:space="0" w:color="auto"/>
            </w:tcBorders>
            <w:shd w:val="clear" w:color="auto" w:fill="auto"/>
            <w:hideMark/>
          </w:tcPr>
          <w:p w:rsidR="009E4893" w14:paraId="2374E43D" w14:textId="77777777">
            <w:pPr>
              <w:rPr>
                <w:color w:val="000000"/>
                <w:sz w:val="22"/>
                <w:szCs w:val="22"/>
              </w:rPr>
            </w:pPr>
            <w:r>
              <w:rPr>
                <w:color w:val="000000"/>
                <w:sz w:val="22"/>
                <w:szCs w:val="22"/>
              </w:rPr>
              <w:t>The CDFI Fund will review the merits of this recommendation in revising supplemental guidance that supports the submission of the form.</w:t>
            </w:r>
          </w:p>
        </w:tc>
      </w:tr>
      <w:tr w14:paraId="0870BD82" w14:textId="77777777" w:rsidTr="009E4893">
        <w:tblPrEx>
          <w:tblW w:w="13180" w:type="dxa"/>
          <w:tblLook w:val="04A0"/>
        </w:tblPrEx>
        <w:trPr>
          <w:trHeight w:val="2115"/>
        </w:trPr>
        <w:tc>
          <w:tcPr>
            <w:tcW w:w="1240" w:type="dxa"/>
            <w:tcBorders>
              <w:top w:val="nil"/>
              <w:left w:val="single" w:sz="8" w:space="0" w:color="auto"/>
              <w:bottom w:val="single" w:sz="8" w:space="0" w:color="auto"/>
              <w:right w:val="single" w:sz="4" w:space="0" w:color="auto"/>
            </w:tcBorders>
            <w:shd w:val="clear" w:color="auto" w:fill="auto"/>
            <w:vAlign w:val="center"/>
            <w:hideMark/>
          </w:tcPr>
          <w:p w:rsidR="009E4893" w14:paraId="73D0A791" w14:textId="77777777">
            <w:pPr>
              <w:rPr>
                <w:color w:val="000000"/>
                <w:sz w:val="22"/>
                <w:szCs w:val="22"/>
              </w:rPr>
            </w:pPr>
            <w:r>
              <w:rPr>
                <w:color w:val="000000"/>
                <w:sz w:val="22"/>
                <w:szCs w:val="22"/>
              </w:rPr>
              <w:t>Daniel A. Nissenbaum</w:t>
            </w:r>
          </w:p>
        </w:tc>
        <w:tc>
          <w:tcPr>
            <w:tcW w:w="1780" w:type="dxa"/>
            <w:tcBorders>
              <w:top w:val="nil"/>
              <w:left w:val="nil"/>
              <w:bottom w:val="single" w:sz="8" w:space="0" w:color="auto"/>
              <w:right w:val="single" w:sz="4" w:space="0" w:color="auto"/>
            </w:tcBorders>
            <w:shd w:val="clear" w:color="auto" w:fill="auto"/>
            <w:vAlign w:val="center"/>
            <w:hideMark/>
          </w:tcPr>
          <w:p w:rsidR="009E4893" w14:paraId="26B960EF" w14:textId="77777777">
            <w:pPr>
              <w:rPr>
                <w:color w:val="000000"/>
                <w:sz w:val="22"/>
                <w:szCs w:val="22"/>
              </w:rPr>
            </w:pPr>
            <w:r>
              <w:rPr>
                <w:color w:val="000000"/>
                <w:sz w:val="22"/>
                <w:szCs w:val="22"/>
              </w:rPr>
              <w:t>The Low Income</w:t>
            </w:r>
            <w:r>
              <w:rPr>
                <w:color w:val="000000"/>
                <w:sz w:val="22"/>
                <w:szCs w:val="22"/>
              </w:rPr>
              <w:t xml:space="preserve"> Investment Fund</w:t>
            </w:r>
          </w:p>
        </w:tc>
        <w:tc>
          <w:tcPr>
            <w:tcW w:w="5560" w:type="dxa"/>
            <w:tcBorders>
              <w:top w:val="nil"/>
              <w:left w:val="nil"/>
              <w:bottom w:val="single" w:sz="8" w:space="0" w:color="auto"/>
              <w:right w:val="single" w:sz="4" w:space="0" w:color="auto"/>
            </w:tcBorders>
            <w:shd w:val="clear" w:color="auto" w:fill="auto"/>
            <w:hideMark/>
          </w:tcPr>
          <w:p w:rsidR="009E4893" w14:paraId="30C88306" w14:textId="77777777">
            <w:pPr>
              <w:rPr>
                <w:color w:val="000000"/>
                <w:sz w:val="22"/>
                <w:szCs w:val="22"/>
              </w:rPr>
            </w:pPr>
            <w:r>
              <w:rPr>
                <w:color w:val="000000"/>
                <w:sz w:val="22"/>
                <w:szCs w:val="22"/>
              </w:rPr>
              <w:t>We recommend that the Certification of Material Events Form explicitly include all material events specified in relevant program agreements…Including all material event instances specifically called out in relevant program agreements will ensure consistency and completeness in reporting expectations.</w:t>
            </w:r>
          </w:p>
        </w:tc>
        <w:tc>
          <w:tcPr>
            <w:tcW w:w="4600" w:type="dxa"/>
            <w:tcBorders>
              <w:top w:val="nil"/>
              <w:left w:val="nil"/>
              <w:bottom w:val="single" w:sz="8" w:space="0" w:color="auto"/>
              <w:right w:val="single" w:sz="8" w:space="0" w:color="auto"/>
            </w:tcBorders>
            <w:shd w:val="clear" w:color="auto" w:fill="auto"/>
            <w:hideMark/>
          </w:tcPr>
          <w:p w:rsidR="009E4893" w:rsidP="009E4893" w14:paraId="17573AA0" w14:textId="77777777">
            <w:pPr>
              <w:keepNext/>
              <w:rPr>
                <w:color w:val="000000"/>
                <w:sz w:val="22"/>
                <w:szCs w:val="22"/>
              </w:rPr>
            </w:pPr>
            <w:r>
              <w:rPr>
                <w:color w:val="000000"/>
                <w:sz w:val="22"/>
                <w:szCs w:val="22"/>
              </w:rPr>
              <w:t>The CDFI Fund rejects this recommendation.  Including all Material Events across all programs creates an unnecessarily lengthy document. The CDFI Fund will continue to use supplemental documents, such a Frequently Asked Questions document, to detail pertinent and program specific Material Events.</w:t>
            </w:r>
          </w:p>
        </w:tc>
      </w:tr>
    </w:tbl>
    <w:p w:rsidR="00BB7125" w:rsidRPr="00BF2918" w:rsidP="006A79E1" w14:paraId="1FD37E2E" w14:textId="303513A5">
      <w:pPr>
        <w:pStyle w:val="Caption"/>
      </w:pPr>
    </w:p>
    <w:sectPr w:rsidSect="009E4893">
      <w:pgSz w:w="15840" w:h="12240" w:orient="landscape" w:code="1"/>
      <w:pgMar w:top="1440" w:right="1152" w:bottom="1440" w:left="1152"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3DB" w14:paraId="0084FEB2" w14:textId="77777777">
    <w:pPr>
      <w:pStyle w:val="Footer"/>
    </w:pPr>
  </w:p>
  <w:p w:rsidR="000553DB" w14:paraId="092B9C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EB1E9E0A"/>
    <w:lvl w:ilvl="0">
      <w:start w:val="1"/>
      <w:numFmt w:val="decimal"/>
      <w:pStyle w:val="ListNumber"/>
      <w:lvlText w:val="%1."/>
      <w:lvlJc w:val="left"/>
      <w:pPr>
        <w:tabs>
          <w:tab w:val="num" w:pos="360"/>
        </w:tabs>
        <w:ind w:left="360" w:hanging="360"/>
      </w:pPr>
    </w:lvl>
  </w:abstractNum>
  <w:abstractNum w:abstractNumId="1">
    <w:nsid w:val="FFFFFFFE"/>
    <w:multiLevelType w:val="singleLevel"/>
    <w:tmpl w:val="966AFA48"/>
    <w:lvl w:ilvl="0">
      <w:start w:val="0"/>
      <w:numFmt w:val="bullet"/>
      <w:lvlText w:val="*"/>
      <w:lvlJc w:val="left"/>
    </w:lvl>
  </w:abstractNum>
  <w:abstractNum w:abstractNumId="2">
    <w:nsid w:val="00BB2CC9"/>
    <w:multiLevelType w:val="hybridMultilevel"/>
    <w:tmpl w:val="6CB2758E"/>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6259C6"/>
    <w:multiLevelType w:val="multilevel"/>
    <w:tmpl w:val="C53E5E76"/>
    <w:lvl w:ilvl="0">
      <w:start w:val="2"/>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DE0DBE"/>
    <w:multiLevelType w:val="hybridMultilevel"/>
    <w:tmpl w:val="36826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988698C"/>
    <w:multiLevelType w:val="hybridMultilevel"/>
    <w:tmpl w:val="06FC409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8B048C"/>
    <w:multiLevelType w:val="hybridMultilevel"/>
    <w:tmpl w:val="39701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D01146C"/>
    <w:multiLevelType w:val="hybridMultilevel"/>
    <w:tmpl w:val="2F2C12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1592D97"/>
    <w:multiLevelType w:val="hybridMultilevel"/>
    <w:tmpl w:val="5274B62A"/>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4DF66D5"/>
    <w:multiLevelType w:val="multilevel"/>
    <w:tmpl w:val="91EEF9D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C37510"/>
    <w:multiLevelType w:val="hybridMultilevel"/>
    <w:tmpl w:val="FC3057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E7F12D1"/>
    <w:multiLevelType w:val="hybridMultilevel"/>
    <w:tmpl w:val="0D3ACCBA"/>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1574557"/>
    <w:multiLevelType w:val="hybridMultilevel"/>
    <w:tmpl w:val="2A100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17A7D63"/>
    <w:multiLevelType w:val="hybridMultilevel"/>
    <w:tmpl w:val="2828FA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F7077"/>
    <w:multiLevelType w:val="hybridMultilevel"/>
    <w:tmpl w:val="4E0EDDDA"/>
    <w:lvl w:ilvl="0">
      <w:start w:val="1"/>
      <w:numFmt w:val="bullet"/>
      <w:pStyle w:val="List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80"/>
        </w:tabs>
        <w:ind w:left="-180" w:hanging="360"/>
      </w:pPr>
      <w:rPr>
        <w:rFonts w:ascii="Symbol" w:hAnsi="Symbol" w:hint="default"/>
      </w:rPr>
    </w:lvl>
    <w:lvl w:ilvl="4" w:tentative="1">
      <w:start w:val="1"/>
      <w:numFmt w:val="bullet"/>
      <w:lvlText w:val="o"/>
      <w:lvlJc w:val="left"/>
      <w:pPr>
        <w:tabs>
          <w:tab w:val="num" w:pos="540"/>
        </w:tabs>
        <w:ind w:left="540" w:hanging="360"/>
      </w:pPr>
      <w:rPr>
        <w:rFonts w:ascii="Courier New" w:hAnsi="Courier New" w:cs="Courier New" w:hint="default"/>
      </w:rPr>
    </w:lvl>
    <w:lvl w:ilvl="5" w:tentative="1">
      <w:start w:val="1"/>
      <w:numFmt w:val="bullet"/>
      <w:lvlText w:val=""/>
      <w:lvlJc w:val="left"/>
      <w:pPr>
        <w:tabs>
          <w:tab w:val="num" w:pos="1260"/>
        </w:tabs>
        <w:ind w:left="1260" w:hanging="360"/>
      </w:pPr>
      <w:rPr>
        <w:rFonts w:ascii="Wingdings" w:hAnsi="Wingdings" w:hint="default"/>
      </w:rPr>
    </w:lvl>
    <w:lvl w:ilvl="6" w:tentative="1">
      <w:start w:val="1"/>
      <w:numFmt w:val="bullet"/>
      <w:lvlText w:val=""/>
      <w:lvlJc w:val="left"/>
      <w:pPr>
        <w:tabs>
          <w:tab w:val="num" w:pos="1980"/>
        </w:tabs>
        <w:ind w:left="1980" w:hanging="360"/>
      </w:pPr>
      <w:rPr>
        <w:rFonts w:ascii="Symbol" w:hAnsi="Symbol" w:hint="default"/>
      </w:rPr>
    </w:lvl>
    <w:lvl w:ilvl="7" w:tentative="1">
      <w:start w:val="1"/>
      <w:numFmt w:val="bullet"/>
      <w:lvlText w:val="o"/>
      <w:lvlJc w:val="left"/>
      <w:pPr>
        <w:tabs>
          <w:tab w:val="num" w:pos="2700"/>
        </w:tabs>
        <w:ind w:left="2700" w:hanging="360"/>
      </w:pPr>
      <w:rPr>
        <w:rFonts w:ascii="Courier New" w:hAnsi="Courier New" w:cs="Courier New" w:hint="default"/>
      </w:rPr>
    </w:lvl>
    <w:lvl w:ilvl="8" w:tentative="1">
      <w:start w:val="1"/>
      <w:numFmt w:val="bullet"/>
      <w:lvlText w:val=""/>
      <w:lvlJc w:val="left"/>
      <w:pPr>
        <w:tabs>
          <w:tab w:val="num" w:pos="3420"/>
        </w:tabs>
        <w:ind w:left="3420" w:hanging="360"/>
      </w:pPr>
      <w:rPr>
        <w:rFonts w:ascii="Wingdings" w:hAnsi="Wingdings" w:hint="default"/>
      </w:rPr>
    </w:lvl>
  </w:abstractNum>
  <w:abstractNum w:abstractNumId="16">
    <w:nsid w:val="25461A0C"/>
    <w:multiLevelType w:val="hybridMultilevel"/>
    <w:tmpl w:val="E7A426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25CC48E1"/>
    <w:multiLevelType w:val="multilevel"/>
    <w:tmpl w:val="3B9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1275CC"/>
    <w:multiLevelType w:val="hybridMultilevel"/>
    <w:tmpl w:val="E6E43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573B85"/>
    <w:multiLevelType w:val="hybridMultilevel"/>
    <w:tmpl w:val="496AED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9FC555A"/>
    <w:multiLevelType w:val="hybridMultilevel"/>
    <w:tmpl w:val="8934FE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706257"/>
    <w:multiLevelType w:val="singleLevel"/>
    <w:tmpl w:val="4858C190"/>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337A07AD"/>
    <w:multiLevelType w:val="hybridMultilevel"/>
    <w:tmpl w:val="E4B809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CB53B5F"/>
    <w:multiLevelType w:val="hybridMultilevel"/>
    <w:tmpl w:val="C1823A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E5F75BC"/>
    <w:multiLevelType w:val="hybridMultilevel"/>
    <w:tmpl w:val="F4C6F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750F23"/>
    <w:multiLevelType w:val="hybridMultilevel"/>
    <w:tmpl w:val="DCDC63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5062BB2"/>
    <w:multiLevelType w:val="hybridMultilevel"/>
    <w:tmpl w:val="22662A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90C135E"/>
    <w:multiLevelType w:val="hybridMultilevel"/>
    <w:tmpl w:val="614ACF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BDD2895"/>
    <w:multiLevelType w:val="hybridMultilevel"/>
    <w:tmpl w:val="179405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D93521A"/>
    <w:multiLevelType w:val="hybridMultilevel"/>
    <w:tmpl w:val="BEBA7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065636"/>
    <w:multiLevelType w:val="hybridMultilevel"/>
    <w:tmpl w:val="90E051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10C0798"/>
    <w:multiLevelType w:val="hybridMultilevel"/>
    <w:tmpl w:val="AE72F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2B07BDF"/>
    <w:multiLevelType w:val="hybridMultilevel"/>
    <w:tmpl w:val="D23E54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5ED3126"/>
    <w:multiLevelType w:val="hybridMultilevel"/>
    <w:tmpl w:val="7A823440"/>
    <w:lvl w:ilvl="0">
      <w:start w:val="1"/>
      <w:numFmt w:val="decimal"/>
      <w:lvlText w:val="(%1)"/>
      <w:lvlJc w:val="left"/>
      <w:pPr>
        <w:ind w:left="2505" w:hanging="1065"/>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C817B3A"/>
    <w:multiLevelType w:val="hybridMultilevel"/>
    <w:tmpl w:val="6EF2CB9E"/>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72B28C3"/>
    <w:multiLevelType w:val="hybridMultilevel"/>
    <w:tmpl w:val="FDE26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9C1807"/>
    <w:multiLevelType w:val="hybridMultilevel"/>
    <w:tmpl w:val="44A01F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901B3C"/>
    <w:multiLevelType w:val="hybridMultilevel"/>
    <w:tmpl w:val="E5DEFC38"/>
    <w:lvl w:ilvl="0">
      <w:start w:val="1"/>
      <w:numFmt w:val="lowerLetter"/>
      <w:lvlText w:val="%1."/>
      <w:lvlJc w:val="left"/>
      <w:pPr>
        <w:ind w:left="1440" w:hanging="360"/>
      </w:pPr>
      <w:rPr>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9FD6310"/>
    <w:multiLevelType w:val="hybridMultilevel"/>
    <w:tmpl w:val="46048F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AED54E5"/>
    <w:multiLevelType w:val="hybridMultilevel"/>
    <w:tmpl w:val="3DC4D1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723B217C"/>
    <w:multiLevelType w:val="hybridMultilevel"/>
    <w:tmpl w:val="AF528C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A590322"/>
    <w:multiLevelType w:val="hybridMultilevel"/>
    <w:tmpl w:val="C49C07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7BA379D6"/>
    <w:multiLevelType w:val="hybridMultilevel"/>
    <w:tmpl w:val="97EA8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9774826">
    <w:abstractNumId w:val="19"/>
  </w:num>
  <w:num w:numId="2" w16cid:durableId="1597906363">
    <w:abstractNumId w:val="38"/>
  </w:num>
  <w:num w:numId="3" w16cid:durableId="1078016276">
    <w:abstractNumId w:val="14"/>
  </w:num>
  <w:num w:numId="4" w16cid:durableId="1019508362">
    <w:abstractNumId w:val="41"/>
  </w:num>
  <w:num w:numId="5" w16cid:durableId="1218781209">
    <w:abstractNumId w:val="1"/>
    <w:lvlOverride w:ilvl="0">
      <w:lvl w:ilvl="0">
        <w:start w:val="0"/>
        <w:numFmt w:val="bullet"/>
        <w:lvlText w:val="•"/>
        <w:legacy w:legacy="1" w:legacySpace="0" w:legacyIndent="0"/>
        <w:lvlJc w:val="left"/>
        <w:rPr>
          <w:rFonts w:ascii="Times New Roman" w:hAnsi="Times New Roman" w:cs="Times New Roman" w:hint="default"/>
          <w:sz w:val="40"/>
        </w:rPr>
      </w:lvl>
    </w:lvlOverride>
  </w:num>
  <w:num w:numId="6" w16cid:durableId="1402096513">
    <w:abstractNumId w:val="39"/>
  </w:num>
  <w:num w:numId="7" w16cid:durableId="2140957270">
    <w:abstractNumId w:val="40"/>
  </w:num>
  <w:num w:numId="8" w16cid:durableId="2007131333">
    <w:abstractNumId w:val="13"/>
  </w:num>
  <w:num w:numId="9" w16cid:durableId="1415735534">
    <w:abstractNumId w:val="30"/>
  </w:num>
  <w:num w:numId="10" w16cid:durableId="1216353940">
    <w:abstractNumId w:val="7"/>
  </w:num>
  <w:num w:numId="11" w16cid:durableId="1514224845">
    <w:abstractNumId w:val="8"/>
  </w:num>
  <w:num w:numId="12" w16cid:durableId="1122384051">
    <w:abstractNumId w:val="26"/>
  </w:num>
  <w:num w:numId="13" w16cid:durableId="1523318822">
    <w:abstractNumId w:val="23"/>
  </w:num>
  <w:num w:numId="14" w16cid:durableId="1289320280">
    <w:abstractNumId w:val="32"/>
  </w:num>
  <w:num w:numId="15" w16cid:durableId="870605466">
    <w:abstractNumId w:val="22"/>
  </w:num>
  <w:num w:numId="16" w16cid:durableId="744381318">
    <w:abstractNumId w:val="5"/>
  </w:num>
  <w:num w:numId="17" w16cid:durableId="485122652">
    <w:abstractNumId w:val="16"/>
  </w:num>
  <w:num w:numId="18" w16cid:durableId="787241321">
    <w:abstractNumId w:val="27"/>
  </w:num>
  <w:num w:numId="19" w16cid:durableId="134610969">
    <w:abstractNumId w:val="12"/>
  </w:num>
  <w:num w:numId="20" w16cid:durableId="1360623940">
    <w:abstractNumId w:val="34"/>
  </w:num>
  <w:num w:numId="21" w16cid:durableId="1800760679">
    <w:abstractNumId w:val="2"/>
  </w:num>
  <w:num w:numId="22" w16cid:durableId="1096945341">
    <w:abstractNumId w:val="4"/>
  </w:num>
  <w:num w:numId="23" w16cid:durableId="1831284642">
    <w:abstractNumId w:val="10"/>
  </w:num>
  <w:num w:numId="24" w16cid:durableId="1879395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5354596">
    <w:abstractNumId w:val="9"/>
  </w:num>
  <w:num w:numId="26" w16cid:durableId="1238437500">
    <w:abstractNumId w:val="15"/>
  </w:num>
  <w:num w:numId="27" w16cid:durableId="669795650">
    <w:abstractNumId w:val="29"/>
  </w:num>
  <w:num w:numId="28" w16cid:durableId="1104401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0656950">
    <w:abstractNumId w:val="36"/>
  </w:num>
  <w:num w:numId="30" w16cid:durableId="951284134">
    <w:abstractNumId w:val="33"/>
  </w:num>
  <w:num w:numId="31" w16cid:durableId="2099128609">
    <w:abstractNumId w:val="28"/>
  </w:num>
  <w:num w:numId="32" w16cid:durableId="798835661">
    <w:abstractNumId w:val="17"/>
  </w:num>
  <w:num w:numId="33" w16cid:durableId="674069720">
    <w:abstractNumId w:val="35"/>
  </w:num>
  <w:num w:numId="34" w16cid:durableId="1914117135">
    <w:abstractNumId w:val="20"/>
  </w:num>
  <w:num w:numId="35" w16cid:durableId="1857889735">
    <w:abstractNumId w:val="6"/>
  </w:num>
  <w:num w:numId="36" w16cid:durableId="1004820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7847016">
    <w:abstractNumId w:val="24"/>
  </w:num>
  <w:num w:numId="38" w16cid:durableId="70930865">
    <w:abstractNumId w:val="21"/>
  </w:num>
  <w:num w:numId="39" w16cid:durableId="2102334490">
    <w:abstractNumId w:val="18"/>
  </w:num>
  <w:num w:numId="40" w16cid:durableId="1215432482">
    <w:abstractNumId w:val="42"/>
  </w:num>
  <w:num w:numId="41" w16cid:durableId="1559855095">
    <w:abstractNumId w:val="0"/>
  </w:num>
  <w:num w:numId="42" w16cid:durableId="1449884817">
    <w:abstractNumId w:val="11"/>
  </w:num>
  <w:num w:numId="43" w16cid:durableId="160127494">
    <w:abstractNumId w:val="37"/>
  </w:num>
  <w:num w:numId="44" w16cid:durableId="2049405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65"/>
    <w:rsid w:val="00000D04"/>
    <w:rsid w:val="0000177D"/>
    <w:rsid w:val="000045AB"/>
    <w:rsid w:val="00014267"/>
    <w:rsid w:val="00014644"/>
    <w:rsid w:val="000232D6"/>
    <w:rsid w:val="00026251"/>
    <w:rsid w:val="00026E20"/>
    <w:rsid w:val="00032638"/>
    <w:rsid w:val="000437D8"/>
    <w:rsid w:val="00047196"/>
    <w:rsid w:val="000553DB"/>
    <w:rsid w:val="000553E4"/>
    <w:rsid w:val="00057E35"/>
    <w:rsid w:val="000649E1"/>
    <w:rsid w:val="00064D46"/>
    <w:rsid w:val="00092059"/>
    <w:rsid w:val="00096986"/>
    <w:rsid w:val="000A05F4"/>
    <w:rsid w:val="000A19E0"/>
    <w:rsid w:val="000A3A67"/>
    <w:rsid w:val="000A508C"/>
    <w:rsid w:val="000A6445"/>
    <w:rsid w:val="000A688D"/>
    <w:rsid w:val="000B4174"/>
    <w:rsid w:val="000C3E57"/>
    <w:rsid w:val="000C4750"/>
    <w:rsid w:val="000D086E"/>
    <w:rsid w:val="000D6E89"/>
    <w:rsid w:val="000E4A22"/>
    <w:rsid w:val="000E65B3"/>
    <w:rsid w:val="000F3EAF"/>
    <w:rsid w:val="00105F67"/>
    <w:rsid w:val="0011419A"/>
    <w:rsid w:val="00120867"/>
    <w:rsid w:val="001246AA"/>
    <w:rsid w:val="001251AC"/>
    <w:rsid w:val="001315DE"/>
    <w:rsid w:val="00137541"/>
    <w:rsid w:val="0013785C"/>
    <w:rsid w:val="00160DD4"/>
    <w:rsid w:val="00170717"/>
    <w:rsid w:val="00170D18"/>
    <w:rsid w:val="00172335"/>
    <w:rsid w:val="0017416C"/>
    <w:rsid w:val="0017645E"/>
    <w:rsid w:val="00176B44"/>
    <w:rsid w:val="00180214"/>
    <w:rsid w:val="00186BB5"/>
    <w:rsid w:val="001B2812"/>
    <w:rsid w:val="001B7C69"/>
    <w:rsid w:val="001C2988"/>
    <w:rsid w:val="001C2F38"/>
    <w:rsid w:val="001C7117"/>
    <w:rsid w:val="001D08F4"/>
    <w:rsid w:val="001D509D"/>
    <w:rsid w:val="001E3350"/>
    <w:rsid w:val="001E78DA"/>
    <w:rsid w:val="001F0EC0"/>
    <w:rsid w:val="00200254"/>
    <w:rsid w:val="002067C2"/>
    <w:rsid w:val="00206FCF"/>
    <w:rsid w:val="00227D3F"/>
    <w:rsid w:val="00230F96"/>
    <w:rsid w:val="00231DBC"/>
    <w:rsid w:val="00243457"/>
    <w:rsid w:val="00244741"/>
    <w:rsid w:val="00254D94"/>
    <w:rsid w:val="00255F78"/>
    <w:rsid w:val="002722C6"/>
    <w:rsid w:val="00280F12"/>
    <w:rsid w:val="00283018"/>
    <w:rsid w:val="00286017"/>
    <w:rsid w:val="00290BC0"/>
    <w:rsid w:val="002A0C37"/>
    <w:rsid w:val="002C1506"/>
    <w:rsid w:val="002C19F7"/>
    <w:rsid w:val="002C38A1"/>
    <w:rsid w:val="002C5466"/>
    <w:rsid w:val="002D456E"/>
    <w:rsid w:val="002D52D9"/>
    <w:rsid w:val="002E67AF"/>
    <w:rsid w:val="002F0255"/>
    <w:rsid w:val="002F1DA1"/>
    <w:rsid w:val="00314BC8"/>
    <w:rsid w:val="00324325"/>
    <w:rsid w:val="00327AF0"/>
    <w:rsid w:val="00341DEE"/>
    <w:rsid w:val="00351E16"/>
    <w:rsid w:val="00353E90"/>
    <w:rsid w:val="00360A5D"/>
    <w:rsid w:val="00367E18"/>
    <w:rsid w:val="0037266D"/>
    <w:rsid w:val="00375E27"/>
    <w:rsid w:val="00376A5E"/>
    <w:rsid w:val="00377367"/>
    <w:rsid w:val="00382386"/>
    <w:rsid w:val="00382C30"/>
    <w:rsid w:val="00387220"/>
    <w:rsid w:val="00393C5D"/>
    <w:rsid w:val="003966F2"/>
    <w:rsid w:val="003A3F4B"/>
    <w:rsid w:val="003C0BF8"/>
    <w:rsid w:val="003C37BC"/>
    <w:rsid w:val="003D51AB"/>
    <w:rsid w:val="003D6AB5"/>
    <w:rsid w:val="003E0A7F"/>
    <w:rsid w:val="00407CA3"/>
    <w:rsid w:val="00410076"/>
    <w:rsid w:val="00412813"/>
    <w:rsid w:val="00413AC2"/>
    <w:rsid w:val="00415569"/>
    <w:rsid w:val="004169B3"/>
    <w:rsid w:val="004172F8"/>
    <w:rsid w:val="00424308"/>
    <w:rsid w:val="004274C4"/>
    <w:rsid w:val="00435D0B"/>
    <w:rsid w:val="00435F58"/>
    <w:rsid w:val="0043772C"/>
    <w:rsid w:val="0044236D"/>
    <w:rsid w:val="00456FEB"/>
    <w:rsid w:val="00464E7E"/>
    <w:rsid w:val="00474371"/>
    <w:rsid w:val="004772BC"/>
    <w:rsid w:val="00480095"/>
    <w:rsid w:val="004902D3"/>
    <w:rsid w:val="00492753"/>
    <w:rsid w:val="00492EF4"/>
    <w:rsid w:val="00493F48"/>
    <w:rsid w:val="00494E47"/>
    <w:rsid w:val="004960B9"/>
    <w:rsid w:val="00496548"/>
    <w:rsid w:val="00496914"/>
    <w:rsid w:val="004A20E8"/>
    <w:rsid w:val="004A26BA"/>
    <w:rsid w:val="004A6655"/>
    <w:rsid w:val="004B1858"/>
    <w:rsid w:val="004C01E2"/>
    <w:rsid w:val="004D1EA5"/>
    <w:rsid w:val="004D264D"/>
    <w:rsid w:val="004D4EBA"/>
    <w:rsid w:val="004D6429"/>
    <w:rsid w:val="004E6072"/>
    <w:rsid w:val="004F7A8C"/>
    <w:rsid w:val="00503DF1"/>
    <w:rsid w:val="00504C15"/>
    <w:rsid w:val="00505918"/>
    <w:rsid w:val="005159E7"/>
    <w:rsid w:val="0051685C"/>
    <w:rsid w:val="00517AFB"/>
    <w:rsid w:val="005233B0"/>
    <w:rsid w:val="00523E58"/>
    <w:rsid w:val="00523FC1"/>
    <w:rsid w:val="005276F3"/>
    <w:rsid w:val="00531515"/>
    <w:rsid w:val="00532DAC"/>
    <w:rsid w:val="0054372B"/>
    <w:rsid w:val="00555B2D"/>
    <w:rsid w:val="00561BD2"/>
    <w:rsid w:val="00570897"/>
    <w:rsid w:val="00570FBF"/>
    <w:rsid w:val="0057205B"/>
    <w:rsid w:val="00581F5B"/>
    <w:rsid w:val="00583333"/>
    <w:rsid w:val="00585199"/>
    <w:rsid w:val="00590163"/>
    <w:rsid w:val="00592666"/>
    <w:rsid w:val="00596C1A"/>
    <w:rsid w:val="005C2A25"/>
    <w:rsid w:val="005C2B8B"/>
    <w:rsid w:val="005C5014"/>
    <w:rsid w:val="005C679E"/>
    <w:rsid w:val="005C698F"/>
    <w:rsid w:val="005D7909"/>
    <w:rsid w:val="005E3B6B"/>
    <w:rsid w:val="005E6C26"/>
    <w:rsid w:val="005E7E0B"/>
    <w:rsid w:val="005F5581"/>
    <w:rsid w:val="005F5840"/>
    <w:rsid w:val="006019B0"/>
    <w:rsid w:val="0060657D"/>
    <w:rsid w:val="00610E95"/>
    <w:rsid w:val="00612216"/>
    <w:rsid w:val="00613557"/>
    <w:rsid w:val="00617B63"/>
    <w:rsid w:val="00620BCD"/>
    <w:rsid w:val="0062353C"/>
    <w:rsid w:val="00624186"/>
    <w:rsid w:val="00624680"/>
    <w:rsid w:val="00627679"/>
    <w:rsid w:val="00630FF1"/>
    <w:rsid w:val="0063182C"/>
    <w:rsid w:val="0063777B"/>
    <w:rsid w:val="00653A23"/>
    <w:rsid w:val="00654799"/>
    <w:rsid w:val="006554D0"/>
    <w:rsid w:val="006624C6"/>
    <w:rsid w:val="006644C7"/>
    <w:rsid w:val="00670AFC"/>
    <w:rsid w:val="006710D9"/>
    <w:rsid w:val="006739DD"/>
    <w:rsid w:val="0068130A"/>
    <w:rsid w:val="006845ED"/>
    <w:rsid w:val="00684A94"/>
    <w:rsid w:val="00692290"/>
    <w:rsid w:val="006A1641"/>
    <w:rsid w:val="006A169A"/>
    <w:rsid w:val="006A79E1"/>
    <w:rsid w:val="006A7A40"/>
    <w:rsid w:val="006B1B2B"/>
    <w:rsid w:val="006B278A"/>
    <w:rsid w:val="006B48E1"/>
    <w:rsid w:val="006B6CF2"/>
    <w:rsid w:val="006B7186"/>
    <w:rsid w:val="006C01CC"/>
    <w:rsid w:val="006C1151"/>
    <w:rsid w:val="006C1832"/>
    <w:rsid w:val="006C209F"/>
    <w:rsid w:val="006C3482"/>
    <w:rsid w:val="006C67B4"/>
    <w:rsid w:val="006D1EDC"/>
    <w:rsid w:val="006D1F6D"/>
    <w:rsid w:val="006E3EB6"/>
    <w:rsid w:val="006E4390"/>
    <w:rsid w:val="006F2609"/>
    <w:rsid w:val="006F46D3"/>
    <w:rsid w:val="006F5456"/>
    <w:rsid w:val="006F573A"/>
    <w:rsid w:val="006F6492"/>
    <w:rsid w:val="00702191"/>
    <w:rsid w:val="00705D65"/>
    <w:rsid w:val="0071027D"/>
    <w:rsid w:val="00714494"/>
    <w:rsid w:val="00715E1B"/>
    <w:rsid w:val="00721535"/>
    <w:rsid w:val="0072182D"/>
    <w:rsid w:val="00721919"/>
    <w:rsid w:val="00723EA7"/>
    <w:rsid w:val="0072462A"/>
    <w:rsid w:val="007366E2"/>
    <w:rsid w:val="007428C9"/>
    <w:rsid w:val="0074423D"/>
    <w:rsid w:val="00746067"/>
    <w:rsid w:val="0074721D"/>
    <w:rsid w:val="00751592"/>
    <w:rsid w:val="0075706F"/>
    <w:rsid w:val="0075747B"/>
    <w:rsid w:val="0076517E"/>
    <w:rsid w:val="007659E7"/>
    <w:rsid w:val="007748ED"/>
    <w:rsid w:val="007771F3"/>
    <w:rsid w:val="00777D73"/>
    <w:rsid w:val="00781A5E"/>
    <w:rsid w:val="00793D62"/>
    <w:rsid w:val="00794919"/>
    <w:rsid w:val="007961ED"/>
    <w:rsid w:val="007A4897"/>
    <w:rsid w:val="007A5D80"/>
    <w:rsid w:val="007B0A28"/>
    <w:rsid w:val="007B2735"/>
    <w:rsid w:val="007B3DBB"/>
    <w:rsid w:val="007B4B41"/>
    <w:rsid w:val="007B7E9C"/>
    <w:rsid w:val="007C1CB4"/>
    <w:rsid w:val="007C2CB4"/>
    <w:rsid w:val="007C5425"/>
    <w:rsid w:val="007C55E6"/>
    <w:rsid w:val="007D32DA"/>
    <w:rsid w:val="007D4D1E"/>
    <w:rsid w:val="007E4C5F"/>
    <w:rsid w:val="007F20CC"/>
    <w:rsid w:val="007F2BF3"/>
    <w:rsid w:val="007F43D1"/>
    <w:rsid w:val="008045A1"/>
    <w:rsid w:val="008153C4"/>
    <w:rsid w:val="00817F5C"/>
    <w:rsid w:val="0084478C"/>
    <w:rsid w:val="008477E4"/>
    <w:rsid w:val="008514C8"/>
    <w:rsid w:val="00853B03"/>
    <w:rsid w:val="008562D8"/>
    <w:rsid w:val="00856620"/>
    <w:rsid w:val="0085743A"/>
    <w:rsid w:val="00862485"/>
    <w:rsid w:val="00862500"/>
    <w:rsid w:val="00865A13"/>
    <w:rsid w:val="008754EE"/>
    <w:rsid w:val="00876707"/>
    <w:rsid w:val="00876830"/>
    <w:rsid w:val="00876D65"/>
    <w:rsid w:val="00896E42"/>
    <w:rsid w:val="008A1DFE"/>
    <w:rsid w:val="008B04B2"/>
    <w:rsid w:val="008B261D"/>
    <w:rsid w:val="008B6800"/>
    <w:rsid w:val="008C31A7"/>
    <w:rsid w:val="008C4314"/>
    <w:rsid w:val="008C54F8"/>
    <w:rsid w:val="008C68F4"/>
    <w:rsid w:val="008D22F5"/>
    <w:rsid w:val="008D295D"/>
    <w:rsid w:val="008D38A8"/>
    <w:rsid w:val="008D700F"/>
    <w:rsid w:val="008E52BB"/>
    <w:rsid w:val="008E71EA"/>
    <w:rsid w:val="008F6FEA"/>
    <w:rsid w:val="009070DD"/>
    <w:rsid w:val="00907903"/>
    <w:rsid w:val="0091121A"/>
    <w:rsid w:val="009210ED"/>
    <w:rsid w:val="009233D7"/>
    <w:rsid w:val="00923B7C"/>
    <w:rsid w:val="009326E4"/>
    <w:rsid w:val="0094095E"/>
    <w:rsid w:val="00942050"/>
    <w:rsid w:val="00943FE8"/>
    <w:rsid w:val="00947275"/>
    <w:rsid w:val="00950872"/>
    <w:rsid w:val="009640A7"/>
    <w:rsid w:val="00974252"/>
    <w:rsid w:val="009A3134"/>
    <w:rsid w:val="009A51BA"/>
    <w:rsid w:val="009C218A"/>
    <w:rsid w:val="009C6BDF"/>
    <w:rsid w:val="009D1868"/>
    <w:rsid w:val="009D291C"/>
    <w:rsid w:val="009D79C5"/>
    <w:rsid w:val="009E0E89"/>
    <w:rsid w:val="009E38AF"/>
    <w:rsid w:val="009E4893"/>
    <w:rsid w:val="009E6ECA"/>
    <w:rsid w:val="009F2150"/>
    <w:rsid w:val="009F4F9D"/>
    <w:rsid w:val="009F5566"/>
    <w:rsid w:val="009F569F"/>
    <w:rsid w:val="009F5A90"/>
    <w:rsid w:val="00A032E0"/>
    <w:rsid w:val="00A10C3B"/>
    <w:rsid w:val="00A15758"/>
    <w:rsid w:val="00A25516"/>
    <w:rsid w:val="00A30036"/>
    <w:rsid w:val="00A3323C"/>
    <w:rsid w:val="00A4751B"/>
    <w:rsid w:val="00A57F08"/>
    <w:rsid w:val="00A66679"/>
    <w:rsid w:val="00A7178A"/>
    <w:rsid w:val="00A76874"/>
    <w:rsid w:val="00A8220B"/>
    <w:rsid w:val="00A851B8"/>
    <w:rsid w:val="00A87F01"/>
    <w:rsid w:val="00A87F30"/>
    <w:rsid w:val="00A905F1"/>
    <w:rsid w:val="00A9498C"/>
    <w:rsid w:val="00AA59B2"/>
    <w:rsid w:val="00AB4458"/>
    <w:rsid w:val="00AB5E99"/>
    <w:rsid w:val="00AB6F76"/>
    <w:rsid w:val="00AC14AD"/>
    <w:rsid w:val="00AC6F80"/>
    <w:rsid w:val="00AD1B47"/>
    <w:rsid w:val="00AE0066"/>
    <w:rsid w:val="00AE1202"/>
    <w:rsid w:val="00AE1978"/>
    <w:rsid w:val="00AE7501"/>
    <w:rsid w:val="00AF4592"/>
    <w:rsid w:val="00B01142"/>
    <w:rsid w:val="00B01F4A"/>
    <w:rsid w:val="00B03195"/>
    <w:rsid w:val="00B155E7"/>
    <w:rsid w:val="00B16127"/>
    <w:rsid w:val="00B34A37"/>
    <w:rsid w:val="00B40D94"/>
    <w:rsid w:val="00B45CA0"/>
    <w:rsid w:val="00B47830"/>
    <w:rsid w:val="00B506C7"/>
    <w:rsid w:val="00B53D8C"/>
    <w:rsid w:val="00B56574"/>
    <w:rsid w:val="00B56DB2"/>
    <w:rsid w:val="00B578BE"/>
    <w:rsid w:val="00B67B74"/>
    <w:rsid w:val="00B70971"/>
    <w:rsid w:val="00B75324"/>
    <w:rsid w:val="00B83FCF"/>
    <w:rsid w:val="00B96323"/>
    <w:rsid w:val="00BA7ECF"/>
    <w:rsid w:val="00BB5950"/>
    <w:rsid w:val="00BB7125"/>
    <w:rsid w:val="00BC1079"/>
    <w:rsid w:val="00BC561C"/>
    <w:rsid w:val="00BD07AC"/>
    <w:rsid w:val="00BD331E"/>
    <w:rsid w:val="00BE3637"/>
    <w:rsid w:val="00BE516F"/>
    <w:rsid w:val="00BE781A"/>
    <w:rsid w:val="00BF2918"/>
    <w:rsid w:val="00BF4C35"/>
    <w:rsid w:val="00C07579"/>
    <w:rsid w:val="00C07C91"/>
    <w:rsid w:val="00C150B2"/>
    <w:rsid w:val="00C20FC3"/>
    <w:rsid w:val="00C21BF9"/>
    <w:rsid w:val="00C244AE"/>
    <w:rsid w:val="00C25C6D"/>
    <w:rsid w:val="00C30FA3"/>
    <w:rsid w:val="00C33DBF"/>
    <w:rsid w:val="00C36DA8"/>
    <w:rsid w:val="00C41E10"/>
    <w:rsid w:val="00C441FD"/>
    <w:rsid w:val="00C460E5"/>
    <w:rsid w:val="00C5083D"/>
    <w:rsid w:val="00C54B85"/>
    <w:rsid w:val="00C5669A"/>
    <w:rsid w:val="00C6791E"/>
    <w:rsid w:val="00C70B33"/>
    <w:rsid w:val="00C728E3"/>
    <w:rsid w:val="00C846CA"/>
    <w:rsid w:val="00C85B0C"/>
    <w:rsid w:val="00C86EAE"/>
    <w:rsid w:val="00C979D6"/>
    <w:rsid w:val="00CA323D"/>
    <w:rsid w:val="00CA7C28"/>
    <w:rsid w:val="00CB1CB3"/>
    <w:rsid w:val="00CB2BE6"/>
    <w:rsid w:val="00CB6B9E"/>
    <w:rsid w:val="00CC21B9"/>
    <w:rsid w:val="00CC62E4"/>
    <w:rsid w:val="00CD022D"/>
    <w:rsid w:val="00CF3BBF"/>
    <w:rsid w:val="00CF794D"/>
    <w:rsid w:val="00D00AF2"/>
    <w:rsid w:val="00D113A6"/>
    <w:rsid w:val="00D11DEA"/>
    <w:rsid w:val="00D1229E"/>
    <w:rsid w:val="00D13836"/>
    <w:rsid w:val="00D148B1"/>
    <w:rsid w:val="00D2066A"/>
    <w:rsid w:val="00D21053"/>
    <w:rsid w:val="00D2477B"/>
    <w:rsid w:val="00D2739C"/>
    <w:rsid w:val="00D30029"/>
    <w:rsid w:val="00D3138A"/>
    <w:rsid w:val="00D3259A"/>
    <w:rsid w:val="00D3468C"/>
    <w:rsid w:val="00D34852"/>
    <w:rsid w:val="00D35377"/>
    <w:rsid w:val="00D37CFD"/>
    <w:rsid w:val="00D45449"/>
    <w:rsid w:val="00D4641E"/>
    <w:rsid w:val="00D5305B"/>
    <w:rsid w:val="00D53F1A"/>
    <w:rsid w:val="00D57D4A"/>
    <w:rsid w:val="00D62924"/>
    <w:rsid w:val="00D63AF6"/>
    <w:rsid w:val="00D74052"/>
    <w:rsid w:val="00D81EB9"/>
    <w:rsid w:val="00D82392"/>
    <w:rsid w:val="00D85376"/>
    <w:rsid w:val="00D938E5"/>
    <w:rsid w:val="00D95556"/>
    <w:rsid w:val="00DA73BC"/>
    <w:rsid w:val="00DB31AB"/>
    <w:rsid w:val="00DB4A88"/>
    <w:rsid w:val="00DC0016"/>
    <w:rsid w:val="00DD4701"/>
    <w:rsid w:val="00DE2301"/>
    <w:rsid w:val="00DE4280"/>
    <w:rsid w:val="00DF2C07"/>
    <w:rsid w:val="00E06DAD"/>
    <w:rsid w:val="00E12D76"/>
    <w:rsid w:val="00E150E6"/>
    <w:rsid w:val="00E15B5A"/>
    <w:rsid w:val="00E1637F"/>
    <w:rsid w:val="00E1724F"/>
    <w:rsid w:val="00E21C1D"/>
    <w:rsid w:val="00E22C04"/>
    <w:rsid w:val="00E25E46"/>
    <w:rsid w:val="00E31EC4"/>
    <w:rsid w:val="00E326C4"/>
    <w:rsid w:val="00E35583"/>
    <w:rsid w:val="00E36910"/>
    <w:rsid w:val="00E36AD6"/>
    <w:rsid w:val="00E54150"/>
    <w:rsid w:val="00E56419"/>
    <w:rsid w:val="00E5737F"/>
    <w:rsid w:val="00E629BB"/>
    <w:rsid w:val="00E634E8"/>
    <w:rsid w:val="00E643A6"/>
    <w:rsid w:val="00E65315"/>
    <w:rsid w:val="00E73A77"/>
    <w:rsid w:val="00E745EA"/>
    <w:rsid w:val="00E803B8"/>
    <w:rsid w:val="00E8266B"/>
    <w:rsid w:val="00E844A5"/>
    <w:rsid w:val="00E91575"/>
    <w:rsid w:val="00E9241F"/>
    <w:rsid w:val="00E94216"/>
    <w:rsid w:val="00E94A8F"/>
    <w:rsid w:val="00E97CDE"/>
    <w:rsid w:val="00EA1115"/>
    <w:rsid w:val="00EA50B4"/>
    <w:rsid w:val="00EA56ED"/>
    <w:rsid w:val="00EA617A"/>
    <w:rsid w:val="00EA73BA"/>
    <w:rsid w:val="00EB1182"/>
    <w:rsid w:val="00EC15FE"/>
    <w:rsid w:val="00EC6BB4"/>
    <w:rsid w:val="00EC7922"/>
    <w:rsid w:val="00ED14E7"/>
    <w:rsid w:val="00ED408E"/>
    <w:rsid w:val="00ED70C0"/>
    <w:rsid w:val="00EE128E"/>
    <w:rsid w:val="00EE3929"/>
    <w:rsid w:val="00EF7A51"/>
    <w:rsid w:val="00EF7CBF"/>
    <w:rsid w:val="00F17609"/>
    <w:rsid w:val="00F20BED"/>
    <w:rsid w:val="00F2268F"/>
    <w:rsid w:val="00F25C8A"/>
    <w:rsid w:val="00F34BBD"/>
    <w:rsid w:val="00F42FF3"/>
    <w:rsid w:val="00F44191"/>
    <w:rsid w:val="00F551ED"/>
    <w:rsid w:val="00F62203"/>
    <w:rsid w:val="00F73BDE"/>
    <w:rsid w:val="00F811E6"/>
    <w:rsid w:val="00F81A37"/>
    <w:rsid w:val="00F82F64"/>
    <w:rsid w:val="00F87964"/>
    <w:rsid w:val="00F94C24"/>
    <w:rsid w:val="00F95467"/>
    <w:rsid w:val="00F97AD9"/>
    <w:rsid w:val="00FA188F"/>
    <w:rsid w:val="00FA3C2A"/>
    <w:rsid w:val="00FA6100"/>
    <w:rsid w:val="00FA6535"/>
    <w:rsid w:val="00FA7EBB"/>
    <w:rsid w:val="00FB3B83"/>
    <w:rsid w:val="00FC0466"/>
    <w:rsid w:val="00FC32FE"/>
    <w:rsid w:val="00FC4933"/>
    <w:rsid w:val="00FC57EE"/>
    <w:rsid w:val="00FD608A"/>
    <w:rsid w:val="00FE0621"/>
    <w:rsid w:val="00FE2CF4"/>
    <w:rsid w:val="00FE552D"/>
    <w:rsid w:val="00FF72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2A024"/>
  <w15:docId w15:val="{9DF54F76-DF34-49F1-96CA-FEDFFCB7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C04"/>
    <w:rPr>
      <w:sz w:val="24"/>
      <w:szCs w:val="24"/>
    </w:rPr>
  </w:style>
  <w:style w:type="paragraph" w:styleId="Heading1">
    <w:name w:val="heading 1"/>
    <w:basedOn w:val="Normal"/>
    <w:next w:val="Normal"/>
    <w:link w:val="Heading1Char"/>
    <w:qFormat/>
    <w:rsid w:val="00E94A8F"/>
    <w:pPr>
      <w:keepNext/>
      <w:outlineLvl w:val="0"/>
    </w:pPr>
    <w:rPr>
      <w:u w:val="single"/>
    </w:rPr>
  </w:style>
  <w:style w:type="paragraph" w:styleId="Heading2">
    <w:name w:val="heading 2"/>
    <w:basedOn w:val="Normal"/>
    <w:next w:val="Normal"/>
    <w:link w:val="Heading2Char"/>
    <w:qFormat/>
    <w:rsid w:val="00E94A8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link w:val="FootnoteTextChar"/>
    <w:rsid w:val="00E9241F"/>
    <w:rPr>
      <w:sz w:val="20"/>
      <w:szCs w:val="20"/>
    </w:rPr>
  </w:style>
  <w:style w:type="character" w:styleId="FootnoteReference">
    <w:name w:val="footnote reference"/>
    <w:rsid w:val="00E9241F"/>
    <w:rPr>
      <w:vertAlign w:val="superscript"/>
    </w:rPr>
  </w:style>
  <w:style w:type="character" w:styleId="Hyperlink">
    <w:name w:val="Hyperlink"/>
    <w:rsid w:val="007961ED"/>
    <w:rPr>
      <w:color w:val="0000FF"/>
      <w:u w:val="single"/>
    </w:rPr>
  </w:style>
  <w:style w:type="character" w:customStyle="1" w:styleId="HeaderChar">
    <w:name w:val="Header Char"/>
    <w:link w:val="Header"/>
    <w:uiPriority w:val="99"/>
    <w:rsid w:val="00464E7E"/>
    <w:rPr>
      <w:snapToGrid w:val="0"/>
      <w:sz w:val="24"/>
    </w:rPr>
  </w:style>
  <w:style w:type="character" w:customStyle="1" w:styleId="Heading1Char">
    <w:name w:val="Heading 1 Char"/>
    <w:link w:val="Heading1"/>
    <w:rsid w:val="00E94A8F"/>
    <w:rPr>
      <w:sz w:val="24"/>
      <w:szCs w:val="24"/>
      <w:u w:val="single"/>
    </w:rPr>
  </w:style>
  <w:style w:type="character" w:customStyle="1" w:styleId="Heading2Char">
    <w:name w:val="Heading 2 Char"/>
    <w:link w:val="Heading2"/>
    <w:rsid w:val="00E94A8F"/>
    <w:rPr>
      <w:b/>
      <w:bCs/>
      <w:sz w:val="24"/>
      <w:szCs w:val="24"/>
    </w:rPr>
  </w:style>
  <w:style w:type="paragraph" w:styleId="PlainText">
    <w:name w:val="Plain Text"/>
    <w:basedOn w:val="Normal"/>
    <w:link w:val="PlainTextChar"/>
    <w:uiPriority w:val="99"/>
    <w:unhideWhenUsed/>
    <w:rsid w:val="001251AC"/>
    <w:pPr>
      <w:overflowPunct w:val="0"/>
      <w:autoSpaceDE w:val="0"/>
      <w:autoSpaceDN w:val="0"/>
    </w:pPr>
    <w:rPr>
      <w:rFonts w:ascii="Courier New" w:eastAsia="Calibri" w:hAnsi="Courier New" w:cs="Courier New"/>
      <w:sz w:val="20"/>
      <w:szCs w:val="20"/>
    </w:rPr>
  </w:style>
  <w:style w:type="character" w:customStyle="1" w:styleId="PlainTextChar">
    <w:name w:val="Plain Text Char"/>
    <w:link w:val="PlainText"/>
    <w:uiPriority w:val="99"/>
    <w:rsid w:val="001251AC"/>
    <w:rPr>
      <w:rFonts w:ascii="Courier New" w:eastAsia="Calibri" w:hAnsi="Courier New" w:cs="Courier New"/>
    </w:rPr>
  </w:style>
  <w:style w:type="paragraph" w:styleId="ListParagraph">
    <w:name w:val="List Paragraph"/>
    <w:basedOn w:val="Normal"/>
    <w:link w:val="ListParagraphChar"/>
    <w:uiPriority w:val="34"/>
    <w:qFormat/>
    <w:rsid w:val="001251AC"/>
    <w:pPr>
      <w:ind w:left="720"/>
    </w:pPr>
    <w:rPr>
      <w:rFonts w:eastAsia="Calibri"/>
    </w:rPr>
  </w:style>
  <w:style w:type="character" w:customStyle="1" w:styleId="FooterChar">
    <w:name w:val="Footer Char"/>
    <w:link w:val="Footer"/>
    <w:uiPriority w:val="99"/>
    <w:rsid w:val="00A10C3B"/>
    <w:rPr>
      <w:sz w:val="24"/>
    </w:rPr>
  </w:style>
  <w:style w:type="character" w:styleId="CommentReference">
    <w:name w:val="annotation reference"/>
    <w:uiPriority w:val="99"/>
    <w:rsid w:val="002C38A1"/>
    <w:rPr>
      <w:sz w:val="16"/>
      <w:szCs w:val="16"/>
    </w:rPr>
  </w:style>
  <w:style w:type="paragraph" w:styleId="CommentText">
    <w:name w:val="annotation text"/>
    <w:basedOn w:val="Normal"/>
    <w:link w:val="CommentTextChar"/>
    <w:uiPriority w:val="99"/>
    <w:rsid w:val="002C38A1"/>
    <w:rPr>
      <w:sz w:val="20"/>
      <w:szCs w:val="20"/>
    </w:rPr>
  </w:style>
  <w:style w:type="character" w:customStyle="1" w:styleId="CommentTextChar">
    <w:name w:val="Comment Text Char"/>
    <w:basedOn w:val="DefaultParagraphFont"/>
    <w:link w:val="CommentText"/>
    <w:uiPriority w:val="99"/>
    <w:rsid w:val="002C38A1"/>
  </w:style>
  <w:style w:type="paragraph" w:styleId="CommentSubject">
    <w:name w:val="annotation subject"/>
    <w:basedOn w:val="CommentText"/>
    <w:next w:val="CommentText"/>
    <w:link w:val="CommentSubjectChar"/>
    <w:rsid w:val="002C38A1"/>
    <w:rPr>
      <w:b/>
      <w:bCs/>
    </w:rPr>
  </w:style>
  <w:style w:type="character" w:customStyle="1" w:styleId="CommentSubjectChar">
    <w:name w:val="Comment Subject Char"/>
    <w:link w:val="CommentSubject"/>
    <w:rsid w:val="002C38A1"/>
    <w:rPr>
      <w:b/>
      <w:bCs/>
    </w:rPr>
  </w:style>
  <w:style w:type="paragraph" w:styleId="ListBullet">
    <w:name w:val="List Bullet"/>
    <w:basedOn w:val="Normal"/>
    <w:rsid w:val="00EC6BB4"/>
    <w:pPr>
      <w:numPr>
        <w:numId w:val="26"/>
      </w:numPr>
    </w:pPr>
  </w:style>
  <w:style w:type="paragraph" w:styleId="NoSpacing">
    <w:name w:val="No Spacing"/>
    <w:uiPriority w:val="1"/>
    <w:qFormat/>
    <w:rsid w:val="002D456E"/>
    <w:rPr>
      <w:rFonts w:ascii="Calibri" w:eastAsia="Calibri" w:hAnsi="Calibri"/>
      <w:sz w:val="22"/>
      <w:szCs w:val="22"/>
    </w:rPr>
  </w:style>
  <w:style w:type="paragraph" w:customStyle="1" w:styleId="body">
    <w:name w:val="body"/>
    <w:basedOn w:val="Normal"/>
    <w:rsid w:val="002D456E"/>
    <w:pPr>
      <w:spacing w:before="100" w:beforeAutospacing="1" w:after="100" w:afterAutospacing="1" w:line="225" w:lineRule="atLeast"/>
    </w:pPr>
    <w:rPr>
      <w:rFonts w:ascii="Verdana" w:hAnsi="Verdana"/>
      <w:color w:val="112E7C"/>
      <w:sz w:val="18"/>
      <w:szCs w:val="18"/>
    </w:rPr>
  </w:style>
  <w:style w:type="character" w:customStyle="1" w:styleId="FootnoteTextChar">
    <w:name w:val="Footnote Text Char"/>
    <w:link w:val="FootnoteText"/>
    <w:rsid w:val="002D456E"/>
  </w:style>
  <w:style w:type="character" w:customStyle="1" w:styleId="A1">
    <w:name w:val="A1"/>
    <w:uiPriority w:val="99"/>
    <w:rsid w:val="002D456E"/>
    <w:rPr>
      <w:rFonts w:cs="DIN"/>
      <w:color w:val="FFC609"/>
      <w:sz w:val="26"/>
      <w:szCs w:val="26"/>
    </w:rPr>
  </w:style>
  <w:style w:type="paragraph" w:customStyle="1" w:styleId="Default">
    <w:name w:val="Default"/>
    <w:rsid w:val="00286017"/>
    <w:pPr>
      <w:autoSpaceDE w:val="0"/>
      <w:autoSpaceDN w:val="0"/>
      <w:adjustRightInd w:val="0"/>
    </w:pPr>
    <w:rPr>
      <w:rFonts w:eastAsia="Calibri"/>
      <w:color w:val="000000"/>
      <w:sz w:val="24"/>
      <w:szCs w:val="24"/>
    </w:rPr>
  </w:style>
  <w:style w:type="paragraph" w:customStyle="1" w:styleId="CM13">
    <w:name w:val="CM13"/>
    <w:basedOn w:val="Default"/>
    <w:next w:val="Default"/>
    <w:uiPriority w:val="99"/>
    <w:rsid w:val="00286017"/>
    <w:rPr>
      <w:color w:val="auto"/>
    </w:rPr>
  </w:style>
  <w:style w:type="character" w:styleId="FollowedHyperlink">
    <w:name w:val="FollowedHyperlink"/>
    <w:basedOn w:val="DefaultParagraphFont"/>
    <w:semiHidden/>
    <w:unhideWhenUsed/>
    <w:rsid w:val="009C6BDF"/>
    <w:rPr>
      <w:color w:val="800080" w:themeColor="followedHyperlink"/>
      <w:u w:val="single"/>
    </w:rPr>
  </w:style>
  <w:style w:type="paragraph" w:styleId="ListNumber">
    <w:name w:val="List Number"/>
    <w:basedOn w:val="Normal"/>
    <w:rsid w:val="00D3259A"/>
    <w:pPr>
      <w:numPr>
        <w:numId w:val="41"/>
      </w:numPr>
      <w:spacing w:before="20" w:after="20"/>
    </w:pPr>
    <w:rPr>
      <w:rFonts w:ascii="Arial" w:hAnsi="Arial" w:cs="Microsoft Sans Serif"/>
      <w:bCs/>
      <w:color w:val="333399"/>
      <w:sz w:val="22"/>
      <w:szCs w:val="20"/>
    </w:rPr>
  </w:style>
  <w:style w:type="table" w:styleId="TableGrid">
    <w:name w:val="Table Grid"/>
    <w:basedOn w:val="TableNormal"/>
    <w:uiPriority w:val="39"/>
    <w:rsid w:val="009A51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A51BA"/>
    <w:rPr>
      <w:rFonts w:eastAsia="Calibri"/>
      <w:sz w:val="24"/>
      <w:szCs w:val="24"/>
    </w:rPr>
  </w:style>
  <w:style w:type="paragraph" w:styleId="Caption">
    <w:name w:val="caption"/>
    <w:basedOn w:val="Normal"/>
    <w:next w:val="Normal"/>
    <w:unhideWhenUsed/>
    <w:qFormat/>
    <w:rsid w:val="00BA7EC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DOCDFI-22-498</_dlc_DocId>
    <_dlc_DocIdUrl xmlns="52222ef0-b167-44f5-92f7-438fda0857cd">
      <Url>https://my.treas.gov/collab/CDFI/CCM-E_Team_Site/_layouts/15/DocIdRedir.aspx?ID=DOCDFI-22-498</Url>
      <Description>DOCDFI-22-498</Description>
    </_dlc_DocIdUrl>
    <IconOverlay xmlns="http://schemas.microsoft.com/sharepoint/v4" xsi:nil="true"/>
  </documentManagement>
</p:properties>
</file>

<file path=customXml/item4.xml><?xml version="1.0" encoding="utf-8"?>
<?mso-contentType ?>
<SharedContentType xmlns="Microsoft.SharePoint.Taxonomy.ContentTypeSync" SourceId="358c94b6-0c1f-4fd9-98f4-f8d13a80f1e0"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7D63656E49FAB84693FC51F59DBCB6F9" ma:contentTypeVersion="18" ma:contentTypeDescription="Create a new document." ma:contentTypeScope="" ma:versionID="7b5f3ac3124c7cb32d5bc4900c6cacf8">
  <xsd:schema xmlns:xsd="http://www.w3.org/2001/XMLSchema" xmlns:xs="http://www.w3.org/2001/XMLSchema" xmlns:p="http://schemas.microsoft.com/office/2006/metadata/properties" xmlns:ns1="http://schemas.microsoft.com/sharepoint/v3" xmlns:ns2="52222ef0-b167-44f5-92f7-438fda0857cd" xmlns:ns3="http://schemas.microsoft.com/sharepoint/v4" xmlns:ns4="9da58997-1ce2-416c-a077-eeef73250519" targetNamespace="http://schemas.microsoft.com/office/2006/metadata/properties" ma:root="true" ma:fieldsID="3fdbbd502c6c49499fe6d90c61f99fc2" ns1:_="" ns2:_="" ns3:_="" ns4:_="">
    <xsd:import namespace="http://schemas.microsoft.com/sharepoint/v3"/>
    <xsd:import namespace="52222ef0-b167-44f5-92f7-438fda0857cd"/>
    <xsd:import namespace="http://schemas.microsoft.com/sharepoint/v4"/>
    <xsd:import namespace="9da58997-1ce2-416c-a077-eeef7325051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58997-1ce2-416c-a077-eeef732505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F0C2F3-DECB-4D5C-8CAD-C17732F99C03}">
  <ds:schemaRefs>
    <ds:schemaRef ds:uri="http://schemas.microsoft.com/sharepoint/v3/contenttype/forms"/>
  </ds:schemaRefs>
</ds:datastoreItem>
</file>

<file path=customXml/itemProps2.xml><?xml version="1.0" encoding="utf-8"?>
<ds:datastoreItem xmlns:ds="http://schemas.openxmlformats.org/officeDocument/2006/customXml" ds:itemID="{9F77F199-42F2-49D8-BF34-D38B49DC0C45}">
  <ds:schemaRefs>
    <ds:schemaRef ds:uri="http://schemas.openxmlformats.org/officeDocument/2006/bibliography"/>
  </ds:schemaRefs>
</ds:datastoreItem>
</file>

<file path=customXml/itemProps3.xml><?xml version="1.0" encoding="utf-8"?>
<ds:datastoreItem xmlns:ds="http://schemas.openxmlformats.org/officeDocument/2006/customXml" ds:itemID="{AC60AC90-4C2B-431A-8E47-E384766DA381}">
  <ds:schemaRefs>
    <ds:schemaRef ds:uri="http://schemas.microsoft.com/office/2006/metadata/properties"/>
    <ds:schemaRef ds:uri="52222ef0-b167-44f5-92f7-438fda0857cd"/>
    <ds:schemaRef ds:uri="http://purl.org/dc/dcmitype/"/>
    <ds:schemaRef ds:uri="http://www.w3.org/XML/1998/namespace"/>
    <ds:schemaRef ds:uri="http://schemas.microsoft.com/sharepoint/v3"/>
    <ds:schemaRef ds:uri="http://schemas.microsoft.com/office/2006/documentManagement/types"/>
    <ds:schemaRef ds:uri="http://purl.org/dc/elements/1.1/"/>
    <ds:schemaRef ds:uri="http://purl.org/dc/terms/"/>
    <ds:schemaRef ds:uri="9da58997-1ce2-416c-a077-eeef73250519"/>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6520D11F-21E0-4AAC-A1A6-75E2A6E3C60C}">
  <ds:schemaRefs>
    <ds:schemaRef ds:uri="Microsoft.SharePoint.Taxonomy.ContentTypeSync"/>
  </ds:schemaRefs>
</ds:datastoreItem>
</file>

<file path=customXml/itemProps5.xml><?xml version="1.0" encoding="utf-8"?>
<ds:datastoreItem xmlns:ds="http://schemas.openxmlformats.org/officeDocument/2006/customXml" ds:itemID="{B09FBA6C-054D-4958-BB93-E2FEE8E8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9da58997-1ce2-416c-a077-eeef7325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2B5CD2-F066-49CB-B927-EB671A5DA5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3894</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Approval Cover Memo Template</vt:lpstr>
    </vt:vector>
  </TitlesOfParts>
  <Company>U.S. Treasury Department</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Memo Template</dc:title>
  <dc:creator>MLENNON</dc:creator>
  <cp:lastModifiedBy>Clark, Spencer</cp:lastModifiedBy>
  <cp:revision>2</cp:revision>
  <cp:lastPrinted>2013-11-26T15:07:00Z</cp:lastPrinted>
  <dcterms:created xsi:type="dcterms:W3CDTF">2025-08-29T18:30:00Z</dcterms:created>
  <dcterms:modified xsi:type="dcterms:W3CDTF">2025-08-29T18:30:00Z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0x0101007D63656E49FAB84693FC51F59DBCB6F9</vt:lpwstr>
  </property>
  <property fmtid="{D5CDD505-2E9C-101B-9397-08002B2CF9AE}" pid="3" name="MSIP_Label_c9a1b251-8b9e-4059-8b96-32f7259f1931_ActionId">
    <vt:lpwstr>cd083db0-c09b-47ce-a36d-5f82d817cf53</vt:lpwstr>
  </property>
  <property fmtid="{D5CDD505-2E9C-101B-9397-08002B2CF9AE}" pid="4" name="MSIP_Label_c9a1b251-8b9e-4059-8b96-32f7259f1931_ContentBits">
    <vt:lpwstr>0</vt:lpwstr>
  </property>
  <property fmtid="{D5CDD505-2E9C-101B-9397-08002B2CF9AE}" pid="5" name="MSIP_Label_c9a1b251-8b9e-4059-8b96-32f7259f1931_Enabled">
    <vt:lpwstr>true</vt:lpwstr>
  </property>
  <property fmtid="{D5CDD505-2E9C-101B-9397-08002B2CF9AE}" pid="6" name="MSIP_Label_c9a1b251-8b9e-4059-8b96-32f7259f1931_Method">
    <vt:lpwstr>Standard</vt:lpwstr>
  </property>
  <property fmtid="{D5CDD505-2E9C-101B-9397-08002B2CF9AE}" pid="7" name="MSIP_Label_c9a1b251-8b9e-4059-8b96-32f7259f1931_Name">
    <vt:lpwstr>CUI Basic</vt:lpwstr>
  </property>
  <property fmtid="{D5CDD505-2E9C-101B-9397-08002B2CF9AE}" pid="8" name="MSIP_Label_c9a1b251-8b9e-4059-8b96-32f7259f1931_SetDate">
    <vt:lpwstr>2025-08-11T14:42:35Z</vt:lpwstr>
  </property>
  <property fmtid="{D5CDD505-2E9C-101B-9397-08002B2CF9AE}" pid="9" name="MSIP_Label_c9a1b251-8b9e-4059-8b96-32f7259f1931_SiteId">
    <vt:lpwstr>ab5eeca9-2540-4909-a9ee-17cb3edf5cec</vt:lpwstr>
  </property>
  <property fmtid="{D5CDD505-2E9C-101B-9397-08002B2CF9AE}" pid="10" name="MSIP_Label_c9a1b251-8b9e-4059-8b96-32f7259f1931_Tag">
    <vt:lpwstr>10, 3, 0, 1</vt:lpwstr>
  </property>
  <property fmtid="{D5CDD505-2E9C-101B-9397-08002B2CF9AE}" pid="11" name="_dlc_DocIdItemGuid">
    <vt:lpwstr>3e7487eb-02e8-45bb-8b98-4f9f02d5fdb1</vt:lpwstr>
  </property>
</Properties>
</file>