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69A7" w:rsidRPr="008058C0" w:rsidP="00093B97" w14:paraId="38B06D6D" w14:textId="3A6E7562">
      <w:pPr>
        <w:pStyle w:val="Title"/>
        <w:spacing w:line="276" w:lineRule="auto"/>
        <w:ind w:firstLine="720"/>
        <w:contextualSpacing/>
        <w:jc w:val="right"/>
        <w:rPr>
          <w:sz w:val="28"/>
          <w:szCs w:val="28"/>
        </w:rPr>
      </w:pPr>
      <w:r>
        <w:rPr>
          <w:sz w:val="28"/>
          <w:szCs w:val="28"/>
        </w:rPr>
        <w:t xml:space="preserve">August </w:t>
      </w:r>
      <w:r w:rsidR="0045634A">
        <w:rPr>
          <w:sz w:val="28"/>
          <w:szCs w:val="28"/>
        </w:rPr>
        <w:t>22</w:t>
      </w:r>
      <w:r w:rsidRPr="008058C0" w:rsidR="00F94BC0">
        <w:rPr>
          <w:sz w:val="28"/>
          <w:szCs w:val="28"/>
        </w:rPr>
        <w:t>, 2025</w:t>
      </w:r>
    </w:p>
    <w:p w:rsidR="001A69A7" w:rsidRPr="008058C0" w:rsidP="00093B97" w14:paraId="6362D2C6" w14:textId="77777777">
      <w:pPr>
        <w:pStyle w:val="Title"/>
        <w:spacing w:line="276" w:lineRule="auto"/>
        <w:contextualSpacing/>
        <w:rPr>
          <w:sz w:val="28"/>
          <w:szCs w:val="28"/>
        </w:rPr>
      </w:pPr>
    </w:p>
    <w:p w:rsidR="000A6018" w:rsidRPr="008058C0" w:rsidP="00093B97" w14:paraId="613CF083" w14:textId="77777777">
      <w:pPr>
        <w:pStyle w:val="Title"/>
        <w:spacing w:line="276" w:lineRule="auto"/>
        <w:contextualSpacing/>
        <w:rPr>
          <w:color w:val="000000" w:themeColor="text1"/>
        </w:rPr>
      </w:pPr>
      <w:r w:rsidRPr="008058C0">
        <w:t xml:space="preserve">Supporting </w:t>
      </w:r>
      <w:r w:rsidRPr="008058C0">
        <w:rPr>
          <w:color w:val="000000" w:themeColor="text1"/>
        </w:rPr>
        <w:t xml:space="preserve">Statement for </w:t>
      </w:r>
    </w:p>
    <w:p w:rsidR="00842E74" w:rsidRPr="008058C0" w:rsidP="00093B97" w14:paraId="79E3B1B8" w14:textId="77777777">
      <w:pPr>
        <w:pStyle w:val="Title"/>
        <w:spacing w:line="276" w:lineRule="auto"/>
        <w:contextualSpacing/>
        <w:rPr>
          <w:color w:val="000000" w:themeColor="text1"/>
        </w:rPr>
      </w:pPr>
      <w:r w:rsidRPr="008058C0">
        <w:rPr>
          <w:color w:val="000000" w:themeColor="text1"/>
        </w:rPr>
        <w:t>Paperwork Reduction Act Submissions</w:t>
      </w:r>
    </w:p>
    <w:p w:rsidR="00842E74" w:rsidRPr="00282424" w:rsidP="00093B97" w14:paraId="5B531B35" w14:textId="77777777">
      <w:pPr>
        <w:tabs>
          <w:tab w:val="left" w:pos="-720"/>
        </w:tabs>
        <w:suppressAutoHyphens/>
        <w:spacing w:line="276" w:lineRule="auto"/>
        <w:contextualSpacing/>
        <w:rPr>
          <w:b/>
          <w:color w:val="000000" w:themeColor="text1"/>
          <w:sz w:val="28"/>
        </w:rPr>
      </w:pPr>
    </w:p>
    <w:p w:rsidR="00842E74" w:rsidRPr="00282424" w:rsidP="00093B97" w14:paraId="1E479586" w14:textId="77777777">
      <w:pPr>
        <w:tabs>
          <w:tab w:val="left" w:pos="-720"/>
        </w:tabs>
        <w:suppressAutoHyphens/>
        <w:spacing w:line="276" w:lineRule="auto"/>
        <w:contextualSpacing/>
        <w:rPr>
          <w:b/>
          <w:color w:val="000000" w:themeColor="text1"/>
          <w:sz w:val="28"/>
        </w:rPr>
      </w:pPr>
      <w:r w:rsidRPr="00282424">
        <w:rPr>
          <w:b/>
          <w:color w:val="000000" w:themeColor="text1"/>
          <w:sz w:val="28"/>
        </w:rPr>
        <w:t>OMB Control Number:  1660</w:t>
      </w:r>
      <w:r w:rsidRPr="00282424" w:rsidR="0046431C">
        <w:rPr>
          <w:b/>
          <w:color w:val="000000" w:themeColor="text1"/>
          <w:sz w:val="28"/>
        </w:rPr>
        <w:t xml:space="preserve"> </w:t>
      </w:r>
      <w:r w:rsidRPr="00282424">
        <w:rPr>
          <w:b/>
          <w:color w:val="000000" w:themeColor="text1"/>
          <w:sz w:val="28"/>
        </w:rPr>
        <w:t>-</w:t>
      </w:r>
      <w:r w:rsidRPr="00282424" w:rsidR="0046431C">
        <w:rPr>
          <w:b/>
          <w:color w:val="000000" w:themeColor="text1"/>
          <w:sz w:val="28"/>
        </w:rPr>
        <w:t xml:space="preserve"> </w:t>
      </w:r>
      <w:r w:rsidRPr="00282424" w:rsidR="005C3CD2">
        <w:rPr>
          <w:b/>
          <w:color w:val="000000" w:themeColor="text1"/>
          <w:sz w:val="28"/>
        </w:rPr>
        <w:t>0086</w:t>
      </w:r>
    </w:p>
    <w:p w:rsidR="00842E74" w:rsidP="00093B97" w14:paraId="3B400448" w14:textId="77777777">
      <w:pPr>
        <w:tabs>
          <w:tab w:val="left" w:pos="-720"/>
        </w:tabs>
        <w:suppressAutoHyphens/>
        <w:spacing w:line="276" w:lineRule="auto"/>
        <w:contextualSpacing/>
        <w:rPr>
          <w:b/>
          <w:sz w:val="28"/>
        </w:rPr>
      </w:pPr>
    </w:p>
    <w:p w:rsidR="00842E74" w:rsidP="00093B97" w14:paraId="21F10664" w14:textId="20616399">
      <w:pPr>
        <w:tabs>
          <w:tab w:val="left" w:pos="-720"/>
        </w:tabs>
        <w:suppressAutoHyphens/>
        <w:spacing w:line="276" w:lineRule="auto"/>
        <w:contextualSpacing/>
        <w:rPr>
          <w:b/>
          <w:sz w:val="28"/>
        </w:rPr>
      </w:pPr>
      <w:r>
        <w:rPr>
          <w:b/>
          <w:sz w:val="28"/>
        </w:rPr>
        <w:t xml:space="preserve">Title:  </w:t>
      </w:r>
      <w:r w:rsidR="00683BDB">
        <w:rPr>
          <w:b/>
          <w:sz w:val="28"/>
        </w:rPr>
        <w:t>National Flood Insurance Program –</w:t>
      </w:r>
      <w:r w:rsidR="009E57EA">
        <w:rPr>
          <w:b/>
          <w:sz w:val="28"/>
        </w:rPr>
        <w:t>Ask the Advocate Web Form</w:t>
      </w:r>
    </w:p>
    <w:p w:rsidR="00842E74" w:rsidP="00093B97" w14:paraId="368EE1B3" w14:textId="77777777">
      <w:pPr>
        <w:tabs>
          <w:tab w:val="left" w:pos="-720"/>
        </w:tabs>
        <w:suppressAutoHyphens/>
        <w:spacing w:line="276" w:lineRule="auto"/>
        <w:contextualSpacing/>
        <w:rPr>
          <w:b/>
          <w:sz w:val="28"/>
        </w:rPr>
      </w:pPr>
    </w:p>
    <w:p w:rsidR="00842E74" w:rsidP="00093B97" w14:paraId="227572C9" w14:textId="551E6892">
      <w:pPr>
        <w:tabs>
          <w:tab w:val="left" w:pos="-720"/>
        </w:tabs>
        <w:suppressAutoHyphens/>
        <w:spacing w:line="276" w:lineRule="auto"/>
        <w:contextualSpacing/>
        <w:rPr>
          <w:sz w:val="28"/>
        </w:rPr>
      </w:pPr>
      <w:r>
        <w:rPr>
          <w:b/>
          <w:sz w:val="28"/>
        </w:rPr>
        <w:t xml:space="preserve">Form Number(s):  </w:t>
      </w:r>
      <w:r w:rsidR="00093B97">
        <w:rPr>
          <w:b/>
          <w:sz w:val="28"/>
        </w:rPr>
        <w:t xml:space="preserve">FEMA Form </w:t>
      </w:r>
      <w:r w:rsidRPr="00E64C40" w:rsidR="00093B97">
        <w:rPr>
          <w:b/>
          <w:color w:val="000000" w:themeColor="text1"/>
          <w:sz w:val="28"/>
        </w:rPr>
        <w:t>FF-</w:t>
      </w:r>
      <w:r w:rsidRPr="00E64C40" w:rsidR="00643DB7">
        <w:rPr>
          <w:b/>
          <w:color w:val="000000" w:themeColor="text1"/>
          <w:sz w:val="28"/>
        </w:rPr>
        <w:t>206</w:t>
      </w:r>
      <w:r w:rsidRPr="00E64C40" w:rsidR="00093B97">
        <w:rPr>
          <w:b/>
          <w:color w:val="000000" w:themeColor="text1"/>
          <w:sz w:val="28"/>
        </w:rPr>
        <w:t>-FY-</w:t>
      </w:r>
      <w:r w:rsidRPr="00E64C40" w:rsidR="00643DB7">
        <w:rPr>
          <w:b/>
          <w:color w:val="000000" w:themeColor="text1"/>
          <w:sz w:val="28"/>
        </w:rPr>
        <w:t>21</w:t>
      </w:r>
      <w:r w:rsidRPr="00E64C40" w:rsidR="00093B97">
        <w:rPr>
          <w:b/>
          <w:color w:val="000000" w:themeColor="text1"/>
          <w:sz w:val="28"/>
        </w:rPr>
        <w:t>-</w:t>
      </w:r>
      <w:r w:rsidRPr="00E64C40" w:rsidR="00643DB7">
        <w:rPr>
          <w:b/>
          <w:color w:val="000000" w:themeColor="text1"/>
          <w:sz w:val="28"/>
        </w:rPr>
        <w:t>121</w:t>
      </w:r>
      <w:r w:rsidR="00093B97">
        <w:rPr>
          <w:b/>
          <w:sz w:val="28"/>
        </w:rPr>
        <w:t>, Ask the Advocate Web Form</w:t>
      </w:r>
    </w:p>
    <w:p w:rsidR="00842E74" w:rsidP="00093B97" w14:paraId="0EC14BEF" w14:textId="77777777">
      <w:pPr>
        <w:tabs>
          <w:tab w:val="left" w:pos="-720"/>
        </w:tabs>
        <w:suppressAutoHyphens/>
        <w:spacing w:line="276" w:lineRule="auto"/>
        <w:contextualSpacing/>
      </w:pPr>
    </w:p>
    <w:p w:rsidR="00842E74" w:rsidP="00093B97" w14:paraId="288ACB2B" w14:textId="77777777">
      <w:pPr>
        <w:pStyle w:val="Heading1"/>
        <w:spacing w:line="276" w:lineRule="auto"/>
        <w:contextualSpacing/>
      </w:pPr>
      <w:r>
        <w:t>General Instructions</w:t>
      </w:r>
    </w:p>
    <w:p w:rsidR="00842E74" w:rsidP="00093B97" w14:paraId="6FA10510" w14:textId="77777777">
      <w:pPr>
        <w:tabs>
          <w:tab w:val="left" w:pos="-720"/>
        </w:tabs>
        <w:suppressAutoHyphens/>
        <w:spacing w:line="276" w:lineRule="auto"/>
        <w:contextualSpacing/>
      </w:pPr>
    </w:p>
    <w:p w:rsidR="00842E74" w:rsidP="00093B97" w14:paraId="0F4C2BDB" w14:textId="77777777">
      <w:pPr>
        <w:tabs>
          <w:tab w:val="left" w:pos="-720"/>
        </w:tabs>
        <w:suppressAutoHyphens/>
        <w:spacing w:line="276" w:lineRule="auto"/>
        <w:contextualSpacing/>
      </w:pPr>
      <w: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w:t>
      </w:r>
      <w:r w:rsidR="0082116E">
        <w:t>ect to any request for approval.</w:t>
      </w:r>
    </w:p>
    <w:p w:rsidR="00842E74" w:rsidP="00093B97" w14:paraId="783B198B" w14:textId="77777777">
      <w:pPr>
        <w:tabs>
          <w:tab w:val="left" w:pos="-720"/>
        </w:tabs>
        <w:suppressAutoHyphens/>
        <w:spacing w:line="276" w:lineRule="auto"/>
        <w:contextualSpacing/>
      </w:pPr>
    </w:p>
    <w:p w:rsidR="00842E74" w:rsidP="00093B97" w14:paraId="0E4FD10D" w14:textId="77777777">
      <w:pPr>
        <w:pStyle w:val="Heading1"/>
        <w:spacing w:line="276" w:lineRule="auto"/>
        <w:contextualSpacing/>
      </w:pPr>
      <w:r>
        <w:t>Specific Instructions</w:t>
      </w:r>
    </w:p>
    <w:p w:rsidR="00842E74" w:rsidP="00093B97" w14:paraId="27139466" w14:textId="77777777">
      <w:pPr>
        <w:tabs>
          <w:tab w:val="left" w:pos="-720"/>
        </w:tabs>
        <w:suppressAutoHyphens/>
        <w:spacing w:line="276" w:lineRule="auto"/>
        <w:contextualSpacing/>
      </w:pPr>
    </w:p>
    <w:p w:rsidR="00842E74" w:rsidP="00093B97" w14:paraId="3530DB22" w14:textId="77777777">
      <w:pPr>
        <w:pStyle w:val="Heading1"/>
        <w:spacing w:line="276" w:lineRule="auto"/>
        <w:contextualSpacing/>
        <w:rPr>
          <w:sz w:val="24"/>
        </w:rPr>
      </w:pPr>
      <w:r>
        <w:t>A.  Justification</w:t>
      </w:r>
    </w:p>
    <w:p w:rsidR="00842E74" w:rsidRPr="00093B97" w:rsidP="00093B97" w14:paraId="2E53652B" w14:textId="77777777">
      <w:pPr>
        <w:spacing w:line="276" w:lineRule="auto"/>
        <w:contextualSpacing/>
      </w:pPr>
    </w:p>
    <w:p w:rsidR="00842E74" w:rsidRPr="00093B97" w:rsidP="00093B97" w14:paraId="1976763E" w14:textId="77FA7144">
      <w:pPr>
        <w:pStyle w:val="ListParagraph"/>
        <w:spacing w:line="276" w:lineRule="auto"/>
        <w:ind w:left="0"/>
        <w:rPr>
          <w:b/>
          <w:bCs/>
          <w:color w:val="000000"/>
        </w:rPr>
      </w:pPr>
      <w:r w:rsidRPr="00093B97">
        <w:rPr>
          <w:b/>
          <w:bCs/>
        </w:rPr>
        <w:t xml:space="preserve">1. Explain </w:t>
      </w:r>
      <w:r w:rsidRPr="00093B97">
        <w:rPr>
          <w:b/>
          <w:bCs/>
        </w:rPr>
        <w:t>the circumstances that make the collection of information necessary</w:t>
      </w:r>
      <w:r w:rsidRPr="00093B97">
        <w:rPr>
          <w:b/>
          <w:bCs/>
          <w:color w:val="000000"/>
        </w:rPr>
        <w:t>.</w:t>
      </w:r>
      <w:r w:rsidRPr="00093B97" w:rsidR="00684225">
        <w:rPr>
          <w:b/>
          <w:bCs/>
        </w:rPr>
        <w:t xml:space="preserve">  </w:t>
      </w:r>
      <w:r w:rsidRPr="00093B97">
        <w:rPr>
          <w:b/>
          <w:bCs/>
        </w:rPr>
        <w:t>Identify any legal</w:t>
      </w:r>
      <w:r w:rsidRPr="00093B97" w:rsidR="006A4787">
        <w:rPr>
          <w:b/>
          <w:bCs/>
        </w:rPr>
        <w:t xml:space="preserve"> </w:t>
      </w:r>
      <w:r w:rsidRPr="00093B97">
        <w:rPr>
          <w:b/>
          <w:bCs/>
        </w:rPr>
        <w:t xml:space="preserve">or administrative requirements that necessitate the collection.  Attach a copy of the appropriate section of each statute and regulation mandating or authorizing the collection of information.  </w:t>
      </w:r>
      <w:r w:rsidRPr="00093B97">
        <w:rPr>
          <w:b/>
          <w:bCs/>
          <w:color w:val="000000"/>
        </w:rPr>
        <w:t xml:space="preserve">Provide a detailed description of the nature and source of the information to be collected.   </w:t>
      </w:r>
    </w:p>
    <w:p w:rsidR="00283B9B" w:rsidRPr="00093B97" w:rsidP="00093B97" w14:paraId="70A2DDB8" w14:textId="77777777">
      <w:pPr>
        <w:spacing w:line="276" w:lineRule="auto"/>
        <w:contextualSpacing/>
      </w:pPr>
    </w:p>
    <w:p w:rsidR="001F4AF0" w:rsidRPr="00093B97" w:rsidP="00093B97" w14:paraId="75D21136" w14:textId="7B64867F">
      <w:pPr>
        <w:spacing w:line="276" w:lineRule="auto"/>
        <w:contextualSpacing/>
      </w:pPr>
      <w:r w:rsidRPr="00093B97">
        <w:rPr>
          <w:color w:val="000000" w:themeColor="text1"/>
        </w:rPr>
        <w:t xml:space="preserve">Section 24 of the Homeowner Flood Insurance Affordability Act of 2014 </w:t>
      </w:r>
      <w:r w:rsidRPr="00093B97">
        <w:t>(</w:t>
      </w:r>
      <w:r w:rsidRPr="0028675E" w:rsidR="00D15642">
        <w:t>Pub</w:t>
      </w:r>
      <w:r w:rsidR="00D15642">
        <w:t>.</w:t>
      </w:r>
      <w:r w:rsidRPr="0028675E" w:rsidR="00D15642">
        <w:t xml:space="preserve"> L</w:t>
      </w:r>
      <w:r w:rsidR="00D15642">
        <w:t>.</w:t>
      </w:r>
      <w:r w:rsidRPr="0028675E" w:rsidR="00D15642">
        <w:t xml:space="preserve"> 113–89</w:t>
      </w:r>
      <w:r w:rsidR="00D15642">
        <w:t xml:space="preserve">, codified at </w:t>
      </w:r>
      <w:r w:rsidRPr="00093B97">
        <w:t>42 U</w:t>
      </w:r>
      <w:r w:rsidR="0028675E">
        <w:t>.</w:t>
      </w:r>
      <w:r w:rsidRPr="00093B97">
        <w:t>S</w:t>
      </w:r>
      <w:r w:rsidR="0028675E">
        <w:t>.</w:t>
      </w:r>
      <w:r w:rsidRPr="00093B97">
        <w:t>C</w:t>
      </w:r>
      <w:r w:rsidR="0028675E">
        <w:t>.</w:t>
      </w:r>
      <w:r w:rsidRPr="00093B97">
        <w:t xml:space="preserve"> 40</w:t>
      </w:r>
      <w:r w:rsidRPr="00093B97" w:rsidR="00AD661A">
        <w:t>33</w:t>
      </w:r>
      <w:r w:rsidRPr="00093B97">
        <w:t>)</w:t>
      </w:r>
      <w:r w:rsidRPr="00093B97" w:rsidR="00AA7ED2">
        <w:rPr>
          <w:color w:val="000000" w:themeColor="text1"/>
        </w:rPr>
        <w:t xml:space="preserve">, </w:t>
      </w:r>
      <w:r w:rsidRPr="00093B97" w:rsidR="001C135D">
        <w:t>require</w:t>
      </w:r>
      <w:r w:rsidRPr="00093B97" w:rsidR="00D00647">
        <w:t>s</w:t>
      </w:r>
      <w:r w:rsidRPr="00093B97" w:rsidR="001C135D">
        <w:t xml:space="preserve"> </w:t>
      </w:r>
      <w:r w:rsidR="00876F47">
        <w:t>the Federal Emergency Management Agency (</w:t>
      </w:r>
      <w:r w:rsidRPr="00093B97" w:rsidR="001C135D">
        <w:t>FEMA</w:t>
      </w:r>
      <w:r w:rsidR="00876F47">
        <w:t>)</w:t>
      </w:r>
      <w:r w:rsidRPr="00093B97" w:rsidR="001C135D">
        <w:t xml:space="preserve"> to </w:t>
      </w:r>
      <w:r w:rsidRPr="00093B97" w:rsidR="007B15F5">
        <w:t xml:space="preserve">designate </w:t>
      </w:r>
      <w:r w:rsidRPr="00093B97" w:rsidR="001C135D">
        <w:t xml:space="preserve">a </w:t>
      </w:r>
      <w:r w:rsidRPr="00093B97" w:rsidR="00B14C40">
        <w:t xml:space="preserve">Flood Insurance Advocate </w:t>
      </w:r>
      <w:r w:rsidRPr="00093B97" w:rsidR="007621E8">
        <w:rPr>
          <w:color w:val="000000" w:themeColor="text1"/>
        </w:rPr>
        <w:t>that would advocate</w:t>
      </w:r>
      <w:r w:rsidRPr="00093B97" w:rsidR="00DD3543">
        <w:t xml:space="preserve"> for the fair treatment of</w:t>
      </w:r>
      <w:r w:rsidR="00445021">
        <w:t xml:space="preserve"> National Flood Insurance Program (</w:t>
      </w:r>
      <w:r w:rsidRPr="00093B97" w:rsidR="007621E8">
        <w:t>NFIP</w:t>
      </w:r>
      <w:r w:rsidR="00445021">
        <w:t>)</w:t>
      </w:r>
      <w:r w:rsidRPr="00093B97" w:rsidR="007621E8">
        <w:t xml:space="preserve"> </w:t>
      </w:r>
      <w:r w:rsidRPr="00093B97" w:rsidR="00DD3543">
        <w:t xml:space="preserve">policyholders and property </w:t>
      </w:r>
      <w:r w:rsidRPr="00093B97" w:rsidR="00DD3543">
        <w:t>owners by</w:t>
      </w:r>
      <w:r w:rsidRPr="00093B97" w:rsidR="007621E8">
        <w:t>: (1)</w:t>
      </w:r>
      <w:r w:rsidRPr="00093B97" w:rsidR="00DD3543">
        <w:t xml:space="preserve"> providing education and guidance on all aspects of the NFIP, </w:t>
      </w:r>
      <w:r w:rsidRPr="00093B97" w:rsidR="007621E8">
        <w:t xml:space="preserve">(2) </w:t>
      </w:r>
      <w:r w:rsidRPr="00093B97" w:rsidR="00DD3543">
        <w:t xml:space="preserve">identifying trends affecting the public, and </w:t>
      </w:r>
      <w:r w:rsidRPr="00093B97" w:rsidR="007621E8">
        <w:t xml:space="preserve">(3) </w:t>
      </w:r>
      <w:r w:rsidRPr="00093B97" w:rsidR="00DD3543">
        <w:t xml:space="preserve">making recommendations for </w:t>
      </w:r>
      <w:r w:rsidRPr="00093B97" w:rsidR="007621E8">
        <w:t xml:space="preserve">NFIP </w:t>
      </w:r>
      <w:r w:rsidRPr="00093B97" w:rsidR="00DD3543">
        <w:t>program improvements to FEMA leadership</w:t>
      </w:r>
      <w:r w:rsidRPr="00093B97" w:rsidR="001B5F8C">
        <w:t>.</w:t>
      </w:r>
      <w:r w:rsidRPr="00093B97">
        <w:t xml:space="preserve">  Pursuant to this authority, </w:t>
      </w:r>
      <w:r w:rsidRPr="00093B97" w:rsidR="00AA7ED2">
        <w:t xml:space="preserve">FEMA </w:t>
      </w:r>
      <w:r w:rsidRPr="00093B97" w:rsidR="000A4D35">
        <w:t xml:space="preserve">established </w:t>
      </w:r>
      <w:r w:rsidRPr="00093B97" w:rsidR="00AA7ED2">
        <w:t xml:space="preserve">the Office of the Flood Insurance Advocate </w:t>
      </w:r>
      <w:r w:rsidRPr="00093B97" w:rsidR="007621E8">
        <w:t xml:space="preserve">(OFIA) </w:t>
      </w:r>
      <w:r w:rsidRPr="00093B97" w:rsidR="00AA7ED2">
        <w:t>on December 22, 2014.</w:t>
      </w:r>
    </w:p>
    <w:p w:rsidR="001F4AF0" w:rsidRPr="00093B97" w:rsidP="00093B97" w14:paraId="5BD2D16A" w14:textId="77777777">
      <w:pPr>
        <w:spacing w:line="276" w:lineRule="auto"/>
        <w:contextualSpacing/>
      </w:pPr>
    </w:p>
    <w:p w:rsidR="00AA7ED2" w:rsidRPr="00093B97" w:rsidP="00093B97" w14:paraId="01BBA14D" w14:textId="504C2719">
      <w:pPr>
        <w:spacing w:line="276" w:lineRule="auto"/>
        <w:contextualSpacing/>
      </w:pPr>
      <w:r w:rsidRPr="00093B97">
        <w:t xml:space="preserve">Members of the public regularly contact OFIA </w:t>
      </w:r>
      <w:r w:rsidRPr="00093B97" w:rsidR="00D91FB1">
        <w:t>seeking assistance on the NFIP.</w:t>
      </w:r>
      <w:r w:rsidRPr="00093B97" w:rsidR="00B62EED">
        <w:t xml:space="preserve">  OFIA seeks to facilitate </w:t>
      </w:r>
      <w:r w:rsidRPr="00093B97" w:rsidR="001728C6">
        <w:t>the timely and effective management of these</w:t>
      </w:r>
      <w:r w:rsidRPr="00093B97" w:rsidR="001B5F8C">
        <w:t xml:space="preserve"> inquiries </w:t>
      </w:r>
      <w:r w:rsidRPr="00093B97" w:rsidR="007621E8">
        <w:t xml:space="preserve">by </w:t>
      </w:r>
      <w:r w:rsidRPr="00093B97" w:rsidR="001728C6">
        <w:t>creating</w:t>
      </w:r>
      <w:r w:rsidRPr="00093B97" w:rsidR="007621E8">
        <w:t xml:space="preserve"> a web</w:t>
      </w:r>
      <w:r w:rsidRPr="00093B97" w:rsidR="0052230A">
        <w:t xml:space="preserve"> </w:t>
      </w:r>
      <w:r w:rsidRPr="00093B97" w:rsidR="007621E8">
        <w:t xml:space="preserve">form on </w:t>
      </w:r>
      <w:r w:rsidRPr="00093B97" w:rsidR="00EF664A">
        <w:t>OFIA’s web page</w:t>
      </w:r>
      <w:r w:rsidRPr="00093B97" w:rsidR="007621E8">
        <w:t xml:space="preserve"> at </w:t>
      </w:r>
      <w:hyperlink r:id="rId9">
        <w:r w:rsidRPr="00093B97" w:rsidR="007621E8">
          <w:rPr>
            <w:rStyle w:val="Hyperlink"/>
          </w:rPr>
          <w:t>https://www.fema.gov/flood-insurance/advocate</w:t>
        </w:r>
      </w:hyperlink>
      <w:r w:rsidRPr="00093B97" w:rsidR="001B5F8C">
        <w:t>.  The web</w:t>
      </w:r>
      <w:r w:rsidRPr="00093B97" w:rsidR="0052230A">
        <w:t xml:space="preserve"> </w:t>
      </w:r>
      <w:r w:rsidRPr="00093B97" w:rsidR="001B5F8C">
        <w:t xml:space="preserve">form </w:t>
      </w:r>
      <w:r w:rsidRPr="00093B97" w:rsidR="008F39E0">
        <w:t>will allow</w:t>
      </w:r>
      <w:r w:rsidRPr="00093B97" w:rsidR="005A7382">
        <w:t xml:space="preserve"> users to provide information that includes</w:t>
      </w:r>
      <w:r w:rsidRPr="00093B97" w:rsidR="001B5F8C">
        <w:t xml:space="preserve"> all the data necessary </w:t>
      </w:r>
      <w:r w:rsidRPr="00093B97" w:rsidR="005A7382">
        <w:t>for OFIA to perform its Congressionally-mandated duties and responsibilities</w:t>
      </w:r>
      <w:r w:rsidRPr="00093B97" w:rsidR="001B5F8C">
        <w:t>.</w:t>
      </w:r>
    </w:p>
    <w:p w:rsidR="00283B9B" w:rsidP="00093B97" w14:paraId="02467491" w14:textId="77777777">
      <w:pPr>
        <w:spacing w:line="276" w:lineRule="auto"/>
        <w:contextualSpacing/>
      </w:pPr>
    </w:p>
    <w:p w:rsidR="00AC0FCE" w:rsidRPr="00E64C40" w:rsidP="00AC0FCE" w14:paraId="36DAEFA2" w14:textId="58BB2993">
      <w:pPr>
        <w:spacing w:line="276" w:lineRule="auto"/>
        <w:contextualSpacing/>
        <w:rPr>
          <w:color w:val="000000" w:themeColor="text1"/>
        </w:rPr>
      </w:pPr>
      <w:r w:rsidRPr="00093B97">
        <w:t xml:space="preserve">The Federal Insurance Directorate determined the Mortgage Portfolio Protection Program </w:t>
      </w:r>
      <w:r w:rsidR="00FA20A6">
        <w:t xml:space="preserve">(MPPP) </w:t>
      </w:r>
      <w:r w:rsidRPr="00093B97">
        <w:t>form is no longer necessary due to the implementation of Risk Rating 2.0 and therefore will not be renewed under this effort.</w:t>
      </w:r>
      <w:r w:rsidR="00FA20A6">
        <w:t xml:space="preserve">  This revision removes both the</w:t>
      </w:r>
      <w:r w:rsidR="00704980">
        <w:t xml:space="preserve"> Financial Assistance/Subsidy Arrangement Notice of Acceptance and MPPP Agreement Receipt for Materials </w:t>
      </w:r>
      <w:r w:rsidR="00AD6F9C">
        <w:t>instruments from this information collection, as they are no longer needed.</w:t>
      </w:r>
      <w:r w:rsidR="006B5CAC">
        <w:t xml:space="preserve">  This revision also corrects a technical error within ROCIS that inflates the </w:t>
      </w:r>
      <w:r w:rsidR="00A06B55">
        <w:t xml:space="preserve">burden </w:t>
      </w:r>
      <w:r w:rsidRPr="00A06B55" w:rsidR="00A06B55">
        <w:t xml:space="preserve">imposed by the remaining FEMA </w:t>
      </w:r>
      <w:r w:rsidRPr="00E64C40" w:rsidR="00A06B55">
        <w:rPr>
          <w:color w:val="000000" w:themeColor="text1"/>
        </w:rPr>
        <w:t>Form FF-206-FY-21-121, Ask the Advocate Web Form.</w:t>
      </w:r>
    </w:p>
    <w:p w:rsidR="00AC0FCE" w:rsidRPr="00E64C40" w:rsidP="00093B97" w14:paraId="7A932ABE" w14:textId="77777777">
      <w:pPr>
        <w:spacing w:line="276" w:lineRule="auto"/>
        <w:contextualSpacing/>
        <w:rPr>
          <w:color w:val="000000" w:themeColor="text1"/>
        </w:rPr>
      </w:pPr>
    </w:p>
    <w:p w:rsidR="00842E74" w:rsidRPr="00E64C40" w:rsidP="00093B97" w14:paraId="63F28CC1" w14:textId="77777777">
      <w:pPr>
        <w:spacing w:line="276" w:lineRule="auto"/>
        <w:contextualSpacing/>
        <w:rPr>
          <w:b/>
          <w:bCs/>
          <w:color w:val="000000" w:themeColor="text1"/>
          <w:spacing w:val="-3"/>
        </w:rPr>
      </w:pPr>
      <w:r w:rsidRPr="00E64C40">
        <w:rPr>
          <w:b/>
          <w:bCs/>
          <w:color w:val="000000" w:themeColor="text1"/>
        </w:rPr>
        <w:fldChar w:fldCharType="begin"/>
      </w:r>
      <w:r w:rsidRPr="00E64C40">
        <w:rPr>
          <w:b/>
          <w:bCs/>
          <w:color w:val="000000" w:themeColor="text1"/>
        </w:rPr>
        <w:instrText>ADVANCE \R 0.95</w:instrText>
      </w:r>
      <w:r w:rsidRPr="00E64C40">
        <w:rPr>
          <w:b/>
          <w:bCs/>
          <w:color w:val="000000" w:themeColor="text1"/>
        </w:rPr>
        <w:fldChar w:fldCharType="end"/>
      </w:r>
      <w:r w:rsidRPr="00E64C40">
        <w:rPr>
          <w:b/>
          <w:bCs/>
          <w:color w:val="000000" w:themeColor="text1"/>
        </w:rPr>
        <w:t xml:space="preserve">2.  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       </w:t>
      </w:r>
    </w:p>
    <w:p w:rsidR="00842E74" w:rsidRPr="00E64C40" w:rsidP="00093B97" w14:paraId="6B0EBD27" w14:textId="77777777">
      <w:pPr>
        <w:spacing w:line="276" w:lineRule="auto"/>
        <w:contextualSpacing/>
        <w:rPr>
          <w:color w:val="000000" w:themeColor="text1"/>
        </w:rPr>
      </w:pPr>
    </w:p>
    <w:p w:rsidR="00D90269" w:rsidRPr="00093B97" w:rsidP="00093B97" w14:paraId="282F45CD" w14:textId="30CA1F93">
      <w:pPr>
        <w:spacing w:line="276" w:lineRule="auto"/>
        <w:contextualSpacing/>
      </w:pPr>
      <w:r w:rsidRPr="00E64C40">
        <w:rPr>
          <w:b/>
          <w:color w:val="000000" w:themeColor="text1"/>
        </w:rPr>
        <w:t>FEMA Form FF-</w:t>
      </w:r>
      <w:r w:rsidRPr="00E64C40" w:rsidR="00643DB7">
        <w:rPr>
          <w:b/>
          <w:color w:val="000000" w:themeColor="text1"/>
        </w:rPr>
        <w:t>206</w:t>
      </w:r>
      <w:r w:rsidRPr="00E64C40">
        <w:rPr>
          <w:b/>
          <w:color w:val="000000" w:themeColor="text1"/>
        </w:rPr>
        <w:t>-FY-</w:t>
      </w:r>
      <w:r w:rsidRPr="00E64C40" w:rsidR="00643DB7">
        <w:rPr>
          <w:b/>
          <w:color w:val="000000" w:themeColor="text1"/>
        </w:rPr>
        <w:t>21</w:t>
      </w:r>
      <w:r w:rsidRPr="00E64C40">
        <w:rPr>
          <w:b/>
          <w:color w:val="000000" w:themeColor="text1"/>
        </w:rPr>
        <w:t>-</w:t>
      </w:r>
      <w:r w:rsidRPr="00E64C40" w:rsidR="00643DB7">
        <w:rPr>
          <w:b/>
          <w:color w:val="000000" w:themeColor="text1"/>
        </w:rPr>
        <w:t>121</w:t>
      </w:r>
      <w:r w:rsidRPr="00E64C40">
        <w:rPr>
          <w:b/>
          <w:color w:val="000000" w:themeColor="text1"/>
        </w:rPr>
        <w:t xml:space="preserve">, Ask the Advocate </w:t>
      </w:r>
      <w:r w:rsidRPr="00AB4FC4">
        <w:rPr>
          <w:b/>
        </w:rPr>
        <w:t>Web Form</w:t>
      </w:r>
      <w:r>
        <w:rPr>
          <w:b/>
        </w:rPr>
        <w:t>:</w:t>
      </w:r>
      <w:r w:rsidRPr="00AB4FC4">
        <w:t xml:space="preserve"> </w:t>
      </w:r>
      <w:r w:rsidR="0002298C">
        <w:t xml:space="preserve"> </w:t>
      </w:r>
      <w:r w:rsidRPr="00AB4FC4" w:rsidR="00996E88">
        <w:t xml:space="preserve">Consumers </w:t>
      </w:r>
      <w:r w:rsidRPr="00AB4FC4">
        <w:t xml:space="preserve">who </w:t>
      </w:r>
      <w:r w:rsidRPr="00AB4FC4" w:rsidR="00996E88">
        <w:t xml:space="preserve">submit an inquiry to OFIA </w:t>
      </w:r>
      <w:r w:rsidRPr="00AB4FC4" w:rsidR="008F39E0">
        <w:t>will be</w:t>
      </w:r>
      <w:r w:rsidRPr="00AB4FC4" w:rsidR="00996E88">
        <w:t xml:space="preserve"> required to fill-out ten (10) informational fields on the </w:t>
      </w:r>
      <w:r w:rsidRPr="00AB4FC4" w:rsidR="00A2225B">
        <w:t>proposed</w:t>
      </w:r>
      <w:r w:rsidRPr="00AB4FC4" w:rsidR="00996E88">
        <w:t xml:space="preserve"> Ask the Advocate web</w:t>
      </w:r>
      <w:r w:rsidRPr="00AB4FC4" w:rsidR="0052230A">
        <w:t xml:space="preserve"> f</w:t>
      </w:r>
      <w:r w:rsidRPr="00AB4FC4" w:rsidR="00996E88">
        <w:t xml:space="preserve">orm.  </w:t>
      </w:r>
      <w:r w:rsidRPr="00AB4FC4">
        <w:t xml:space="preserve">These fields include: (1) First name, (2) Last name, (3) Email address, (4) Confirm email address, (5) How did you hear of Advocate's office (pull-down list), (6) Contact role (list field), (7) State (pull-down list), (8) ZIP code, (9) Subject (of inquiry) and (10) Questions/Comment (regarding inquiry).  </w:t>
      </w:r>
      <w:r w:rsidRPr="00AB4FC4" w:rsidR="00996E88">
        <w:t>An eleventh (11</w:t>
      </w:r>
      <w:r w:rsidRPr="00AB4FC4" w:rsidR="00996E88">
        <w:rPr>
          <w:vertAlign w:val="superscript"/>
        </w:rPr>
        <w:t>th</w:t>
      </w:r>
      <w:r w:rsidRPr="00AB4FC4" w:rsidR="00996E88">
        <w:t>) field is a security CAPTCHA field intended to distinguish human from machine input</w:t>
      </w:r>
      <w:r w:rsidRPr="00AB4FC4">
        <w:t xml:space="preserve"> </w:t>
      </w:r>
      <w:r w:rsidRPr="00AB4FC4" w:rsidR="00996E88">
        <w:t>as a way</w:t>
      </w:r>
      <w:r w:rsidRPr="00093B97" w:rsidR="00996E88">
        <w:t xml:space="preserve"> of thwarting spam and automated extraction of data from websites.</w:t>
      </w:r>
    </w:p>
    <w:p w:rsidR="00D90269" w:rsidRPr="00093B97" w:rsidP="00093B97" w14:paraId="5D98FD66" w14:textId="77777777">
      <w:pPr>
        <w:spacing w:line="276" w:lineRule="auto"/>
        <w:contextualSpacing/>
      </w:pPr>
    </w:p>
    <w:p w:rsidR="00996E88" w:rsidRPr="00093B97" w:rsidP="00093B97" w14:paraId="25E77C1C" w14:textId="642831A9">
      <w:pPr>
        <w:spacing w:line="276" w:lineRule="auto"/>
        <w:contextualSpacing/>
      </w:pPr>
      <w:r w:rsidRPr="00093B97">
        <w:t>When a consumer submits this information, the d</w:t>
      </w:r>
      <w:r w:rsidRPr="00093B97">
        <w:t xml:space="preserve">ata </w:t>
      </w:r>
      <w:r w:rsidRPr="00093B97" w:rsidR="008F39E0">
        <w:t>will be</w:t>
      </w:r>
      <w:r w:rsidRPr="00093B97">
        <w:t xml:space="preserve"> collected and stored on </w:t>
      </w:r>
      <w:r w:rsidRPr="00093B97">
        <w:t xml:space="preserve">OFIA’s </w:t>
      </w:r>
      <w:r w:rsidRPr="00093B97" w:rsidR="0052230A">
        <w:t xml:space="preserve">DHS/FEMA-approved </w:t>
      </w:r>
      <w:r w:rsidRPr="00093B97">
        <w:t xml:space="preserve">Customer Relationship Management (CRM) </w:t>
      </w:r>
      <w:r w:rsidRPr="00093B97" w:rsidR="00BB75CF">
        <w:t xml:space="preserve">cloud-based </w:t>
      </w:r>
      <w:r w:rsidRPr="00093B97" w:rsidR="0771A4CE">
        <w:t>environment</w:t>
      </w:r>
      <w:r w:rsidRPr="00093B97">
        <w:t xml:space="preserve"> hosted by Salesforce</w:t>
      </w:r>
      <w:r w:rsidRPr="00093B97">
        <w:t>.</w:t>
      </w:r>
    </w:p>
    <w:p w:rsidR="00D90269" w:rsidRPr="00093B97" w:rsidP="00093B97" w14:paraId="171E7F65" w14:textId="080A0263">
      <w:pPr>
        <w:spacing w:line="276" w:lineRule="auto"/>
        <w:contextualSpacing/>
      </w:pPr>
    </w:p>
    <w:p w:rsidR="001B5F8C" w:rsidRPr="00093B97" w:rsidP="00093B97" w14:paraId="7F674B0B" w14:textId="0DBCD070">
      <w:pPr>
        <w:spacing w:line="276" w:lineRule="auto"/>
        <w:contextualSpacing/>
      </w:pPr>
      <w:r w:rsidRPr="00093B97">
        <w:t xml:space="preserve">Once OFIA receives this information, </w:t>
      </w:r>
      <w:r w:rsidRPr="00093B97" w:rsidR="002B3D34">
        <w:t xml:space="preserve">the inquiry </w:t>
      </w:r>
      <w:r w:rsidRPr="00093B97" w:rsidR="008F39E0">
        <w:t>will be</w:t>
      </w:r>
      <w:r w:rsidRPr="00093B97" w:rsidR="002B3D34">
        <w:t xml:space="preserve"> assigned a system-generated “Case number”, and the</w:t>
      </w:r>
      <w:r w:rsidRPr="00093B97" w:rsidR="009865BC">
        <w:t>n the</w:t>
      </w:r>
      <w:r w:rsidRPr="00093B97" w:rsidR="002B3D34">
        <w:t xml:space="preserve"> case is assigned to an OFIA Advocate Representative (FEMA employee).</w:t>
      </w:r>
      <w:r w:rsidRPr="00093B97" w:rsidR="00EE42A0">
        <w:t xml:space="preserve">  </w:t>
      </w:r>
      <w:r w:rsidRPr="00093B97" w:rsidR="002B3D34">
        <w:t>Using the data collected from the Ask the Advocate web</w:t>
      </w:r>
      <w:r w:rsidRPr="00093B97" w:rsidR="0052230A">
        <w:t xml:space="preserve"> </w:t>
      </w:r>
      <w:r w:rsidRPr="00093B97" w:rsidR="002B3D34">
        <w:t xml:space="preserve">form, the Advocate Representative will research the customer’s inquiry and offer education and guidance to help the customer navigate the NFIP process.  </w:t>
      </w:r>
    </w:p>
    <w:p w:rsidR="00773A93" w:rsidRPr="00093B97" w:rsidP="00093B97" w14:paraId="0F62D6F4" w14:textId="77777777">
      <w:pPr>
        <w:spacing w:line="276" w:lineRule="auto"/>
        <w:contextualSpacing/>
        <w:rPr>
          <w:b/>
          <w:bCs/>
        </w:rPr>
      </w:pPr>
      <w:r w:rsidRPr="00093B97">
        <w:rPr>
          <w:b/>
          <w:bCs/>
        </w:rPr>
        <w:fldChar w:fldCharType="begin"/>
      </w:r>
      <w:r w:rsidRPr="00093B97">
        <w:rPr>
          <w:b/>
          <w:bCs/>
        </w:rPr>
        <w:instrText>ADVANCE \R 0.95</w:instrText>
      </w:r>
      <w:r w:rsidRPr="00093B97">
        <w:rPr>
          <w:b/>
          <w:bCs/>
        </w:rPr>
        <w:fldChar w:fldCharType="end"/>
      </w:r>
    </w:p>
    <w:p w:rsidR="00842E74" w:rsidRPr="00093B97" w:rsidP="00093B97" w14:paraId="5C923937" w14:textId="38902390">
      <w:pPr>
        <w:spacing w:line="276" w:lineRule="auto"/>
        <w:contextualSpacing/>
        <w:rPr>
          <w:b/>
          <w:bCs/>
        </w:rPr>
      </w:pPr>
      <w:r w:rsidRPr="00093B97">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w:t>
      </w:r>
      <w:r w:rsidRPr="00093B97" w:rsidR="006A4787">
        <w:rPr>
          <w:b/>
          <w:bCs/>
        </w:rPr>
        <w:t xml:space="preserve"> </w:t>
      </w:r>
      <w:r w:rsidRPr="00093B97">
        <w:rPr>
          <w:b/>
          <w:bCs/>
        </w:rPr>
        <w:t xml:space="preserve">information technology to reduce burden. </w:t>
      </w:r>
    </w:p>
    <w:p w:rsidR="00600F24" w:rsidRPr="00093B97" w:rsidP="00093B97" w14:paraId="70A9CD6B" w14:textId="77777777">
      <w:pPr>
        <w:spacing w:line="276" w:lineRule="auto"/>
        <w:contextualSpacing/>
        <w:rPr>
          <w:b/>
          <w:bCs/>
        </w:rPr>
      </w:pPr>
    </w:p>
    <w:p w:rsidR="00EE42A0" w:rsidRPr="00093B97" w:rsidP="00093B97" w14:paraId="19FD84A2" w14:textId="330C452E">
      <w:pPr>
        <w:spacing w:line="276" w:lineRule="auto"/>
        <w:contextualSpacing/>
      </w:pPr>
      <w:r w:rsidRPr="00AB4FC4">
        <w:rPr>
          <w:b/>
        </w:rPr>
        <w:t xml:space="preserve">FEMA </w:t>
      </w:r>
      <w:r w:rsidRPr="00E64C40">
        <w:rPr>
          <w:b/>
          <w:color w:val="000000" w:themeColor="text1"/>
        </w:rPr>
        <w:t>Form FF-</w:t>
      </w:r>
      <w:r w:rsidRPr="00E64C40" w:rsidR="00643DB7">
        <w:rPr>
          <w:b/>
          <w:color w:val="000000" w:themeColor="text1"/>
        </w:rPr>
        <w:t>206</w:t>
      </w:r>
      <w:r w:rsidRPr="00E64C40">
        <w:rPr>
          <w:b/>
          <w:color w:val="000000" w:themeColor="text1"/>
        </w:rPr>
        <w:t>-FY-</w:t>
      </w:r>
      <w:r w:rsidRPr="00E64C40" w:rsidR="00643DB7">
        <w:rPr>
          <w:b/>
          <w:color w:val="000000" w:themeColor="text1"/>
        </w:rPr>
        <w:t>21</w:t>
      </w:r>
      <w:r w:rsidRPr="00E64C40">
        <w:rPr>
          <w:b/>
          <w:color w:val="000000" w:themeColor="text1"/>
        </w:rPr>
        <w:t>-</w:t>
      </w:r>
      <w:r w:rsidRPr="00E64C40" w:rsidR="00643DB7">
        <w:rPr>
          <w:b/>
          <w:color w:val="000000" w:themeColor="text1"/>
        </w:rPr>
        <w:t>121</w:t>
      </w:r>
      <w:r w:rsidRPr="00E64C40">
        <w:rPr>
          <w:b/>
          <w:color w:val="000000" w:themeColor="text1"/>
        </w:rPr>
        <w:t xml:space="preserve">, Ask the </w:t>
      </w:r>
      <w:r w:rsidRPr="00AB4FC4">
        <w:rPr>
          <w:b/>
        </w:rPr>
        <w:t>Advocate Web Form</w:t>
      </w:r>
      <w:r>
        <w:rPr>
          <w:b/>
        </w:rPr>
        <w:t>:</w:t>
      </w:r>
      <w:r w:rsidRPr="00AB4FC4">
        <w:t xml:space="preserve"> </w:t>
      </w:r>
      <w:r w:rsidRPr="00093B97" w:rsidR="00B3672E">
        <w:t>allow</w:t>
      </w:r>
      <w:r w:rsidR="00CB30EC">
        <w:t>s</w:t>
      </w:r>
      <w:r w:rsidRPr="00093B97" w:rsidR="00B3672E">
        <w:t xml:space="preserve"> members of the public to submit responses </w:t>
      </w:r>
      <w:r w:rsidRPr="00093B97" w:rsidR="003337AD">
        <w:t xml:space="preserve">to FEMA electronically and ensure that FEMA receives the information necessary to respond to </w:t>
      </w:r>
      <w:r w:rsidRPr="00093B97" w:rsidR="00C872CB">
        <w:t>promptly respond to the inquiry.</w:t>
      </w:r>
      <w:r w:rsidRPr="00093B97" w:rsidR="003337AD">
        <w:t xml:space="preserve"> </w:t>
      </w:r>
    </w:p>
    <w:p w:rsidR="00EE42A0" w:rsidRPr="00093B97" w:rsidP="00093B97" w14:paraId="2FF754D3" w14:textId="77777777">
      <w:pPr>
        <w:spacing w:line="276" w:lineRule="auto"/>
        <w:contextualSpacing/>
      </w:pPr>
    </w:p>
    <w:p w:rsidR="00842E74" w:rsidRPr="00093B97" w:rsidP="00093B97" w14:paraId="60A31FB8" w14:textId="569BEB97">
      <w:pPr>
        <w:spacing w:line="276" w:lineRule="auto"/>
        <w:contextualSpacing/>
        <w:rPr>
          <w:b/>
          <w:bCs/>
        </w:rPr>
      </w:pPr>
      <w:r w:rsidRPr="00093B97">
        <w:fldChar w:fldCharType="begin"/>
      </w:r>
      <w:r w:rsidRPr="00093B97">
        <w:instrText>ADVANCE \R 0.95</w:instrText>
      </w:r>
      <w:r w:rsidRPr="00093B97">
        <w:fldChar w:fldCharType="end"/>
      </w:r>
      <w:r w:rsidRPr="00093B97">
        <w:rPr>
          <w:b/>
          <w:bCs/>
        </w:rPr>
        <w:t xml:space="preserve">4.  Describe efforts to identify duplication.  Show specifically why any similar information already available cannot be used or modified for use for the purposes described in Item 2 above.  </w:t>
      </w:r>
    </w:p>
    <w:p w:rsidR="00842E74" w:rsidRPr="00093B97" w:rsidP="00093B97" w14:paraId="6D04C363" w14:textId="77777777">
      <w:pPr>
        <w:spacing w:line="276" w:lineRule="auto"/>
        <w:contextualSpacing/>
      </w:pPr>
      <w:r w:rsidRPr="00093B97">
        <w:fldChar w:fldCharType="begin"/>
      </w:r>
      <w:r w:rsidRPr="00093B97">
        <w:instrText>ADVANCE \R 0.95</w:instrText>
      </w:r>
      <w:r w:rsidRPr="00093B97">
        <w:fldChar w:fldCharType="end"/>
      </w:r>
    </w:p>
    <w:p w:rsidR="00516382" w:rsidRPr="00093B97" w:rsidP="00093B97" w14:paraId="6AC89C3B" w14:textId="77777777">
      <w:pPr>
        <w:spacing w:line="276" w:lineRule="auto"/>
        <w:contextualSpacing/>
      </w:pPr>
      <w:r w:rsidRPr="00093B97">
        <w:t>This information is not collected in any form, and therefore is not duplicated elsewhere.</w:t>
      </w:r>
    </w:p>
    <w:p w:rsidR="00516382" w:rsidRPr="00093B97" w:rsidP="00093B97" w14:paraId="2D1E7999" w14:textId="77777777">
      <w:pPr>
        <w:spacing w:line="276" w:lineRule="auto"/>
        <w:contextualSpacing/>
      </w:pPr>
    </w:p>
    <w:p w:rsidR="00842E74" w:rsidRPr="00093B97" w:rsidP="00093B97" w14:paraId="052BA74C" w14:textId="77777777">
      <w:pPr>
        <w:tabs>
          <w:tab w:val="left" w:pos="360"/>
        </w:tabs>
        <w:spacing w:line="276" w:lineRule="auto"/>
        <w:contextualSpacing/>
        <w:rPr>
          <w:b/>
          <w:bCs/>
        </w:rPr>
      </w:pPr>
      <w:r w:rsidRPr="00093B97">
        <w:rPr>
          <w:b/>
          <w:bCs/>
        </w:rPr>
        <w:t xml:space="preserve">5.  </w:t>
      </w:r>
      <w:r w:rsidRPr="00093B97" w:rsidR="00BF4DF2">
        <w:rPr>
          <w:b/>
          <w:bCs/>
        </w:rPr>
        <w:tab/>
      </w:r>
      <w:r w:rsidRPr="00093B97">
        <w:rPr>
          <w:b/>
          <w:bCs/>
        </w:rPr>
        <w:t>If the collection of information impacts small businesses or other small entities (Item 5 of OMB Form 83-I), describe any methods used to minimize.</w:t>
      </w:r>
    </w:p>
    <w:p w:rsidR="00842E74" w:rsidRPr="00093B97" w:rsidP="00093B97" w14:paraId="76BDB160" w14:textId="77777777">
      <w:pPr>
        <w:spacing w:line="276" w:lineRule="auto"/>
        <w:contextualSpacing/>
        <w:rPr>
          <w:spacing w:val="-3"/>
        </w:rPr>
      </w:pPr>
    </w:p>
    <w:p w:rsidR="00516382" w:rsidRPr="00093B97" w:rsidP="00093B97" w14:paraId="664A9480" w14:textId="5FF9F798">
      <w:pPr>
        <w:spacing w:line="276" w:lineRule="auto"/>
        <w:contextualSpacing/>
        <w:rPr>
          <w:spacing w:val="-3"/>
        </w:rPr>
      </w:pPr>
      <w:r w:rsidRPr="00093B97">
        <w:t>This information collection does not have an impact on small businesses or other small entitie</w:t>
      </w:r>
      <w:r w:rsidRPr="00093B97" w:rsidR="0070457B">
        <w:t xml:space="preserve">s. </w:t>
      </w:r>
      <w:r w:rsidR="005C6891">
        <w:t xml:space="preserve"> </w:t>
      </w:r>
      <w:r w:rsidRPr="00093B97" w:rsidR="0070457B">
        <w:t>The</w:t>
      </w:r>
      <w:r w:rsidRPr="00093B97" w:rsidR="00103242">
        <w:t xml:space="preserve"> web form </w:t>
      </w:r>
      <w:r w:rsidRPr="00093B97" w:rsidR="00781C1D">
        <w:t xml:space="preserve">is </w:t>
      </w:r>
      <w:r w:rsidRPr="00093B97" w:rsidR="009F725F">
        <w:t>normally</w:t>
      </w:r>
      <w:r w:rsidRPr="00093B97" w:rsidR="00781C1D">
        <w:t xml:space="preserve"> filled out by individual stakeholders and/or policyholders</w:t>
      </w:r>
      <w:r w:rsidRPr="00093B97" w:rsidR="0070457B">
        <w:t xml:space="preserve">; the form does not tend to be </w:t>
      </w:r>
      <w:r w:rsidRPr="00093B97" w:rsidR="00483F0C">
        <w:t>used</w:t>
      </w:r>
      <w:r w:rsidRPr="00093B97" w:rsidR="0070457B">
        <w:t xml:space="preserve"> by small businesses or entities</w:t>
      </w:r>
      <w:r w:rsidRPr="00093B97" w:rsidR="00483F0C">
        <w:t>, unless they are contacting the Advocate about a specific question relating to their</w:t>
      </w:r>
      <w:r w:rsidRPr="00093B97" w:rsidR="00912301">
        <w:t xml:space="preserve"> business/entity</w:t>
      </w:r>
      <w:r w:rsidRPr="00093B97" w:rsidR="00960390">
        <w:t xml:space="preserve"> flood insurance policy or a related question</w:t>
      </w:r>
      <w:r w:rsidRPr="00093B97" w:rsidR="00912301">
        <w:t>.</w:t>
      </w:r>
    </w:p>
    <w:p w:rsidR="00516382" w:rsidRPr="00093B97" w:rsidP="00093B97" w14:paraId="562FF09A" w14:textId="77777777">
      <w:pPr>
        <w:spacing w:line="276" w:lineRule="auto"/>
        <w:contextualSpacing/>
        <w:rPr>
          <w:spacing w:val="-3"/>
        </w:rPr>
      </w:pPr>
    </w:p>
    <w:p w:rsidR="00842E74" w:rsidRPr="00093B97" w:rsidP="00093B97" w14:paraId="082E38B0" w14:textId="77777777">
      <w:pPr>
        <w:spacing w:line="276" w:lineRule="auto"/>
        <w:contextualSpacing/>
        <w:rPr>
          <w:b/>
          <w:bCs/>
        </w:rPr>
      </w:pPr>
      <w:r w:rsidRPr="00093B97">
        <w:rPr>
          <w:b/>
          <w:bCs/>
        </w:rPr>
        <w:fldChar w:fldCharType="begin"/>
      </w:r>
      <w:r w:rsidRPr="00093B97">
        <w:rPr>
          <w:b/>
          <w:bCs/>
        </w:rPr>
        <w:instrText>ADVANCE \R 0.95</w:instrText>
      </w:r>
      <w:r w:rsidRPr="00093B97">
        <w:rPr>
          <w:b/>
          <w:bCs/>
        </w:rPr>
        <w:fldChar w:fldCharType="end"/>
      </w:r>
      <w:r w:rsidRPr="00093B97">
        <w:rPr>
          <w:b/>
          <w:bCs/>
        </w:rPr>
        <w:t>6.  Describe the consequence to Federal/FEMA program or policy activities if the collection of information is not conducted, or is conducted less frequently</w:t>
      </w:r>
      <w:r w:rsidRPr="00093B97" w:rsidR="009F46CE">
        <w:rPr>
          <w:b/>
          <w:bCs/>
        </w:rPr>
        <w:t xml:space="preserve"> </w:t>
      </w:r>
      <w:r w:rsidRPr="00093B97">
        <w:rPr>
          <w:b/>
          <w:bCs/>
        </w:rPr>
        <w:t xml:space="preserve">as well as any technical or legal obstacles to reducing burden.  </w:t>
      </w:r>
    </w:p>
    <w:p w:rsidR="005C3CD2" w:rsidRPr="00093B97" w:rsidP="00093B97" w14:paraId="1F085152" w14:textId="6E022A5D">
      <w:pPr>
        <w:spacing w:line="276" w:lineRule="auto"/>
        <w:contextualSpacing/>
        <w:rPr>
          <w:spacing w:val="-3"/>
        </w:rPr>
      </w:pPr>
    </w:p>
    <w:p w:rsidR="005677C6" w:rsidRPr="00093B97" w:rsidP="00093B97" w14:paraId="2BB924B2" w14:textId="1A9C5CAA">
      <w:pPr>
        <w:spacing w:line="276" w:lineRule="auto"/>
        <w:contextualSpacing/>
      </w:pPr>
      <w:r w:rsidRPr="00093B97">
        <w:t xml:space="preserve">Without </w:t>
      </w:r>
      <w:r w:rsidRPr="00AB4FC4" w:rsidR="0002298C">
        <w:rPr>
          <w:b/>
        </w:rPr>
        <w:t xml:space="preserve">FEMA Form </w:t>
      </w:r>
      <w:r w:rsidRPr="00E64C40" w:rsidR="0002298C">
        <w:rPr>
          <w:b/>
          <w:color w:val="000000" w:themeColor="text1"/>
        </w:rPr>
        <w:t>FF-</w:t>
      </w:r>
      <w:r w:rsidRPr="00E64C40" w:rsidR="00643DB7">
        <w:rPr>
          <w:b/>
          <w:color w:val="000000" w:themeColor="text1"/>
        </w:rPr>
        <w:t>206</w:t>
      </w:r>
      <w:r w:rsidRPr="00E64C40" w:rsidR="0002298C">
        <w:rPr>
          <w:b/>
          <w:color w:val="000000" w:themeColor="text1"/>
        </w:rPr>
        <w:t>-FY-</w:t>
      </w:r>
      <w:r w:rsidRPr="00E64C40" w:rsidR="00643DB7">
        <w:rPr>
          <w:b/>
          <w:color w:val="000000" w:themeColor="text1"/>
        </w:rPr>
        <w:t>21</w:t>
      </w:r>
      <w:r w:rsidRPr="00E64C40" w:rsidR="0002298C">
        <w:rPr>
          <w:b/>
          <w:color w:val="000000" w:themeColor="text1"/>
        </w:rPr>
        <w:t>-</w:t>
      </w:r>
      <w:r w:rsidRPr="00E64C40" w:rsidR="00643DB7">
        <w:rPr>
          <w:b/>
          <w:color w:val="000000" w:themeColor="text1"/>
        </w:rPr>
        <w:t>121</w:t>
      </w:r>
      <w:r w:rsidRPr="00E64C40" w:rsidR="0002298C">
        <w:rPr>
          <w:b/>
          <w:color w:val="000000" w:themeColor="text1"/>
        </w:rPr>
        <w:t xml:space="preserve">, Ask the </w:t>
      </w:r>
      <w:r w:rsidRPr="00AB4FC4" w:rsidR="0002298C">
        <w:rPr>
          <w:b/>
        </w:rPr>
        <w:t>Advocate Web Form</w:t>
      </w:r>
      <w:r w:rsidRPr="00093B97">
        <w:t xml:space="preserve">, </w:t>
      </w:r>
      <w:r w:rsidRPr="00093B97">
        <w:t>membe</w:t>
      </w:r>
      <w:r w:rsidRPr="00093B97" w:rsidR="00160095">
        <w:t xml:space="preserve">rs of the public will </w:t>
      </w:r>
      <w:r w:rsidRPr="00093B97" w:rsidR="00916434">
        <w:t>be less likely</w:t>
      </w:r>
      <w:r w:rsidRPr="00093B97" w:rsidR="00160095">
        <w:t xml:space="preserve"> </w:t>
      </w:r>
      <w:r w:rsidRPr="00093B97" w:rsidR="00916434">
        <w:t>to submit the</w:t>
      </w:r>
      <w:r w:rsidRPr="00093B97" w:rsidR="00DD2E3B">
        <w:t xml:space="preserve"> information </w:t>
      </w:r>
      <w:r w:rsidRPr="00093B97" w:rsidR="00916434">
        <w:t xml:space="preserve">necessary for </w:t>
      </w:r>
      <w:r w:rsidRPr="00093B97" w:rsidR="00EA39F0">
        <w:t xml:space="preserve">OFIA to </w:t>
      </w:r>
      <w:r w:rsidRPr="00093B97" w:rsidR="00916434">
        <w:t>provide</w:t>
      </w:r>
      <w:r w:rsidRPr="00093B97" w:rsidR="00EA39F0">
        <w:t xml:space="preserve"> a timely and </w:t>
      </w:r>
      <w:r w:rsidRPr="00093B97" w:rsidR="00D15730">
        <w:t>fulsome</w:t>
      </w:r>
      <w:r w:rsidRPr="00093B97" w:rsidR="00EA39F0">
        <w:t xml:space="preserve"> response to their inquiry.</w:t>
      </w:r>
      <w:r w:rsidRPr="00093B97" w:rsidR="004D4B48">
        <w:t xml:space="preserve">  </w:t>
      </w:r>
      <w:r w:rsidRPr="00093B97" w:rsidR="00C31BF5">
        <w:t xml:space="preserve">Incomplete responses could </w:t>
      </w:r>
      <w:r w:rsidRPr="00093B97" w:rsidR="009B088E">
        <w:t xml:space="preserve">make it more </w:t>
      </w:r>
      <w:r w:rsidRPr="00093B97" w:rsidR="009B088E">
        <w:t xml:space="preserve">likely </w:t>
      </w:r>
      <w:r w:rsidRPr="00093B97" w:rsidR="0048310F">
        <w:t xml:space="preserve">that OFIA will need seek additional </w:t>
      </w:r>
      <w:r w:rsidRPr="00093B97" w:rsidR="2DED7BC6">
        <w:t xml:space="preserve">information </w:t>
      </w:r>
      <w:r w:rsidRPr="00093B97" w:rsidR="0048310F">
        <w:t>from members of the public, thus delaying resolution of the inquiry.</w:t>
      </w:r>
      <w:r w:rsidRPr="00093B97" w:rsidR="002451E2">
        <w:t xml:space="preserve"> </w:t>
      </w:r>
    </w:p>
    <w:p w:rsidR="001B5F8C" w:rsidRPr="00093B97" w:rsidP="00093B97" w14:paraId="66648EBB" w14:textId="1DF1A254">
      <w:pPr>
        <w:spacing w:line="276" w:lineRule="auto"/>
        <w:contextualSpacing/>
      </w:pPr>
    </w:p>
    <w:p w:rsidR="00842E74" w:rsidRPr="00093B97" w:rsidP="00093B97" w14:paraId="1D248444" w14:textId="77777777">
      <w:pPr>
        <w:spacing w:line="276" w:lineRule="auto"/>
        <w:contextualSpacing/>
        <w:rPr>
          <w:b/>
          <w:bCs/>
        </w:rPr>
      </w:pPr>
      <w:r w:rsidRPr="00093B97">
        <w:rPr>
          <w:b/>
          <w:bCs/>
        </w:rPr>
        <w:fldChar w:fldCharType="begin"/>
      </w:r>
      <w:r w:rsidRPr="00093B97">
        <w:rPr>
          <w:b/>
          <w:bCs/>
        </w:rPr>
        <w:instrText>ADVANCE \R 0.95</w:instrText>
      </w:r>
      <w:r w:rsidRPr="00093B97">
        <w:rPr>
          <w:b/>
          <w:bCs/>
        </w:rPr>
        <w:fldChar w:fldCharType="end"/>
      </w:r>
      <w:r w:rsidRPr="00093B97">
        <w:rPr>
          <w:b/>
          <w:bCs/>
        </w:rPr>
        <w:t>7.  Explain any special circumstances that would cause an information collection to be conducted in a manner:</w:t>
      </w:r>
    </w:p>
    <w:p w:rsidR="003D0B26" w:rsidRPr="00093B97" w:rsidP="00093B97" w14:paraId="1965254A" w14:textId="77777777">
      <w:pPr>
        <w:spacing w:line="276" w:lineRule="auto"/>
        <w:contextualSpacing/>
        <w:rPr>
          <w:bCs/>
        </w:rPr>
      </w:pPr>
    </w:p>
    <w:p w:rsidR="00842E74" w:rsidRPr="00105A19" w:rsidP="00D56C50" w14:paraId="36F0F67E" w14:textId="5172B136">
      <w:pPr>
        <w:numPr>
          <w:ilvl w:val="0"/>
          <w:numId w:val="11"/>
        </w:numPr>
        <w:spacing w:line="276" w:lineRule="auto"/>
        <w:contextualSpacing/>
        <w:rPr>
          <w:b/>
          <w:bCs/>
        </w:rPr>
      </w:pPr>
      <w:r w:rsidRPr="00105A19">
        <w:rPr>
          <w:b/>
          <w:bCs/>
        </w:rPr>
        <w:fldChar w:fldCharType="begin"/>
      </w:r>
      <w:r w:rsidRPr="00105A19">
        <w:rPr>
          <w:b/>
          <w:bCs/>
        </w:rPr>
        <w:instrText>ADVANCE \R 0.95</w:instrText>
      </w:r>
      <w:r w:rsidRPr="00105A19">
        <w:rPr>
          <w:b/>
          <w:bCs/>
        </w:rPr>
        <w:fldChar w:fldCharType="end"/>
      </w:r>
      <w:r w:rsidRPr="00105A19">
        <w:rPr>
          <w:b/>
          <w:bCs/>
        </w:rPr>
        <w:t>Requiring respondents to report information to the agency more</w:t>
      </w:r>
      <w:r w:rsidRPr="00105A19" w:rsidR="00105A19">
        <w:rPr>
          <w:b/>
          <w:bCs/>
        </w:rPr>
        <w:t xml:space="preserve"> </w:t>
      </w:r>
      <w:r w:rsidRPr="00105A19">
        <w:rPr>
          <w:b/>
          <w:bCs/>
        </w:rPr>
        <w:t>often than quarterly.</w:t>
      </w:r>
    </w:p>
    <w:p w:rsidR="00284A64" w:rsidRPr="00E20330" w:rsidP="00284A64" w14:paraId="78007CE6" w14:textId="77777777">
      <w:pPr>
        <w:contextualSpacing/>
        <w:rPr>
          <w:color w:val="000000" w:themeColor="text1"/>
        </w:rPr>
      </w:pPr>
      <w:r w:rsidRPr="00093B97">
        <w:fldChar w:fldCharType="begin"/>
      </w:r>
      <w:r w:rsidRPr="00093B97">
        <w:instrText>ADVANCE \R 0.95</w:instrText>
      </w:r>
      <w:r w:rsidRPr="00093B97">
        <w:fldChar w:fldCharType="end"/>
      </w:r>
    </w:p>
    <w:p w:rsidR="00284A64" w:rsidRPr="00E20330" w:rsidP="00284A64" w14:paraId="45C4828F" w14:textId="77777777">
      <w:pPr>
        <w:contextualSpacing/>
        <w:rPr>
          <w:color w:val="000000" w:themeColor="text1"/>
        </w:rPr>
      </w:pPr>
      <w:r w:rsidRPr="00E20330">
        <w:rPr>
          <w:color w:val="000000" w:themeColor="text1"/>
        </w:rPr>
        <w:t>This information collection does not require respondents to report information more than quarterly.</w:t>
      </w:r>
    </w:p>
    <w:p w:rsidR="00284A64" w:rsidRPr="00E20330" w:rsidP="00284A64" w14:paraId="1ED17D4B" w14:textId="77777777">
      <w:pPr>
        <w:contextualSpacing/>
        <w:rPr>
          <w:color w:val="000000" w:themeColor="text1"/>
        </w:rPr>
      </w:pPr>
    </w:p>
    <w:p w:rsidR="00842E74" w:rsidRPr="00093B97" w:rsidP="00093B97" w14:paraId="2F2A750A" w14:textId="66CFC496">
      <w:pPr>
        <w:spacing w:line="276" w:lineRule="auto"/>
        <w:contextualSpacing/>
        <w:rPr>
          <w:b/>
          <w:bCs/>
        </w:rPr>
      </w:pPr>
      <w:r w:rsidRPr="00093B97">
        <w:fldChar w:fldCharType="begin"/>
      </w:r>
      <w:r w:rsidRPr="00093B97">
        <w:instrText>ADVANCE \R 0.95</w:instrText>
      </w:r>
      <w:r w:rsidRPr="00093B97">
        <w:fldChar w:fldCharType="end"/>
      </w:r>
      <w:r w:rsidRPr="00093B97" w:rsidR="00CD0CD6">
        <w:tab/>
      </w:r>
      <w:r w:rsidRPr="00093B97">
        <w:rPr>
          <w:b/>
          <w:bCs/>
        </w:rPr>
        <w:t>(b) Requiring respondents to prepare a written response to a</w:t>
      </w:r>
      <w:r w:rsidR="00105A19">
        <w:rPr>
          <w:b/>
          <w:bCs/>
        </w:rPr>
        <w:t xml:space="preserve"> </w:t>
      </w:r>
      <w:r w:rsidRPr="00093B97" w:rsidR="00232C69">
        <w:rPr>
          <w:b/>
          <w:bCs/>
        </w:rPr>
        <w:t>col</w:t>
      </w:r>
      <w:r w:rsidRPr="00093B97">
        <w:rPr>
          <w:b/>
          <w:bCs/>
        </w:rPr>
        <w:t>lection of</w:t>
      </w:r>
      <w:r w:rsidRPr="00093B97" w:rsidR="0026549A">
        <w:rPr>
          <w:b/>
          <w:bCs/>
        </w:rPr>
        <w:t xml:space="preserve"> </w:t>
      </w:r>
      <w:r w:rsidRPr="00093B97">
        <w:rPr>
          <w:b/>
          <w:bCs/>
        </w:rPr>
        <w:t>information in fewer than 30 days after receipt of it.</w:t>
      </w:r>
    </w:p>
    <w:p w:rsidR="0020371C" w:rsidRPr="00E20330" w:rsidP="0020371C" w14:paraId="18ED696C" w14:textId="77777777">
      <w:pPr>
        <w:contextualSpacing/>
        <w:rPr>
          <w:color w:val="000000" w:themeColor="text1"/>
        </w:rPr>
      </w:pPr>
      <w:r w:rsidRPr="00093B97">
        <w:fldChar w:fldCharType="begin"/>
      </w:r>
      <w:r w:rsidRPr="00093B97">
        <w:instrText>ADVANCE \R 0.95</w:instrText>
      </w:r>
      <w:r w:rsidRPr="00093B97">
        <w:fldChar w:fldCharType="end"/>
      </w:r>
    </w:p>
    <w:p w:rsidR="0020371C" w:rsidRPr="00E20330" w:rsidP="0020371C" w14:paraId="66F215B8" w14:textId="77777777">
      <w:pPr>
        <w:contextualSpacing/>
        <w:rPr>
          <w:color w:val="000000" w:themeColor="text1"/>
        </w:rPr>
      </w:pPr>
      <w:r w:rsidRPr="00E20330">
        <w:rPr>
          <w:color w:val="000000" w:themeColor="text1"/>
        </w:rPr>
        <w:t>This information collection does not require respondents to prepare a written response in fewer than 30 days after receipt of it.</w:t>
      </w:r>
    </w:p>
    <w:p w:rsidR="0020371C" w:rsidRPr="00E20330" w:rsidP="0020371C" w14:paraId="70382A9A" w14:textId="77777777">
      <w:pPr>
        <w:contextualSpacing/>
        <w:rPr>
          <w:color w:val="000000" w:themeColor="text1"/>
        </w:rPr>
      </w:pPr>
    </w:p>
    <w:p w:rsidR="00842E74" w:rsidRPr="00105A19" w:rsidP="00D56C50" w14:paraId="7E98F444" w14:textId="4E8D8984">
      <w:pPr>
        <w:numPr>
          <w:ilvl w:val="0"/>
          <w:numId w:val="12"/>
        </w:numPr>
        <w:tabs>
          <w:tab w:val="clear" w:pos="1080"/>
        </w:tabs>
        <w:spacing w:line="276" w:lineRule="auto"/>
        <w:contextualSpacing/>
        <w:rPr>
          <w:b/>
          <w:bCs/>
        </w:rPr>
      </w:pPr>
      <w:r w:rsidRPr="00093B97">
        <w:fldChar w:fldCharType="begin"/>
      </w:r>
      <w:r w:rsidRPr="00093B97">
        <w:instrText>ADVANCE \R 0.95</w:instrText>
      </w:r>
      <w:r w:rsidRPr="00093B97">
        <w:fldChar w:fldCharType="end"/>
      </w:r>
      <w:r w:rsidRPr="00105A19">
        <w:rPr>
          <w:b/>
          <w:bCs/>
        </w:rPr>
        <w:t>Requiring respondents to submit more than an original and two</w:t>
      </w:r>
      <w:r w:rsidRPr="00105A19" w:rsidR="00105A19">
        <w:rPr>
          <w:b/>
          <w:bCs/>
        </w:rPr>
        <w:t xml:space="preserve"> </w:t>
      </w:r>
      <w:r w:rsidRPr="00105A19">
        <w:rPr>
          <w:b/>
          <w:bCs/>
        </w:rPr>
        <w:t>copies of any document.</w:t>
      </w:r>
    </w:p>
    <w:p w:rsidR="000D4DBE" w:rsidRPr="00E20330" w:rsidP="000D4DBE" w14:paraId="58E05468" w14:textId="77777777">
      <w:pPr>
        <w:contextualSpacing/>
        <w:rPr>
          <w:color w:val="000000" w:themeColor="text1"/>
        </w:rPr>
      </w:pPr>
      <w:r w:rsidRPr="00093B97">
        <w:rPr>
          <w:b/>
          <w:bCs/>
        </w:rPr>
        <w:fldChar w:fldCharType="begin"/>
      </w:r>
      <w:r w:rsidRPr="00093B97">
        <w:rPr>
          <w:b/>
          <w:bCs/>
        </w:rPr>
        <w:instrText>ADVANCE \R 0.95</w:instrText>
      </w:r>
      <w:r w:rsidRPr="00093B97">
        <w:rPr>
          <w:b/>
          <w:bCs/>
        </w:rPr>
        <w:fldChar w:fldCharType="end"/>
      </w:r>
    </w:p>
    <w:p w:rsidR="000D4DBE" w:rsidRPr="00E20330" w:rsidP="000D4DBE" w14:paraId="3112FAD1" w14:textId="77777777">
      <w:pPr>
        <w:contextualSpacing/>
        <w:rPr>
          <w:color w:val="000000" w:themeColor="text1"/>
        </w:rPr>
      </w:pPr>
      <w:r w:rsidRPr="00E20330">
        <w:rPr>
          <w:color w:val="000000" w:themeColor="text1"/>
        </w:rPr>
        <w:t>This information collection does not require respondents to submit more than an original and two copies of any document.</w:t>
      </w:r>
    </w:p>
    <w:p w:rsidR="000D4DBE" w:rsidRPr="00E20330" w:rsidP="000D4DBE" w14:paraId="402CE005" w14:textId="77777777">
      <w:pPr>
        <w:contextualSpacing/>
        <w:rPr>
          <w:color w:val="000000" w:themeColor="text1"/>
        </w:rPr>
      </w:pPr>
    </w:p>
    <w:p w:rsidR="00842E74" w:rsidRPr="00093B97" w:rsidP="00105A19" w14:paraId="273570C4" w14:textId="3FBB59C7">
      <w:pPr>
        <w:numPr>
          <w:ilvl w:val="0"/>
          <w:numId w:val="12"/>
        </w:numPr>
        <w:tabs>
          <w:tab w:val="clear" w:pos="1080"/>
        </w:tabs>
        <w:spacing w:line="276" w:lineRule="auto"/>
        <w:contextualSpacing/>
      </w:pPr>
      <w:r w:rsidRPr="00DE36A5">
        <w:rPr>
          <w:b/>
          <w:bCs/>
        </w:rPr>
        <w:t>Requiring respondents to retain records, other than health,</w:t>
      </w:r>
      <w:r w:rsidRPr="00DE36A5" w:rsidR="00DE36A5">
        <w:rPr>
          <w:b/>
          <w:bCs/>
        </w:rPr>
        <w:t xml:space="preserve"> </w:t>
      </w:r>
      <w:r w:rsidRPr="00DE36A5">
        <w:rPr>
          <w:b/>
          <w:bCs/>
        </w:rPr>
        <w:t>medical, government contract, grant-in-aid, or tax records for more</w:t>
      </w:r>
      <w:r w:rsidRPr="00DE36A5" w:rsidR="00232C69">
        <w:rPr>
          <w:b/>
          <w:bCs/>
        </w:rPr>
        <w:t xml:space="preserve"> </w:t>
      </w:r>
      <w:r w:rsidRPr="00DE36A5">
        <w:rPr>
          <w:b/>
          <w:bCs/>
        </w:rPr>
        <w:t>than three years.</w:t>
      </w:r>
    </w:p>
    <w:p w:rsidR="00C509CF" w:rsidRPr="00E20330" w:rsidP="00C509CF" w14:paraId="7D9D74E9" w14:textId="77777777">
      <w:pPr>
        <w:contextualSpacing/>
        <w:rPr>
          <w:color w:val="000000" w:themeColor="text1"/>
        </w:rPr>
      </w:pPr>
      <w:r w:rsidRPr="00093B97">
        <w:fldChar w:fldCharType="begin"/>
      </w:r>
      <w:r w:rsidRPr="00093B97">
        <w:instrText>ADVANCE \R 0.95</w:instrText>
      </w:r>
      <w:r w:rsidRPr="00093B97">
        <w:fldChar w:fldCharType="end"/>
      </w:r>
    </w:p>
    <w:p w:rsidR="00C509CF" w:rsidRPr="00E20330" w:rsidP="00C509CF" w14:paraId="1C9B0ABA" w14:textId="77777777">
      <w:pPr>
        <w:contextualSpacing/>
        <w:rPr>
          <w:color w:val="000000" w:themeColor="text1"/>
        </w:rPr>
      </w:pPr>
      <w:r w:rsidRPr="00E20330">
        <w:rPr>
          <w:color w:val="000000" w:themeColor="text1"/>
        </w:rPr>
        <w:t>This information collection does not require respondents to retain records (other than health, medical, government contract, grant-in-aid, or tax records) for more than three years.</w:t>
      </w:r>
    </w:p>
    <w:p w:rsidR="00C509CF" w:rsidRPr="00E20330" w:rsidP="00C509CF" w14:paraId="02F7539F" w14:textId="77777777">
      <w:pPr>
        <w:contextualSpacing/>
        <w:rPr>
          <w:color w:val="000000" w:themeColor="text1"/>
        </w:rPr>
      </w:pPr>
    </w:p>
    <w:p w:rsidR="00842E74" w:rsidRPr="00093B97" w:rsidP="000E4552" w14:paraId="54F9F267" w14:textId="0F658953">
      <w:pPr>
        <w:numPr>
          <w:ilvl w:val="0"/>
          <w:numId w:val="12"/>
        </w:numPr>
        <w:tabs>
          <w:tab w:val="clear" w:pos="1080"/>
        </w:tabs>
        <w:spacing w:line="276" w:lineRule="auto"/>
        <w:contextualSpacing/>
      </w:pPr>
      <w:r w:rsidRPr="00093B97">
        <w:fldChar w:fldCharType="begin"/>
      </w:r>
      <w:r w:rsidRPr="00093B97">
        <w:instrText>ADVANCE \R 0.95</w:instrText>
      </w:r>
      <w:r w:rsidRPr="00093B97">
        <w:fldChar w:fldCharType="end"/>
      </w:r>
      <w:r w:rsidRPr="00105A19">
        <w:rPr>
          <w:b/>
          <w:bCs/>
        </w:rPr>
        <w:t>In connection with a statistical survey, that is not designed to</w:t>
      </w:r>
      <w:r w:rsidRPr="00105A19" w:rsidR="00105A19">
        <w:rPr>
          <w:b/>
          <w:bCs/>
        </w:rPr>
        <w:t xml:space="preserve"> </w:t>
      </w:r>
      <w:r w:rsidRPr="00105A19">
        <w:rPr>
          <w:b/>
          <w:bCs/>
        </w:rPr>
        <w:t>produce valid and reliable results that can be generalized to the</w:t>
      </w:r>
      <w:r w:rsidRPr="00105A19" w:rsidR="00232C69">
        <w:rPr>
          <w:b/>
          <w:bCs/>
        </w:rPr>
        <w:t xml:space="preserve"> </w:t>
      </w:r>
      <w:r w:rsidRPr="00105A19">
        <w:rPr>
          <w:b/>
          <w:bCs/>
        </w:rPr>
        <w:t>universe of study</w:t>
      </w:r>
      <w:r w:rsidRPr="00093B97">
        <w:t>.</w:t>
      </w:r>
    </w:p>
    <w:p w:rsidR="00FF2AA6" w:rsidRPr="00E20330" w:rsidP="00FF2AA6" w14:paraId="61EBA8D9" w14:textId="77777777">
      <w:pPr>
        <w:contextualSpacing/>
        <w:rPr>
          <w:color w:val="000000" w:themeColor="text1"/>
        </w:rPr>
      </w:pPr>
      <w:r w:rsidRPr="00093B97">
        <w:fldChar w:fldCharType="begin"/>
      </w:r>
      <w:r w:rsidRPr="00093B97">
        <w:instrText>ADVANCE \R 0.95</w:instrText>
      </w:r>
      <w:r w:rsidRPr="00093B97">
        <w:fldChar w:fldCharType="end"/>
      </w:r>
    </w:p>
    <w:p w:rsidR="00FF2AA6" w:rsidRPr="00E20330" w:rsidP="00FF2AA6" w14:paraId="28B9688C" w14:textId="77777777">
      <w:pPr>
        <w:contextualSpacing/>
        <w:rPr>
          <w:color w:val="000000" w:themeColor="text1"/>
        </w:rPr>
      </w:pPr>
      <w:r w:rsidRPr="00E20330">
        <w:rPr>
          <w:color w:val="000000" w:themeColor="text1"/>
        </w:rPr>
        <w:t>This information collection does not include a statistical survey.</w:t>
      </w:r>
    </w:p>
    <w:p w:rsidR="00FF2AA6" w:rsidRPr="00E20330" w:rsidP="00FF2AA6" w14:paraId="6BEC82EC" w14:textId="77777777">
      <w:pPr>
        <w:contextualSpacing/>
        <w:rPr>
          <w:color w:val="000000" w:themeColor="text1"/>
        </w:rPr>
      </w:pPr>
    </w:p>
    <w:p w:rsidR="00842E74" w:rsidRPr="00093B97" w:rsidP="000E4552" w14:paraId="3FA3092E" w14:textId="1DACB96F">
      <w:pPr>
        <w:spacing w:line="276" w:lineRule="auto"/>
        <w:ind w:left="1080" w:hanging="360"/>
        <w:contextualSpacing/>
        <w:rPr>
          <w:b/>
          <w:bCs/>
        </w:rPr>
      </w:pPr>
      <w:r w:rsidRPr="00093B97">
        <w:fldChar w:fldCharType="begin"/>
      </w:r>
      <w:r w:rsidRPr="00093B97">
        <w:instrText>ADVANCE \R 0.95</w:instrText>
      </w:r>
      <w:r w:rsidRPr="00093B97">
        <w:fldChar w:fldCharType="end"/>
      </w:r>
      <w:r w:rsidRPr="00093B97">
        <w:rPr>
          <w:b/>
          <w:bCs/>
        </w:rPr>
        <w:t>(f) Requiring the use of a statistical data classification that has not</w:t>
      </w:r>
      <w:r w:rsidRPr="00093B97" w:rsidR="00232C69">
        <w:rPr>
          <w:b/>
          <w:bCs/>
        </w:rPr>
        <w:t xml:space="preserve"> </w:t>
      </w:r>
      <w:r w:rsidRPr="00093B97">
        <w:rPr>
          <w:b/>
          <w:bCs/>
        </w:rPr>
        <w:t>been reviewed and approved by OMB.</w:t>
      </w:r>
    </w:p>
    <w:p w:rsidR="00BA141C" w:rsidRPr="00E20330" w:rsidP="00BA141C" w14:paraId="34296099" w14:textId="77777777">
      <w:pPr>
        <w:contextualSpacing/>
        <w:rPr>
          <w:color w:val="000000" w:themeColor="text1"/>
        </w:rPr>
      </w:pPr>
    </w:p>
    <w:p w:rsidR="00BA141C" w:rsidRPr="00E20330" w:rsidP="00BA141C" w14:paraId="326BA8D9" w14:textId="77777777">
      <w:pPr>
        <w:contextualSpacing/>
        <w:rPr>
          <w:color w:val="000000" w:themeColor="text1"/>
        </w:rPr>
      </w:pPr>
      <w:r w:rsidRPr="00E20330">
        <w:rPr>
          <w:color w:val="000000" w:themeColor="text1"/>
        </w:rPr>
        <w:t>This information collection does not use a statistical data classification that has not been reviewed and approved by OMB.</w:t>
      </w:r>
    </w:p>
    <w:p w:rsidR="00BA141C" w:rsidRPr="00E20330" w:rsidP="00BA141C" w14:paraId="67394972" w14:textId="77777777">
      <w:pPr>
        <w:contextualSpacing/>
        <w:rPr>
          <w:color w:val="000000" w:themeColor="text1"/>
        </w:rPr>
      </w:pPr>
    </w:p>
    <w:p w:rsidR="00842E74" w:rsidRPr="00093B97" w:rsidP="000E4552" w14:paraId="656CE41A" w14:textId="4AFF9131">
      <w:pPr>
        <w:spacing w:line="276" w:lineRule="auto"/>
        <w:ind w:left="1080" w:hanging="360"/>
        <w:contextualSpacing/>
        <w:rPr>
          <w:b/>
          <w:bCs/>
        </w:rPr>
      </w:pPr>
      <w:r w:rsidRPr="00093B97">
        <w:fldChar w:fldCharType="begin"/>
      </w:r>
      <w:r w:rsidRPr="00093B97">
        <w:instrText>ADVANCE \R 0.95</w:instrText>
      </w:r>
      <w:r w:rsidRPr="00093B97">
        <w:fldChar w:fldCharType="end"/>
      </w:r>
      <w:r w:rsidRPr="00093B97">
        <w:rPr>
          <w:b/>
          <w:bCs/>
        </w:rPr>
        <w:t>(g) That includes a pledge of confidentiality that is not supported by</w:t>
      </w:r>
      <w:r w:rsidR="000E4552">
        <w:rPr>
          <w:b/>
          <w:bCs/>
        </w:rPr>
        <w:t xml:space="preserve"> </w:t>
      </w:r>
      <w:r w:rsidRPr="00093B97">
        <w:rPr>
          <w:b/>
          <w:bCs/>
        </w:rPr>
        <w:t>authority established in statute or regulation, that is not supported by disclosure and data security policies that are consistent with the pledge, or which unnecessarily impedes sharing of data with other agencies for compatible confidential use.</w:t>
      </w:r>
    </w:p>
    <w:p w:rsidR="00223C72" w:rsidRPr="00E20330" w:rsidP="00223C72" w14:paraId="595F90A4" w14:textId="77777777">
      <w:pPr>
        <w:contextualSpacing/>
        <w:rPr>
          <w:color w:val="000000" w:themeColor="text1"/>
        </w:rPr>
      </w:pPr>
      <w:r w:rsidRPr="00093B97">
        <w:fldChar w:fldCharType="begin"/>
      </w:r>
      <w:r w:rsidRPr="00093B97">
        <w:instrText>ADVANCE \R 0.95</w:instrText>
      </w:r>
      <w:r w:rsidRPr="00093B97">
        <w:fldChar w:fldCharType="end"/>
      </w:r>
    </w:p>
    <w:p w:rsidR="00223C72" w:rsidRPr="00E20330" w:rsidP="00223C72" w14:paraId="423CC13D" w14:textId="77777777">
      <w:pPr>
        <w:contextualSpacing/>
        <w:rPr>
          <w:color w:val="000000" w:themeColor="text1"/>
        </w:rPr>
      </w:pPr>
      <w:r w:rsidRPr="00E20330">
        <w:rPr>
          <w:color w:val="000000" w:themeColor="text1"/>
        </w:rPr>
        <w:t>This information collection does not include a pledge of confidentiality that is not supported by established authorities or policies.</w:t>
      </w:r>
    </w:p>
    <w:p w:rsidR="00223C72" w:rsidRPr="00E20330" w:rsidP="00223C72" w14:paraId="2FCE1CF3" w14:textId="77777777">
      <w:pPr>
        <w:contextualSpacing/>
        <w:rPr>
          <w:color w:val="000000" w:themeColor="text1"/>
        </w:rPr>
      </w:pPr>
    </w:p>
    <w:p w:rsidR="00842E74" w:rsidRPr="00093B97" w:rsidP="000E4552" w14:paraId="13341CD6" w14:textId="4971D340">
      <w:pPr>
        <w:spacing w:line="276" w:lineRule="auto"/>
        <w:ind w:left="1080" w:hanging="360"/>
        <w:contextualSpacing/>
        <w:rPr>
          <w:b/>
          <w:bCs/>
        </w:rPr>
      </w:pPr>
      <w:r w:rsidRPr="00093B97">
        <w:fldChar w:fldCharType="begin"/>
      </w:r>
      <w:r w:rsidRPr="00093B97">
        <w:instrText>ADVANCE \R 0.95</w:instrText>
      </w:r>
      <w:r w:rsidRPr="00093B97">
        <w:fldChar w:fldCharType="end"/>
      </w:r>
      <w:r w:rsidRPr="00093B97">
        <w:rPr>
          <w:b/>
          <w:bCs/>
        </w:rPr>
        <w:t>(h) Requiring respondents to submit proprietary trade secret, or other confidential information unless the agency can demonstrate that it has instituted procedures to protect the information’s confidentiality to the extent permitted by law.</w:t>
      </w:r>
    </w:p>
    <w:p w:rsidR="00AC205C" w:rsidP="00AC205C" w14:paraId="450580A6" w14:textId="77777777">
      <w:pPr>
        <w:spacing w:line="276" w:lineRule="auto"/>
        <w:contextualSpacing/>
      </w:pPr>
      <w:r w:rsidRPr="00093B97">
        <w:fldChar w:fldCharType="begin"/>
      </w:r>
      <w:r w:rsidRPr="00093B97">
        <w:instrText>ADVANCE \R 0.95</w:instrText>
      </w:r>
      <w:r w:rsidRPr="00093B97">
        <w:fldChar w:fldCharType="end"/>
      </w:r>
    </w:p>
    <w:p w:rsidR="00AC205C" w:rsidRPr="00D03C8B" w:rsidP="00AC205C" w14:paraId="7F2527B5" w14:textId="77777777">
      <w:pPr>
        <w:spacing w:line="276" w:lineRule="auto"/>
        <w:contextualSpacing/>
      </w:pPr>
      <w:r w:rsidRPr="00814646">
        <w:t>This information collection does not require respondents to submit trade secrets or other confidential information</w:t>
      </w:r>
      <w:r>
        <w:t>.</w:t>
      </w:r>
    </w:p>
    <w:p w:rsidR="00AC205C" w:rsidRPr="00814646" w:rsidP="00AC205C" w14:paraId="4F714EED" w14:textId="77777777">
      <w:pPr>
        <w:spacing w:line="276" w:lineRule="auto"/>
        <w:contextualSpacing/>
      </w:pPr>
    </w:p>
    <w:p w:rsidR="00842E74" w:rsidRPr="00093B97" w:rsidP="00093B97" w14:paraId="10FE9994" w14:textId="77777777">
      <w:pPr>
        <w:spacing w:line="276" w:lineRule="auto"/>
        <w:contextualSpacing/>
        <w:rPr>
          <w:b/>
          <w:bCs/>
        </w:rPr>
      </w:pPr>
      <w:r w:rsidRPr="00093B97">
        <w:rPr>
          <w:b/>
          <w:bCs/>
        </w:rPr>
        <w:fldChar w:fldCharType="begin"/>
      </w:r>
      <w:r w:rsidRPr="00093B97">
        <w:rPr>
          <w:b/>
          <w:bCs/>
        </w:rPr>
        <w:instrText>ADVANCE \R 0.95</w:instrText>
      </w:r>
      <w:r w:rsidRPr="00093B97">
        <w:rPr>
          <w:b/>
          <w:bCs/>
        </w:rPr>
        <w:fldChar w:fldCharType="end"/>
      </w:r>
      <w:r w:rsidRPr="00093B97">
        <w:rPr>
          <w:b/>
          <w:bCs/>
        </w:rPr>
        <w:t xml:space="preserve">8.  Federal Register Notice: </w:t>
      </w:r>
    </w:p>
    <w:p w:rsidR="00842E74" w:rsidRPr="00093B97" w:rsidP="00093B97" w14:paraId="12567BDD" w14:textId="77777777">
      <w:pPr>
        <w:spacing w:line="276" w:lineRule="auto"/>
        <w:contextualSpacing/>
        <w:rPr>
          <w:b/>
          <w:bCs/>
        </w:rPr>
      </w:pPr>
      <w:r w:rsidRPr="00093B97">
        <w:rPr>
          <w:b/>
          <w:bCs/>
        </w:rPr>
        <w:fldChar w:fldCharType="begin"/>
      </w:r>
      <w:r w:rsidRPr="00093B97">
        <w:rPr>
          <w:b/>
          <w:bCs/>
        </w:rPr>
        <w:instrText>ADVANCE \R 0.95</w:instrText>
      </w:r>
      <w:r w:rsidRPr="00093B97">
        <w:rPr>
          <w:b/>
          <w:bCs/>
        </w:rPr>
        <w:fldChar w:fldCharType="end"/>
      </w:r>
    </w:p>
    <w:p w:rsidR="00842E74" w:rsidRPr="00093B97" w:rsidP="00093B97" w14:paraId="1ADA9080" w14:textId="618E71F4">
      <w:pPr>
        <w:pStyle w:val="ListParagraph"/>
        <w:numPr>
          <w:ilvl w:val="0"/>
          <w:numId w:val="15"/>
        </w:numPr>
        <w:spacing w:line="276" w:lineRule="auto"/>
        <w:rPr>
          <w:b/>
          <w:bCs/>
        </w:rPr>
      </w:pPr>
      <w:r w:rsidRPr="00093B97">
        <w:rPr>
          <w:b/>
          <w:bCs/>
        </w:rPr>
        <w:fldChar w:fldCharType="begin"/>
      </w:r>
      <w:r w:rsidRPr="00093B97">
        <w:rPr>
          <w:b/>
          <w:bCs/>
        </w:rPr>
        <w:instrText>ADVANCE \R 0.95</w:instrText>
      </w:r>
      <w:r w:rsidRPr="00093B97">
        <w:rPr>
          <w:b/>
          <w:bCs/>
        </w:rPr>
        <w:fldChar w:fldCharType="end"/>
      </w:r>
      <w:r w:rsidRPr="00093B97">
        <w:rPr>
          <w:b/>
          <w:bCs/>
        </w:rPr>
        <w:t>Provide a copy and identify the date and page number of publication in the Federal Register of the agency’s notice soliciting comments on the</w:t>
      </w:r>
      <w:r w:rsidRPr="00093B97" w:rsidR="00773A93">
        <w:rPr>
          <w:b/>
          <w:bCs/>
        </w:rPr>
        <w:t xml:space="preserve"> </w:t>
      </w:r>
      <w:r w:rsidRPr="00093B97">
        <w:rPr>
          <w:b/>
          <w:bCs/>
        </w:rPr>
        <w:t>information collection prior to submission to OMB.  Summarize public</w:t>
      </w:r>
      <w:r w:rsidRPr="00093B97" w:rsidR="00232C69">
        <w:rPr>
          <w:b/>
          <w:bCs/>
        </w:rPr>
        <w:t xml:space="preserve"> </w:t>
      </w:r>
      <w:r w:rsidRPr="00093B97">
        <w:rPr>
          <w:b/>
          <w:bCs/>
        </w:rPr>
        <w:t>comments received in response to that notice and describe actions taken by</w:t>
      </w:r>
      <w:r w:rsidRPr="00093B97" w:rsidR="00232C69">
        <w:rPr>
          <w:b/>
          <w:bCs/>
        </w:rPr>
        <w:t xml:space="preserve"> </w:t>
      </w:r>
      <w:r w:rsidRPr="00093B97">
        <w:rPr>
          <w:b/>
          <w:bCs/>
        </w:rPr>
        <w:t>the agency in response to these comments.  Specifically address comments</w:t>
      </w:r>
      <w:r w:rsidRPr="00093B97" w:rsidR="00232C69">
        <w:rPr>
          <w:b/>
          <w:bCs/>
        </w:rPr>
        <w:t xml:space="preserve"> </w:t>
      </w:r>
      <w:r w:rsidRPr="00093B97">
        <w:rPr>
          <w:b/>
          <w:bCs/>
        </w:rPr>
        <w:t>received on cost and hour burden.</w:t>
      </w:r>
    </w:p>
    <w:p w:rsidR="3C1104FC" w:rsidRPr="00093B97" w:rsidP="00093B97" w14:paraId="78635DB1" w14:textId="499D22F8">
      <w:pPr>
        <w:spacing w:line="276" w:lineRule="auto"/>
        <w:contextualSpacing/>
        <w:rPr>
          <w:color w:val="000000" w:themeColor="text1"/>
        </w:rPr>
      </w:pPr>
    </w:p>
    <w:p w:rsidR="005D0AFF" w:rsidRPr="002A6107" w:rsidP="005D0AFF" w14:paraId="41D328AC" w14:textId="5246E902">
      <w:pPr>
        <w:spacing w:line="276" w:lineRule="auto"/>
        <w:contextualSpacing/>
      </w:pPr>
      <w:r w:rsidRPr="00093B97">
        <w:fldChar w:fldCharType="begin"/>
      </w:r>
      <w:r w:rsidRPr="00093B97">
        <w:instrText>ADVANCE \R 0.95</w:instrText>
      </w:r>
      <w:r w:rsidRPr="00093B97">
        <w:fldChar w:fldCharType="end"/>
      </w:r>
      <w:r w:rsidRPr="002A6107">
        <w:rPr>
          <w:color w:val="000000"/>
        </w:rPr>
        <w:t>A 60-day Federal Register Notice inviting public comments was published on</w:t>
      </w:r>
      <w:r w:rsidRPr="00F23C73">
        <w:rPr>
          <w:color w:val="000000"/>
        </w:rPr>
        <w:t xml:space="preserve"> </w:t>
      </w:r>
      <w:r w:rsidRPr="00F23C73" w:rsidR="0072113B">
        <w:rPr>
          <w:color w:val="000000"/>
        </w:rPr>
        <w:t>June 6, 2025, at</w:t>
      </w:r>
      <w:r w:rsidRPr="00F23C73" w:rsidR="00E57C4F">
        <w:rPr>
          <w:color w:val="000000"/>
        </w:rPr>
        <w:t xml:space="preserve"> 90 </w:t>
      </w:r>
      <w:r w:rsidRPr="00624F73" w:rsidR="00E57C4F">
        <w:rPr>
          <w:color w:val="000000" w:themeColor="text1"/>
        </w:rPr>
        <w:t>FR 24150</w:t>
      </w:r>
      <w:r w:rsidRPr="00624F73">
        <w:rPr>
          <w:color w:val="000000" w:themeColor="text1"/>
        </w:rPr>
        <w:t>.  No comments were received.</w:t>
      </w:r>
    </w:p>
    <w:p w:rsidR="005D0AFF" w:rsidRPr="002A6107" w:rsidP="005D0AFF" w14:paraId="5CCC160A" w14:textId="77777777">
      <w:pPr>
        <w:spacing w:line="276" w:lineRule="auto"/>
        <w:contextualSpacing/>
      </w:pPr>
    </w:p>
    <w:p w:rsidR="005D0AFF" w:rsidRPr="005C153D" w:rsidP="005D0AFF" w14:paraId="1C766962" w14:textId="7C94240B">
      <w:pPr>
        <w:spacing w:line="276" w:lineRule="auto"/>
        <w:contextualSpacing/>
        <w:rPr>
          <w:color w:val="000000"/>
        </w:rPr>
      </w:pPr>
      <w:r w:rsidRPr="002A6107">
        <w:rPr>
          <w:color w:val="000000"/>
        </w:rPr>
        <w:t>A 30-day Federal Register Notice inviting public comments was published o</w:t>
      </w:r>
      <w:r w:rsidRPr="005C153D">
        <w:rPr>
          <w:color w:val="000000"/>
        </w:rPr>
        <w:t xml:space="preserve">n </w:t>
      </w:r>
      <w:r w:rsidRPr="005C153D" w:rsidR="0045634A">
        <w:rPr>
          <w:color w:val="000000"/>
        </w:rPr>
        <w:t xml:space="preserve">August 22, 2025, at 90 FR </w:t>
      </w:r>
      <w:r w:rsidRPr="005C153D" w:rsidR="008E6814">
        <w:rPr>
          <w:color w:val="000000"/>
        </w:rPr>
        <w:t>41093</w:t>
      </w:r>
      <w:r w:rsidRPr="005C153D">
        <w:rPr>
          <w:color w:val="000000"/>
        </w:rPr>
        <w:t xml:space="preserve">.  </w:t>
      </w:r>
      <w:r w:rsidRPr="005C153D" w:rsidR="008E6814">
        <w:rPr>
          <w:color w:val="000000"/>
        </w:rPr>
        <w:t>The public comment period is open until September 22, 2025.</w:t>
      </w:r>
    </w:p>
    <w:p w:rsidR="00773A93" w:rsidRPr="00093B97" w:rsidP="005D0AFF" w14:paraId="050B4F07" w14:textId="5B3EC77E">
      <w:pPr>
        <w:spacing w:line="276" w:lineRule="auto"/>
        <w:contextualSpacing/>
      </w:pPr>
    </w:p>
    <w:p w:rsidR="00842E74" w:rsidRPr="00093B97" w:rsidP="00093B97" w14:paraId="1BA13FE3" w14:textId="0518CBD2">
      <w:pPr>
        <w:pStyle w:val="ListParagraph"/>
        <w:numPr>
          <w:ilvl w:val="0"/>
          <w:numId w:val="15"/>
        </w:numPr>
        <w:tabs>
          <w:tab w:val="left" w:pos="360"/>
        </w:tabs>
        <w:spacing w:line="276" w:lineRule="auto"/>
        <w:rPr>
          <w:b/>
          <w:bCs/>
          <w:color w:val="000000" w:themeColor="text1"/>
        </w:rPr>
      </w:pPr>
      <w:r w:rsidRPr="00093B97">
        <w:rPr>
          <w:b/>
          <w:bCs/>
        </w:rPr>
        <w:t xml:space="preserve">Describe efforts to consult with persons outside the agency to obtain their views on the availability of data, frequency of collection, the clarity of </w:t>
      </w:r>
      <w:r w:rsidRPr="00093B97" w:rsidR="00232C69">
        <w:rPr>
          <w:b/>
          <w:bCs/>
        </w:rPr>
        <w:t>ins</w:t>
      </w:r>
      <w:r w:rsidRPr="00093B97">
        <w:rPr>
          <w:b/>
          <w:bCs/>
        </w:rPr>
        <w:t xml:space="preserve">tructions and recordkeeping, disclosure, or reporting format (if any), </w:t>
      </w:r>
      <w:r w:rsidRPr="00093B97">
        <w:rPr>
          <w:b/>
          <w:bCs/>
          <w:color w:val="000000" w:themeColor="text1"/>
        </w:rPr>
        <w:t>and on the data elements to be recorded, disclosed, or reported.</w:t>
      </w:r>
    </w:p>
    <w:p w:rsidR="002C01E9" w:rsidRPr="00093B97" w:rsidP="00093B97" w14:paraId="2032A91B" w14:textId="0D5F06FC">
      <w:pPr>
        <w:spacing w:line="276" w:lineRule="auto"/>
        <w:contextualSpacing/>
        <w:rPr>
          <w:color w:val="000000" w:themeColor="text1"/>
        </w:rPr>
      </w:pPr>
    </w:p>
    <w:p w:rsidR="009865BC" w:rsidRPr="00093B97" w:rsidP="00093B97" w14:paraId="4979CABA" w14:textId="1FAA11A9">
      <w:pPr>
        <w:spacing w:line="276" w:lineRule="auto"/>
        <w:contextualSpacing/>
        <w:rPr>
          <w:color w:val="000000" w:themeColor="text1"/>
        </w:rPr>
      </w:pPr>
      <w:r w:rsidRPr="00093B97">
        <w:rPr>
          <w:color w:val="000000" w:themeColor="text1"/>
        </w:rPr>
        <w:t xml:space="preserve">The </w:t>
      </w:r>
      <w:r w:rsidR="005D0AFF">
        <w:rPr>
          <w:color w:val="000000" w:themeColor="text1"/>
        </w:rPr>
        <w:t>NFIP</w:t>
      </w:r>
      <w:r w:rsidRPr="00093B97">
        <w:rPr>
          <w:color w:val="000000" w:themeColor="text1"/>
        </w:rPr>
        <w:t xml:space="preserve"> routinely </w:t>
      </w:r>
      <w:r w:rsidRPr="00093B97" w:rsidR="001A142B">
        <w:rPr>
          <w:color w:val="000000" w:themeColor="text1"/>
        </w:rPr>
        <w:t>meets</w:t>
      </w:r>
      <w:r w:rsidRPr="00093B97">
        <w:rPr>
          <w:color w:val="000000" w:themeColor="text1"/>
        </w:rPr>
        <w:t xml:space="preserve"> with a wide range of participants at several insurance trade organization meetings (at least 4 times a year) each year.</w:t>
      </w:r>
      <w:r w:rsidR="005D0AFF">
        <w:rPr>
          <w:color w:val="000000" w:themeColor="text1"/>
        </w:rPr>
        <w:t xml:space="preserve"> </w:t>
      </w:r>
      <w:r w:rsidRPr="00093B97">
        <w:rPr>
          <w:color w:val="000000" w:themeColor="text1"/>
        </w:rPr>
        <w:t xml:space="preserve"> These trade organization meetings provide a forum for information to be exchanged related to all matters related to insurance.  Representative of NFIP also attend </w:t>
      </w:r>
      <w:r w:rsidRPr="00093B97" w:rsidR="00C72174">
        <w:rPr>
          <w:color w:val="000000" w:themeColor="text1"/>
        </w:rPr>
        <w:t xml:space="preserve">stakeholder </w:t>
      </w:r>
      <w:r w:rsidRPr="00093B97">
        <w:rPr>
          <w:color w:val="000000" w:themeColor="text1"/>
        </w:rPr>
        <w:t xml:space="preserve">meetings and other related </w:t>
      </w:r>
      <w:r w:rsidRPr="00093B97">
        <w:rPr>
          <w:color w:val="000000" w:themeColor="text1"/>
        </w:rPr>
        <w:t>activities several times each year.</w:t>
      </w:r>
      <w:r w:rsidR="005D0AFF">
        <w:rPr>
          <w:color w:val="000000" w:themeColor="text1"/>
        </w:rPr>
        <w:t xml:space="preserve"> </w:t>
      </w:r>
      <w:r w:rsidRPr="00093B97">
        <w:rPr>
          <w:color w:val="000000" w:themeColor="text1"/>
        </w:rPr>
        <w:t xml:space="preserve"> From these meetings FEMA learns of methods to</w:t>
      </w:r>
      <w:r w:rsidRPr="00093B97" w:rsidR="00857B45">
        <w:rPr>
          <w:color w:val="000000" w:themeColor="text1"/>
        </w:rPr>
        <w:t xml:space="preserve"> better administer its program.</w:t>
      </w:r>
    </w:p>
    <w:p w:rsidR="009865BC" w:rsidRPr="00093B97" w:rsidP="00093B97" w14:paraId="524E6C36" w14:textId="77777777">
      <w:pPr>
        <w:spacing w:line="276" w:lineRule="auto"/>
        <w:contextualSpacing/>
        <w:rPr>
          <w:color w:val="000000" w:themeColor="text1"/>
        </w:rPr>
      </w:pPr>
    </w:p>
    <w:p w:rsidR="00842E74" w:rsidRPr="00093B97" w:rsidP="00093B97" w14:paraId="7731B7B9" w14:textId="54594AB2">
      <w:pPr>
        <w:pStyle w:val="ListParagraph"/>
        <w:numPr>
          <w:ilvl w:val="0"/>
          <w:numId w:val="15"/>
        </w:numPr>
        <w:tabs>
          <w:tab w:val="left" w:pos="360"/>
        </w:tabs>
        <w:spacing w:line="276" w:lineRule="auto"/>
        <w:rPr>
          <w:b/>
          <w:bCs/>
        </w:rPr>
      </w:pPr>
      <w:r w:rsidRPr="00093B97">
        <w:rPr>
          <w:b/>
          <w:bCs/>
          <w:color w:val="000000" w:themeColor="text1"/>
        </w:rPr>
        <w:t xml:space="preserve">Describe </w:t>
      </w:r>
      <w:r w:rsidRPr="00093B97">
        <w:rPr>
          <w:b/>
          <w:bCs/>
        </w:rPr>
        <w:t xml:space="preserve">consultations with representatives of those from whom information is to be obtained or those who must compile records. </w:t>
      </w:r>
      <w:r w:rsidR="00AA1F8B">
        <w:rPr>
          <w:b/>
          <w:bCs/>
        </w:rPr>
        <w:t xml:space="preserve"> </w:t>
      </w:r>
      <w:r w:rsidRPr="00093B97">
        <w:rPr>
          <w:b/>
          <w:bCs/>
        </w:rPr>
        <w:t>Consultation should occur at least once every three years, even if the collection of information activities is the same as in prior periods.  There may</w:t>
      </w:r>
      <w:r w:rsidRPr="00093B97" w:rsidR="00232C69">
        <w:rPr>
          <w:b/>
          <w:bCs/>
        </w:rPr>
        <w:t xml:space="preserve"> </w:t>
      </w:r>
      <w:r w:rsidRPr="00093B97">
        <w:rPr>
          <w:b/>
          <w:bCs/>
        </w:rPr>
        <w:t>be circumstances that may preclude consultation in a specific situation. These circumstances should be explained.</w:t>
      </w:r>
    </w:p>
    <w:p w:rsidR="002D0DA1" w:rsidRPr="00093B97" w:rsidP="00093B97" w14:paraId="4962371B" w14:textId="1040DD85">
      <w:pPr>
        <w:spacing w:line="276" w:lineRule="auto"/>
        <w:contextualSpacing/>
      </w:pPr>
    </w:p>
    <w:p w:rsidR="002D0DA1" w:rsidRPr="00093B97" w:rsidP="00093B97" w14:paraId="57E8ED3C" w14:textId="38DFAA45">
      <w:pPr>
        <w:spacing w:line="276" w:lineRule="auto"/>
        <w:contextualSpacing/>
      </w:pPr>
      <w:r w:rsidRPr="00093B97">
        <w:t xml:space="preserve">Respondents to this information collection and </w:t>
      </w:r>
      <w:r w:rsidRPr="00093B97">
        <w:t xml:space="preserve">FEMA </w:t>
      </w:r>
      <w:r w:rsidRPr="00093B97" w:rsidR="00857B45">
        <w:t>meet each year</w:t>
      </w:r>
      <w:r w:rsidRPr="00093B97">
        <w:t xml:space="preserve"> </w:t>
      </w:r>
      <w:r w:rsidRPr="00093B97" w:rsidR="00857B45">
        <w:t>at a</w:t>
      </w:r>
      <w:r w:rsidRPr="00093B97">
        <w:t xml:space="preserve">n annual </w:t>
      </w:r>
      <w:r w:rsidR="00C06D1A">
        <w:t>NFIP</w:t>
      </w:r>
      <w:r w:rsidRPr="00093B97">
        <w:t xml:space="preserve"> conference</w:t>
      </w:r>
      <w:r w:rsidRPr="00093B97" w:rsidR="00857B45">
        <w:t xml:space="preserve">.  This conference </w:t>
      </w:r>
      <w:r w:rsidRPr="00093B97">
        <w:t>provides a forum for comments, questions and concern</w:t>
      </w:r>
      <w:r w:rsidRPr="00093B97" w:rsidR="00857B45">
        <w:t xml:space="preserve">s to be presented and addressed.  </w:t>
      </w:r>
      <w:r w:rsidRPr="00093B97" w:rsidR="00857B45">
        <w:rPr>
          <w:bCs/>
          <w:iCs/>
        </w:rPr>
        <w:t>The NFIP</w:t>
      </w:r>
      <w:r w:rsidRPr="00093B97" w:rsidR="00857B45">
        <w:t xml:space="preserve"> is able to take the results and improve its customer service. </w:t>
      </w:r>
      <w:r w:rsidRPr="00093B97" w:rsidR="009B76DD">
        <w:t>FEMA also accepts comments via telephone at a toll-free number (</w:t>
      </w:r>
      <w:r w:rsidRPr="00093B97" w:rsidR="4787879E">
        <w:t>877) 336-2627</w:t>
      </w:r>
      <w:r w:rsidRPr="00093B97" w:rsidR="349D5E09">
        <w:t>.</w:t>
      </w:r>
    </w:p>
    <w:p w:rsidR="00842E74" w:rsidRPr="00093B97" w:rsidP="00093B97" w14:paraId="1DE1FC41" w14:textId="79A09EE2">
      <w:pPr>
        <w:spacing w:line="276" w:lineRule="auto"/>
        <w:contextualSpacing/>
      </w:pPr>
    </w:p>
    <w:p w:rsidR="00842E74" w:rsidRPr="00093B97" w:rsidP="00093B97" w14:paraId="0196FAD8" w14:textId="77777777">
      <w:pPr>
        <w:spacing w:line="276" w:lineRule="auto"/>
        <w:contextualSpacing/>
        <w:rPr>
          <w:b/>
          <w:bCs/>
        </w:rPr>
      </w:pPr>
      <w:r w:rsidRPr="00093B97">
        <w:rPr>
          <w:b/>
          <w:bCs/>
        </w:rPr>
        <w:fldChar w:fldCharType="begin"/>
      </w:r>
      <w:r w:rsidRPr="00093B97">
        <w:rPr>
          <w:b/>
          <w:bCs/>
        </w:rPr>
        <w:instrText>ADVANCE \R 0.95</w:instrText>
      </w:r>
      <w:r w:rsidRPr="00093B97">
        <w:rPr>
          <w:b/>
          <w:bCs/>
        </w:rPr>
        <w:fldChar w:fldCharType="end"/>
      </w:r>
      <w:r w:rsidRPr="00093B97">
        <w:rPr>
          <w:b/>
          <w:bCs/>
        </w:rPr>
        <w:t>9.  Explain any decision to provide any payment or gift to respondents, other than remuneration of contractors or grantees.</w:t>
      </w:r>
    </w:p>
    <w:p w:rsidR="00842E74" w:rsidRPr="00093B97" w:rsidP="00093B97" w14:paraId="1821F0E9" w14:textId="77777777">
      <w:pPr>
        <w:spacing w:line="276" w:lineRule="auto"/>
        <w:contextualSpacing/>
      </w:pPr>
    </w:p>
    <w:p w:rsidR="002D0DA1" w:rsidRPr="00093B97" w:rsidP="00093B97" w14:paraId="6923D636" w14:textId="77777777">
      <w:pPr>
        <w:spacing w:line="276" w:lineRule="auto"/>
        <w:contextualSpacing/>
      </w:pPr>
      <w:r w:rsidRPr="00093B97">
        <w:t>FEMA does not provide payments or gifts to respondents in exchange for a benefit sought.</w:t>
      </w:r>
    </w:p>
    <w:p w:rsidR="002D0DA1" w:rsidRPr="00093B97" w:rsidP="00093B97" w14:paraId="1EDDCA78" w14:textId="77777777">
      <w:pPr>
        <w:spacing w:line="276" w:lineRule="auto"/>
        <w:contextualSpacing/>
      </w:pPr>
    </w:p>
    <w:p w:rsidR="00842E74" w:rsidRPr="00093B97" w:rsidP="00093B97" w14:paraId="3DAD2E84" w14:textId="77777777">
      <w:pPr>
        <w:tabs>
          <w:tab w:val="left" w:pos="360"/>
        </w:tabs>
        <w:spacing w:line="276" w:lineRule="auto"/>
        <w:contextualSpacing/>
        <w:rPr>
          <w:b/>
          <w:bCs/>
        </w:rPr>
      </w:pPr>
      <w:r w:rsidRPr="00093B97">
        <w:rPr>
          <w:b/>
          <w:bCs/>
        </w:rPr>
        <w:t xml:space="preserve">10.  </w:t>
      </w:r>
      <w:r w:rsidRPr="00093B97">
        <w:rPr>
          <w:b/>
          <w:bCs/>
        </w:rPr>
        <w:t>Describe any assurance of confidentiality provided to respondents</w:t>
      </w:r>
      <w:r w:rsidRPr="00093B97" w:rsidR="0094233D">
        <w:rPr>
          <w:b/>
          <w:bCs/>
        </w:rPr>
        <w:t xml:space="preserve">. </w:t>
      </w:r>
      <w:r w:rsidRPr="00093B97">
        <w:rPr>
          <w:b/>
          <w:bCs/>
        </w:rPr>
        <w:t xml:space="preserve"> </w:t>
      </w:r>
      <w:r w:rsidRPr="00093B97" w:rsidR="0094233D">
        <w:rPr>
          <w:b/>
          <w:bCs/>
        </w:rPr>
        <w:t xml:space="preserve">Present </w:t>
      </w:r>
      <w:r w:rsidRPr="00093B97">
        <w:rPr>
          <w:b/>
          <w:bCs/>
        </w:rPr>
        <w:t xml:space="preserve">the basis for the assurance in statute, regulation, or agency policy.  </w:t>
      </w:r>
    </w:p>
    <w:p w:rsidR="00C313FA" w:rsidRPr="00093B97" w:rsidP="00093B97" w14:paraId="37DE5E63" w14:textId="77777777">
      <w:pPr>
        <w:tabs>
          <w:tab w:val="left" w:pos="360"/>
        </w:tabs>
        <w:spacing w:line="276" w:lineRule="auto"/>
        <w:contextualSpacing/>
      </w:pPr>
      <w:r w:rsidRPr="00093B97">
        <w:fldChar w:fldCharType="begin"/>
      </w:r>
      <w:r w:rsidRPr="00093B97">
        <w:instrText>ADVANCE \R 0.95</w:instrText>
      </w:r>
      <w:r w:rsidRPr="00093B97">
        <w:fldChar w:fldCharType="end"/>
      </w:r>
    </w:p>
    <w:p w:rsidR="0090045D" w:rsidRPr="00093B97" w:rsidP="00093B97" w14:paraId="18C37E67" w14:textId="2502F4D9">
      <w:pPr>
        <w:tabs>
          <w:tab w:val="left" w:pos="360"/>
        </w:tabs>
        <w:spacing w:line="276" w:lineRule="auto"/>
        <w:contextualSpacing/>
      </w:pPr>
      <w:r>
        <w:t>A Privacy Threshold Analysis (PTA) for OFIA’s Ask the Advocate Web</w:t>
      </w:r>
      <w:r w:rsidR="0052230A">
        <w:t xml:space="preserve"> F</w:t>
      </w:r>
      <w:r>
        <w:t xml:space="preserve">orm was approved by the DHS Privacy Office on </w:t>
      </w:r>
      <w:r w:rsidR="00C45EC7">
        <w:t>June 25, 2024</w:t>
      </w:r>
      <w:r w:rsidR="258D7E02">
        <w:t>.</w:t>
      </w:r>
    </w:p>
    <w:p w:rsidR="0090045D" w:rsidRPr="00093B97" w:rsidP="00093B97" w14:paraId="43598660" w14:textId="2FD64763">
      <w:pPr>
        <w:spacing w:line="276" w:lineRule="auto"/>
        <w:contextualSpacing/>
        <w:rPr>
          <w:color w:val="000000" w:themeColor="text1"/>
        </w:rPr>
      </w:pPr>
    </w:p>
    <w:p w:rsidR="00A301CF" w:rsidRPr="00093B97" w:rsidP="00093B97" w14:paraId="7DCA9BF9" w14:textId="2E8FE3DF">
      <w:pPr>
        <w:tabs>
          <w:tab w:val="left" w:pos="360"/>
        </w:tabs>
        <w:spacing w:line="276" w:lineRule="auto"/>
        <w:contextualSpacing/>
      </w:pPr>
      <w:r w:rsidRPr="00093B97">
        <w:t>This form is covered by Privacy Impact Assessment (PIA), DHS/ALL/PIA-006 DHS General Contacts Lists.</w:t>
      </w:r>
    </w:p>
    <w:p w:rsidR="00A301CF" w:rsidRPr="00093B97" w:rsidP="00093B97" w14:paraId="645002E5" w14:textId="77777777">
      <w:pPr>
        <w:tabs>
          <w:tab w:val="left" w:pos="360"/>
        </w:tabs>
        <w:spacing w:line="276" w:lineRule="auto"/>
        <w:contextualSpacing/>
      </w:pPr>
    </w:p>
    <w:p w:rsidR="00F00C47" w:rsidRPr="00093B97" w:rsidP="00093B97" w14:paraId="46265C54" w14:textId="4BD4659B">
      <w:pPr>
        <w:tabs>
          <w:tab w:val="left" w:pos="360"/>
        </w:tabs>
        <w:spacing w:line="276" w:lineRule="auto"/>
        <w:contextualSpacing/>
      </w:pPr>
      <w:r w:rsidRPr="00093B97">
        <w:t>OFIA does not intend to disclose any customer personal information outside of DHS.  DHS may need to disclose the information outside of the Department</w:t>
      </w:r>
      <w:r w:rsidRPr="00093B97" w:rsidR="00892C7F">
        <w:t xml:space="preserve">, </w:t>
      </w:r>
      <w:r w:rsidRPr="00093B97">
        <w:t xml:space="preserve">which will be consistent with </w:t>
      </w:r>
      <w:r w:rsidRPr="00093B97" w:rsidR="00892C7F">
        <w:rPr>
          <w:color w:val="000000" w:themeColor="text1"/>
        </w:rPr>
        <w:t>DHS/FEMA</w:t>
      </w:r>
      <w:r w:rsidRPr="00093B97">
        <w:rPr>
          <w:color w:val="000000" w:themeColor="text1"/>
        </w:rPr>
        <w:t>-003 National Flood Insurance Program Files System of Records</w:t>
      </w:r>
      <w:r w:rsidRPr="00093B97" w:rsidR="00892C7F">
        <w:rPr>
          <w:color w:val="000000" w:themeColor="text1"/>
        </w:rPr>
        <w:t xml:space="preserve"> Notice (SORN), published in the Federal Register at </w:t>
      </w:r>
      <w:r w:rsidRPr="00093B97" w:rsidR="00892C7F">
        <w:t xml:space="preserve">79 FR 28747 </w:t>
      </w:r>
      <w:r w:rsidRPr="00093B97" w:rsidR="00892C7F">
        <w:rPr>
          <w:color w:val="000000" w:themeColor="text1"/>
        </w:rPr>
        <w:t>on May 19, 2014</w:t>
      </w:r>
      <w:r w:rsidR="00990903">
        <w:rPr>
          <w:color w:val="000000" w:themeColor="text1"/>
        </w:rPr>
        <w:t>.</w:t>
      </w:r>
    </w:p>
    <w:p w:rsidR="3A4197CE" w:rsidP="343BF009" w14:paraId="5A4E5317" w14:textId="055406DA">
      <w:pPr>
        <w:tabs>
          <w:tab w:val="left" w:pos="360"/>
        </w:tabs>
        <w:spacing w:line="276" w:lineRule="auto"/>
        <w:contextualSpacing/>
        <w:rPr>
          <w:color w:val="000000" w:themeColor="text1"/>
        </w:rPr>
      </w:pPr>
      <w:r w:rsidRPr="343BF009">
        <w:rPr>
          <w:color w:val="000000" w:themeColor="text1"/>
        </w:rPr>
        <w:t xml:space="preserve"> </w:t>
      </w:r>
    </w:p>
    <w:p w:rsidR="00842E74" w:rsidRPr="00093B97" w:rsidP="00093B97" w14:paraId="777798A9" w14:textId="33985D77">
      <w:pPr>
        <w:tabs>
          <w:tab w:val="left" w:pos="360"/>
        </w:tabs>
        <w:spacing w:line="276" w:lineRule="auto"/>
        <w:contextualSpacing/>
        <w:rPr>
          <w:b/>
          <w:bCs/>
        </w:rPr>
      </w:pPr>
      <w:r w:rsidRPr="00093B97">
        <w:rPr>
          <w:b/>
          <w:bCs/>
        </w:rPr>
        <w:t xml:space="preserve">11.  Provide additional justification for any question </w:t>
      </w:r>
      <w:r w:rsidRPr="00093B97" w:rsidR="000E0572">
        <w:rPr>
          <w:b/>
          <w:bCs/>
        </w:rPr>
        <w:t>of</w:t>
      </w:r>
      <w:r w:rsidRPr="00093B97">
        <w:rPr>
          <w:b/>
          <w:bCs/>
        </w:rPr>
        <w:t xml:space="preserve"> </w:t>
      </w:r>
      <w:r w:rsidRPr="00093B97" w:rsidR="000E0572">
        <w:rPr>
          <w:b/>
          <w:bCs/>
        </w:rPr>
        <w:t xml:space="preserve">a </w:t>
      </w:r>
      <w:r w:rsidRPr="00093B97">
        <w:rPr>
          <w:b/>
          <w:bCs/>
        </w:rPr>
        <w:t xml:space="preserve">sensitive </w:t>
      </w:r>
      <w:r w:rsidRPr="00093B97" w:rsidR="000E0572">
        <w:rPr>
          <w:b/>
          <w:bCs/>
        </w:rPr>
        <w:t>nature</w:t>
      </w:r>
      <w:r w:rsidRPr="00093B97">
        <w:rPr>
          <w:b/>
          <w:bCs/>
        </w:rPr>
        <w:t xml:space="preserve"> </w:t>
      </w:r>
      <w:r w:rsidRPr="00093B97" w:rsidR="000E0572">
        <w:rPr>
          <w:b/>
          <w:bCs/>
        </w:rPr>
        <w:t>(</w:t>
      </w:r>
      <w:r w:rsidRPr="00093B97">
        <w:rPr>
          <w:b/>
          <w:bCs/>
        </w:rPr>
        <w:t>such as sexual behavior and attitudes, religious beliefs and other matters that are commonly considered private</w:t>
      </w:r>
      <w:r w:rsidRPr="00093B97" w:rsidR="000E0572">
        <w:rPr>
          <w:b/>
          <w:bCs/>
        </w:rPr>
        <w:t>)</w:t>
      </w:r>
      <w:r w:rsidRPr="00093B97">
        <w:rPr>
          <w:b/>
          <w:bCs/>
        </w:rPr>
        <w:t xml:space="preserve">.  This justification should include the reasons why the </w:t>
      </w:r>
      <w:r w:rsidR="00AA1F8B">
        <w:rPr>
          <w:b/>
          <w:bCs/>
        </w:rPr>
        <w:t>A</w:t>
      </w:r>
      <w:r w:rsidRPr="00093B97">
        <w:rPr>
          <w:b/>
          <w:bCs/>
        </w:rPr>
        <w:t xml:space="preserve">gency </w:t>
      </w:r>
      <w:r w:rsidRPr="00093B97">
        <w:rPr>
          <w:b/>
          <w:bCs/>
        </w:rPr>
        <w:t xml:space="preserve">considers the questions necessary, the specific uses to be made of the information, the explanation to be given to persons from whom the information is requested, and any steps to be taken to obtain their consent. </w:t>
      </w:r>
    </w:p>
    <w:p w:rsidR="00842E74" w:rsidRPr="00093B97" w:rsidP="00093B97" w14:paraId="4228775E" w14:textId="77777777">
      <w:pPr>
        <w:spacing w:line="276" w:lineRule="auto"/>
        <w:contextualSpacing/>
      </w:pPr>
    </w:p>
    <w:p w:rsidR="005D4A07" w:rsidRPr="00093B97" w:rsidP="00093B97" w14:paraId="25782140" w14:textId="77777777">
      <w:pPr>
        <w:spacing w:line="276" w:lineRule="auto"/>
        <w:contextualSpacing/>
      </w:pPr>
      <w:r w:rsidRPr="00093B97">
        <w:t>There are no questions of sensitive nature.</w:t>
      </w:r>
    </w:p>
    <w:p w:rsidR="005D4A07" w:rsidRPr="00093B97" w:rsidP="00093B97" w14:paraId="0CA04E66" w14:textId="77777777">
      <w:pPr>
        <w:spacing w:line="276" w:lineRule="auto"/>
        <w:contextualSpacing/>
      </w:pPr>
    </w:p>
    <w:p w:rsidR="00842E74" w:rsidRPr="00093B97" w:rsidP="00093B97" w14:paraId="7CEC50BB" w14:textId="77E5A1C4">
      <w:pPr>
        <w:spacing w:line="276" w:lineRule="auto"/>
        <w:contextualSpacing/>
        <w:rPr>
          <w:b/>
          <w:bCs/>
        </w:rPr>
      </w:pPr>
      <w:r w:rsidRPr="00093B97">
        <w:rPr>
          <w:b/>
          <w:bCs/>
        </w:rPr>
        <w:fldChar w:fldCharType="begin"/>
      </w:r>
      <w:r w:rsidRPr="00093B97">
        <w:rPr>
          <w:b/>
          <w:bCs/>
        </w:rPr>
        <w:instrText>ADVANCE \R 0.95</w:instrText>
      </w:r>
      <w:r w:rsidRPr="00093B97">
        <w:rPr>
          <w:b/>
          <w:bCs/>
        </w:rPr>
        <w:fldChar w:fldCharType="end"/>
      </w:r>
      <w:r w:rsidRPr="00093B97">
        <w:rPr>
          <w:b/>
          <w:bCs/>
        </w:rPr>
        <w:fldChar w:fldCharType="begin"/>
      </w:r>
      <w:r w:rsidRPr="00093B97">
        <w:rPr>
          <w:b/>
          <w:bCs/>
        </w:rPr>
        <w:instrText>ADVANCE \R 0.95</w:instrText>
      </w:r>
      <w:r w:rsidRPr="00093B97">
        <w:rPr>
          <w:b/>
          <w:bCs/>
        </w:rPr>
        <w:fldChar w:fldCharType="end"/>
      </w:r>
      <w:r w:rsidRPr="00093B97">
        <w:rPr>
          <w:b/>
          <w:bCs/>
        </w:rPr>
        <w:t xml:space="preserve">12. </w:t>
      </w:r>
      <w:r w:rsidRPr="00093B97" w:rsidR="00763992">
        <w:rPr>
          <w:b/>
          <w:bCs/>
        </w:rPr>
        <w:t xml:space="preserve"> </w:t>
      </w:r>
      <w:r w:rsidRPr="00093B97">
        <w:rPr>
          <w:b/>
          <w:bCs/>
        </w:rPr>
        <w:t>Provide estimates of the hour burden of the collection of information.  The statement should:</w:t>
      </w:r>
    </w:p>
    <w:p w:rsidR="00842E74" w:rsidRPr="001D11E1" w:rsidP="00093B97" w14:paraId="10E2002F" w14:textId="653C19BD">
      <w:pPr>
        <w:spacing w:line="276" w:lineRule="auto"/>
        <w:contextualSpacing/>
        <w:rPr>
          <w:b/>
          <w:bCs/>
          <w:color w:val="000000" w:themeColor="text1"/>
        </w:rPr>
      </w:pPr>
      <w:r w:rsidRPr="00093B97">
        <w:rPr>
          <w:b/>
          <w:bCs/>
        </w:rPr>
        <w:fldChar w:fldCharType="begin"/>
      </w:r>
      <w:r w:rsidRPr="00093B97">
        <w:rPr>
          <w:b/>
          <w:bCs/>
        </w:rPr>
        <w:instrText>ADVANCE \R 0.95</w:instrText>
      </w:r>
      <w:r w:rsidRPr="00093B97">
        <w:rPr>
          <w:b/>
          <w:bCs/>
        </w:rPr>
        <w:fldChar w:fldCharType="end"/>
      </w:r>
    </w:p>
    <w:p w:rsidR="00842E74" w:rsidRPr="00093B97" w:rsidP="00093B97" w14:paraId="492DD46E" w14:textId="6A1671CB">
      <w:pPr>
        <w:spacing w:line="276" w:lineRule="auto"/>
        <w:contextualSpacing/>
        <w:rPr>
          <w:b/>
          <w:bCs/>
        </w:rPr>
      </w:pPr>
      <w:r w:rsidRPr="00093B97">
        <w:rPr>
          <w:b/>
          <w:bCs/>
        </w:rPr>
        <w:fldChar w:fldCharType="begin"/>
      </w:r>
      <w:r w:rsidRPr="00093B97">
        <w:rPr>
          <w:b/>
          <w:bCs/>
        </w:rPr>
        <w:instrText>ADVANCE \R 0.95</w:instrText>
      </w:r>
      <w:r w:rsidRPr="00093B97">
        <w:rPr>
          <w:b/>
          <w:bCs/>
        </w:rPr>
        <w:fldChar w:fldCharType="end"/>
      </w:r>
      <w:r w:rsidRPr="00093B97" w:rsidR="00920A21">
        <w:rPr>
          <w:b/>
          <w:bCs/>
        </w:rPr>
        <w:tab/>
      </w:r>
      <w:r w:rsidRPr="00093B97" w:rsidR="00763992">
        <w:rPr>
          <w:b/>
          <w:bCs/>
        </w:rPr>
        <w:t xml:space="preserve">a. </w:t>
      </w:r>
      <w:r w:rsidRPr="00093B97">
        <w:rPr>
          <w:b/>
          <w:bCs/>
        </w:rPr>
        <w:t>Indicate the number of respondents, frequency of response, annual hour burden, and an explanation of how the burden was estimated</w:t>
      </w:r>
      <w:r w:rsidRPr="00093B97" w:rsidR="00FD6C8B">
        <w:rPr>
          <w:b/>
          <w:bCs/>
        </w:rPr>
        <w:t xml:space="preserve"> for each collection instrument (separately list each instrument and describe information as requested)</w:t>
      </w:r>
      <w:r w:rsidRPr="00093B97">
        <w:rPr>
          <w:b/>
          <w:bCs/>
        </w:rPr>
        <w:t>.  Unless</w:t>
      </w:r>
      <w:r w:rsidRPr="00093B97" w:rsidR="04D8788F">
        <w:rPr>
          <w:b/>
          <w:bCs/>
        </w:rPr>
        <w:t xml:space="preserve"> </w:t>
      </w:r>
      <w:r w:rsidRPr="00093B97">
        <w:rPr>
          <w:b/>
          <w:bCs/>
        </w:rPr>
        <w:t>directed to do so, agencies should not conduct special surveys to obtain</w:t>
      </w:r>
      <w:r w:rsidRPr="00093B97" w:rsidR="00232C69">
        <w:rPr>
          <w:b/>
          <w:bCs/>
        </w:rPr>
        <w:t xml:space="preserve"> </w:t>
      </w:r>
      <w:r w:rsidRPr="00093B97">
        <w:rPr>
          <w:b/>
          <w:bCs/>
        </w:rPr>
        <w:t xml:space="preserve">information on which to base hour burden </w:t>
      </w:r>
      <w:r w:rsidRPr="00093B97" w:rsidR="00763992">
        <w:rPr>
          <w:b/>
          <w:bCs/>
        </w:rPr>
        <w:t>estimates.  Consultation with a</w:t>
      </w:r>
      <w:r w:rsidRPr="00093B97" w:rsidR="00FD6C8B">
        <w:rPr>
          <w:b/>
          <w:bCs/>
        </w:rPr>
        <w:t xml:space="preserve"> </w:t>
      </w:r>
      <w:r w:rsidRPr="00093B97">
        <w:rPr>
          <w:b/>
          <w:bCs/>
        </w:rPr>
        <w:t>sample (fewer than 10) of potential respondents is desired.  If the hour</w:t>
      </w:r>
      <w:r w:rsidRPr="00093B97" w:rsidR="2C2464E6">
        <w:rPr>
          <w:b/>
          <w:bCs/>
        </w:rPr>
        <w:t xml:space="preserve"> </w:t>
      </w:r>
      <w:r w:rsidRPr="00093B97" w:rsidR="00920A21">
        <w:rPr>
          <w:b/>
          <w:bCs/>
        </w:rPr>
        <w:tab/>
      </w:r>
      <w:r w:rsidRPr="00093B97">
        <w:rPr>
          <w:b/>
          <w:bCs/>
        </w:rPr>
        <w:t>burden on respondents is expected to vary widely because of differences in</w:t>
      </w:r>
      <w:r w:rsidRPr="00093B97" w:rsidR="00232C69">
        <w:rPr>
          <w:b/>
          <w:bCs/>
        </w:rPr>
        <w:t xml:space="preserve"> </w:t>
      </w:r>
      <w:r w:rsidRPr="00093B97">
        <w:rPr>
          <w:b/>
          <w:bCs/>
        </w:rPr>
        <w:t>activity, size, or complexity, show the range of estimated hour burden, and explain the reasons for the variance.  Generally, estimates should not include</w:t>
      </w:r>
      <w:r w:rsidRPr="00093B97" w:rsidR="00232C69">
        <w:rPr>
          <w:b/>
          <w:bCs/>
        </w:rPr>
        <w:t xml:space="preserve"> </w:t>
      </w:r>
      <w:r w:rsidRPr="00093B97">
        <w:rPr>
          <w:b/>
          <w:bCs/>
        </w:rPr>
        <w:t>burden hours for customary and usual business practices.</w:t>
      </w:r>
    </w:p>
    <w:p w:rsidR="005D4A07" w:rsidRPr="00093B97" w:rsidP="00093B97" w14:paraId="7E3B5321" w14:textId="77777777">
      <w:pPr>
        <w:spacing w:line="276" w:lineRule="auto"/>
        <w:contextualSpacing/>
        <w:rPr>
          <w:bCs/>
        </w:rPr>
      </w:pPr>
    </w:p>
    <w:p w:rsidR="000332CA" w:rsidRPr="00093B97" w:rsidP="00093B97" w14:paraId="07F8E47C" w14:textId="45DF44B7">
      <w:pPr>
        <w:spacing w:line="276" w:lineRule="auto"/>
        <w:contextualSpacing/>
      </w:pPr>
      <w:r w:rsidRPr="00AB4FC4">
        <w:rPr>
          <w:b/>
        </w:rPr>
        <w:t xml:space="preserve">FEMA </w:t>
      </w:r>
      <w:r w:rsidRPr="00E64C40">
        <w:rPr>
          <w:b/>
          <w:color w:val="000000" w:themeColor="text1"/>
        </w:rPr>
        <w:t>Form FF-</w:t>
      </w:r>
      <w:r w:rsidRPr="00E64C40" w:rsidR="00643DB7">
        <w:rPr>
          <w:b/>
          <w:color w:val="000000" w:themeColor="text1"/>
        </w:rPr>
        <w:t>206</w:t>
      </w:r>
      <w:r w:rsidRPr="00E64C40">
        <w:rPr>
          <w:b/>
          <w:color w:val="000000" w:themeColor="text1"/>
        </w:rPr>
        <w:t>-FY-</w:t>
      </w:r>
      <w:r w:rsidRPr="00E64C40" w:rsidR="00643DB7">
        <w:rPr>
          <w:b/>
          <w:color w:val="000000" w:themeColor="text1"/>
        </w:rPr>
        <w:t>21</w:t>
      </w:r>
      <w:r w:rsidRPr="00E64C40">
        <w:rPr>
          <w:b/>
          <w:color w:val="000000" w:themeColor="text1"/>
        </w:rPr>
        <w:t>-</w:t>
      </w:r>
      <w:r w:rsidRPr="00E64C40" w:rsidR="00643DB7">
        <w:rPr>
          <w:b/>
          <w:color w:val="000000" w:themeColor="text1"/>
        </w:rPr>
        <w:t>121</w:t>
      </w:r>
      <w:r w:rsidRPr="00E64C40">
        <w:rPr>
          <w:b/>
          <w:color w:val="000000" w:themeColor="text1"/>
        </w:rPr>
        <w:t xml:space="preserve">, Ask </w:t>
      </w:r>
      <w:r w:rsidRPr="00AB4FC4">
        <w:rPr>
          <w:b/>
        </w:rPr>
        <w:t>the Advocate Web Form</w:t>
      </w:r>
      <w:r>
        <w:rPr>
          <w:b/>
        </w:rPr>
        <w:t>:</w:t>
      </w:r>
      <w:r w:rsidRPr="00093B97">
        <w:t xml:space="preserve"> </w:t>
      </w:r>
      <w:r w:rsidRPr="00093B97">
        <w:t>is estimated t</w:t>
      </w:r>
      <w:r>
        <w:t>o have</w:t>
      </w:r>
      <w:r w:rsidRPr="00093B97">
        <w:t xml:space="preserve"> </w:t>
      </w:r>
      <w:r w:rsidRPr="00093B97" w:rsidR="007763D0">
        <w:t>1</w:t>
      </w:r>
      <w:r w:rsidR="00AE2E3D">
        <w:t>,</w:t>
      </w:r>
      <w:r w:rsidRPr="00093B97" w:rsidR="007763D0">
        <w:t>0</w:t>
      </w:r>
      <w:r w:rsidRPr="00093B97">
        <w:t>00 respondents</w:t>
      </w:r>
      <w:r>
        <w:t xml:space="preserve"> times 1 response per year for </w:t>
      </w:r>
      <w:r w:rsidR="00AE2E3D">
        <w:t>1,000 total response (1,000 x 1 = 1,000)</w:t>
      </w:r>
      <w:r w:rsidR="006377A7">
        <w:t>.</w:t>
      </w:r>
      <w:r w:rsidRPr="00093B97">
        <w:t xml:space="preserve"> </w:t>
      </w:r>
      <w:r w:rsidR="006377A7">
        <w:t xml:space="preserve"> It</w:t>
      </w:r>
      <w:r w:rsidRPr="00093B97">
        <w:t xml:space="preserve"> is estimated </w:t>
      </w:r>
      <w:r w:rsidR="00A01036">
        <w:t>that each response will require</w:t>
      </w:r>
      <w:r w:rsidRPr="00093B97">
        <w:t xml:space="preserve"> 0.08</w:t>
      </w:r>
      <w:r w:rsidR="00B2538E">
        <w:t>33</w:t>
      </w:r>
      <w:r w:rsidRPr="00093B97">
        <w:t xml:space="preserve"> hours (5 minutes) </w:t>
      </w:r>
      <w:r w:rsidR="000C52C4">
        <w:t>burden hours to complete, therefore 1,000 responses time</w:t>
      </w:r>
      <w:r w:rsidR="00C718A5">
        <w:t>s</w:t>
      </w:r>
      <w:r w:rsidR="000C52C4">
        <w:t xml:space="preserve"> 0.0833</w:t>
      </w:r>
      <w:r w:rsidR="00C718A5">
        <w:t xml:space="preserve"> hours equals 8</w:t>
      </w:r>
      <w:r w:rsidR="0066565B">
        <w:t>3</w:t>
      </w:r>
      <w:r w:rsidR="00C718A5">
        <w:t xml:space="preserve"> total annual burden hours</w:t>
      </w:r>
      <w:r w:rsidR="00D9278A">
        <w:t xml:space="preserve"> (</w:t>
      </w:r>
      <w:r w:rsidRPr="00093B97" w:rsidR="00137B4F">
        <w:t>1</w:t>
      </w:r>
      <w:r w:rsidR="00D9278A">
        <w:t>,</w:t>
      </w:r>
      <w:r w:rsidRPr="00093B97" w:rsidR="00137B4F">
        <w:t xml:space="preserve">000 </w:t>
      </w:r>
      <w:r w:rsidRPr="00093B97">
        <w:t>x 0.08</w:t>
      </w:r>
      <w:r w:rsidR="00B2538E">
        <w:t>33</w:t>
      </w:r>
      <w:r w:rsidRPr="00093B97">
        <w:t xml:space="preserve"> = </w:t>
      </w:r>
      <w:r w:rsidRPr="00093B97" w:rsidR="00785A39">
        <w:t>8</w:t>
      </w:r>
      <w:r w:rsidR="0066565B">
        <w:t>3.3 (rounded down)</w:t>
      </w:r>
      <w:r w:rsidR="00D9278A">
        <w:t>)</w:t>
      </w:r>
      <w:r w:rsidRPr="00093B97">
        <w:t xml:space="preserve">.  </w:t>
      </w:r>
    </w:p>
    <w:p w:rsidR="00B104B7" w:rsidRPr="00093B97" w:rsidP="00093B97" w14:paraId="3F7CAA09" w14:textId="77777777">
      <w:pPr>
        <w:spacing w:line="276" w:lineRule="auto"/>
        <w:contextualSpacing/>
        <w:rPr>
          <w:bCs/>
        </w:rPr>
      </w:pPr>
    </w:p>
    <w:p w:rsidR="00842E74" w:rsidRPr="00093B97" w:rsidP="00093B97" w14:paraId="3E55B152" w14:textId="77777777">
      <w:pPr>
        <w:spacing w:line="276" w:lineRule="auto"/>
        <w:contextualSpacing/>
        <w:rPr>
          <w:b/>
          <w:bCs/>
        </w:rPr>
      </w:pPr>
      <w:r w:rsidRPr="00093B97">
        <w:fldChar w:fldCharType="begin"/>
      </w:r>
      <w:r w:rsidRPr="00093B97">
        <w:instrText>ADVANCE \R 0.95</w:instrText>
      </w:r>
      <w:r w:rsidRPr="00093B97">
        <w:fldChar w:fldCharType="end"/>
      </w:r>
      <w:r w:rsidRPr="00093B97">
        <w:tab/>
      </w:r>
      <w:r w:rsidRPr="00093B97">
        <w:rPr>
          <w:b/>
          <w:bCs/>
        </w:rPr>
        <w:t>b.  If this request for approval covers more than one form, provide separate hour burden estimates for each form and aggregate the hour burdens in Item 13 of OMB Form 83-I.</w:t>
      </w:r>
    </w:p>
    <w:p w:rsidR="00842E74" w:rsidRPr="006743F8" w:rsidP="00093B97" w14:paraId="788066E2" w14:textId="77777777">
      <w:pPr>
        <w:spacing w:line="276" w:lineRule="auto"/>
        <w:contextualSpacing/>
      </w:pPr>
    </w:p>
    <w:p w:rsidR="006743F8" w:rsidRPr="006743F8" w:rsidP="00093B97" w14:paraId="5778D2F8" w14:textId="5FCFB6F9">
      <w:pPr>
        <w:spacing w:line="276" w:lineRule="auto"/>
        <w:contextualSpacing/>
      </w:pPr>
      <w:r w:rsidRPr="006743F8">
        <w:t>Please see our responses to 12a above and 12c below.</w:t>
      </w:r>
    </w:p>
    <w:p w:rsidR="006743F8" w:rsidRPr="006743F8" w:rsidP="00093B97" w14:paraId="7A88FAE7" w14:textId="77777777">
      <w:pPr>
        <w:spacing w:line="276" w:lineRule="auto"/>
        <w:contextualSpacing/>
      </w:pPr>
    </w:p>
    <w:p w:rsidR="00881E3A" w:rsidRPr="00093B97" w:rsidP="00093B97" w14:paraId="70F7F2F8" w14:textId="1E1C77DE">
      <w:pPr>
        <w:spacing w:line="276" w:lineRule="auto"/>
        <w:contextualSpacing/>
        <w:rPr>
          <w:b/>
          <w:bCs/>
        </w:rPr>
      </w:pPr>
      <w:r w:rsidRPr="00093B97">
        <w:rPr>
          <w:b/>
          <w:bCs/>
        </w:rPr>
        <w:tab/>
        <w:t>c.</w:t>
      </w:r>
      <w:r w:rsidRPr="00093B97" w:rsidR="006A4787">
        <w:rPr>
          <w:b/>
          <w:bCs/>
        </w:rPr>
        <w:t xml:space="preserve"> </w:t>
      </w:r>
      <w:r w:rsidRPr="00093B97">
        <w:rPr>
          <w:b/>
          <w:bCs/>
        </w:rPr>
        <w:t xml:space="preserve">Provide </w:t>
      </w:r>
      <w:r w:rsidRPr="00093B97" w:rsidR="00763992">
        <w:rPr>
          <w:b/>
          <w:bCs/>
        </w:rPr>
        <w:t xml:space="preserve">an </w:t>
      </w:r>
      <w:r w:rsidRPr="00093B97">
        <w:rPr>
          <w:b/>
          <w:bCs/>
        </w:rPr>
        <w:t>estimate of annualized cost to respondents for the hour burdens for collections of information, identifying and using appropriate</w:t>
      </w:r>
      <w:r w:rsidRPr="00093B97" w:rsidR="00232C69">
        <w:rPr>
          <w:b/>
          <w:bCs/>
        </w:rPr>
        <w:t xml:space="preserve"> </w:t>
      </w:r>
      <w:r w:rsidRPr="00093B97">
        <w:rPr>
          <w:b/>
          <w:bCs/>
        </w:rPr>
        <w:t>wage rate</w:t>
      </w:r>
      <w:r w:rsidRPr="00093B97" w:rsidR="00763992">
        <w:rPr>
          <w:b/>
          <w:bCs/>
        </w:rPr>
        <w:t xml:space="preserve"> </w:t>
      </w:r>
      <w:r w:rsidRPr="00093B97">
        <w:rPr>
          <w:b/>
          <w:bCs/>
        </w:rPr>
        <w:t>categories.</w:t>
      </w:r>
      <w:r w:rsidRPr="00093B97" w:rsidR="009B69D3">
        <w:rPr>
          <w:b/>
          <w:bCs/>
        </w:rPr>
        <w:t xml:space="preserve">  NOTE: The wage-rate category for each respondent must be multiplied by 1.4</w:t>
      </w:r>
      <w:r w:rsidR="009E69A7">
        <w:rPr>
          <w:b/>
          <w:bCs/>
        </w:rPr>
        <w:t xml:space="preserve">5 </w:t>
      </w:r>
      <w:r w:rsidRPr="000A4936" w:rsidR="00F31CD1">
        <w:rPr>
          <w:b/>
          <w:bCs/>
        </w:rPr>
        <w:t>(1.6</w:t>
      </w:r>
      <w:r w:rsidR="00F31CD1">
        <w:rPr>
          <w:b/>
          <w:bCs/>
        </w:rPr>
        <w:t>2</w:t>
      </w:r>
      <w:r w:rsidRPr="000A4936" w:rsidR="00F31CD1">
        <w:rPr>
          <w:b/>
          <w:bCs/>
        </w:rPr>
        <w:t xml:space="preserve"> for State and local government employees)</w:t>
      </w:r>
      <w:r w:rsidRPr="000A4936" w:rsidR="00F31CD1">
        <w:rPr>
          <w:rStyle w:val="FootnoteReference"/>
          <w:b/>
          <w:bCs/>
        </w:rPr>
        <w:t xml:space="preserve"> </w:t>
      </w:r>
      <w:r>
        <w:rPr>
          <w:rStyle w:val="FootnoteReference"/>
          <w:b/>
          <w:bCs/>
        </w:rPr>
        <w:footnoteReference w:id="3"/>
      </w:r>
      <w:r w:rsidR="009E69A7">
        <w:rPr>
          <w:b/>
          <w:bCs/>
        </w:rPr>
        <w:t xml:space="preserve"> </w:t>
      </w:r>
      <w:r w:rsidRPr="00093B97" w:rsidR="009B69D3">
        <w:rPr>
          <w:b/>
          <w:bCs/>
        </w:rPr>
        <w:t xml:space="preserve"> and this total should be </w:t>
      </w:r>
      <w:r w:rsidRPr="00093B97" w:rsidR="009B69D3">
        <w:rPr>
          <w:b/>
          <w:bCs/>
        </w:rPr>
        <w:t>entered in the cell for “Avg. Hourly Wage Rate”.</w:t>
      </w:r>
      <w:r w:rsidRPr="00093B97">
        <w:rPr>
          <w:b/>
          <w:bCs/>
        </w:rPr>
        <w:t xml:space="preserve">  The cost </w:t>
      </w:r>
      <w:r w:rsidRPr="00093B97" w:rsidR="006C04FF">
        <w:rPr>
          <w:b/>
          <w:bCs/>
        </w:rPr>
        <w:t xml:space="preserve">to the respondents </w:t>
      </w:r>
      <w:r w:rsidRPr="00093B97">
        <w:rPr>
          <w:b/>
          <w:bCs/>
        </w:rPr>
        <w:t>of contracting out or</w:t>
      </w:r>
      <w:r w:rsidRPr="00093B97" w:rsidR="00232C69">
        <w:rPr>
          <w:b/>
          <w:bCs/>
        </w:rPr>
        <w:t xml:space="preserve"> </w:t>
      </w:r>
      <w:r w:rsidRPr="00093B97">
        <w:rPr>
          <w:b/>
          <w:bCs/>
        </w:rPr>
        <w:t>paying outside parties for information collection activities should not be</w:t>
      </w:r>
      <w:r w:rsidRPr="00093B97" w:rsidR="00232C69">
        <w:rPr>
          <w:b/>
          <w:bCs/>
        </w:rPr>
        <w:t xml:space="preserve"> </w:t>
      </w:r>
      <w:r w:rsidRPr="00093B97">
        <w:rPr>
          <w:b/>
          <w:bCs/>
        </w:rPr>
        <w:t>included here.  Instead this cost should be included in Item 1</w:t>
      </w:r>
      <w:r w:rsidRPr="00093B97" w:rsidR="006540F6">
        <w:rPr>
          <w:b/>
          <w:bCs/>
        </w:rPr>
        <w:t>3</w:t>
      </w:r>
      <w:r w:rsidRPr="00093B97">
        <w:rPr>
          <w:b/>
          <w:bCs/>
        </w:rPr>
        <w:t>.</w:t>
      </w:r>
      <w:r w:rsidRPr="00093B97" w:rsidR="002253D0">
        <w:rPr>
          <w:b/>
          <w:bCs/>
        </w:rPr>
        <w:t xml:space="preserve"> </w:t>
      </w:r>
    </w:p>
    <w:p w:rsidR="002C01E9" w:rsidRPr="00093B97" w:rsidP="00093B97" w14:paraId="6E4D4BE8" w14:textId="77777777">
      <w:pPr>
        <w:spacing w:line="276" w:lineRule="auto"/>
        <w:contextualSpacing/>
        <w:rPr>
          <w:bCs/>
        </w:rPr>
      </w:pPr>
    </w:p>
    <w:tbl>
      <w:tblPr>
        <w:tblW w:w="10620" w:type="dxa"/>
        <w:tblInd w:w="-640" w:type="dxa"/>
        <w:tblLayout w:type="fixed"/>
        <w:tblCellMar>
          <w:left w:w="0" w:type="dxa"/>
          <w:right w:w="0" w:type="dxa"/>
        </w:tblCellMar>
        <w:tblLook w:val="04A0"/>
      </w:tblPr>
      <w:tblGrid>
        <w:gridCol w:w="1447"/>
        <w:gridCol w:w="1433"/>
        <w:gridCol w:w="1260"/>
        <w:gridCol w:w="1170"/>
        <w:gridCol w:w="1170"/>
        <w:gridCol w:w="1080"/>
        <w:gridCol w:w="900"/>
        <w:gridCol w:w="810"/>
        <w:gridCol w:w="1350"/>
      </w:tblGrid>
      <w:tr w14:paraId="3C9F7C76" w14:textId="77777777" w:rsidTr="00A12A2E">
        <w:tblPrEx>
          <w:tblW w:w="10620" w:type="dxa"/>
          <w:tblInd w:w="-640" w:type="dxa"/>
          <w:tblLayout w:type="fixed"/>
          <w:tblCellMar>
            <w:left w:w="0" w:type="dxa"/>
            <w:right w:w="0" w:type="dxa"/>
          </w:tblCellMar>
          <w:tblLook w:val="04A0"/>
        </w:tblPrEx>
        <w:trPr>
          <w:trHeight w:val="315"/>
        </w:trPr>
        <w:tc>
          <w:tcPr>
            <w:tcW w:w="10620" w:type="dxa"/>
            <w:gridSpan w:val="9"/>
            <w:tcBorders>
              <w:top w:val="single" w:sz="8" w:space="0" w:color="auto"/>
              <w:left w:val="single" w:sz="8" w:space="0" w:color="auto"/>
              <w:bottom w:val="single" w:sz="8" w:space="0" w:color="auto"/>
              <w:right w:val="single" w:sz="8" w:space="0" w:color="000000" w:themeColor="text1"/>
            </w:tcBorders>
            <w:shd w:val="clear" w:color="auto" w:fill="B4C6E7" w:themeFill="accent1" w:themeFillTint="66"/>
            <w:noWrap/>
            <w:tcMar>
              <w:top w:w="0" w:type="dxa"/>
              <w:left w:w="108" w:type="dxa"/>
              <w:bottom w:w="0" w:type="dxa"/>
              <w:right w:w="108" w:type="dxa"/>
            </w:tcMar>
            <w:vAlign w:val="center"/>
            <w:hideMark/>
          </w:tcPr>
          <w:p w:rsidR="00881E3A" w:rsidRPr="00A12A2E" w:rsidP="0085077B" w14:paraId="7331127F" w14:textId="77777777">
            <w:pPr>
              <w:jc w:val="center"/>
              <w:rPr>
                <w:rFonts w:eastAsia="Calibri"/>
                <w:b/>
                <w:bCs/>
                <w:color w:val="000000"/>
                <w:sz w:val="20"/>
                <w:szCs w:val="20"/>
              </w:rPr>
            </w:pPr>
            <w:r w:rsidRPr="00A12A2E">
              <w:rPr>
                <w:rFonts w:eastAsia="Calibri"/>
                <w:b/>
                <w:bCs/>
                <w:color w:val="000000"/>
                <w:sz w:val="20"/>
                <w:szCs w:val="20"/>
              </w:rPr>
              <w:t>Estimated Annualized Burden Hours and Costs</w:t>
            </w:r>
          </w:p>
        </w:tc>
      </w:tr>
      <w:tr w14:paraId="22379618" w14:textId="77777777" w:rsidTr="00A12A2E">
        <w:tblPrEx>
          <w:tblW w:w="10620" w:type="dxa"/>
          <w:tblInd w:w="-640" w:type="dxa"/>
          <w:tblLayout w:type="fixed"/>
          <w:tblCellMar>
            <w:left w:w="0" w:type="dxa"/>
            <w:right w:w="0" w:type="dxa"/>
          </w:tblCellMar>
          <w:tblLook w:val="04A0"/>
        </w:tblPrEx>
        <w:trPr>
          <w:trHeight w:val="1215"/>
        </w:trPr>
        <w:tc>
          <w:tcPr>
            <w:tcW w:w="1447" w:type="dxa"/>
            <w:tcBorders>
              <w:top w:val="nil"/>
              <w:left w:val="single" w:sz="8"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vAlign w:val="center"/>
            <w:hideMark/>
          </w:tcPr>
          <w:p w:rsidR="00881E3A" w:rsidRPr="00A12A2E" w:rsidP="0085077B" w14:paraId="4D768B1D" w14:textId="77777777">
            <w:pPr>
              <w:jc w:val="center"/>
              <w:rPr>
                <w:rFonts w:eastAsia="Calibri"/>
                <w:b/>
                <w:bCs/>
                <w:color w:val="000000"/>
                <w:sz w:val="18"/>
                <w:szCs w:val="18"/>
              </w:rPr>
            </w:pPr>
            <w:r w:rsidRPr="00A12A2E">
              <w:rPr>
                <w:rFonts w:eastAsia="Calibri"/>
                <w:b/>
                <w:bCs/>
                <w:color w:val="000000"/>
                <w:sz w:val="18"/>
                <w:szCs w:val="18"/>
              </w:rPr>
              <w:t>Type of Respondent</w:t>
            </w:r>
          </w:p>
        </w:tc>
        <w:tc>
          <w:tcPr>
            <w:tcW w:w="1433" w:type="dxa"/>
            <w:tcBorders>
              <w:top w:val="nil"/>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vAlign w:val="center"/>
            <w:hideMark/>
          </w:tcPr>
          <w:p w:rsidR="00881E3A" w:rsidRPr="00A12A2E" w:rsidP="0085077B" w14:paraId="57C3C5FA" w14:textId="77777777">
            <w:pPr>
              <w:jc w:val="center"/>
              <w:rPr>
                <w:rFonts w:eastAsia="Calibri"/>
                <w:b/>
                <w:bCs/>
                <w:color w:val="000000"/>
                <w:sz w:val="18"/>
                <w:szCs w:val="18"/>
              </w:rPr>
            </w:pPr>
            <w:r w:rsidRPr="00A12A2E">
              <w:rPr>
                <w:rFonts w:eastAsia="Calibri"/>
                <w:b/>
                <w:bCs/>
                <w:color w:val="000000"/>
                <w:sz w:val="18"/>
                <w:szCs w:val="18"/>
              </w:rPr>
              <w:t>Form Name / Form Number</w:t>
            </w:r>
          </w:p>
        </w:tc>
        <w:tc>
          <w:tcPr>
            <w:tcW w:w="1260" w:type="dxa"/>
            <w:tcBorders>
              <w:top w:val="nil"/>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vAlign w:val="center"/>
            <w:hideMark/>
          </w:tcPr>
          <w:p w:rsidR="00881E3A" w:rsidRPr="00A12A2E" w:rsidP="0085077B" w14:paraId="0C8EFDFC" w14:textId="3653AF29">
            <w:pPr>
              <w:jc w:val="center"/>
              <w:rPr>
                <w:rFonts w:eastAsia="Calibri"/>
                <w:b/>
                <w:bCs/>
                <w:color w:val="000000"/>
                <w:sz w:val="18"/>
                <w:szCs w:val="18"/>
              </w:rPr>
            </w:pPr>
            <w:r w:rsidRPr="00A12A2E">
              <w:rPr>
                <w:rFonts w:eastAsia="Calibri"/>
                <w:b/>
                <w:bCs/>
                <w:color w:val="000000"/>
                <w:sz w:val="18"/>
                <w:szCs w:val="18"/>
              </w:rPr>
              <w:t>No. of Respondents</w:t>
            </w:r>
          </w:p>
        </w:tc>
        <w:tc>
          <w:tcPr>
            <w:tcW w:w="1170" w:type="dxa"/>
            <w:tcBorders>
              <w:top w:val="nil"/>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vAlign w:val="center"/>
            <w:hideMark/>
          </w:tcPr>
          <w:p w:rsidR="00881E3A" w:rsidRPr="00A12A2E" w:rsidP="0085077B" w14:paraId="64B2712E" w14:textId="3FE20D8E">
            <w:pPr>
              <w:jc w:val="center"/>
              <w:rPr>
                <w:rFonts w:eastAsia="Calibri"/>
                <w:b/>
                <w:bCs/>
                <w:color w:val="000000"/>
                <w:sz w:val="18"/>
                <w:szCs w:val="18"/>
              </w:rPr>
            </w:pPr>
            <w:r w:rsidRPr="00A12A2E">
              <w:rPr>
                <w:rFonts w:eastAsia="Calibri"/>
                <w:b/>
                <w:bCs/>
                <w:color w:val="000000"/>
                <w:sz w:val="18"/>
                <w:szCs w:val="18"/>
              </w:rPr>
              <w:t>No. of Responses per Respondent</w:t>
            </w:r>
          </w:p>
        </w:tc>
        <w:tc>
          <w:tcPr>
            <w:tcW w:w="1170" w:type="dxa"/>
            <w:tcBorders>
              <w:top w:val="nil"/>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vAlign w:val="center"/>
            <w:hideMark/>
          </w:tcPr>
          <w:p w:rsidR="00881E3A" w:rsidRPr="00A12A2E" w:rsidP="0085077B" w14:paraId="2CACDA3D" w14:textId="77777777">
            <w:pPr>
              <w:jc w:val="center"/>
              <w:rPr>
                <w:rFonts w:eastAsia="Calibri"/>
                <w:b/>
                <w:bCs/>
                <w:color w:val="000000"/>
                <w:sz w:val="18"/>
                <w:szCs w:val="18"/>
              </w:rPr>
            </w:pPr>
            <w:r w:rsidRPr="00A12A2E">
              <w:rPr>
                <w:rFonts w:eastAsia="Calibri"/>
                <w:b/>
                <w:bCs/>
                <w:color w:val="000000"/>
                <w:sz w:val="18"/>
                <w:szCs w:val="18"/>
              </w:rPr>
              <w:t>Total No. of Responses</w:t>
            </w:r>
          </w:p>
        </w:tc>
        <w:tc>
          <w:tcPr>
            <w:tcW w:w="1080" w:type="dxa"/>
            <w:tcBorders>
              <w:top w:val="nil"/>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vAlign w:val="center"/>
            <w:hideMark/>
          </w:tcPr>
          <w:p w:rsidR="00881E3A" w:rsidRPr="00A12A2E" w:rsidP="0085077B" w14:paraId="7E3D188B" w14:textId="77777777">
            <w:pPr>
              <w:jc w:val="center"/>
              <w:rPr>
                <w:rFonts w:eastAsia="Calibri"/>
                <w:b/>
                <w:bCs/>
                <w:color w:val="000000"/>
                <w:sz w:val="18"/>
                <w:szCs w:val="18"/>
              </w:rPr>
            </w:pPr>
            <w:r w:rsidRPr="00A12A2E">
              <w:rPr>
                <w:rFonts w:eastAsia="Calibri"/>
                <w:b/>
                <w:bCs/>
                <w:color w:val="000000"/>
                <w:sz w:val="18"/>
                <w:szCs w:val="18"/>
              </w:rPr>
              <w:t>Avg. Burden per Response (in hours)</w:t>
            </w:r>
          </w:p>
        </w:tc>
        <w:tc>
          <w:tcPr>
            <w:tcW w:w="900" w:type="dxa"/>
            <w:tcBorders>
              <w:top w:val="nil"/>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vAlign w:val="center"/>
            <w:hideMark/>
          </w:tcPr>
          <w:p w:rsidR="00881E3A" w:rsidRPr="00A12A2E" w:rsidP="0085077B" w14:paraId="08E38A28" w14:textId="77777777">
            <w:pPr>
              <w:jc w:val="center"/>
              <w:rPr>
                <w:rFonts w:eastAsia="Calibri"/>
                <w:b/>
                <w:bCs/>
                <w:color w:val="000000"/>
                <w:sz w:val="18"/>
                <w:szCs w:val="18"/>
              </w:rPr>
            </w:pPr>
            <w:r w:rsidRPr="00A12A2E">
              <w:rPr>
                <w:rFonts w:eastAsia="Calibri"/>
                <w:b/>
                <w:bCs/>
                <w:color w:val="000000"/>
                <w:sz w:val="18"/>
                <w:szCs w:val="18"/>
              </w:rPr>
              <w:t>Total Annual Burden (in hours)</w:t>
            </w:r>
          </w:p>
        </w:tc>
        <w:tc>
          <w:tcPr>
            <w:tcW w:w="810" w:type="dxa"/>
            <w:tcBorders>
              <w:top w:val="nil"/>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vAlign w:val="center"/>
            <w:hideMark/>
          </w:tcPr>
          <w:p w:rsidR="00881E3A" w:rsidRPr="00A12A2E" w:rsidP="0085077B" w14:paraId="1C37C52C" w14:textId="77777777">
            <w:pPr>
              <w:jc w:val="center"/>
              <w:rPr>
                <w:rFonts w:eastAsia="Calibri"/>
                <w:b/>
                <w:bCs/>
                <w:color w:val="000000"/>
                <w:sz w:val="18"/>
                <w:szCs w:val="18"/>
              </w:rPr>
            </w:pPr>
            <w:r w:rsidRPr="00A12A2E">
              <w:rPr>
                <w:rFonts w:eastAsia="Calibri"/>
                <w:b/>
                <w:bCs/>
                <w:color w:val="000000"/>
                <w:sz w:val="18"/>
                <w:szCs w:val="18"/>
              </w:rPr>
              <w:t>Avg. Hourly Wage Rate</w:t>
            </w:r>
          </w:p>
        </w:tc>
        <w:tc>
          <w:tcPr>
            <w:tcW w:w="1350" w:type="dxa"/>
            <w:tcBorders>
              <w:top w:val="nil"/>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vAlign w:val="center"/>
            <w:hideMark/>
          </w:tcPr>
          <w:p w:rsidR="00881E3A" w:rsidRPr="00A12A2E" w:rsidP="0085077B" w14:paraId="2293FC02" w14:textId="77777777">
            <w:pPr>
              <w:jc w:val="center"/>
              <w:rPr>
                <w:rFonts w:eastAsia="Calibri"/>
                <w:b/>
                <w:bCs/>
                <w:color w:val="000000"/>
                <w:sz w:val="18"/>
                <w:szCs w:val="18"/>
              </w:rPr>
            </w:pPr>
            <w:r w:rsidRPr="00A12A2E">
              <w:rPr>
                <w:rFonts w:eastAsia="Calibri"/>
                <w:b/>
                <w:bCs/>
                <w:color w:val="000000"/>
                <w:sz w:val="18"/>
                <w:szCs w:val="18"/>
              </w:rPr>
              <w:t>Total Annual Respondent Cost</w:t>
            </w:r>
          </w:p>
        </w:tc>
      </w:tr>
      <w:tr w14:paraId="6E26E7AF" w14:textId="77777777" w:rsidTr="00A12A2E">
        <w:tblPrEx>
          <w:tblW w:w="10620" w:type="dxa"/>
          <w:tblInd w:w="-640" w:type="dxa"/>
          <w:tblLayout w:type="fixed"/>
          <w:tblCellMar>
            <w:left w:w="0" w:type="dxa"/>
            <w:right w:w="0" w:type="dxa"/>
          </w:tblCellMar>
          <w:tblLook w:val="04A0"/>
        </w:tblPrEx>
        <w:trPr>
          <w:trHeight w:val="315"/>
        </w:trPr>
        <w:tc>
          <w:tcPr>
            <w:tcW w:w="14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C0A34" w:rsidRPr="00A12A2E" w:rsidP="0085077B" w14:paraId="3B2CD87C" w14:textId="334D2B3F">
            <w:pPr>
              <w:rPr>
                <w:rFonts w:eastAsia="Calibri"/>
                <w:color w:val="000000"/>
                <w:sz w:val="18"/>
                <w:szCs w:val="18"/>
              </w:rPr>
            </w:pPr>
            <w:r w:rsidRPr="00A12A2E">
              <w:rPr>
                <w:sz w:val="18"/>
                <w:szCs w:val="18"/>
              </w:rPr>
              <w:t>Individuals</w:t>
            </w:r>
            <w:r w:rsidRPr="00A12A2E" w:rsidR="00FA7BB4">
              <w:rPr>
                <w:sz w:val="18"/>
                <w:szCs w:val="18"/>
              </w:rPr>
              <w:t xml:space="preserve"> and H</w:t>
            </w:r>
            <w:r w:rsidRPr="00A12A2E">
              <w:rPr>
                <w:sz w:val="18"/>
                <w:szCs w:val="18"/>
              </w:rPr>
              <w:t>ouseholds</w:t>
            </w:r>
            <w:r w:rsidRPr="00A12A2E" w:rsidR="00FA7BB4">
              <w:rPr>
                <w:sz w:val="18"/>
                <w:szCs w:val="18"/>
              </w:rPr>
              <w:t>;</w:t>
            </w:r>
            <w:r w:rsidRPr="00A12A2E">
              <w:rPr>
                <w:sz w:val="18"/>
                <w:szCs w:val="18"/>
              </w:rPr>
              <w:t xml:space="preserve"> </w:t>
            </w:r>
            <w:r w:rsidRPr="00A12A2E" w:rsidR="00FA7BB4">
              <w:rPr>
                <w:sz w:val="18"/>
                <w:szCs w:val="18"/>
              </w:rPr>
              <w:t>Private Sector,</w:t>
            </w:r>
            <w:r w:rsidRPr="00A12A2E">
              <w:rPr>
                <w:sz w:val="18"/>
                <w:szCs w:val="18"/>
              </w:rPr>
              <w:t xml:space="preserve"> for profit</w:t>
            </w:r>
          </w:p>
        </w:tc>
        <w:tc>
          <w:tcPr>
            <w:tcW w:w="1433" w:type="dxa"/>
            <w:tcBorders>
              <w:top w:val="nil"/>
              <w:left w:val="nil"/>
              <w:bottom w:val="single" w:sz="8" w:space="0" w:color="auto"/>
              <w:right w:val="single" w:sz="8" w:space="0" w:color="auto"/>
            </w:tcBorders>
            <w:tcMar>
              <w:top w:w="0" w:type="dxa"/>
              <w:left w:w="108" w:type="dxa"/>
              <w:bottom w:w="0" w:type="dxa"/>
              <w:right w:w="108" w:type="dxa"/>
            </w:tcMar>
            <w:vAlign w:val="center"/>
          </w:tcPr>
          <w:p w:rsidR="00DC0A34" w:rsidRPr="00A12A2E" w:rsidP="0085077B" w14:paraId="4279EA7C" w14:textId="72497CC3">
            <w:pPr>
              <w:rPr>
                <w:rFonts w:eastAsia="Calibri"/>
                <w:sz w:val="18"/>
                <w:szCs w:val="18"/>
              </w:rPr>
            </w:pPr>
            <w:r w:rsidRPr="00A12A2E">
              <w:rPr>
                <w:rFonts w:eastAsia="Calibri"/>
                <w:sz w:val="18"/>
                <w:szCs w:val="18"/>
              </w:rPr>
              <w:t xml:space="preserve">Ask the Advocate </w:t>
            </w:r>
            <w:r w:rsidRPr="00A12A2E" w:rsidR="00F1577C">
              <w:rPr>
                <w:rFonts w:eastAsia="Calibri"/>
                <w:sz w:val="18"/>
                <w:szCs w:val="18"/>
              </w:rPr>
              <w:t>W</w:t>
            </w:r>
            <w:r w:rsidRPr="00A12A2E">
              <w:rPr>
                <w:rFonts w:eastAsia="Calibri"/>
                <w:sz w:val="18"/>
                <w:szCs w:val="18"/>
              </w:rPr>
              <w:t>eb</w:t>
            </w:r>
            <w:r w:rsidRPr="00A12A2E" w:rsidR="0052230A">
              <w:rPr>
                <w:rFonts w:eastAsia="Calibri"/>
                <w:sz w:val="18"/>
                <w:szCs w:val="18"/>
              </w:rPr>
              <w:t xml:space="preserve"> </w:t>
            </w:r>
            <w:r w:rsidRPr="00E64C40" w:rsidR="00F1577C">
              <w:rPr>
                <w:rFonts w:eastAsia="Calibri"/>
                <w:color w:val="000000" w:themeColor="text1"/>
                <w:sz w:val="18"/>
                <w:szCs w:val="18"/>
              </w:rPr>
              <w:t>F</w:t>
            </w:r>
            <w:r w:rsidRPr="00E64C40">
              <w:rPr>
                <w:rFonts w:eastAsia="Calibri"/>
                <w:color w:val="000000" w:themeColor="text1"/>
                <w:sz w:val="18"/>
                <w:szCs w:val="18"/>
              </w:rPr>
              <w:t>orm</w:t>
            </w:r>
            <w:r w:rsidRPr="00E64C40" w:rsidR="00F1577C">
              <w:rPr>
                <w:rFonts w:eastAsia="Calibri"/>
                <w:color w:val="000000" w:themeColor="text1"/>
                <w:sz w:val="18"/>
                <w:szCs w:val="18"/>
              </w:rPr>
              <w:t xml:space="preserve">, </w:t>
            </w:r>
            <w:r w:rsidRPr="00E64C40" w:rsidR="00F1577C">
              <w:rPr>
                <w:color w:val="000000" w:themeColor="text1"/>
                <w:sz w:val="18"/>
                <w:szCs w:val="18"/>
              </w:rPr>
              <w:t>FEMA Form FF-</w:t>
            </w:r>
            <w:r w:rsidRPr="00E64C40" w:rsidR="00643DB7">
              <w:rPr>
                <w:color w:val="000000" w:themeColor="text1"/>
                <w:sz w:val="18"/>
                <w:szCs w:val="18"/>
              </w:rPr>
              <w:t>206</w:t>
            </w:r>
            <w:r w:rsidRPr="00E64C40" w:rsidR="00F1577C">
              <w:rPr>
                <w:color w:val="000000" w:themeColor="text1"/>
                <w:sz w:val="18"/>
                <w:szCs w:val="18"/>
              </w:rPr>
              <w:t>-FY-</w:t>
            </w:r>
            <w:r w:rsidRPr="00E64C40" w:rsidR="00643DB7">
              <w:rPr>
                <w:color w:val="000000" w:themeColor="text1"/>
                <w:sz w:val="18"/>
                <w:szCs w:val="18"/>
              </w:rPr>
              <w:t>21</w:t>
            </w:r>
            <w:r w:rsidRPr="00E64C40" w:rsidR="00F1577C">
              <w:rPr>
                <w:color w:val="000000" w:themeColor="text1"/>
                <w:sz w:val="18"/>
                <w:szCs w:val="18"/>
              </w:rPr>
              <w:t>-</w:t>
            </w:r>
            <w:r w:rsidRPr="00E64C40" w:rsidR="00643DB7">
              <w:rPr>
                <w:color w:val="000000" w:themeColor="text1"/>
                <w:sz w:val="18"/>
                <w:szCs w:val="18"/>
              </w:rPr>
              <w:t>121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DC0A34" w:rsidRPr="00A12A2E" w:rsidP="0085077B" w14:paraId="5A255DEE" w14:textId="28425CE0">
            <w:pPr>
              <w:jc w:val="center"/>
              <w:rPr>
                <w:rFonts w:eastAsia="Calibri"/>
                <w:sz w:val="18"/>
                <w:szCs w:val="18"/>
              </w:rPr>
            </w:pPr>
            <w:r w:rsidRPr="00A12A2E">
              <w:rPr>
                <w:rFonts w:eastAsia="Calibri"/>
                <w:sz w:val="18"/>
                <w:szCs w:val="18"/>
              </w:rPr>
              <w:t>1</w:t>
            </w:r>
            <w:r w:rsidRPr="00A12A2E" w:rsidR="0066565B">
              <w:rPr>
                <w:rFonts w:eastAsia="Calibri"/>
                <w:sz w:val="18"/>
                <w:szCs w:val="18"/>
              </w:rPr>
              <w:t>,</w:t>
            </w:r>
            <w:r w:rsidRPr="00A12A2E">
              <w:rPr>
                <w:rFonts w:eastAsia="Calibri"/>
                <w:sz w:val="18"/>
                <w:szCs w:val="18"/>
              </w:rPr>
              <w:t>000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DC0A34" w:rsidRPr="00A12A2E" w:rsidP="0085077B" w14:paraId="669146DB" w14:textId="116D0EA6">
            <w:pPr>
              <w:jc w:val="center"/>
              <w:rPr>
                <w:rFonts w:eastAsia="Calibri"/>
                <w:sz w:val="18"/>
                <w:szCs w:val="18"/>
              </w:rPr>
            </w:pPr>
            <w:r w:rsidRPr="00A12A2E">
              <w:rPr>
                <w:rFonts w:eastAsia="Calibri"/>
                <w:sz w:val="18"/>
                <w:szCs w:val="18"/>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DC0A34" w:rsidRPr="00A12A2E" w:rsidP="0085077B" w14:paraId="6E581FC4" w14:textId="462F865C">
            <w:pPr>
              <w:jc w:val="center"/>
              <w:rPr>
                <w:rFonts w:eastAsia="Calibri"/>
                <w:sz w:val="18"/>
                <w:szCs w:val="18"/>
              </w:rPr>
            </w:pPr>
            <w:r w:rsidRPr="00A12A2E">
              <w:rPr>
                <w:rFonts w:eastAsia="Calibri"/>
                <w:sz w:val="18"/>
                <w:szCs w:val="18"/>
              </w:rPr>
              <w:t>1</w:t>
            </w:r>
            <w:r w:rsidRPr="00A12A2E" w:rsidR="0066565B">
              <w:rPr>
                <w:rFonts w:eastAsia="Calibri"/>
                <w:sz w:val="18"/>
                <w:szCs w:val="18"/>
              </w:rPr>
              <w:t>,</w:t>
            </w:r>
            <w:r w:rsidRPr="00A12A2E">
              <w:rPr>
                <w:rFonts w:eastAsia="Calibri"/>
                <w:sz w:val="18"/>
                <w:szCs w:val="18"/>
              </w:rPr>
              <w:t>000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DC0A34" w:rsidRPr="00A12A2E" w:rsidP="0085077B" w14:paraId="45C784BC" w14:textId="67155EB1">
            <w:pPr>
              <w:jc w:val="center"/>
              <w:rPr>
                <w:rFonts w:eastAsia="Calibri"/>
                <w:color w:val="000000"/>
                <w:sz w:val="18"/>
                <w:szCs w:val="18"/>
              </w:rPr>
            </w:pPr>
            <w:r w:rsidRPr="00A12A2E">
              <w:rPr>
                <w:rFonts w:eastAsia="Calibri"/>
                <w:color w:val="000000" w:themeColor="text1"/>
                <w:sz w:val="18"/>
                <w:szCs w:val="18"/>
              </w:rPr>
              <w:t>0.08</w:t>
            </w:r>
            <w:r w:rsidRPr="00A12A2E" w:rsidR="00F1577C">
              <w:rPr>
                <w:rFonts w:eastAsia="Calibri"/>
                <w:color w:val="000000" w:themeColor="text1"/>
                <w:sz w:val="18"/>
                <w:szCs w:val="18"/>
              </w:rPr>
              <w:t>33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DC0A34" w:rsidRPr="00A12A2E" w:rsidP="0085077B" w14:paraId="123BF4BF" w14:textId="66D0DD88">
            <w:pPr>
              <w:jc w:val="center"/>
              <w:rPr>
                <w:rFonts w:eastAsia="Calibri"/>
                <w:sz w:val="18"/>
                <w:szCs w:val="18"/>
              </w:rPr>
            </w:pPr>
            <w:r w:rsidRPr="00A12A2E">
              <w:rPr>
                <w:rFonts w:eastAsia="Calibri"/>
                <w:sz w:val="18"/>
                <w:szCs w:val="18"/>
              </w:rPr>
              <w:t>8</w:t>
            </w:r>
            <w:r w:rsidRPr="00A12A2E" w:rsidR="0066565B">
              <w:rPr>
                <w:rFonts w:eastAsia="Calibri"/>
                <w:sz w:val="18"/>
                <w:szCs w:val="18"/>
              </w:rPr>
              <w:t>3</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tcPr>
          <w:p w:rsidR="00DC0A34" w:rsidRPr="00A12A2E" w:rsidP="0085077B" w14:paraId="2128EBB3" w14:textId="6934B5B7">
            <w:pPr>
              <w:jc w:val="center"/>
              <w:rPr>
                <w:rFonts w:eastAsia="Calibri"/>
                <w:color w:val="000000"/>
                <w:sz w:val="18"/>
                <w:szCs w:val="18"/>
              </w:rPr>
            </w:pPr>
            <w:r w:rsidRPr="00A12A2E">
              <w:rPr>
                <w:rFonts w:eastAsia="Calibri"/>
                <w:color w:val="000000" w:themeColor="text1"/>
                <w:sz w:val="18"/>
                <w:szCs w:val="18"/>
              </w:rPr>
              <w:t>$</w:t>
            </w:r>
            <w:r w:rsidR="001A39BF">
              <w:rPr>
                <w:rFonts w:eastAsia="Calibri"/>
                <w:color w:val="000000" w:themeColor="text1"/>
                <w:sz w:val="18"/>
                <w:szCs w:val="18"/>
              </w:rPr>
              <w:t>47.36</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DC0A34" w:rsidRPr="00A12A2E" w:rsidP="0085077B" w14:paraId="39E7013A" w14:textId="17125376">
            <w:pPr>
              <w:jc w:val="center"/>
              <w:rPr>
                <w:rFonts w:eastAsia="Calibri"/>
                <w:color w:val="000000"/>
                <w:sz w:val="18"/>
                <w:szCs w:val="18"/>
              </w:rPr>
            </w:pPr>
            <w:r>
              <w:rPr>
                <w:rFonts w:eastAsia="Calibri"/>
                <w:color w:val="000000" w:themeColor="text1"/>
                <w:sz w:val="18"/>
                <w:szCs w:val="18"/>
              </w:rPr>
              <w:t>$</w:t>
            </w:r>
            <w:r w:rsidR="001A39BF">
              <w:rPr>
                <w:rFonts w:eastAsia="Calibri"/>
                <w:color w:val="000000" w:themeColor="text1"/>
                <w:sz w:val="18"/>
                <w:szCs w:val="18"/>
              </w:rPr>
              <w:t>3,931</w:t>
            </w:r>
          </w:p>
        </w:tc>
      </w:tr>
      <w:tr w14:paraId="1896BFB1" w14:textId="77777777" w:rsidTr="00A12A2E">
        <w:tblPrEx>
          <w:tblW w:w="10620" w:type="dxa"/>
          <w:tblInd w:w="-640" w:type="dxa"/>
          <w:tblLayout w:type="fixed"/>
          <w:tblCellMar>
            <w:left w:w="0" w:type="dxa"/>
            <w:right w:w="0" w:type="dxa"/>
          </w:tblCellMar>
          <w:tblLook w:val="04A0"/>
        </w:tblPrEx>
        <w:trPr>
          <w:trHeight w:val="315"/>
        </w:trPr>
        <w:tc>
          <w:tcPr>
            <w:tcW w:w="14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1E3A" w:rsidRPr="00A12A2E" w:rsidP="0085077B" w14:paraId="353DCE25" w14:textId="77777777">
            <w:pPr>
              <w:jc w:val="center"/>
              <w:rPr>
                <w:rFonts w:eastAsia="Calibri"/>
                <w:b/>
                <w:bCs/>
                <w:color w:val="000000"/>
                <w:sz w:val="18"/>
                <w:szCs w:val="18"/>
              </w:rPr>
            </w:pPr>
            <w:r w:rsidRPr="00A12A2E">
              <w:rPr>
                <w:rFonts w:eastAsia="Calibri"/>
                <w:b/>
                <w:bCs/>
                <w:color w:val="000000"/>
                <w:sz w:val="18"/>
                <w:szCs w:val="18"/>
              </w:rPr>
              <w:t>Total</w:t>
            </w:r>
          </w:p>
        </w:tc>
        <w:tc>
          <w:tcPr>
            <w:tcW w:w="1433" w:type="dxa"/>
            <w:tcBorders>
              <w:top w:val="nil"/>
              <w:left w:val="nil"/>
              <w:bottom w:val="single" w:sz="8" w:space="0" w:color="auto"/>
              <w:right w:val="single" w:sz="8" w:space="0" w:color="auto"/>
            </w:tcBorders>
            <w:shd w:val="clear" w:color="auto" w:fill="000000" w:themeFill="text1"/>
            <w:tcMar>
              <w:top w:w="0" w:type="dxa"/>
              <w:left w:w="108" w:type="dxa"/>
              <w:bottom w:w="0" w:type="dxa"/>
              <w:right w:w="108" w:type="dxa"/>
            </w:tcMar>
            <w:vAlign w:val="center"/>
            <w:hideMark/>
          </w:tcPr>
          <w:p w:rsidR="00881E3A" w:rsidRPr="00A12A2E" w:rsidP="0085077B" w14:paraId="1F1A203C" w14:textId="77777777">
            <w:pPr>
              <w:jc w:val="center"/>
              <w:rPr>
                <w:rFonts w:eastAsia="Calibri"/>
                <w:color w:val="000000"/>
                <w:sz w:val="18"/>
                <w:szCs w:val="18"/>
              </w:rPr>
            </w:pPr>
            <w:r w:rsidRPr="00A12A2E">
              <w:rPr>
                <w:rFonts w:eastAsia="Calibri"/>
                <w:color w:val="000000"/>
                <w:sz w:val="18"/>
                <w:szCs w:val="18"/>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1E3A" w:rsidRPr="00A12A2E" w:rsidP="0085077B" w14:paraId="48535984" w14:textId="093CCE90">
            <w:pPr>
              <w:jc w:val="center"/>
              <w:rPr>
                <w:rFonts w:eastAsia="Calibri"/>
                <w:b/>
                <w:bCs/>
                <w:color w:val="000000" w:themeColor="text1"/>
                <w:sz w:val="18"/>
                <w:szCs w:val="18"/>
              </w:rPr>
            </w:pPr>
            <w:r w:rsidRPr="00A12A2E">
              <w:rPr>
                <w:rFonts w:eastAsia="Calibri"/>
                <w:b/>
                <w:bCs/>
                <w:color w:val="000000" w:themeColor="text1"/>
                <w:sz w:val="18"/>
                <w:szCs w:val="18"/>
              </w:rPr>
              <w:t>1</w:t>
            </w:r>
            <w:r w:rsidRPr="00A12A2E" w:rsidR="00465C73">
              <w:rPr>
                <w:rFonts w:eastAsia="Calibri"/>
                <w:b/>
                <w:bCs/>
                <w:color w:val="000000" w:themeColor="text1"/>
                <w:sz w:val="18"/>
                <w:szCs w:val="18"/>
              </w:rPr>
              <w:t>,</w:t>
            </w:r>
            <w:r w:rsidRPr="00A12A2E">
              <w:rPr>
                <w:rFonts w:eastAsia="Calibri"/>
                <w:b/>
                <w:bCs/>
                <w:color w:val="000000" w:themeColor="text1"/>
                <w:sz w:val="18"/>
                <w:szCs w:val="18"/>
              </w:rPr>
              <w:t>0</w:t>
            </w:r>
            <w:r w:rsidRPr="00A12A2E" w:rsidR="009F2678">
              <w:rPr>
                <w:rFonts w:eastAsia="Calibri"/>
                <w:b/>
                <w:bCs/>
                <w:color w:val="000000" w:themeColor="text1"/>
                <w:sz w:val="18"/>
                <w:szCs w:val="18"/>
              </w:rPr>
              <w:t>0</w:t>
            </w:r>
            <w:r w:rsidRPr="00A12A2E" w:rsidR="00A12A2E">
              <w:rPr>
                <w:rFonts w:eastAsia="Calibri"/>
                <w:b/>
                <w:bCs/>
                <w:color w:val="000000" w:themeColor="text1"/>
                <w:sz w:val="18"/>
                <w:szCs w:val="18"/>
              </w:rPr>
              <w:t>0</w:t>
            </w:r>
          </w:p>
        </w:tc>
        <w:tc>
          <w:tcPr>
            <w:tcW w:w="1170" w:type="dxa"/>
            <w:tcBorders>
              <w:top w:val="nil"/>
              <w:left w:val="nil"/>
              <w:bottom w:val="single" w:sz="8" w:space="0" w:color="auto"/>
              <w:right w:val="single" w:sz="8" w:space="0" w:color="auto"/>
            </w:tcBorders>
            <w:shd w:val="clear" w:color="auto" w:fill="000000" w:themeFill="text1"/>
            <w:tcMar>
              <w:top w:w="0" w:type="dxa"/>
              <w:left w:w="108" w:type="dxa"/>
              <w:bottom w:w="0" w:type="dxa"/>
              <w:right w:w="108" w:type="dxa"/>
            </w:tcMar>
            <w:vAlign w:val="center"/>
            <w:hideMark/>
          </w:tcPr>
          <w:p w:rsidR="00881E3A" w:rsidRPr="00A12A2E" w:rsidP="0085077B" w14:paraId="409DEDE0" w14:textId="77777777">
            <w:pPr>
              <w:jc w:val="center"/>
              <w:rPr>
                <w:rFonts w:eastAsia="Calibri"/>
                <w:color w:val="000000" w:themeColor="text1"/>
                <w:sz w:val="18"/>
                <w:szCs w:val="18"/>
              </w:rPr>
            </w:pPr>
            <w:r w:rsidRPr="00A12A2E">
              <w:rPr>
                <w:rFonts w:eastAsia="Calibri"/>
                <w:color w:val="000000" w:themeColor="text1"/>
                <w:sz w:val="18"/>
                <w:szCs w:val="18"/>
              </w:rPr>
              <w:t> </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1E3A" w:rsidRPr="00A12A2E" w:rsidP="0085077B" w14:paraId="05BB8AD0" w14:textId="0400BCDA">
            <w:pPr>
              <w:jc w:val="center"/>
              <w:rPr>
                <w:rFonts w:eastAsia="Calibri"/>
                <w:b/>
                <w:bCs/>
                <w:color w:val="000000" w:themeColor="text1"/>
                <w:sz w:val="18"/>
                <w:szCs w:val="18"/>
              </w:rPr>
            </w:pPr>
            <w:r w:rsidRPr="00A12A2E">
              <w:rPr>
                <w:rFonts w:eastAsia="Calibri"/>
                <w:b/>
                <w:bCs/>
                <w:color w:val="000000" w:themeColor="text1"/>
                <w:sz w:val="18"/>
                <w:szCs w:val="18"/>
              </w:rPr>
              <w:t>1</w:t>
            </w:r>
            <w:r w:rsidRPr="00A12A2E" w:rsidR="00465C73">
              <w:rPr>
                <w:rFonts w:eastAsia="Calibri"/>
                <w:b/>
                <w:bCs/>
                <w:color w:val="000000" w:themeColor="text1"/>
                <w:sz w:val="18"/>
                <w:szCs w:val="18"/>
              </w:rPr>
              <w:t>,</w:t>
            </w:r>
            <w:r w:rsidRPr="00A12A2E">
              <w:rPr>
                <w:rFonts w:eastAsia="Calibri"/>
                <w:b/>
                <w:bCs/>
                <w:color w:val="000000" w:themeColor="text1"/>
                <w:sz w:val="18"/>
                <w:szCs w:val="18"/>
              </w:rPr>
              <w:t>00</w:t>
            </w:r>
            <w:r w:rsidRPr="00A12A2E" w:rsidR="009F2678">
              <w:rPr>
                <w:rFonts w:eastAsia="Calibri"/>
                <w:b/>
                <w:bCs/>
                <w:color w:val="000000" w:themeColor="text1"/>
                <w:sz w:val="18"/>
                <w:szCs w:val="18"/>
              </w:rPr>
              <w:t>0</w:t>
            </w:r>
          </w:p>
        </w:tc>
        <w:tc>
          <w:tcPr>
            <w:tcW w:w="1080" w:type="dxa"/>
            <w:tcBorders>
              <w:top w:val="nil"/>
              <w:left w:val="nil"/>
              <w:bottom w:val="single" w:sz="8" w:space="0" w:color="auto"/>
              <w:right w:val="single" w:sz="8" w:space="0" w:color="auto"/>
            </w:tcBorders>
            <w:shd w:val="clear" w:color="auto" w:fill="000000" w:themeFill="text1"/>
            <w:tcMar>
              <w:top w:w="0" w:type="dxa"/>
              <w:left w:w="108" w:type="dxa"/>
              <w:bottom w:w="0" w:type="dxa"/>
              <w:right w:w="108" w:type="dxa"/>
            </w:tcMar>
            <w:vAlign w:val="center"/>
            <w:hideMark/>
          </w:tcPr>
          <w:p w:rsidR="00881E3A" w:rsidRPr="00A12A2E" w:rsidP="0085077B" w14:paraId="06C8F847" w14:textId="77777777">
            <w:pPr>
              <w:jc w:val="center"/>
              <w:rPr>
                <w:rFonts w:eastAsia="Calibri"/>
                <w:color w:val="000000" w:themeColor="text1"/>
                <w:sz w:val="18"/>
                <w:szCs w:val="18"/>
              </w:rPr>
            </w:pPr>
            <w:r w:rsidRPr="00A12A2E">
              <w:rPr>
                <w:rFonts w:eastAsia="Calibri"/>
                <w:color w:val="000000" w:themeColor="text1"/>
                <w:sz w:val="18"/>
                <w:szCs w:val="18"/>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1E3A" w:rsidRPr="00A12A2E" w:rsidP="0085077B" w14:paraId="66E95D6F" w14:textId="3A4362BC">
            <w:pPr>
              <w:jc w:val="center"/>
              <w:rPr>
                <w:rFonts w:eastAsia="Calibri"/>
                <w:b/>
                <w:bCs/>
                <w:color w:val="000000" w:themeColor="text1"/>
                <w:sz w:val="18"/>
                <w:szCs w:val="18"/>
              </w:rPr>
            </w:pPr>
            <w:r w:rsidRPr="00A12A2E">
              <w:rPr>
                <w:rFonts w:eastAsia="Calibri"/>
                <w:b/>
                <w:bCs/>
                <w:color w:val="000000" w:themeColor="text1"/>
                <w:sz w:val="18"/>
                <w:szCs w:val="18"/>
              </w:rPr>
              <w:t>8</w:t>
            </w:r>
            <w:r w:rsidRPr="00A12A2E" w:rsidR="0066565B">
              <w:rPr>
                <w:rFonts w:eastAsia="Calibri"/>
                <w:b/>
                <w:bCs/>
                <w:color w:val="000000" w:themeColor="text1"/>
                <w:sz w:val="18"/>
                <w:szCs w:val="18"/>
              </w:rPr>
              <w:t>3</w:t>
            </w:r>
          </w:p>
        </w:tc>
        <w:tc>
          <w:tcPr>
            <w:tcW w:w="810" w:type="dxa"/>
            <w:tcBorders>
              <w:top w:val="nil"/>
              <w:left w:val="nil"/>
              <w:bottom w:val="single" w:sz="8" w:space="0" w:color="auto"/>
              <w:right w:val="single" w:sz="8" w:space="0" w:color="auto"/>
            </w:tcBorders>
            <w:shd w:val="clear" w:color="auto" w:fill="000000" w:themeFill="text1"/>
            <w:tcMar>
              <w:top w:w="0" w:type="dxa"/>
              <w:left w:w="108" w:type="dxa"/>
              <w:bottom w:w="0" w:type="dxa"/>
              <w:right w:w="108" w:type="dxa"/>
            </w:tcMar>
            <w:vAlign w:val="center"/>
            <w:hideMark/>
          </w:tcPr>
          <w:p w:rsidR="00881E3A" w:rsidRPr="00A12A2E" w:rsidP="0085077B" w14:paraId="21B25A85" w14:textId="77777777">
            <w:pPr>
              <w:jc w:val="center"/>
              <w:rPr>
                <w:rFonts w:eastAsia="Calibri"/>
                <w:color w:val="000000" w:themeColor="text1"/>
                <w:sz w:val="18"/>
                <w:szCs w:val="18"/>
              </w:rPr>
            </w:pPr>
            <w:r w:rsidRPr="00A12A2E">
              <w:rPr>
                <w:rFonts w:eastAsia="Calibri"/>
                <w:color w:val="000000" w:themeColor="text1"/>
                <w:sz w:val="18"/>
                <w:szCs w:val="18"/>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1E3A" w:rsidRPr="00A12A2E" w:rsidP="0085077B" w14:paraId="52476912" w14:textId="0D9410B2">
            <w:pPr>
              <w:jc w:val="center"/>
              <w:rPr>
                <w:rFonts w:eastAsia="Calibri"/>
                <w:b/>
                <w:bCs/>
                <w:color w:val="000000" w:themeColor="text1"/>
                <w:sz w:val="18"/>
                <w:szCs w:val="18"/>
              </w:rPr>
            </w:pPr>
            <w:r w:rsidRPr="00A12A2E">
              <w:rPr>
                <w:rFonts w:eastAsia="Calibri"/>
                <w:b/>
                <w:bCs/>
                <w:color w:val="000000" w:themeColor="text1"/>
                <w:sz w:val="18"/>
                <w:szCs w:val="18"/>
              </w:rPr>
              <w:t>$</w:t>
            </w:r>
            <w:r w:rsidR="001A39BF">
              <w:rPr>
                <w:rFonts w:eastAsia="Calibri"/>
                <w:b/>
                <w:bCs/>
                <w:color w:val="000000" w:themeColor="text1"/>
                <w:sz w:val="18"/>
                <w:szCs w:val="18"/>
              </w:rPr>
              <w:t>3,931</w:t>
            </w:r>
          </w:p>
        </w:tc>
      </w:tr>
    </w:tbl>
    <w:p w:rsidR="000332CA" w:rsidRPr="00064602" w:rsidP="007559B4" w14:paraId="44DFFE0C" w14:textId="6021DF02">
      <w:pPr>
        <w:tabs>
          <w:tab w:val="left" w:pos="-720"/>
        </w:tabs>
        <w:suppressAutoHyphens/>
        <w:spacing w:line="276" w:lineRule="auto"/>
        <w:contextualSpacing/>
      </w:pPr>
    </w:p>
    <w:p w:rsidR="00197328" w:rsidRPr="000801BE" w:rsidP="00351B53" w14:paraId="31986EEB" w14:textId="178013D3">
      <w:pPr>
        <w:tabs>
          <w:tab w:val="left" w:pos="-720"/>
        </w:tabs>
        <w:suppressAutoHyphens/>
        <w:contextualSpacing/>
        <w:rPr>
          <w:b/>
        </w:rPr>
      </w:pPr>
      <w:r w:rsidRPr="000801BE">
        <w:rPr>
          <w:b/>
        </w:rPr>
        <w:t>Instruction for Wage-rate category multiplier:  Take each non-loaded “Avg. Hourly Wage Rate” from the BLS website table and multiply that number by 1.</w:t>
      </w:r>
      <w:r>
        <w:rPr>
          <w:b/>
        </w:rPr>
        <w:t>4</w:t>
      </w:r>
      <w:r w:rsidR="00197862">
        <w:rPr>
          <w:b/>
        </w:rPr>
        <w:t>5</w:t>
      </w:r>
      <w:r w:rsidRPr="000801BE">
        <w:rPr>
          <w:b/>
        </w:rPr>
        <w:t>.  For example, a non-loaded BLS table wage rate of $42.51 would be multiplied by 1.</w:t>
      </w:r>
      <w:r>
        <w:rPr>
          <w:b/>
        </w:rPr>
        <w:t>4</w:t>
      </w:r>
      <w:r w:rsidR="00197862">
        <w:rPr>
          <w:b/>
        </w:rPr>
        <w:t>5</w:t>
      </w:r>
      <w:r w:rsidRPr="000801BE">
        <w:rPr>
          <w:b/>
        </w:rPr>
        <w:t>, and the entry for the “Avg. Hourly Wage Rate” would be $</w:t>
      </w:r>
      <w:r w:rsidR="00993F9D">
        <w:rPr>
          <w:b/>
        </w:rPr>
        <w:t>6</w:t>
      </w:r>
      <w:r w:rsidR="00197862">
        <w:rPr>
          <w:b/>
        </w:rPr>
        <w:t>1.64</w:t>
      </w:r>
      <w:r w:rsidRPr="000801BE">
        <w:rPr>
          <w:b/>
        </w:rPr>
        <w:t>.</w:t>
      </w:r>
    </w:p>
    <w:p w:rsidR="000D1A44" w:rsidP="007559B4" w14:paraId="1885E0F0" w14:textId="77777777">
      <w:pPr>
        <w:tabs>
          <w:tab w:val="left" w:pos="-720"/>
        </w:tabs>
        <w:suppressAutoHyphens/>
        <w:spacing w:line="276" w:lineRule="auto"/>
        <w:contextualSpacing/>
      </w:pPr>
    </w:p>
    <w:p w:rsidR="00E64C40" w:rsidRPr="009040E4" w:rsidP="007559B4" w14:paraId="3B525F4F" w14:textId="2351A94C">
      <w:pPr>
        <w:tabs>
          <w:tab w:val="left" w:pos="-720"/>
        </w:tabs>
        <w:suppressAutoHyphens/>
        <w:spacing w:line="276" w:lineRule="auto"/>
        <w:contextualSpacing/>
      </w:pPr>
      <w:r>
        <w:t>According to the U.S. Department of Labor, Bureau of Labor Statistics</w:t>
      </w:r>
      <w:r>
        <w:rPr>
          <w:rStyle w:val="FootnoteReference"/>
        </w:rPr>
        <w:footnoteReference w:id="4"/>
      </w:r>
      <w:r>
        <w:t xml:space="preserve">, the May </w:t>
      </w:r>
      <w:r w:rsidR="00704398">
        <w:t xml:space="preserve">2024 </w:t>
      </w:r>
      <w:r>
        <w:t>Occupational Employment and Wage Estimates wage</w:t>
      </w:r>
      <w:r w:rsidR="00030CFB">
        <w:t xml:space="preserve"> rate </w:t>
      </w:r>
      <w:r>
        <w:t>for All Occupations (SOC 00-0000) is $</w:t>
      </w:r>
      <w:r w:rsidR="0067033B">
        <w:t>32.66</w:t>
      </w:r>
      <w:r>
        <w:t>.  Including the wage rate multiplier of 1.4</w:t>
      </w:r>
      <w:r w:rsidR="00910F03">
        <w:t>5</w:t>
      </w:r>
      <w:r>
        <w:t>, the fully-loaded wage rate is $</w:t>
      </w:r>
      <w:r w:rsidR="00740188">
        <w:t>47.36</w:t>
      </w:r>
      <w:r>
        <w:t xml:space="preserve"> per hour.  </w:t>
      </w:r>
      <w:r w:rsidR="00064602">
        <w:t>Therefore, the amended annual burden hour cost is estimated to be $</w:t>
      </w:r>
      <w:r w:rsidR="006B4E21">
        <w:t>3,</w:t>
      </w:r>
      <w:r w:rsidR="007310E2">
        <w:t>391</w:t>
      </w:r>
      <w:r w:rsidR="00064602">
        <w:t xml:space="preserve"> ($</w:t>
      </w:r>
      <w:r w:rsidR="00740188">
        <w:t>47.36</w:t>
      </w:r>
      <w:r w:rsidR="00064602">
        <w:t xml:space="preserve"> </w:t>
      </w:r>
      <w:r w:rsidR="00775A3B">
        <w:t>×</w:t>
      </w:r>
      <w:r w:rsidR="00064602">
        <w:t xml:space="preserve"> </w:t>
      </w:r>
      <w:r w:rsidR="003A3ED9">
        <w:t>83</w:t>
      </w:r>
      <w:r w:rsidR="00064602">
        <w:t xml:space="preserve"> hours</w:t>
      </w:r>
      <w:r w:rsidR="003A3ED9">
        <w:t xml:space="preserve"> = $</w:t>
      </w:r>
      <w:r w:rsidR="003D5DE5">
        <w:t>3,9</w:t>
      </w:r>
      <w:r w:rsidR="007310E2">
        <w:t>3</w:t>
      </w:r>
      <w:r w:rsidR="003D5DE5">
        <w:t>1</w:t>
      </w:r>
      <w:r w:rsidR="00064602">
        <w:t>).</w:t>
      </w:r>
    </w:p>
    <w:p w:rsidR="000332CA" w:rsidRPr="00064602" w:rsidP="007559B4" w14:paraId="6F3DC544" w14:textId="77777777">
      <w:pPr>
        <w:tabs>
          <w:tab w:val="left" w:pos="-720"/>
        </w:tabs>
        <w:suppressAutoHyphens/>
        <w:spacing w:line="276" w:lineRule="auto"/>
        <w:contextualSpacing/>
      </w:pPr>
    </w:p>
    <w:p w:rsidR="00842E74" w:rsidP="007559B4" w14:paraId="6612C992" w14:textId="77777777">
      <w:pPr>
        <w:spacing w:line="276" w:lineRule="auto"/>
        <w:contextualSpacing/>
        <w:rPr>
          <w:b/>
          <w:bCs/>
        </w:rPr>
      </w:pPr>
      <w:r w:rsidRPr="00A6587B">
        <w:fldChar w:fldCharType="begin"/>
      </w:r>
      <w:r w:rsidRPr="00064602">
        <w:instrText>ADVANCE \R 0.95</w:instrText>
      </w:r>
      <w:r w:rsidRPr="00A6587B">
        <w:fldChar w:fldCharType="end"/>
      </w:r>
      <w:r w:rsidRPr="00064602">
        <w:rPr>
          <w:b/>
        </w:rPr>
        <w:t>13.</w:t>
      </w:r>
      <w:r w:rsidRPr="00CE46FF">
        <w:t xml:space="preserve">  </w:t>
      </w:r>
      <w:r w:rsidRPr="00CE46FF">
        <w:rPr>
          <w:b/>
          <w:bCs/>
        </w:rPr>
        <w:t>Provide an estimate of the total annual cost burden to respondents or recordkeepers resulting from the collection of</w:t>
      </w:r>
      <w:r>
        <w:rPr>
          <w:b/>
          <w:bCs/>
        </w:rPr>
        <w:t xml:space="preserve"> information.  The cost of purchasing or contracting out information collection services should be a part of this cost burden estimate.  </w:t>
      </w:r>
      <w:r w:rsidR="00E202DC">
        <w:rPr>
          <w:b/>
          <w:bCs/>
        </w:rPr>
        <w:t>(</w:t>
      </w:r>
      <w:r>
        <w:rPr>
          <w:b/>
          <w:bCs/>
        </w:rPr>
        <w:t>Do not include the cost of any hour burden shown in Items 12 and 14.</w:t>
      </w:r>
      <w:r w:rsidR="00E202DC">
        <w:rPr>
          <w:b/>
          <w:bCs/>
        </w:rPr>
        <w:t>)</w:t>
      </w:r>
    </w:p>
    <w:p w:rsidR="00361118" w:rsidP="007559B4" w14:paraId="79CBD036" w14:textId="77777777">
      <w:pPr>
        <w:spacing w:line="276" w:lineRule="auto"/>
        <w:contextualSpacing/>
        <w:rPr>
          <w:b/>
          <w:bCs/>
        </w:rPr>
      </w:pPr>
    </w:p>
    <w:p w:rsidR="000D23AC" w:rsidRPr="00465C73" w:rsidP="007559B4" w14:paraId="1AFF9038" w14:textId="77777777">
      <w:pPr>
        <w:spacing w:line="276" w:lineRule="auto"/>
        <w:contextualSpacing/>
        <w:rPr>
          <w:b/>
          <w:bCs/>
          <w:color w:val="000000" w:themeColor="text1"/>
        </w:rPr>
      </w:pPr>
      <w:r w:rsidRPr="00465C73">
        <w:rPr>
          <w:b/>
          <w:bCs/>
          <w:color w:val="000000" w:themeColor="text1"/>
        </w:rPr>
        <w:t>The cost estimates should be split into two components:</w:t>
      </w:r>
    </w:p>
    <w:p w:rsidR="000D23AC" w:rsidP="007559B4" w14:paraId="594C7DB3" w14:textId="77777777">
      <w:pPr>
        <w:spacing w:line="276" w:lineRule="auto"/>
        <w:contextualSpacing/>
        <w:rPr>
          <w:b/>
          <w:bCs/>
          <w:color w:val="000000" w:themeColor="text1"/>
        </w:rPr>
      </w:pPr>
    </w:p>
    <w:p w:rsidR="00D90BAF" w14:paraId="56E17DC8" w14:textId="6447DCD8">
      <w:pPr>
        <w:rPr>
          <w:b/>
          <w:bCs/>
          <w:color w:val="000000" w:themeColor="text1"/>
        </w:rPr>
      </w:pPr>
      <w:r>
        <w:rPr>
          <w:b/>
          <w:bCs/>
          <w:color w:val="000000" w:themeColor="text1"/>
        </w:rPr>
        <w:br w:type="page"/>
      </w:r>
    </w:p>
    <w:p w:rsidR="00117AA3" w:rsidP="007559B4" w14:paraId="33F034B8" w14:textId="77777777">
      <w:pPr>
        <w:spacing w:line="276" w:lineRule="auto"/>
        <w:contextualSpacing/>
        <w:rPr>
          <w:b/>
          <w:bCs/>
          <w:color w:val="000000" w:themeColor="text1"/>
        </w:rPr>
      </w:pPr>
    </w:p>
    <w:tbl>
      <w:tblPr>
        <w:tblStyle w:val="TableGrid1"/>
        <w:tblW w:w="9625" w:type="dxa"/>
        <w:jc w:val="center"/>
        <w:tblLayout w:type="fixed"/>
        <w:tblLook w:val="04A0"/>
      </w:tblPr>
      <w:tblGrid>
        <w:gridCol w:w="2425"/>
        <w:gridCol w:w="1895"/>
        <w:gridCol w:w="2160"/>
        <w:gridCol w:w="1800"/>
        <w:gridCol w:w="1345"/>
      </w:tblGrid>
      <w:tr w14:paraId="25A4744D" w14:textId="77777777" w:rsidTr="00D56C50">
        <w:tblPrEx>
          <w:tblW w:w="9625" w:type="dxa"/>
          <w:jc w:val="center"/>
          <w:tblLayout w:type="fixed"/>
          <w:tblLook w:val="04A0"/>
        </w:tblPrEx>
        <w:trPr>
          <w:jc w:val="center"/>
        </w:trPr>
        <w:tc>
          <w:tcPr>
            <w:tcW w:w="9625" w:type="dxa"/>
            <w:gridSpan w:val="5"/>
            <w:shd w:val="clear" w:color="auto" w:fill="8EAADB" w:themeFill="accent1" w:themeFillTint="99"/>
          </w:tcPr>
          <w:p w:rsidR="009D37E5" w:rsidRPr="008B6E59" w:rsidP="00D56C50" w14:paraId="0B6465DD" w14:textId="77777777">
            <w:pPr>
              <w:jc w:val="center"/>
              <w:rPr>
                <w:rFonts w:ascii="Times New Roman" w:eastAsia="Calibri" w:hAnsi="Times New Roman" w:cs="Times New Roman"/>
                <w:b/>
                <w:sz w:val="20"/>
                <w:szCs w:val="20"/>
              </w:rPr>
            </w:pPr>
            <w:r w:rsidRPr="008B6E59">
              <w:rPr>
                <w:rFonts w:ascii="Times New Roman" w:eastAsia="Calibri" w:hAnsi="Times New Roman" w:cs="Times New Roman"/>
                <w:b/>
                <w:sz w:val="20"/>
                <w:szCs w:val="20"/>
              </w:rPr>
              <w:t>Annual Cost Burden to Respondents or Recordkeepers</w:t>
            </w:r>
          </w:p>
        </w:tc>
      </w:tr>
      <w:tr w14:paraId="0BCC5F7B" w14:textId="77777777" w:rsidTr="00D56C50">
        <w:tblPrEx>
          <w:tblW w:w="9625" w:type="dxa"/>
          <w:jc w:val="center"/>
          <w:tblLayout w:type="fixed"/>
          <w:tblLook w:val="04A0"/>
        </w:tblPrEx>
        <w:trPr>
          <w:jc w:val="center"/>
        </w:trPr>
        <w:tc>
          <w:tcPr>
            <w:tcW w:w="2425" w:type="dxa"/>
            <w:shd w:val="clear" w:color="auto" w:fill="8EAADB" w:themeFill="accent1" w:themeFillTint="99"/>
          </w:tcPr>
          <w:p w:rsidR="009D37E5" w:rsidRPr="00E64C40" w:rsidP="00D56C50" w14:paraId="310E7D79" w14:textId="77777777">
            <w:pPr>
              <w:rPr>
                <w:rFonts w:ascii="Times New Roman" w:eastAsia="Calibri" w:hAnsi="Times New Roman" w:cs="Times New Roman"/>
                <w:b/>
                <w:bCs/>
                <w:color w:val="000000" w:themeColor="text1"/>
                <w:sz w:val="18"/>
                <w:szCs w:val="18"/>
              </w:rPr>
            </w:pPr>
            <w:r w:rsidRPr="00E64C40">
              <w:rPr>
                <w:rFonts w:ascii="Times New Roman" w:eastAsia="Calibri" w:hAnsi="Times New Roman" w:cs="Times New Roman"/>
                <w:b/>
                <w:bCs/>
                <w:color w:val="000000" w:themeColor="text1"/>
                <w:sz w:val="18"/>
                <w:szCs w:val="18"/>
              </w:rPr>
              <w:t>Data Collection Activity/Instrument</w:t>
            </w:r>
          </w:p>
        </w:tc>
        <w:tc>
          <w:tcPr>
            <w:tcW w:w="1895" w:type="dxa"/>
            <w:shd w:val="clear" w:color="auto" w:fill="8EAADB" w:themeFill="accent1" w:themeFillTint="99"/>
          </w:tcPr>
          <w:p w:rsidR="009D37E5" w:rsidRPr="00E64C40" w:rsidP="00D56C50" w14:paraId="13F05A16" w14:textId="77777777">
            <w:pPr>
              <w:rPr>
                <w:rFonts w:ascii="Times New Roman" w:eastAsia="Calibri" w:hAnsi="Times New Roman" w:cs="Times New Roman"/>
                <w:b/>
                <w:bCs/>
                <w:color w:val="000000" w:themeColor="text1"/>
                <w:sz w:val="18"/>
                <w:szCs w:val="18"/>
              </w:rPr>
            </w:pPr>
            <w:r w:rsidRPr="00E64C40">
              <w:rPr>
                <w:rFonts w:ascii="Times New Roman" w:eastAsia="Calibri" w:hAnsi="Times New Roman" w:cs="Times New Roman"/>
                <w:b/>
                <w:bCs/>
                <w:color w:val="000000" w:themeColor="text1"/>
                <w:sz w:val="18"/>
                <w:szCs w:val="18"/>
              </w:rPr>
              <w:t>*Annual Capital Start-Up Cost (investments in overhead, equipment, and other one-time expenditures</w:t>
            </w:r>
          </w:p>
        </w:tc>
        <w:tc>
          <w:tcPr>
            <w:tcW w:w="2160" w:type="dxa"/>
            <w:shd w:val="clear" w:color="auto" w:fill="8EAADB" w:themeFill="accent1" w:themeFillTint="99"/>
          </w:tcPr>
          <w:p w:rsidR="009D37E5" w:rsidRPr="00E64C40" w:rsidP="00D56C50" w14:paraId="06BCAA47" w14:textId="77777777">
            <w:pPr>
              <w:rPr>
                <w:rFonts w:ascii="Times New Roman" w:eastAsia="Calibri" w:hAnsi="Times New Roman" w:cs="Times New Roman"/>
                <w:b/>
                <w:bCs/>
                <w:color w:val="000000" w:themeColor="text1"/>
                <w:sz w:val="18"/>
                <w:szCs w:val="18"/>
              </w:rPr>
            </w:pPr>
            <w:r w:rsidRPr="00E64C40">
              <w:rPr>
                <w:rFonts w:ascii="Times New Roman" w:eastAsia="Calibri" w:hAnsi="Times New Roman" w:cs="Times New Roman"/>
                <w:b/>
                <w:bCs/>
                <w:color w:val="000000" w:themeColor="text1"/>
                <w:sz w:val="18"/>
                <w:szCs w:val="18"/>
              </w:rPr>
              <w:t>*Annual Operations and Maintenance Costs (such as recordkeeping, technical/professional services, etc.)</w:t>
            </w:r>
          </w:p>
        </w:tc>
        <w:tc>
          <w:tcPr>
            <w:tcW w:w="1800" w:type="dxa"/>
            <w:shd w:val="clear" w:color="auto" w:fill="8EAADB" w:themeFill="accent1" w:themeFillTint="99"/>
          </w:tcPr>
          <w:p w:rsidR="009D37E5" w:rsidRPr="00E64C40" w:rsidP="00D56C50" w14:paraId="0EDD26AF" w14:textId="77777777">
            <w:pPr>
              <w:rPr>
                <w:rFonts w:ascii="Times New Roman" w:eastAsia="Calibri" w:hAnsi="Times New Roman" w:cs="Times New Roman"/>
                <w:b/>
                <w:bCs/>
                <w:color w:val="000000" w:themeColor="text1"/>
                <w:sz w:val="18"/>
                <w:szCs w:val="18"/>
              </w:rPr>
            </w:pPr>
            <w:r w:rsidRPr="00E64C40">
              <w:rPr>
                <w:rFonts w:ascii="Times New Roman" w:eastAsia="Calibri" w:hAnsi="Times New Roman" w:cs="Times New Roman"/>
                <w:b/>
                <w:bCs/>
                <w:color w:val="000000" w:themeColor="text1"/>
                <w:sz w:val="18"/>
                <w:szCs w:val="18"/>
              </w:rPr>
              <w:t>Annual Non-Labor Cost (expenditures on training, travel, and other resources)</w:t>
            </w:r>
          </w:p>
        </w:tc>
        <w:tc>
          <w:tcPr>
            <w:tcW w:w="1345" w:type="dxa"/>
            <w:shd w:val="clear" w:color="auto" w:fill="8EAADB" w:themeFill="accent1" w:themeFillTint="99"/>
          </w:tcPr>
          <w:p w:rsidR="009D37E5" w:rsidRPr="00E64C40" w:rsidP="00D56C50" w14:paraId="5521C697" w14:textId="77777777">
            <w:pPr>
              <w:rPr>
                <w:rFonts w:ascii="Times New Roman" w:eastAsia="Calibri" w:hAnsi="Times New Roman" w:cs="Times New Roman"/>
                <w:b/>
                <w:bCs/>
                <w:color w:val="000000" w:themeColor="text1"/>
                <w:sz w:val="18"/>
                <w:szCs w:val="18"/>
              </w:rPr>
            </w:pPr>
            <w:r w:rsidRPr="00E64C40">
              <w:rPr>
                <w:rFonts w:ascii="Times New Roman" w:eastAsia="Calibri" w:hAnsi="Times New Roman" w:cs="Times New Roman"/>
                <w:b/>
                <w:bCs/>
                <w:color w:val="000000" w:themeColor="text1"/>
                <w:sz w:val="18"/>
                <w:szCs w:val="18"/>
              </w:rPr>
              <w:t>Total Annual Cost to Respondents</w:t>
            </w:r>
          </w:p>
        </w:tc>
      </w:tr>
      <w:tr w14:paraId="015B8EB6" w14:textId="77777777" w:rsidTr="00D56C50">
        <w:tblPrEx>
          <w:tblW w:w="9625" w:type="dxa"/>
          <w:jc w:val="center"/>
          <w:tblLayout w:type="fixed"/>
          <w:tblLook w:val="04A0"/>
        </w:tblPrEx>
        <w:trPr>
          <w:jc w:val="center"/>
        </w:trPr>
        <w:tc>
          <w:tcPr>
            <w:tcW w:w="2425" w:type="dxa"/>
            <w:vAlign w:val="center"/>
          </w:tcPr>
          <w:p w:rsidR="009D37E5" w:rsidRPr="00E64C40" w:rsidP="00D56C50" w14:paraId="3A77B63E" w14:textId="12181F4E">
            <w:pPr>
              <w:rPr>
                <w:rFonts w:ascii="Times New Roman" w:eastAsia="Calibri" w:hAnsi="Times New Roman" w:cs="Times New Roman"/>
                <w:color w:val="000000" w:themeColor="text1"/>
                <w:sz w:val="18"/>
                <w:szCs w:val="18"/>
              </w:rPr>
            </w:pPr>
          </w:p>
        </w:tc>
        <w:tc>
          <w:tcPr>
            <w:tcW w:w="1895" w:type="dxa"/>
            <w:vAlign w:val="center"/>
          </w:tcPr>
          <w:p w:rsidR="009D37E5" w:rsidRPr="00E64C40" w:rsidP="00D56C50" w14:paraId="1D974A15" w14:textId="093B2FC1">
            <w:pPr>
              <w:jc w:val="right"/>
              <w:rPr>
                <w:rFonts w:ascii="Times New Roman" w:eastAsia="Calibri" w:hAnsi="Times New Roman" w:cs="Times New Roman"/>
                <w:color w:val="000000" w:themeColor="text1"/>
                <w:sz w:val="18"/>
                <w:szCs w:val="18"/>
              </w:rPr>
            </w:pPr>
          </w:p>
        </w:tc>
        <w:tc>
          <w:tcPr>
            <w:tcW w:w="2160" w:type="dxa"/>
            <w:vAlign w:val="center"/>
          </w:tcPr>
          <w:p w:rsidR="009D37E5" w:rsidRPr="00E64C40" w:rsidP="00D56C50" w14:paraId="5001CE23" w14:textId="403D1234">
            <w:pPr>
              <w:jc w:val="right"/>
              <w:rPr>
                <w:rFonts w:ascii="Times New Roman" w:eastAsia="Calibri" w:hAnsi="Times New Roman" w:cs="Times New Roman"/>
                <w:color w:val="000000" w:themeColor="text1"/>
                <w:sz w:val="18"/>
                <w:szCs w:val="18"/>
              </w:rPr>
            </w:pPr>
          </w:p>
        </w:tc>
        <w:tc>
          <w:tcPr>
            <w:tcW w:w="1800" w:type="dxa"/>
            <w:vAlign w:val="center"/>
          </w:tcPr>
          <w:p w:rsidR="009D37E5" w:rsidRPr="00E64C40" w:rsidP="00D56C50" w14:paraId="704DEBA1" w14:textId="5EAB6650">
            <w:pPr>
              <w:jc w:val="right"/>
              <w:rPr>
                <w:rFonts w:ascii="Times New Roman" w:eastAsia="Calibri" w:hAnsi="Times New Roman" w:cs="Times New Roman"/>
                <w:color w:val="000000" w:themeColor="text1"/>
                <w:sz w:val="18"/>
                <w:szCs w:val="18"/>
              </w:rPr>
            </w:pPr>
          </w:p>
        </w:tc>
        <w:tc>
          <w:tcPr>
            <w:tcW w:w="1345" w:type="dxa"/>
            <w:vAlign w:val="center"/>
          </w:tcPr>
          <w:p w:rsidR="009D37E5" w:rsidRPr="00E64C40" w:rsidP="00D56C50" w14:paraId="7855744C" w14:textId="396895F1">
            <w:pPr>
              <w:jc w:val="right"/>
              <w:rPr>
                <w:rFonts w:ascii="Times New Roman" w:eastAsia="Calibri" w:hAnsi="Times New Roman" w:cs="Times New Roman"/>
                <w:color w:val="000000" w:themeColor="text1"/>
                <w:sz w:val="18"/>
                <w:szCs w:val="18"/>
              </w:rPr>
            </w:pPr>
          </w:p>
        </w:tc>
      </w:tr>
      <w:tr w14:paraId="4AA6157B" w14:textId="77777777" w:rsidTr="00D56C50">
        <w:tblPrEx>
          <w:tblW w:w="9625" w:type="dxa"/>
          <w:jc w:val="center"/>
          <w:tblLayout w:type="fixed"/>
          <w:tblLook w:val="04A0"/>
        </w:tblPrEx>
        <w:trPr>
          <w:jc w:val="center"/>
        </w:trPr>
        <w:tc>
          <w:tcPr>
            <w:tcW w:w="2425" w:type="dxa"/>
            <w:vAlign w:val="center"/>
          </w:tcPr>
          <w:p w:rsidR="00327B47" w:rsidRPr="00E64C40" w:rsidP="00D56C50" w14:paraId="2FB0B42C" w14:textId="5246C38C">
            <w:pPr>
              <w:rPr>
                <w:rFonts w:ascii="Times New Roman" w:eastAsia="Calibri" w:hAnsi="Times New Roman" w:cs="Times New Roman"/>
                <w:b/>
                <w:bCs/>
                <w:color w:val="000000" w:themeColor="text1"/>
                <w:sz w:val="18"/>
                <w:szCs w:val="18"/>
              </w:rPr>
            </w:pPr>
            <w:r w:rsidRPr="00E64C40">
              <w:rPr>
                <w:rFonts w:ascii="Times New Roman" w:eastAsia="Calibri" w:hAnsi="Times New Roman" w:cs="Times New Roman"/>
                <w:b/>
                <w:bCs/>
                <w:color w:val="000000" w:themeColor="text1"/>
                <w:sz w:val="18"/>
                <w:szCs w:val="18"/>
              </w:rPr>
              <w:t>Total</w:t>
            </w:r>
          </w:p>
        </w:tc>
        <w:tc>
          <w:tcPr>
            <w:tcW w:w="1895" w:type="dxa"/>
            <w:vAlign w:val="center"/>
          </w:tcPr>
          <w:p w:rsidR="00327B47" w:rsidRPr="00E64C40" w:rsidP="00D56C50" w14:paraId="28FCC784" w14:textId="564271BB">
            <w:pPr>
              <w:jc w:val="right"/>
              <w:rPr>
                <w:rFonts w:ascii="Times New Roman" w:eastAsia="Calibri" w:hAnsi="Times New Roman" w:cs="Times New Roman"/>
                <w:b/>
                <w:bCs/>
                <w:color w:val="000000" w:themeColor="text1"/>
                <w:sz w:val="18"/>
                <w:szCs w:val="18"/>
              </w:rPr>
            </w:pPr>
            <w:r w:rsidRPr="00E64C40">
              <w:rPr>
                <w:rFonts w:ascii="Times New Roman" w:eastAsia="Calibri" w:hAnsi="Times New Roman" w:cs="Times New Roman"/>
                <w:b/>
                <w:bCs/>
                <w:color w:val="000000" w:themeColor="text1"/>
                <w:sz w:val="18"/>
                <w:szCs w:val="18"/>
              </w:rPr>
              <w:t>$0</w:t>
            </w:r>
          </w:p>
        </w:tc>
        <w:tc>
          <w:tcPr>
            <w:tcW w:w="2160" w:type="dxa"/>
            <w:vAlign w:val="center"/>
          </w:tcPr>
          <w:p w:rsidR="00327B47" w:rsidRPr="00E64C40" w:rsidP="00D56C50" w14:paraId="047ECA08" w14:textId="0B9666C0">
            <w:pPr>
              <w:jc w:val="right"/>
              <w:rPr>
                <w:rFonts w:ascii="Times New Roman" w:eastAsia="Calibri" w:hAnsi="Times New Roman" w:cs="Times New Roman"/>
                <w:color w:val="000000" w:themeColor="text1"/>
                <w:sz w:val="18"/>
                <w:szCs w:val="18"/>
              </w:rPr>
            </w:pPr>
            <w:r w:rsidRPr="00E64C40">
              <w:rPr>
                <w:rFonts w:ascii="Times New Roman" w:eastAsia="Calibri" w:hAnsi="Times New Roman" w:cs="Times New Roman"/>
                <w:b/>
                <w:bCs/>
                <w:color w:val="000000" w:themeColor="text1"/>
                <w:sz w:val="18"/>
                <w:szCs w:val="18"/>
              </w:rPr>
              <w:t>$0</w:t>
            </w:r>
          </w:p>
        </w:tc>
        <w:tc>
          <w:tcPr>
            <w:tcW w:w="1800" w:type="dxa"/>
            <w:vAlign w:val="center"/>
          </w:tcPr>
          <w:p w:rsidR="00327B47" w:rsidRPr="00E64C40" w:rsidP="00D56C50" w14:paraId="0F19356E" w14:textId="273526E2">
            <w:pPr>
              <w:jc w:val="right"/>
              <w:rPr>
                <w:rFonts w:ascii="Times New Roman" w:eastAsia="Calibri" w:hAnsi="Times New Roman" w:cs="Times New Roman"/>
                <w:color w:val="000000" w:themeColor="text1"/>
                <w:sz w:val="18"/>
                <w:szCs w:val="18"/>
              </w:rPr>
            </w:pPr>
            <w:r w:rsidRPr="00E64C40">
              <w:rPr>
                <w:rFonts w:ascii="Times New Roman" w:eastAsia="Calibri" w:hAnsi="Times New Roman" w:cs="Times New Roman"/>
                <w:b/>
                <w:bCs/>
                <w:color w:val="000000" w:themeColor="text1"/>
                <w:sz w:val="18"/>
                <w:szCs w:val="18"/>
              </w:rPr>
              <w:t>$0</w:t>
            </w:r>
          </w:p>
        </w:tc>
        <w:tc>
          <w:tcPr>
            <w:tcW w:w="1345" w:type="dxa"/>
            <w:vAlign w:val="center"/>
          </w:tcPr>
          <w:p w:rsidR="00327B47" w:rsidRPr="00E64C40" w:rsidP="00D56C50" w14:paraId="552369FE" w14:textId="679AA439">
            <w:pPr>
              <w:jc w:val="right"/>
              <w:rPr>
                <w:rFonts w:ascii="Times New Roman" w:eastAsia="Calibri" w:hAnsi="Times New Roman" w:cs="Times New Roman"/>
                <w:color w:val="000000" w:themeColor="text1"/>
                <w:sz w:val="18"/>
                <w:szCs w:val="18"/>
              </w:rPr>
            </w:pPr>
            <w:r w:rsidRPr="00E64C40">
              <w:rPr>
                <w:rFonts w:ascii="Times New Roman" w:eastAsia="Calibri" w:hAnsi="Times New Roman" w:cs="Times New Roman"/>
                <w:b/>
                <w:bCs/>
                <w:color w:val="000000" w:themeColor="text1"/>
                <w:sz w:val="18"/>
                <w:szCs w:val="18"/>
              </w:rPr>
              <w:t>$0</w:t>
            </w:r>
          </w:p>
        </w:tc>
      </w:tr>
    </w:tbl>
    <w:p w:rsidR="00117AA3" w:rsidRPr="00465C73" w:rsidP="007559B4" w14:paraId="46E982E3" w14:textId="77777777">
      <w:pPr>
        <w:spacing w:line="276" w:lineRule="auto"/>
        <w:contextualSpacing/>
        <w:rPr>
          <w:b/>
          <w:bCs/>
          <w:color w:val="000000" w:themeColor="text1"/>
        </w:rPr>
      </w:pPr>
    </w:p>
    <w:p w:rsidR="000D23AC" w:rsidRPr="00465C73" w:rsidP="007559B4" w14:paraId="667F0F32" w14:textId="66A32E1E">
      <w:pPr>
        <w:pStyle w:val="ListParagraph"/>
        <w:numPr>
          <w:ilvl w:val="0"/>
          <w:numId w:val="14"/>
        </w:numPr>
        <w:spacing w:line="276" w:lineRule="auto"/>
        <w:rPr>
          <w:b/>
          <w:bCs/>
          <w:color w:val="000000" w:themeColor="text1"/>
        </w:rPr>
      </w:pPr>
      <w:r w:rsidRPr="00465C73">
        <w:rPr>
          <w:b/>
          <w:bCs/>
          <w:color w:val="000000" w:themeColor="text1"/>
        </w:rPr>
        <w:t>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293291" w:rsidRPr="00293291" w:rsidP="00293291" w14:paraId="1EC6A910" w14:textId="77777777">
      <w:pPr>
        <w:spacing w:line="276" w:lineRule="auto"/>
        <w:rPr>
          <w:color w:val="000000" w:themeColor="text1"/>
        </w:rPr>
      </w:pPr>
    </w:p>
    <w:p w:rsidR="00293291" w:rsidRPr="00764B20" w:rsidP="00293291" w14:paraId="46509B6F" w14:textId="3EAD7D2A">
      <w:pPr>
        <w:spacing w:line="276" w:lineRule="auto"/>
      </w:pPr>
      <w:r w:rsidRPr="00293291">
        <w:rPr>
          <w:color w:val="000000" w:themeColor="text1"/>
        </w:rPr>
        <w:t xml:space="preserve">There are no </w:t>
      </w:r>
      <w:r>
        <w:rPr>
          <w:color w:val="000000" w:themeColor="text1"/>
        </w:rPr>
        <w:t>operation</w:t>
      </w:r>
      <w:r w:rsidRPr="00764B20">
        <w:t xml:space="preserve"> or maintenance costs associated with this information collection.</w:t>
      </w:r>
    </w:p>
    <w:p w:rsidR="0003687E" w:rsidRPr="00293291" w:rsidP="00293291" w14:paraId="3376E2D5" w14:textId="77777777">
      <w:pPr>
        <w:spacing w:line="276" w:lineRule="auto"/>
        <w:rPr>
          <w:b/>
          <w:bCs/>
          <w:color w:val="000000" w:themeColor="text1"/>
        </w:rPr>
      </w:pPr>
    </w:p>
    <w:p w:rsidR="000D23AC" w:rsidRPr="00465C73" w:rsidP="007559B4" w14:paraId="72E8CDE8" w14:textId="68E828CC">
      <w:pPr>
        <w:spacing w:line="276" w:lineRule="auto"/>
        <w:ind w:left="1080" w:hanging="360"/>
        <w:contextualSpacing/>
        <w:rPr>
          <w:b/>
          <w:bCs/>
          <w:color w:val="000000" w:themeColor="text1"/>
        </w:rPr>
      </w:pPr>
      <w:r w:rsidRPr="00465C73">
        <w:rPr>
          <w:b/>
          <w:bCs/>
          <w:color w:val="000000" w:themeColor="text1"/>
        </w:rPr>
        <w:t xml:space="preserve">b. </w:t>
      </w:r>
      <w:r w:rsidRPr="00465C73" w:rsidR="00CE46FF">
        <w:rPr>
          <w:b/>
          <w:bCs/>
          <w:color w:val="000000" w:themeColor="text1"/>
        </w:rPr>
        <w:tab/>
      </w:r>
      <w:r w:rsidRPr="00465C73">
        <w:rPr>
          <w:b/>
          <w:bCs/>
          <w:color w:val="000000" w:themeColor="text1"/>
        </w:rPr>
        <w:t>Capital and Start-up-Cost should include, among other items,</w:t>
      </w:r>
      <w:r w:rsidRPr="00465C73" w:rsidR="00CE46FF">
        <w:rPr>
          <w:b/>
          <w:bCs/>
          <w:color w:val="000000" w:themeColor="text1"/>
        </w:rPr>
        <w:t xml:space="preserve"> </w:t>
      </w:r>
      <w:r w:rsidRPr="00465C73">
        <w:rPr>
          <w:b/>
          <w:bCs/>
          <w:color w:val="000000" w:themeColor="text1"/>
        </w:rPr>
        <w:t xml:space="preserve">preparations for collecting information such as purchasing computers and software, monitoring sampling, drilling and testing equipment, and record storage facilities.  </w:t>
      </w:r>
    </w:p>
    <w:p w:rsidR="00922A7F" w:rsidRPr="00465C73" w:rsidP="007559B4" w14:paraId="683036E3" w14:textId="77777777">
      <w:pPr>
        <w:spacing w:line="276" w:lineRule="auto"/>
        <w:contextualSpacing/>
        <w:rPr>
          <w:color w:val="000000" w:themeColor="text1"/>
        </w:rPr>
      </w:pPr>
    </w:p>
    <w:p w:rsidR="00922A7F" w:rsidRPr="00764B20" w:rsidP="007559B4" w14:paraId="1CB69B2D" w14:textId="68759E52">
      <w:pPr>
        <w:spacing w:line="276" w:lineRule="auto"/>
        <w:contextualSpacing/>
      </w:pPr>
      <w:r w:rsidRPr="00465C73">
        <w:rPr>
          <w:color w:val="000000" w:themeColor="text1"/>
        </w:rPr>
        <w:t>There are no capital</w:t>
      </w:r>
      <w:r w:rsidR="00293291">
        <w:rPr>
          <w:color w:val="000000" w:themeColor="text1"/>
        </w:rPr>
        <w:t xml:space="preserve"> or</w:t>
      </w:r>
      <w:r w:rsidRPr="00465C73">
        <w:rPr>
          <w:color w:val="000000" w:themeColor="text1"/>
        </w:rPr>
        <w:t xml:space="preserve"> start</w:t>
      </w:r>
      <w:r w:rsidRPr="00764B20">
        <w:t>-up costs associated with this information collection.</w:t>
      </w:r>
    </w:p>
    <w:p w:rsidR="00922A7F" w:rsidP="007559B4" w14:paraId="246BD8BA" w14:textId="77777777">
      <w:pPr>
        <w:spacing w:line="276" w:lineRule="auto"/>
        <w:contextualSpacing/>
        <w:rPr>
          <w:b/>
          <w:bCs/>
        </w:rPr>
      </w:pPr>
    </w:p>
    <w:p w:rsidR="00657DD5" w:rsidRPr="00657DD5" w:rsidP="007559B4" w14:paraId="58662711" w14:textId="734BD40E">
      <w:pPr>
        <w:spacing w:line="276" w:lineRule="auto"/>
        <w:contextualSpacing/>
      </w:pPr>
      <w:r w:rsidRPr="00657DD5">
        <w:rPr>
          <w:b/>
          <w:bCs/>
        </w:rPr>
        <w:t xml:space="preserve">14. Provide estimates of annualized cost to the </w:t>
      </w:r>
      <w:r w:rsidR="00293291">
        <w:rPr>
          <w:b/>
          <w:bCs/>
        </w:rPr>
        <w:t>F</w:t>
      </w:r>
      <w:r w:rsidRPr="00657DD5">
        <w:rPr>
          <w:b/>
          <w:bCs/>
        </w:rPr>
        <w:t xml:space="preserve">ederal </w:t>
      </w:r>
      <w:r w:rsidR="00293291">
        <w:rPr>
          <w:b/>
          <w:bCs/>
        </w:rPr>
        <w:t>G</w:t>
      </w:r>
      <w:r w:rsidRPr="00657DD5">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FB135B" w14:paraId="28EDC868" w14:textId="30807ABE">
      <w:r>
        <w:br w:type="page"/>
      </w:r>
    </w:p>
    <w:p w:rsidR="000D23AC" w:rsidP="007559B4" w14:paraId="4BF18877" w14:textId="77777777">
      <w:pPr>
        <w:spacing w:line="276" w:lineRule="auto"/>
        <w:contextualSpacing/>
      </w:pPr>
    </w:p>
    <w:tbl>
      <w:tblPr>
        <w:tblW w:w="8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80"/>
        <w:gridCol w:w="1116"/>
      </w:tblGrid>
      <w:tr w14:paraId="1CF7B402" w14:textId="77777777" w:rsidTr="007E6A98">
        <w:tblPrEx>
          <w:tblW w:w="8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
        </w:trPr>
        <w:tc>
          <w:tcPr>
            <w:tcW w:w="8796" w:type="dxa"/>
            <w:gridSpan w:val="2"/>
            <w:shd w:val="clear" w:color="auto" w:fill="B4C6E7" w:themeFill="accent1" w:themeFillTint="66"/>
            <w:noWrap/>
            <w:vAlign w:val="center"/>
          </w:tcPr>
          <w:p w:rsidR="00FB135B" w:rsidRPr="00FB135B" w:rsidP="0085077B" w14:paraId="4BF1F959" w14:textId="5C6899C8">
            <w:pPr>
              <w:jc w:val="center"/>
              <w:rPr>
                <w:rFonts w:ascii="Arial" w:hAnsi="Arial" w:cs="Arial"/>
                <w:b/>
                <w:bCs/>
                <w:sz w:val="20"/>
                <w:szCs w:val="20"/>
              </w:rPr>
            </w:pPr>
            <w:r w:rsidRPr="00FB135B">
              <w:rPr>
                <w:b/>
                <w:bCs/>
                <w:sz w:val="20"/>
                <w:szCs w:val="20"/>
              </w:rPr>
              <w:t>Annual Cost to the Federal Government</w:t>
            </w:r>
          </w:p>
        </w:tc>
      </w:tr>
      <w:tr w14:paraId="5450962F" w14:textId="77777777" w:rsidTr="007E6A98">
        <w:tblPrEx>
          <w:tblW w:w="8796" w:type="dxa"/>
          <w:tblLook w:val="0000"/>
        </w:tblPrEx>
        <w:trPr>
          <w:trHeight w:val="70"/>
        </w:trPr>
        <w:tc>
          <w:tcPr>
            <w:tcW w:w="7680" w:type="dxa"/>
            <w:shd w:val="clear" w:color="auto" w:fill="B4C6E7" w:themeFill="accent1" w:themeFillTint="66"/>
            <w:noWrap/>
            <w:vAlign w:val="center"/>
          </w:tcPr>
          <w:p w:rsidR="000D23AC" w:rsidRPr="007E6A98" w:rsidP="0085077B" w14:paraId="108FCB81" w14:textId="77777777">
            <w:pPr>
              <w:jc w:val="center"/>
              <w:rPr>
                <w:b/>
                <w:bCs/>
                <w:sz w:val="18"/>
                <w:szCs w:val="18"/>
              </w:rPr>
            </w:pPr>
            <w:r w:rsidRPr="007E6A98">
              <w:rPr>
                <w:b/>
                <w:bCs/>
                <w:sz w:val="18"/>
                <w:szCs w:val="18"/>
              </w:rPr>
              <w:t>Item</w:t>
            </w:r>
          </w:p>
        </w:tc>
        <w:tc>
          <w:tcPr>
            <w:tcW w:w="1116" w:type="dxa"/>
            <w:shd w:val="clear" w:color="auto" w:fill="B4C6E7" w:themeFill="accent1" w:themeFillTint="66"/>
            <w:noWrap/>
          </w:tcPr>
          <w:p w:rsidR="000D23AC" w:rsidRPr="007E6A98" w:rsidP="0085077B" w14:paraId="777EBE1F" w14:textId="77777777">
            <w:pPr>
              <w:jc w:val="center"/>
              <w:rPr>
                <w:b/>
                <w:bCs/>
                <w:sz w:val="18"/>
                <w:szCs w:val="18"/>
              </w:rPr>
            </w:pPr>
            <w:r w:rsidRPr="007E6A98">
              <w:rPr>
                <w:b/>
                <w:bCs/>
                <w:sz w:val="18"/>
                <w:szCs w:val="18"/>
              </w:rPr>
              <w:t>Cost ($)</w:t>
            </w:r>
          </w:p>
        </w:tc>
      </w:tr>
      <w:tr w14:paraId="2E67FD3B" w14:textId="77777777" w:rsidTr="00FB135B">
        <w:tblPrEx>
          <w:tblW w:w="8796" w:type="dxa"/>
          <w:tblLook w:val="0000"/>
        </w:tblPrEx>
        <w:trPr>
          <w:trHeight w:val="495"/>
        </w:trPr>
        <w:tc>
          <w:tcPr>
            <w:tcW w:w="7680" w:type="dxa"/>
          </w:tcPr>
          <w:p w:rsidR="000D23AC" w:rsidRPr="007E6A98" w:rsidP="0085077B" w14:paraId="329E6AB5" w14:textId="77777777">
            <w:pPr>
              <w:rPr>
                <w:sz w:val="18"/>
                <w:szCs w:val="18"/>
              </w:rPr>
            </w:pPr>
            <w:r w:rsidRPr="007E6A98">
              <w:rPr>
                <w:b/>
                <w:bCs/>
                <w:sz w:val="18"/>
                <w:szCs w:val="18"/>
              </w:rPr>
              <w:t>Contract Costs</w:t>
            </w:r>
            <w:r w:rsidRPr="007E6A98">
              <w:rPr>
                <w:sz w:val="18"/>
                <w:szCs w:val="18"/>
              </w:rPr>
              <w:t xml:space="preserve"> </w:t>
            </w:r>
            <w:r w:rsidRPr="007E6A98">
              <w:rPr>
                <w:bCs/>
                <w:sz w:val="18"/>
                <w:szCs w:val="18"/>
              </w:rPr>
              <w:t>[Describe]</w:t>
            </w:r>
            <w:r w:rsidRPr="007E6A98">
              <w:rPr>
                <w:sz w:val="18"/>
                <w:szCs w:val="18"/>
              </w:rPr>
              <w:t xml:space="preserve"> </w:t>
            </w:r>
          </w:p>
        </w:tc>
        <w:tc>
          <w:tcPr>
            <w:tcW w:w="1116" w:type="dxa"/>
          </w:tcPr>
          <w:p w:rsidR="000D23AC" w:rsidRPr="007E6A98" w:rsidP="0085077B" w14:paraId="02706F3C" w14:textId="77777777">
            <w:pPr>
              <w:rPr>
                <w:sz w:val="18"/>
                <w:szCs w:val="18"/>
              </w:rPr>
            </w:pPr>
            <w:r w:rsidRPr="007E6A98">
              <w:rPr>
                <w:sz w:val="18"/>
                <w:szCs w:val="18"/>
              </w:rPr>
              <w:t> </w:t>
            </w:r>
          </w:p>
        </w:tc>
      </w:tr>
      <w:tr w14:paraId="1CAB0635" w14:textId="77777777" w:rsidTr="00FB135B">
        <w:tblPrEx>
          <w:tblW w:w="8796" w:type="dxa"/>
          <w:tblLook w:val="0000"/>
        </w:tblPrEx>
        <w:trPr>
          <w:trHeight w:val="510"/>
        </w:trPr>
        <w:tc>
          <w:tcPr>
            <w:tcW w:w="7680" w:type="dxa"/>
          </w:tcPr>
          <w:p w:rsidR="00CE46FF" w:rsidRPr="007E6A98" w:rsidP="00B3434E" w14:paraId="666A8F42" w14:textId="09D9D932">
            <w:pPr>
              <w:rPr>
                <w:sz w:val="18"/>
                <w:szCs w:val="18"/>
              </w:rPr>
            </w:pPr>
            <w:r w:rsidRPr="007E6A98">
              <w:rPr>
                <w:b/>
                <w:bCs/>
                <w:sz w:val="18"/>
                <w:szCs w:val="18"/>
              </w:rPr>
              <w:t>Staff Salaries*</w:t>
            </w:r>
            <w:r w:rsidRPr="007E6A98">
              <w:rPr>
                <w:sz w:val="18"/>
                <w:szCs w:val="18"/>
              </w:rPr>
              <w:t xml:space="preserve"> </w:t>
            </w:r>
            <w:r w:rsidRPr="007E6A98">
              <w:rPr>
                <w:sz w:val="18"/>
                <w:szCs w:val="18"/>
              </w:rPr>
              <w:t xml:space="preserve">Ask the Advocate web form, </w:t>
            </w:r>
            <w:r w:rsidRPr="007E6A98">
              <w:rPr>
                <w:rFonts w:eastAsia="Calibri"/>
                <w:sz w:val="18"/>
                <w:szCs w:val="18"/>
              </w:rPr>
              <w:t>1 GS</w:t>
            </w:r>
            <w:r w:rsidR="00D857ED">
              <w:rPr>
                <w:rFonts w:eastAsia="Calibri"/>
                <w:sz w:val="18"/>
                <w:szCs w:val="18"/>
              </w:rPr>
              <w:t xml:space="preserve"> </w:t>
            </w:r>
            <w:r w:rsidRPr="007E6A98">
              <w:rPr>
                <w:rFonts w:eastAsia="Calibri"/>
                <w:sz w:val="18"/>
                <w:szCs w:val="18"/>
              </w:rPr>
              <w:t>1</w:t>
            </w:r>
            <w:r w:rsidRPr="007E6A98" w:rsidR="0088086D">
              <w:rPr>
                <w:rFonts w:eastAsia="Calibri"/>
                <w:sz w:val="18"/>
                <w:szCs w:val="18"/>
              </w:rPr>
              <w:t>3</w:t>
            </w:r>
            <w:r w:rsidRPr="007E6A98">
              <w:rPr>
                <w:rFonts w:eastAsia="Calibri"/>
                <w:sz w:val="18"/>
                <w:szCs w:val="18"/>
              </w:rPr>
              <w:t xml:space="preserve"> Step 5 employees </w:t>
            </w:r>
            <w:r w:rsidRPr="007E6A98" w:rsidR="6C65867D">
              <w:rPr>
                <w:rFonts w:eastAsia="Calibri"/>
                <w:sz w:val="18"/>
                <w:szCs w:val="18"/>
              </w:rPr>
              <w:t xml:space="preserve">in Washington, DC </w:t>
            </w:r>
            <w:r w:rsidRPr="007E6A98">
              <w:rPr>
                <w:rFonts w:eastAsia="Calibri"/>
                <w:sz w:val="18"/>
                <w:szCs w:val="18"/>
              </w:rPr>
              <w:t xml:space="preserve">spending approximately 20% of time annually </w:t>
            </w:r>
            <w:r w:rsidRPr="007E6A98">
              <w:rPr>
                <w:color w:val="000000" w:themeColor="text1"/>
                <w:sz w:val="18"/>
                <w:szCs w:val="18"/>
              </w:rPr>
              <w:t xml:space="preserve">monitoring the program, including quality review of </w:t>
            </w:r>
            <w:r w:rsidRPr="007E6A98" w:rsidR="6C65867D">
              <w:rPr>
                <w:color w:val="000000" w:themeColor="text1"/>
                <w:sz w:val="18"/>
                <w:szCs w:val="18"/>
              </w:rPr>
              <w:t>Salesforce data</w:t>
            </w:r>
            <w:r w:rsidRPr="007E6A98">
              <w:rPr>
                <w:color w:val="000000" w:themeColor="text1"/>
                <w:sz w:val="18"/>
                <w:szCs w:val="18"/>
              </w:rPr>
              <w:t xml:space="preserve"> and adherence to program guidelines </w:t>
            </w:r>
            <w:r w:rsidRPr="007E6A98">
              <w:rPr>
                <w:rFonts w:eastAsia="Calibri"/>
                <w:sz w:val="18"/>
                <w:szCs w:val="18"/>
              </w:rPr>
              <w:t>($</w:t>
            </w:r>
            <w:r w:rsidRPr="007E6A98" w:rsidR="0088086D">
              <w:rPr>
                <w:rFonts w:eastAsia="Calibri"/>
                <w:sz w:val="18"/>
                <w:szCs w:val="18"/>
              </w:rPr>
              <w:t>136,658</w:t>
            </w:r>
            <w:r w:rsidRPr="007E6A98">
              <w:rPr>
                <w:rFonts w:eastAsia="Calibri"/>
                <w:sz w:val="18"/>
                <w:szCs w:val="18"/>
              </w:rPr>
              <w:t xml:space="preserve"> x 0.20 x 1.4</w:t>
            </w:r>
            <w:r w:rsidR="00BE3228">
              <w:rPr>
                <w:rFonts w:eastAsia="Calibri"/>
                <w:sz w:val="18"/>
                <w:szCs w:val="18"/>
              </w:rPr>
              <w:t>5</w:t>
            </w:r>
            <w:r w:rsidRPr="007E6A98">
              <w:rPr>
                <w:rFonts w:eastAsia="Calibri"/>
                <w:sz w:val="18"/>
                <w:szCs w:val="18"/>
                <w:vertAlign w:val="superscript"/>
              </w:rPr>
              <w:t>2</w:t>
            </w:r>
            <w:r w:rsidRPr="007E6A98">
              <w:rPr>
                <w:rFonts w:eastAsia="Calibri"/>
                <w:sz w:val="18"/>
                <w:szCs w:val="18"/>
              </w:rPr>
              <w:t xml:space="preserve"> = $</w:t>
            </w:r>
            <w:r w:rsidRPr="007E6A98" w:rsidR="008463EA">
              <w:rPr>
                <w:rFonts w:eastAsia="Calibri"/>
                <w:sz w:val="18"/>
                <w:szCs w:val="18"/>
              </w:rPr>
              <w:t>39,</w:t>
            </w:r>
            <w:r w:rsidR="00151267">
              <w:rPr>
                <w:rFonts w:eastAsia="Calibri"/>
                <w:sz w:val="18"/>
                <w:szCs w:val="18"/>
              </w:rPr>
              <w:t>631</w:t>
            </w:r>
            <w:r w:rsidRPr="007E6A98">
              <w:rPr>
                <w:rFonts w:eastAsia="Calibri"/>
                <w:sz w:val="18"/>
                <w:szCs w:val="18"/>
              </w:rPr>
              <w:t>)</w:t>
            </w:r>
            <w:r w:rsidRPr="007E6A98" w:rsidR="6C65867D">
              <w:rPr>
                <w:rFonts w:eastAsia="Calibri"/>
                <w:sz w:val="18"/>
                <w:szCs w:val="18"/>
              </w:rPr>
              <w:t xml:space="preserve">. </w:t>
            </w:r>
          </w:p>
        </w:tc>
        <w:tc>
          <w:tcPr>
            <w:tcW w:w="1116" w:type="dxa"/>
            <w:noWrap/>
          </w:tcPr>
          <w:p w:rsidR="000D23AC" w:rsidRPr="007E6A98" w:rsidP="00CE46FF" w14:paraId="2106CB1E" w14:textId="056E08F7">
            <w:pPr>
              <w:jc w:val="right"/>
              <w:rPr>
                <w:sz w:val="18"/>
                <w:szCs w:val="18"/>
              </w:rPr>
            </w:pPr>
            <w:r w:rsidRPr="007E6A98">
              <w:rPr>
                <w:rFonts w:eastAsia="Calibri"/>
                <w:sz w:val="18"/>
                <w:szCs w:val="18"/>
              </w:rPr>
              <w:t>$39</w:t>
            </w:r>
            <w:r w:rsidR="00A6674B">
              <w:rPr>
                <w:rFonts w:eastAsia="Calibri"/>
                <w:sz w:val="18"/>
                <w:szCs w:val="18"/>
              </w:rPr>
              <w:t>,</w:t>
            </w:r>
            <w:r w:rsidR="00151267">
              <w:rPr>
                <w:rFonts w:eastAsia="Calibri"/>
                <w:sz w:val="18"/>
                <w:szCs w:val="18"/>
              </w:rPr>
              <w:t>631</w:t>
            </w:r>
          </w:p>
        </w:tc>
      </w:tr>
      <w:tr w14:paraId="79160AD7" w14:textId="77777777" w:rsidTr="00FB135B">
        <w:tblPrEx>
          <w:tblW w:w="8796" w:type="dxa"/>
          <w:tblLook w:val="0000"/>
        </w:tblPrEx>
        <w:trPr>
          <w:trHeight w:val="270"/>
        </w:trPr>
        <w:tc>
          <w:tcPr>
            <w:tcW w:w="7680" w:type="dxa"/>
            <w:noWrap/>
          </w:tcPr>
          <w:p w:rsidR="000D23AC" w:rsidRPr="007E6A98" w:rsidP="0085077B" w14:paraId="6819DD98" w14:textId="77777777">
            <w:pPr>
              <w:rPr>
                <w:sz w:val="18"/>
                <w:szCs w:val="18"/>
              </w:rPr>
            </w:pPr>
            <w:r w:rsidRPr="00B3434E">
              <w:rPr>
                <w:b/>
                <w:bCs/>
                <w:sz w:val="18"/>
                <w:szCs w:val="18"/>
              </w:rPr>
              <w:t>Facilities</w:t>
            </w:r>
            <w:r w:rsidRPr="007E6A98">
              <w:rPr>
                <w:sz w:val="18"/>
                <w:szCs w:val="18"/>
              </w:rPr>
              <w:t xml:space="preserve"> </w:t>
            </w:r>
            <w:r w:rsidRPr="00B3434E">
              <w:rPr>
                <w:bCs/>
                <w:sz w:val="18"/>
                <w:szCs w:val="18"/>
              </w:rPr>
              <w:t>[cost for renting, overhead, etc. for data collection activity]</w:t>
            </w:r>
          </w:p>
        </w:tc>
        <w:tc>
          <w:tcPr>
            <w:tcW w:w="1116" w:type="dxa"/>
            <w:noWrap/>
          </w:tcPr>
          <w:p w:rsidR="000D23AC" w:rsidRPr="007E6A98" w:rsidP="00CE46FF" w14:paraId="4356EEDA" w14:textId="77777777">
            <w:pPr>
              <w:jc w:val="right"/>
              <w:rPr>
                <w:sz w:val="18"/>
                <w:szCs w:val="18"/>
              </w:rPr>
            </w:pPr>
            <w:r w:rsidRPr="007E6A98">
              <w:rPr>
                <w:sz w:val="18"/>
                <w:szCs w:val="18"/>
              </w:rPr>
              <w:t> </w:t>
            </w:r>
          </w:p>
        </w:tc>
      </w:tr>
      <w:tr w14:paraId="6C0E256E" w14:textId="77777777" w:rsidTr="00FB135B">
        <w:tblPrEx>
          <w:tblW w:w="8796" w:type="dxa"/>
          <w:tblLook w:val="0000"/>
        </w:tblPrEx>
        <w:trPr>
          <w:trHeight w:val="240"/>
        </w:trPr>
        <w:tc>
          <w:tcPr>
            <w:tcW w:w="7680" w:type="dxa"/>
            <w:noWrap/>
          </w:tcPr>
          <w:p w:rsidR="000D23AC" w:rsidRPr="007E6A98" w:rsidP="0085077B" w14:paraId="5DAADEA7" w14:textId="77777777">
            <w:pPr>
              <w:rPr>
                <w:sz w:val="18"/>
                <w:szCs w:val="18"/>
              </w:rPr>
            </w:pPr>
            <w:r w:rsidRPr="00B3434E">
              <w:rPr>
                <w:b/>
                <w:bCs/>
                <w:sz w:val="18"/>
                <w:szCs w:val="18"/>
              </w:rPr>
              <w:t>Computer Hardware and Software</w:t>
            </w:r>
            <w:r w:rsidRPr="007E6A98">
              <w:rPr>
                <w:sz w:val="18"/>
                <w:szCs w:val="18"/>
              </w:rPr>
              <w:t xml:space="preserve"> </w:t>
            </w:r>
            <w:r w:rsidRPr="00B3434E">
              <w:rPr>
                <w:bCs/>
                <w:sz w:val="18"/>
                <w:szCs w:val="18"/>
              </w:rPr>
              <w:t>[cost of equipment annual lifecycle]</w:t>
            </w:r>
          </w:p>
        </w:tc>
        <w:tc>
          <w:tcPr>
            <w:tcW w:w="1116" w:type="dxa"/>
            <w:noWrap/>
          </w:tcPr>
          <w:p w:rsidR="000D23AC" w:rsidRPr="007E6A98" w:rsidP="00CE46FF" w14:paraId="7F2C92F1" w14:textId="77777777">
            <w:pPr>
              <w:jc w:val="right"/>
              <w:rPr>
                <w:sz w:val="18"/>
                <w:szCs w:val="18"/>
              </w:rPr>
            </w:pPr>
            <w:r w:rsidRPr="007E6A98">
              <w:rPr>
                <w:sz w:val="18"/>
                <w:szCs w:val="18"/>
              </w:rPr>
              <w:t> </w:t>
            </w:r>
          </w:p>
        </w:tc>
      </w:tr>
      <w:tr w14:paraId="6B5AF407" w14:textId="77777777" w:rsidTr="00FB135B">
        <w:tblPrEx>
          <w:tblW w:w="8796" w:type="dxa"/>
          <w:tblLook w:val="0000"/>
        </w:tblPrEx>
        <w:trPr>
          <w:trHeight w:val="255"/>
        </w:trPr>
        <w:tc>
          <w:tcPr>
            <w:tcW w:w="7680" w:type="dxa"/>
            <w:noWrap/>
          </w:tcPr>
          <w:p w:rsidR="000D23AC" w:rsidRPr="007E6A98" w:rsidP="0085077B" w14:paraId="75BECCCB" w14:textId="77777777">
            <w:pPr>
              <w:rPr>
                <w:sz w:val="18"/>
                <w:szCs w:val="18"/>
              </w:rPr>
            </w:pPr>
            <w:r w:rsidRPr="00B3434E">
              <w:rPr>
                <w:b/>
                <w:bCs/>
                <w:sz w:val="18"/>
                <w:szCs w:val="18"/>
              </w:rPr>
              <w:t>Equipment Maintenance</w:t>
            </w:r>
            <w:r w:rsidRPr="007E6A98">
              <w:rPr>
                <w:sz w:val="18"/>
                <w:szCs w:val="18"/>
              </w:rPr>
              <w:t xml:space="preserve"> </w:t>
            </w:r>
            <w:r w:rsidRPr="00B3434E">
              <w:rPr>
                <w:bCs/>
                <w:sz w:val="18"/>
                <w:szCs w:val="18"/>
              </w:rPr>
              <w:t>[cost of annual maintenance/service agreements for equipment]</w:t>
            </w:r>
          </w:p>
        </w:tc>
        <w:tc>
          <w:tcPr>
            <w:tcW w:w="1116" w:type="dxa"/>
            <w:noWrap/>
          </w:tcPr>
          <w:p w:rsidR="000D23AC" w:rsidRPr="007E6A98" w:rsidP="00CE46FF" w14:paraId="33C36DE0" w14:textId="77777777">
            <w:pPr>
              <w:jc w:val="right"/>
              <w:rPr>
                <w:sz w:val="18"/>
                <w:szCs w:val="18"/>
              </w:rPr>
            </w:pPr>
            <w:r w:rsidRPr="007E6A98">
              <w:rPr>
                <w:sz w:val="18"/>
                <w:szCs w:val="18"/>
              </w:rPr>
              <w:t> </w:t>
            </w:r>
          </w:p>
        </w:tc>
      </w:tr>
      <w:tr w14:paraId="4F365C9E" w14:textId="77777777" w:rsidTr="00FB135B">
        <w:tblPrEx>
          <w:tblW w:w="8796" w:type="dxa"/>
          <w:tblLook w:val="0000"/>
        </w:tblPrEx>
        <w:trPr>
          <w:trHeight w:val="255"/>
        </w:trPr>
        <w:tc>
          <w:tcPr>
            <w:tcW w:w="7680" w:type="dxa"/>
            <w:noWrap/>
          </w:tcPr>
          <w:p w:rsidR="000D23AC" w:rsidRPr="007E6A98" w:rsidP="0085077B" w14:paraId="1B509F97" w14:textId="77777777">
            <w:pPr>
              <w:rPr>
                <w:sz w:val="18"/>
                <w:szCs w:val="18"/>
              </w:rPr>
            </w:pPr>
            <w:r w:rsidRPr="00B3434E">
              <w:rPr>
                <w:b/>
                <w:bCs/>
                <w:sz w:val="18"/>
                <w:szCs w:val="18"/>
              </w:rPr>
              <w:t>Trave</w:t>
            </w:r>
            <w:r w:rsidRPr="007E6A98">
              <w:rPr>
                <w:sz w:val="18"/>
                <w:szCs w:val="18"/>
              </w:rPr>
              <w:t xml:space="preserve">l </w:t>
            </w:r>
          </w:p>
        </w:tc>
        <w:tc>
          <w:tcPr>
            <w:tcW w:w="1116" w:type="dxa"/>
            <w:noWrap/>
          </w:tcPr>
          <w:p w:rsidR="000D23AC" w:rsidRPr="007E6A98" w:rsidP="00CE46FF" w14:paraId="7F071ED2" w14:textId="77777777">
            <w:pPr>
              <w:jc w:val="right"/>
              <w:rPr>
                <w:sz w:val="18"/>
                <w:szCs w:val="18"/>
              </w:rPr>
            </w:pPr>
            <w:r w:rsidRPr="007E6A98">
              <w:rPr>
                <w:sz w:val="18"/>
                <w:szCs w:val="18"/>
              </w:rPr>
              <w:t> </w:t>
            </w:r>
          </w:p>
        </w:tc>
      </w:tr>
      <w:tr w14:paraId="26BD04FC" w14:textId="77777777" w:rsidTr="00FB135B">
        <w:tblPrEx>
          <w:tblW w:w="8796" w:type="dxa"/>
          <w:tblLook w:val="0000"/>
        </w:tblPrEx>
        <w:trPr>
          <w:trHeight w:val="255"/>
        </w:trPr>
        <w:tc>
          <w:tcPr>
            <w:tcW w:w="7680" w:type="dxa"/>
            <w:noWrap/>
          </w:tcPr>
          <w:p w:rsidR="000D23AC" w:rsidRPr="007E6A98" w:rsidP="0085077B" w14:paraId="6B657D7C" w14:textId="77777777">
            <w:pPr>
              <w:rPr>
                <w:sz w:val="18"/>
                <w:szCs w:val="18"/>
              </w:rPr>
            </w:pPr>
            <w:r w:rsidRPr="00B3434E">
              <w:rPr>
                <w:b/>
                <w:bCs/>
                <w:sz w:val="18"/>
                <w:szCs w:val="18"/>
              </w:rPr>
              <w:t>Postage</w:t>
            </w:r>
            <w:r w:rsidRPr="007E6A98">
              <w:rPr>
                <w:sz w:val="18"/>
                <w:szCs w:val="18"/>
              </w:rPr>
              <w:t xml:space="preserve"> </w:t>
            </w:r>
            <w:r w:rsidRPr="00B3434E">
              <w:rPr>
                <w:bCs/>
                <w:sz w:val="18"/>
                <w:szCs w:val="18"/>
              </w:rPr>
              <w:t>[annual number of data collection instruments x postage]</w:t>
            </w:r>
          </w:p>
        </w:tc>
        <w:tc>
          <w:tcPr>
            <w:tcW w:w="1116" w:type="dxa"/>
            <w:noWrap/>
          </w:tcPr>
          <w:p w:rsidR="000D23AC" w:rsidRPr="007E6A98" w:rsidP="00CE46FF" w14:paraId="2F8BF183" w14:textId="77777777">
            <w:pPr>
              <w:jc w:val="right"/>
              <w:rPr>
                <w:sz w:val="18"/>
                <w:szCs w:val="18"/>
              </w:rPr>
            </w:pPr>
            <w:r w:rsidRPr="007E6A98">
              <w:rPr>
                <w:sz w:val="18"/>
                <w:szCs w:val="18"/>
              </w:rPr>
              <w:t> </w:t>
            </w:r>
          </w:p>
        </w:tc>
      </w:tr>
      <w:tr w14:paraId="4967EC6C" w14:textId="77777777" w:rsidTr="00FB135B">
        <w:tblPrEx>
          <w:tblW w:w="8796" w:type="dxa"/>
          <w:tblLook w:val="0000"/>
        </w:tblPrEx>
        <w:trPr>
          <w:trHeight w:val="255"/>
        </w:trPr>
        <w:tc>
          <w:tcPr>
            <w:tcW w:w="7680" w:type="dxa"/>
            <w:noWrap/>
          </w:tcPr>
          <w:p w:rsidR="000D23AC" w:rsidRPr="00B3434E" w:rsidP="0085077B" w14:paraId="3C74FB95" w14:textId="77777777">
            <w:pPr>
              <w:rPr>
                <w:b/>
                <w:bCs/>
                <w:sz w:val="18"/>
                <w:szCs w:val="18"/>
              </w:rPr>
            </w:pPr>
            <w:r w:rsidRPr="00B3434E">
              <w:rPr>
                <w:b/>
                <w:bCs/>
                <w:sz w:val="18"/>
                <w:szCs w:val="18"/>
              </w:rPr>
              <w:t>Other</w:t>
            </w:r>
          </w:p>
        </w:tc>
        <w:tc>
          <w:tcPr>
            <w:tcW w:w="1116" w:type="dxa"/>
            <w:noWrap/>
          </w:tcPr>
          <w:p w:rsidR="000D23AC" w:rsidRPr="007E6A98" w:rsidP="00CE46FF" w14:paraId="6EE45A45" w14:textId="77777777">
            <w:pPr>
              <w:jc w:val="right"/>
              <w:rPr>
                <w:sz w:val="18"/>
                <w:szCs w:val="18"/>
              </w:rPr>
            </w:pPr>
            <w:r w:rsidRPr="007E6A98">
              <w:rPr>
                <w:sz w:val="18"/>
                <w:szCs w:val="18"/>
              </w:rPr>
              <w:t> </w:t>
            </w:r>
          </w:p>
        </w:tc>
      </w:tr>
      <w:tr w14:paraId="531A87AA" w14:textId="77777777" w:rsidTr="00FB135B">
        <w:tblPrEx>
          <w:tblW w:w="8796" w:type="dxa"/>
          <w:tblLook w:val="0000"/>
        </w:tblPrEx>
        <w:trPr>
          <w:trHeight w:val="270"/>
        </w:trPr>
        <w:tc>
          <w:tcPr>
            <w:tcW w:w="7680" w:type="dxa"/>
            <w:noWrap/>
          </w:tcPr>
          <w:p w:rsidR="000D23AC" w:rsidRPr="007E6A98" w:rsidP="0085077B" w14:paraId="32E5BFAE" w14:textId="77777777">
            <w:pPr>
              <w:rPr>
                <w:b/>
                <w:bCs/>
                <w:sz w:val="18"/>
                <w:szCs w:val="18"/>
              </w:rPr>
            </w:pPr>
            <w:r w:rsidRPr="007E6A98">
              <w:rPr>
                <w:b/>
                <w:bCs/>
                <w:sz w:val="18"/>
                <w:szCs w:val="18"/>
              </w:rPr>
              <w:t>Total</w:t>
            </w:r>
          </w:p>
        </w:tc>
        <w:tc>
          <w:tcPr>
            <w:tcW w:w="1116" w:type="dxa"/>
            <w:noWrap/>
          </w:tcPr>
          <w:p w:rsidR="000D23AC" w:rsidRPr="007E6A98" w:rsidP="00CE46FF" w14:paraId="32F744E3" w14:textId="695AAF3D">
            <w:pPr>
              <w:jc w:val="right"/>
              <w:rPr>
                <w:b/>
                <w:bCs/>
                <w:sz w:val="18"/>
                <w:szCs w:val="18"/>
              </w:rPr>
            </w:pPr>
            <w:r w:rsidRPr="007E6A98">
              <w:rPr>
                <w:rFonts w:eastAsia="Calibri"/>
                <w:b/>
                <w:bCs/>
                <w:sz w:val="18"/>
                <w:szCs w:val="18"/>
              </w:rPr>
              <w:t>$39</w:t>
            </w:r>
            <w:r w:rsidR="00BB6558">
              <w:rPr>
                <w:rFonts w:eastAsia="Calibri"/>
                <w:b/>
                <w:bCs/>
                <w:sz w:val="18"/>
                <w:szCs w:val="18"/>
              </w:rPr>
              <w:t>,</w:t>
            </w:r>
            <w:r w:rsidR="00151267">
              <w:rPr>
                <w:rFonts w:eastAsia="Calibri"/>
                <w:b/>
                <w:bCs/>
                <w:sz w:val="18"/>
                <w:szCs w:val="18"/>
              </w:rPr>
              <w:t>631</w:t>
            </w:r>
          </w:p>
        </w:tc>
      </w:tr>
    </w:tbl>
    <w:tbl>
      <w:tblPr>
        <w:tblStyle w:val="TableGrid2"/>
        <w:tblW w:w="8820" w:type="dxa"/>
        <w:tblInd w:w="-5" w:type="dxa"/>
        <w:tblLook w:val="04A0"/>
      </w:tblPr>
      <w:tblGrid>
        <w:gridCol w:w="8820"/>
      </w:tblGrid>
      <w:tr w14:paraId="0293D829" w14:textId="77777777" w:rsidTr="007E6A98">
        <w:tblPrEx>
          <w:tblW w:w="8820" w:type="dxa"/>
          <w:tblInd w:w="-5" w:type="dxa"/>
          <w:tblLook w:val="04A0"/>
        </w:tblPrEx>
        <w:tc>
          <w:tcPr>
            <w:tcW w:w="8820" w:type="dxa"/>
          </w:tcPr>
          <w:p w:rsidR="006D6DC5" w:rsidRPr="007E6A98" w:rsidP="008526C6" w14:paraId="2968091D" w14:textId="155F10B8">
            <w:pPr>
              <w:rPr>
                <w:rFonts w:ascii="Times New Roman" w:eastAsia="Calibri" w:hAnsi="Times New Roman" w:cs="Times New Roman"/>
                <w:sz w:val="18"/>
                <w:szCs w:val="18"/>
              </w:rPr>
            </w:pPr>
            <w:r w:rsidRPr="007E6A98">
              <w:rPr>
                <w:rFonts w:ascii="Times New Roman" w:eastAsia="Calibri" w:hAnsi="Times New Roman" w:cs="Times New Roman"/>
                <w:sz w:val="18"/>
                <w:szCs w:val="18"/>
                <w:vertAlign w:val="superscript"/>
              </w:rPr>
              <w:t>1</w:t>
            </w:r>
            <w:r w:rsidRPr="007E6A98">
              <w:rPr>
                <w:rFonts w:ascii="Times New Roman" w:eastAsia="Calibri" w:hAnsi="Times New Roman" w:cs="Times New Roman"/>
                <w:sz w:val="18"/>
                <w:szCs w:val="18"/>
              </w:rPr>
              <w:t xml:space="preserve"> Office of Personnel Management 202</w:t>
            </w:r>
            <w:r w:rsidRPr="007E6A98" w:rsidR="00800E70">
              <w:rPr>
                <w:rFonts w:ascii="Times New Roman" w:eastAsia="Calibri" w:hAnsi="Times New Roman" w:cs="Times New Roman"/>
                <w:sz w:val="18"/>
                <w:szCs w:val="18"/>
              </w:rPr>
              <w:t>5</w:t>
            </w:r>
            <w:r w:rsidRPr="007E6A98">
              <w:rPr>
                <w:rFonts w:ascii="Times New Roman" w:eastAsia="Calibri" w:hAnsi="Times New Roman" w:cs="Times New Roman"/>
                <w:sz w:val="18"/>
                <w:szCs w:val="18"/>
              </w:rPr>
              <w:t xml:space="preserve"> Pay and Leave Tables for the Washington-Baltimore-Arlington, DC-MD-VA-WV-PA locality. Available online at </w:t>
            </w:r>
            <w:hyperlink r:id="rId10" w:history="1">
              <w:r w:rsidRPr="007E6A98" w:rsidR="00B43748">
                <w:rPr>
                  <w:rStyle w:val="Hyperlink"/>
                  <w:rFonts w:ascii="Times New Roman" w:hAnsi="Times New Roman" w:cs="Times New Roman"/>
                  <w:sz w:val="18"/>
                  <w:szCs w:val="18"/>
                </w:rPr>
                <w:t>Pay &amp; Leave : Salaries &amp; Wages - OPM.gov</w:t>
              </w:r>
            </w:hyperlink>
            <w:r w:rsidRPr="007E6A98">
              <w:rPr>
                <w:rFonts w:ascii="Times New Roman" w:eastAsia="Calibri" w:hAnsi="Times New Roman" w:cs="Times New Roman"/>
                <w:sz w:val="18"/>
                <w:szCs w:val="18"/>
              </w:rPr>
              <w:t xml:space="preserve">. Accessed </w:t>
            </w:r>
            <w:r w:rsidRPr="007E6A98" w:rsidR="00A659C8">
              <w:rPr>
                <w:rFonts w:ascii="Times New Roman" w:eastAsia="Calibri" w:hAnsi="Times New Roman" w:cs="Times New Roman"/>
                <w:sz w:val="18"/>
                <w:szCs w:val="18"/>
              </w:rPr>
              <w:t>February</w:t>
            </w:r>
            <w:r w:rsidRPr="007E6A98" w:rsidR="00B43748">
              <w:rPr>
                <w:rFonts w:ascii="Times New Roman" w:eastAsia="Calibri" w:hAnsi="Times New Roman" w:cs="Times New Roman"/>
                <w:sz w:val="18"/>
                <w:szCs w:val="18"/>
              </w:rPr>
              <w:t xml:space="preserve"> 24, 2025</w:t>
            </w:r>
            <w:r w:rsidRPr="007E6A98">
              <w:rPr>
                <w:rFonts w:ascii="Times New Roman" w:eastAsia="Calibri" w:hAnsi="Times New Roman" w:cs="Times New Roman"/>
                <w:sz w:val="18"/>
                <w:szCs w:val="18"/>
              </w:rPr>
              <w:t>.</w:t>
            </w:r>
          </w:p>
          <w:p w:rsidR="006D6DC5" w:rsidRPr="007E6A98" w:rsidP="008526C6" w14:paraId="17325FD9" w14:textId="49761942">
            <w:pPr>
              <w:rPr>
                <w:rFonts w:ascii="Times New Roman" w:eastAsia="Calibri" w:hAnsi="Times New Roman" w:cs="Times New Roman"/>
                <w:sz w:val="18"/>
                <w:szCs w:val="18"/>
              </w:rPr>
            </w:pPr>
            <w:r w:rsidRPr="007E6A98">
              <w:rPr>
                <w:rFonts w:ascii="Times New Roman" w:eastAsia="Calibri" w:hAnsi="Times New Roman" w:cs="Times New Roman"/>
                <w:sz w:val="18"/>
                <w:szCs w:val="18"/>
                <w:vertAlign w:val="superscript"/>
              </w:rPr>
              <w:t>2</w:t>
            </w:r>
            <w:r w:rsidRPr="007E6A98">
              <w:rPr>
                <w:rFonts w:ascii="Times New Roman" w:eastAsia="Calibri" w:hAnsi="Times New Roman" w:cs="Times New Roman"/>
                <w:sz w:val="18"/>
                <w:szCs w:val="18"/>
              </w:rPr>
              <w:t xml:space="preserve"> Wage rate includes a 1.4</w:t>
            </w:r>
            <w:r w:rsidR="00225EFB">
              <w:rPr>
                <w:rFonts w:ascii="Times New Roman" w:eastAsia="Calibri" w:hAnsi="Times New Roman" w:cs="Times New Roman"/>
                <w:sz w:val="18"/>
                <w:szCs w:val="18"/>
              </w:rPr>
              <w:t>5</w:t>
            </w:r>
            <w:r w:rsidRPr="007E6A98">
              <w:rPr>
                <w:rFonts w:ascii="Times New Roman" w:eastAsia="Calibri" w:hAnsi="Times New Roman" w:cs="Times New Roman"/>
                <w:sz w:val="18"/>
                <w:szCs w:val="18"/>
              </w:rPr>
              <w:t xml:space="preserve"> multiplier to reflect the fully-loaded wage rate.</w:t>
            </w:r>
          </w:p>
        </w:tc>
      </w:tr>
    </w:tbl>
    <w:p w:rsidR="00657DD5" w:rsidRPr="00657DD5" w:rsidP="00B3434E" w14:paraId="21F48A55" w14:textId="2532E045">
      <w:pPr>
        <w:spacing w:line="276" w:lineRule="auto"/>
        <w:contextualSpacing/>
      </w:pPr>
    </w:p>
    <w:p w:rsidR="005E21C2" w:rsidP="00B3434E" w14:paraId="3D6BABFB" w14:textId="1C38F220">
      <w:pPr>
        <w:spacing w:line="276" w:lineRule="auto"/>
        <w:contextualSpacing/>
        <w:rPr>
          <w:b/>
        </w:rPr>
      </w:pPr>
      <w:r>
        <w:fldChar w:fldCharType="begin"/>
      </w:r>
      <w:r>
        <w:instrText>ADVANCE \R 0.95</w:instrText>
      </w:r>
      <w:r>
        <w:fldChar w:fldCharType="end"/>
      </w:r>
      <w:r w:rsidR="00677CAD">
        <w:fldChar w:fldCharType="begin"/>
      </w:r>
      <w:r w:rsidR="00677CAD">
        <w:instrText>ADVANCE \R 0.95</w:instrText>
      </w:r>
      <w:r w:rsidR="00677CAD">
        <w:fldChar w:fldCharType="end"/>
      </w:r>
      <w:r w:rsidRPr="00974EA8">
        <w:rPr>
          <w:b/>
        </w:rPr>
        <w:t xml:space="preserve">15.  Explain the reasons for any program changes or adjustments reported in Items 13 or 14 of the OMB Form 83-I in a narrative form.  Present the </w:t>
      </w:r>
      <w:r>
        <w:rPr>
          <w:b/>
        </w:rPr>
        <w:t xml:space="preserve">itemized </w:t>
      </w:r>
      <w:r w:rsidRPr="00974EA8">
        <w:rPr>
          <w:b/>
        </w:rPr>
        <w:t xml:space="preserve">changes in hour burden and cost burden according to program changes or adjustments in </w:t>
      </w:r>
      <w:r>
        <w:rPr>
          <w:b/>
        </w:rPr>
        <w:t>T</w:t>
      </w:r>
      <w:r w:rsidRPr="00974EA8">
        <w:rPr>
          <w:b/>
        </w:rPr>
        <w:t>able 5.  Denote a program increase as a positive number, and a progra</w:t>
      </w:r>
      <w:r>
        <w:rPr>
          <w:b/>
        </w:rPr>
        <w:t>m decrease as a negative number</w:t>
      </w:r>
      <w:r w:rsidRPr="00974EA8">
        <w:rPr>
          <w:b/>
        </w:rPr>
        <w:t xml:space="preserve">.  </w:t>
      </w:r>
    </w:p>
    <w:p w:rsidR="00651BF3" w:rsidP="00651BF3" w14:paraId="1BE0F940" w14:textId="77777777">
      <w:pPr>
        <w:pStyle w:val="NormalWeb"/>
        <w:spacing w:before="0" w:beforeAutospacing="0" w:after="0" w:afterAutospacing="0"/>
        <w:rPr>
          <w:i/>
          <w:sz w:val="20"/>
          <w:szCs w:val="20"/>
        </w:rPr>
      </w:pPr>
    </w:p>
    <w:p w:rsidR="005E21C2" w:rsidP="00B3434E" w14:paraId="66B19280" w14:textId="7A59533B">
      <w:pPr>
        <w:pStyle w:val="NormalWeb"/>
        <w:spacing w:before="0" w:beforeAutospacing="0" w:after="0" w:afterAutospacing="0" w:line="276" w:lineRule="auto"/>
        <w:contextualSpacing/>
        <w:rPr>
          <w:i/>
          <w:sz w:val="20"/>
          <w:szCs w:val="20"/>
        </w:rPr>
      </w:pPr>
      <w:r w:rsidRPr="003B1C2C">
        <w:rPr>
          <w:i/>
          <w:sz w:val="20"/>
          <w:szCs w:val="20"/>
        </w:rPr>
        <w:t xml:space="preserve">A </w:t>
      </w:r>
      <w:r w:rsidR="0018773C">
        <w:rPr>
          <w:b/>
          <w:bCs/>
          <w:i/>
          <w:sz w:val="20"/>
          <w:szCs w:val="20"/>
        </w:rPr>
        <w:t>“</w:t>
      </w:r>
      <w:r w:rsidRPr="003B1C2C">
        <w:rPr>
          <w:b/>
          <w:bCs/>
          <w:i/>
          <w:sz w:val="20"/>
          <w:szCs w:val="20"/>
        </w:rPr>
        <w:t>Program increase</w:t>
      </w:r>
      <w:r w:rsidR="0018773C">
        <w:rPr>
          <w:b/>
          <w:bCs/>
          <w:i/>
          <w:sz w:val="20"/>
          <w:szCs w:val="20"/>
        </w:rPr>
        <w:t>”</w:t>
      </w:r>
      <w:r w:rsidRPr="003B1C2C">
        <w:rPr>
          <w:i/>
          <w:sz w:val="20"/>
          <w:szCs w:val="20"/>
        </w:rPr>
        <w:t xml:space="preserve"> is an additional burden resulting from an</w:t>
      </w:r>
      <w:r w:rsidR="005926EA">
        <w:rPr>
          <w:i/>
          <w:sz w:val="20"/>
          <w:szCs w:val="20"/>
        </w:rPr>
        <w:t xml:space="preserve"> </w:t>
      </w:r>
      <w:r w:rsidR="00B3434E">
        <w:rPr>
          <w:i/>
          <w:sz w:val="20"/>
          <w:szCs w:val="20"/>
        </w:rPr>
        <w:t>F</w:t>
      </w:r>
      <w:r w:rsidR="005926EA">
        <w:rPr>
          <w:i/>
          <w:sz w:val="20"/>
          <w:szCs w:val="20"/>
        </w:rPr>
        <w:t xml:space="preserve">ederal </w:t>
      </w:r>
      <w:r w:rsidR="00B3434E">
        <w:rPr>
          <w:i/>
          <w:sz w:val="20"/>
          <w:szCs w:val="20"/>
        </w:rPr>
        <w:t>G</w:t>
      </w:r>
      <w:r w:rsidR="005926EA">
        <w:rPr>
          <w:i/>
          <w:sz w:val="20"/>
          <w:szCs w:val="20"/>
        </w:rPr>
        <w:t>overnment regulatory</w:t>
      </w:r>
      <w:r w:rsidRPr="003B1C2C">
        <w:rPr>
          <w:i/>
          <w:sz w:val="20"/>
          <w:szCs w:val="20"/>
        </w:rPr>
        <w:t xml:space="preserve"> action or directive</w:t>
      </w:r>
      <w:r w:rsidR="005926EA">
        <w:rPr>
          <w:i/>
          <w:sz w:val="20"/>
          <w:szCs w:val="20"/>
        </w:rPr>
        <w:t>.</w:t>
      </w:r>
      <w:r w:rsidRPr="003B1C2C">
        <w:rPr>
          <w:i/>
          <w:sz w:val="20"/>
          <w:szCs w:val="20"/>
        </w:rPr>
        <w:t xml:space="preserve"> (e.g., an increase in sample size or coverage, amount of information, reporting frequency, or expanded use of an</w:t>
      </w:r>
      <w:r w:rsidR="00A643EA">
        <w:rPr>
          <w:i/>
          <w:sz w:val="20"/>
          <w:szCs w:val="20"/>
        </w:rPr>
        <w:t xml:space="preserve"> </w:t>
      </w:r>
      <w:r w:rsidRPr="003B1C2C">
        <w:rPr>
          <w:i/>
          <w:sz w:val="20"/>
          <w:szCs w:val="20"/>
        </w:rPr>
        <w:t xml:space="preserve">existing form). </w:t>
      </w:r>
      <w:r w:rsidR="003D7E45">
        <w:rPr>
          <w:i/>
          <w:sz w:val="20"/>
          <w:szCs w:val="20"/>
        </w:rPr>
        <w:t xml:space="preserve"> </w:t>
      </w:r>
      <w:r w:rsidRPr="003B1C2C">
        <w:rPr>
          <w:i/>
          <w:sz w:val="20"/>
          <w:szCs w:val="20"/>
        </w:rPr>
        <w:t>This also includes previously in-use</w:t>
      </w:r>
      <w:r w:rsidR="00A643EA">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sidR="005926EA">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rsidR="00D90BAF" w:rsidRPr="003B1C2C" w:rsidP="00B3434E" w14:paraId="25A1E20C" w14:textId="77777777">
      <w:pPr>
        <w:pStyle w:val="NormalWeb"/>
        <w:spacing w:before="0" w:beforeAutospacing="0" w:after="0" w:afterAutospacing="0" w:line="276" w:lineRule="auto"/>
        <w:contextualSpacing/>
        <w:rPr>
          <w:i/>
          <w:sz w:val="20"/>
          <w:szCs w:val="20"/>
        </w:rPr>
      </w:pPr>
    </w:p>
    <w:p w:rsidR="005E21C2" w:rsidRPr="003B1C2C" w:rsidP="00B3434E" w14:paraId="454E1BEE" w14:textId="599C40B7">
      <w:pPr>
        <w:pStyle w:val="NormalWeb"/>
        <w:spacing w:before="0" w:beforeAutospacing="0" w:after="0" w:afterAutospacing="0" w:line="276" w:lineRule="auto"/>
        <w:contextualSpacing/>
        <w:rPr>
          <w:i/>
          <w:sz w:val="20"/>
          <w:szCs w:val="20"/>
        </w:rPr>
      </w:pPr>
      <w:r w:rsidRPr="003B1C2C">
        <w:rPr>
          <w:i/>
          <w:sz w:val="20"/>
          <w:szCs w:val="20"/>
        </w:rPr>
        <w:t xml:space="preserve">A </w:t>
      </w:r>
      <w:r w:rsidR="0018773C">
        <w:rPr>
          <w:b/>
          <w:bCs/>
          <w:i/>
          <w:sz w:val="20"/>
          <w:szCs w:val="20"/>
        </w:rPr>
        <w:t>“</w:t>
      </w:r>
      <w:r w:rsidRPr="003B1C2C">
        <w:rPr>
          <w:b/>
          <w:bCs/>
          <w:i/>
          <w:sz w:val="20"/>
          <w:szCs w:val="20"/>
        </w:rPr>
        <w:t>Program decrease</w:t>
      </w:r>
      <w:r w:rsidR="0018773C">
        <w:rPr>
          <w:b/>
          <w:bCs/>
          <w:i/>
          <w:sz w:val="20"/>
          <w:szCs w:val="20"/>
        </w:rPr>
        <w:t>”</w:t>
      </w:r>
      <w:r w:rsidRPr="003B1C2C">
        <w:rPr>
          <w:b/>
          <w:bCs/>
          <w:i/>
          <w:sz w:val="20"/>
          <w:szCs w:val="20"/>
        </w:rPr>
        <w:t xml:space="preserve">, </w:t>
      </w:r>
      <w:r w:rsidRPr="003B1C2C">
        <w:rPr>
          <w:i/>
          <w:sz w:val="20"/>
          <w:szCs w:val="20"/>
        </w:rPr>
        <w:t>is a reduction in burden because of: (1) the</w:t>
      </w:r>
      <w:r>
        <w:rPr>
          <w:i/>
          <w:sz w:val="20"/>
          <w:szCs w:val="20"/>
        </w:rPr>
        <w:t xml:space="preserve"> </w:t>
      </w:r>
      <w:r w:rsidR="00A643EA">
        <w:rPr>
          <w:i/>
          <w:sz w:val="20"/>
          <w:szCs w:val="20"/>
        </w:rPr>
        <w:t xml:space="preserve">discontinuation of an </w:t>
      </w:r>
      <w:r w:rsidRPr="003B1C2C">
        <w:rPr>
          <w:i/>
          <w:sz w:val="20"/>
          <w:szCs w:val="20"/>
        </w:rPr>
        <w:t>information collection; or (2) a change in an existing</w:t>
      </w:r>
      <w:r w:rsidR="00A643EA">
        <w:rPr>
          <w:i/>
          <w:sz w:val="20"/>
          <w:szCs w:val="20"/>
        </w:rPr>
        <w:t xml:space="preserve"> </w:t>
      </w:r>
      <w:r w:rsidRPr="003B1C2C">
        <w:rPr>
          <w:i/>
          <w:sz w:val="20"/>
          <w:szCs w:val="20"/>
        </w:rPr>
        <w:t xml:space="preserve">information collection by a Federal </w:t>
      </w:r>
      <w:r w:rsidR="00303E66">
        <w:rPr>
          <w:i/>
          <w:sz w:val="20"/>
          <w:szCs w:val="20"/>
        </w:rPr>
        <w:t>A</w:t>
      </w:r>
      <w:r w:rsidRPr="003B1C2C">
        <w:rPr>
          <w:i/>
          <w:sz w:val="20"/>
          <w:szCs w:val="20"/>
        </w:rPr>
        <w:t>gency</w:t>
      </w:r>
      <w:r w:rsidR="00A643EA">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rsidR="00651BF3" w:rsidP="00B3434E" w14:paraId="4B1877DF" w14:textId="77777777">
      <w:pPr>
        <w:spacing w:line="276" w:lineRule="auto"/>
        <w:contextualSpacing/>
        <w:rPr>
          <w:b/>
          <w:i/>
          <w:sz w:val="20"/>
          <w:szCs w:val="20"/>
        </w:rPr>
      </w:pPr>
    </w:p>
    <w:p w:rsidR="00651BF3" w:rsidRPr="008A37C7" w:rsidP="00B3434E" w14:paraId="294F926B" w14:textId="01429071">
      <w:pPr>
        <w:spacing w:line="276" w:lineRule="auto"/>
        <w:contextualSpacing/>
        <w:rPr>
          <w:i/>
          <w:sz w:val="20"/>
          <w:szCs w:val="20"/>
        </w:rPr>
      </w:pPr>
      <w:r w:rsidRPr="00303E66">
        <w:rPr>
          <w:bCs/>
          <w:i/>
          <w:sz w:val="20"/>
          <w:szCs w:val="20"/>
        </w:rPr>
        <w:t>An</w:t>
      </w:r>
      <w:r w:rsidRPr="00303E66" w:rsidR="005E21C2">
        <w:rPr>
          <w:bCs/>
          <w:i/>
          <w:sz w:val="20"/>
          <w:szCs w:val="20"/>
        </w:rPr>
        <w:t xml:space="preserve"> </w:t>
      </w:r>
      <w:r>
        <w:rPr>
          <w:b/>
          <w:i/>
          <w:sz w:val="20"/>
          <w:szCs w:val="20"/>
        </w:rPr>
        <w:t>“</w:t>
      </w:r>
      <w:r w:rsidRPr="00A643EA" w:rsidR="005E21C2">
        <w:rPr>
          <w:b/>
          <w:bCs/>
          <w:i/>
          <w:sz w:val="20"/>
          <w:szCs w:val="20"/>
        </w:rPr>
        <w:t>Adjustment</w:t>
      </w:r>
      <w:r w:rsidR="0018773C">
        <w:rPr>
          <w:b/>
          <w:bCs/>
          <w:i/>
          <w:sz w:val="20"/>
          <w:szCs w:val="20"/>
        </w:rPr>
        <w:t>”</w:t>
      </w:r>
      <w:r w:rsidRPr="00A643EA" w:rsidR="005E21C2">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C216D8" w:rsidP="00B3434E" w14:paraId="68C9202F" w14:textId="77777777">
      <w:pPr>
        <w:spacing w:line="276" w:lineRule="auto"/>
        <w:contextualSpacing/>
        <w:rPr>
          <w:i/>
          <w:sz w:val="20"/>
          <w:szCs w:val="20"/>
        </w:rPr>
      </w:pPr>
    </w:p>
    <w:p w:rsidR="00303E66" w14:paraId="6BF57379" w14:textId="425BDEAB">
      <w:pPr>
        <w:rPr>
          <w:i/>
          <w:sz w:val="20"/>
          <w:szCs w:val="20"/>
        </w:rPr>
      </w:pPr>
      <w:r>
        <w:rPr>
          <w:i/>
          <w:sz w:val="20"/>
          <w:szCs w:val="20"/>
        </w:rPr>
        <w:br w:type="page"/>
      </w:r>
    </w:p>
    <w:p w:rsidR="00303E66" w:rsidRPr="00C216D8" w:rsidP="00B3434E" w14:paraId="597A2DBF" w14:textId="77777777">
      <w:pPr>
        <w:spacing w:line="276" w:lineRule="auto"/>
        <w:contextualSpacing/>
        <w:rPr>
          <w:i/>
          <w:sz w:val="20"/>
          <w:szCs w:val="20"/>
        </w:rPr>
      </w:pPr>
    </w:p>
    <w:tbl>
      <w:tblPr>
        <w:tblW w:w="10362" w:type="dxa"/>
        <w:jc w:val="center"/>
        <w:tblLook w:val="0000"/>
      </w:tblPr>
      <w:tblGrid>
        <w:gridCol w:w="2340"/>
        <w:gridCol w:w="1596"/>
        <w:gridCol w:w="1175"/>
        <w:gridCol w:w="1016"/>
        <w:gridCol w:w="1693"/>
        <w:gridCol w:w="1127"/>
        <w:gridCol w:w="1415"/>
      </w:tblGrid>
      <w:tr w14:paraId="0D3DF7F6" w14:textId="77777777" w:rsidTr="001E5080">
        <w:tblPrEx>
          <w:tblW w:w="10362" w:type="dxa"/>
          <w:jc w:val="center"/>
          <w:tblLook w:val="0000"/>
        </w:tblPrEx>
        <w:trPr>
          <w:trHeight w:val="270"/>
          <w:jc w:val="center"/>
        </w:trPr>
        <w:tc>
          <w:tcPr>
            <w:tcW w:w="10362" w:type="dxa"/>
            <w:gridSpan w:val="7"/>
            <w:tcBorders>
              <w:top w:val="single" w:sz="8" w:space="0" w:color="auto"/>
              <w:left w:val="single" w:sz="8" w:space="0" w:color="auto"/>
              <w:bottom w:val="single" w:sz="8" w:space="0" w:color="auto"/>
              <w:right w:val="single" w:sz="8" w:space="0" w:color="000000" w:themeColor="text1"/>
            </w:tcBorders>
            <w:shd w:val="clear" w:color="auto" w:fill="B4C6E7" w:themeFill="accent1" w:themeFillTint="66"/>
            <w:noWrap/>
            <w:vAlign w:val="bottom"/>
          </w:tcPr>
          <w:p w:rsidR="00C216D8" w:rsidRPr="00303E66" w:rsidP="00872BBC" w14:paraId="06E4A942" w14:textId="3B44A162">
            <w:pPr>
              <w:spacing w:after="200"/>
              <w:contextualSpacing/>
              <w:jc w:val="center"/>
              <w:rPr>
                <w:rFonts w:eastAsia="Calibri"/>
                <w:b/>
                <w:bCs/>
                <w:sz w:val="20"/>
                <w:szCs w:val="20"/>
              </w:rPr>
            </w:pPr>
            <w:r w:rsidRPr="00303E66">
              <w:rPr>
                <w:rFonts w:eastAsia="Calibri"/>
                <w:b/>
                <w:bCs/>
                <w:sz w:val="20"/>
                <w:szCs w:val="20"/>
              </w:rPr>
              <w:t>Itemized Changes in Annual Burden Hours</w:t>
            </w:r>
          </w:p>
        </w:tc>
      </w:tr>
      <w:tr w14:paraId="0623614B" w14:textId="77777777" w:rsidTr="00C73916">
        <w:tblPrEx>
          <w:tblW w:w="10362" w:type="dxa"/>
          <w:jc w:val="center"/>
          <w:tblLook w:val="0000"/>
        </w:tblPrEx>
        <w:trPr>
          <w:trHeight w:val="862"/>
          <w:jc w:val="center"/>
        </w:trPr>
        <w:tc>
          <w:tcPr>
            <w:tcW w:w="2340" w:type="dxa"/>
            <w:tcBorders>
              <w:top w:val="nil"/>
              <w:left w:val="single" w:sz="8" w:space="0" w:color="auto"/>
              <w:bottom w:val="single" w:sz="8" w:space="0" w:color="auto"/>
              <w:right w:val="single" w:sz="8" w:space="0" w:color="auto"/>
            </w:tcBorders>
            <w:shd w:val="clear" w:color="auto" w:fill="B4C6E7" w:themeFill="accent1" w:themeFillTint="66"/>
            <w:vAlign w:val="bottom"/>
          </w:tcPr>
          <w:p w:rsidR="00C216D8" w:rsidRPr="00303E66" w:rsidP="00AC3D14" w14:paraId="1D5E4793" w14:textId="77777777">
            <w:pPr>
              <w:spacing w:after="200"/>
              <w:contextualSpacing/>
              <w:jc w:val="center"/>
              <w:rPr>
                <w:rFonts w:eastAsia="Calibri"/>
                <w:b/>
                <w:bCs/>
                <w:sz w:val="18"/>
                <w:szCs w:val="18"/>
              </w:rPr>
            </w:pPr>
            <w:r w:rsidRPr="00303E66">
              <w:rPr>
                <w:rFonts w:eastAsia="Calibri"/>
                <w:b/>
                <w:bCs/>
                <w:sz w:val="18"/>
                <w:szCs w:val="18"/>
              </w:rPr>
              <w:t>Data collection Activity/Instrument</w:t>
            </w:r>
          </w:p>
        </w:tc>
        <w:tc>
          <w:tcPr>
            <w:tcW w:w="1596" w:type="dxa"/>
            <w:tcBorders>
              <w:top w:val="nil"/>
              <w:left w:val="nil"/>
              <w:bottom w:val="single" w:sz="8" w:space="0" w:color="auto"/>
              <w:right w:val="single" w:sz="8" w:space="0" w:color="auto"/>
            </w:tcBorders>
            <w:shd w:val="clear" w:color="auto" w:fill="B4C6E7" w:themeFill="accent1" w:themeFillTint="66"/>
            <w:vAlign w:val="bottom"/>
          </w:tcPr>
          <w:p w:rsidR="00C216D8" w:rsidRPr="00303E66" w:rsidP="00AC3D14" w14:paraId="44EC9683" w14:textId="77777777">
            <w:pPr>
              <w:spacing w:after="200"/>
              <w:contextualSpacing/>
              <w:jc w:val="center"/>
              <w:rPr>
                <w:rFonts w:eastAsia="Calibri"/>
                <w:b/>
                <w:bCs/>
                <w:sz w:val="18"/>
                <w:szCs w:val="18"/>
              </w:rPr>
            </w:pPr>
            <w:r w:rsidRPr="00303E66">
              <w:rPr>
                <w:rFonts w:eastAsia="Calibri"/>
                <w:b/>
                <w:bCs/>
                <w:sz w:val="18"/>
                <w:szCs w:val="18"/>
              </w:rPr>
              <w:t xml:space="preserve">Program Change (hours currently on OMB Inventory) </w:t>
            </w:r>
          </w:p>
        </w:tc>
        <w:tc>
          <w:tcPr>
            <w:tcW w:w="1175" w:type="dxa"/>
            <w:tcBorders>
              <w:top w:val="nil"/>
              <w:left w:val="nil"/>
              <w:bottom w:val="single" w:sz="8" w:space="0" w:color="auto"/>
              <w:right w:val="single" w:sz="8" w:space="0" w:color="auto"/>
            </w:tcBorders>
            <w:shd w:val="clear" w:color="auto" w:fill="B4C6E7" w:themeFill="accent1" w:themeFillTint="66"/>
            <w:vAlign w:val="bottom"/>
          </w:tcPr>
          <w:p w:rsidR="00C216D8" w:rsidRPr="00303E66" w:rsidP="00AC3D14" w14:paraId="4356FDB3" w14:textId="77777777">
            <w:pPr>
              <w:spacing w:after="200"/>
              <w:contextualSpacing/>
              <w:jc w:val="center"/>
              <w:rPr>
                <w:rFonts w:eastAsia="Calibri"/>
                <w:b/>
                <w:bCs/>
                <w:sz w:val="18"/>
                <w:szCs w:val="18"/>
              </w:rPr>
            </w:pPr>
            <w:r w:rsidRPr="00303E66">
              <w:rPr>
                <w:rFonts w:eastAsia="Calibri"/>
                <w:b/>
                <w:bCs/>
                <w:sz w:val="18"/>
                <w:szCs w:val="18"/>
              </w:rPr>
              <w:t xml:space="preserve">Program Change (New) </w:t>
            </w:r>
          </w:p>
        </w:tc>
        <w:tc>
          <w:tcPr>
            <w:tcW w:w="1016" w:type="dxa"/>
            <w:tcBorders>
              <w:top w:val="nil"/>
              <w:left w:val="nil"/>
              <w:bottom w:val="single" w:sz="8" w:space="0" w:color="auto"/>
              <w:right w:val="single" w:sz="8" w:space="0" w:color="auto"/>
            </w:tcBorders>
            <w:shd w:val="clear" w:color="auto" w:fill="B4C6E7" w:themeFill="accent1" w:themeFillTint="66"/>
            <w:vAlign w:val="bottom"/>
          </w:tcPr>
          <w:p w:rsidR="00C216D8" w:rsidRPr="00303E66" w:rsidP="00AC3D14" w14:paraId="7B4F9B42" w14:textId="77777777">
            <w:pPr>
              <w:spacing w:after="200"/>
              <w:contextualSpacing/>
              <w:jc w:val="center"/>
              <w:rPr>
                <w:rFonts w:eastAsia="Calibri"/>
                <w:b/>
                <w:bCs/>
                <w:sz w:val="18"/>
                <w:szCs w:val="18"/>
              </w:rPr>
            </w:pPr>
            <w:r w:rsidRPr="00303E66">
              <w:rPr>
                <w:rFonts w:eastAsia="Calibri"/>
                <w:b/>
                <w:bCs/>
                <w:sz w:val="18"/>
                <w:szCs w:val="18"/>
              </w:rPr>
              <w:t>Difference</w:t>
            </w:r>
          </w:p>
        </w:tc>
        <w:tc>
          <w:tcPr>
            <w:tcW w:w="1873" w:type="dxa"/>
            <w:tcBorders>
              <w:top w:val="nil"/>
              <w:left w:val="nil"/>
              <w:bottom w:val="single" w:sz="8" w:space="0" w:color="auto"/>
              <w:right w:val="single" w:sz="8" w:space="0" w:color="auto"/>
            </w:tcBorders>
            <w:shd w:val="clear" w:color="auto" w:fill="B4C6E7" w:themeFill="accent1" w:themeFillTint="66"/>
            <w:vAlign w:val="bottom"/>
          </w:tcPr>
          <w:p w:rsidR="00C216D8" w:rsidRPr="00303E66" w:rsidP="00AC3D14" w14:paraId="38042E02" w14:textId="77777777">
            <w:pPr>
              <w:spacing w:after="200"/>
              <w:contextualSpacing/>
              <w:jc w:val="center"/>
              <w:rPr>
                <w:rFonts w:eastAsia="Calibri"/>
                <w:b/>
                <w:bCs/>
                <w:sz w:val="18"/>
                <w:szCs w:val="18"/>
              </w:rPr>
            </w:pPr>
            <w:r w:rsidRPr="00303E66">
              <w:rPr>
                <w:rFonts w:eastAsia="Calibri"/>
                <w:b/>
                <w:bCs/>
                <w:sz w:val="18"/>
                <w:szCs w:val="18"/>
              </w:rPr>
              <w:t>Adjustment (hours currently on OMB Inventory)</w:t>
            </w:r>
          </w:p>
        </w:tc>
        <w:tc>
          <w:tcPr>
            <w:tcW w:w="947" w:type="dxa"/>
            <w:tcBorders>
              <w:top w:val="nil"/>
              <w:left w:val="nil"/>
              <w:bottom w:val="single" w:sz="8" w:space="0" w:color="auto"/>
              <w:right w:val="single" w:sz="8" w:space="0" w:color="auto"/>
            </w:tcBorders>
            <w:shd w:val="clear" w:color="auto" w:fill="B4C6E7" w:themeFill="accent1" w:themeFillTint="66"/>
            <w:vAlign w:val="bottom"/>
          </w:tcPr>
          <w:p w:rsidR="00C216D8" w:rsidRPr="00303E66" w:rsidP="00AC3D14" w14:paraId="1365E676" w14:textId="77777777">
            <w:pPr>
              <w:spacing w:after="200"/>
              <w:contextualSpacing/>
              <w:jc w:val="center"/>
              <w:rPr>
                <w:rFonts w:eastAsia="Calibri"/>
                <w:b/>
                <w:bCs/>
                <w:sz w:val="18"/>
                <w:szCs w:val="18"/>
              </w:rPr>
            </w:pPr>
            <w:r w:rsidRPr="00303E66">
              <w:rPr>
                <w:rFonts w:eastAsia="Calibri"/>
                <w:b/>
                <w:bCs/>
                <w:sz w:val="18"/>
                <w:szCs w:val="18"/>
              </w:rPr>
              <w:t xml:space="preserve">Adjustment (New) </w:t>
            </w:r>
          </w:p>
        </w:tc>
        <w:tc>
          <w:tcPr>
            <w:tcW w:w="1415" w:type="dxa"/>
            <w:tcBorders>
              <w:top w:val="nil"/>
              <w:left w:val="nil"/>
              <w:bottom w:val="single" w:sz="8" w:space="0" w:color="auto"/>
              <w:right w:val="single" w:sz="8" w:space="0" w:color="auto"/>
            </w:tcBorders>
            <w:shd w:val="clear" w:color="auto" w:fill="B4C6E7" w:themeFill="accent1" w:themeFillTint="66"/>
            <w:vAlign w:val="bottom"/>
          </w:tcPr>
          <w:p w:rsidR="00C216D8" w:rsidRPr="00303E66" w:rsidP="00AC3D14" w14:paraId="4746E747" w14:textId="77777777">
            <w:pPr>
              <w:spacing w:after="200"/>
              <w:contextualSpacing/>
              <w:jc w:val="center"/>
              <w:rPr>
                <w:rFonts w:eastAsia="Calibri"/>
                <w:b/>
                <w:bCs/>
                <w:sz w:val="18"/>
                <w:szCs w:val="18"/>
              </w:rPr>
            </w:pPr>
            <w:r w:rsidRPr="00303E66">
              <w:rPr>
                <w:rFonts w:eastAsia="Calibri"/>
                <w:b/>
                <w:bCs/>
                <w:sz w:val="18"/>
                <w:szCs w:val="18"/>
              </w:rPr>
              <w:t>Difference</w:t>
            </w:r>
          </w:p>
        </w:tc>
      </w:tr>
      <w:tr w14:paraId="2714C3EB" w14:textId="77777777" w:rsidTr="001E5080">
        <w:tblPrEx>
          <w:tblW w:w="10362" w:type="dxa"/>
          <w:jc w:val="center"/>
          <w:tblLook w:val="0000"/>
        </w:tblPrEx>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1179B6" w:rsidRPr="00303E66" w:rsidP="00AC3D14" w14:paraId="03DA5531" w14:textId="705FEA79">
            <w:pPr>
              <w:spacing w:after="200"/>
              <w:contextualSpacing/>
              <w:rPr>
                <w:rFonts w:eastAsia="Calibri"/>
                <w:color w:val="000000" w:themeColor="text1"/>
                <w:sz w:val="18"/>
                <w:szCs w:val="18"/>
              </w:rPr>
            </w:pPr>
            <w:r w:rsidRPr="00303E66">
              <w:rPr>
                <w:rFonts w:eastAsia="Calibri"/>
                <w:color w:val="000000" w:themeColor="text1"/>
                <w:sz w:val="18"/>
                <w:szCs w:val="18"/>
              </w:rPr>
              <w:t>Financial Assistance/Subsidy Arrangement</w:t>
            </w:r>
            <w:r w:rsidR="00C3769E">
              <w:rPr>
                <w:rFonts w:eastAsia="Calibri"/>
                <w:color w:val="000000" w:themeColor="text1"/>
                <w:sz w:val="18"/>
                <w:szCs w:val="18"/>
              </w:rPr>
              <w:t xml:space="preserve"> Notice of Acceptance / No Form</w:t>
            </w:r>
          </w:p>
        </w:tc>
        <w:tc>
          <w:tcPr>
            <w:tcW w:w="1596" w:type="dxa"/>
            <w:tcBorders>
              <w:top w:val="nil"/>
              <w:left w:val="nil"/>
              <w:bottom w:val="single" w:sz="8" w:space="0" w:color="auto"/>
              <w:right w:val="single" w:sz="8" w:space="0" w:color="auto"/>
            </w:tcBorders>
            <w:shd w:val="clear" w:color="auto" w:fill="auto"/>
            <w:vAlign w:val="center"/>
          </w:tcPr>
          <w:p w:rsidR="001179B6" w:rsidRPr="001C6679" w:rsidP="00AC3D14" w14:paraId="6A02E8AD" w14:textId="339F002A">
            <w:pPr>
              <w:spacing w:after="200"/>
              <w:contextualSpacing/>
              <w:jc w:val="center"/>
              <w:rPr>
                <w:rFonts w:eastAsia="Calibri"/>
                <w:color w:val="000000" w:themeColor="text1"/>
                <w:sz w:val="18"/>
                <w:szCs w:val="18"/>
              </w:rPr>
            </w:pPr>
            <w:r w:rsidRPr="001C6679">
              <w:rPr>
                <w:rFonts w:eastAsia="Calibri"/>
                <w:color w:val="000000" w:themeColor="text1"/>
                <w:sz w:val="18"/>
                <w:szCs w:val="18"/>
              </w:rPr>
              <w:t>46</w:t>
            </w:r>
          </w:p>
        </w:tc>
        <w:tc>
          <w:tcPr>
            <w:tcW w:w="1175" w:type="dxa"/>
            <w:tcBorders>
              <w:top w:val="nil"/>
              <w:left w:val="nil"/>
              <w:bottom w:val="single" w:sz="8" w:space="0" w:color="auto"/>
              <w:right w:val="single" w:sz="8" w:space="0" w:color="auto"/>
            </w:tcBorders>
            <w:shd w:val="clear" w:color="auto" w:fill="auto"/>
            <w:vAlign w:val="center"/>
          </w:tcPr>
          <w:p w:rsidR="001179B6" w:rsidRPr="001C6679" w:rsidP="00AC3D14" w14:paraId="0CA537AD" w14:textId="00707D20">
            <w:pPr>
              <w:spacing w:after="200"/>
              <w:contextualSpacing/>
              <w:jc w:val="center"/>
              <w:rPr>
                <w:rFonts w:eastAsia="Calibri"/>
                <w:color w:val="000000" w:themeColor="text1"/>
                <w:sz w:val="18"/>
                <w:szCs w:val="18"/>
              </w:rPr>
            </w:pPr>
            <w:r w:rsidRPr="001C6679">
              <w:rPr>
                <w:rFonts w:eastAsia="Calibri"/>
                <w:color w:val="000000" w:themeColor="text1"/>
                <w:sz w:val="18"/>
                <w:szCs w:val="18"/>
              </w:rPr>
              <w:t>0</w:t>
            </w:r>
          </w:p>
        </w:tc>
        <w:tc>
          <w:tcPr>
            <w:tcW w:w="1016" w:type="dxa"/>
            <w:tcBorders>
              <w:top w:val="nil"/>
              <w:left w:val="nil"/>
              <w:bottom w:val="single" w:sz="8" w:space="0" w:color="auto"/>
              <w:right w:val="single" w:sz="8" w:space="0" w:color="auto"/>
            </w:tcBorders>
            <w:shd w:val="clear" w:color="auto" w:fill="auto"/>
            <w:vAlign w:val="center"/>
          </w:tcPr>
          <w:p w:rsidR="001179B6" w:rsidRPr="001C6679" w:rsidP="00AC3D14" w14:paraId="3955A0DE" w14:textId="74049D8A">
            <w:pPr>
              <w:spacing w:after="200"/>
              <w:contextualSpacing/>
              <w:jc w:val="center"/>
              <w:rPr>
                <w:rFonts w:eastAsia="Calibri"/>
                <w:color w:val="000000" w:themeColor="text1"/>
                <w:sz w:val="18"/>
                <w:szCs w:val="18"/>
              </w:rPr>
            </w:pPr>
            <w:r w:rsidRPr="001C6679">
              <w:rPr>
                <w:rFonts w:eastAsia="Calibri"/>
                <w:color w:val="000000" w:themeColor="text1"/>
                <w:sz w:val="18"/>
                <w:szCs w:val="18"/>
              </w:rPr>
              <w:t>-46</w:t>
            </w:r>
          </w:p>
        </w:tc>
        <w:tc>
          <w:tcPr>
            <w:tcW w:w="1873" w:type="dxa"/>
            <w:tcBorders>
              <w:top w:val="nil"/>
              <w:left w:val="nil"/>
              <w:bottom w:val="single" w:sz="8" w:space="0" w:color="auto"/>
              <w:right w:val="single" w:sz="8" w:space="0" w:color="auto"/>
            </w:tcBorders>
            <w:shd w:val="clear" w:color="auto" w:fill="auto"/>
            <w:vAlign w:val="center"/>
          </w:tcPr>
          <w:p w:rsidR="001179B6" w:rsidRPr="001C6679" w:rsidP="00AC3D14" w14:paraId="25094742" w14:textId="7A620481">
            <w:pPr>
              <w:spacing w:after="200"/>
              <w:contextualSpacing/>
              <w:jc w:val="center"/>
              <w:rPr>
                <w:rFonts w:eastAsia="Calibri"/>
                <w:color w:val="000000" w:themeColor="text1"/>
                <w:sz w:val="18"/>
                <w:szCs w:val="18"/>
              </w:rPr>
            </w:pPr>
          </w:p>
        </w:tc>
        <w:tc>
          <w:tcPr>
            <w:tcW w:w="947" w:type="dxa"/>
            <w:tcBorders>
              <w:top w:val="nil"/>
              <w:left w:val="nil"/>
              <w:bottom w:val="single" w:sz="8" w:space="0" w:color="auto"/>
              <w:right w:val="single" w:sz="8" w:space="0" w:color="auto"/>
            </w:tcBorders>
            <w:shd w:val="clear" w:color="auto" w:fill="auto"/>
            <w:vAlign w:val="center"/>
          </w:tcPr>
          <w:p w:rsidR="001179B6" w:rsidRPr="001C6679" w:rsidP="00AC3D14" w14:paraId="6FFF63F3" w14:textId="2B230ACC">
            <w:pPr>
              <w:spacing w:after="200"/>
              <w:contextualSpacing/>
              <w:jc w:val="center"/>
              <w:rPr>
                <w:rFonts w:eastAsia="Calibri"/>
                <w:color w:val="000000" w:themeColor="text1"/>
                <w:sz w:val="18"/>
                <w:szCs w:val="18"/>
              </w:rPr>
            </w:pPr>
          </w:p>
        </w:tc>
        <w:tc>
          <w:tcPr>
            <w:tcW w:w="1415" w:type="dxa"/>
            <w:tcBorders>
              <w:top w:val="nil"/>
              <w:left w:val="nil"/>
              <w:bottom w:val="single" w:sz="8" w:space="0" w:color="auto"/>
              <w:right w:val="single" w:sz="8" w:space="0" w:color="auto"/>
            </w:tcBorders>
            <w:shd w:val="clear" w:color="auto" w:fill="auto"/>
            <w:vAlign w:val="center"/>
          </w:tcPr>
          <w:p w:rsidR="001179B6" w:rsidRPr="001C6679" w:rsidP="00AC3D14" w14:paraId="33AA4B3A" w14:textId="2E0C5B9B">
            <w:pPr>
              <w:spacing w:after="200"/>
              <w:contextualSpacing/>
              <w:jc w:val="center"/>
              <w:rPr>
                <w:rFonts w:eastAsia="Calibri"/>
                <w:color w:val="000000" w:themeColor="text1"/>
                <w:sz w:val="18"/>
                <w:szCs w:val="18"/>
              </w:rPr>
            </w:pPr>
          </w:p>
        </w:tc>
      </w:tr>
      <w:tr w14:paraId="38E954F1" w14:textId="77777777" w:rsidTr="001E5080">
        <w:tblPrEx>
          <w:tblW w:w="10362" w:type="dxa"/>
          <w:jc w:val="center"/>
          <w:tblLook w:val="0000"/>
        </w:tblPrEx>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1F6C21" w:rsidRPr="00303E66" w:rsidP="00AC3D14" w14:paraId="47D6DD74" w14:textId="41581732">
            <w:pPr>
              <w:spacing w:after="200"/>
              <w:contextualSpacing/>
              <w:rPr>
                <w:rFonts w:eastAsia="Calibri"/>
                <w:color w:val="000000" w:themeColor="text1"/>
                <w:sz w:val="18"/>
                <w:szCs w:val="18"/>
              </w:rPr>
            </w:pPr>
            <w:r w:rsidRPr="00303E66">
              <w:rPr>
                <w:rFonts w:eastAsia="Calibri"/>
                <w:color w:val="000000" w:themeColor="text1"/>
                <w:sz w:val="18"/>
                <w:szCs w:val="18"/>
              </w:rPr>
              <w:t>Mortgage Portfolio Protection Program Agreement Receipt for Materials / No Form</w:t>
            </w:r>
          </w:p>
        </w:tc>
        <w:tc>
          <w:tcPr>
            <w:tcW w:w="1596" w:type="dxa"/>
            <w:tcBorders>
              <w:top w:val="nil"/>
              <w:left w:val="nil"/>
              <w:bottom w:val="single" w:sz="8" w:space="0" w:color="auto"/>
              <w:right w:val="single" w:sz="8" w:space="0" w:color="auto"/>
            </w:tcBorders>
            <w:shd w:val="clear" w:color="auto" w:fill="auto"/>
            <w:vAlign w:val="center"/>
          </w:tcPr>
          <w:p w:rsidR="001F6C21" w:rsidRPr="001C6679" w:rsidP="00AC3D14" w14:paraId="18FA8522" w14:textId="62346B66">
            <w:pPr>
              <w:spacing w:after="200"/>
              <w:contextualSpacing/>
              <w:jc w:val="center"/>
              <w:rPr>
                <w:rFonts w:eastAsia="Calibri"/>
                <w:color w:val="000000" w:themeColor="text1"/>
                <w:sz w:val="18"/>
                <w:szCs w:val="18"/>
              </w:rPr>
            </w:pPr>
            <w:r w:rsidRPr="001C6679">
              <w:rPr>
                <w:rFonts w:eastAsia="Calibri"/>
                <w:color w:val="000000" w:themeColor="text1"/>
                <w:sz w:val="18"/>
                <w:szCs w:val="18"/>
              </w:rPr>
              <w:t>125</w:t>
            </w:r>
          </w:p>
        </w:tc>
        <w:tc>
          <w:tcPr>
            <w:tcW w:w="1175" w:type="dxa"/>
            <w:tcBorders>
              <w:top w:val="nil"/>
              <w:left w:val="nil"/>
              <w:bottom w:val="single" w:sz="8" w:space="0" w:color="auto"/>
              <w:right w:val="single" w:sz="8" w:space="0" w:color="auto"/>
            </w:tcBorders>
            <w:shd w:val="clear" w:color="auto" w:fill="auto"/>
            <w:vAlign w:val="center"/>
          </w:tcPr>
          <w:p w:rsidR="001F6C21" w:rsidRPr="001C6679" w:rsidP="00AC3D14" w14:paraId="5DD22298" w14:textId="10090AE4">
            <w:pPr>
              <w:spacing w:after="200"/>
              <w:contextualSpacing/>
              <w:jc w:val="center"/>
              <w:rPr>
                <w:rFonts w:eastAsia="Calibri"/>
                <w:color w:val="000000" w:themeColor="text1"/>
                <w:sz w:val="18"/>
                <w:szCs w:val="18"/>
              </w:rPr>
            </w:pPr>
            <w:r w:rsidRPr="001C6679">
              <w:rPr>
                <w:rFonts w:eastAsia="Calibri"/>
                <w:color w:val="000000" w:themeColor="text1"/>
                <w:sz w:val="18"/>
                <w:szCs w:val="18"/>
              </w:rPr>
              <w:t>0</w:t>
            </w:r>
          </w:p>
        </w:tc>
        <w:tc>
          <w:tcPr>
            <w:tcW w:w="1016" w:type="dxa"/>
            <w:tcBorders>
              <w:top w:val="nil"/>
              <w:left w:val="nil"/>
              <w:bottom w:val="single" w:sz="8" w:space="0" w:color="auto"/>
              <w:right w:val="single" w:sz="8" w:space="0" w:color="auto"/>
            </w:tcBorders>
            <w:shd w:val="clear" w:color="auto" w:fill="auto"/>
            <w:vAlign w:val="center"/>
          </w:tcPr>
          <w:p w:rsidR="001F6C21" w:rsidRPr="001C6679" w:rsidP="00AC3D14" w14:paraId="618618BA" w14:textId="45F38759">
            <w:pPr>
              <w:spacing w:after="200"/>
              <w:contextualSpacing/>
              <w:jc w:val="center"/>
              <w:rPr>
                <w:rFonts w:eastAsia="Calibri"/>
                <w:color w:val="000000" w:themeColor="text1"/>
                <w:sz w:val="18"/>
                <w:szCs w:val="18"/>
              </w:rPr>
            </w:pPr>
            <w:r w:rsidRPr="001C6679">
              <w:rPr>
                <w:rFonts w:eastAsia="Calibri"/>
                <w:color w:val="000000" w:themeColor="text1"/>
                <w:sz w:val="18"/>
                <w:szCs w:val="18"/>
              </w:rPr>
              <w:t>-125</w:t>
            </w:r>
          </w:p>
        </w:tc>
        <w:tc>
          <w:tcPr>
            <w:tcW w:w="1873" w:type="dxa"/>
            <w:tcBorders>
              <w:top w:val="nil"/>
              <w:left w:val="nil"/>
              <w:bottom w:val="single" w:sz="8" w:space="0" w:color="auto"/>
              <w:right w:val="single" w:sz="8" w:space="0" w:color="auto"/>
            </w:tcBorders>
            <w:shd w:val="clear" w:color="auto" w:fill="auto"/>
            <w:vAlign w:val="center"/>
          </w:tcPr>
          <w:p w:rsidR="001F6C21" w:rsidRPr="001C6679" w:rsidP="00AC3D14" w14:paraId="706F8CE8" w14:textId="77777777">
            <w:pPr>
              <w:spacing w:after="200"/>
              <w:contextualSpacing/>
              <w:jc w:val="center"/>
              <w:rPr>
                <w:rFonts w:eastAsia="Calibri"/>
                <w:color w:val="000000" w:themeColor="text1"/>
                <w:sz w:val="18"/>
                <w:szCs w:val="18"/>
              </w:rPr>
            </w:pPr>
          </w:p>
        </w:tc>
        <w:tc>
          <w:tcPr>
            <w:tcW w:w="947" w:type="dxa"/>
            <w:tcBorders>
              <w:top w:val="nil"/>
              <w:left w:val="nil"/>
              <w:bottom w:val="single" w:sz="8" w:space="0" w:color="auto"/>
              <w:right w:val="single" w:sz="8" w:space="0" w:color="auto"/>
            </w:tcBorders>
            <w:shd w:val="clear" w:color="auto" w:fill="auto"/>
            <w:vAlign w:val="center"/>
          </w:tcPr>
          <w:p w:rsidR="001F6C21" w:rsidRPr="001C6679" w:rsidP="00AC3D14" w14:paraId="027D8B5C" w14:textId="77777777">
            <w:pPr>
              <w:spacing w:after="200"/>
              <w:contextualSpacing/>
              <w:jc w:val="center"/>
              <w:rPr>
                <w:rFonts w:eastAsia="Calibri"/>
                <w:color w:val="000000" w:themeColor="text1"/>
                <w:sz w:val="18"/>
                <w:szCs w:val="18"/>
              </w:rPr>
            </w:pPr>
          </w:p>
        </w:tc>
        <w:tc>
          <w:tcPr>
            <w:tcW w:w="1415" w:type="dxa"/>
            <w:tcBorders>
              <w:top w:val="nil"/>
              <w:left w:val="nil"/>
              <w:bottom w:val="single" w:sz="8" w:space="0" w:color="auto"/>
              <w:right w:val="single" w:sz="8" w:space="0" w:color="auto"/>
            </w:tcBorders>
            <w:shd w:val="clear" w:color="auto" w:fill="auto"/>
            <w:vAlign w:val="center"/>
          </w:tcPr>
          <w:p w:rsidR="001F6C21" w:rsidRPr="001C6679" w:rsidP="00AC3D14" w14:paraId="2557EB44" w14:textId="77777777">
            <w:pPr>
              <w:spacing w:after="200"/>
              <w:contextualSpacing/>
              <w:jc w:val="center"/>
              <w:rPr>
                <w:rFonts w:eastAsia="Calibri"/>
                <w:color w:val="000000" w:themeColor="text1"/>
                <w:sz w:val="18"/>
                <w:szCs w:val="18"/>
              </w:rPr>
            </w:pPr>
          </w:p>
        </w:tc>
      </w:tr>
      <w:tr w14:paraId="19D0114A" w14:textId="77777777" w:rsidTr="001E5080">
        <w:tblPrEx>
          <w:tblW w:w="10362" w:type="dxa"/>
          <w:jc w:val="center"/>
          <w:tblLook w:val="0000"/>
        </w:tblPrEx>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1F6C21" w:rsidRPr="00303E66" w:rsidP="00AC3D14" w14:paraId="05B5A6D2" w14:textId="74FA38D4">
            <w:pPr>
              <w:spacing w:after="200"/>
              <w:contextualSpacing/>
              <w:rPr>
                <w:rFonts w:eastAsia="Calibri"/>
                <w:sz w:val="18"/>
                <w:szCs w:val="18"/>
              </w:rPr>
            </w:pPr>
            <w:r w:rsidRPr="00A12A2E">
              <w:rPr>
                <w:rFonts w:eastAsia="Calibri"/>
                <w:sz w:val="18"/>
                <w:szCs w:val="18"/>
              </w:rPr>
              <w:t xml:space="preserve">Ask the Advocate Web Form, </w:t>
            </w:r>
            <w:r w:rsidRPr="00E64C40">
              <w:rPr>
                <w:color w:val="000000" w:themeColor="text1"/>
                <w:sz w:val="18"/>
                <w:szCs w:val="18"/>
              </w:rPr>
              <w:t>FEMA Form FF-206-FY-21-121</w:t>
            </w:r>
          </w:p>
        </w:tc>
        <w:tc>
          <w:tcPr>
            <w:tcW w:w="1596" w:type="dxa"/>
            <w:tcBorders>
              <w:top w:val="nil"/>
              <w:left w:val="nil"/>
              <w:bottom w:val="single" w:sz="8" w:space="0" w:color="auto"/>
              <w:right w:val="single" w:sz="8" w:space="0" w:color="auto"/>
            </w:tcBorders>
            <w:shd w:val="clear" w:color="auto" w:fill="auto"/>
            <w:vAlign w:val="center"/>
          </w:tcPr>
          <w:p w:rsidR="001F6C21" w:rsidRPr="001C6679" w:rsidP="00AC3D14" w14:paraId="24CD83CF" w14:textId="001E20AF">
            <w:pPr>
              <w:spacing w:after="200"/>
              <w:contextualSpacing/>
              <w:jc w:val="center"/>
              <w:rPr>
                <w:rFonts w:eastAsia="Calibri"/>
                <w:b/>
                <w:bCs/>
                <w:sz w:val="18"/>
                <w:szCs w:val="18"/>
              </w:rPr>
            </w:pPr>
          </w:p>
        </w:tc>
        <w:tc>
          <w:tcPr>
            <w:tcW w:w="1175" w:type="dxa"/>
            <w:tcBorders>
              <w:top w:val="nil"/>
              <w:left w:val="nil"/>
              <w:bottom w:val="single" w:sz="8" w:space="0" w:color="auto"/>
              <w:right w:val="single" w:sz="8" w:space="0" w:color="auto"/>
            </w:tcBorders>
            <w:shd w:val="clear" w:color="auto" w:fill="auto"/>
            <w:vAlign w:val="center"/>
          </w:tcPr>
          <w:p w:rsidR="001F6C21" w:rsidRPr="001C6679" w:rsidP="00AC3D14" w14:paraId="7B46548B" w14:textId="26C574CA">
            <w:pPr>
              <w:spacing w:after="200"/>
              <w:contextualSpacing/>
              <w:jc w:val="center"/>
              <w:rPr>
                <w:rFonts w:eastAsia="Calibri"/>
                <w:b/>
                <w:bCs/>
                <w:sz w:val="18"/>
                <w:szCs w:val="18"/>
              </w:rPr>
            </w:pPr>
          </w:p>
        </w:tc>
        <w:tc>
          <w:tcPr>
            <w:tcW w:w="1016" w:type="dxa"/>
            <w:tcBorders>
              <w:top w:val="nil"/>
              <w:left w:val="nil"/>
              <w:bottom w:val="single" w:sz="8" w:space="0" w:color="auto"/>
              <w:right w:val="single" w:sz="8" w:space="0" w:color="auto"/>
            </w:tcBorders>
            <w:shd w:val="clear" w:color="auto" w:fill="auto"/>
            <w:vAlign w:val="center"/>
          </w:tcPr>
          <w:p w:rsidR="001F6C21" w:rsidRPr="001C6679" w:rsidP="00AC3D14" w14:paraId="5426491D" w14:textId="3457C8F7">
            <w:pPr>
              <w:spacing w:after="200"/>
              <w:contextualSpacing/>
              <w:jc w:val="center"/>
              <w:rPr>
                <w:rFonts w:eastAsia="Calibri"/>
                <w:b/>
                <w:bCs/>
                <w:sz w:val="18"/>
                <w:szCs w:val="18"/>
              </w:rPr>
            </w:pPr>
          </w:p>
        </w:tc>
        <w:tc>
          <w:tcPr>
            <w:tcW w:w="1873" w:type="dxa"/>
            <w:tcBorders>
              <w:top w:val="nil"/>
              <w:left w:val="nil"/>
              <w:bottom w:val="single" w:sz="8" w:space="0" w:color="auto"/>
              <w:right w:val="single" w:sz="8" w:space="0" w:color="auto"/>
            </w:tcBorders>
            <w:shd w:val="clear" w:color="auto" w:fill="auto"/>
            <w:vAlign w:val="center"/>
          </w:tcPr>
          <w:p w:rsidR="001F6C21" w:rsidRPr="001C6679" w:rsidP="00AC3D14" w14:paraId="5BCFB7AC" w14:textId="1748F4CF">
            <w:pPr>
              <w:spacing w:after="200"/>
              <w:contextualSpacing/>
              <w:jc w:val="center"/>
              <w:rPr>
                <w:rFonts w:eastAsia="Calibri"/>
                <w:color w:val="000000" w:themeColor="text1"/>
                <w:sz w:val="18"/>
                <w:szCs w:val="18"/>
              </w:rPr>
            </w:pPr>
            <w:r w:rsidRPr="001C6679">
              <w:rPr>
                <w:color w:val="000000" w:themeColor="text1"/>
                <w:sz w:val="18"/>
                <w:szCs w:val="18"/>
              </w:rPr>
              <w:t>39,200</w:t>
            </w:r>
          </w:p>
        </w:tc>
        <w:tc>
          <w:tcPr>
            <w:tcW w:w="947" w:type="dxa"/>
            <w:tcBorders>
              <w:top w:val="nil"/>
              <w:left w:val="nil"/>
              <w:bottom w:val="single" w:sz="8" w:space="0" w:color="auto"/>
              <w:right w:val="single" w:sz="8" w:space="0" w:color="auto"/>
            </w:tcBorders>
            <w:shd w:val="clear" w:color="auto" w:fill="auto"/>
            <w:vAlign w:val="center"/>
          </w:tcPr>
          <w:p w:rsidR="001F6C21" w:rsidRPr="001C6679" w:rsidP="00AC3D14" w14:paraId="4AC62F07" w14:textId="27D24194">
            <w:pPr>
              <w:spacing w:after="200"/>
              <w:contextualSpacing/>
              <w:jc w:val="center"/>
              <w:rPr>
                <w:rFonts w:eastAsia="Calibri"/>
                <w:color w:val="000000" w:themeColor="text1"/>
                <w:sz w:val="18"/>
                <w:szCs w:val="18"/>
              </w:rPr>
            </w:pPr>
            <w:r w:rsidRPr="001C6679">
              <w:rPr>
                <w:color w:val="000000" w:themeColor="text1"/>
                <w:sz w:val="18"/>
                <w:szCs w:val="18"/>
              </w:rPr>
              <w:t>83</w:t>
            </w:r>
          </w:p>
        </w:tc>
        <w:tc>
          <w:tcPr>
            <w:tcW w:w="1415" w:type="dxa"/>
            <w:tcBorders>
              <w:top w:val="nil"/>
              <w:left w:val="nil"/>
              <w:bottom w:val="single" w:sz="8" w:space="0" w:color="auto"/>
              <w:right w:val="single" w:sz="8" w:space="0" w:color="auto"/>
            </w:tcBorders>
            <w:shd w:val="clear" w:color="auto" w:fill="auto"/>
            <w:vAlign w:val="center"/>
          </w:tcPr>
          <w:p w:rsidR="001F6C21" w:rsidRPr="001C6679" w:rsidP="00AC3D14" w14:paraId="30070ED0" w14:textId="483C561C">
            <w:pPr>
              <w:spacing w:after="200"/>
              <w:contextualSpacing/>
              <w:jc w:val="center"/>
              <w:rPr>
                <w:rFonts w:eastAsia="Calibri"/>
                <w:color w:val="000000" w:themeColor="text1"/>
                <w:sz w:val="18"/>
                <w:szCs w:val="18"/>
              </w:rPr>
            </w:pPr>
            <w:r w:rsidRPr="001C6679">
              <w:rPr>
                <w:color w:val="000000" w:themeColor="text1"/>
                <w:sz w:val="18"/>
                <w:szCs w:val="18"/>
              </w:rPr>
              <w:t>39,117</w:t>
            </w:r>
          </w:p>
        </w:tc>
      </w:tr>
      <w:tr w14:paraId="58738822" w14:textId="77777777" w:rsidTr="001E5080">
        <w:tblPrEx>
          <w:tblW w:w="10362" w:type="dxa"/>
          <w:jc w:val="center"/>
          <w:tblLook w:val="0000"/>
        </w:tblPrEx>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1F6C21" w:rsidRPr="00303E66" w:rsidP="00AC3D14" w14:paraId="62ACCBA9" w14:textId="77777777">
            <w:pPr>
              <w:spacing w:after="200"/>
              <w:contextualSpacing/>
              <w:jc w:val="center"/>
              <w:rPr>
                <w:rFonts w:eastAsia="Calibri"/>
                <w:b/>
                <w:bCs/>
                <w:sz w:val="18"/>
                <w:szCs w:val="18"/>
              </w:rPr>
            </w:pPr>
            <w:r w:rsidRPr="00303E66">
              <w:rPr>
                <w:rFonts w:eastAsia="Calibri"/>
                <w:b/>
                <w:bCs/>
                <w:sz w:val="18"/>
                <w:szCs w:val="18"/>
              </w:rPr>
              <w:t>Total(s)</w:t>
            </w:r>
          </w:p>
        </w:tc>
        <w:tc>
          <w:tcPr>
            <w:tcW w:w="1596" w:type="dxa"/>
            <w:tcBorders>
              <w:top w:val="nil"/>
              <w:left w:val="nil"/>
              <w:bottom w:val="single" w:sz="8" w:space="0" w:color="auto"/>
              <w:right w:val="single" w:sz="8" w:space="0" w:color="auto"/>
            </w:tcBorders>
            <w:shd w:val="clear" w:color="auto" w:fill="auto"/>
            <w:vAlign w:val="center"/>
          </w:tcPr>
          <w:p w:rsidR="001F6C21" w:rsidRPr="00303E66" w:rsidP="00AC3D14" w14:paraId="1A0E0291" w14:textId="3C49C804">
            <w:pPr>
              <w:spacing w:after="200"/>
              <w:contextualSpacing/>
              <w:jc w:val="center"/>
              <w:rPr>
                <w:rFonts w:eastAsia="Calibri"/>
                <w:b/>
                <w:bCs/>
                <w:sz w:val="18"/>
                <w:szCs w:val="18"/>
              </w:rPr>
            </w:pPr>
            <w:r w:rsidRPr="00303E66">
              <w:rPr>
                <w:rFonts w:eastAsia="Calibri"/>
                <w:color w:val="000000" w:themeColor="text1"/>
                <w:sz w:val="18"/>
                <w:szCs w:val="18"/>
              </w:rPr>
              <w:t>125</w:t>
            </w:r>
          </w:p>
        </w:tc>
        <w:tc>
          <w:tcPr>
            <w:tcW w:w="1175" w:type="dxa"/>
            <w:tcBorders>
              <w:top w:val="nil"/>
              <w:left w:val="nil"/>
              <w:bottom w:val="single" w:sz="8" w:space="0" w:color="auto"/>
              <w:right w:val="single" w:sz="8" w:space="0" w:color="auto"/>
            </w:tcBorders>
            <w:shd w:val="clear" w:color="auto" w:fill="auto"/>
            <w:vAlign w:val="center"/>
          </w:tcPr>
          <w:p w:rsidR="001F6C21" w:rsidRPr="00303E66" w:rsidP="00AC3D14" w14:paraId="268524EE" w14:textId="717B2241">
            <w:pPr>
              <w:spacing w:after="200"/>
              <w:contextualSpacing/>
              <w:jc w:val="center"/>
              <w:rPr>
                <w:rFonts w:eastAsia="Calibri"/>
                <w:b/>
                <w:bCs/>
                <w:sz w:val="18"/>
                <w:szCs w:val="18"/>
              </w:rPr>
            </w:pPr>
            <w:r w:rsidRPr="00303E66">
              <w:rPr>
                <w:rFonts w:eastAsia="Calibri"/>
                <w:color w:val="000000" w:themeColor="text1"/>
                <w:sz w:val="18"/>
                <w:szCs w:val="18"/>
              </w:rPr>
              <w:t>0</w:t>
            </w:r>
          </w:p>
        </w:tc>
        <w:tc>
          <w:tcPr>
            <w:tcW w:w="1016" w:type="dxa"/>
            <w:tcBorders>
              <w:top w:val="nil"/>
              <w:left w:val="nil"/>
              <w:bottom w:val="single" w:sz="8" w:space="0" w:color="auto"/>
              <w:right w:val="single" w:sz="8" w:space="0" w:color="auto"/>
            </w:tcBorders>
            <w:shd w:val="clear" w:color="auto" w:fill="auto"/>
            <w:vAlign w:val="center"/>
          </w:tcPr>
          <w:p w:rsidR="001F6C21" w:rsidRPr="00303E66" w:rsidP="00AC3D14" w14:paraId="5CE69766" w14:textId="2175720B">
            <w:pPr>
              <w:spacing w:after="200"/>
              <w:contextualSpacing/>
              <w:jc w:val="center"/>
              <w:rPr>
                <w:rFonts w:eastAsia="Calibri"/>
                <w:b/>
                <w:bCs/>
                <w:sz w:val="18"/>
                <w:szCs w:val="18"/>
              </w:rPr>
            </w:pPr>
            <w:r w:rsidRPr="00303E66">
              <w:rPr>
                <w:rFonts w:eastAsia="Calibri"/>
                <w:color w:val="000000" w:themeColor="text1"/>
                <w:sz w:val="18"/>
                <w:szCs w:val="18"/>
              </w:rPr>
              <w:t>-1</w:t>
            </w:r>
            <w:r w:rsidR="00C216CB">
              <w:rPr>
                <w:rFonts w:eastAsia="Calibri"/>
                <w:color w:val="000000" w:themeColor="text1"/>
                <w:sz w:val="18"/>
                <w:szCs w:val="18"/>
              </w:rPr>
              <w:t>71</w:t>
            </w:r>
          </w:p>
        </w:tc>
        <w:tc>
          <w:tcPr>
            <w:tcW w:w="1873" w:type="dxa"/>
            <w:tcBorders>
              <w:top w:val="nil"/>
              <w:left w:val="nil"/>
              <w:bottom w:val="single" w:sz="8" w:space="0" w:color="auto"/>
              <w:right w:val="single" w:sz="8" w:space="0" w:color="auto"/>
            </w:tcBorders>
            <w:shd w:val="clear" w:color="auto" w:fill="auto"/>
            <w:vAlign w:val="center"/>
          </w:tcPr>
          <w:p w:rsidR="001F6C21" w:rsidRPr="00303E66" w:rsidP="00AC3D14" w14:paraId="154B1533" w14:textId="6C96C034">
            <w:pPr>
              <w:spacing w:after="200"/>
              <w:contextualSpacing/>
              <w:jc w:val="center"/>
              <w:rPr>
                <w:rFonts w:eastAsia="Calibri"/>
                <w:b/>
                <w:bCs/>
                <w:sz w:val="18"/>
                <w:szCs w:val="18"/>
              </w:rPr>
            </w:pPr>
            <w:r>
              <w:rPr>
                <w:rFonts w:eastAsia="Calibri"/>
                <w:b/>
                <w:bCs/>
                <w:sz w:val="18"/>
                <w:szCs w:val="18"/>
              </w:rPr>
              <w:t>39,</w:t>
            </w:r>
            <w:r w:rsidR="008D36FE">
              <w:rPr>
                <w:rFonts w:eastAsia="Calibri"/>
                <w:b/>
                <w:bCs/>
                <w:sz w:val="18"/>
                <w:szCs w:val="18"/>
              </w:rPr>
              <w:t>200</w:t>
            </w:r>
          </w:p>
        </w:tc>
        <w:tc>
          <w:tcPr>
            <w:tcW w:w="947" w:type="dxa"/>
            <w:tcBorders>
              <w:top w:val="nil"/>
              <w:left w:val="nil"/>
              <w:bottom w:val="single" w:sz="8" w:space="0" w:color="auto"/>
              <w:right w:val="single" w:sz="8" w:space="0" w:color="auto"/>
            </w:tcBorders>
            <w:shd w:val="clear" w:color="auto" w:fill="auto"/>
            <w:vAlign w:val="center"/>
          </w:tcPr>
          <w:p w:rsidR="001F6C21" w:rsidRPr="00303E66" w:rsidP="00AC3D14" w14:paraId="7C7903A4" w14:textId="77403C78">
            <w:pPr>
              <w:spacing w:after="200"/>
              <w:contextualSpacing/>
              <w:jc w:val="center"/>
              <w:rPr>
                <w:rFonts w:eastAsia="Calibri"/>
                <w:b/>
                <w:bCs/>
                <w:sz w:val="18"/>
                <w:szCs w:val="18"/>
              </w:rPr>
            </w:pPr>
            <w:r>
              <w:rPr>
                <w:rFonts w:eastAsia="Calibri"/>
                <w:b/>
                <w:bCs/>
                <w:sz w:val="18"/>
                <w:szCs w:val="18"/>
              </w:rPr>
              <w:t>83</w:t>
            </w:r>
          </w:p>
        </w:tc>
        <w:tc>
          <w:tcPr>
            <w:tcW w:w="1415" w:type="dxa"/>
            <w:tcBorders>
              <w:top w:val="nil"/>
              <w:left w:val="nil"/>
              <w:bottom w:val="single" w:sz="8" w:space="0" w:color="auto"/>
              <w:right w:val="single" w:sz="8" w:space="0" w:color="auto"/>
            </w:tcBorders>
            <w:shd w:val="clear" w:color="auto" w:fill="auto"/>
            <w:vAlign w:val="center"/>
          </w:tcPr>
          <w:p w:rsidR="001F6C21" w:rsidRPr="00303E66" w:rsidP="00AC3D14" w14:paraId="498D9AAC" w14:textId="7B784153">
            <w:pPr>
              <w:spacing w:after="200"/>
              <w:contextualSpacing/>
              <w:jc w:val="center"/>
              <w:rPr>
                <w:rFonts w:eastAsia="Calibri"/>
                <w:b/>
                <w:bCs/>
                <w:sz w:val="18"/>
                <w:szCs w:val="18"/>
              </w:rPr>
            </w:pPr>
            <w:r>
              <w:rPr>
                <w:rFonts w:eastAsia="Calibri"/>
                <w:b/>
                <w:bCs/>
                <w:sz w:val="18"/>
                <w:szCs w:val="18"/>
              </w:rPr>
              <w:t>-39,117</w:t>
            </w:r>
          </w:p>
        </w:tc>
      </w:tr>
    </w:tbl>
    <w:p w:rsidR="002C01E9" w:rsidRPr="009D1BC2" w:rsidP="00B63E57" w14:paraId="15B93EF4" w14:textId="77777777">
      <w:pPr>
        <w:spacing w:line="276" w:lineRule="auto"/>
        <w:contextualSpacing/>
        <w:rPr>
          <w:rFonts w:eastAsia="Calibri"/>
          <w:iCs/>
        </w:rPr>
      </w:pPr>
    </w:p>
    <w:p w:rsidR="0018773C" w:rsidRPr="00B63E57" w:rsidP="00B63E57" w14:paraId="44B4D8AB" w14:textId="74EA1C8A">
      <w:pPr>
        <w:spacing w:line="276" w:lineRule="auto"/>
        <w:contextualSpacing/>
        <w:rPr>
          <w:rFonts w:eastAsia="Calibri"/>
          <w:bCs/>
        </w:rPr>
      </w:pPr>
      <w:r w:rsidRPr="00B63E57">
        <w:rPr>
          <w:rFonts w:eastAsia="Calibri"/>
          <w:b/>
          <w:bCs/>
          <w:i/>
        </w:rPr>
        <w:t>Explain:</w:t>
      </w:r>
      <w:r w:rsidRPr="00996BAF" w:rsidR="00024BCA">
        <w:rPr>
          <w:rFonts w:eastAsia="Calibri"/>
        </w:rPr>
        <w:t xml:space="preserve">  </w:t>
      </w:r>
      <w:r w:rsidR="004D2808">
        <w:rPr>
          <w:rFonts w:eastAsia="Calibri"/>
        </w:rPr>
        <w:t>With t</w:t>
      </w:r>
      <w:r w:rsidRPr="00B63E57" w:rsidR="00996BAF">
        <w:rPr>
          <w:rFonts w:eastAsia="Calibri"/>
          <w:bCs/>
        </w:rPr>
        <w:t>he elimination of th</w:t>
      </w:r>
      <w:r w:rsidR="006E25DA">
        <w:rPr>
          <w:rFonts w:eastAsia="Calibri"/>
          <w:bCs/>
        </w:rPr>
        <w:t>e Financial Assistance/Subsidy Arrangement Notice of Acceptance</w:t>
      </w:r>
      <w:r w:rsidRPr="00B63E57" w:rsidR="00996BAF">
        <w:rPr>
          <w:rFonts w:eastAsia="Calibri"/>
          <w:bCs/>
        </w:rPr>
        <w:t xml:space="preserve">, there is a </w:t>
      </w:r>
      <w:r w:rsidR="006E25DA">
        <w:rPr>
          <w:rFonts w:eastAsia="Calibri"/>
          <w:bCs/>
        </w:rPr>
        <w:t>decr</w:t>
      </w:r>
      <w:r w:rsidRPr="00B63E57" w:rsidR="00996BAF">
        <w:rPr>
          <w:rFonts w:eastAsia="Calibri"/>
          <w:bCs/>
        </w:rPr>
        <w:t xml:space="preserve">ease of </w:t>
      </w:r>
      <w:r w:rsidR="006E25DA">
        <w:rPr>
          <w:rFonts w:eastAsia="Calibri"/>
          <w:bCs/>
        </w:rPr>
        <w:t>46</w:t>
      </w:r>
      <w:r w:rsidRPr="00B63E57" w:rsidR="00996BAF">
        <w:rPr>
          <w:rFonts w:eastAsia="Calibri"/>
          <w:bCs/>
        </w:rPr>
        <w:t xml:space="preserve"> burden hours</w:t>
      </w:r>
      <w:r w:rsidR="00FC1E4E">
        <w:rPr>
          <w:rFonts w:eastAsia="Calibri"/>
          <w:bCs/>
        </w:rPr>
        <w:t xml:space="preserve"> to this collection</w:t>
      </w:r>
      <w:r w:rsidR="004D2808">
        <w:rPr>
          <w:rFonts w:eastAsia="Calibri"/>
          <w:bCs/>
        </w:rPr>
        <w:t xml:space="preserve">.  With </w:t>
      </w:r>
      <w:r w:rsidRPr="00B63E57" w:rsidR="003C3EAD">
        <w:rPr>
          <w:rFonts w:eastAsia="Calibri"/>
          <w:bCs/>
        </w:rPr>
        <w:t xml:space="preserve">the elimination of </w:t>
      </w:r>
      <w:r w:rsidR="004D2808">
        <w:rPr>
          <w:rFonts w:eastAsia="Calibri"/>
          <w:bCs/>
        </w:rPr>
        <w:t>The MPPP Agreement Receipt for Materials</w:t>
      </w:r>
      <w:r w:rsidRPr="00B63E57" w:rsidR="003C3EAD">
        <w:rPr>
          <w:rFonts w:eastAsia="Calibri"/>
          <w:bCs/>
        </w:rPr>
        <w:t xml:space="preserve">, there is a </w:t>
      </w:r>
      <w:r w:rsidR="004D2808">
        <w:rPr>
          <w:rFonts w:eastAsia="Calibri"/>
          <w:bCs/>
        </w:rPr>
        <w:t>d</w:t>
      </w:r>
      <w:r w:rsidRPr="00B63E57" w:rsidR="006346AE">
        <w:rPr>
          <w:rFonts w:eastAsia="Calibri"/>
          <w:bCs/>
        </w:rPr>
        <w:t>ecrease</w:t>
      </w:r>
      <w:r w:rsidRPr="00B63E57" w:rsidR="003C3EAD">
        <w:rPr>
          <w:rFonts w:eastAsia="Calibri"/>
          <w:bCs/>
        </w:rPr>
        <w:t xml:space="preserve"> of 125 burden hours to </w:t>
      </w:r>
      <w:r w:rsidR="00FC1E4E">
        <w:rPr>
          <w:rFonts w:eastAsia="Calibri"/>
          <w:bCs/>
        </w:rPr>
        <w:t>this collection</w:t>
      </w:r>
      <w:r w:rsidRPr="00B63E57" w:rsidR="003C3EAD">
        <w:rPr>
          <w:rFonts w:eastAsia="Calibri"/>
          <w:bCs/>
        </w:rPr>
        <w:t xml:space="preserve">. </w:t>
      </w:r>
      <w:r w:rsidR="003D7E45">
        <w:rPr>
          <w:rFonts w:eastAsia="Calibri"/>
          <w:bCs/>
        </w:rPr>
        <w:t xml:space="preserve"> </w:t>
      </w:r>
      <w:r w:rsidR="0031627A">
        <w:rPr>
          <w:rFonts w:eastAsia="Calibri"/>
          <w:bCs/>
        </w:rPr>
        <w:t>Those two removals net a 171 burden hour reduction.</w:t>
      </w:r>
    </w:p>
    <w:p w:rsidR="00033644" w:rsidRPr="0081700D" w:rsidP="00B63E57" w14:paraId="663B7495" w14:textId="77777777">
      <w:pPr>
        <w:spacing w:line="276" w:lineRule="auto"/>
        <w:contextualSpacing/>
        <w:rPr>
          <w:color w:val="000000" w:themeColor="text1"/>
        </w:rPr>
      </w:pPr>
    </w:p>
    <w:p w:rsidR="008B01D5" w:rsidP="00B63E57" w14:paraId="23117F44" w14:textId="5D1BC23C">
      <w:pPr>
        <w:spacing w:line="276" w:lineRule="auto"/>
        <w:contextualSpacing/>
        <w:rPr>
          <w:rFonts w:eastAsia="Calibri"/>
        </w:rPr>
      </w:pPr>
      <w:r>
        <w:rPr>
          <w:rFonts w:eastAsia="Calibri"/>
        </w:rPr>
        <w:t xml:space="preserve">The Ask the Advocate Web Form, FEMA </w:t>
      </w:r>
      <w:r w:rsidRPr="00E64C40">
        <w:rPr>
          <w:rFonts w:eastAsia="Calibri"/>
          <w:color w:val="000000" w:themeColor="text1"/>
        </w:rPr>
        <w:t>Form F</w:t>
      </w:r>
      <w:r w:rsidRPr="00E64C40" w:rsidR="009D1BC2">
        <w:rPr>
          <w:rFonts w:eastAsia="Calibri"/>
          <w:color w:val="000000" w:themeColor="text1"/>
        </w:rPr>
        <w:t>F</w:t>
      </w:r>
      <w:r w:rsidRPr="00E64C40">
        <w:rPr>
          <w:rFonts w:eastAsia="Calibri"/>
          <w:color w:val="000000" w:themeColor="text1"/>
        </w:rPr>
        <w:t xml:space="preserve">-206-FY-21-121, </w:t>
      </w:r>
      <w:r w:rsidRPr="00E64C40" w:rsidR="004808AD">
        <w:rPr>
          <w:rFonts w:eastAsia="Calibri"/>
          <w:color w:val="000000" w:themeColor="text1"/>
        </w:rPr>
        <w:t xml:space="preserve">has </w:t>
      </w:r>
      <w:r w:rsidR="004808AD">
        <w:rPr>
          <w:rFonts w:eastAsia="Calibri"/>
        </w:rPr>
        <w:t xml:space="preserve">a </w:t>
      </w:r>
      <w:r w:rsidR="0030078B">
        <w:rPr>
          <w:rFonts w:eastAsia="Calibri"/>
        </w:rPr>
        <w:t>slight increase of 27 burden hours due an increase in expected responses from 700</w:t>
      </w:r>
      <w:r>
        <w:rPr>
          <w:rFonts w:eastAsia="Calibri"/>
        </w:rPr>
        <w:t xml:space="preserve"> to 1,000 per year.  </w:t>
      </w:r>
    </w:p>
    <w:p w:rsidR="008B01D5" w:rsidP="00B63E57" w14:paraId="0E2967F7" w14:textId="77777777">
      <w:pPr>
        <w:spacing w:line="276" w:lineRule="auto"/>
        <w:contextualSpacing/>
        <w:rPr>
          <w:rFonts w:eastAsia="Calibri"/>
        </w:rPr>
      </w:pPr>
    </w:p>
    <w:p w:rsidR="00C216D8" w:rsidP="00B63E57" w14:paraId="189E53A6" w14:textId="1D9E4DCF">
      <w:pPr>
        <w:spacing w:line="276" w:lineRule="auto"/>
        <w:contextualSpacing/>
        <w:rPr>
          <w:rFonts w:eastAsia="Calibri"/>
        </w:rPr>
      </w:pPr>
      <w:r>
        <w:rPr>
          <w:rFonts w:eastAsia="Calibri"/>
        </w:rPr>
        <w:t xml:space="preserve">However, FEMA also noticed an error in ROCIS </w:t>
      </w:r>
      <w:r w:rsidR="00A03F6F">
        <w:rPr>
          <w:rFonts w:eastAsia="Calibri"/>
        </w:rPr>
        <w:t xml:space="preserve">with our last revision (and current inventory) </w:t>
      </w:r>
      <w:r w:rsidR="00A861AB">
        <w:rPr>
          <w:rFonts w:eastAsia="Calibri"/>
        </w:rPr>
        <w:t xml:space="preserve">where the Total Annual Burden </w:t>
      </w:r>
      <w:r w:rsidR="00C80338">
        <w:rPr>
          <w:rFonts w:eastAsia="Calibri"/>
        </w:rPr>
        <w:t>(56 hours) from the Supporting Statement A was entered into ROCIS as the Average Burden per Response (0.0833)</w:t>
      </w:r>
      <w:r w:rsidR="008D36FE">
        <w:rPr>
          <w:rFonts w:eastAsia="Calibri"/>
        </w:rPr>
        <w:t>.</w:t>
      </w:r>
      <w:r w:rsidR="00010311">
        <w:rPr>
          <w:rFonts w:eastAsia="Calibri"/>
        </w:rPr>
        <w:t xml:space="preserve">  This technical edit</w:t>
      </w:r>
      <w:r w:rsidR="00016A57">
        <w:rPr>
          <w:rFonts w:eastAsia="Calibri"/>
        </w:rPr>
        <w:t xml:space="preserve"> results in a burden decrease of 39,144 burden hours, offset by the increase of 27 burden hours discussed above for an overall decrease of </w:t>
      </w:r>
      <w:r w:rsidR="009D1BC2">
        <w:rPr>
          <w:rFonts w:eastAsia="Calibri"/>
        </w:rPr>
        <w:t>39,117 for this instrument.</w:t>
      </w:r>
    </w:p>
    <w:p w:rsidR="006836AE" w:rsidP="00B63E57" w14:paraId="13F3BAD0" w14:textId="77777777">
      <w:pPr>
        <w:spacing w:line="276" w:lineRule="auto"/>
        <w:contextualSpacing/>
        <w:rPr>
          <w:rFonts w:eastAsia="Calibri"/>
        </w:rPr>
      </w:pPr>
    </w:p>
    <w:p w:rsidR="006836AE" w:rsidRPr="0081700D" w:rsidP="00B63E57" w14:paraId="615F34EB" w14:textId="075B81CC">
      <w:pPr>
        <w:spacing w:line="276" w:lineRule="auto"/>
        <w:contextualSpacing/>
        <w:rPr>
          <w:rFonts w:eastAsia="Calibri"/>
        </w:rPr>
      </w:pPr>
      <w:r>
        <w:rPr>
          <w:rFonts w:eastAsia="Calibri"/>
        </w:rPr>
        <w:t xml:space="preserve">With the elimination of two instruments </w:t>
      </w:r>
      <w:r w:rsidR="00954AD7">
        <w:rPr>
          <w:rFonts w:eastAsia="Calibri"/>
        </w:rPr>
        <w:t xml:space="preserve">providing a 171 burden hour decrease, plus </w:t>
      </w:r>
      <w:r w:rsidR="00167345">
        <w:rPr>
          <w:rFonts w:eastAsia="Calibri"/>
        </w:rPr>
        <w:t>the change in estimate plus corrections for the remaining instrument providing a 39,117 burden hour decrease</w:t>
      </w:r>
      <w:r w:rsidR="00C57A3B">
        <w:rPr>
          <w:rFonts w:eastAsia="Calibri"/>
        </w:rPr>
        <w:t>, there is a total decrease of 39,288 burden hours to this collection.</w:t>
      </w:r>
    </w:p>
    <w:p w:rsidR="0081700D" w:rsidP="00B63E57" w14:paraId="173EEFC2" w14:textId="77777777">
      <w:pPr>
        <w:spacing w:line="276" w:lineRule="auto"/>
        <w:contextualSpacing/>
        <w:rPr>
          <w:rFonts w:eastAsia="Calibri"/>
        </w:rPr>
      </w:pPr>
    </w:p>
    <w:p w:rsidR="00C73916" w14:paraId="7752F71F" w14:textId="44DF5AFF">
      <w:pPr>
        <w:rPr>
          <w:rFonts w:eastAsia="Calibri"/>
        </w:rPr>
      </w:pPr>
      <w:r>
        <w:rPr>
          <w:rFonts w:eastAsia="Calibri"/>
        </w:rPr>
        <w:br w:type="page"/>
      </w:r>
    </w:p>
    <w:p w:rsidR="00C73916" w:rsidRPr="0081700D" w:rsidP="00B63E57" w14:paraId="47B2B07E" w14:textId="77777777">
      <w:pPr>
        <w:spacing w:line="276" w:lineRule="auto"/>
        <w:contextualSpacing/>
        <w:rPr>
          <w:rFonts w:eastAsia="Calibri"/>
        </w:rPr>
      </w:pPr>
    </w:p>
    <w:tbl>
      <w:tblPr>
        <w:tblW w:w="10362" w:type="dxa"/>
        <w:jc w:val="center"/>
        <w:tblLook w:val="0000"/>
      </w:tblPr>
      <w:tblGrid>
        <w:gridCol w:w="2340"/>
        <w:gridCol w:w="1596"/>
        <w:gridCol w:w="1175"/>
        <w:gridCol w:w="1016"/>
        <w:gridCol w:w="1693"/>
        <w:gridCol w:w="1127"/>
        <w:gridCol w:w="1415"/>
      </w:tblGrid>
      <w:tr w14:paraId="66599B93" w14:textId="77777777" w:rsidTr="00D56C50">
        <w:tblPrEx>
          <w:tblW w:w="10362" w:type="dxa"/>
          <w:jc w:val="center"/>
          <w:tblLook w:val="0000"/>
        </w:tblPrEx>
        <w:trPr>
          <w:trHeight w:val="270"/>
          <w:jc w:val="center"/>
        </w:trPr>
        <w:tc>
          <w:tcPr>
            <w:tcW w:w="10362" w:type="dxa"/>
            <w:gridSpan w:val="7"/>
            <w:tcBorders>
              <w:top w:val="single" w:sz="8" w:space="0" w:color="auto"/>
              <w:left w:val="single" w:sz="8" w:space="0" w:color="auto"/>
              <w:bottom w:val="single" w:sz="8" w:space="0" w:color="auto"/>
              <w:right w:val="single" w:sz="8" w:space="0" w:color="000000" w:themeColor="text1"/>
            </w:tcBorders>
            <w:shd w:val="clear" w:color="auto" w:fill="B4C6E7" w:themeFill="accent1" w:themeFillTint="66"/>
            <w:noWrap/>
            <w:vAlign w:val="bottom"/>
          </w:tcPr>
          <w:p w:rsidR="00D45A27" w:rsidRPr="00303E66" w:rsidP="00D56C50" w14:paraId="4345C313" w14:textId="72CF9BE7">
            <w:pPr>
              <w:spacing w:after="200"/>
              <w:contextualSpacing/>
              <w:jc w:val="center"/>
              <w:rPr>
                <w:rFonts w:eastAsia="Calibri"/>
                <w:b/>
                <w:bCs/>
                <w:sz w:val="20"/>
                <w:szCs w:val="20"/>
              </w:rPr>
            </w:pPr>
            <w:r w:rsidRPr="00303E66">
              <w:rPr>
                <w:rFonts w:eastAsia="Calibri"/>
                <w:b/>
                <w:bCs/>
                <w:sz w:val="20"/>
                <w:szCs w:val="20"/>
              </w:rPr>
              <w:t>Itemized Changes in Annual</w:t>
            </w:r>
            <w:r>
              <w:rPr>
                <w:rFonts w:eastAsia="Calibri"/>
                <w:b/>
                <w:bCs/>
                <w:sz w:val="20"/>
                <w:szCs w:val="20"/>
              </w:rPr>
              <w:t xml:space="preserve"> Cost Burden</w:t>
            </w:r>
          </w:p>
        </w:tc>
      </w:tr>
      <w:tr w14:paraId="63FE58CC" w14:textId="77777777" w:rsidTr="00C73916">
        <w:tblPrEx>
          <w:tblW w:w="10362" w:type="dxa"/>
          <w:jc w:val="center"/>
          <w:tblLook w:val="0000"/>
        </w:tblPrEx>
        <w:trPr>
          <w:trHeight w:val="727"/>
          <w:jc w:val="center"/>
        </w:trPr>
        <w:tc>
          <w:tcPr>
            <w:tcW w:w="2340" w:type="dxa"/>
            <w:tcBorders>
              <w:top w:val="nil"/>
              <w:left w:val="single" w:sz="8" w:space="0" w:color="auto"/>
              <w:bottom w:val="single" w:sz="8" w:space="0" w:color="auto"/>
              <w:right w:val="single" w:sz="8" w:space="0" w:color="auto"/>
            </w:tcBorders>
            <w:shd w:val="clear" w:color="auto" w:fill="B4C6E7" w:themeFill="accent1" w:themeFillTint="66"/>
            <w:vAlign w:val="bottom"/>
          </w:tcPr>
          <w:p w:rsidR="00D45A27" w:rsidRPr="00303E66" w:rsidP="00AC3D14" w14:paraId="16B230EB" w14:textId="77777777">
            <w:pPr>
              <w:spacing w:after="200"/>
              <w:contextualSpacing/>
              <w:jc w:val="center"/>
              <w:rPr>
                <w:rFonts w:eastAsia="Calibri"/>
                <w:b/>
                <w:bCs/>
                <w:sz w:val="18"/>
                <w:szCs w:val="18"/>
              </w:rPr>
            </w:pPr>
            <w:r w:rsidRPr="00303E66">
              <w:rPr>
                <w:rFonts w:eastAsia="Calibri"/>
                <w:b/>
                <w:bCs/>
                <w:sz w:val="18"/>
                <w:szCs w:val="18"/>
              </w:rPr>
              <w:t>Data collection Activity/Instrument</w:t>
            </w:r>
          </w:p>
        </w:tc>
        <w:tc>
          <w:tcPr>
            <w:tcW w:w="1596" w:type="dxa"/>
            <w:tcBorders>
              <w:top w:val="nil"/>
              <w:left w:val="nil"/>
              <w:bottom w:val="single" w:sz="8" w:space="0" w:color="auto"/>
              <w:right w:val="single" w:sz="8" w:space="0" w:color="auto"/>
            </w:tcBorders>
            <w:shd w:val="clear" w:color="auto" w:fill="B4C6E7" w:themeFill="accent1" w:themeFillTint="66"/>
            <w:vAlign w:val="bottom"/>
          </w:tcPr>
          <w:p w:rsidR="00D45A27" w:rsidRPr="00303E66" w:rsidP="00AC3D14" w14:paraId="4D0B6B08" w14:textId="7A3284DD">
            <w:pPr>
              <w:spacing w:after="200"/>
              <w:contextualSpacing/>
              <w:jc w:val="center"/>
              <w:rPr>
                <w:rFonts w:eastAsia="Calibri"/>
                <w:b/>
                <w:bCs/>
                <w:sz w:val="18"/>
                <w:szCs w:val="18"/>
              </w:rPr>
            </w:pPr>
            <w:r w:rsidRPr="00303E66">
              <w:rPr>
                <w:rFonts w:eastAsia="Calibri"/>
                <w:b/>
                <w:bCs/>
                <w:sz w:val="18"/>
                <w:szCs w:val="18"/>
              </w:rPr>
              <w:t>Program Change (</w:t>
            </w:r>
            <w:r>
              <w:rPr>
                <w:rFonts w:eastAsia="Calibri"/>
                <w:b/>
                <w:bCs/>
                <w:sz w:val="18"/>
                <w:szCs w:val="18"/>
              </w:rPr>
              <w:t>cost</w:t>
            </w:r>
            <w:r w:rsidRPr="00303E66">
              <w:rPr>
                <w:rFonts w:eastAsia="Calibri"/>
                <w:b/>
                <w:bCs/>
                <w:sz w:val="18"/>
                <w:szCs w:val="18"/>
              </w:rPr>
              <w:t xml:space="preserve"> currently on OMB Inventory) </w:t>
            </w:r>
          </w:p>
        </w:tc>
        <w:tc>
          <w:tcPr>
            <w:tcW w:w="1175" w:type="dxa"/>
            <w:tcBorders>
              <w:top w:val="nil"/>
              <w:left w:val="nil"/>
              <w:bottom w:val="single" w:sz="8" w:space="0" w:color="auto"/>
              <w:right w:val="single" w:sz="8" w:space="0" w:color="auto"/>
            </w:tcBorders>
            <w:shd w:val="clear" w:color="auto" w:fill="B4C6E7" w:themeFill="accent1" w:themeFillTint="66"/>
            <w:vAlign w:val="bottom"/>
          </w:tcPr>
          <w:p w:rsidR="00D45A27" w:rsidRPr="00303E66" w:rsidP="00AC3D14" w14:paraId="4A15EC92" w14:textId="77777777">
            <w:pPr>
              <w:spacing w:after="200"/>
              <w:contextualSpacing/>
              <w:jc w:val="center"/>
              <w:rPr>
                <w:rFonts w:eastAsia="Calibri"/>
                <w:b/>
                <w:bCs/>
                <w:sz w:val="18"/>
                <w:szCs w:val="18"/>
              </w:rPr>
            </w:pPr>
            <w:r w:rsidRPr="00303E66">
              <w:rPr>
                <w:rFonts w:eastAsia="Calibri"/>
                <w:b/>
                <w:bCs/>
                <w:sz w:val="18"/>
                <w:szCs w:val="18"/>
              </w:rPr>
              <w:t xml:space="preserve">Program Change (New) </w:t>
            </w:r>
          </w:p>
        </w:tc>
        <w:tc>
          <w:tcPr>
            <w:tcW w:w="1016" w:type="dxa"/>
            <w:tcBorders>
              <w:top w:val="nil"/>
              <w:left w:val="nil"/>
              <w:bottom w:val="single" w:sz="8" w:space="0" w:color="auto"/>
              <w:right w:val="single" w:sz="8" w:space="0" w:color="auto"/>
            </w:tcBorders>
            <w:shd w:val="clear" w:color="auto" w:fill="B4C6E7" w:themeFill="accent1" w:themeFillTint="66"/>
            <w:vAlign w:val="bottom"/>
          </w:tcPr>
          <w:p w:rsidR="00D45A27" w:rsidRPr="00303E66" w:rsidP="00AC3D14" w14:paraId="46216EA3" w14:textId="77777777">
            <w:pPr>
              <w:spacing w:after="200"/>
              <w:contextualSpacing/>
              <w:jc w:val="center"/>
              <w:rPr>
                <w:rFonts w:eastAsia="Calibri"/>
                <w:b/>
                <w:bCs/>
                <w:sz w:val="18"/>
                <w:szCs w:val="18"/>
              </w:rPr>
            </w:pPr>
            <w:r w:rsidRPr="00303E66">
              <w:rPr>
                <w:rFonts w:eastAsia="Calibri"/>
                <w:b/>
                <w:bCs/>
                <w:sz w:val="18"/>
                <w:szCs w:val="18"/>
              </w:rPr>
              <w:t>Difference</w:t>
            </w:r>
          </w:p>
        </w:tc>
        <w:tc>
          <w:tcPr>
            <w:tcW w:w="1873" w:type="dxa"/>
            <w:tcBorders>
              <w:top w:val="nil"/>
              <w:left w:val="nil"/>
              <w:bottom w:val="single" w:sz="8" w:space="0" w:color="auto"/>
              <w:right w:val="single" w:sz="8" w:space="0" w:color="auto"/>
            </w:tcBorders>
            <w:shd w:val="clear" w:color="auto" w:fill="B4C6E7" w:themeFill="accent1" w:themeFillTint="66"/>
            <w:vAlign w:val="bottom"/>
          </w:tcPr>
          <w:p w:rsidR="00D45A27" w:rsidRPr="00303E66" w:rsidP="00AC3D14" w14:paraId="0B9E35A4" w14:textId="172EC652">
            <w:pPr>
              <w:spacing w:after="200"/>
              <w:contextualSpacing/>
              <w:jc w:val="center"/>
              <w:rPr>
                <w:rFonts w:eastAsia="Calibri"/>
                <w:b/>
                <w:bCs/>
                <w:sz w:val="18"/>
                <w:szCs w:val="18"/>
              </w:rPr>
            </w:pPr>
            <w:r w:rsidRPr="00303E66">
              <w:rPr>
                <w:rFonts w:eastAsia="Calibri"/>
                <w:b/>
                <w:bCs/>
                <w:sz w:val="18"/>
                <w:szCs w:val="18"/>
              </w:rPr>
              <w:t>Adjustment (</w:t>
            </w:r>
            <w:r w:rsidR="006A67DF">
              <w:rPr>
                <w:rFonts w:eastAsia="Calibri"/>
                <w:b/>
                <w:bCs/>
                <w:sz w:val="18"/>
                <w:szCs w:val="18"/>
              </w:rPr>
              <w:t>cost</w:t>
            </w:r>
            <w:r w:rsidRPr="00303E66">
              <w:rPr>
                <w:rFonts w:eastAsia="Calibri"/>
                <w:b/>
                <w:bCs/>
                <w:sz w:val="18"/>
                <w:szCs w:val="18"/>
              </w:rPr>
              <w:t xml:space="preserve"> currently on OMB Inventory)</w:t>
            </w:r>
          </w:p>
        </w:tc>
        <w:tc>
          <w:tcPr>
            <w:tcW w:w="947" w:type="dxa"/>
            <w:tcBorders>
              <w:top w:val="nil"/>
              <w:left w:val="nil"/>
              <w:bottom w:val="single" w:sz="8" w:space="0" w:color="auto"/>
              <w:right w:val="single" w:sz="8" w:space="0" w:color="auto"/>
            </w:tcBorders>
            <w:shd w:val="clear" w:color="auto" w:fill="B4C6E7" w:themeFill="accent1" w:themeFillTint="66"/>
            <w:vAlign w:val="bottom"/>
          </w:tcPr>
          <w:p w:rsidR="00D45A27" w:rsidRPr="00303E66" w:rsidP="00AC3D14" w14:paraId="4F7C808F" w14:textId="77777777">
            <w:pPr>
              <w:spacing w:after="200"/>
              <w:contextualSpacing/>
              <w:jc w:val="center"/>
              <w:rPr>
                <w:rFonts w:eastAsia="Calibri"/>
                <w:b/>
                <w:bCs/>
                <w:sz w:val="18"/>
                <w:szCs w:val="18"/>
              </w:rPr>
            </w:pPr>
            <w:r w:rsidRPr="00303E66">
              <w:rPr>
                <w:rFonts w:eastAsia="Calibri"/>
                <w:b/>
                <w:bCs/>
                <w:sz w:val="18"/>
                <w:szCs w:val="18"/>
              </w:rPr>
              <w:t xml:space="preserve">Adjustment (New) </w:t>
            </w:r>
          </w:p>
        </w:tc>
        <w:tc>
          <w:tcPr>
            <w:tcW w:w="1415" w:type="dxa"/>
            <w:tcBorders>
              <w:top w:val="nil"/>
              <w:left w:val="nil"/>
              <w:bottom w:val="single" w:sz="8" w:space="0" w:color="auto"/>
              <w:right w:val="single" w:sz="8" w:space="0" w:color="auto"/>
            </w:tcBorders>
            <w:shd w:val="clear" w:color="auto" w:fill="B4C6E7" w:themeFill="accent1" w:themeFillTint="66"/>
            <w:vAlign w:val="bottom"/>
          </w:tcPr>
          <w:p w:rsidR="00D45A27" w:rsidRPr="00303E66" w:rsidP="00AC3D14" w14:paraId="765CDFB0" w14:textId="77777777">
            <w:pPr>
              <w:spacing w:after="200"/>
              <w:contextualSpacing/>
              <w:jc w:val="center"/>
              <w:rPr>
                <w:rFonts w:eastAsia="Calibri"/>
                <w:b/>
                <w:bCs/>
                <w:sz w:val="18"/>
                <w:szCs w:val="18"/>
              </w:rPr>
            </w:pPr>
            <w:r w:rsidRPr="00303E66">
              <w:rPr>
                <w:rFonts w:eastAsia="Calibri"/>
                <w:b/>
                <w:bCs/>
                <w:sz w:val="18"/>
                <w:szCs w:val="18"/>
              </w:rPr>
              <w:t>Difference</w:t>
            </w:r>
          </w:p>
        </w:tc>
      </w:tr>
      <w:tr w14:paraId="712D4AE3" w14:textId="77777777" w:rsidTr="00D56C50">
        <w:tblPrEx>
          <w:tblW w:w="10362" w:type="dxa"/>
          <w:jc w:val="center"/>
          <w:tblLook w:val="0000"/>
        </w:tblPrEx>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D45A27" w:rsidRPr="00303E66" w:rsidP="00AC3D14" w14:paraId="2FA17FAC" w14:textId="77777777">
            <w:pPr>
              <w:spacing w:after="200"/>
              <w:contextualSpacing/>
              <w:rPr>
                <w:rFonts w:eastAsia="Calibri"/>
                <w:color w:val="000000" w:themeColor="text1"/>
                <w:sz w:val="18"/>
                <w:szCs w:val="18"/>
              </w:rPr>
            </w:pPr>
            <w:r w:rsidRPr="00303E66">
              <w:rPr>
                <w:rFonts w:eastAsia="Calibri"/>
                <w:color w:val="000000" w:themeColor="text1"/>
                <w:sz w:val="18"/>
                <w:szCs w:val="18"/>
              </w:rPr>
              <w:t>Financial Assistance/Subsidy Arrangement</w:t>
            </w:r>
            <w:r>
              <w:rPr>
                <w:rFonts w:eastAsia="Calibri"/>
                <w:color w:val="000000" w:themeColor="text1"/>
                <w:sz w:val="18"/>
                <w:szCs w:val="18"/>
              </w:rPr>
              <w:t xml:space="preserve"> Notice of Acceptance / No Form</w:t>
            </w:r>
          </w:p>
        </w:tc>
        <w:tc>
          <w:tcPr>
            <w:tcW w:w="1596" w:type="dxa"/>
            <w:tcBorders>
              <w:top w:val="nil"/>
              <w:left w:val="nil"/>
              <w:bottom w:val="single" w:sz="8" w:space="0" w:color="auto"/>
              <w:right w:val="single" w:sz="8" w:space="0" w:color="auto"/>
            </w:tcBorders>
            <w:shd w:val="clear" w:color="auto" w:fill="auto"/>
            <w:vAlign w:val="center"/>
          </w:tcPr>
          <w:p w:rsidR="00D45A27" w:rsidRPr="001C6679" w:rsidP="00AC3D14" w14:paraId="61ABC319" w14:textId="7D551271">
            <w:pPr>
              <w:spacing w:after="200"/>
              <w:contextualSpacing/>
              <w:jc w:val="center"/>
              <w:rPr>
                <w:rFonts w:eastAsia="Calibri"/>
                <w:color w:val="000000" w:themeColor="text1"/>
                <w:sz w:val="18"/>
                <w:szCs w:val="18"/>
              </w:rPr>
            </w:pPr>
            <w:r>
              <w:rPr>
                <w:rFonts w:eastAsia="Calibri"/>
                <w:color w:val="000000" w:themeColor="text1"/>
                <w:sz w:val="18"/>
                <w:szCs w:val="18"/>
              </w:rPr>
              <w:t>$1,</w:t>
            </w:r>
            <w:r w:rsidR="001A6190">
              <w:rPr>
                <w:rFonts w:eastAsia="Calibri"/>
                <w:color w:val="000000" w:themeColor="text1"/>
                <w:sz w:val="18"/>
                <w:szCs w:val="18"/>
              </w:rPr>
              <w:t>237</w:t>
            </w:r>
          </w:p>
        </w:tc>
        <w:tc>
          <w:tcPr>
            <w:tcW w:w="1175" w:type="dxa"/>
            <w:tcBorders>
              <w:top w:val="nil"/>
              <w:left w:val="nil"/>
              <w:bottom w:val="single" w:sz="8" w:space="0" w:color="auto"/>
              <w:right w:val="single" w:sz="8" w:space="0" w:color="auto"/>
            </w:tcBorders>
            <w:shd w:val="clear" w:color="auto" w:fill="auto"/>
            <w:vAlign w:val="center"/>
          </w:tcPr>
          <w:p w:rsidR="00D45A27" w:rsidRPr="001C6679" w:rsidP="00AC3D14" w14:paraId="15687937" w14:textId="240E86FA">
            <w:pPr>
              <w:spacing w:after="200"/>
              <w:contextualSpacing/>
              <w:jc w:val="center"/>
              <w:rPr>
                <w:rFonts w:eastAsia="Calibri"/>
                <w:color w:val="000000" w:themeColor="text1"/>
                <w:sz w:val="18"/>
                <w:szCs w:val="18"/>
              </w:rPr>
            </w:pPr>
            <w:r>
              <w:rPr>
                <w:rFonts w:eastAsia="Calibri"/>
                <w:color w:val="000000" w:themeColor="text1"/>
                <w:sz w:val="18"/>
                <w:szCs w:val="18"/>
              </w:rPr>
              <w:t>$</w:t>
            </w:r>
            <w:r w:rsidRPr="001C6679">
              <w:rPr>
                <w:rFonts w:eastAsia="Calibri"/>
                <w:color w:val="000000" w:themeColor="text1"/>
                <w:sz w:val="18"/>
                <w:szCs w:val="18"/>
              </w:rPr>
              <w:t>0</w:t>
            </w:r>
          </w:p>
        </w:tc>
        <w:tc>
          <w:tcPr>
            <w:tcW w:w="1016" w:type="dxa"/>
            <w:tcBorders>
              <w:top w:val="nil"/>
              <w:left w:val="nil"/>
              <w:bottom w:val="single" w:sz="8" w:space="0" w:color="auto"/>
              <w:right w:val="single" w:sz="8" w:space="0" w:color="auto"/>
            </w:tcBorders>
            <w:shd w:val="clear" w:color="auto" w:fill="auto"/>
            <w:vAlign w:val="center"/>
          </w:tcPr>
          <w:p w:rsidR="00D45A27" w:rsidRPr="001C6679" w:rsidP="00AC3D14" w14:paraId="63FEF25E" w14:textId="60863E73">
            <w:pPr>
              <w:spacing w:after="200"/>
              <w:contextualSpacing/>
              <w:jc w:val="center"/>
              <w:rPr>
                <w:rFonts w:eastAsia="Calibri"/>
                <w:color w:val="000000" w:themeColor="text1"/>
                <w:sz w:val="18"/>
                <w:szCs w:val="18"/>
              </w:rPr>
            </w:pPr>
            <w:r w:rsidRPr="001C6679">
              <w:rPr>
                <w:rFonts w:eastAsia="Calibri"/>
                <w:color w:val="000000" w:themeColor="text1"/>
                <w:sz w:val="18"/>
                <w:szCs w:val="18"/>
              </w:rPr>
              <w:t>-</w:t>
            </w:r>
            <w:r w:rsidR="00C91CDC">
              <w:rPr>
                <w:rFonts w:eastAsia="Calibri"/>
                <w:color w:val="000000" w:themeColor="text1"/>
                <w:sz w:val="18"/>
                <w:szCs w:val="18"/>
              </w:rPr>
              <w:t>$1,237</w:t>
            </w:r>
          </w:p>
        </w:tc>
        <w:tc>
          <w:tcPr>
            <w:tcW w:w="1873" w:type="dxa"/>
            <w:tcBorders>
              <w:top w:val="nil"/>
              <w:left w:val="nil"/>
              <w:bottom w:val="single" w:sz="8" w:space="0" w:color="auto"/>
              <w:right w:val="single" w:sz="8" w:space="0" w:color="auto"/>
            </w:tcBorders>
            <w:shd w:val="clear" w:color="auto" w:fill="auto"/>
            <w:vAlign w:val="center"/>
          </w:tcPr>
          <w:p w:rsidR="00D45A27" w:rsidRPr="001C6679" w:rsidP="00AC3D14" w14:paraId="46A4F39D" w14:textId="77777777">
            <w:pPr>
              <w:spacing w:after="200"/>
              <w:contextualSpacing/>
              <w:jc w:val="center"/>
              <w:rPr>
                <w:rFonts w:eastAsia="Calibri"/>
                <w:color w:val="000000" w:themeColor="text1"/>
                <w:sz w:val="18"/>
                <w:szCs w:val="18"/>
              </w:rPr>
            </w:pPr>
          </w:p>
        </w:tc>
        <w:tc>
          <w:tcPr>
            <w:tcW w:w="947" w:type="dxa"/>
            <w:tcBorders>
              <w:top w:val="nil"/>
              <w:left w:val="nil"/>
              <w:bottom w:val="single" w:sz="8" w:space="0" w:color="auto"/>
              <w:right w:val="single" w:sz="8" w:space="0" w:color="auto"/>
            </w:tcBorders>
            <w:shd w:val="clear" w:color="auto" w:fill="auto"/>
            <w:vAlign w:val="center"/>
          </w:tcPr>
          <w:p w:rsidR="00D45A27" w:rsidRPr="001C6679" w:rsidP="00AC3D14" w14:paraId="4122A45A" w14:textId="77777777">
            <w:pPr>
              <w:spacing w:after="200"/>
              <w:contextualSpacing/>
              <w:jc w:val="center"/>
              <w:rPr>
                <w:rFonts w:eastAsia="Calibri"/>
                <w:color w:val="000000" w:themeColor="text1"/>
                <w:sz w:val="18"/>
                <w:szCs w:val="18"/>
              </w:rPr>
            </w:pPr>
          </w:p>
        </w:tc>
        <w:tc>
          <w:tcPr>
            <w:tcW w:w="1415" w:type="dxa"/>
            <w:tcBorders>
              <w:top w:val="nil"/>
              <w:left w:val="nil"/>
              <w:bottom w:val="single" w:sz="8" w:space="0" w:color="auto"/>
              <w:right w:val="single" w:sz="8" w:space="0" w:color="auto"/>
            </w:tcBorders>
            <w:shd w:val="clear" w:color="auto" w:fill="auto"/>
            <w:vAlign w:val="center"/>
          </w:tcPr>
          <w:p w:rsidR="00D45A27" w:rsidRPr="001C6679" w:rsidP="00AC3D14" w14:paraId="6907F41F" w14:textId="77777777">
            <w:pPr>
              <w:spacing w:after="200"/>
              <w:contextualSpacing/>
              <w:jc w:val="center"/>
              <w:rPr>
                <w:rFonts w:eastAsia="Calibri"/>
                <w:color w:val="000000" w:themeColor="text1"/>
                <w:sz w:val="18"/>
                <w:szCs w:val="18"/>
              </w:rPr>
            </w:pPr>
          </w:p>
        </w:tc>
      </w:tr>
      <w:tr w14:paraId="5DE248DA" w14:textId="77777777" w:rsidTr="00D56C50">
        <w:tblPrEx>
          <w:tblW w:w="10362" w:type="dxa"/>
          <w:jc w:val="center"/>
          <w:tblLook w:val="0000"/>
        </w:tblPrEx>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D45A27" w:rsidRPr="00303E66" w:rsidP="00AC3D14" w14:paraId="719EC971" w14:textId="77777777">
            <w:pPr>
              <w:spacing w:after="200"/>
              <w:contextualSpacing/>
              <w:rPr>
                <w:rFonts w:eastAsia="Calibri"/>
                <w:color w:val="000000" w:themeColor="text1"/>
                <w:sz w:val="18"/>
                <w:szCs w:val="18"/>
              </w:rPr>
            </w:pPr>
            <w:r w:rsidRPr="00303E66">
              <w:rPr>
                <w:rFonts w:eastAsia="Calibri"/>
                <w:color w:val="000000" w:themeColor="text1"/>
                <w:sz w:val="18"/>
                <w:szCs w:val="18"/>
              </w:rPr>
              <w:t>Mortgage Portfolio Protection Program Agreement Receipt for Materials / No Form</w:t>
            </w:r>
          </w:p>
        </w:tc>
        <w:tc>
          <w:tcPr>
            <w:tcW w:w="1596" w:type="dxa"/>
            <w:tcBorders>
              <w:top w:val="nil"/>
              <w:left w:val="nil"/>
              <w:bottom w:val="single" w:sz="8" w:space="0" w:color="auto"/>
              <w:right w:val="single" w:sz="8" w:space="0" w:color="auto"/>
            </w:tcBorders>
            <w:shd w:val="clear" w:color="auto" w:fill="auto"/>
            <w:vAlign w:val="center"/>
          </w:tcPr>
          <w:p w:rsidR="00D45A27" w:rsidRPr="001C6679" w:rsidP="00AC3D14" w14:paraId="73A2F24D" w14:textId="2CD5A607">
            <w:pPr>
              <w:spacing w:after="200"/>
              <w:contextualSpacing/>
              <w:jc w:val="center"/>
              <w:rPr>
                <w:rFonts w:eastAsia="Calibri"/>
                <w:color w:val="000000" w:themeColor="text1"/>
                <w:sz w:val="18"/>
                <w:szCs w:val="18"/>
              </w:rPr>
            </w:pPr>
            <w:r>
              <w:rPr>
                <w:rFonts w:eastAsia="Calibri"/>
                <w:color w:val="000000" w:themeColor="text1"/>
                <w:sz w:val="18"/>
                <w:szCs w:val="18"/>
              </w:rPr>
              <w:t>$7</w:t>
            </w:r>
            <w:r w:rsidR="004D640B">
              <w:rPr>
                <w:rFonts w:eastAsia="Calibri"/>
                <w:color w:val="000000" w:themeColor="text1"/>
                <w:sz w:val="18"/>
                <w:szCs w:val="18"/>
              </w:rPr>
              <w:t>,121</w:t>
            </w:r>
          </w:p>
        </w:tc>
        <w:tc>
          <w:tcPr>
            <w:tcW w:w="1175" w:type="dxa"/>
            <w:tcBorders>
              <w:top w:val="nil"/>
              <w:left w:val="nil"/>
              <w:bottom w:val="single" w:sz="8" w:space="0" w:color="auto"/>
              <w:right w:val="single" w:sz="8" w:space="0" w:color="auto"/>
            </w:tcBorders>
            <w:shd w:val="clear" w:color="auto" w:fill="auto"/>
            <w:vAlign w:val="center"/>
          </w:tcPr>
          <w:p w:rsidR="00D45A27" w:rsidRPr="001C6679" w:rsidP="00AC3D14" w14:paraId="4D3676B9" w14:textId="5C5CD812">
            <w:pPr>
              <w:spacing w:after="200"/>
              <w:contextualSpacing/>
              <w:jc w:val="center"/>
              <w:rPr>
                <w:rFonts w:eastAsia="Calibri"/>
                <w:color w:val="000000" w:themeColor="text1"/>
                <w:sz w:val="18"/>
                <w:szCs w:val="18"/>
              </w:rPr>
            </w:pPr>
            <w:r>
              <w:rPr>
                <w:rFonts w:eastAsia="Calibri"/>
                <w:color w:val="000000" w:themeColor="text1"/>
                <w:sz w:val="18"/>
                <w:szCs w:val="18"/>
              </w:rPr>
              <w:t>$</w:t>
            </w:r>
            <w:r w:rsidRPr="001C6679">
              <w:rPr>
                <w:rFonts w:eastAsia="Calibri"/>
                <w:color w:val="000000" w:themeColor="text1"/>
                <w:sz w:val="18"/>
                <w:szCs w:val="18"/>
              </w:rPr>
              <w:t>0</w:t>
            </w:r>
          </w:p>
        </w:tc>
        <w:tc>
          <w:tcPr>
            <w:tcW w:w="1016" w:type="dxa"/>
            <w:tcBorders>
              <w:top w:val="nil"/>
              <w:left w:val="nil"/>
              <w:bottom w:val="single" w:sz="8" w:space="0" w:color="auto"/>
              <w:right w:val="single" w:sz="8" w:space="0" w:color="auto"/>
            </w:tcBorders>
            <w:shd w:val="clear" w:color="auto" w:fill="auto"/>
            <w:vAlign w:val="center"/>
          </w:tcPr>
          <w:p w:rsidR="00D45A27" w:rsidRPr="001C6679" w:rsidP="00AC3D14" w14:paraId="3D756FB3" w14:textId="611D410A">
            <w:pPr>
              <w:spacing w:after="200"/>
              <w:contextualSpacing/>
              <w:jc w:val="center"/>
              <w:rPr>
                <w:rFonts w:eastAsia="Calibri"/>
                <w:color w:val="000000" w:themeColor="text1"/>
                <w:sz w:val="18"/>
                <w:szCs w:val="18"/>
              </w:rPr>
            </w:pPr>
            <w:r w:rsidRPr="001C6679">
              <w:rPr>
                <w:rFonts w:eastAsia="Calibri"/>
                <w:color w:val="000000" w:themeColor="text1"/>
                <w:sz w:val="18"/>
                <w:szCs w:val="18"/>
              </w:rPr>
              <w:t>-</w:t>
            </w:r>
            <w:r w:rsidR="00C91CDC">
              <w:rPr>
                <w:rFonts w:eastAsia="Calibri"/>
                <w:color w:val="000000" w:themeColor="text1"/>
                <w:sz w:val="18"/>
                <w:szCs w:val="18"/>
              </w:rPr>
              <w:t>$7,121</w:t>
            </w:r>
          </w:p>
        </w:tc>
        <w:tc>
          <w:tcPr>
            <w:tcW w:w="1873" w:type="dxa"/>
            <w:tcBorders>
              <w:top w:val="nil"/>
              <w:left w:val="nil"/>
              <w:bottom w:val="single" w:sz="8" w:space="0" w:color="auto"/>
              <w:right w:val="single" w:sz="8" w:space="0" w:color="auto"/>
            </w:tcBorders>
            <w:shd w:val="clear" w:color="auto" w:fill="auto"/>
            <w:vAlign w:val="center"/>
          </w:tcPr>
          <w:p w:rsidR="00D45A27" w:rsidRPr="001C6679" w:rsidP="00AC3D14" w14:paraId="5D4AED5C" w14:textId="77777777">
            <w:pPr>
              <w:spacing w:after="200"/>
              <w:contextualSpacing/>
              <w:jc w:val="center"/>
              <w:rPr>
                <w:rFonts w:eastAsia="Calibri"/>
                <w:color w:val="000000" w:themeColor="text1"/>
                <w:sz w:val="18"/>
                <w:szCs w:val="18"/>
              </w:rPr>
            </w:pPr>
          </w:p>
        </w:tc>
        <w:tc>
          <w:tcPr>
            <w:tcW w:w="947" w:type="dxa"/>
            <w:tcBorders>
              <w:top w:val="nil"/>
              <w:left w:val="nil"/>
              <w:bottom w:val="single" w:sz="8" w:space="0" w:color="auto"/>
              <w:right w:val="single" w:sz="8" w:space="0" w:color="auto"/>
            </w:tcBorders>
            <w:shd w:val="clear" w:color="auto" w:fill="auto"/>
            <w:vAlign w:val="center"/>
          </w:tcPr>
          <w:p w:rsidR="00D45A27" w:rsidRPr="001C6679" w:rsidP="00AC3D14" w14:paraId="1E80B944" w14:textId="77777777">
            <w:pPr>
              <w:spacing w:after="200"/>
              <w:contextualSpacing/>
              <w:jc w:val="center"/>
              <w:rPr>
                <w:rFonts w:eastAsia="Calibri"/>
                <w:color w:val="000000" w:themeColor="text1"/>
                <w:sz w:val="18"/>
                <w:szCs w:val="18"/>
              </w:rPr>
            </w:pPr>
          </w:p>
        </w:tc>
        <w:tc>
          <w:tcPr>
            <w:tcW w:w="1415" w:type="dxa"/>
            <w:tcBorders>
              <w:top w:val="nil"/>
              <w:left w:val="nil"/>
              <w:bottom w:val="single" w:sz="8" w:space="0" w:color="auto"/>
              <w:right w:val="single" w:sz="8" w:space="0" w:color="auto"/>
            </w:tcBorders>
            <w:shd w:val="clear" w:color="auto" w:fill="auto"/>
            <w:vAlign w:val="center"/>
          </w:tcPr>
          <w:p w:rsidR="00D45A27" w:rsidRPr="001C6679" w:rsidP="00AC3D14" w14:paraId="4B502D2F" w14:textId="77777777">
            <w:pPr>
              <w:spacing w:after="200"/>
              <w:contextualSpacing/>
              <w:jc w:val="center"/>
              <w:rPr>
                <w:rFonts w:eastAsia="Calibri"/>
                <w:color w:val="000000" w:themeColor="text1"/>
                <w:sz w:val="18"/>
                <w:szCs w:val="18"/>
              </w:rPr>
            </w:pPr>
          </w:p>
        </w:tc>
      </w:tr>
      <w:tr w14:paraId="1EE63339" w14:textId="77777777" w:rsidTr="00D56C50">
        <w:tblPrEx>
          <w:tblW w:w="10362" w:type="dxa"/>
          <w:jc w:val="center"/>
          <w:tblLook w:val="0000"/>
        </w:tblPrEx>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D45A27" w:rsidRPr="00303E66" w:rsidP="00AC3D14" w14:paraId="4D11B8CC" w14:textId="77777777">
            <w:pPr>
              <w:spacing w:after="200"/>
              <w:contextualSpacing/>
              <w:rPr>
                <w:rFonts w:eastAsia="Calibri"/>
                <w:sz w:val="18"/>
                <w:szCs w:val="18"/>
              </w:rPr>
            </w:pPr>
            <w:r w:rsidRPr="00A12A2E">
              <w:rPr>
                <w:rFonts w:eastAsia="Calibri"/>
                <w:sz w:val="18"/>
                <w:szCs w:val="18"/>
              </w:rPr>
              <w:t xml:space="preserve">Ask the Advocate Web Form, </w:t>
            </w:r>
            <w:r w:rsidRPr="00E64C40">
              <w:rPr>
                <w:color w:val="000000" w:themeColor="text1"/>
                <w:sz w:val="18"/>
                <w:szCs w:val="18"/>
              </w:rPr>
              <w:t>FEMA Form FF-206-FY-21-121</w:t>
            </w:r>
          </w:p>
        </w:tc>
        <w:tc>
          <w:tcPr>
            <w:tcW w:w="1596" w:type="dxa"/>
            <w:tcBorders>
              <w:top w:val="nil"/>
              <w:left w:val="nil"/>
              <w:bottom w:val="single" w:sz="8" w:space="0" w:color="auto"/>
              <w:right w:val="single" w:sz="8" w:space="0" w:color="auto"/>
            </w:tcBorders>
            <w:shd w:val="clear" w:color="auto" w:fill="auto"/>
            <w:vAlign w:val="center"/>
          </w:tcPr>
          <w:p w:rsidR="00D45A27" w:rsidRPr="004D640B" w:rsidP="00AC3D14" w14:paraId="3BEB4FA3" w14:textId="5195DC3A">
            <w:pPr>
              <w:spacing w:after="200"/>
              <w:contextualSpacing/>
              <w:jc w:val="center"/>
              <w:rPr>
                <w:rFonts w:eastAsia="Calibri"/>
                <w:sz w:val="18"/>
                <w:szCs w:val="18"/>
              </w:rPr>
            </w:pPr>
          </w:p>
        </w:tc>
        <w:tc>
          <w:tcPr>
            <w:tcW w:w="1175" w:type="dxa"/>
            <w:tcBorders>
              <w:top w:val="nil"/>
              <w:left w:val="nil"/>
              <w:bottom w:val="single" w:sz="8" w:space="0" w:color="auto"/>
              <w:right w:val="single" w:sz="8" w:space="0" w:color="auto"/>
            </w:tcBorders>
            <w:shd w:val="clear" w:color="auto" w:fill="auto"/>
            <w:vAlign w:val="center"/>
          </w:tcPr>
          <w:p w:rsidR="00D45A27" w:rsidRPr="00C91CDC" w:rsidP="00AC3D14" w14:paraId="4D5AFEC6" w14:textId="53804AC3">
            <w:pPr>
              <w:spacing w:after="200"/>
              <w:contextualSpacing/>
              <w:jc w:val="center"/>
              <w:rPr>
                <w:rFonts w:eastAsia="Calibri"/>
                <w:sz w:val="18"/>
                <w:szCs w:val="18"/>
              </w:rPr>
            </w:pPr>
          </w:p>
        </w:tc>
        <w:tc>
          <w:tcPr>
            <w:tcW w:w="1016" w:type="dxa"/>
            <w:tcBorders>
              <w:top w:val="nil"/>
              <w:left w:val="nil"/>
              <w:bottom w:val="single" w:sz="8" w:space="0" w:color="auto"/>
              <w:right w:val="single" w:sz="8" w:space="0" w:color="auto"/>
            </w:tcBorders>
            <w:shd w:val="clear" w:color="auto" w:fill="auto"/>
            <w:vAlign w:val="center"/>
          </w:tcPr>
          <w:p w:rsidR="00D45A27" w:rsidRPr="00C91CDC" w:rsidP="00AC3D14" w14:paraId="36ECD49C" w14:textId="12A8097A">
            <w:pPr>
              <w:spacing w:after="200"/>
              <w:contextualSpacing/>
              <w:jc w:val="center"/>
              <w:rPr>
                <w:rFonts w:eastAsia="Calibri"/>
                <w:sz w:val="18"/>
                <w:szCs w:val="18"/>
              </w:rPr>
            </w:pPr>
          </w:p>
        </w:tc>
        <w:tc>
          <w:tcPr>
            <w:tcW w:w="1873" w:type="dxa"/>
            <w:tcBorders>
              <w:top w:val="nil"/>
              <w:left w:val="nil"/>
              <w:bottom w:val="single" w:sz="8" w:space="0" w:color="auto"/>
              <w:right w:val="single" w:sz="8" w:space="0" w:color="auto"/>
            </w:tcBorders>
            <w:shd w:val="clear" w:color="auto" w:fill="auto"/>
            <w:vAlign w:val="center"/>
          </w:tcPr>
          <w:p w:rsidR="00D45A27" w:rsidRPr="001C6679" w:rsidP="00AC3D14" w14:paraId="36A546FB" w14:textId="7A8B34E6">
            <w:pPr>
              <w:spacing w:after="200"/>
              <w:contextualSpacing/>
              <w:jc w:val="center"/>
              <w:rPr>
                <w:rFonts w:eastAsia="Calibri"/>
                <w:color w:val="000000" w:themeColor="text1"/>
                <w:sz w:val="18"/>
                <w:szCs w:val="18"/>
              </w:rPr>
            </w:pPr>
            <w:r w:rsidRPr="004D640B">
              <w:rPr>
                <w:rFonts w:eastAsia="Calibri"/>
                <w:sz w:val="18"/>
                <w:szCs w:val="18"/>
              </w:rPr>
              <w:t>$</w:t>
            </w:r>
            <w:r w:rsidR="00DB3B91">
              <w:rPr>
                <w:rFonts w:eastAsia="Calibri"/>
                <w:sz w:val="18"/>
                <w:szCs w:val="18"/>
              </w:rPr>
              <w:t>1,471</w:t>
            </w:r>
            <w:r w:rsidRPr="004D640B">
              <w:rPr>
                <w:rFonts w:eastAsia="Calibri"/>
                <w:sz w:val="18"/>
                <w:szCs w:val="18"/>
              </w:rPr>
              <w:t>,</w:t>
            </w:r>
            <w:r w:rsidR="00DB3B91">
              <w:rPr>
                <w:rFonts w:eastAsia="Calibri"/>
                <w:sz w:val="18"/>
                <w:szCs w:val="18"/>
              </w:rPr>
              <w:t>960</w:t>
            </w:r>
          </w:p>
        </w:tc>
        <w:tc>
          <w:tcPr>
            <w:tcW w:w="947" w:type="dxa"/>
            <w:tcBorders>
              <w:top w:val="nil"/>
              <w:left w:val="nil"/>
              <w:bottom w:val="single" w:sz="8" w:space="0" w:color="auto"/>
              <w:right w:val="single" w:sz="8" w:space="0" w:color="auto"/>
            </w:tcBorders>
            <w:shd w:val="clear" w:color="auto" w:fill="auto"/>
            <w:vAlign w:val="center"/>
          </w:tcPr>
          <w:p w:rsidR="00D45A27" w:rsidRPr="001C6679" w:rsidP="00AC3D14" w14:paraId="7DA0CAA5" w14:textId="2F40B25F">
            <w:pPr>
              <w:spacing w:after="200"/>
              <w:contextualSpacing/>
              <w:jc w:val="center"/>
              <w:rPr>
                <w:rFonts w:eastAsia="Calibri"/>
                <w:color w:val="000000" w:themeColor="text1"/>
                <w:sz w:val="18"/>
                <w:szCs w:val="18"/>
              </w:rPr>
            </w:pPr>
            <w:r w:rsidRPr="00123F8B">
              <w:rPr>
                <w:rFonts w:eastAsia="Calibri"/>
                <w:color w:val="000000" w:themeColor="text1"/>
                <w:sz w:val="18"/>
                <w:szCs w:val="18"/>
              </w:rPr>
              <w:t>$3,931</w:t>
            </w:r>
          </w:p>
        </w:tc>
        <w:tc>
          <w:tcPr>
            <w:tcW w:w="1415" w:type="dxa"/>
            <w:tcBorders>
              <w:top w:val="nil"/>
              <w:left w:val="nil"/>
              <w:bottom w:val="single" w:sz="8" w:space="0" w:color="auto"/>
              <w:right w:val="single" w:sz="8" w:space="0" w:color="auto"/>
            </w:tcBorders>
            <w:shd w:val="clear" w:color="auto" w:fill="auto"/>
            <w:vAlign w:val="center"/>
          </w:tcPr>
          <w:p w:rsidR="00D45A27" w:rsidRPr="001C6679" w:rsidP="00AC3D14" w14:paraId="1C8B1660" w14:textId="59CDDFDD">
            <w:pPr>
              <w:spacing w:after="200"/>
              <w:contextualSpacing/>
              <w:jc w:val="center"/>
              <w:rPr>
                <w:rFonts w:eastAsia="Calibri"/>
                <w:color w:val="000000" w:themeColor="text1"/>
                <w:sz w:val="18"/>
                <w:szCs w:val="18"/>
              </w:rPr>
            </w:pPr>
            <w:r>
              <w:rPr>
                <w:color w:val="000000" w:themeColor="text1"/>
                <w:sz w:val="18"/>
                <w:szCs w:val="18"/>
              </w:rPr>
              <w:t>$1,468,029</w:t>
            </w:r>
          </w:p>
        </w:tc>
      </w:tr>
      <w:tr w14:paraId="28A32CC8" w14:textId="77777777" w:rsidTr="00D56C50">
        <w:tblPrEx>
          <w:tblW w:w="10362" w:type="dxa"/>
          <w:jc w:val="center"/>
          <w:tblLook w:val="0000"/>
        </w:tblPrEx>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D45A27" w:rsidRPr="00B360CD" w:rsidP="00AC3D14" w14:paraId="0047DD17" w14:textId="77777777">
            <w:pPr>
              <w:spacing w:after="200"/>
              <w:contextualSpacing/>
              <w:jc w:val="center"/>
              <w:rPr>
                <w:rFonts w:eastAsia="Calibri"/>
                <w:b/>
                <w:bCs/>
                <w:sz w:val="18"/>
                <w:szCs w:val="18"/>
              </w:rPr>
            </w:pPr>
            <w:r w:rsidRPr="00B360CD">
              <w:rPr>
                <w:rFonts w:eastAsia="Calibri"/>
                <w:b/>
                <w:bCs/>
                <w:sz w:val="18"/>
                <w:szCs w:val="18"/>
              </w:rPr>
              <w:t>Total(s)</w:t>
            </w:r>
          </w:p>
        </w:tc>
        <w:tc>
          <w:tcPr>
            <w:tcW w:w="1596" w:type="dxa"/>
            <w:tcBorders>
              <w:top w:val="nil"/>
              <w:left w:val="nil"/>
              <w:bottom w:val="single" w:sz="8" w:space="0" w:color="auto"/>
              <w:right w:val="single" w:sz="8" w:space="0" w:color="auto"/>
            </w:tcBorders>
            <w:shd w:val="clear" w:color="auto" w:fill="auto"/>
            <w:vAlign w:val="center"/>
          </w:tcPr>
          <w:p w:rsidR="00D45A27" w:rsidRPr="00B360CD" w:rsidP="00AC3D14" w14:paraId="5FF9647D" w14:textId="10AB31F4">
            <w:pPr>
              <w:spacing w:after="200"/>
              <w:contextualSpacing/>
              <w:jc w:val="center"/>
              <w:rPr>
                <w:rFonts w:eastAsia="Calibri"/>
                <w:b/>
                <w:bCs/>
                <w:sz w:val="18"/>
                <w:szCs w:val="18"/>
              </w:rPr>
            </w:pPr>
            <w:r w:rsidRPr="00B360CD">
              <w:rPr>
                <w:rFonts w:eastAsia="Calibri"/>
                <w:b/>
                <w:bCs/>
                <w:color w:val="000000" w:themeColor="text1"/>
                <w:sz w:val="18"/>
                <w:szCs w:val="18"/>
              </w:rPr>
              <w:t>$</w:t>
            </w:r>
            <w:r w:rsidRPr="00B360CD" w:rsidR="00282B61">
              <w:rPr>
                <w:rFonts w:eastAsia="Calibri"/>
                <w:b/>
                <w:bCs/>
                <w:color w:val="000000" w:themeColor="text1"/>
                <w:sz w:val="18"/>
                <w:szCs w:val="18"/>
              </w:rPr>
              <w:t>8</w:t>
            </w:r>
            <w:r w:rsidRPr="00B360CD">
              <w:rPr>
                <w:rFonts w:eastAsia="Calibri"/>
                <w:b/>
                <w:bCs/>
                <w:color w:val="000000" w:themeColor="text1"/>
                <w:sz w:val="18"/>
                <w:szCs w:val="18"/>
              </w:rPr>
              <w:t>,</w:t>
            </w:r>
            <w:r w:rsidRPr="00B360CD" w:rsidR="00282B61">
              <w:rPr>
                <w:rFonts w:eastAsia="Calibri"/>
                <w:b/>
                <w:bCs/>
                <w:color w:val="000000" w:themeColor="text1"/>
                <w:sz w:val="18"/>
                <w:szCs w:val="18"/>
              </w:rPr>
              <w:t>358</w:t>
            </w:r>
          </w:p>
        </w:tc>
        <w:tc>
          <w:tcPr>
            <w:tcW w:w="1175" w:type="dxa"/>
            <w:tcBorders>
              <w:top w:val="nil"/>
              <w:left w:val="nil"/>
              <w:bottom w:val="single" w:sz="8" w:space="0" w:color="auto"/>
              <w:right w:val="single" w:sz="8" w:space="0" w:color="auto"/>
            </w:tcBorders>
            <w:shd w:val="clear" w:color="auto" w:fill="auto"/>
            <w:vAlign w:val="center"/>
          </w:tcPr>
          <w:p w:rsidR="00D45A27" w:rsidRPr="00B360CD" w:rsidP="00AC3D14" w14:paraId="7D9104E5" w14:textId="2B85C38F">
            <w:pPr>
              <w:spacing w:after="200"/>
              <w:contextualSpacing/>
              <w:jc w:val="center"/>
              <w:rPr>
                <w:rFonts w:eastAsia="Calibri"/>
                <w:b/>
                <w:bCs/>
                <w:sz w:val="18"/>
                <w:szCs w:val="18"/>
              </w:rPr>
            </w:pPr>
            <w:r w:rsidRPr="00B360CD">
              <w:rPr>
                <w:rFonts w:eastAsia="Calibri"/>
                <w:b/>
                <w:bCs/>
                <w:color w:val="000000" w:themeColor="text1"/>
                <w:sz w:val="18"/>
                <w:szCs w:val="18"/>
              </w:rPr>
              <w:t>$</w:t>
            </w:r>
            <w:r w:rsidRPr="00B360CD">
              <w:rPr>
                <w:rFonts w:eastAsia="Calibri"/>
                <w:b/>
                <w:bCs/>
                <w:color w:val="000000" w:themeColor="text1"/>
                <w:sz w:val="18"/>
                <w:szCs w:val="18"/>
              </w:rPr>
              <w:t>0</w:t>
            </w:r>
          </w:p>
        </w:tc>
        <w:tc>
          <w:tcPr>
            <w:tcW w:w="1016" w:type="dxa"/>
            <w:tcBorders>
              <w:top w:val="nil"/>
              <w:left w:val="nil"/>
              <w:bottom w:val="single" w:sz="8" w:space="0" w:color="auto"/>
              <w:right w:val="single" w:sz="8" w:space="0" w:color="auto"/>
            </w:tcBorders>
            <w:shd w:val="clear" w:color="auto" w:fill="auto"/>
            <w:vAlign w:val="center"/>
          </w:tcPr>
          <w:p w:rsidR="00D45A27" w:rsidRPr="00B360CD" w:rsidP="00AC3D14" w14:paraId="3F75CC96" w14:textId="65DDD785">
            <w:pPr>
              <w:spacing w:after="200"/>
              <w:contextualSpacing/>
              <w:jc w:val="center"/>
              <w:rPr>
                <w:rFonts w:eastAsia="Calibri"/>
                <w:b/>
                <w:bCs/>
                <w:sz w:val="18"/>
                <w:szCs w:val="18"/>
              </w:rPr>
            </w:pPr>
            <w:r w:rsidRPr="00B360CD">
              <w:rPr>
                <w:rFonts w:eastAsia="Calibri"/>
                <w:b/>
                <w:bCs/>
                <w:color w:val="000000" w:themeColor="text1"/>
                <w:sz w:val="18"/>
                <w:szCs w:val="18"/>
              </w:rPr>
              <w:t>-</w:t>
            </w:r>
            <w:r w:rsidRPr="00B360CD" w:rsidR="00C91CDC">
              <w:rPr>
                <w:rFonts w:eastAsia="Calibri"/>
                <w:b/>
                <w:bCs/>
                <w:color w:val="000000" w:themeColor="text1"/>
                <w:sz w:val="18"/>
                <w:szCs w:val="18"/>
              </w:rPr>
              <w:t>$</w:t>
            </w:r>
            <w:r w:rsidRPr="00B360CD" w:rsidR="00282B61">
              <w:rPr>
                <w:rFonts w:eastAsia="Calibri"/>
                <w:b/>
                <w:bCs/>
                <w:color w:val="000000" w:themeColor="text1"/>
                <w:sz w:val="18"/>
                <w:szCs w:val="18"/>
              </w:rPr>
              <w:t>8</w:t>
            </w:r>
            <w:r w:rsidRPr="00B360CD" w:rsidR="00C91CDC">
              <w:rPr>
                <w:rFonts w:eastAsia="Calibri"/>
                <w:b/>
                <w:bCs/>
                <w:color w:val="000000" w:themeColor="text1"/>
                <w:sz w:val="18"/>
                <w:szCs w:val="18"/>
              </w:rPr>
              <w:t>,</w:t>
            </w:r>
            <w:r w:rsidRPr="00B360CD" w:rsidR="00282B61">
              <w:rPr>
                <w:rFonts w:eastAsia="Calibri"/>
                <w:b/>
                <w:bCs/>
                <w:color w:val="000000" w:themeColor="text1"/>
                <w:sz w:val="18"/>
                <w:szCs w:val="18"/>
              </w:rPr>
              <w:t>358</w:t>
            </w:r>
          </w:p>
        </w:tc>
        <w:tc>
          <w:tcPr>
            <w:tcW w:w="1873" w:type="dxa"/>
            <w:tcBorders>
              <w:top w:val="nil"/>
              <w:left w:val="nil"/>
              <w:bottom w:val="single" w:sz="8" w:space="0" w:color="auto"/>
              <w:right w:val="single" w:sz="8" w:space="0" w:color="auto"/>
            </w:tcBorders>
            <w:shd w:val="clear" w:color="auto" w:fill="auto"/>
            <w:vAlign w:val="center"/>
          </w:tcPr>
          <w:p w:rsidR="00D45A27" w:rsidRPr="00303E66" w:rsidP="00AC3D14" w14:paraId="25367906" w14:textId="2AC3A29F">
            <w:pPr>
              <w:spacing w:after="200"/>
              <w:contextualSpacing/>
              <w:jc w:val="center"/>
              <w:rPr>
                <w:rFonts w:eastAsia="Calibri"/>
                <w:b/>
                <w:bCs/>
                <w:sz w:val="18"/>
                <w:szCs w:val="18"/>
              </w:rPr>
            </w:pPr>
            <w:r>
              <w:rPr>
                <w:rFonts w:eastAsia="Calibri"/>
                <w:b/>
                <w:bCs/>
                <w:sz w:val="18"/>
                <w:szCs w:val="18"/>
              </w:rPr>
              <w:t>$</w:t>
            </w:r>
            <w:r w:rsidR="00DB3B91">
              <w:rPr>
                <w:rFonts w:eastAsia="Calibri"/>
                <w:b/>
                <w:bCs/>
                <w:sz w:val="18"/>
                <w:szCs w:val="18"/>
              </w:rPr>
              <w:t>1</w:t>
            </w:r>
            <w:r>
              <w:rPr>
                <w:rFonts w:eastAsia="Calibri"/>
                <w:b/>
                <w:bCs/>
                <w:sz w:val="18"/>
                <w:szCs w:val="18"/>
              </w:rPr>
              <w:t>,</w:t>
            </w:r>
            <w:r w:rsidR="00DB3B91">
              <w:rPr>
                <w:rFonts w:eastAsia="Calibri"/>
                <w:b/>
                <w:bCs/>
                <w:sz w:val="18"/>
                <w:szCs w:val="18"/>
              </w:rPr>
              <w:t>471,960</w:t>
            </w:r>
          </w:p>
        </w:tc>
        <w:tc>
          <w:tcPr>
            <w:tcW w:w="947" w:type="dxa"/>
            <w:tcBorders>
              <w:top w:val="nil"/>
              <w:left w:val="nil"/>
              <w:bottom w:val="single" w:sz="8" w:space="0" w:color="auto"/>
              <w:right w:val="single" w:sz="8" w:space="0" w:color="auto"/>
            </w:tcBorders>
            <w:shd w:val="clear" w:color="auto" w:fill="auto"/>
            <w:vAlign w:val="center"/>
          </w:tcPr>
          <w:p w:rsidR="00D45A27" w:rsidRPr="00303E66" w:rsidP="00AC3D14" w14:paraId="35CDAF8D" w14:textId="3287C202">
            <w:pPr>
              <w:spacing w:after="200"/>
              <w:contextualSpacing/>
              <w:jc w:val="center"/>
              <w:rPr>
                <w:rFonts w:eastAsia="Calibri"/>
                <w:b/>
                <w:bCs/>
                <w:sz w:val="18"/>
                <w:szCs w:val="18"/>
              </w:rPr>
            </w:pPr>
            <w:r w:rsidRPr="00123F8B">
              <w:rPr>
                <w:rFonts w:eastAsia="Calibri"/>
                <w:b/>
                <w:bCs/>
                <w:sz w:val="18"/>
                <w:szCs w:val="18"/>
              </w:rPr>
              <w:t>$3,931</w:t>
            </w:r>
          </w:p>
        </w:tc>
        <w:tc>
          <w:tcPr>
            <w:tcW w:w="1415" w:type="dxa"/>
            <w:tcBorders>
              <w:top w:val="nil"/>
              <w:left w:val="nil"/>
              <w:bottom w:val="single" w:sz="8" w:space="0" w:color="auto"/>
              <w:right w:val="single" w:sz="8" w:space="0" w:color="auto"/>
            </w:tcBorders>
            <w:shd w:val="clear" w:color="auto" w:fill="auto"/>
            <w:vAlign w:val="center"/>
          </w:tcPr>
          <w:p w:rsidR="00D45A27" w:rsidRPr="00303E66" w:rsidP="00AC3D14" w14:paraId="2ED47BEE" w14:textId="32C000E1">
            <w:pPr>
              <w:spacing w:after="200"/>
              <w:contextualSpacing/>
              <w:jc w:val="center"/>
              <w:rPr>
                <w:rFonts w:eastAsia="Calibri"/>
                <w:b/>
                <w:bCs/>
                <w:sz w:val="18"/>
                <w:szCs w:val="18"/>
              </w:rPr>
            </w:pPr>
            <w:r w:rsidRPr="00A71ABA">
              <w:rPr>
                <w:rFonts w:eastAsia="Calibri"/>
                <w:b/>
                <w:bCs/>
                <w:sz w:val="18"/>
                <w:szCs w:val="18"/>
              </w:rPr>
              <w:t>$1,468,029</w:t>
            </w:r>
          </w:p>
        </w:tc>
      </w:tr>
    </w:tbl>
    <w:p w:rsidR="00033644" w:rsidRPr="009D1BC2" w:rsidP="00651BF3" w14:paraId="0B2BB22F" w14:textId="77777777">
      <w:pPr>
        <w:rPr>
          <w:rFonts w:eastAsia="Calibri"/>
          <w:iCs/>
        </w:rPr>
      </w:pPr>
    </w:p>
    <w:p w:rsidR="00C216D8" w:rsidRPr="009D1BC2" w:rsidP="009D1BC2" w14:paraId="30E5D492" w14:textId="7FA0C59E">
      <w:pPr>
        <w:spacing w:after="200" w:line="276" w:lineRule="auto"/>
        <w:contextualSpacing/>
        <w:rPr>
          <w:bCs/>
        </w:rPr>
      </w:pPr>
      <w:r w:rsidRPr="009D1BC2">
        <w:rPr>
          <w:rFonts w:eastAsia="Calibri"/>
          <w:b/>
          <w:bCs/>
          <w:i/>
        </w:rPr>
        <w:t>Explain:</w:t>
      </w:r>
      <w:r w:rsidRPr="009D1BC2">
        <w:rPr>
          <w:bCs/>
        </w:rPr>
        <w:t xml:space="preserve"> </w:t>
      </w:r>
      <w:r w:rsidRPr="009D1BC2" w:rsidR="00BC159C">
        <w:rPr>
          <w:bCs/>
        </w:rPr>
        <w:t xml:space="preserve"> The changes in annual cost burden follow the </w:t>
      </w:r>
      <w:r w:rsidRPr="009D1BC2" w:rsidR="00883EA7">
        <w:rPr>
          <w:bCs/>
        </w:rPr>
        <w:t>changes to burden hours discussed above, plus a slight overall increase due to the general increase in wages.</w:t>
      </w:r>
    </w:p>
    <w:p w:rsidR="002253D0" w:rsidRPr="009D1BC2" w:rsidP="009D1BC2" w14:paraId="737A6E8B" w14:textId="77777777">
      <w:pPr>
        <w:spacing w:line="276" w:lineRule="auto"/>
        <w:contextualSpacing/>
      </w:pPr>
    </w:p>
    <w:p w:rsidR="00922A7F" w:rsidRPr="009D1BC2" w:rsidP="009D1BC2" w14:paraId="3AEFCF0B" w14:textId="77777777">
      <w:pPr>
        <w:spacing w:line="276" w:lineRule="auto"/>
        <w:contextualSpacing/>
        <w:rPr>
          <w:b/>
          <w:bCs/>
        </w:rPr>
      </w:pPr>
      <w:r w:rsidRPr="009D1BC2">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22A7F" w:rsidRPr="009D1BC2" w:rsidP="009D1BC2" w14:paraId="1CE6BF47" w14:textId="77777777">
      <w:pPr>
        <w:spacing w:line="276" w:lineRule="auto"/>
        <w:contextualSpacing/>
      </w:pPr>
      <w:r w:rsidRPr="009D1BC2">
        <w:fldChar w:fldCharType="begin"/>
      </w:r>
      <w:r w:rsidRPr="009D1BC2">
        <w:instrText>ADVANCE \R 0.95</w:instrText>
      </w:r>
      <w:r w:rsidRPr="009D1BC2">
        <w:fldChar w:fldCharType="end"/>
      </w:r>
    </w:p>
    <w:p w:rsidR="00922A7F" w:rsidRPr="009D1BC2" w:rsidP="009D1BC2" w14:paraId="5B44B7F2" w14:textId="77777777">
      <w:pPr>
        <w:spacing w:line="276" w:lineRule="auto"/>
        <w:contextualSpacing/>
      </w:pPr>
      <w:r w:rsidRPr="009D1BC2">
        <w:t>FEMA does not intend to employ the use of statistics or the publication thereof for this information collection.</w:t>
      </w:r>
    </w:p>
    <w:p w:rsidR="00922A7F" w:rsidRPr="009D1BC2" w:rsidP="009D1BC2" w14:paraId="76519EBF" w14:textId="77777777">
      <w:pPr>
        <w:spacing w:line="276" w:lineRule="auto"/>
        <w:contextualSpacing/>
      </w:pPr>
    </w:p>
    <w:p w:rsidR="00922A7F" w:rsidRPr="009D1BC2" w:rsidP="009D1BC2" w14:paraId="3443EB71" w14:textId="77777777">
      <w:pPr>
        <w:spacing w:line="276" w:lineRule="auto"/>
        <w:contextualSpacing/>
        <w:rPr>
          <w:b/>
          <w:bCs/>
        </w:rPr>
      </w:pPr>
      <w:r w:rsidRPr="009D1BC2">
        <w:rPr>
          <w:b/>
          <w:bCs/>
        </w:rPr>
        <w:fldChar w:fldCharType="begin"/>
      </w:r>
      <w:r w:rsidRPr="009D1BC2">
        <w:rPr>
          <w:b/>
          <w:bCs/>
        </w:rPr>
        <w:instrText>ADVANCE \R 0.95</w:instrText>
      </w:r>
      <w:r w:rsidRPr="009D1BC2">
        <w:rPr>
          <w:b/>
          <w:bCs/>
        </w:rPr>
        <w:fldChar w:fldCharType="end"/>
      </w:r>
      <w:r w:rsidRPr="009D1BC2">
        <w:rPr>
          <w:b/>
          <w:bCs/>
        </w:rPr>
        <w:t>17.  If seeking approval not to display the expiration date for OMB approval of the information collection, explain reasons that display would be inappropriate.</w:t>
      </w:r>
    </w:p>
    <w:p w:rsidR="00922A7F" w:rsidRPr="009D1BC2" w:rsidP="009D1BC2" w14:paraId="2CAC10D0" w14:textId="77777777">
      <w:pPr>
        <w:spacing w:line="276" w:lineRule="auto"/>
        <w:contextualSpacing/>
      </w:pPr>
    </w:p>
    <w:p w:rsidR="00922A7F" w:rsidRPr="009D1BC2" w:rsidP="009D1BC2" w14:paraId="600DCF55" w14:textId="77777777">
      <w:pPr>
        <w:spacing w:line="276" w:lineRule="auto"/>
        <w:contextualSpacing/>
        <w:rPr>
          <w:color w:val="000000"/>
        </w:rPr>
      </w:pPr>
      <w:r w:rsidRPr="009D1BC2">
        <w:rPr>
          <w:color w:val="000000"/>
        </w:rPr>
        <w:t xml:space="preserve">FEMA </w:t>
      </w:r>
      <w:r w:rsidRPr="009D1BC2">
        <w:t>will display the expiration date for OMB approval of this information collection.</w:t>
      </w:r>
      <w:r w:rsidRPr="009D1BC2">
        <w:rPr>
          <w:color w:val="000000"/>
        </w:rPr>
        <w:fldChar w:fldCharType="begin"/>
      </w:r>
      <w:r w:rsidRPr="009D1BC2">
        <w:rPr>
          <w:color w:val="000000"/>
        </w:rPr>
        <w:instrText>ADVANCE \R 0.95</w:instrText>
      </w:r>
      <w:r w:rsidRPr="009D1BC2">
        <w:rPr>
          <w:color w:val="000000"/>
        </w:rPr>
        <w:fldChar w:fldCharType="end"/>
      </w:r>
    </w:p>
    <w:p w:rsidR="00922A7F" w:rsidRPr="009D1BC2" w:rsidP="009D1BC2" w14:paraId="0CD7CC92" w14:textId="77777777">
      <w:pPr>
        <w:spacing w:line="276" w:lineRule="auto"/>
        <w:contextualSpacing/>
        <w:rPr>
          <w:color w:val="000000"/>
        </w:rPr>
      </w:pPr>
    </w:p>
    <w:p w:rsidR="00922A7F" w:rsidRPr="009D1BC2" w:rsidP="009D1BC2" w14:paraId="4DCFA49A" w14:textId="77777777">
      <w:pPr>
        <w:spacing w:line="276" w:lineRule="auto"/>
        <w:contextualSpacing/>
        <w:rPr>
          <w:b/>
          <w:bCs/>
        </w:rPr>
      </w:pPr>
      <w:r w:rsidRPr="009D1BC2">
        <w:rPr>
          <w:b/>
          <w:bCs/>
        </w:rPr>
        <w:fldChar w:fldCharType="begin"/>
      </w:r>
      <w:r w:rsidRPr="009D1BC2">
        <w:rPr>
          <w:b/>
          <w:bCs/>
        </w:rPr>
        <w:instrText>ADVANCE \R 0.95</w:instrText>
      </w:r>
      <w:r w:rsidRPr="009D1BC2">
        <w:rPr>
          <w:b/>
          <w:bCs/>
        </w:rPr>
        <w:fldChar w:fldCharType="end"/>
      </w:r>
      <w:r w:rsidRPr="009D1BC2">
        <w:rPr>
          <w:b/>
          <w:bCs/>
        </w:rPr>
        <w:t>18.  Explain each exception to the certification statement identified in Item 19 “Certification for Paperwork Reduction Act Submissions,” of OMB Form 83-I.</w:t>
      </w:r>
    </w:p>
    <w:p w:rsidR="00922A7F" w:rsidRPr="009D1BC2" w:rsidP="009D1BC2" w14:paraId="31EA7E30" w14:textId="77777777">
      <w:pPr>
        <w:spacing w:line="276" w:lineRule="auto"/>
        <w:contextualSpacing/>
      </w:pPr>
    </w:p>
    <w:p w:rsidR="00922A7F" w:rsidRPr="009D1BC2" w:rsidP="009D1BC2" w14:paraId="0BF7D3E7" w14:textId="77777777">
      <w:pPr>
        <w:spacing w:line="276" w:lineRule="auto"/>
        <w:contextualSpacing/>
      </w:pPr>
      <w:r w:rsidRPr="009D1BC2">
        <w:rPr>
          <w:color w:val="000000"/>
        </w:rPr>
        <w:t xml:space="preserve">FEMA </w:t>
      </w:r>
      <w:r w:rsidRPr="009D1BC2">
        <w:t>does not request an exception to the certification of this information collection.</w:t>
      </w:r>
    </w:p>
    <w:p w:rsidR="00922A7F" w:rsidRPr="009D1BC2" w:rsidP="009D1BC2" w14:paraId="3D88FDF0" w14:textId="77777777">
      <w:pPr>
        <w:spacing w:line="276" w:lineRule="auto"/>
        <w:contextualSpacing/>
      </w:pPr>
    </w:p>
    <w:p w:rsidR="00922A7F" w:rsidRPr="009D1BC2" w:rsidP="009D1BC2" w14:paraId="4B82C2CB" w14:textId="77777777">
      <w:pPr>
        <w:tabs>
          <w:tab w:val="left" w:pos="-720"/>
        </w:tabs>
        <w:suppressAutoHyphens/>
        <w:spacing w:line="276" w:lineRule="auto"/>
        <w:contextualSpacing/>
        <w:rPr>
          <w:b/>
        </w:rPr>
      </w:pPr>
      <w:r w:rsidRPr="009D1BC2">
        <w:rPr>
          <w:b/>
        </w:rPr>
        <w:t>B.  Collections of Information Employing Statistical Methods.</w:t>
      </w:r>
    </w:p>
    <w:p w:rsidR="00922A7F" w:rsidRPr="009D1BC2" w:rsidP="009D1BC2" w14:paraId="7277C115" w14:textId="77777777">
      <w:pPr>
        <w:tabs>
          <w:tab w:val="left" w:pos="-720"/>
        </w:tabs>
        <w:suppressAutoHyphens/>
        <w:spacing w:line="276" w:lineRule="auto"/>
        <w:contextualSpacing/>
      </w:pPr>
    </w:p>
    <w:p w:rsidR="008D08F6" w:rsidRPr="009D1BC2" w:rsidP="009D1BC2" w14:paraId="77372C93" w14:textId="476F1D57">
      <w:pPr>
        <w:spacing w:line="276" w:lineRule="auto"/>
        <w:contextualSpacing/>
        <w:rPr>
          <w:color w:val="000000" w:themeColor="text1"/>
        </w:rPr>
      </w:pPr>
      <w:r w:rsidRPr="009D1BC2">
        <w:t xml:space="preserve">There is no statistical </w:t>
      </w:r>
      <w:r w:rsidRPr="009D1BC2">
        <w:rPr>
          <w:color w:val="000000" w:themeColor="text1"/>
        </w:rPr>
        <w:t>methodology involved in this collection.</w:t>
      </w:r>
      <w:r w:rsidRPr="009D1BC2">
        <w:rPr>
          <w:color w:val="000000" w:themeColor="text1"/>
        </w:rPr>
        <w:fldChar w:fldCharType="begin"/>
      </w:r>
      <w:r w:rsidRPr="009D1BC2">
        <w:rPr>
          <w:color w:val="000000" w:themeColor="text1"/>
        </w:rPr>
        <w:instrText>ADVANCE \R 0.95</w:instrText>
      </w:r>
      <w:r w:rsidRPr="009D1BC2">
        <w:rPr>
          <w:color w:val="000000" w:themeColor="text1"/>
        </w:rPr>
        <w:fldChar w:fldCharType="end"/>
      </w:r>
      <w:r w:rsidRPr="009D1BC2">
        <w:rPr>
          <w:color w:val="000000" w:themeColor="text1"/>
        </w:rPr>
        <w:fldChar w:fldCharType="begin"/>
      </w:r>
      <w:r w:rsidRPr="009D1BC2">
        <w:rPr>
          <w:color w:val="000000" w:themeColor="text1"/>
        </w:rPr>
        <w:instrText>ADVANCE \R 0.95</w:instrText>
      </w:r>
      <w:r w:rsidRPr="009D1BC2">
        <w:rPr>
          <w:color w:val="000000" w:themeColor="text1"/>
        </w:rPr>
        <w:fldChar w:fldCharType="end"/>
      </w:r>
      <w:r w:rsidR="009D1BC2">
        <w:rPr>
          <w:color w:val="000000" w:themeColor="text1"/>
        </w:rPr>
        <w:t xml:space="preserve">  </w:t>
      </w:r>
    </w:p>
    <w:sectPr>
      <w:footerReference w:type="even" r:id="rId11"/>
      <w:footerReference w:type="default" r:id="rId1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65BC" w:rsidP="005C41F4" w14:paraId="50CBC8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865BC" w14:paraId="34C6B99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65BC" w:rsidP="005C41F4" w14:paraId="4C7757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865BC" w14:paraId="195A8D2A"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A7A56" w14:paraId="0AA9EAC7" w14:textId="77777777">
      <w:r>
        <w:separator/>
      </w:r>
    </w:p>
  </w:footnote>
  <w:footnote w:type="continuationSeparator" w:id="1">
    <w:p w:rsidR="000A7A56" w14:paraId="328ACAF6" w14:textId="77777777">
      <w:r>
        <w:continuationSeparator/>
      </w:r>
    </w:p>
  </w:footnote>
  <w:footnote w:type="continuationNotice" w:id="2">
    <w:p w:rsidR="000A7A56" w14:paraId="37692EF2" w14:textId="77777777"/>
  </w:footnote>
  <w:footnote w:id="3">
    <w:p w:rsidR="00F31CD1" w:rsidRPr="004B1A11" w:rsidP="00F31CD1" w14:paraId="4F8E4071" w14:textId="77777777">
      <w:pPr>
        <w:pStyle w:val="FootnoteText"/>
        <w:rPr>
          <w:sz w:val="18"/>
          <w:szCs w:val="18"/>
        </w:rPr>
      </w:pPr>
      <w:r w:rsidRPr="004B1A11">
        <w:rPr>
          <w:rStyle w:val="FootnoteReference"/>
          <w:sz w:val="18"/>
          <w:szCs w:val="18"/>
        </w:rPr>
        <w:footnoteRef/>
      </w:r>
      <w:r w:rsidRPr="004B1A11">
        <w:rPr>
          <w:sz w:val="18"/>
          <w:szCs w:val="18"/>
        </w:rPr>
        <w:t xml:space="preserve"> Bureau of Labor Statistics, Employer Costs for Employee Compensation, Table 1.  Available at </w:t>
      </w:r>
      <w:hyperlink r:id="rId1" w:history="1">
        <w:r>
          <w:rPr>
            <w:rStyle w:val="Hyperlink"/>
            <w:sz w:val="18"/>
            <w:szCs w:val="18"/>
          </w:rPr>
          <w:t>https://www.bls.gov/news.release/archives/ecec_03142025.pdf</w:t>
        </w:r>
      </w:hyperlink>
      <w:r w:rsidRPr="004B1A11">
        <w:rPr>
          <w:sz w:val="18"/>
          <w:szCs w:val="18"/>
        </w:rPr>
        <w:t xml:space="preserve">.  Accessed March </w:t>
      </w:r>
      <w:r>
        <w:rPr>
          <w:sz w:val="18"/>
          <w:szCs w:val="18"/>
        </w:rPr>
        <w:t>14</w:t>
      </w:r>
      <w:r w:rsidRPr="004B1A11">
        <w:rPr>
          <w:sz w:val="18"/>
          <w:szCs w:val="18"/>
        </w:rPr>
        <w:t xml:space="preserve">, </w:t>
      </w:r>
      <w:r>
        <w:rPr>
          <w:sz w:val="18"/>
          <w:szCs w:val="18"/>
        </w:rPr>
        <w:t>2025</w:t>
      </w:r>
      <w:r w:rsidRPr="004B1A11">
        <w:rPr>
          <w:sz w:val="18"/>
          <w:szCs w:val="18"/>
        </w:rPr>
        <w:t>.  The national wage multiplier is calculated by dividing total compensation for all workers of $</w:t>
      </w:r>
      <w:r>
        <w:rPr>
          <w:sz w:val="18"/>
          <w:szCs w:val="18"/>
        </w:rPr>
        <w:t>47.20</w:t>
      </w:r>
      <w:r w:rsidRPr="004B1A11">
        <w:rPr>
          <w:sz w:val="18"/>
          <w:szCs w:val="18"/>
        </w:rPr>
        <w:t xml:space="preserve"> by wages and salaries for all workers of $</w:t>
      </w:r>
      <w:r>
        <w:rPr>
          <w:sz w:val="18"/>
          <w:szCs w:val="18"/>
        </w:rPr>
        <w:t>32.52</w:t>
      </w:r>
      <w:r w:rsidRPr="004B1A11">
        <w:rPr>
          <w:sz w:val="18"/>
          <w:szCs w:val="18"/>
        </w:rPr>
        <w:t xml:space="preserve"> per hour yielding a benefits multiplier of approximately 1.45. For State and local government employees the wage multiplier is calculated by dividing total compensation for State and local government workers of $</w:t>
      </w:r>
      <w:r>
        <w:rPr>
          <w:sz w:val="18"/>
          <w:szCs w:val="18"/>
        </w:rPr>
        <w:t>63.46</w:t>
      </w:r>
      <w:r w:rsidRPr="004B1A11">
        <w:rPr>
          <w:sz w:val="18"/>
          <w:szCs w:val="18"/>
        </w:rPr>
        <w:t xml:space="preserve"> by Wages and salaries for State and local government workers of $</w:t>
      </w:r>
      <w:r>
        <w:rPr>
          <w:sz w:val="18"/>
          <w:szCs w:val="18"/>
        </w:rPr>
        <w:t>39.22</w:t>
      </w:r>
      <w:r w:rsidRPr="004B1A11">
        <w:rPr>
          <w:sz w:val="18"/>
          <w:szCs w:val="18"/>
        </w:rPr>
        <w:t xml:space="preserve"> per hour yielding a benefits multiplier of approximately 1.6</w:t>
      </w:r>
      <w:r>
        <w:rPr>
          <w:sz w:val="18"/>
          <w:szCs w:val="18"/>
        </w:rPr>
        <w:t>2</w:t>
      </w:r>
      <w:r w:rsidRPr="004B1A11">
        <w:rPr>
          <w:sz w:val="18"/>
          <w:szCs w:val="18"/>
        </w:rPr>
        <w:t>.</w:t>
      </w:r>
    </w:p>
  </w:footnote>
  <w:footnote w:id="4">
    <w:p w:rsidR="00316238" w14:paraId="304F8421" w14:textId="0AEE88E4">
      <w:pPr>
        <w:pStyle w:val="FootnoteText"/>
      </w:pPr>
      <w:r>
        <w:rPr>
          <w:rStyle w:val="FootnoteReference"/>
        </w:rPr>
        <w:footnoteRef/>
      </w:r>
      <w:r>
        <w:t xml:space="preserve"> </w:t>
      </w:r>
      <w:r w:rsidRPr="004B1A11" w:rsidR="00030CFB">
        <w:rPr>
          <w:sz w:val="18"/>
          <w:szCs w:val="18"/>
        </w:rPr>
        <w:t xml:space="preserve">Information on the mean wage rate from the U.S. Department of Labor, Bureau of Labor Statistics is available online at: </w:t>
      </w:r>
      <w:hyperlink r:id="rId2" w:anchor="/industry/000000" w:history="1">
        <w:r w:rsidRPr="00775EA1" w:rsidR="004758D5">
          <w:rPr>
            <w:rStyle w:val="Hyperlink"/>
          </w:rPr>
          <w:t>https://data.bls.gov/oes/#/industry/000000</w:t>
        </w:r>
      </w:hyperlink>
      <w:r w:rsidR="004758D5">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2B0901"/>
    <w:multiLevelType w:val="hybridMultilevel"/>
    <w:tmpl w:val="71BEFE18"/>
    <w:lvl w:ilvl="0">
      <w:start w:val="13"/>
      <w:numFmt w:val="decimal"/>
      <w:lvlText w:val="%1."/>
      <w:lvlJc w:val="left"/>
      <w:pPr>
        <w:tabs>
          <w:tab w:val="num" w:pos="720"/>
        </w:tabs>
        <w:ind w:left="720" w:hanging="420"/>
      </w:pPr>
      <w:rPr>
        <w:rFonts w:hint="default"/>
      </w:rPr>
    </w:lvl>
    <w:lvl w:ilvl="1">
      <w:start w:val="1"/>
      <w:numFmt w:val="lowerLetter"/>
      <w:lvlText w:val="%2."/>
      <w:lvlJc w:val="left"/>
      <w:pPr>
        <w:tabs>
          <w:tab w:val="num" w:pos="1380"/>
        </w:tabs>
        <w:ind w:left="1380" w:hanging="360"/>
      </w:pPr>
      <w:rPr>
        <w:rFonts w:hint="default"/>
      </w:r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1">
    <w:nsid w:val="1D090A14"/>
    <w:multiLevelType w:val="hybridMultilevel"/>
    <w:tmpl w:val="0696E2FC"/>
    <w:lvl w:ilvl="0">
      <w:start w:val="1"/>
      <w:numFmt w:val="bullet"/>
      <w:lvlText w:val=""/>
      <w:lvlJc w:val="left"/>
      <w:pPr>
        <w:tabs>
          <w:tab w:val="num" w:pos="1080"/>
        </w:tabs>
        <w:ind w:left="864" w:hanging="144"/>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29513184"/>
    <w:multiLevelType w:val="hybridMultilevel"/>
    <w:tmpl w:val="BAE22250"/>
    <w:lvl w:ilvl="0">
      <w:start w:val="3"/>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AF81A8C"/>
    <w:multiLevelType w:val="hybridMultilevel"/>
    <w:tmpl w:val="F5A2C9BE"/>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37CC4EEF"/>
    <w:multiLevelType w:val="hybridMultilevel"/>
    <w:tmpl w:val="0696E2FC"/>
    <w:lvl w:ilvl="0">
      <w:start w:val="1"/>
      <w:numFmt w:val="bullet"/>
      <w:lvlText w:val=""/>
      <w:lvlJc w:val="left"/>
      <w:pPr>
        <w:tabs>
          <w:tab w:val="num" w:pos="1080"/>
        </w:tabs>
        <w:ind w:left="864" w:hanging="144"/>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43560C2A"/>
    <w:multiLevelType w:val="hybridMultilevel"/>
    <w:tmpl w:val="83B0924A"/>
    <w:lvl w:ilvl="0">
      <w:start w:val="1"/>
      <w:numFmt w:val="lowerLetter"/>
      <w:lvlText w:val="%1."/>
      <w:lvlJc w:val="left"/>
      <w:pPr>
        <w:ind w:left="960" w:hanging="360"/>
      </w:pPr>
      <w:rPr>
        <w:rFonts w:hint="default"/>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8">
    <w:nsid w:val="49EE04FE"/>
    <w:multiLevelType w:val="hybridMultilevel"/>
    <w:tmpl w:val="0696E2FC"/>
    <w:lvl w:ilvl="0">
      <w:start w:val="1"/>
      <w:numFmt w:val="bullet"/>
      <w:lvlText w:val=""/>
      <w:lvlJc w:val="left"/>
      <w:pPr>
        <w:tabs>
          <w:tab w:val="num" w:pos="1620"/>
        </w:tabs>
        <w:ind w:left="1404" w:hanging="144"/>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56F71A6F"/>
    <w:multiLevelType w:val="hybridMultilevel"/>
    <w:tmpl w:val="A4C6B1C0"/>
    <w:lvl w:ilvl="0">
      <w:start w:val="1"/>
      <w:numFmt w:val="decimal"/>
      <w:lvlText w:val="%1."/>
      <w:lvlJc w:val="left"/>
      <w:pPr>
        <w:tabs>
          <w:tab w:val="num" w:pos="870"/>
        </w:tabs>
        <w:ind w:left="870" w:hanging="36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685B423E"/>
    <w:multiLevelType w:val="hybridMultilevel"/>
    <w:tmpl w:val="3DAAEE7A"/>
    <w:lvl w:ilvl="0">
      <w:start w:val="10"/>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71A63A9D"/>
    <w:multiLevelType w:val="hybridMultilevel"/>
    <w:tmpl w:val="A14ECF7E"/>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8E11A7F"/>
    <w:multiLevelType w:val="hybridMultilevel"/>
    <w:tmpl w:val="3D7E9C1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7B77458B"/>
    <w:multiLevelType w:val="hybridMultilevel"/>
    <w:tmpl w:val="0696E2FC"/>
    <w:lvl w:ilvl="0">
      <w:start w:val="1"/>
      <w:numFmt w:val="bullet"/>
      <w:lvlText w:val=""/>
      <w:lvlJc w:val="left"/>
      <w:pPr>
        <w:tabs>
          <w:tab w:val="num" w:pos="1080"/>
        </w:tabs>
        <w:ind w:left="864" w:hanging="144"/>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7E73689B"/>
    <w:multiLevelType w:val="hybridMultilevel"/>
    <w:tmpl w:val="C624D4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44213830">
    <w:abstractNumId w:val="9"/>
  </w:num>
  <w:num w:numId="2" w16cid:durableId="1417433494">
    <w:abstractNumId w:val="6"/>
  </w:num>
  <w:num w:numId="3" w16cid:durableId="448015517">
    <w:abstractNumId w:val="3"/>
  </w:num>
  <w:num w:numId="4" w16cid:durableId="1410809735">
    <w:abstractNumId w:val="15"/>
  </w:num>
  <w:num w:numId="5" w16cid:durableId="1621912621">
    <w:abstractNumId w:val="1"/>
  </w:num>
  <w:num w:numId="6" w16cid:durableId="598565935">
    <w:abstractNumId w:val="8"/>
  </w:num>
  <w:num w:numId="7" w16cid:durableId="1723285696">
    <w:abstractNumId w:val="5"/>
  </w:num>
  <w:num w:numId="8" w16cid:durableId="203249489">
    <w:abstractNumId w:val="10"/>
  </w:num>
  <w:num w:numId="9" w16cid:durableId="738986970">
    <w:abstractNumId w:val="0"/>
  </w:num>
  <w:num w:numId="10" w16cid:durableId="505676107">
    <w:abstractNumId w:val="13"/>
  </w:num>
  <w:num w:numId="11" w16cid:durableId="306665579">
    <w:abstractNumId w:val="11"/>
  </w:num>
  <w:num w:numId="12" w16cid:durableId="1605772992">
    <w:abstractNumId w:val="4"/>
  </w:num>
  <w:num w:numId="13" w16cid:durableId="841166242">
    <w:abstractNumId w:val="2"/>
  </w:num>
  <w:num w:numId="14" w16cid:durableId="299455661">
    <w:abstractNumId w:val="14"/>
  </w:num>
  <w:num w:numId="15" w16cid:durableId="1558740559">
    <w:abstractNumId w:val="7"/>
  </w:num>
  <w:num w:numId="16" w16cid:durableId="1695181336">
    <w:abstractNumId w:val="16"/>
  </w:num>
  <w:num w:numId="17" w16cid:durableId="10787435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39"/>
    <w:rsid w:val="0000120D"/>
    <w:rsid w:val="00003BD1"/>
    <w:rsid w:val="000063FC"/>
    <w:rsid w:val="00010311"/>
    <w:rsid w:val="00010979"/>
    <w:rsid w:val="00010B7D"/>
    <w:rsid w:val="00014DCA"/>
    <w:rsid w:val="00014F7C"/>
    <w:rsid w:val="00016A57"/>
    <w:rsid w:val="00020610"/>
    <w:rsid w:val="0002071B"/>
    <w:rsid w:val="00021701"/>
    <w:rsid w:val="0002298C"/>
    <w:rsid w:val="00024BCA"/>
    <w:rsid w:val="00026C97"/>
    <w:rsid w:val="00030CFB"/>
    <w:rsid w:val="00030F34"/>
    <w:rsid w:val="000320D1"/>
    <w:rsid w:val="000332CA"/>
    <w:rsid w:val="00033644"/>
    <w:rsid w:val="0003687E"/>
    <w:rsid w:val="00037525"/>
    <w:rsid w:val="000412C5"/>
    <w:rsid w:val="00044629"/>
    <w:rsid w:val="000505AB"/>
    <w:rsid w:val="00052986"/>
    <w:rsid w:val="00060384"/>
    <w:rsid w:val="00064602"/>
    <w:rsid w:val="00072213"/>
    <w:rsid w:val="00072F2D"/>
    <w:rsid w:val="00073215"/>
    <w:rsid w:val="00073D0F"/>
    <w:rsid w:val="00077808"/>
    <w:rsid w:val="000801BE"/>
    <w:rsid w:val="00081062"/>
    <w:rsid w:val="0008377C"/>
    <w:rsid w:val="000837ED"/>
    <w:rsid w:val="00083818"/>
    <w:rsid w:val="00083DBA"/>
    <w:rsid w:val="0008630B"/>
    <w:rsid w:val="0009032C"/>
    <w:rsid w:val="00093B97"/>
    <w:rsid w:val="000A17F2"/>
    <w:rsid w:val="000A4936"/>
    <w:rsid w:val="000A4D35"/>
    <w:rsid w:val="000A6018"/>
    <w:rsid w:val="000A7A56"/>
    <w:rsid w:val="000B0C3D"/>
    <w:rsid w:val="000B2EB7"/>
    <w:rsid w:val="000B663F"/>
    <w:rsid w:val="000B7796"/>
    <w:rsid w:val="000C473C"/>
    <w:rsid w:val="000C52C4"/>
    <w:rsid w:val="000D1296"/>
    <w:rsid w:val="000D1A44"/>
    <w:rsid w:val="000D23AC"/>
    <w:rsid w:val="000D299E"/>
    <w:rsid w:val="000D4DBE"/>
    <w:rsid w:val="000E0572"/>
    <w:rsid w:val="000E3022"/>
    <w:rsid w:val="000E4552"/>
    <w:rsid w:val="000F1EBE"/>
    <w:rsid w:val="000F4423"/>
    <w:rsid w:val="000F55B2"/>
    <w:rsid w:val="000F772E"/>
    <w:rsid w:val="00101568"/>
    <w:rsid w:val="00103242"/>
    <w:rsid w:val="00103274"/>
    <w:rsid w:val="00105A19"/>
    <w:rsid w:val="00106F37"/>
    <w:rsid w:val="001073B1"/>
    <w:rsid w:val="00113C60"/>
    <w:rsid w:val="00114010"/>
    <w:rsid w:val="00116BB8"/>
    <w:rsid w:val="001179B6"/>
    <w:rsid w:val="00117AA3"/>
    <w:rsid w:val="0012366D"/>
    <w:rsid w:val="001236E2"/>
    <w:rsid w:val="00123F8B"/>
    <w:rsid w:val="001300A9"/>
    <w:rsid w:val="00134274"/>
    <w:rsid w:val="00134D64"/>
    <w:rsid w:val="001353AC"/>
    <w:rsid w:val="00137B4F"/>
    <w:rsid w:val="00140550"/>
    <w:rsid w:val="00140613"/>
    <w:rsid w:val="00141677"/>
    <w:rsid w:val="00141E07"/>
    <w:rsid w:val="001502CB"/>
    <w:rsid w:val="0015054F"/>
    <w:rsid w:val="00151267"/>
    <w:rsid w:val="00152605"/>
    <w:rsid w:val="0015470D"/>
    <w:rsid w:val="00155AE9"/>
    <w:rsid w:val="00156752"/>
    <w:rsid w:val="00156E36"/>
    <w:rsid w:val="00157A70"/>
    <w:rsid w:val="00160095"/>
    <w:rsid w:val="00163F12"/>
    <w:rsid w:val="00164DB6"/>
    <w:rsid w:val="0016607C"/>
    <w:rsid w:val="00167345"/>
    <w:rsid w:val="00172476"/>
    <w:rsid w:val="001728C6"/>
    <w:rsid w:val="00174F13"/>
    <w:rsid w:val="00175569"/>
    <w:rsid w:val="00176C6C"/>
    <w:rsid w:val="00180092"/>
    <w:rsid w:val="001807EA"/>
    <w:rsid w:val="0018177D"/>
    <w:rsid w:val="001820ED"/>
    <w:rsid w:val="00182765"/>
    <w:rsid w:val="00182A63"/>
    <w:rsid w:val="00182CBE"/>
    <w:rsid w:val="001839C8"/>
    <w:rsid w:val="00183A1A"/>
    <w:rsid w:val="00183D39"/>
    <w:rsid w:val="0018427E"/>
    <w:rsid w:val="0018660E"/>
    <w:rsid w:val="0018773C"/>
    <w:rsid w:val="00195204"/>
    <w:rsid w:val="00195773"/>
    <w:rsid w:val="00197328"/>
    <w:rsid w:val="00197862"/>
    <w:rsid w:val="001A142B"/>
    <w:rsid w:val="001A2DBE"/>
    <w:rsid w:val="001A39BF"/>
    <w:rsid w:val="001A6190"/>
    <w:rsid w:val="001A69A7"/>
    <w:rsid w:val="001A7207"/>
    <w:rsid w:val="001A793A"/>
    <w:rsid w:val="001B3FB1"/>
    <w:rsid w:val="001B4AE0"/>
    <w:rsid w:val="001B4DBC"/>
    <w:rsid w:val="001B5F8C"/>
    <w:rsid w:val="001B7BAA"/>
    <w:rsid w:val="001C135D"/>
    <w:rsid w:val="001C1EB7"/>
    <w:rsid w:val="001C2815"/>
    <w:rsid w:val="001C2C3F"/>
    <w:rsid w:val="001C6679"/>
    <w:rsid w:val="001D0187"/>
    <w:rsid w:val="001D0A6E"/>
    <w:rsid w:val="001D11E1"/>
    <w:rsid w:val="001D4715"/>
    <w:rsid w:val="001D49C1"/>
    <w:rsid w:val="001D545D"/>
    <w:rsid w:val="001D78DD"/>
    <w:rsid w:val="001E3F00"/>
    <w:rsid w:val="001E5080"/>
    <w:rsid w:val="001E5DA3"/>
    <w:rsid w:val="001F0502"/>
    <w:rsid w:val="001F2E19"/>
    <w:rsid w:val="001F4AF0"/>
    <w:rsid w:val="001F53C0"/>
    <w:rsid w:val="001F5794"/>
    <w:rsid w:val="001F6C21"/>
    <w:rsid w:val="001F7BA1"/>
    <w:rsid w:val="00202DDF"/>
    <w:rsid w:val="00203276"/>
    <w:rsid w:val="0020371C"/>
    <w:rsid w:val="00203AA5"/>
    <w:rsid w:val="00206816"/>
    <w:rsid w:val="00220138"/>
    <w:rsid w:val="0022270D"/>
    <w:rsid w:val="00223C72"/>
    <w:rsid w:val="002253D0"/>
    <w:rsid w:val="00225EFB"/>
    <w:rsid w:val="002273DB"/>
    <w:rsid w:val="00231AF1"/>
    <w:rsid w:val="00232C69"/>
    <w:rsid w:val="00233D68"/>
    <w:rsid w:val="00241E1F"/>
    <w:rsid w:val="002448AC"/>
    <w:rsid w:val="002451E2"/>
    <w:rsid w:val="00245FB5"/>
    <w:rsid w:val="0025243B"/>
    <w:rsid w:val="00253BC5"/>
    <w:rsid w:val="00257EA0"/>
    <w:rsid w:val="002637E5"/>
    <w:rsid w:val="0026549A"/>
    <w:rsid w:val="00276386"/>
    <w:rsid w:val="0027662B"/>
    <w:rsid w:val="00282424"/>
    <w:rsid w:val="00282B61"/>
    <w:rsid w:val="00283B9B"/>
    <w:rsid w:val="00284795"/>
    <w:rsid w:val="00284A64"/>
    <w:rsid w:val="0028675E"/>
    <w:rsid w:val="00290000"/>
    <w:rsid w:val="00293291"/>
    <w:rsid w:val="00295EC6"/>
    <w:rsid w:val="002A02AD"/>
    <w:rsid w:val="002A1F8C"/>
    <w:rsid w:val="002A3B2B"/>
    <w:rsid w:val="002A4B95"/>
    <w:rsid w:val="002A6107"/>
    <w:rsid w:val="002A68A0"/>
    <w:rsid w:val="002B186C"/>
    <w:rsid w:val="002B3B82"/>
    <w:rsid w:val="002B3D34"/>
    <w:rsid w:val="002B414A"/>
    <w:rsid w:val="002B43BA"/>
    <w:rsid w:val="002B5778"/>
    <w:rsid w:val="002B6977"/>
    <w:rsid w:val="002C01E9"/>
    <w:rsid w:val="002D02B7"/>
    <w:rsid w:val="002D0DA1"/>
    <w:rsid w:val="002D14DC"/>
    <w:rsid w:val="002D2B9C"/>
    <w:rsid w:val="002D2DE4"/>
    <w:rsid w:val="002D78AE"/>
    <w:rsid w:val="002E5A7A"/>
    <w:rsid w:val="002E5D97"/>
    <w:rsid w:val="002F19CB"/>
    <w:rsid w:val="002F2F9A"/>
    <w:rsid w:val="002F651B"/>
    <w:rsid w:val="002F73BC"/>
    <w:rsid w:val="0030078B"/>
    <w:rsid w:val="00301138"/>
    <w:rsid w:val="003026A9"/>
    <w:rsid w:val="0030374B"/>
    <w:rsid w:val="00303E66"/>
    <w:rsid w:val="00303E9D"/>
    <w:rsid w:val="00304810"/>
    <w:rsid w:val="00305418"/>
    <w:rsid w:val="00305630"/>
    <w:rsid w:val="003076D8"/>
    <w:rsid w:val="00310B34"/>
    <w:rsid w:val="00310C81"/>
    <w:rsid w:val="00314803"/>
    <w:rsid w:val="00315FB4"/>
    <w:rsid w:val="00316238"/>
    <w:rsid w:val="0031627A"/>
    <w:rsid w:val="0031634A"/>
    <w:rsid w:val="00317B32"/>
    <w:rsid w:val="00320437"/>
    <w:rsid w:val="003228ED"/>
    <w:rsid w:val="00325880"/>
    <w:rsid w:val="00325D44"/>
    <w:rsid w:val="00326497"/>
    <w:rsid w:val="00327145"/>
    <w:rsid w:val="00327B47"/>
    <w:rsid w:val="00327E95"/>
    <w:rsid w:val="00332739"/>
    <w:rsid w:val="003337AD"/>
    <w:rsid w:val="00337435"/>
    <w:rsid w:val="0034006B"/>
    <w:rsid w:val="003415D7"/>
    <w:rsid w:val="003441C5"/>
    <w:rsid w:val="003470E2"/>
    <w:rsid w:val="00347D7F"/>
    <w:rsid w:val="00351B53"/>
    <w:rsid w:val="0035296B"/>
    <w:rsid w:val="0035407A"/>
    <w:rsid w:val="00354B5A"/>
    <w:rsid w:val="00355546"/>
    <w:rsid w:val="00355922"/>
    <w:rsid w:val="003563A3"/>
    <w:rsid w:val="00357FE9"/>
    <w:rsid w:val="00360543"/>
    <w:rsid w:val="00361118"/>
    <w:rsid w:val="00361EE7"/>
    <w:rsid w:val="003662F6"/>
    <w:rsid w:val="00366B0C"/>
    <w:rsid w:val="00372397"/>
    <w:rsid w:val="00372CD7"/>
    <w:rsid w:val="00372ED0"/>
    <w:rsid w:val="003771D6"/>
    <w:rsid w:val="003827FA"/>
    <w:rsid w:val="003850B4"/>
    <w:rsid w:val="003851FA"/>
    <w:rsid w:val="00386622"/>
    <w:rsid w:val="00386F5C"/>
    <w:rsid w:val="00387776"/>
    <w:rsid w:val="003A091C"/>
    <w:rsid w:val="003A2F63"/>
    <w:rsid w:val="003A3ED9"/>
    <w:rsid w:val="003A6739"/>
    <w:rsid w:val="003A6A35"/>
    <w:rsid w:val="003B1C2C"/>
    <w:rsid w:val="003B3662"/>
    <w:rsid w:val="003B469B"/>
    <w:rsid w:val="003B5744"/>
    <w:rsid w:val="003C2AF4"/>
    <w:rsid w:val="003C3EAD"/>
    <w:rsid w:val="003C6924"/>
    <w:rsid w:val="003D0757"/>
    <w:rsid w:val="003D0B26"/>
    <w:rsid w:val="003D3E8D"/>
    <w:rsid w:val="003D5DE5"/>
    <w:rsid w:val="003D7E45"/>
    <w:rsid w:val="003E152D"/>
    <w:rsid w:val="003E1FDE"/>
    <w:rsid w:val="003E6B4D"/>
    <w:rsid w:val="003E7F40"/>
    <w:rsid w:val="003F449B"/>
    <w:rsid w:val="003F68DF"/>
    <w:rsid w:val="003F7CCC"/>
    <w:rsid w:val="00402761"/>
    <w:rsid w:val="00403415"/>
    <w:rsid w:val="00403865"/>
    <w:rsid w:val="00411B3E"/>
    <w:rsid w:val="004129CD"/>
    <w:rsid w:val="00413856"/>
    <w:rsid w:val="00414A8A"/>
    <w:rsid w:val="00416638"/>
    <w:rsid w:val="004166CE"/>
    <w:rsid w:val="00424578"/>
    <w:rsid w:val="004341E2"/>
    <w:rsid w:val="00434902"/>
    <w:rsid w:val="0043774A"/>
    <w:rsid w:val="004401FA"/>
    <w:rsid w:val="004409F3"/>
    <w:rsid w:val="00445021"/>
    <w:rsid w:val="0045430B"/>
    <w:rsid w:val="004549B8"/>
    <w:rsid w:val="0045634A"/>
    <w:rsid w:val="00456841"/>
    <w:rsid w:val="0046181E"/>
    <w:rsid w:val="004622ED"/>
    <w:rsid w:val="00463B66"/>
    <w:rsid w:val="0046431C"/>
    <w:rsid w:val="004646FE"/>
    <w:rsid w:val="00464A0A"/>
    <w:rsid w:val="00465C73"/>
    <w:rsid w:val="00465E3A"/>
    <w:rsid w:val="00466ED3"/>
    <w:rsid w:val="0046759A"/>
    <w:rsid w:val="004758D5"/>
    <w:rsid w:val="004808AD"/>
    <w:rsid w:val="00481209"/>
    <w:rsid w:val="0048310F"/>
    <w:rsid w:val="00483F0C"/>
    <w:rsid w:val="004842F4"/>
    <w:rsid w:val="00493C00"/>
    <w:rsid w:val="00497C91"/>
    <w:rsid w:val="004A4BD3"/>
    <w:rsid w:val="004A5484"/>
    <w:rsid w:val="004A7D5A"/>
    <w:rsid w:val="004B1316"/>
    <w:rsid w:val="004B1A11"/>
    <w:rsid w:val="004B47CC"/>
    <w:rsid w:val="004B4F44"/>
    <w:rsid w:val="004C2E59"/>
    <w:rsid w:val="004C3C74"/>
    <w:rsid w:val="004C4948"/>
    <w:rsid w:val="004C7138"/>
    <w:rsid w:val="004D07C9"/>
    <w:rsid w:val="004D2808"/>
    <w:rsid w:val="004D4B48"/>
    <w:rsid w:val="004D640B"/>
    <w:rsid w:val="004D6AEA"/>
    <w:rsid w:val="004D6E85"/>
    <w:rsid w:val="004E10AB"/>
    <w:rsid w:val="004E1D16"/>
    <w:rsid w:val="004E2DD9"/>
    <w:rsid w:val="004E42E4"/>
    <w:rsid w:val="004E6038"/>
    <w:rsid w:val="004E63A7"/>
    <w:rsid w:val="004E64EB"/>
    <w:rsid w:val="004E6947"/>
    <w:rsid w:val="004F05A2"/>
    <w:rsid w:val="004F1A70"/>
    <w:rsid w:val="004F2D03"/>
    <w:rsid w:val="004F712D"/>
    <w:rsid w:val="00500C54"/>
    <w:rsid w:val="005025EC"/>
    <w:rsid w:val="0050364C"/>
    <w:rsid w:val="00505422"/>
    <w:rsid w:val="005054B2"/>
    <w:rsid w:val="00506A82"/>
    <w:rsid w:val="00512DE1"/>
    <w:rsid w:val="0051593B"/>
    <w:rsid w:val="00516382"/>
    <w:rsid w:val="005175B5"/>
    <w:rsid w:val="0052230A"/>
    <w:rsid w:val="0052599D"/>
    <w:rsid w:val="005271D8"/>
    <w:rsid w:val="00530BB2"/>
    <w:rsid w:val="005331FB"/>
    <w:rsid w:val="00537B0E"/>
    <w:rsid w:val="00541F3A"/>
    <w:rsid w:val="005449A7"/>
    <w:rsid w:val="0055163B"/>
    <w:rsid w:val="00551F6F"/>
    <w:rsid w:val="0055675E"/>
    <w:rsid w:val="00557E34"/>
    <w:rsid w:val="005648C7"/>
    <w:rsid w:val="00564943"/>
    <w:rsid w:val="005649E9"/>
    <w:rsid w:val="005658CB"/>
    <w:rsid w:val="005677C6"/>
    <w:rsid w:val="00577315"/>
    <w:rsid w:val="00584B76"/>
    <w:rsid w:val="005926EA"/>
    <w:rsid w:val="00592840"/>
    <w:rsid w:val="00595749"/>
    <w:rsid w:val="005A0EE6"/>
    <w:rsid w:val="005A1164"/>
    <w:rsid w:val="005A3789"/>
    <w:rsid w:val="005A440F"/>
    <w:rsid w:val="005A654B"/>
    <w:rsid w:val="005A687A"/>
    <w:rsid w:val="005A7382"/>
    <w:rsid w:val="005B0344"/>
    <w:rsid w:val="005B3FF7"/>
    <w:rsid w:val="005B5E8D"/>
    <w:rsid w:val="005B6C84"/>
    <w:rsid w:val="005B78A9"/>
    <w:rsid w:val="005C0255"/>
    <w:rsid w:val="005C0EEE"/>
    <w:rsid w:val="005C153D"/>
    <w:rsid w:val="005C1D3A"/>
    <w:rsid w:val="005C3CD2"/>
    <w:rsid w:val="005C41F4"/>
    <w:rsid w:val="005C6891"/>
    <w:rsid w:val="005C7214"/>
    <w:rsid w:val="005C7F56"/>
    <w:rsid w:val="005D0AFF"/>
    <w:rsid w:val="005D130C"/>
    <w:rsid w:val="005D4A07"/>
    <w:rsid w:val="005D5A4C"/>
    <w:rsid w:val="005D5E55"/>
    <w:rsid w:val="005E21C2"/>
    <w:rsid w:val="005E2FA1"/>
    <w:rsid w:val="005E70C8"/>
    <w:rsid w:val="005F0197"/>
    <w:rsid w:val="005F2CAA"/>
    <w:rsid w:val="005F3014"/>
    <w:rsid w:val="005F72BD"/>
    <w:rsid w:val="005F79C4"/>
    <w:rsid w:val="00600089"/>
    <w:rsid w:val="00600225"/>
    <w:rsid w:val="00600F24"/>
    <w:rsid w:val="006010E1"/>
    <w:rsid w:val="0060271F"/>
    <w:rsid w:val="00610A63"/>
    <w:rsid w:val="00614102"/>
    <w:rsid w:val="006232C1"/>
    <w:rsid w:val="00623B04"/>
    <w:rsid w:val="00623C10"/>
    <w:rsid w:val="00624F73"/>
    <w:rsid w:val="00633DA0"/>
    <w:rsid w:val="006346AE"/>
    <w:rsid w:val="006364E7"/>
    <w:rsid w:val="006377A7"/>
    <w:rsid w:val="00643647"/>
    <w:rsid w:val="00643DB7"/>
    <w:rsid w:val="00645363"/>
    <w:rsid w:val="00645EB7"/>
    <w:rsid w:val="0064699E"/>
    <w:rsid w:val="00651BF3"/>
    <w:rsid w:val="006540F6"/>
    <w:rsid w:val="00656BB2"/>
    <w:rsid w:val="00657DD5"/>
    <w:rsid w:val="00661114"/>
    <w:rsid w:val="00662E6B"/>
    <w:rsid w:val="00664FBA"/>
    <w:rsid w:val="0066565B"/>
    <w:rsid w:val="00667C77"/>
    <w:rsid w:val="0067033B"/>
    <w:rsid w:val="00671720"/>
    <w:rsid w:val="00672018"/>
    <w:rsid w:val="00673158"/>
    <w:rsid w:val="006743F8"/>
    <w:rsid w:val="00674ED8"/>
    <w:rsid w:val="00677293"/>
    <w:rsid w:val="00677832"/>
    <w:rsid w:val="00677CAD"/>
    <w:rsid w:val="00680567"/>
    <w:rsid w:val="006824C6"/>
    <w:rsid w:val="006836AE"/>
    <w:rsid w:val="00683BDB"/>
    <w:rsid w:val="00684225"/>
    <w:rsid w:val="00685A3A"/>
    <w:rsid w:val="00686CA9"/>
    <w:rsid w:val="006932DA"/>
    <w:rsid w:val="00695437"/>
    <w:rsid w:val="00696AE8"/>
    <w:rsid w:val="00697456"/>
    <w:rsid w:val="00697557"/>
    <w:rsid w:val="006A1020"/>
    <w:rsid w:val="006A12F8"/>
    <w:rsid w:val="006A1612"/>
    <w:rsid w:val="006A375E"/>
    <w:rsid w:val="006A4787"/>
    <w:rsid w:val="006A6154"/>
    <w:rsid w:val="006A67DF"/>
    <w:rsid w:val="006A6FA9"/>
    <w:rsid w:val="006A7729"/>
    <w:rsid w:val="006B296C"/>
    <w:rsid w:val="006B4E21"/>
    <w:rsid w:val="006B5CAC"/>
    <w:rsid w:val="006B7DE7"/>
    <w:rsid w:val="006C04FF"/>
    <w:rsid w:val="006C3254"/>
    <w:rsid w:val="006C3CE3"/>
    <w:rsid w:val="006C4463"/>
    <w:rsid w:val="006C5E4A"/>
    <w:rsid w:val="006C6989"/>
    <w:rsid w:val="006C7697"/>
    <w:rsid w:val="006D0BA1"/>
    <w:rsid w:val="006D5E49"/>
    <w:rsid w:val="006D6DC5"/>
    <w:rsid w:val="006E24AC"/>
    <w:rsid w:val="006E25DA"/>
    <w:rsid w:val="006E4F0E"/>
    <w:rsid w:val="006F2F9E"/>
    <w:rsid w:val="006F410C"/>
    <w:rsid w:val="006F447E"/>
    <w:rsid w:val="006F49E8"/>
    <w:rsid w:val="00700AA8"/>
    <w:rsid w:val="007020E4"/>
    <w:rsid w:val="00703100"/>
    <w:rsid w:val="00704398"/>
    <w:rsid w:val="0070457B"/>
    <w:rsid w:val="00704980"/>
    <w:rsid w:val="00704D76"/>
    <w:rsid w:val="00706892"/>
    <w:rsid w:val="007115D3"/>
    <w:rsid w:val="00712C02"/>
    <w:rsid w:val="007148B0"/>
    <w:rsid w:val="007206AE"/>
    <w:rsid w:val="0072113B"/>
    <w:rsid w:val="00723482"/>
    <w:rsid w:val="007263B4"/>
    <w:rsid w:val="0073009B"/>
    <w:rsid w:val="007310E2"/>
    <w:rsid w:val="0073734A"/>
    <w:rsid w:val="00740188"/>
    <w:rsid w:val="007404A1"/>
    <w:rsid w:val="00740F51"/>
    <w:rsid w:val="007450F6"/>
    <w:rsid w:val="00751F45"/>
    <w:rsid w:val="007559B4"/>
    <w:rsid w:val="00756A89"/>
    <w:rsid w:val="00757667"/>
    <w:rsid w:val="0075791B"/>
    <w:rsid w:val="00761BFF"/>
    <w:rsid w:val="007621E8"/>
    <w:rsid w:val="00763992"/>
    <w:rsid w:val="00764B20"/>
    <w:rsid w:val="007672DB"/>
    <w:rsid w:val="00767B43"/>
    <w:rsid w:val="00771882"/>
    <w:rsid w:val="00772A0C"/>
    <w:rsid w:val="00773A93"/>
    <w:rsid w:val="00775A3B"/>
    <w:rsid w:val="00775EA1"/>
    <w:rsid w:val="007763D0"/>
    <w:rsid w:val="00776A14"/>
    <w:rsid w:val="00776D19"/>
    <w:rsid w:val="007807C9"/>
    <w:rsid w:val="00781C1D"/>
    <w:rsid w:val="00785A39"/>
    <w:rsid w:val="00787483"/>
    <w:rsid w:val="0078797A"/>
    <w:rsid w:val="00787EFF"/>
    <w:rsid w:val="00792228"/>
    <w:rsid w:val="007A6B05"/>
    <w:rsid w:val="007A761E"/>
    <w:rsid w:val="007B15F5"/>
    <w:rsid w:val="007B6491"/>
    <w:rsid w:val="007C2C26"/>
    <w:rsid w:val="007D6CC6"/>
    <w:rsid w:val="007E2A98"/>
    <w:rsid w:val="007E520B"/>
    <w:rsid w:val="007E6A98"/>
    <w:rsid w:val="007E7036"/>
    <w:rsid w:val="007F23D2"/>
    <w:rsid w:val="007F294A"/>
    <w:rsid w:val="007F2C6E"/>
    <w:rsid w:val="007F3377"/>
    <w:rsid w:val="007F6D01"/>
    <w:rsid w:val="00800E70"/>
    <w:rsid w:val="0080147D"/>
    <w:rsid w:val="008021B0"/>
    <w:rsid w:val="008032EF"/>
    <w:rsid w:val="00805896"/>
    <w:rsid w:val="008058C0"/>
    <w:rsid w:val="008119FD"/>
    <w:rsid w:val="00814646"/>
    <w:rsid w:val="00814BE9"/>
    <w:rsid w:val="0081700D"/>
    <w:rsid w:val="0082116E"/>
    <w:rsid w:val="00821D4C"/>
    <w:rsid w:val="00822811"/>
    <w:rsid w:val="0082736D"/>
    <w:rsid w:val="00833BD5"/>
    <w:rsid w:val="0083693F"/>
    <w:rsid w:val="00842C21"/>
    <w:rsid w:val="00842E74"/>
    <w:rsid w:val="008453CA"/>
    <w:rsid w:val="00845EDC"/>
    <w:rsid w:val="008462C3"/>
    <w:rsid w:val="008463EA"/>
    <w:rsid w:val="0085077B"/>
    <w:rsid w:val="00850C7F"/>
    <w:rsid w:val="00852056"/>
    <w:rsid w:val="0085219F"/>
    <w:rsid w:val="008526C6"/>
    <w:rsid w:val="00852816"/>
    <w:rsid w:val="00853D17"/>
    <w:rsid w:val="0085560A"/>
    <w:rsid w:val="00857B45"/>
    <w:rsid w:val="0087045D"/>
    <w:rsid w:val="0087293A"/>
    <w:rsid w:val="00872BBC"/>
    <w:rsid w:val="00872FBA"/>
    <w:rsid w:val="00876F47"/>
    <w:rsid w:val="0087717F"/>
    <w:rsid w:val="00877531"/>
    <w:rsid w:val="0088086D"/>
    <w:rsid w:val="008808DD"/>
    <w:rsid w:val="00881E3A"/>
    <w:rsid w:val="00882FF9"/>
    <w:rsid w:val="00883BF5"/>
    <w:rsid w:val="00883EA7"/>
    <w:rsid w:val="00890881"/>
    <w:rsid w:val="008922AE"/>
    <w:rsid w:val="0089255B"/>
    <w:rsid w:val="00892C7F"/>
    <w:rsid w:val="00894BE1"/>
    <w:rsid w:val="00895CF2"/>
    <w:rsid w:val="008A37C7"/>
    <w:rsid w:val="008A3C56"/>
    <w:rsid w:val="008A4805"/>
    <w:rsid w:val="008B01D5"/>
    <w:rsid w:val="008B10FE"/>
    <w:rsid w:val="008B189B"/>
    <w:rsid w:val="008B2C14"/>
    <w:rsid w:val="008B4C8C"/>
    <w:rsid w:val="008B6E59"/>
    <w:rsid w:val="008C296A"/>
    <w:rsid w:val="008C56BD"/>
    <w:rsid w:val="008D08F6"/>
    <w:rsid w:val="008D1E6D"/>
    <w:rsid w:val="008D27C0"/>
    <w:rsid w:val="008D36FE"/>
    <w:rsid w:val="008D76B8"/>
    <w:rsid w:val="008E657E"/>
    <w:rsid w:val="008E6814"/>
    <w:rsid w:val="008E79AB"/>
    <w:rsid w:val="008F0164"/>
    <w:rsid w:val="008F1AEF"/>
    <w:rsid w:val="008F39E0"/>
    <w:rsid w:val="008F5344"/>
    <w:rsid w:val="0090045D"/>
    <w:rsid w:val="0090080C"/>
    <w:rsid w:val="009037B0"/>
    <w:rsid w:val="009040E4"/>
    <w:rsid w:val="0090478D"/>
    <w:rsid w:val="00910F03"/>
    <w:rsid w:val="00912301"/>
    <w:rsid w:val="009139B5"/>
    <w:rsid w:val="00913E19"/>
    <w:rsid w:val="00916434"/>
    <w:rsid w:val="00920A21"/>
    <w:rsid w:val="009216DA"/>
    <w:rsid w:val="00922517"/>
    <w:rsid w:val="00922A7F"/>
    <w:rsid w:val="00924CF4"/>
    <w:rsid w:val="0092603C"/>
    <w:rsid w:val="00927478"/>
    <w:rsid w:val="00930CD1"/>
    <w:rsid w:val="00934767"/>
    <w:rsid w:val="0093589A"/>
    <w:rsid w:val="00936956"/>
    <w:rsid w:val="00936ADB"/>
    <w:rsid w:val="009375F4"/>
    <w:rsid w:val="00940EAA"/>
    <w:rsid w:val="009417B3"/>
    <w:rsid w:val="0094233D"/>
    <w:rsid w:val="00942E19"/>
    <w:rsid w:val="00944AE8"/>
    <w:rsid w:val="00944CDE"/>
    <w:rsid w:val="009462D2"/>
    <w:rsid w:val="00947C52"/>
    <w:rsid w:val="0095081D"/>
    <w:rsid w:val="00954AD7"/>
    <w:rsid w:val="00955E1E"/>
    <w:rsid w:val="00956D5F"/>
    <w:rsid w:val="00956D80"/>
    <w:rsid w:val="009577EB"/>
    <w:rsid w:val="00957D76"/>
    <w:rsid w:val="00960390"/>
    <w:rsid w:val="009605F8"/>
    <w:rsid w:val="0096487E"/>
    <w:rsid w:val="009649CB"/>
    <w:rsid w:val="009719C2"/>
    <w:rsid w:val="00973F3A"/>
    <w:rsid w:val="00974EA8"/>
    <w:rsid w:val="00980B6A"/>
    <w:rsid w:val="009865BC"/>
    <w:rsid w:val="009871D7"/>
    <w:rsid w:val="00990903"/>
    <w:rsid w:val="009925CC"/>
    <w:rsid w:val="00993489"/>
    <w:rsid w:val="00993F9D"/>
    <w:rsid w:val="00996BAF"/>
    <w:rsid w:val="00996C42"/>
    <w:rsid w:val="00996E88"/>
    <w:rsid w:val="009976C9"/>
    <w:rsid w:val="00997C68"/>
    <w:rsid w:val="00997CA7"/>
    <w:rsid w:val="009A1B79"/>
    <w:rsid w:val="009A23A9"/>
    <w:rsid w:val="009A4DE9"/>
    <w:rsid w:val="009A4F9C"/>
    <w:rsid w:val="009B088E"/>
    <w:rsid w:val="009B26A8"/>
    <w:rsid w:val="009B2B2F"/>
    <w:rsid w:val="009B4798"/>
    <w:rsid w:val="009B4E88"/>
    <w:rsid w:val="009B4E96"/>
    <w:rsid w:val="009B69D3"/>
    <w:rsid w:val="009B6DF7"/>
    <w:rsid w:val="009B76DD"/>
    <w:rsid w:val="009C13FB"/>
    <w:rsid w:val="009D1BC2"/>
    <w:rsid w:val="009D3030"/>
    <w:rsid w:val="009D37E5"/>
    <w:rsid w:val="009D59D6"/>
    <w:rsid w:val="009D5DB7"/>
    <w:rsid w:val="009D7DF2"/>
    <w:rsid w:val="009E32F5"/>
    <w:rsid w:val="009E477C"/>
    <w:rsid w:val="009E57EA"/>
    <w:rsid w:val="009E69A7"/>
    <w:rsid w:val="009F2678"/>
    <w:rsid w:val="009F37C2"/>
    <w:rsid w:val="009F46CE"/>
    <w:rsid w:val="009F6C63"/>
    <w:rsid w:val="009F725F"/>
    <w:rsid w:val="00A00243"/>
    <w:rsid w:val="00A01036"/>
    <w:rsid w:val="00A01AF0"/>
    <w:rsid w:val="00A03F6F"/>
    <w:rsid w:val="00A04797"/>
    <w:rsid w:val="00A06B55"/>
    <w:rsid w:val="00A1060F"/>
    <w:rsid w:val="00A12A2E"/>
    <w:rsid w:val="00A1530B"/>
    <w:rsid w:val="00A21D22"/>
    <w:rsid w:val="00A2225B"/>
    <w:rsid w:val="00A236D1"/>
    <w:rsid w:val="00A301CF"/>
    <w:rsid w:val="00A31397"/>
    <w:rsid w:val="00A319AE"/>
    <w:rsid w:val="00A33E7C"/>
    <w:rsid w:val="00A35A47"/>
    <w:rsid w:val="00A37286"/>
    <w:rsid w:val="00A41026"/>
    <w:rsid w:val="00A41375"/>
    <w:rsid w:val="00A420B8"/>
    <w:rsid w:val="00A425EE"/>
    <w:rsid w:val="00A520C4"/>
    <w:rsid w:val="00A52C45"/>
    <w:rsid w:val="00A543D4"/>
    <w:rsid w:val="00A55272"/>
    <w:rsid w:val="00A57564"/>
    <w:rsid w:val="00A643EA"/>
    <w:rsid w:val="00A6587B"/>
    <w:rsid w:val="00A659C8"/>
    <w:rsid w:val="00A6674B"/>
    <w:rsid w:val="00A71ABA"/>
    <w:rsid w:val="00A80EEB"/>
    <w:rsid w:val="00A81984"/>
    <w:rsid w:val="00A821CD"/>
    <w:rsid w:val="00A861AB"/>
    <w:rsid w:val="00A910F8"/>
    <w:rsid w:val="00A9474C"/>
    <w:rsid w:val="00AA148D"/>
    <w:rsid w:val="00AA1D57"/>
    <w:rsid w:val="00AA1F8B"/>
    <w:rsid w:val="00AA5603"/>
    <w:rsid w:val="00AA7ED2"/>
    <w:rsid w:val="00AB457E"/>
    <w:rsid w:val="00AB47BD"/>
    <w:rsid w:val="00AB4FC4"/>
    <w:rsid w:val="00AC0FCE"/>
    <w:rsid w:val="00AC205C"/>
    <w:rsid w:val="00AC2CC0"/>
    <w:rsid w:val="00AC3D14"/>
    <w:rsid w:val="00AC3D65"/>
    <w:rsid w:val="00AC5BB8"/>
    <w:rsid w:val="00AC69DE"/>
    <w:rsid w:val="00AC6E70"/>
    <w:rsid w:val="00AD0F74"/>
    <w:rsid w:val="00AD661A"/>
    <w:rsid w:val="00AD6B24"/>
    <w:rsid w:val="00AD6F9C"/>
    <w:rsid w:val="00AD71DC"/>
    <w:rsid w:val="00AE00E8"/>
    <w:rsid w:val="00AE2E3D"/>
    <w:rsid w:val="00AF1BC7"/>
    <w:rsid w:val="00AF70A0"/>
    <w:rsid w:val="00B02F3E"/>
    <w:rsid w:val="00B05348"/>
    <w:rsid w:val="00B058C1"/>
    <w:rsid w:val="00B07DF9"/>
    <w:rsid w:val="00B104B7"/>
    <w:rsid w:val="00B11DB4"/>
    <w:rsid w:val="00B128A5"/>
    <w:rsid w:val="00B12D33"/>
    <w:rsid w:val="00B14C40"/>
    <w:rsid w:val="00B17445"/>
    <w:rsid w:val="00B249B0"/>
    <w:rsid w:val="00B24F40"/>
    <w:rsid w:val="00B2538E"/>
    <w:rsid w:val="00B258A0"/>
    <w:rsid w:val="00B3083F"/>
    <w:rsid w:val="00B31108"/>
    <w:rsid w:val="00B3334F"/>
    <w:rsid w:val="00B33817"/>
    <w:rsid w:val="00B3434E"/>
    <w:rsid w:val="00B360CD"/>
    <w:rsid w:val="00B3669D"/>
    <w:rsid w:val="00B3672E"/>
    <w:rsid w:val="00B37E84"/>
    <w:rsid w:val="00B40AA9"/>
    <w:rsid w:val="00B43748"/>
    <w:rsid w:val="00B46321"/>
    <w:rsid w:val="00B52A32"/>
    <w:rsid w:val="00B53CA0"/>
    <w:rsid w:val="00B56058"/>
    <w:rsid w:val="00B61285"/>
    <w:rsid w:val="00B62033"/>
    <w:rsid w:val="00B62B66"/>
    <w:rsid w:val="00B62EED"/>
    <w:rsid w:val="00B63E57"/>
    <w:rsid w:val="00B6411D"/>
    <w:rsid w:val="00B64D49"/>
    <w:rsid w:val="00B666DB"/>
    <w:rsid w:val="00B70AC2"/>
    <w:rsid w:val="00B720A2"/>
    <w:rsid w:val="00B73A6F"/>
    <w:rsid w:val="00B749B0"/>
    <w:rsid w:val="00B75858"/>
    <w:rsid w:val="00B77E9C"/>
    <w:rsid w:val="00B85660"/>
    <w:rsid w:val="00B86E2C"/>
    <w:rsid w:val="00B870AD"/>
    <w:rsid w:val="00B908A3"/>
    <w:rsid w:val="00B92CB8"/>
    <w:rsid w:val="00B92EDC"/>
    <w:rsid w:val="00B956BE"/>
    <w:rsid w:val="00B979EC"/>
    <w:rsid w:val="00BA11D6"/>
    <w:rsid w:val="00BA141C"/>
    <w:rsid w:val="00BA779D"/>
    <w:rsid w:val="00BA7857"/>
    <w:rsid w:val="00BB1AAF"/>
    <w:rsid w:val="00BB2CA1"/>
    <w:rsid w:val="00BB6558"/>
    <w:rsid w:val="00BB6D2E"/>
    <w:rsid w:val="00BB75CF"/>
    <w:rsid w:val="00BC0DE9"/>
    <w:rsid w:val="00BC159C"/>
    <w:rsid w:val="00BC555D"/>
    <w:rsid w:val="00BC622F"/>
    <w:rsid w:val="00BC65FC"/>
    <w:rsid w:val="00BC69B9"/>
    <w:rsid w:val="00BD37B0"/>
    <w:rsid w:val="00BD6C23"/>
    <w:rsid w:val="00BD7D79"/>
    <w:rsid w:val="00BE1160"/>
    <w:rsid w:val="00BE3228"/>
    <w:rsid w:val="00BE3494"/>
    <w:rsid w:val="00BE57C4"/>
    <w:rsid w:val="00BF19EE"/>
    <w:rsid w:val="00BF2C21"/>
    <w:rsid w:val="00BF3B83"/>
    <w:rsid w:val="00BF4DF2"/>
    <w:rsid w:val="00C03DEE"/>
    <w:rsid w:val="00C06D1A"/>
    <w:rsid w:val="00C1497A"/>
    <w:rsid w:val="00C170F3"/>
    <w:rsid w:val="00C201AE"/>
    <w:rsid w:val="00C20A70"/>
    <w:rsid w:val="00C216CB"/>
    <w:rsid w:val="00C216D8"/>
    <w:rsid w:val="00C21D83"/>
    <w:rsid w:val="00C2629C"/>
    <w:rsid w:val="00C313FA"/>
    <w:rsid w:val="00C3147A"/>
    <w:rsid w:val="00C317A5"/>
    <w:rsid w:val="00C31BF5"/>
    <w:rsid w:val="00C32E45"/>
    <w:rsid w:val="00C33AED"/>
    <w:rsid w:val="00C36F3F"/>
    <w:rsid w:val="00C3769E"/>
    <w:rsid w:val="00C37F23"/>
    <w:rsid w:val="00C40FD3"/>
    <w:rsid w:val="00C430D8"/>
    <w:rsid w:val="00C45EC7"/>
    <w:rsid w:val="00C469AA"/>
    <w:rsid w:val="00C509CF"/>
    <w:rsid w:val="00C5229C"/>
    <w:rsid w:val="00C57A3B"/>
    <w:rsid w:val="00C633DB"/>
    <w:rsid w:val="00C6579B"/>
    <w:rsid w:val="00C66FDC"/>
    <w:rsid w:val="00C67345"/>
    <w:rsid w:val="00C718A5"/>
    <w:rsid w:val="00C72174"/>
    <w:rsid w:val="00C730F4"/>
    <w:rsid w:val="00C73916"/>
    <w:rsid w:val="00C77B8B"/>
    <w:rsid w:val="00C80338"/>
    <w:rsid w:val="00C8073A"/>
    <w:rsid w:val="00C823B3"/>
    <w:rsid w:val="00C872CB"/>
    <w:rsid w:val="00C91393"/>
    <w:rsid w:val="00C9140E"/>
    <w:rsid w:val="00C91CDC"/>
    <w:rsid w:val="00C94212"/>
    <w:rsid w:val="00C958F8"/>
    <w:rsid w:val="00C95DDA"/>
    <w:rsid w:val="00C97861"/>
    <w:rsid w:val="00CB06C3"/>
    <w:rsid w:val="00CB06DC"/>
    <w:rsid w:val="00CB1650"/>
    <w:rsid w:val="00CB2C75"/>
    <w:rsid w:val="00CB30EC"/>
    <w:rsid w:val="00CB49A4"/>
    <w:rsid w:val="00CB670F"/>
    <w:rsid w:val="00CC78CE"/>
    <w:rsid w:val="00CD0CD6"/>
    <w:rsid w:val="00CD15A8"/>
    <w:rsid w:val="00CD368D"/>
    <w:rsid w:val="00CE3721"/>
    <w:rsid w:val="00CE46FF"/>
    <w:rsid w:val="00CF381B"/>
    <w:rsid w:val="00CF3FA6"/>
    <w:rsid w:val="00CF7551"/>
    <w:rsid w:val="00D003AA"/>
    <w:rsid w:val="00D00647"/>
    <w:rsid w:val="00D03223"/>
    <w:rsid w:val="00D03C8B"/>
    <w:rsid w:val="00D04356"/>
    <w:rsid w:val="00D04979"/>
    <w:rsid w:val="00D057CD"/>
    <w:rsid w:val="00D05A41"/>
    <w:rsid w:val="00D117B0"/>
    <w:rsid w:val="00D15642"/>
    <w:rsid w:val="00D15730"/>
    <w:rsid w:val="00D158A9"/>
    <w:rsid w:val="00D27FFA"/>
    <w:rsid w:val="00D33E9D"/>
    <w:rsid w:val="00D345F1"/>
    <w:rsid w:val="00D34D5C"/>
    <w:rsid w:val="00D35465"/>
    <w:rsid w:val="00D40EA4"/>
    <w:rsid w:val="00D45A27"/>
    <w:rsid w:val="00D46F9D"/>
    <w:rsid w:val="00D55AC2"/>
    <w:rsid w:val="00D56C50"/>
    <w:rsid w:val="00D61F7A"/>
    <w:rsid w:val="00D651AF"/>
    <w:rsid w:val="00D66874"/>
    <w:rsid w:val="00D6745D"/>
    <w:rsid w:val="00D72859"/>
    <w:rsid w:val="00D80BEF"/>
    <w:rsid w:val="00D81C0B"/>
    <w:rsid w:val="00D857ED"/>
    <w:rsid w:val="00D861F7"/>
    <w:rsid w:val="00D90269"/>
    <w:rsid w:val="00D90BAF"/>
    <w:rsid w:val="00D91FB1"/>
    <w:rsid w:val="00D9278A"/>
    <w:rsid w:val="00D951D4"/>
    <w:rsid w:val="00D956F6"/>
    <w:rsid w:val="00DA278F"/>
    <w:rsid w:val="00DA48B7"/>
    <w:rsid w:val="00DA50BB"/>
    <w:rsid w:val="00DA72BA"/>
    <w:rsid w:val="00DB084D"/>
    <w:rsid w:val="00DB0CDB"/>
    <w:rsid w:val="00DB24DA"/>
    <w:rsid w:val="00DB3B91"/>
    <w:rsid w:val="00DB5B61"/>
    <w:rsid w:val="00DB6E52"/>
    <w:rsid w:val="00DC0A34"/>
    <w:rsid w:val="00DC3022"/>
    <w:rsid w:val="00DC35FF"/>
    <w:rsid w:val="00DD0BCE"/>
    <w:rsid w:val="00DD0ED0"/>
    <w:rsid w:val="00DD1AB6"/>
    <w:rsid w:val="00DD27E6"/>
    <w:rsid w:val="00DD2E3B"/>
    <w:rsid w:val="00DD31C2"/>
    <w:rsid w:val="00DD3543"/>
    <w:rsid w:val="00DD5A36"/>
    <w:rsid w:val="00DE0C43"/>
    <w:rsid w:val="00DE10CA"/>
    <w:rsid w:val="00DE1906"/>
    <w:rsid w:val="00DE36A5"/>
    <w:rsid w:val="00DE6C82"/>
    <w:rsid w:val="00DE7B63"/>
    <w:rsid w:val="00DF1105"/>
    <w:rsid w:val="00DF1B53"/>
    <w:rsid w:val="00DF6BEC"/>
    <w:rsid w:val="00DF6F9A"/>
    <w:rsid w:val="00E014CA"/>
    <w:rsid w:val="00E0354C"/>
    <w:rsid w:val="00E05536"/>
    <w:rsid w:val="00E064B9"/>
    <w:rsid w:val="00E10B92"/>
    <w:rsid w:val="00E13E97"/>
    <w:rsid w:val="00E17F69"/>
    <w:rsid w:val="00E202DC"/>
    <w:rsid w:val="00E20330"/>
    <w:rsid w:val="00E21F1B"/>
    <w:rsid w:val="00E264B3"/>
    <w:rsid w:val="00E26B3D"/>
    <w:rsid w:val="00E27C53"/>
    <w:rsid w:val="00E305D3"/>
    <w:rsid w:val="00E30CA2"/>
    <w:rsid w:val="00E31DA6"/>
    <w:rsid w:val="00E35E27"/>
    <w:rsid w:val="00E35FFB"/>
    <w:rsid w:val="00E43429"/>
    <w:rsid w:val="00E51BFE"/>
    <w:rsid w:val="00E56772"/>
    <w:rsid w:val="00E571C6"/>
    <w:rsid w:val="00E57C4F"/>
    <w:rsid w:val="00E61C7D"/>
    <w:rsid w:val="00E64C40"/>
    <w:rsid w:val="00E64EAA"/>
    <w:rsid w:val="00E6515C"/>
    <w:rsid w:val="00E66E69"/>
    <w:rsid w:val="00E66F50"/>
    <w:rsid w:val="00E70395"/>
    <w:rsid w:val="00E7182F"/>
    <w:rsid w:val="00E75067"/>
    <w:rsid w:val="00E75150"/>
    <w:rsid w:val="00E753E8"/>
    <w:rsid w:val="00E766A9"/>
    <w:rsid w:val="00E766E9"/>
    <w:rsid w:val="00E85166"/>
    <w:rsid w:val="00E863D5"/>
    <w:rsid w:val="00E86965"/>
    <w:rsid w:val="00E87ACB"/>
    <w:rsid w:val="00E9722E"/>
    <w:rsid w:val="00E978AD"/>
    <w:rsid w:val="00EA1A7C"/>
    <w:rsid w:val="00EA26CE"/>
    <w:rsid w:val="00EA39F0"/>
    <w:rsid w:val="00EB11E5"/>
    <w:rsid w:val="00EB591C"/>
    <w:rsid w:val="00EB737E"/>
    <w:rsid w:val="00EC2E4A"/>
    <w:rsid w:val="00EC34DB"/>
    <w:rsid w:val="00EC706B"/>
    <w:rsid w:val="00ED24C1"/>
    <w:rsid w:val="00ED2B9E"/>
    <w:rsid w:val="00EE0649"/>
    <w:rsid w:val="00EE3B56"/>
    <w:rsid w:val="00EE42A0"/>
    <w:rsid w:val="00EF664A"/>
    <w:rsid w:val="00EF77B8"/>
    <w:rsid w:val="00F00C47"/>
    <w:rsid w:val="00F02C54"/>
    <w:rsid w:val="00F02EF1"/>
    <w:rsid w:val="00F0447B"/>
    <w:rsid w:val="00F06E74"/>
    <w:rsid w:val="00F1577C"/>
    <w:rsid w:val="00F209AA"/>
    <w:rsid w:val="00F23C73"/>
    <w:rsid w:val="00F26E1C"/>
    <w:rsid w:val="00F274AD"/>
    <w:rsid w:val="00F31CD1"/>
    <w:rsid w:val="00F350B5"/>
    <w:rsid w:val="00F37B0E"/>
    <w:rsid w:val="00F446B9"/>
    <w:rsid w:val="00F4658E"/>
    <w:rsid w:val="00F505BE"/>
    <w:rsid w:val="00F51159"/>
    <w:rsid w:val="00F56584"/>
    <w:rsid w:val="00F57BFE"/>
    <w:rsid w:val="00F63636"/>
    <w:rsid w:val="00F642D5"/>
    <w:rsid w:val="00F866B6"/>
    <w:rsid w:val="00F873D7"/>
    <w:rsid w:val="00F878F5"/>
    <w:rsid w:val="00F91F7D"/>
    <w:rsid w:val="00F92018"/>
    <w:rsid w:val="00F926C4"/>
    <w:rsid w:val="00F94BC0"/>
    <w:rsid w:val="00F969E5"/>
    <w:rsid w:val="00FA08C6"/>
    <w:rsid w:val="00FA0ACA"/>
    <w:rsid w:val="00FA20A6"/>
    <w:rsid w:val="00FA45F8"/>
    <w:rsid w:val="00FA5426"/>
    <w:rsid w:val="00FA7BB4"/>
    <w:rsid w:val="00FB1176"/>
    <w:rsid w:val="00FB135B"/>
    <w:rsid w:val="00FB2514"/>
    <w:rsid w:val="00FB459F"/>
    <w:rsid w:val="00FC182A"/>
    <w:rsid w:val="00FC1E4E"/>
    <w:rsid w:val="00FC2E9D"/>
    <w:rsid w:val="00FC32F3"/>
    <w:rsid w:val="00FC427A"/>
    <w:rsid w:val="00FC4456"/>
    <w:rsid w:val="00FC6D8A"/>
    <w:rsid w:val="00FC7791"/>
    <w:rsid w:val="00FD2E4D"/>
    <w:rsid w:val="00FD5F0C"/>
    <w:rsid w:val="00FD6C8B"/>
    <w:rsid w:val="00FE1C6F"/>
    <w:rsid w:val="00FE2630"/>
    <w:rsid w:val="00FE2ECD"/>
    <w:rsid w:val="00FE4CB4"/>
    <w:rsid w:val="00FF2AA6"/>
    <w:rsid w:val="00FF3106"/>
    <w:rsid w:val="00FF322E"/>
    <w:rsid w:val="00FF51DD"/>
    <w:rsid w:val="01716CBB"/>
    <w:rsid w:val="029A3BF7"/>
    <w:rsid w:val="02F84C62"/>
    <w:rsid w:val="038FFE72"/>
    <w:rsid w:val="0473AE34"/>
    <w:rsid w:val="04A45431"/>
    <w:rsid w:val="04B46018"/>
    <w:rsid w:val="04D8788F"/>
    <w:rsid w:val="052928F2"/>
    <w:rsid w:val="05FADE0A"/>
    <w:rsid w:val="066E5C17"/>
    <w:rsid w:val="06C4F953"/>
    <w:rsid w:val="06DFE818"/>
    <w:rsid w:val="0771A4CE"/>
    <w:rsid w:val="08077416"/>
    <w:rsid w:val="08C74FD9"/>
    <w:rsid w:val="091F8E44"/>
    <w:rsid w:val="093610CB"/>
    <w:rsid w:val="0B8B1758"/>
    <w:rsid w:val="0D091181"/>
    <w:rsid w:val="0D0DF6CF"/>
    <w:rsid w:val="0D5E28BB"/>
    <w:rsid w:val="0DC29630"/>
    <w:rsid w:val="0E50034A"/>
    <w:rsid w:val="0EE4DF5D"/>
    <w:rsid w:val="1083E32C"/>
    <w:rsid w:val="10D29738"/>
    <w:rsid w:val="110C93F4"/>
    <w:rsid w:val="11287143"/>
    <w:rsid w:val="115F74FF"/>
    <w:rsid w:val="1261F84A"/>
    <w:rsid w:val="127ADF44"/>
    <w:rsid w:val="12AA2ABD"/>
    <w:rsid w:val="12C8DD8C"/>
    <w:rsid w:val="12E51CC8"/>
    <w:rsid w:val="130B7317"/>
    <w:rsid w:val="14227674"/>
    <w:rsid w:val="14462431"/>
    <w:rsid w:val="1446B1CA"/>
    <w:rsid w:val="1499E52F"/>
    <w:rsid w:val="14B409AB"/>
    <w:rsid w:val="1635778C"/>
    <w:rsid w:val="168A89DE"/>
    <w:rsid w:val="177221B6"/>
    <w:rsid w:val="1869E756"/>
    <w:rsid w:val="194B7009"/>
    <w:rsid w:val="19949E55"/>
    <w:rsid w:val="19C575BE"/>
    <w:rsid w:val="19DFE23B"/>
    <w:rsid w:val="1A238366"/>
    <w:rsid w:val="1A974EE8"/>
    <w:rsid w:val="1ABA10E0"/>
    <w:rsid w:val="1B0B920C"/>
    <w:rsid w:val="1B61461F"/>
    <w:rsid w:val="1CB1C69D"/>
    <w:rsid w:val="1CB4CA0D"/>
    <w:rsid w:val="1CCF26AC"/>
    <w:rsid w:val="1CF9A2BC"/>
    <w:rsid w:val="1F55DF9A"/>
    <w:rsid w:val="1F651808"/>
    <w:rsid w:val="1FD54E04"/>
    <w:rsid w:val="203DED6E"/>
    <w:rsid w:val="20736A6D"/>
    <w:rsid w:val="20B8F18A"/>
    <w:rsid w:val="21698553"/>
    <w:rsid w:val="220F3ACE"/>
    <w:rsid w:val="2329C883"/>
    <w:rsid w:val="2495B3F8"/>
    <w:rsid w:val="24CC8EA3"/>
    <w:rsid w:val="255D5E0C"/>
    <w:rsid w:val="258D7E02"/>
    <w:rsid w:val="25B8417E"/>
    <w:rsid w:val="26352006"/>
    <w:rsid w:val="266B0585"/>
    <w:rsid w:val="27B98786"/>
    <w:rsid w:val="28ACEC27"/>
    <w:rsid w:val="298C63C1"/>
    <w:rsid w:val="2A3690D7"/>
    <w:rsid w:val="2A491E16"/>
    <w:rsid w:val="2A89DCF5"/>
    <w:rsid w:val="2B249222"/>
    <w:rsid w:val="2B283422"/>
    <w:rsid w:val="2B3074AE"/>
    <w:rsid w:val="2BC35EC1"/>
    <w:rsid w:val="2BEBE304"/>
    <w:rsid w:val="2C2464E6"/>
    <w:rsid w:val="2C565A6D"/>
    <w:rsid w:val="2C6E3AB2"/>
    <w:rsid w:val="2CBA1222"/>
    <w:rsid w:val="2D80BED8"/>
    <w:rsid w:val="2DED7BC6"/>
    <w:rsid w:val="2E5C32E4"/>
    <w:rsid w:val="2E7B31ED"/>
    <w:rsid w:val="2E7FEF96"/>
    <w:rsid w:val="2F3185D5"/>
    <w:rsid w:val="2FB057E7"/>
    <w:rsid w:val="3070E380"/>
    <w:rsid w:val="30764428"/>
    <w:rsid w:val="30BF9204"/>
    <w:rsid w:val="30F38DB6"/>
    <w:rsid w:val="3250A6AF"/>
    <w:rsid w:val="326A22B6"/>
    <w:rsid w:val="33B5AE86"/>
    <w:rsid w:val="343BF009"/>
    <w:rsid w:val="349D5E09"/>
    <w:rsid w:val="353CC5E4"/>
    <w:rsid w:val="36FBEB82"/>
    <w:rsid w:val="37D84C5E"/>
    <w:rsid w:val="37ED8ECD"/>
    <w:rsid w:val="37FA6D37"/>
    <w:rsid w:val="39942275"/>
    <w:rsid w:val="39CD272D"/>
    <w:rsid w:val="39FCB8AE"/>
    <w:rsid w:val="3A4197CE"/>
    <w:rsid w:val="3A597639"/>
    <w:rsid w:val="3B218D8F"/>
    <w:rsid w:val="3B88F9AE"/>
    <w:rsid w:val="3C1104FC"/>
    <w:rsid w:val="3C13AFB2"/>
    <w:rsid w:val="3C18F282"/>
    <w:rsid w:val="3D83AD19"/>
    <w:rsid w:val="3E4C74C3"/>
    <w:rsid w:val="3E6E7418"/>
    <w:rsid w:val="3E77E739"/>
    <w:rsid w:val="3EB4CAB0"/>
    <w:rsid w:val="3F1DD377"/>
    <w:rsid w:val="40DD6248"/>
    <w:rsid w:val="42279802"/>
    <w:rsid w:val="433ACAC5"/>
    <w:rsid w:val="43CEB98D"/>
    <w:rsid w:val="43DC27C3"/>
    <w:rsid w:val="447C95CA"/>
    <w:rsid w:val="4487B547"/>
    <w:rsid w:val="448A3EB1"/>
    <w:rsid w:val="470DD604"/>
    <w:rsid w:val="472002C9"/>
    <w:rsid w:val="4787879E"/>
    <w:rsid w:val="490D973C"/>
    <w:rsid w:val="4922D82B"/>
    <w:rsid w:val="49A18388"/>
    <w:rsid w:val="49FBDF2A"/>
    <w:rsid w:val="4A9345EB"/>
    <w:rsid w:val="4B6A7F6F"/>
    <w:rsid w:val="4C7E196E"/>
    <w:rsid w:val="4DE6786F"/>
    <w:rsid w:val="4E6CE0E0"/>
    <w:rsid w:val="4FA4B1FE"/>
    <w:rsid w:val="504151A4"/>
    <w:rsid w:val="50BB334C"/>
    <w:rsid w:val="50CBB80C"/>
    <w:rsid w:val="5140825F"/>
    <w:rsid w:val="5195B806"/>
    <w:rsid w:val="52D5D1BF"/>
    <w:rsid w:val="538E15E8"/>
    <w:rsid w:val="538E78C3"/>
    <w:rsid w:val="54945954"/>
    <w:rsid w:val="55445448"/>
    <w:rsid w:val="56C9BB85"/>
    <w:rsid w:val="57AC084A"/>
    <w:rsid w:val="57AFC3E3"/>
    <w:rsid w:val="588EE745"/>
    <w:rsid w:val="58CEDE83"/>
    <w:rsid w:val="5A1A8729"/>
    <w:rsid w:val="5A904158"/>
    <w:rsid w:val="5AF944B8"/>
    <w:rsid w:val="5B2A9A83"/>
    <w:rsid w:val="5B977888"/>
    <w:rsid w:val="5C4D54D6"/>
    <w:rsid w:val="5CDD7979"/>
    <w:rsid w:val="5DB312C1"/>
    <w:rsid w:val="5E5433F0"/>
    <w:rsid w:val="5E6DDD52"/>
    <w:rsid w:val="5FE4A184"/>
    <w:rsid w:val="600E6A84"/>
    <w:rsid w:val="60A8EC6F"/>
    <w:rsid w:val="615CA957"/>
    <w:rsid w:val="61C42AB7"/>
    <w:rsid w:val="629F46E5"/>
    <w:rsid w:val="62BCD115"/>
    <w:rsid w:val="6359BB1A"/>
    <w:rsid w:val="63F5BCCD"/>
    <w:rsid w:val="6425E8C7"/>
    <w:rsid w:val="64B05D0A"/>
    <w:rsid w:val="64DAD49F"/>
    <w:rsid w:val="64FBCB79"/>
    <w:rsid w:val="653583C1"/>
    <w:rsid w:val="65CD0E26"/>
    <w:rsid w:val="65F471D7"/>
    <w:rsid w:val="660B3F02"/>
    <w:rsid w:val="664E2B55"/>
    <w:rsid w:val="668963A1"/>
    <w:rsid w:val="674D4AD1"/>
    <w:rsid w:val="6782BBBE"/>
    <w:rsid w:val="6906690D"/>
    <w:rsid w:val="6B13279E"/>
    <w:rsid w:val="6B4EC0F0"/>
    <w:rsid w:val="6C1B171E"/>
    <w:rsid w:val="6C3E09CF"/>
    <w:rsid w:val="6C65867D"/>
    <w:rsid w:val="6C881DF9"/>
    <w:rsid w:val="6CE6982E"/>
    <w:rsid w:val="6D273E39"/>
    <w:rsid w:val="6E80BA92"/>
    <w:rsid w:val="6EA12337"/>
    <w:rsid w:val="6EF651DD"/>
    <w:rsid w:val="6F0FC3C7"/>
    <w:rsid w:val="6F8EE752"/>
    <w:rsid w:val="712AB7B3"/>
    <w:rsid w:val="714833CE"/>
    <w:rsid w:val="7168C0B3"/>
    <w:rsid w:val="71F5547C"/>
    <w:rsid w:val="721DC106"/>
    <w:rsid w:val="72430DCE"/>
    <w:rsid w:val="724D27AD"/>
    <w:rsid w:val="73093F90"/>
    <w:rsid w:val="734F8333"/>
    <w:rsid w:val="738A3605"/>
    <w:rsid w:val="748CAEDD"/>
    <w:rsid w:val="7495AEEE"/>
    <w:rsid w:val="74D6F7DD"/>
    <w:rsid w:val="75DFCA78"/>
    <w:rsid w:val="75F107D4"/>
    <w:rsid w:val="78DAC9C6"/>
    <w:rsid w:val="7A9CD00B"/>
    <w:rsid w:val="7AF7039A"/>
    <w:rsid w:val="7C4B69FC"/>
    <w:rsid w:val="7C873C53"/>
    <w:rsid w:val="7D32F77A"/>
    <w:rsid w:val="7DAE3AE9"/>
    <w:rsid w:val="7DE6E27F"/>
    <w:rsid w:val="7DE73A5D"/>
    <w:rsid w:val="7E26B6D6"/>
    <w:rsid w:val="7E4D02BA"/>
    <w:rsid w:val="7E5F9286"/>
    <w:rsid w:val="7F0FFA71"/>
    <w:rsid w:val="7F26EA6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B8AD691"/>
  <w15:chartTrackingRefBased/>
  <w15:docId w15:val="{0E544B94-3A6B-4742-9E62-7A4D364B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paragraph" w:styleId="Heading2">
    <w:name w:val="heading 2"/>
    <w:basedOn w:val="Normal"/>
    <w:next w:val="Normal"/>
    <w:qFormat/>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character" w:styleId="Hyperlink">
    <w:name w:val="Hyperlink"/>
    <w:rPr>
      <w:color w:val="0000FF"/>
      <w:u w:val="single"/>
    </w:rPr>
  </w:style>
  <w:style w:type="paragraph" w:styleId="BodyText">
    <w:name w:val="Body Text"/>
    <w:basedOn w:val="Normal"/>
    <w:pPr>
      <w:shd w:val="pct25" w:color="auto" w:fill="FFFFFF"/>
      <w:tabs>
        <w:tab w:val="left" w:pos="-720"/>
      </w:tabs>
      <w:suppressAutoHyphens/>
    </w:pPr>
    <w:rPr>
      <w:sz w:val="26"/>
    </w:rPr>
  </w:style>
  <w:style w:type="paragraph" w:styleId="BodyTextIndent">
    <w:name w:val="Body Text Indent"/>
    <w:basedOn w:val="Normal"/>
    <w:pPr>
      <w:shd w:val="pct25" w:color="auto" w:fill="FFFFFF"/>
      <w:tabs>
        <w:tab w:val="left" w:pos="-720"/>
      </w:tabs>
      <w:suppressAutoHyphens/>
      <w:ind w:left="510"/>
    </w:pPr>
    <w:rPr>
      <w:sz w:val="26"/>
      <w:szCs w:val="20"/>
    </w:rPr>
  </w:style>
  <w:style w:type="paragraph" w:styleId="BodyText2">
    <w:name w:val="Body Text 2"/>
    <w:basedOn w:val="Normal"/>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CM2">
    <w:name w:val="CM2"/>
    <w:basedOn w:val="Normal"/>
    <w:next w:val="Normal"/>
    <w:rsid w:val="00664FBA"/>
    <w:pPr>
      <w:autoSpaceDE w:val="0"/>
      <w:autoSpaceDN w:val="0"/>
      <w:adjustRightInd w:val="0"/>
      <w:spacing w:line="286" w:lineRule="atLeast"/>
    </w:pPr>
    <w:rPr>
      <w:rFonts w:ascii="Arial" w:hAnsi="Arial"/>
    </w:rPr>
  </w:style>
  <w:style w:type="paragraph" w:customStyle="1" w:styleId="CharCharCharCharCharCharCharCharCharCharCharChar1CharCharChar1Char">
    <w:name w:val="Char Char Char Char Char Char Char Char Char Char Char Char1 Char Char Char1 Char"/>
    <w:basedOn w:val="Normal"/>
    <w:autoRedefine/>
    <w:semiHidden/>
    <w:rsid w:val="00516382"/>
    <w:pPr>
      <w:widowControl w:val="0"/>
      <w:spacing w:before="80" w:after="80"/>
      <w:ind w:left="4320"/>
      <w:jc w:val="both"/>
    </w:pPr>
    <w:rPr>
      <w:rFonts w:cs="Arial"/>
      <w:bCs/>
    </w:rPr>
  </w:style>
  <w:style w:type="character" w:styleId="CommentReference">
    <w:name w:val="annotation reference"/>
    <w:uiPriority w:val="99"/>
    <w:rsid w:val="00B92CB8"/>
    <w:rPr>
      <w:sz w:val="16"/>
      <w:szCs w:val="16"/>
    </w:rPr>
  </w:style>
  <w:style w:type="paragraph" w:styleId="CommentText">
    <w:name w:val="annotation text"/>
    <w:basedOn w:val="Normal"/>
    <w:link w:val="CommentTextChar"/>
    <w:uiPriority w:val="99"/>
    <w:rsid w:val="00B92CB8"/>
    <w:rPr>
      <w:sz w:val="20"/>
      <w:szCs w:val="20"/>
    </w:rPr>
  </w:style>
  <w:style w:type="character" w:customStyle="1" w:styleId="CommentTextChar">
    <w:name w:val="Comment Text Char"/>
    <w:basedOn w:val="DefaultParagraphFont"/>
    <w:link w:val="CommentText"/>
    <w:uiPriority w:val="99"/>
    <w:rsid w:val="00B92CB8"/>
  </w:style>
  <w:style w:type="paragraph" w:styleId="CommentSubject">
    <w:name w:val="annotation subject"/>
    <w:basedOn w:val="CommentText"/>
    <w:next w:val="CommentText"/>
    <w:link w:val="CommentSubjectChar"/>
    <w:rsid w:val="00B92CB8"/>
    <w:rPr>
      <w:b/>
      <w:bCs/>
    </w:rPr>
  </w:style>
  <w:style w:type="character" w:customStyle="1" w:styleId="CommentSubjectChar">
    <w:name w:val="Comment Subject Char"/>
    <w:link w:val="CommentSubject"/>
    <w:rsid w:val="00B92CB8"/>
    <w:rPr>
      <w:b/>
      <w:bCs/>
    </w:rPr>
  </w:style>
  <w:style w:type="character" w:styleId="FollowedHyperlink">
    <w:name w:val="FollowedHyperlink"/>
    <w:rsid w:val="00D05A41"/>
    <w:rPr>
      <w:color w:val="800080"/>
      <w:u w:val="single"/>
    </w:rPr>
  </w:style>
  <w:style w:type="paragraph" w:styleId="Revision">
    <w:name w:val="Revision"/>
    <w:hidden/>
    <w:uiPriority w:val="99"/>
    <w:semiHidden/>
    <w:rsid w:val="00DE7B63"/>
    <w:rPr>
      <w:sz w:val="24"/>
      <w:szCs w:val="24"/>
    </w:rPr>
  </w:style>
  <w:style w:type="paragraph" w:styleId="FootnoteText">
    <w:name w:val="footnote text"/>
    <w:basedOn w:val="Normal"/>
    <w:link w:val="FootnoteTextChar"/>
    <w:uiPriority w:val="99"/>
    <w:rsid w:val="00942E19"/>
    <w:rPr>
      <w:sz w:val="20"/>
      <w:szCs w:val="20"/>
    </w:rPr>
  </w:style>
  <w:style w:type="character" w:customStyle="1" w:styleId="FootnoteTextChar">
    <w:name w:val="Footnote Text Char"/>
    <w:basedOn w:val="DefaultParagraphFont"/>
    <w:link w:val="FootnoteText"/>
    <w:uiPriority w:val="99"/>
    <w:rsid w:val="00942E19"/>
  </w:style>
  <w:style w:type="character" w:styleId="FootnoteReference">
    <w:name w:val="footnote reference"/>
    <w:uiPriority w:val="99"/>
    <w:rsid w:val="00942E19"/>
    <w:rPr>
      <w:vertAlign w:val="superscript"/>
    </w:rPr>
  </w:style>
  <w:style w:type="paragraph" w:styleId="ListParagraph">
    <w:name w:val="List Paragraph"/>
    <w:basedOn w:val="Normal"/>
    <w:uiPriority w:val="34"/>
    <w:qFormat/>
    <w:rsid w:val="0003687E"/>
    <w:pPr>
      <w:ind w:left="720"/>
      <w:contextualSpacing/>
    </w:pPr>
  </w:style>
  <w:style w:type="character" w:styleId="UnresolvedMention">
    <w:name w:val="Unresolved Mention"/>
    <w:basedOn w:val="DefaultParagraphFont"/>
    <w:uiPriority w:val="99"/>
    <w:unhideWhenUsed/>
    <w:rsid w:val="00AC3D65"/>
    <w:rPr>
      <w:color w:val="605E5C"/>
      <w:shd w:val="clear" w:color="auto" w:fill="E1DFDD"/>
    </w:rPr>
  </w:style>
  <w:style w:type="character" w:styleId="Mention">
    <w:name w:val="Mention"/>
    <w:basedOn w:val="DefaultParagraphFont"/>
    <w:uiPriority w:val="99"/>
    <w:unhideWhenUsed/>
    <w:rsid w:val="00A1530B"/>
    <w:rPr>
      <w:color w:val="2B579A"/>
      <w:shd w:val="clear" w:color="auto" w:fill="E6E6E6"/>
    </w:rPr>
  </w:style>
  <w:style w:type="table" w:customStyle="1" w:styleId="TableGrid2">
    <w:name w:val="Table Grid2"/>
    <w:basedOn w:val="TableNormal"/>
    <w:next w:val="TableGrid"/>
    <w:uiPriority w:val="39"/>
    <w:rsid w:val="006D6DC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51B53"/>
    <w:rPr>
      <w:color w:val="808080"/>
    </w:rPr>
  </w:style>
  <w:style w:type="table" w:customStyle="1" w:styleId="TableGrid1">
    <w:name w:val="Table Grid1"/>
    <w:basedOn w:val="TableNormal"/>
    <w:next w:val="TableGrid"/>
    <w:uiPriority w:val="39"/>
    <w:rsid w:val="009D37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25Tables/html/DCB.aspx"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ma.gov/flood-insurance/advocate"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42025.pdf" TargetMode="External" /><Relationship Id="rId2"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e695bbe-29cc-414d-9631-cd9a5eb5086c" xsi:nil="true"/>
    <lcf76f155ced4ddcb4097134ff3c332f xmlns="1402c38d-516f-4d43-acca-cab79edca7a6">
      <Terms xmlns="http://schemas.microsoft.com/office/infopath/2007/PartnerControls"/>
    </lcf76f155ced4ddcb4097134ff3c332f>
    <Document_x0020_Type xmlns="1402c38d-516f-4d43-acca-cab79edca7a6" xsi:nil="true"/>
    <Purpose xmlns="1402c38d-516f-4d43-acca-cab79edca7a6" xsi:nil="true"/>
    <AgencyFunction xmlns="1402c38d-516f-4d43-acca-cab79edca7a6" xsi:nil="true"/>
    <Clean_x0020_Up_x0020_Status xmlns="1402c38d-516f-4d43-acca-cab79edca7a6" xsi:nil="true"/>
    <FileCodeorSchedule xmlns="1402c38d-516f-4d43-acca-cab79edca7a6" xsi:nil="true"/>
    <AllEmptyFoldersRemoved_x003f_ xmlns="1402c38d-516f-4d43-acca-cab79edca7a6" xsi:nil="true"/>
    <Fiscal_x0020_Year xmlns="1402c38d-516f-4d43-acca-cab79edca7a6" xsi:nil="true"/>
    <Target_x0020_Clean_x0020_Folder_x0020_Identified_x003f_ xmlns="1402c38d-516f-4d43-acca-cab79edca7a6">true</Target_x0020_Clean_x0020_Folder_x0020_Identified_x003f_>
    <Action_x0020_Branch xmlns="1402c38d-516f-4d43-acca-cab79edca7a6" xsi:nil="true"/>
    <New_x0020_Clean_x0020_Up_x0020_Status xmlns="1402c38d-516f-4d43-acca-cab79edca7a6">Not Started</New_x0020_Clean_x0020_Up_x0020_Status>
    <ActiveorInactive xmlns="1402c38d-516f-4d43-acca-cab79edca7a6" xsi:nil="true"/>
    <FunctionWorkstream xmlns="1402c38d-516f-4d43-acca-cab79edca7a6" xsi:nil="true"/>
    <Comments xmlns="1402c38d-516f-4d43-acca-cab79edca7a6" xsi:nil="true"/>
    <Status xmlns="1402c38d-516f-4d43-acca-cab79edca7a6" xsi:nil="true"/>
    <eRMCleanUpNotes xmlns="1402c38d-516f-4d43-acca-cab79edca7a6" xsi:nil="true"/>
    <Clean_x0020_Up_x0020_Action xmlns="1402c38d-516f-4d43-acca-cab79edca7a6">TBD</Clean_x0020_Up_x0020_Action>
    <DatePublished xmlns="1402c38d-516f-4d43-acca-cab79edca7a6" xsi:nil="true"/>
    <Due_x0020_Date xmlns="1402c38d-516f-4d43-acca-cab79edca7a6" xsi:nil="true"/>
    <ProgramFunction xmlns="1402c38d-516f-4d43-acca-cab79edca7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37" ma:contentTypeDescription="Create a new document." ma:contentTypeScope="" ma:versionID="54675f1871f27c7f7b0f67f99ff65cd1">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df9d3e059ac6aaff6d79125b7047845e"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Target_x0020_Clean_x0020_Folder_x0020_Identified_x003f_" minOccurs="0"/>
                <xsd:element ref="ns2:eRMCleanUpNotes" minOccurs="0"/>
                <xsd:element ref="ns2:ActiveorInactive" minOccurs="0"/>
                <xsd:element ref="ns2:Purpose" minOccurs="0"/>
                <xsd:element ref="ns2:AgencyFunction" minOccurs="0"/>
                <xsd:element ref="ns2:ProgramFunction" minOccurs="0"/>
                <xsd:element ref="ns2:FunctionWorkstream" minOccurs="0"/>
                <xsd:element ref="ns2:Document_x0020_Type" minOccurs="0"/>
                <xsd:element ref="ns2:Fiscal_x0020_Year" minOccurs="0"/>
                <xsd:element ref="ns2:AllEmptyFoldersRemoved_x003f_" minOccurs="0"/>
                <xsd:element ref="ns2:Clean_x0020_Up_x0020_Status" minOccurs="0"/>
                <xsd:element ref="ns2:Clean_x0020_Up_x0020_Action" minOccurs="0"/>
                <xsd:element ref="ns2:New_x0020_Clean_x0020_Up_x0020_Status" minOccurs="0"/>
                <xsd:element ref="ns2:Date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File Status" ma:format="Dropdown" ma:internalName="Status">
      <xsd:simpleType>
        <xsd:restriction base="dms:Choice">
          <xsd:enumeration value="Working"/>
          <xsd:enumeration value="Final"/>
          <xsd:enumeration value="Draft"/>
          <xsd:enumeration value="Obselete"/>
        </xsd:restriction>
      </xsd:simpleType>
    </xsd:element>
    <xsd:element name="FileCodeorSchedule" ma:index="16" nillable="true" ma:displayName="Record Schedule File Cod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Target_x0020_Clean_x0020_Folder_x0020_Identified_x003f_" ma:index="26" nillable="true" ma:displayName="Target Folder Identified" ma:default="1" ma:format="Dropdown" ma:internalName="Target_x0020_Clean_x0020_Folder_x0020_Identified_x003f_">
      <xsd:simpleType>
        <xsd:restriction base="dms:Boolean"/>
      </xsd:simpleType>
    </xsd:element>
    <xsd:element name="eRMCleanUpNotes" ma:index="27" nillable="true" ma:displayName="Clean Up Notes" ma:format="Dropdown" ma:internalName="eRMCleanUpNotes">
      <xsd:simpleType>
        <xsd:restriction base="dms:Note">
          <xsd:maxLength value="255"/>
        </xsd:restriction>
      </xsd:simpleType>
    </xsd:element>
    <xsd:element name="ActiveorInactive" ma:index="28" nillable="true" ma:displayName="File Value" ma:format="Dropdown" ma:internalName="ActiveorInactive">
      <xsd:simpleType>
        <xsd:restriction base="dms:Choice">
          <xsd:enumeration value="Active"/>
          <xsd:enumeration value="Inactive"/>
          <xsd:enumeration value="ROT - Redundant, Obsolete, Trivial"/>
          <xsd:enumeration value="TBD"/>
        </xsd:restriction>
      </xsd:simpleType>
    </xsd:element>
    <xsd:element name="Purpose" ma:index="29" nillable="true" ma:displayName="Purpose" ma:format="Dropdown" ma:internalName="Purpose">
      <xsd:simpleType>
        <xsd:restriction base="dms:Choice">
          <xsd:enumeration value="Training &amp; Guidance"/>
          <xsd:enumeration value="Policy Management"/>
          <xsd:enumeration value="Operations &amp; Administration"/>
          <xsd:enumeration value="Communications"/>
          <xsd:enumeration value="Process Management"/>
          <xsd:enumeration value="Technology"/>
        </xsd:restriction>
      </xsd:simpleType>
    </xsd:element>
    <xsd:element name="AgencyFunction" ma:index="30" nillable="true" ma:displayName="Mission Area" ma:format="Dropdown" ma:internalName="AgencyFunction">
      <xsd:simpleType>
        <xsd:restriction base="dms:Choice">
          <xsd:enumeration value="Mission Support"/>
          <xsd:enumeration value="Choice 2"/>
          <xsd:enumeration value="Choice 3"/>
        </xsd:restriction>
      </xsd:simpleType>
    </xsd:element>
    <xsd:element name="ProgramFunction" ma:index="31" nillable="true" ma:displayName="Program Function" ma:description="The specific program function, activity or topic this file supports." ma:format="Dropdown" ma:internalName="ProgramFunction">
      <xsd:simpleType>
        <xsd:restriction base="dms:Choice">
          <xsd:enumeration value="Records Inventories"/>
          <xsd:enumeration value="Records Files Plans"/>
          <xsd:enumeration value="Records Scheduling"/>
          <xsd:enumeration value="Records Disposition"/>
          <xsd:enumeration value="RLO &amp; RC Management"/>
          <xsd:enumeration value="eRecords Management"/>
        </xsd:restriction>
      </xsd:simpleType>
    </xsd:element>
    <xsd:element name="FunctionWorkstream" ma:index="32" nillable="true" ma:displayName="Business Activity" ma:format="Dropdown" ma:internalName="FunctionWorkstream">
      <xsd:simpleType>
        <xsd:restriction base="dms:Choice">
          <xsd:enumeration value="eRM Solutioning &amp; Testing"/>
          <xsd:enumeration value="SharePoint Baseline Assessments"/>
          <xsd:enumeration value="eRMP Project Management"/>
        </xsd:restriction>
      </xsd:simpleType>
    </xsd:element>
    <xsd:element name="Document_x0020_Type" ma:index="33" nillable="true" ma:displayName="Document Type" ma:format="Dropdown" ma:internalName="Document_x0020_Type">
      <xsd:simpleType>
        <xsd:restriction base="dms:Choice">
          <xsd:enumeration value="Policy or Protocol"/>
          <xsd:enumeration value="Training or Guide"/>
          <xsd:enumeration value="Report"/>
          <xsd:enumeration value="Audit or Inspection"/>
          <xsd:enumeration value="Form"/>
          <xsd:enumeration value="Meeting Minutes"/>
          <xsd:enumeration value="Presentation Material"/>
        </xsd:restriction>
      </xsd:simpleType>
    </xsd:element>
    <xsd:element name="Fiscal_x0020_Year" ma:index="34" nillable="true" ma:displayName="Fiscal Year" ma:format="Dropdown" ma:internalName="Fiscal_x0020_Year">
      <xsd:simpleType>
        <xsd:restriction base="dms:Choice">
          <xsd:enumeration value="FY 25"/>
          <xsd:enumeration value="FY 24"/>
          <xsd:enumeration value="FY 23"/>
          <xsd:enumeration value="FY 22"/>
          <xsd:enumeration value="FY 21"/>
          <xsd:enumeration value="FY 20"/>
        </xsd:restriction>
      </xsd:simpleType>
    </xsd:element>
    <xsd:element name="AllEmptyFoldersRemoved_x003f_" ma:index="35" nillable="true" ma:displayName="All Empty Folders Removed?" ma:format="Dropdown" ma:internalName="AllEmptyFoldersRemoved_x003f_">
      <xsd:simpleType>
        <xsd:restriction base="dms:Choice">
          <xsd:enumeration value="Yes"/>
          <xsd:enumeration value="No"/>
        </xsd:restriction>
      </xsd:simpleType>
    </xsd:element>
    <xsd:element name="Clean_x0020_Up_x0020_Status" ma:index="36" nillable="true" ma:displayName="Legacy Clean Up Status" ma:format="Dropdown" ma:internalName="Clean_x0020_Up_x0020_Status">
      <xsd:simpleType>
        <xsd:restriction base="dms:Choice">
          <xsd:enumeration value="Not Started"/>
          <xsd:enumeration value="Under Review"/>
          <xsd:enumeration value="Initial Mapping Complete"/>
          <xsd:enumeration value="Mapping Finalized"/>
          <xsd:enumeration value="Complete"/>
        </xsd:restriction>
      </xsd:simpleType>
    </xsd:element>
    <xsd:element name="Clean_x0020_Up_x0020_Action" ma:index="37" nillable="true" ma:displayName="Clean Up Action" ma:default="TBD" ma:description="Results of clean up review. &#10;&#10;Use &quot;Retain Until Expired&quot; to designate federal records that should be kept according to the records schedule.&#10;&#10;Use &quot;Conduct Disposition Review&quot; for federal records that are beyond their retention period." ma:format="Dropdown" ma:internalName="Clean_x0020_Up_x0020_Action">
      <xsd:simpleType>
        <xsd:restriction base="dms:Choice">
          <xsd:enumeration value="TBD"/>
          <xsd:enumeration value="Move"/>
          <xsd:enumeration value="Retain Until Expired"/>
          <xsd:enumeration value="Evaluate for Deletion"/>
          <xsd:enumeration value="Delete"/>
        </xsd:restriction>
      </xsd:simpleType>
    </xsd:element>
    <xsd:element name="New_x0020_Clean_x0020_Up_x0020_Status" ma:index="38" nillable="true" ma:displayName="New Clean Up Status" ma:default="Not Started" ma:format="Dropdown" ma:internalName="New_x0020_Clean_x0020_Up_x0020_Status">
      <xsd:simpleType>
        <xsd:restriction base="dms:Choice">
          <xsd:enumeration value="Not Started"/>
          <xsd:enumeration value="Mapping &amp; Tagging Files"/>
          <xsd:enumeration value="Approving"/>
          <xsd:enumeration value="Moving Files"/>
          <xsd:enumeration value="Complete"/>
        </xsd:restriction>
      </xsd:simpleType>
    </xsd:element>
    <xsd:element name="DatePublished" ma:index="39" nillable="true" ma:displayName="Date Published" ma:description="Date Published by DHS" ma:format="DateOnly" ma:internalName="DatePublish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3C8C21-C6A9-4DF1-8103-2F4969E7D886}">
  <ds:schemaRefs>
    <ds:schemaRef ds:uri="http://schemas.openxmlformats.org/officeDocument/2006/bibliography"/>
  </ds:schemaRefs>
</ds:datastoreItem>
</file>

<file path=customXml/itemProps2.xml><?xml version="1.0" encoding="utf-8"?>
<ds:datastoreItem xmlns:ds="http://schemas.openxmlformats.org/officeDocument/2006/customXml" ds:itemID="{DFF9F4E4-C31C-4A7E-B8FD-E4832050FC4E}">
  <ds:schemaRefs>
    <ds:schemaRef ds:uri="http://schemas.microsoft.com/office/2006/metadata/properties"/>
    <ds:schemaRef ds:uri="http://schemas.microsoft.com/office/infopath/2007/PartnerControls"/>
    <ds:schemaRef ds:uri="6eb55b38-6b90-44f1-82fa-b685e93e7cb3"/>
    <ds:schemaRef ds:uri="5583a38e-5bd1-4cf9-b4f2-d9b49c295657"/>
    <ds:schemaRef ds:uri="be695bbe-29cc-414d-9631-cd9a5eb5086c"/>
    <ds:schemaRef ds:uri="1402c38d-516f-4d43-acca-cab79edca7a6"/>
  </ds:schemaRefs>
</ds:datastoreItem>
</file>

<file path=customXml/itemProps3.xml><?xml version="1.0" encoding="utf-8"?>
<ds:datastoreItem xmlns:ds="http://schemas.openxmlformats.org/officeDocument/2006/customXml" ds:itemID="{60D9ADD6-8136-4773-9FF1-507E8A4B4E5A}">
  <ds:schemaRefs>
    <ds:schemaRef ds:uri="http://schemas.microsoft.com/sharepoint/v3/contenttype/forms"/>
  </ds:schemaRefs>
</ds:datastoreItem>
</file>

<file path=customXml/itemProps4.xml><?xml version="1.0" encoding="utf-8"?>
<ds:datastoreItem xmlns:ds="http://schemas.openxmlformats.org/officeDocument/2006/customXml" ds:itemID="{5AAC709C-C981-40C6-907F-A37027D9E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3622</Words>
  <Characters>21319</Characters>
  <Application>Microsoft Office Word</Application>
  <DocSecurity>0</DocSecurity>
  <Lines>177</Lines>
  <Paragraphs>49</Paragraphs>
  <ScaleCrop>false</ScaleCrop>
  <Company>FEMA</Company>
  <LinksUpToDate>false</LinksUpToDate>
  <CharactersWithSpaces>24892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FEMA Employee</dc:creator>
  <cp:lastModifiedBy>Crosby, Kevin</cp:lastModifiedBy>
  <cp:revision>3</cp:revision>
  <cp:lastPrinted>2018-02-12T16:46:00Z</cp:lastPrinted>
  <dcterms:created xsi:type="dcterms:W3CDTF">2025-08-22T14:34:00Z</dcterms:created>
  <dcterms:modified xsi:type="dcterms:W3CDTF">2025-08-22T14:34:00Z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MediaServiceImageTags">
    <vt:lpwstr/>
  </property>
  <property fmtid="{D5CDD505-2E9C-101B-9397-08002B2CF9AE}" pid="4" name="_NewReviewCycle">
    <vt:lpwstr/>
  </property>
</Properties>
</file>