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1767" w:rsidRPr="00AD381B" w:rsidP="00AD381B" w14:paraId="58CE2522" w14:textId="61389C41">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7F01A5">
        <w:rPr>
          <w:rFonts w:ascii="Times New Roman" w:hAnsi="Times New Roman"/>
          <w:szCs w:val="24"/>
        </w:rPr>
        <w:t>1820-0030</w:t>
      </w:r>
    </w:p>
    <w:p w:rsidR="00EA1767" w:rsidRPr="00AD381B" w:rsidP="006B4172" w14:paraId="58CE2523" w14:textId="6863A1D2">
      <w:pPr>
        <w:pStyle w:val="Header"/>
        <w:rPr>
          <w:rFonts w:ascii="Times New Roman" w:hAnsi="Times New Roman"/>
          <w:color w:val="FFFFFF" w:themeColor="background1"/>
          <w:szCs w:val="24"/>
        </w:rPr>
      </w:pPr>
      <w:r w:rsidRPr="00C875E8">
        <w:rPr>
          <w:rFonts w:ascii="Times New Roman" w:hAnsi="Times New Roman"/>
          <w:szCs w:val="24"/>
        </w:rPr>
        <w:t xml:space="preserve">Revised: </w:t>
      </w:r>
      <w:r w:rsidR="003311C6">
        <w:rPr>
          <w:rFonts w:ascii="Times New Roman" w:hAnsi="Times New Roman"/>
          <w:szCs w:val="24"/>
        </w:rPr>
        <w:t>08/0</w:t>
      </w:r>
      <w:r w:rsidR="00573BBB">
        <w:rPr>
          <w:rFonts w:ascii="Times New Roman" w:hAnsi="Times New Roman"/>
          <w:szCs w:val="24"/>
        </w:rPr>
        <w:t>8</w:t>
      </w:r>
      <w:r w:rsidR="003311C6">
        <w:rPr>
          <w:rFonts w:ascii="Times New Roman" w:hAnsi="Times New Roman"/>
          <w:szCs w:val="24"/>
        </w:rPr>
        <w:t>/2025</w:t>
      </w:r>
    </w:p>
    <w:p w:rsidR="00043C32" w:rsidRPr="00AD381B" w:rsidP="00AD381B" w14:paraId="58CE2524" w14:textId="77777777">
      <w:pPr>
        <w:pStyle w:val="Heading1"/>
        <w:rPr>
          <w:sz w:val="24"/>
          <w:szCs w:val="24"/>
        </w:rPr>
      </w:pPr>
      <w:r w:rsidRPr="00AD381B">
        <w:rPr>
          <w:sz w:val="24"/>
          <w:szCs w:val="24"/>
        </w:rPr>
        <w:t>SUPPORTING STATEMENT</w:t>
      </w:r>
    </w:p>
    <w:p w:rsidR="00043C32" w:rsidRPr="00AD381B" w:rsidP="00AD381B" w14:paraId="58CE2525" w14:textId="77777777">
      <w:pPr>
        <w:pStyle w:val="Heading1"/>
        <w:rPr>
          <w:sz w:val="24"/>
          <w:szCs w:val="24"/>
        </w:rPr>
      </w:pPr>
      <w:r w:rsidRPr="00AD381B">
        <w:rPr>
          <w:sz w:val="24"/>
          <w:szCs w:val="24"/>
        </w:rPr>
        <w:t>FOR PAPERWORK REDUCTION ACT SUBMISSION</w:t>
      </w:r>
    </w:p>
    <w:p w:rsidR="00043C32" w:rsidRPr="00AD381B" w:rsidP="00AD381B" w14:paraId="58CE2526" w14:textId="77777777">
      <w:pPr>
        <w:tabs>
          <w:tab w:val="left" w:pos="0"/>
        </w:tabs>
        <w:suppressAutoHyphens/>
        <w:rPr>
          <w:rFonts w:ascii="Times New Roman" w:hAnsi="Times New Roman"/>
          <w:szCs w:val="24"/>
        </w:rPr>
      </w:pPr>
    </w:p>
    <w:p w:rsidR="00EA1767" w:rsidRPr="00AD381B" w:rsidP="005B1AEB" w14:paraId="58CE2527" w14:textId="3F58BFCF">
      <w:pPr>
        <w:pStyle w:val="ListParagraph"/>
        <w:numPr>
          <w:ilvl w:val="0"/>
          <w:numId w:val="4"/>
        </w:numPr>
        <w:suppressAutoHyphens/>
        <w:spacing w:after="120"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7B443B" w:rsidP="007B443B" w14:paraId="144F90AD" w14:textId="4E9FB4DD">
      <w:pPr>
        <w:pStyle w:val="BodyTextIndent"/>
        <w:spacing w:after="120"/>
        <w:ind w:left="720" w:firstLine="0"/>
        <w:rPr>
          <w:rFonts w:ascii="Times New Roman" w:hAnsi="Times New Roman" w:cs="Times New Roman"/>
          <w:sz w:val="24"/>
        </w:rPr>
      </w:pPr>
      <w:r w:rsidRPr="00BB73CF">
        <w:rPr>
          <w:rFonts w:ascii="Times New Roman" w:hAnsi="Times New Roman" w:cs="Times New Roman"/>
          <w:sz w:val="24"/>
        </w:rPr>
        <w:t xml:space="preserve">This is a request for </w:t>
      </w:r>
      <w:r w:rsidR="00936567">
        <w:rPr>
          <w:rFonts w:ascii="Times New Roman" w:hAnsi="Times New Roman" w:cs="Times New Roman"/>
          <w:sz w:val="24"/>
        </w:rPr>
        <w:t xml:space="preserve">a revision </w:t>
      </w:r>
      <w:r w:rsidRPr="00BB73CF">
        <w:rPr>
          <w:rFonts w:ascii="Times New Roman" w:hAnsi="Times New Roman" w:cs="Times New Roman"/>
          <w:sz w:val="24"/>
        </w:rPr>
        <w:t xml:space="preserve">of the </w:t>
      </w:r>
      <w:r w:rsidRPr="00BB73CF">
        <w:rPr>
          <w:rFonts w:ascii="Times New Roman" w:hAnsi="Times New Roman" w:cs="Times New Roman"/>
          <w:i/>
          <w:iCs/>
          <w:sz w:val="24"/>
        </w:rPr>
        <w:t xml:space="preserve">Annual State Application under Part B of the Individuals with Disabilities Education Act as Amended in 2004 for Federal fiscal year </w:t>
      </w:r>
      <w:r w:rsidR="00F3523D">
        <w:rPr>
          <w:rFonts w:ascii="Times New Roman" w:hAnsi="Times New Roman" w:cs="Times New Roman"/>
          <w:i/>
          <w:iCs/>
          <w:sz w:val="24"/>
        </w:rPr>
        <w:t>202</w:t>
      </w:r>
      <w:r w:rsidR="002111B1">
        <w:rPr>
          <w:rFonts w:ascii="Times New Roman" w:hAnsi="Times New Roman" w:cs="Times New Roman"/>
          <w:i/>
          <w:iCs/>
          <w:sz w:val="24"/>
        </w:rPr>
        <w:t>6</w:t>
      </w:r>
      <w:r w:rsidRPr="00BB73CF">
        <w:rPr>
          <w:rFonts w:ascii="Times New Roman" w:hAnsi="Times New Roman" w:cs="Times New Roman"/>
          <w:i/>
          <w:iCs/>
          <w:sz w:val="24"/>
        </w:rPr>
        <w:t>.</w:t>
      </w:r>
      <w:r w:rsidRPr="00BB73CF">
        <w:rPr>
          <w:rFonts w:ascii="Times New Roman" w:hAnsi="Times New Roman" w:cs="Times New Roman"/>
          <w:iCs/>
          <w:sz w:val="24"/>
        </w:rPr>
        <w:t xml:space="preserve"> </w:t>
      </w:r>
      <w:r w:rsidRPr="00BB73CF">
        <w:rPr>
          <w:rFonts w:ascii="Times New Roman" w:hAnsi="Times New Roman" w:cs="Times New Roman"/>
          <w:sz w:val="24"/>
        </w:rPr>
        <w:t>The Individuals with Disabilities Education Act</w:t>
      </w:r>
      <w:r w:rsidR="00E758AE">
        <w:rPr>
          <w:rFonts w:ascii="Times New Roman" w:hAnsi="Times New Roman" w:cs="Times New Roman"/>
          <w:sz w:val="24"/>
        </w:rPr>
        <w:t xml:space="preserve"> (IDEA)</w:t>
      </w:r>
      <w:r w:rsidRPr="00BB73CF">
        <w:rPr>
          <w:rFonts w:ascii="Times New Roman" w:hAnsi="Times New Roman" w:cs="Times New Roman"/>
          <w:sz w:val="24"/>
        </w:rPr>
        <w:t xml:space="preserve">, when signed on December 3, 2004, became PL 108-446. </w:t>
      </w:r>
      <w:r w:rsidR="005C07A8">
        <w:rPr>
          <w:rFonts w:ascii="Times New Roman" w:hAnsi="Times New Roman" w:cs="Times New Roman"/>
          <w:sz w:val="24"/>
        </w:rPr>
        <w:t>I</w:t>
      </w:r>
      <w:r w:rsidRPr="00BB73CF">
        <w:rPr>
          <w:rFonts w:ascii="Times New Roman" w:hAnsi="Times New Roman" w:cs="Times New Roman"/>
          <w:sz w:val="24"/>
        </w:rPr>
        <w:t>n accordance with 20 U.S.C. 1412(a) a State is eligible for assistance under Part B for a fiscal year if the State submits a plan that provides assurances to the Secretary that the State has in effect policies and procedures to ensure that the State meets each of the conditions found in 20 U.S.C. 1412. Information Collection 1820-0030 allows a State to provide the required assurances indicating that it either has or does not have in effect policies and procedures to meet the eligibility requirements of Part B of the Act as found in PL 108-446.</w:t>
      </w:r>
    </w:p>
    <w:p w:rsidR="00661149" w:rsidP="0B514B94" w14:paraId="420D0655" w14:textId="3018B02E">
      <w:pPr>
        <w:pStyle w:val="BodyTextIndent"/>
        <w:spacing w:after="120"/>
        <w:ind w:left="720" w:firstLine="0"/>
        <w:rPr>
          <w:rFonts w:ascii="Times New Roman" w:hAnsi="Times New Roman" w:cs="Times New Roman"/>
          <w:sz w:val="24"/>
        </w:rPr>
      </w:pPr>
      <w:r w:rsidRPr="0B514B94">
        <w:rPr>
          <w:rFonts w:ascii="Times New Roman" w:hAnsi="Times New Roman" w:cs="Times New Roman"/>
          <w:sz w:val="24"/>
        </w:rPr>
        <w:t xml:space="preserve">The Department is proposing to revise this information collection to </w:t>
      </w:r>
      <w:r w:rsidRPr="0B514B94" w:rsidR="009F33AB">
        <w:rPr>
          <w:rFonts w:ascii="Times New Roman" w:hAnsi="Times New Roman" w:cs="Times New Roman"/>
          <w:sz w:val="24"/>
        </w:rPr>
        <w:t xml:space="preserve">remove </w:t>
      </w:r>
      <w:r w:rsidRPr="0B514B94" w:rsidR="00B4586D">
        <w:rPr>
          <w:rFonts w:ascii="Times New Roman" w:hAnsi="Times New Roman" w:cs="Times New Roman"/>
          <w:sz w:val="24"/>
        </w:rPr>
        <w:t>the Significant Disproportionality data collection</w:t>
      </w:r>
      <w:r w:rsidRPr="0B514B94" w:rsidR="00356414">
        <w:rPr>
          <w:rFonts w:ascii="Times New Roman" w:hAnsi="Times New Roman" w:cs="Times New Roman"/>
          <w:sz w:val="24"/>
        </w:rPr>
        <w:t>, under IDEA section 618(d) and 34 CFR §§300.646 and 300.647</w:t>
      </w:r>
      <w:r w:rsidRPr="0B514B94" w:rsidR="00BE775D">
        <w:rPr>
          <w:rFonts w:ascii="Times New Roman" w:hAnsi="Times New Roman" w:cs="Times New Roman"/>
          <w:sz w:val="24"/>
        </w:rPr>
        <w:t>,</w:t>
      </w:r>
      <w:r w:rsidRPr="0B514B94" w:rsidR="00356414">
        <w:rPr>
          <w:rFonts w:ascii="Times New Roman" w:hAnsi="Times New Roman" w:cs="Times New Roman"/>
          <w:sz w:val="24"/>
        </w:rPr>
        <w:t xml:space="preserve"> from </w:t>
      </w:r>
      <w:r w:rsidRPr="0B514B94" w:rsidR="001C2DEE">
        <w:rPr>
          <w:rFonts w:ascii="Times New Roman" w:hAnsi="Times New Roman" w:cs="Times New Roman"/>
          <w:sz w:val="24"/>
        </w:rPr>
        <w:t>Section V of the</w:t>
      </w:r>
      <w:r w:rsidRPr="0B514B94" w:rsidR="00BE775D">
        <w:rPr>
          <w:rFonts w:ascii="Times New Roman" w:hAnsi="Times New Roman" w:cs="Times New Roman"/>
          <w:sz w:val="24"/>
        </w:rPr>
        <w:t xml:space="preserve"> </w:t>
      </w:r>
      <w:r w:rsidRPr="0B514B94" w:rsidR="00542787">
        <w:rPr>
          <w:rFonts w:ascii="Times New Roman" w:hAnsi="Times New Roman" w:cs="Times New Roman"/>
          <w:sz w:val="24"/>
        </w:rPr>
        <w:t xml:space="preserve">Annual State </w:t>
      </w:r>
      <w:r w:rsidRPr="0B514B94" w:rsidR="00542787">
        <w:rPr>
          <w:rFonts w:ascii="Times New Roman" w:hAnsi="Times New Roman" w:cs="Times New Roman"/>
          <w:sz w:val="24"/>
        </w:rPr>
        <w:t>Application</w:t>
      </w:r>
      <w:r w:rsidRPr="0B514B94" w:rsidR="00204E11">
        <w:rPr>
          <w:rFonts w:ascii="Times New Roman" w:hAnsi="Times New Roman" w:cs="Times New Roman"/>
          <w:sz w:val="24"/>
        </w:rPr>
        <w:t>.</w:t>
      </w:r>
      <w:r w:rsidRPr="0B514B94" w:rsidR="00F036CB">
        <w:rPr>
          <w:rFonts w:ascii="Times New Roman" w:hAnsi="Times New Roman" w:cs="Times New Roman"/>
          <w:sz w:val="24"/>
        </w:rPr>
        <w:t>The</w:t>
      </w:r>
      <w:r w:rsidRPr="0B514B94" w:rsidR="00F036CB">
        <w:rPr>
          <w:rFonts w:ascii="Times New Roman" w:hAnsi="Times New Roman" w:cs="Times New Roman"/>
          <w:sz w:val="24"/>
        </w:rPr>
        <w:t xml:space="preserve"> Department</w:t>
      </w:r>
      <w:r w:rsidRPr="0B514B94" w:rsidR="00E210E3">
        <w:rPr>
          <w:rFonts w:ascii="Times New Roman" w:hAnsi="Times New Roman" w:cs="Times New Roman"/>
          <w:sz w:val="24"/>
        </w:rPr>
        <w:t xml:space="preserve"> believes that removal of the data collection related to </w:t>
      </w:r>
      <w:r w:rsidRPr="0B514B94" w:rsidR="00C4418B">
        <w:rPr>
          <w:rFonts w:ascii="Times New Roman" w:hAnsi="Times New Roman" w:cs="Times New Roman"/>
          <w:sz w:val="24"/>
        </w:rPr>
        <w:t>S</w:t>
      </w:r>
      <w:r w:rsidRPr="0B514B94" w:rsidR="00E210E3">
        <w:rPr>
          <w:rFonts w:ascii="Times New Roman" w:hAnsi="Times New Roman" w:cs="Times New Roman"/>
          <w:sz w:val="24"/>
        </w:rPr>
        <w:t>ignifica</w:t>
      </w:r>
      <w:r w:rsidRPr="0B514B94" w:rsidR="00434FE9">
        <w:rPr>
          <w:rFonts w:ascii="Times New Roman" w:hAnsi="Times New Roman" w:cs="Times New Roman"/>
          <w:sz w:val="24"/>
        </w:rPr>
        <w:t>nt</w:t>
      </w:r>
      <w:r w:rsidRPr="0B514B94" w:rsidR="00E210E3">
        <w:rPr>
          <w:rFonts w:ascii="Times New Roman" w:hAnsi="Times New Roman" w:cs="Times New Roman"/>
          <w:sz w:val="24"/>
        </w:rPr>
        <w:t xml:space="preserve"> </w:t>
      </w:r>
      <w:r w:rsidRPr="0B514B94" w:rsidR="00434FE9">
        <w:rPr>
          <w:rFonts w:ascii="Times New Roman" w:hAnsi="Times New Roman" w:cs="Times New Roman"/>
          <w:sz w:val="24"/>
        </w:rPr>
        <w:t>D</w:t>
      </w:r>
      <w:r w:rsidRPr="0B514B94" w:rsidR="00E210E3">
        <w:rPr>
          <w:rFonts w:ascii="Times New Roman" w:hAnsi="Times New Roman" w:cs="Times New Roman"/>
          <w:sz w:val="24"/>
        </w:rPr>
        <w:t>isproportionality w</w:t>
      </w:r>
      <w:r w:rsidRPr="0B514B94" w:rsidR="003F1CA3">
        <w:rPr>
          <w:rFonts w:ascii="Times New Roman" w:hAnsi="Times New Roman" w:cs="Times New Roman"/>
          <w:sz w:val="24"/>
        </w:rPr>
        <w:t xml:space="preserve">ill </w:t>
      </w:r>
      <w:r w:rsidRPr="0B514B94" w:rsidR="00E210E3">
        <w:rPr>
          <w:rFonts w:ascii="Times New Roman" w:hAnsi="Times New Roman" w:cs="Times New Roman"/>
          <w:sz w:val="24"/>
        </w:rPr>
        <w:t xml:space="preserve">reduce the </w:t>
      </w:r>
      <w:r w:rsidRPr="0B514B94" w:rsidR="00C309BA">
        <w:rPr>
          <w:rFonts w:ascii="Times New Roman" w:hAnsi="Times New Roman" w:cs="Times New Roman"/>
          <w:sz w:val="24"/>
        </w:rPr>
        <w:t>burden on respondents when completing the Annual State Application</w:t>
      </w:r>
      <w:r w:rsidRPr="0B514B94" w:rsidR="00B330F5">
        <w:rPr>
          <w:rFonts w:ascii="Times New Roman" w:hAnsi="Times New Roman" w:cs="Times New Roman"/>
          <w:sz w:val="24"/>
        </w:rPr>
        <w:t>.</w:t>
      </w:r>
      <w:r w:rsidRPr="0B514B94" w:rsidR="00E758AE">
        <w:rPr>
          <w:rFonts w:ascii="Times New Roman" w:hAnsi="Times New Roman" w:cs="Times New Roman"/>
          <w:sz w:val="24"/>
        </w:rPr>
        <w:t xml:space="preserve"> </w:t>
      </w:r>
    </w:p>
    <w:p w:rsidR="007B443B" w:rsidP="00434FE9" w14:paraId="5AC6486E" w14:textId="5C2531FC">
      <w:pPr>
        <w:pStyle w:val="BodyTextIndent"/>
        <w:spacing w:after="120"/>
        <w:ind w:left="720" w:firstLine="0"/>
        <w:rPr>
          <w:rFonts w:ascii="Times New Roman" w:hAnsi="Times New Roman" w:cs="Times New Roman"/>
          <w:sz w:val="24"/>
        </w:rPr>
      </w:pPr>
      <w:r w:rsidRPr="00BB73CF">
        <w:rPr>
          <w:rFonts w:ascii="Times New Roman" w:hAnsi="Times New Roman" w:cs="Times New Roman"/>
          <w:sz w:val="24"/>
        </w:rPr>
        <w:t xml:space="preserve">IDEA section 612(a)(18)(A), regarding maintenance of State financial support, requires that the State does not reduce the amount of State financial support for special education and related services for children with disabilities, or otherwise made available because of the excess costs of educating those children, below the amount of that support for the preceding fiscal year (maintenance of State financial support or MFS). Currently, pursuant to section 612(a), each State provides an assurance in Section II (Assurance 18) of its </w:t>
      </w:r>
      <w:r w:rsidR="00204E11">
        <w:rPr>
          <w:rFonts w:ascii="Times New Roman" w:hAnsi="Times New Roman" w:cs="Times New Roman"/>
          <w:sz w:val="24"/>
        </w:rPr>
        <w:t>A</w:t>
      </w:r>
      <w:r w:rsidRPr="00BB73CF">
        <w:rPr>
          <w:rFonts w:ascii="Times New Roman" w:hAnsi="Times New Roman" w:cs="Times New Roman"/>
          <w:sz w:val="24"/>
        </w:rPr>
        <w:t xml:space="preserve">nnual State </w:t>
      </w:r>
      <w:r w:rsidR="00204E11">
        <w:rPr>
          <w:rFonts w:ascii="Times New Roman" w:hAnsi="Times New Roman" w:cs="Times New Roman"/>
          <w:sz w:val="24"/>
        </w:rPr>
        <w:t>A</w:t>
      </w:r>
      <w:r w:rsidRPr="00BB73CF">
        <w:rPr>
          <w:rFonts w:ascii="Times New Roman" w:hAnsi="Times New Roman" w:cs="Times New Roman"/>
          <w:sz w:val="24"/>
        </w:rPr>
        <w:t xml:space="preserve">pplication for funds under IDEA Part B that it will meet its MFS obligations under section 612(a)(18), unless an MFS waiver is granted under section 612(a)(18)(C). The Office of Special Education Programs (OSEP) relies on this assurance to determine that a State is eligible for a grant under IDEA Part B.  </w:t>
      </w:r>
    </w:p>
    <w:p w:rsidR="007B443B" w:rsidP="0062584E" w14:paraId="571573F5" w14:textId="4B58BB8C">
      <w:pPr>
        <w:pStyle w:val="BodyTextIndent"/>
        <w:spacing w:after="120"/>
        <w:ind w:left="720" w:firstLine="0"/>
        <w:rPr>
          <w:rFonts w:ascii="Times New Roman" w:hAnsi="Times New Roman" w:cs="Times New Roman"/>
          <w:sz w:val="24"/>
        </w:rPr>
      </w:pPr>
      <w:r w:rsidRPr="00BB73CF">
        <w:rPr>
          <w:rFonts w:ascii="Times New Roman" w:hAnsi="Times New Roman" w:cs="Times New Roman"/>
          <w:sz w:val="24"/>
        </w:rPr>
        <w:t xml:space="preserve">Since FFY 2013, in addition to the assurance provided by the State in its Application that it has policies and procedures in place to comply with section 612(a)(18)(A), States have been required to report the actual whole dollar amounts in order to meet our obligation under IDEA section 616(a) to monitor and enforce the implementation of IDEA, specifically the MFS requirement in section 612(a)(18). While section 612(a)(18)(A) establishes an eligibility requirement for IDEA Part B, section 612(a)(18)(B) imposes on the Secretary an affirmative obligation to reduce a State’s allocation of funds under section 611 of the IDEA for any fiscal year following the fiscal year in which the State </w:t>
      </w:r>
      <w:r w:rsidRPr="00BB73CF">
        <w:rPr>
          <w:rFonts w:ascii="Times New Roman" w:hAnsi="Times New Roman" w:cs="Times New Roman"/>
          <w:sz w:val="24"/>
        </w:rPr>
        <w:t>fails to comply with the requirement in section 612(a)(18)(A) to maintain financial support, by the same amount by which the State fails to meet the MFS requirement (unless the State receives a waiver under section 612(a)(18)(C)). Collecting this data enables OSEP to enforce section 612(a)(18)(B) in a more consistent manner. Section 618(a)(3) provides the Secretary with the authority to collect annual data on any information that may be required by the Secretary. By accepting IDEA Part B funds, a State assures, in accordance with</w:t>
      </w:r>
      <w:r w:rsidRPr="00BB73CF">
        <w:t xml:space="preserve"> </w:t>
      </w:r>
      <w:r w:rsidRPr="00BB73CF">
        <w:rPr>
          <w:rFonts w:ascii="Times New Roman" w:hAnsi="Times New Roman" w:cs="Times New Roman"/>
          <w:sz w:val="24"/>
        </w:rPr>
        <w:t xml:space="preserve">2 CFR </w:t>
      </w:r>
      <w:r>
        <w:rPr>
          <w:rFonts w:ascii="Times New Roman" w:hAnsi="Times New Roman" w:cs="Times New Roman"/>
          <w:sz w:val="24"/>
        </w:rPr>
        <w:t>§</w:t>
      </w:r>
      <w:r w:rsidRPr="00BB73CF">
        <w:rPr>
          <w:rFonts w:ascii="Times New Roman" w:hAnsi="Times New Roman" w:cs="Times New Roman"/>
          <w:sz w:val="24"/>
        </w:rPr>
        <w:t>200.208</w:t>
      </w:r>
      <w:r>
        <w:rPr>
          <w:rFonts w:ascii="Times New Roman" w:hAnsi="Times New Roman" w:cs="Times New Roman"/>
          <w:sz w:val="24"/>
        </w:rPr>
        <w:t xml:space="preserve"> and 34 CFR §76.104</w:t>
      </w:r>
      <w:r w:rsidRPr="00BB73CF">
        <w:rPr>
          <w:rFonts w:ascii="Times New Roman" w:hAnsi="Times New Roman" w:cs="Times New Roman"/>
          <w:sz w:val="24"/>
        </w:rPr>
        <w:t xml:space="preserve">, that it will comply with all applicable Federal statutes and regulations in effect during the applicable grant period.   </w:t>
      </w:r>
    </w:p>
    <w:p w:rsidR="007B443B" w:rsidRPr="00BB73CF" w:rsidP="005B1AEB" w14:paraId="6D0E6733" w14:textId="2C40AE41">
      <w:pPr>
        <w:pStyle w:val="BodyTextIndent"/>
        <w:spacing w:after="120"/>
        <w:ind w:left="720" w:firstLine="0"/>
        <w:rPr>
          <w:rFonts w:ascii="Times New Roman" w:hAnsi="Times New Roman" w:cs="Times New Roman"/>
          <w:sz w:val="24"/>
        </w:rPr>
      </w:pPr>
      <w:r w:rsidRPr="00BB73CF">
        <w:rPr>
          <w:rFonts w:ascii="Times New Roman" w:hAnsi="Times New Roman" w:cs="Times New Roman"/>
          <w:sz w:val="24"/>
        </w:rPr>
        <w:t xml:space="preserve">The data required in this collection are data that States </w:t>
      </w:r>
      <w:r>
        <w:rPr>
          <w:rFonts w:ascii="Times New Roman" w:hAnsi="Times New Roman" w:cs="Times New Roman"/>
          <w:sz w:val="24"/>
        </w:rPr>
        <w:t xml:space="preserve">should already be </w:t>
      </w:r>
      <w:r w:rsidRPr="00BB73CF">
        <w:rPr>
          <w:rFonts w:ascii="Times New Roman" w:hAnsi="Times New Roman" w:cs="Times New Roman"/>
          <w:sz w:val="24"/>
        </w:rPr>
        <w:t xml:space="preserve">collecting in order to ensure compliance with section 612(a)(18)(A). Moreover, we believe that any burden associated with annually reporting the actual whole dollar amount of State financial support made available for special education and related services is far outweighed </w:t>
      </w:r>
      <w:r w:rsidRPr="00BB73CF">
        <w:rPr>
          <w:rFonts w:ascii="Times New Roman" w:hAnsi="Times New Roman" w:cs="Times New Roman"/>
          <w:sz w:val="24"/>
        </w:rPr>
        <w:t>by:</w:t>
      </w:r>
      <w:r w:rsidRPr="00BB73CF">
        <w:rPr>
          <w:rFonts w:ascii="Times New Roman" w:hAnsi="Times New Roman" w:cs="Times New Roman"/>
          <w:sz w:val="24"/>
        </w:rPr>
        <w:t xml:space="preserve"> 1) the increased public transparency associated with the data’s collection, and 2) the necessity to collect the data to monitor and enforce the requirement to maintain effort.  </w:t>
      </w:r>
    </w:p>
    <w:p w:rsidR="00B70596" w:rsidP="008252DA" w14:paraId="7A13F62C" w14:textId="77777777">
      <w:pPr>
        <w:pStyle w:val="ListParagraph"/>
        <w:spacing w:after="120"/>
        <w:rPr>
          <w:rFonts w:ascii="Times New Roman" w:eastAsia="PMingLiU" w:hAnsi="Times New Roman"/>
          <w:szCs w:val="24"/>
        </w:rPr>
      </w:pPr>
      <w:r w:rsidRPr="007B443B">
        <w:rPr>
          <w:rFonts w:ascii="Times New Roman" w:hAnsi="Times New Roman"/>
          <w:szCs w:val="24"/>
        </w:rPr>
        <w:t xml:space="preserve">It should be noted that the requirements for the Annual State Application, as outlined in this request, are adequate to meet the requirements for eligibility under section 619.  States do not submit a separate application for section 619; rather, a State is eligible for a grant under section 619 if the State is eligible under section 612 to receive a grant under Part B (and meets the definition of a State in section 619(i)). Therefore, it is the Department’s intent by this submission to cover under the Paperwork Reduction Act the relevant State eligibility provisions for both sections 612 and 619. Information Collection 1820-0030 corresponds with 34 CFR </w:t>
      </w:r>
      <w:r w:rsidRPr="007B443B">
        <w:rPr>
          <w:rFonts w:ascii="Times New Roman" w:eastAsia="PMingLiU" w:hAnsi="Times New Roman"/>
          <w:szCs w:val="24"/>
        </w:rPr>
        <w:t>§§ 300.100-176; 300.199; 300.640-645; and 300.705. These sections include the requirement that the Secretary and local educational agencies located in the State be notified of any State-imposed rule, regulation, or policy that is not required by this title and Federal regulation.</w:t>
      </w:r>
      <w:r w:rsidR="008252DA">
        <w:rPr>
          <w:rFonts w:ascii="Times New Roman" w:eastAsia="PMingLiU" w:hAnsi="Times New Roman"/>
          <w:szCs w:val="24"/>
        </w:rPr>
        <w:t xml:space="preserve"> </w:t>
      </w:r>
    </w:p>
    <w:p w:rsidR="00B70596" w:rsidP="008252DA" w14:paraId="789C71BC" w14:textId="77777777">
      <w:pPr>
        <w:pStyle w:val="ListParagraph"/>
        <w:spacing w:after="120"/>
        <w:rPr>
          <w:rFonts w:ascii="Times New Roman" w:eastAsia="PMingLiU" w:hAnsi="Times New Roman"/>
          <w:szCs w:val="24"/>
        </w:rPr>
      </w:pPr>
    </w:p>
    <w:p w:rsidR="007B443B" w:rsidP="008252DA" w14:paraId="1D7CC922" w14:textId="6AD7EC98">
      <w:pPr>
        <w:pStyle w:val="ListParagraph"/>
        <w:spacing w:after="120"/>
        <w:rPr>
          <w:rFonts w:ascii="Times New Roman" w:hAnsi="Times New Roman"/>
          <w:szCs w:val="24"/>
        </w:rPr>
      </w:pPr>
      <w:r w:rsidRPr="007B443B">
        <w:rPr>
          <w:rFonts w:ascii="Times New Roman" w:hAnsi="Times New Roman"/>
          <w:szCs w:val="24"/>
        </w:rPr>
        <w:t xml:space="preserve">This collection is conducted in a manner that is consistent with the guidelines in 5 CFR </w:t>
      </w:r>
      <w:r w:rsidRPr="007B443B">
        <w:rPr>
          <w:rFonts w:ascii="Times New Roman" w:eastAsia="PMingLiU" w:hAnsi="Times New Roman"/>
          <w:szCs w:val="24"/>
        </w:rPr>
        <w:t>§</w:t>
      </w:r>
      <w:r w:rsidRPr="007B443B">
        <w:rPr>
          <w:rFonts w:ascii="Times New Roman" w:hAnsi="Times New Roman"/>
          <w:szCs w:val="24"/>
        </w:rPr>
        <w:t>1320.5.</w:t>
      </w:r>
    </w:p>
    <w:p w:rsidR="002844E7" w:rsidP="008252DA" w14:paraId="2FF08EA2" w14:textId="77777777">
      <w:pPr>
        <w:pStyle w:val="ListParagraph"/>
        <w:spacing w:after="120"/>
        <w:rPr>
          <w:rFonts w:ascii="Times New Roman" w:hAnsi="Times New Roman"/>
          <w:szCs w:val="24"/>
        </w:rPr>
      </w:pPr>
    </w:p>
    <w:p w:rsidR="00AD381B" w:rsidRPr="00100B55" w:rsidP="00D63EF0" w14:paraId="58CE252A" w14:textId="77777777">
      <w:pPr>
        <w:pStyle w:val="ListParagraph"/>
        <w:numPr>
          <w:ilvl w:val="0"/>
          <w:numId w:val="4"/>
        </w:numPr>
        <w:suppressAutoHyphens/>
        <w:spacing w:after="120"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6359C3" w:rsidRPr="00BB73CF" w:rsidP="00D63EF0" w14:paraId="49361A7B" w14:textId="7BF69873">
      <w:pPr>
        <w:tabs>
          <w:tab w:val="left" w:pos="-720"/>
        </w:tabs>
        <w:suppressAutoHyphens/>
        <w:ind w:left="720"/>
        <w:rPr>
          <w:rFonts w:ascii="Times New Roman" w:hAnsi="Times New Roman"/>
          <w:szCs w:val="24"/>
        </w:rPr>
      </w:pPr>
      <w:r w:rsidRPr="00BB73CF">
        <w:rPr>
          <w:rFonts w:ascii="Times New Roman" w:hAnsi="Times New Roman"/>
          <w:szCs w:val="24"/>
        </w:rPr>
        <w:t>The information gathered through Information Collection 1820-0030 is used by the Monitoring and State Improvement Planning Division (MSIP), OSEP, to assist in determining</w:t>
      </w:r>
      <w:r w:rsidR="001902EF">
        <w:rPr>
          <w:rFonts w:ascii="Times New Roman" w:hAnsi="Times New Roman"/>
          <w:szCs w:val="24"/>
        </w:rPr>
        <w:t xml:space="preserve"> </w:t>
      </w:r>
      <w:r w:rsidRPr="00BB73CF">
        <w:rPr>
          <w:rFonts w:ascii="Times New Roman" w:hAnsi="Times New Roman"/>
          <w:szCs w:val="24"/>
        </w:rPr>
        <w:t xml:space="preserve">grant eligibility for each State. The information will be evaluated by Education Program Specialists to identify State and national needs for services required to meet the FAPE requirement for children with disabilities (Part B, 20 U.S.C. 1412) and to provide to Congress and to the general public programmatic information, as appropriate. Information related to </w:t>
      </w:r>
      <w:r w:rsidRPr="00BB73CF">
        <w:rPr>
          <w:rFonts w:ascii="Times New Roman" w:hAnsi="Times New Roman"/>
        </w:rPr>
        <w:t xml:space="preserve">IDEA section 612(a)(18)(A) regarding maintenance of State financial support has been used to monitor and enforce the maintenance of State financial support requirements. </w:t>
      </w:r>
    </w:p>
    <w:p w:rsidR="00AD381B" w:rsidP="00D63EF0" w14:paraId="58CE252B" w14:textId="77777777">
      <w:pPr>
        <w:suppressAutoHyphens/>
        <w:spacing w:line="240" w:lineRule="exact"/>
        <w:ind w:left="720"/>
        <w:rPr>
          <w:rFonts w:ascii="Times New Roman" w:hAnsi="Times New Roman"/>
          <w:szCs w:val="24"/>
        </w:rPr>
      </w:pPr>
    </w:p>
    <w:p w:rsidR="00043C32" w:rsidRPr="00AD381B" w:rsidP="00AD381B" w14:paraId="58CE252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14:paraId="58CE252E" w14:textId="77777777">
      <w:pPr>
        <w:pStyle w:val="ListParagraph"/>
        <w:tabs>
          <w:tab w:val="left" w:pos="-720"/>
        </w:tabs>
        <w:suppressAutoHyphens/>
        <w:contextualSpacing w:val="0"/>
        <w:rPr>
          <w:rFonts w:ascii="Times New Roman" w:hAnsi="Times New Roman"/>
          <w:szCs w:val="24"/>
        </w:rPr>
      </w:pPr>
    </w:p>
    <w:p w:rsidR="004C6161" w:rsidRPr="00BB73CF" w:rsidP="004C6161" w14:paraId="210D1CFF" w14:textId="50D35411">
      <w:pPr>
        <w:tabs>
          <w:tab w:val="left" w:pos="-720"/>
        </w:tabs>
        <w:suppressAutoHyphens/>
        <w:ind w:left="720"/>
        <w:rPr>
          <w:rFonts w:ascii="Times New Roman" w:hAnsi="Times New Roman"/>
          <w:szCs w:val="24"/>
        </w:rPr>
      </w:pPr>
      <w:r w:rsidRPr="00BB73CF">
        <w:rPr>
          <w:rFonts w:ascii="Times New Roman" w:hAnsi="Times New Roman"/>
          <w:szCs w:val="24"/>
        </w:rPr>
        <w:t xml:space="preserve">States </w:t>
      </w:r>
      <w:r w:rsidR="00792A35">
        <w:rPr>
          <w:rFonts w:ascii="Times New Roman" w:hAnsi="Times New Roman"/>
          <w:szCs w:val="24"/>
        </w:rPr>
        <w:t xml:space="preserve">reduce burden by </w:t>
      </w:r>
      <w:r w:rsidR="008842FB">
        <w:rPr>
          <w:rFonts w:ascii="Times New Roman" w:hAnsi="Times New Roman"/>
          <w:szCs w:val="24"/>
        </w:rPr>
        <w:t xml:space="preserve">using </w:t>
      </w:r>
      <w:r w:rsidRPr="00BB73CF">
        <w:rPr>
          <w:rFonts w:ascii="Times New Roman" w:hAnsi="Times New Roman"/>
          <w:szCs w:val="24"/>
        </w:rPr>
        <w:t xml:space="preserve">computerized data bases to </w:t>
      </w:r>
      <w:r w:rsidR="00D214BC">
        <w:rPr>
          <w:rFonts w:ascii="Times New Roman" w:hAnsi="Times New Roman"/>
          <w:szCs w:val="24"/>
        </w:rPr>
        <w:t>maintain data needed for th</w:t>
      </w:r>
      <w:r w:rsidR="00792A35">
        <w:rPr>
          <w:rFonts w:ascii="Times New Roman" w:hAnsi="Times New Roman"/>
          <w:szCs w:val="24"/>
        </w:rPr>
        <w:t xml:space="preserve">is information collection. </w:t>
      </w:r>
      <w:r w:rsidRPr="00BB73CF">
        <w:rPr>
          <w:rFonts w:ascii="Times New Roman" w:hAnsi="Times New Roman"/>
          <w:szCs w:val="24"/>
        </w:rPr>
        <w:t>States may electronically submit any information or revisions to the State application</w:t>
      </w:r>
      <w:r w:rsidR="001A4E1C">
        <w:rPr>
          <w:rFonts w:ascii="Times New Roman" w:hAnsi="Times New Roman"/>
          <w:szCs w:val="24"/>
        </w:rPr>
        <w:t>.</w:t>
      </w:r>
    </w:p>
    <w:p w:rsidR="00AD381B" w:rsidP="00AD381B" w14:paraId="58CE252F" w14:textId="77777777">
      <w:pPr>
        <w:pStyle w:val="ListParagraph"/>
        <w:tabs>
          <w:tab w:val="left" w:pos="-720"/>
        </w:tabs>
        <w:suppressAutoHyphens/>
        <w:contextualSpacing w:val="0"/>
        <w:rPr>
          <w:rFonts w:ascii="Times New Roman" w:hAnsi="Times New Roman"/>
          <w:szCs w:val="24"/>
        </w:rPr>
      </w:pPr>
    </w:p>
    <w:p w:rsidR="00AD381B" w:rsidP="00F20F48" w14:paraId="58CE2530" w14:textId="77777777">
      <w:pPr>
        <w:pStyle w:val="ListParagraph"/>
        <w:numPr>
          <w:ilvl w:val="0"/>
          <w:numId w:val="4"/>
        </w:numPr>
        <w:tabs>
          <w:tab w:val="left" w:pos="-720"/>
        </w:tabs>
        <w:suppressAutoHyphens/>
        <w:spacing w:after="120"/>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F20F48" w:rsidRPr="00F20F48" w:rsidP="00F20F48" w14:paraId="0C78DABC" w14:textId="22325C69">
      <w:pPr>
        <w:pStyle w:val="ListParagraph"/>
        <w:tabs>
          <w:tab w:val="left" w:pos="-720"/>
        </w:tabs>
        <w:suppressAutoHyphens/>
        <w:rPr>
          <w:rFonts w:ascii="Times New Roman" w:hAnsi="Times New Roman"/>
          <w:szCs w:val="24"/>
        </w:rPr>
      </w:pPr>
      <w:r w:rsidRPr="00F20F48">
        <w:rPr>
          <w:rFonts w:ascii="Times New Roman" w:hAnsi="Times New Roman"/>
          <w:szCs w:val="24"/>
        </w:rPr>
        <w:t>The Annual State Application was reviewed by the EDFacts team (Office of Planning, Evaluation and Policy Development) and Office of the Chief Privacy Officer. This application has been determined to be "</w:t>
      </w:r>
      <w:r w:rsidRPr="00F20F48">
        <w:rPr>
          <w:rFonts w:ascii="Times New Roman" w:hAnsi="Times New Roman"/>
          <w:szCs w:val="24"/>
        </w:rPr>
        <w:t>unEDENable</w:t>
      </w:r>
      <w:r w:rsidRPr="00F20F48">
        <w:rPr>
          <w:rFonts w:ascii="Times New Roman" w:hAnsi="Times New Roman"/>
          <w:szCs w:val="24"/>
        </w:rPr>
        <w:t>" and not to duplicate any other collection.</w:t>
      </w:r>
    </w:p>
    <w:p w:rsidR="00043C32" w:rsidP="00AD381B" w14:paraId="58CE2532"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4053D1" w14:paraId="58CE2533" w14:textId="77777777">
      <w:pPr>
        <w:pStyle w:val="ListParagraph"/>
        <w:contextualSpacing w:val="0"/>
        <w:rPr>
          <w:rFonts w:ascii="Times New Roman" w:hAnsi="Times New Roman"/>
          <w:szCs w:val="24"/>
        </w:rPr>
      </w:pPr>
    </w:p>
    <w:p w:rsidR="004053D1" w:rsidRPr="00BB73CF" w:rsidP="004053D1" w14:paraId="7B097E11" w14:textId="77777777">
      <w:pPr>
        <w:tabs>
          <w:tab w:val="left" w:pos="-720"/>
        </w:tabs>
        <w:suppressAutoHyphens/>
        <w:ind w:left="720"/>
        <w:rPr>
          <w:rFonts w:ascii="Times New Roman" w:hAnsi="Times New Roman"/>
          <w:szCs w:val="24"/>
        </w:rPr>
      </w:pPr>
      <w:r w:rsidRPr="00BB73CF">
        <w:rPr>
          <w:rFonts w:ascii="Times New Roman" w:hAnsi="Times New Roman"/>
          <w:szCs w:val="24"/>
        </w:rPr>
        <w:t>The information requested does not involve the collection of information from entities classified as small business.</w:t>
      </w:r>
    </w:p>
    <w:p w:rsidR="00AD381B" w:rsidP="00AD381B" w14:paraId="58CE2534" w14:textId="77777777">
      <w:pPr>
        <w:pStyle w:val="ListParagraph"/>
        <w:contextualSpacing w:val="0"/>
        <w:rPr>
          <w:rFonts w:ascii="Times New Roman" w:hAnsi="Times New Roman"/>
          <w:szCs w:val="24"/>
        </w:rPr>
      </w:pPr>
    </w:p>
    <w:p w:rsidR="00043C32" w:rsidP="00147422" w14:paraId="58CE2535" w14:textId="77777777">
      <w:pPr>
        <w:pStyle w:val="ListParagraph"/>
        <w:numPr>
          <w:ilvl w:val="0"/>
          <w:numId w:val="4"/>
        </w:numPr>
        <w:tabs>
          <w:tab w:val="left" w:pos="-720"/>
        </w:tabs>
        <w:suppressAutoHyphens/>
        <w:spacing w:after="120"/>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147422" w:rsidRPr="00147422" w:rsidP="00147422" w14:paraId="0774AA3E" w14:textId="26437CE5">
      <w:pPr>
        <w:tabs>
          <w:tab w:val="left" w:pos="-720"/>
        </w:tabs>
        <w:suppressAutoHyphens/>
        <w:ind w:left="720"/>
        <w:rPr>
          <w:rFonts w:ascii="Times New Roman" w:hAnsi="Times New Roman"/>
          <w:bCs/>
          <w:szCs w:val="24"/>
        </w:rPr>
      </w:pPr>
      <w:r w:rsidRPr="00147422">
        <w:rPr>
          <w:rFonts w:ascii="Times New Roman" w:hAnsi="Times New Roman"/>
          <w:bCs/>
          <w:szCs w:val="24"/>
        </w:rPr>
        <w:t>Items 1</w:t>
      </w:r>
      <w:r w:rsidR="00037E79">
        <w:rPr>
          <w:rFonts w:ascii="Times New Roman" w:hAnsi="Times New Roman"/>
          <w:bCs/>
          <w:szCs w:val="24"/>
        </w:rPr>
        <w:t xml:space="preserve"> and </w:t>
      </w:r>
      <w:r w:rsidRPr="00147422">
        <w:rPr>
          <w:rFonts w:ascii="Times New Roman" w:hAnsi="Times New Roman"/>
          <w:bCs/>
          <w:szCs w:val="24"/>
        </w:rPr>
        <w:t>2 would not be accomplished unless directed by Federal statute.</w:t>
      </w:r>
    </w:p>
    <w:p w:rsidR="00147422" w:rsidRPr="00147422" w:rsidP="00147422" w14:paraId="4EFD00F7" w14:textId="77777777">
      <w:pPr>
        <w:tabs>
          <w:tab w:val="left" w:pos="-720"/>
        </w:tabs>
        <w:suppressAutoHyphens/>
        <w:rPr>
          <w:rFonts w:ascii="Times New Roman" w:hAnsi="Times New Roman"/>
          <w:b/>
          <w:szCs w:val="24"/>
        </w:rPr>
      </w:pPr>
    </w:p>
    <w:p w:rsidR="00043C32" w:rsidRPr="00AD381B" w:rsidP="00AD381B" w14:paraId="58CE253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58CE2537" w14:textId="77777777">
      <w:pPr>
        <w:tabs>
          <w:tab w:val="left" w:pos="-720"/>
        </w:tabs>
        <w:suppressAutoHyphens/>
        <w:rPr>
          <w:rFonts w:ascii="Times New Roman" w:hAnsi="Times New Roman"/>
          <w:b/>
          <w:szCs w:val="24"/>
        </w:rPr>
      </w:pPr>
    </w:p>
    <w:p w:rsidR="00043C32" w:rsidRPr="00AD381B" w:rsidP="00AD381B" w14:paraId="58CE253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AD381B" w14:paraId="58CE2539" w14:textId="77777777">
      <w:pPr>
        <w:numPr>
          <w:ilvl w:val="12"/>
          <w:numId w:val="0"/>
        </w:numPr>
        <w:tabs>
          <w:tab w:val="left" w:pos="-720"/>
        </w:tabs>
        <w:suppressAutoHyphens/>
        <w:ind w:left="340"/>
        <w:rPr>
          <w:rFonts w:ascii="Times New Roman" w:hAnsi="Times New Roman"/>
          <w:b/>
          <w:szCs w:val="24"/>
        </w:rPr>
      </w:pPr>
    </w:p>
    <w:p w:rsidR="00043C32" w:rsidRPr="00AD381B" w:rsidP="00AD381B" w14:paraId="58CE253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AD381B" w14:paraId="58CE253B" w14:textId="77777777">
      <w:pPr>
        <w:numPr>
          <w:ilvl w:val="12"/>
          <w:numId w:val="0"/>
        </w:numPr>
        <w:tabs>
          <w:tab w:val="left" w:pos="-720"/>
        </w:tabs>
        <w:suppressAutoHyphens/>
        <w:rPr>
          <w:rFonts w:ascii="Times New Roman" w:hAnsi="Times New Roman"/>
          <w:b/>
          <w:szCs w:val="24"/>
        </w:rPr>
      </w:pPr>
    </w:p>
    <w:p w:rsidR="00043C32" w:rsidRPr="00AD381B" w:rsidP="00AD381B" w14:paraId="58CE253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AD381B" w:rsidP="00AD381B" w14:paraId="58CE253D" w14:textId="77777777">
      <w:pPr>
        <w:numPr>
          <w:ilvl w:val="12"/>
          <w:numId w:val="0"/>
        </w:numPr>
        <w:tabs>
          <w:tab w:val="left" w:pos="-720"/>
        </w:tabs>
        <w:suppressAutoHyphens/>
        <w:rPr>
          <w:rFonts w:ascii="Times New Roman" w:hAnsi="Times New Roman"/>
          <w:b/>
          <w:szCs w:val="24"/>
        </w:rPr>
      </w:pPr>
    </w:p>
    <w:p w:rsidR="00043C32" w:rsidRPr="00AD381B" w:rsidP="00AD381B" w14:paraId="58CE253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AD381B" w14:paraId="58CE253F" w14:textId="77777777">
      <w:pPr>
        <w:numPr>
          <w:ilvl w:val="12"/>
          <w:numId w:val="0"/>
        </w:numPr>
        <w:tabs>
          <w:tab w:val="left" w:pos="-720"/>
        </w:tabs>
        <w:suppressAutoHyphens/>
        <w:rPr>
          <w:rFonts w:ascii="Times New Roman" w:hAnsi="Times New Roman"/>
          <w:b/>
          <w:szCs w:val="24"/>
        </w:rPr>
      </w:pPr>
    </w:p>
    <w:p w:rsidR="00043C32" w:rsidRPr="00AD381B" w:rsidP="00AD381B" w14:paraId="58CE254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AD381B" w:rsidP="00AD381B" w14:paraId="58CE2541" w14:textId="77777777">
      <w:pPr>
        <w:numPr>
          <w:ilvl w:val="12"/>
          <w:numId w:val="0"/>
        </w:numPr>
        <w:tabs>
          <w:tab w:val="left" w:pos="-720"/>
        </w:tabs>
        <w:suppressAutoHyphens/>
        <w:rPr>
          <w:rFonts w:ascii="Times New Roman" w:hAnsi="Times New Roman"/>
          <w:b/>
          <w:szCs w:val="24"/>
        </w:rPr>
      </w:pPr>
    </w:p>
    <w:p w:rsidR="00043C32" w:rsidRPr="00AD381B" w:rsidP="00AD381B" w14:paraId="58CE254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AD381B" w14:paraId="58CE2543" w14:textId="77777777">
      <w:pPr>
        <w:numPr>
          <w:ilvl w:val="12"/>
          <w:numId w:val="0"/>
        </w:numPr>
        <w:tabs>
          <w:tab w:val="left" w:pos="-720"/>
        </w:tabs>
        <w:suppressAutoHyphens/>
        <w:rPr>
          <w:rFonts w:ascii="Times New Roman" w:hAnsi="Times New Roman"/>
          <w:b/>
          <w:szCs w:val="24"/>
        </w:rPr>
      </w:pPr>
    </w:p>
    <w:p w:rsidR="00043C32" w:rsidRPr="00AD381B" w:rsidP="00AD381B" w14:paraId="58CE254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AD381B" w:rsidP="00AD381B" w14:paraId="58CE2545" w14:textId="77777777">
      <w:pPr>
        <w:numPr>
          <w:ilvl w:val="12"/>
          <w:numId w:val="0"/>
        </w:numPr>
        <w:tabs>
          <w:tab w:val="left" w:pos="-720"/>
        </w:tabs>
        <w:suppressAutoHyphens/>
        <w:rPr>
          <w:rFonts w:ascii="Times New Roman" w:hAnsi="Times New Roman"/>
          <w:b/>
          <w:szCs w:val="24"/>
        </w:rPr>
      </w:pPr>
    </w:p>
    <w:p w:rsidR="00043C32" w:rsidP="00524F90" w14:paraId="58CE2546" w14:textId="77777777">
      <w:pPr>
        <w:numPr>
          <w:ilvl w:val="0"/>
          <w:numId w:val="3"/>
        </w:numPr>
        <w:tabs>
          <w:tab w:val="left" w:pos="-720"/>
          <w:tab w:val="clear" w:pos="1440"/>
        </w:tabs>
        <w:suppressAutoHyphens/>
        <w:spacing w:after="120"/>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524F90" w:rsidRPr="00524F90" w:rsidP="00D04FE4" w14:paraId="7C5D9C1E" w14:textId="5C9D1368">
      <w:pPr>
        <w:tabs>
          <w:tab w:val="left" w:pos="-720"/>
        </w:tabs>
        <w:suppressAutoHyphens/>
        <w:ind w:left="720"/>
        <w:rPr>
          <w:rFonts w:ascii="Times New Roman" w:hAnsi="Times New Roman"/>
          <w:szCs w:val="24"/>
        </w:rPr>
      </w:pPr>
      <w:r w:rsidRPr="00524F90">
        <w:rPr>
          <w:rFonts w:ascii="Times New Roman" w:hAnsi="Times New Roman"/>
          <w:szCs w:val="24"/>
        </w:rPr>
        <w:t>There are no special circumstances that would cause an information collection to be conducted as described in the bulleted items. This collection is conducted in a manner that is consistent with the guidelines in 5 CFR 1320.5.</w:t>
      </w:r>
    </w:p>
    <w:p w:rsidR="00AD381B" w:rsidRPr="00AD381B" w:rsidP="00AD381B" w14:paraId="58CE2548" w14:textId="77777777">
      <w:pPr>
        <w:tabs>
          <w:tab w:val="left" w:pos="-720"/>
        </w:tabs>
        <w:suppressAutoHyphens/>
        <w:rPr>
          <w:rFonts w:ascii="Times New Roman" w:hAnsi="Times New Roman"/>
          <w:szCs w:val="24"/>
        </w:rPr>
      </w:pPr>
    </w:p>
    <w:p w:rsidR="00D75313" w:rsidP="00AD381B" w14:paraId="58CE254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58CE254A"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58CE254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the 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58CE254C"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58CE254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00043C32" w:rsidRPr="00AD381B" w:rsidP="00D04FE4" w14:paraId="58CE254E" w14:textId="77777777">
      <w:pPr>
        <w:tabs>
          <w:tab w:val="left" w:pos="-720"/>
        </w:tabs>
        <w:suppressAutoHyphens/>
        <w:spacing w:after="120"/>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P="000576AE" w14:paraId="58CE2550" w14:textId="77777777">
      <w:pPr>
        <w:tabs>
          <w:tab w:val="left" w:pos="-720"/>
        </w:tabs>
        <w:suppressAutoHyphens/>
        <w:spacing w:after="120"/>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770064" w:rsidP="00770064" w14:paraId="217AC241" w14:textId="374D8F00">
      <w:pPr>
        <w:tabs>
          <w:tab w:val="left" w:pos="-720"/>
        </w:tabs>
        <w:suppressAutoHyphens/>
        <w:ind w:left="720"/>
        <w:rPr>
          <w:rFonts w:ascii="Times New Roman" w:hAnsi="Times New Roman"/>
        </w:rPr>
      </w:pPr>
      <w:r w:rsidRPr="00D95D6E">
        <w:rPr>
          <w:rFonts w:ascii="Times New Roman" w:hAnsi="Times New Roman"/>
        </w:rPr>
        <w:t>Annual State Application under Part B of the Individuals with Disabilities Education Act as Amended in 2004 for Federal fiscal year 202</w:t>
      </w:r>
      <w:r>
        <w:rPr>
          <w:rFonts w:ascii="Times New Roman" w:hAnsi="Times New Roman"/>
        </w:rPr>
        <w:t>6</w:t>
      </w:r>
      <w:r w:rsidRPr="00D95D6E">
        <w:rPr>
          <w:rFonts w:ascii="Times New Roman" w:hAnsi="Times New Roman"/>
        </w:rPr>
        <w:t xml:space="preserve"> </w:t>
      </w:r>
      <w:r>
        <w:rPr>
          <w:rFonts w:ascii="Times New Roman" w:hAnsi="Times New Roman"/>
        </w:rPr>
        <w:t xml:space="preserve">(1820-0030) </w:t>
      </w:r>
      <w:r w:rsidRPr="00D95D6E">
        <w:rPr>
          <w:rFonts w:ascii="Times New Roman" w:hAnsi="Times New Roman"/>
        </w:rPr>
        <w:t xml:space="preserve">was published in the Federal Register </w:t>
      </w:r>
      <w:r>
        <w:rPr>
          <w:rFonts w:ascii="Times New Roman" w:hAnsi="Times New Roman"/>
        </w:rPr>
        <w:t xml:space="preserve">(Vol </w:t>
      </w:r>
      <w:r w:rsidR="00596C1F">
        <w:rPr>
          <w:rFonts w:ascii="Times New Roman" w:hAnsi="Times New Roman"/>
        </w:rPr>
        <w:t>90</w:t>
      </w:r>
      <w:r>
        <w:rPr>
          <w:rFonts w:ascii="Times New Roman" w:hAnsi="Times New Roman"/>
        </w:rPr>
        <w:t xml:space="preserve"> FR </w:t>
      </w:r>
      <w:r w:rsidR="00596C1F">
        <w:rPr>
          <w:rFonts w:ascii="Times New Roman" w:hAnsi="Times New Roman"/>
        </w:rPr>
        <w:t>41063</w:t>
      </w:r>
      <w:r>
        <w:rPr>
          <w:rFonts w:ascii="Times New Roman" w:hAnsi="Times New Roman"/>
        </w:rPr>
        <w:t xml:space="preserve">) </w:t>
      </w:r>
      <w:r w:rsidRPr="00D95D6E">
        <w:rPr>
          <w:rFonts w:ascii="Times New Roman" w:hAnsi="Times New Roman"/>
        </w:rPr>
        <w:t xml:space="preserve">for the 60 day comment period </w:t>
      </w:r>
      <w:r>
        <w:rPr>
          <w:rFonts w:ascii="Times New Roman" w:hAnsi="Times New Roman"/>
        </w:rPr>
        <w:t xml:space="preserve">on </w:t>
      </w:r>
      <w:r w:rsidR="003D6E06">
        <w:rPr>
          <w:rFonts w:ascii="Times New Roman" w:hAnsi="Times New Roman"/>
        </w:rPr>
        <w:t>08/22/2025</w:t>
      </w:r>
      <w:r>
        <w:rPr>
          <w:rFonts w:ascii="Times New Roman" w:hAnsi="Times New Roman"/>
        </w:rPr>
        <w:t xml:space="preserve">.  </w:t>
      </w:r>
      <w:r w:rsidR="003D6E06">
        <w:rPr>
          <w:rFonts w:ascii="Times New Roman" w:hAnsi="Times New Roman"/>
        </w:rPr>
        <w:t>Ninety-five</w:t>
      </w:r>
      <w:r>
        <w:rPr>
          <w:rFonts w:ascii="Times New Roman" w:hAnsi="Times New Roman"/>
        </w:rPr>
        <w:t xml:space="preserve"> comments were received during the comment period. No changes were made to the collection in response to th</w:t>
      </w:r>
      <w:r w:rsidR="008849B9">
        <w:rPr>
          <w:rFonts w:ascii="Times New Roman" w:hAnsi="Times New Roman"/>
        </w:rPr>
        <w:t>ese</w:t>
      </w:r>
      <w:r>
        <w:rPr>
          <w:rFonts w:ascii="Times New Roman" w:hAnsi="Times New Roman"/>
        </w:rPr>
        <w:t xml:space="preserve"> comment</w:t>
      </w:r>
      <w:r w:rsidR="008849B9">
        <w:rPr>
          <w:rFonts w:ascii="Times New Roman" w:hAnsi="Times New Roman"/>
        </w:rPr>
        <w:t>s</w:t>
      </w:r>
      <w:r>
        <w:rPr>
          <w:rFonts w:ascii="Times New Roman" w:hAnsi="Times New Roman"/>
        </w:rPr>
        <w:t>.</w:t>
      </w:r>
      <w:r w:rsidR="008849B9">
        <w:rPr>
          <w:rFonts w:ascii="Times New Roman" w:hAnsi="Times New Roman"/>
        </w:rPr>
        <w:t xml:space="preserve"> See attached document with OSEP responses </w:t>
      </w:r>
      <w:r w:rsidR="001F3137">
        <w:rPr>
          <w:rFonts w:ascii="Times New Roman" w:hAnsi="Times New Roman"/>
        </w:rPr>
        <w:t xml:space="preserve">to </w:t>
      </w:r>
      <w:r w:rsidR="004C0696">
        <w:rPr>
          <w:rFonts w:ascii="Times New Roman" w:hAnsi="Times New Roman"/>
        </w:rPr>
        <w:t xml:space="preserve">comments. </w:t>
      </w:r>
    </w:p>
    <w:p w:rsidR="004C0696" w:rsidP="00770064" w14:paraId="36DC78E7" w14:textId="77777777">
      <w:pPr>
        <w:tabs>
          <w:tab w:val="left" w:pos="-720"/>
        </w:tabs>
        <w:suppressAutoHyphens/>
        <w:ind w:left="720"/>
        <w:rPr>
          <w:rFonts w:ascii="Times New Roman" w:hAnsi="Times New Roman"/>
        </w:rPr>
      </w:pPr>
    </w:p>
    <w:p w:rsidR="00770064" w:rsidRPr="00D95D6E" w:rsidP="00770064" w14:paraId="7D7B0BAE" w14:textId="77777777">
      <w:pPr>
        <w:tabs>
          <w:tab w:val="left" w:pos="-720"/>
        </w:tabs>
        <w:suppressAutoHyphens/>
        <w:ind w:left="720"/>
        <w:rPr>
          <w:rFonts w:ascii="Times New Roman" w:hAnsi="Times New Roman"/>
          <w:szCs w:val="24"/>
        </w:rPr>
      </w:pPr>
      <w:r>
        <w:rPr>
          <w:rFonts w:ascii="Times New Roman" w:hAnsi="Times New Roman"/>
        </w:rPr>
        <w:t>The notice will be published in the Federal Register for the 30 day comment period for the collection.</w:t>
      </w:r>
    </w:p>
    <w:p w:rsidR="00770064" w:rsidP="00770064" w14:paraId="747C0AC5" w14:textId="77777777">
      <w:pPr>
        <w:tabs>
          <w:tab w:val="left" w:pos="-720"/>
        </w:tabs>
        <w:suppressAutoHyphens/>
        <w:ind w:left="720"/>
        <w:rPr>
          <w:rFonts w:ascii="Times New Roman" w:hAnsi="Times New Roman"/>
          <w:szCs w:val="24"/>
        </w:rPr>
      </w:pPr>
    </w:p>
    <w:p w:rsidR="00770064" w:rsidP="00770064" w14:paraId="113B0D52" w14:textId="55B60B72">
      <w:pPr>
        <w:tabs>
          <w:tab w:val="left" w:pos="-720"/>
        </w:tabs>
        <w:suppressAutoHyphens/>
        <w:spacing w:after="120"/>
        <w:ind w:left="720"/>
        <w:rPr>
          <w:rStyle w:val="a"/>
          <w:rFonts w:ascii="Times New Roman" w:hAnsi="Times New Roman"/>
          <w:b/>
          <w:szCs w:val="24"/>
        </w:rPr>
      </w:pPr>
      <w:r w:rsidRPr="00BB73CF">
        <w:rPr>
          <w:rFonts w:ascii="Times New Roman" w:hAnsi="Times New Roman"/>
          <w:szCs w:val="24"/>
        </w:rPr>
        <w:t>OSEP consults with representatives outside the agency as well as internal Departmental internal and budgetary review protocols prior to each 3-year extension period. OSEP will respond to comments received through the public comment period after the collection is published in the Federal Register.</w:t>
      </w:r>
    </w:p>
    <w:p w:rsidR="00E725FA" w:rsidP="002F78F9" w14:paraId="5C86D26A" w14:textId="77777777">
      <w:pPr>
        <w:tabs>
          <w:tab w:val="left" w:pos="-720"/>
        </w:tabs>
        <w:suppressAutoHyphens/>
        <w:ind w:left="720"/>
        <w:rPr>
          <w:rFonts w:ascii="Times New Roman" w:hAnsi="Times New Roman"/>
          <w:szCs w:val="24"/>
        </w:rPr>
      </w:pPr>
    </w:p>
    <w:p w:rsidR="00043C32" w:rsidP="000576AE" w14:paraId="58CE2553" w14:textId="77777777">
      <w:pPr>
        <w:pStyle w:val="ListParagraph"/>
        <w:numPr>
          <w:ilvl w:val="0"/>
          <w:numId w:val="5"/>
        </w:numPr>
        <w:tabs>
          <w:tab w:val="left" w:pos="-720"/>
        </w:tabs>
        <w:suppressAutoHyphens/>
        <w:spacing w:after="120"/>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0576AE" w:rsidRPr="00BB73CF" w:rsidP="000576AE" w14:paraId="08E0DDA0" w14:textId="77777777">
      <w:pPr>
        <w:tabs>
          <w:tab w:val="left" w:pos="-720"/>
        </w:tabs>
        <w:suppressAutoHyphens/>
        <w:ind w:left="720"/>
        <w:rPr>
          <w:rFonts w:ascii="Times New Roman" w:hAnsi="Times New Roman"/>
          <w:szCs w:val="24"/>
        </w:rPr>
      </w:pPr>
      <w:r w:rsidRPr="00BB73CF">
        <w:rPr>
          <w:rFonts w:ascii="Times New Roman" w:hAnsi="Times New Roman"/>
          <w:szCs w:val="24"/>
        </w:rPr>
        <w:t>There are no payments or gifts to respondents other than the funds they receive under the formula mandated for this program.</w:t>
      </w:r>
    </w:p>
    <w:p w:rsidR="00920F63" w:rsidRPr="00920F63" w:rsidP="00920F63" w14:paraId="58CE2555" w14:textId="77777777">
      <w:pPr>
        <w:pStyle w:val="ListParagraph"/>
        <w:tabs>
          <w:tab w:val="left" w:pos="-720"/>
        </w:tabs>
        <w:suppressAutoHyphens/>
        <w:contextualSpacing w:val="0"/>
        <w:rPr>
          <w:rFonts w:ascii="Times New Roman" w:hAnsi="Times New Roman"/>
          <w:b/>
          <w:szCs w:val="24"/>
        </w:rPr>
      </w:pPr>
    </w:p>
    <w:p w:rsidR="00043C32" w:rsidRPr="00D75313" w:rsidP="00AD381B" w14:paraId="58CE255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3"/>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RPr="00D75313" w:rsidP="00920F63" w14:paraId="58CE2557" w14:textId="77777777">
      <w:pPr>
        <w:tabs>
          <w:tab w:val="left" w:pos="-720"/>
        </w:tabs>
        <w:suppressAutoHyphens/>
        <w:rPr>
          <w:rFonts w:ascii="Times New Roman" w:hAnsi="Times New Roman"/>
          <w:b/>
          <w:szCs w:val="24"/>
        </w:rPr>
      </w:pPr>
    </w:p>
    <w:p w:rsidR="008213FD" w:rsidRPr="00BB73CF" w:rsidP="008213FD" w14:paraId="531D38C9" w14:textId="6B310542">
      <w:pPr>
        <w:tabs>
          <w:tab w:val="left" w:pos="-720"/>
        </w:tabs>
        <w:suppressAutoHyphens/>
        <w:ind w:left="720"/>
        <w:rPr>
          <w:rFonts w:ascii="Times New Roman" w:hAnsi="Times New Roman"/>
          <w:szCs w:val="24"/>
        </w:rPr>
      </w:pPr>
      <w:r w:rsidRPr="00BB73CF">
        <w:rPr>
          <w:rFonts w:ascii="Times New Roman" w:hAnsi="Times New Roman"/>
          <w:szCs w:val="24"/>
        </w:rPr>
        <w:t xml:space="preserve">The Department makes no assurances of confidentiality in the </w:t>
      </w:r>
      <w:r w:rsidRPr="00BB73CF">
        <w:rPr>
          <w:rFonts w:ascii="Times New Roman" w:hAnsi="Times New Roman"/>
          <w:iCs/>
        </w:rPr>
        <w:t>Annual State Application for Federal fiscal year 20</w:t>
      </w:r>
      <w:r>
        <w:rPr>
          <w:rFonts w:ascii="Times New Roman" w:hAnsi="Times New Roman"/>
          <w:iCs/>
        </w:rPr>
        <w:t>2</w:t>
      </w:r>
      <w:r w:rsidR="00FE2A26">
        <w:rPr>
          <w:rFonts w:ascii="Times New Roman" w:hAnsi="Times New Roman"/>
          <w:iCs/>
        </w:rPr>
        <w:t>6</w:t>
      </w:r>
      <w:r w:rsidRPr="00BB73CF">
        <w:rPr>
          <w:rFonts w:ascii="Times New Roman" w:hAnsi="Times New Roman"/>
          <w:iCs/>
        </w:rPr>
        <w:t xml:space="preserve">.  </w:t>
      </w:r>
    </w:p>
    <w:p w:rsidR="00920F63" w:rsidRPr="00920F63" w:rsidP="00E25EBC" w14:paraId="58CE2558" w14:textId="77777777">
      <w:pPr>
        <w:tabs>
          <w:tab w:val="left" w:pos="-720"/>
        </w:tabs>
        <w:suppressAutoHyphens/>
        <w:rPr>
          <w:rFonts w:ascii="Times New Roman" w:hAnsi="Times New Roman"/>
          <w:szCs w:val="24"/>
        </w:rPr>
      </w:pPr>
    </w:p>
    <w:p w:rsidR="00043C32" w:rsidP="00854705" w14:paraId="58CE2559" w14:textId="77777777">
      <w:pPr>
        <w:pStyle w:val="ListParagraph"/>
        <w:numPr>
          <w:ilvl w:val="0"/>
          <w:numId w:val="5"/>
        </w:numPr>
        <w:tabs>
          <w:tab w:val="left" w:pos="-720"/>
        </w:tabs>
        <w:suppressAutoHyphens/>
        <w:spacing w:after="120"/>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54705" w:rsidRPr="00BB73CF" w:rsidP="00854705" w14:paraId="34DD8673" w14:textId="77777777">
      <w:pPr>
        <w:tabs>
          <w:tab w:val="left" w:pos="-720"/>
        </w:tabs>
        <w:suppressAutoHyphens/>
        <w:ind w:left="720"/>
        <w:rPr>
          <w:rFonts w:ascii="Times New Roman" w:hAnsi="Times New Roman"/>
          <w:szCs w:val="24"/>
        </w:rPr>
      </w:pPr>
      <w:r w:rsidRPr="00BB73CF">
        <w:rPr>
          <w:rFonts w:ascii="Times New Roman" w:hAnsi="Times New Roman"/>
          <w:szCs w:val="24"/>
        </w:rPr>
        <w:t>There are no questions of a sensitive nature.</w:t>
      </w:r>
    </w:p>
    <w:p w:rsidR="00920F63" w:rsidRPr="00920F63" w:rsidP="00920F63" w14:paraId="58CE255B" w14:textId="77777777">
      <w:pPr>
        <w:tabs>
          <w:tab w:val="left" w:pos="-720"/>
        </w:tabs>
        <w:suppressAutoHyphens/>
        <w:ind w:left="180"/>
        <w:rPr>
          <w:rFonts w:ascii="Times New Roman" w:hAnsi="Times New Roman"/>
          <w:szCs w:val="24"/>
        </w:rPr>
      </w:pPr>
    </w:p>
    <w:p w:rsidR="00043C32" w:rsidRPr="00920F63" w:rsidP="00AD381B" w14:paraId="58CE255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58CE255D" w14:textId="77777777">
      <w:pPr>
        <w:tabs>
          <w:tab w:val="left" w:pos="-720"/>
        </w:tabs>
        <w:suppressAutoHyphens/>
        <w:rPr>
          <w:rStyle w:val="a"/>
          <w:rFonts w:ascii="Times New Roman" w:hAnsi="Times New Roman"/>
          <w:b/>
          <w:szCs w:val="24"/>
        </w:rPr>
      </w:pPr>
    </w:p>
    <w:p w:rsidR="00C224FD" w:rsidP="00C224FD" w14:paraId="58CE255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58CE255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58CE256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58CE256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58CE256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9"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58CE2563" w14:textId="77777777">
      <w:pPr>
        <w:tabs>
          <w:tab w:val="left" w:pos="-720"/>
          <w:tab w:val="left" w:pos="1247"/>
        </w:tabs>
        <w:suppressAutoHyphens/>
        <w:rPr>
          <w:rStyle w:val="a"/>
          <w:rFonts w:ascii="Times New Roman" w:hAnsi="Times New Roman"/>
          <w:b/>
          <w:szCs w:val="24"/>
        </w:rPr>
      </w:pPr>
    </w:p>
    <w:p w:rsidR="00AA356D" w:rsidP="00946126" w14:paraId="58CE2564" w14:textId="39D23273">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FA1F0C" w:rsidP="00946126" w14:paraId="2BA9AD78" w14:textId="77777777">
      <w:pPr>
        <w:pStyle w:val="ListParagraph"/>
        <w:tabs>
          <w:tab w:val="left" w:pos="-720"/>
        </w:tabs>
        <w:suppressAutoHyphens/>
        <w:contextualSpacing w:val="0"/>
        <w:rPr>
          <w:rFonts w:ascii="Times New Roman" w:hAnsi="Times New Roman"/>
          <w:b/>
          <w:sz w:val="26"/>
          <w:szCs w:val="26"/>
        </w:rPr>
      </w:pPr>
    </w:p>
    <w:p w:rsidR="00FA1F0C" w:rsidP="00FA1F0C" w14:paraId="3989D71B" w14:textId="77777777">
      <w:pPr>
        <w:ind w:left="720"/>
        <w:rPr>
          <w:rFonts w:ascii="Times New Roman" w:hAnsi="Times New Roman"/>
          <w:szCs w:val="24"/>
        </w:rPr>
      </w:pPr>
      <w:r w:rsidRPr="00BB73CF">
        <w:rPr>
          <w:rFonts w:ascii="Times New Roman" w:hAnsi="Times New Roman"/>
          <w:szCs w:val="24"/>
        </w:rPr>
        <w:t xml:space="preserve">There are 60 respondents who, under PL 108-446, are required to submit the </w:t>
      </w:r>
      <w:r>
        <w:rPr>
          <w:rFonts w:ascii="Times New Roman" w:hAnsi="Times New Roman"/>
          <w:szCs w:val="24"/>
        </w:rPr>
        <w:t xml:space="preserve">IDEA </w:t>
      </w:r>
    </w:p>
    <w:p w:rsidR="00FA1F0C" w:rsidRPr="00BB73CF" w:rsidP="0B514B94" w14:paraId="2AA2F837" w14:textId="12401604">
      <w:pPr>
        <w:spacing w:after="120"/>
        <w:ind w:left="720"/>
        <w:rPr>
          <w:rFonts w:ascii="Times New Roman" w:hAnsi="Times New Roman"/>
        </w:rPr>
      </w:pPr>
      <w:r w:rsidRPr="0B514B94">
        <w:rPr>
          <w:rFonts w:ascii="Times New Roman" w:hAnsi="Times New Roman"/>
        </w:rPr>
        <w:t xml:space="preserve">Part B Annual State Application in order to receive a grant award under Part B of the IDEA. The data burden is expected to require an average of 14 hours per respondent. The </w:t>
      </w:r>
      <w:r w:rsidRPr="0B514B94">
        <w:rPr>
          <w:rFonts w:ascii="Times New Roman" w:hAnsi="Times New Roman"/>
        </w:rPr>
        <w:t xml:space="preserve">burden estimate is:  60 respondents times 14 hours to submit the Annual State Application. The total estimated burden is 840 hours. </w:t>
      </w:r>
    </w:p>
    <w:p w:rsidR="00FA1F0C" w:rsidRPr="00BB73CF" w:rsidP="00FA1F0C" w14:paraId="49191B8D" w14:textId="77777777">
      <w:pPr>
        <w:suppressAutoHyphens/>
        <w:ind w:left="720"/>
        <w:rPr>
          <w:rFonts w:ascii="Times New Roman" w:hAnsi="Times New Roman"/>
          <w:szCs w:val="24"/>
        </w:rPr>
      </w:pPr>
      <w:r w:rsidRPr="00BB73CF">
        <w:rPr>
          <w:rFonts w:ascii="Times New Roman" w:hAnsi="Times New Roman"/>
          <w:szCs w:val="24"/>
        </w:rPr>
        <w:t>The estimated cost of preparing the State application is $</w:t>
      </w:r>
      <w:r>
        <w:rPr>
          <w:rFonts w:ascii="Times New Roman" w:hAnsi="Times New Roman"/>
          <w:szCs w:val="24"/>
        </w:rPr>
        <w:t>26,880</w:t>
      </w:r>
      <w:r w:rsidRPr="00BB73CF">
        <w:rPr>
          <w:rFonts w:ascii="Times New Roman" w:hAnsi="Times New Roman"/>
          <w:szCs w:val="24"/>
        </w:rPr>
        <w:t>. The response time per response (estimated at 14 hours) is multiplied by the number of respondents (60) multiplied by the average hourly salary (estimated at $</w:t>
      </w:r>
      <w:r>
        <w:rPr>
          <w:rFonts w:ascii="Times New Roman" w:hAnsi="Times New Roman"/>
          <w:szCs w:val="24"/>
        </w:rPr>
        <w:t>32.00</w:t>
      </w:r>
      <w:r w:rsidRPr="00BB73CF">
        <w:rPr>
          <w:rFonts w:ascii="Times New Roman" w:hAnsi="Times New Roman"/>
          <w:szCs w:val="24"/>
        </w:rPr>
        <w:t xml:space="preserve">). </w:t>
      </w:r>
    </w:p>
    <w:p w:rsidR="00FA1F0C" w:rsidP="00946126" w14:paraId="264E731D" w14:textId="77777777">
      <w:pPr>
        <w:pStyle w:val="ListParagraph"/>
        <w:tabs>
          <w:tab w:val="left" w:pos="-720"/>
        </w:tabs>
        <w:suppressAutoHyphens/>
        <w:contextualSpacing w:val="0"/>
        <w:rPr>
          <w:rFonts w:ascii="Times New Roman" w:hAnsi="Times New Roman"/>
          <w:b/>
          <w:sz w:val="26"/>
          <w:szCs w:val="26"/>
        </w:rPr>
      </w:pPr>
    </w:p>
    <w:p w:rsidR="00AA356D" w14:paraId="4FE628B0" w14:textId="77777777">
      <w:pPr>
        <w:rPr>
          <w:rFonts w:ascii="Times New Roman" w:hAnsi="Times New Roman"/>
          <w:b/>
          <w:sz w:val="26"/>
          <w:szCs w:val="26"/>
        </w:rPr>
      </w:pPr>
      <w:r>
        <w:rPr>
          <w:rFonts w:ascii="Times New Roman" w:hAnsi="Times New Roman"/>
          <w:b/>
          <w:sz w:val="26"/>
          <w:szCs w:val="26"/>
        </w:rPr>
        <w:br w:type="page"/>
      </w:r>
    </w:p>
    <w:p w:rsidR="00920F63" w:rsidP="00920F63" w14:paraId="58CE2565" w14:textId="77777777">
      <w:pPr>
        <w:pStyle w:val="ListParagraph"/>
        <w:tabs>
          <w:tab w:val="left" w:pos="-720"/>
        </w:tabs>
        <w:suppressAutoHyphens/>
        <w:rPr>
          <w:rStyle w:val="a"/>
          <w:rFonts w:ascii="Times New Roman" w:hAnsi="Times New Roman"/>
          <w:szCs w:val="24"/>
        </w:rPr>
      </w:pPr>
    </w:p>
    <w:p w:rsidR="00ED7195" w:rsidRPr="00920F63" w:rsidP="00756FD3" w14:paraId="58CE2566"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11335" w:type="dxa"/>
        <w:tblLayout w:type="fixed"/>
        <w:tblLook w:val="0020"/>
      </w:tblPr>
      <w:tblGrid>
        <w:gridCol w:w="1795"/>
        <w:gridCol w:w="1170"/>
        <w:gridCol w:w="1170"/>
        <w:gridCol w:w="1260"/>
        <w:gridCol w:w="1170"/>
        <w:gridCol w:w="1350"/>
        <w:gridCol w:w="810"/>
        <w:gridCol w:w="1350"/>
        <w:gridCol w:w="1260"/>
      </w:tblGrid>
      <w:tr w14:paraId="58CE257E" w14:textId="77777777" w:rsidTr="00135E5E">
        <w:tblPrEx>
          <w:tblW w:w="11335" w:type="dxa"/>
          <w:tblLayout w:type="fixed"/>
          <w:tblLook w:val="0020"/>
        </w:tblPrEx>
        <w:trPr>
          <w:tblHeader/>
        </w:trPr>
        <w:tc>
          <w:tcPr>
            <w:tcW w:w="1795" w:type="dxa"/>
          </w:tcPr>
          <w:p w:rsidR="00C86713" w:rsidP="00FE1BAE" w14:paraId="58CE2567" w14:textId="77777777">
            <w:pPr>
              <w:jc w:val="center"/>
              <w:rPr>
                <w:rFonts w:ascii="Times New Roman" w:hAnsi="Times New Roman"/>
                <w:sz w:val="20"/>
              </w:rPr>
            </w:pPr>
          </w:p>
          <w:p w:rsidR="00C86713" w:rsidP="00FE1BAE" w14:paraId="58CE2568" w14:textId="77777777">
            <w:pPr>
              <w:jc w:val="center"/>
              <w:rPr>
                <w:rFonts w:ascii="Times New Roman" w:hAnsi="Times New Roman"/>
                <w:sz w:val="20"/>
              </w:rPr>
            </w:pPr>
          </w:p>
          <w:p w:rsidR="00C86713" w:rsidRPr="007F6104" w:rsidP="00FE1BAE" w14:paraId="58CE2569"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170" w:type="dxa"/>
          </w:tcPr>
          <w:p w:rsidR="00C86713" w:rsidP="00FE1BAE" w14:paraId="58CE256A" w14:textId="77777777">
            <w:pPr>
              <w:jc w:val="center"/>
              <w:rPr>
                <w:rFonts w:ascii="Times New Roman" w:hAnsi="Times New Roman"/>
                <w:sz w:val="20"/>
              </w:rPr>
            </w:pPr>
          </w:p>
          <w:p w:rsidR="00C86713" w:rsidP="00FE1BAE" w14:paraId="58CE256B" w14:textId="77777777">
            <w:pPr>
              <w:jc w:val="center"/>
              <w:rPr>
                <w:rFonts w:ascii="Times New Roman" w:hAnsi="Times New Roman"/>
                <w:sz w:val="20"/>
              </w:rPr>
            </w:pPr>
          </w:p>
          <w:p w:rsidR="00C86713" w:rsidRPr="007F6104" w:rsidP="00FE1BAE" w14:paraId="58CE256C"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170" w:type="dxa"/>
          </w:tcPr>
          <w:p w:rsidR="00C86713" w:rsidP="00FE1BAE" w14:paraId="58CE256D" w14:textId="77777777">
            <w:pPr>
              <w:jc w:val="center"/>
              <w:rPr>
                <w:rFonts w:ascii="Times New Roman" w:hAnsi="Times New Roman"/>
                <w:sz w:val="20"/>
              </w:rPr>
            </w:pPr>
          </w:p>
          <w:p w:rsidR="00C86713" w:rsidP="00581C11" w14:paraId="58CE256E" w14:textId="77777777">
            <w:pPr>
              <w:shd w:val="clear" w:color="auto" w:fill="F2F2F2" w:themeFill="background1" w:themeFillShade="F2"/>
              <w:jc w:val="center"/>
              <w:rPr>
                <w:rFonts w:ascii="Times New Roman" w:hAnsi="Times New Roman"/>
                <w:sz w:val="20"/>
              </w:rPr>
            </w:pPr>
          </w:p>
          <w:p w:rsidR="00C86713" w:rsidRPr="007F6104" w:rsidP="00581C11" w14:paraId="58CE256F"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60" w:type="dxa"/>
          </w:tcPr>
          <w:p w:rsidR="00CA4D8C" w:rsidP="00FE1BAE" w14:paraId="19DAD161" w14:textId="77777777">
            <w:pPr>
              <w:jc w:val="center"/>
              <w:rPr>
                <w:rFonts w:ascii="Times New Roman" w:hAnsi="Times New Roman"/>
                <w:sz w:val="20"/>
              </w:rPr>
            </w:pPr>
          </w:p>
          <w:p w:rsidR="00CA4D8C" w:rsidP="00FE1BAE" w14:paraId="4951E928" w14:textId="77777777">
            <w:pPr>
              <w:jc w:val="center"/>
              <w:rPr>
                <w:rFonts w:ascii="Times New Roman" w:hAnsi="Times New Roman"/>
                <w:sz w:val="20"/>
              </w:rPr>
            </w:pPr>
          </w:p>
          <w:p w:rsidR="00C86713" w:rsidRPr="007F6104" w:rsidP="00FE1BAE" w14:paraId="58CE2570" w14:textId="7A9F38C5">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170" w:type="dxa"/>
          </w:tcPr>
          <w:p w:rsidR="00C86713" w:rsidP="00FE1BAE" w14:paraId="58CE2571" w14:textId="77777777">
            <w:pPr>
              <w:jc w:val="center"/>
              <w:rPr>
                <w:rFonts w:ascii="Times New Roman" w:hAnsi="Times New Roman"/>
                <w:sz w:val="20"/>
              </w:rPr>
            </w:pPr>
          </w:p>
          <w:p w:rsidR="00C86713" w:rsidP="00FE1BAE" w14:paraId="58CE2572" w14:textId="77777777">
            <w:pPr>
              <w:jc w:val="center"/>
              <w:rPr>
                <w:rFonts w:ascii="Times New Roman" w:hAnsi="Times New Roman"/>
                <w:sz w:val="20"/>
              </w:rPr>
            </w:pPr>
          </w:p>
          <w:p w:rsidR="00C86713" w:rsidRPr="007F6104" w:rsidP="00FE1BAE" w14:paraId="58CE2573" w14:textId="77777777">
            <w:pPr>
              <w:jc w:val="center"/>
              <w:rPr>
                <w:rFonts w:ascii="Times New Roman" w:hAnsi="Times New Roman"/>
                <w:sz w:val="20"/>
              </w:rPr>
            </w:pPr>
            <w:r w:rsidRPr="007F6104">
              <w:rPr>
                <w:rFonts w:ascii="Times New Roman" w:hAnsi="Times New Roman"/>
                <w:sz w:val="20"/>
              </w:rPr>
              <w:t>Number of Responses</w:t>
            </w:r>
          </w:p>
        </w:tc>
        <w:tc>
          <w:tcPr>
            <w:tcW w:w="1350" w:type="dxa"/>
          </w:tcPr>
          <w:p w:rsidR="00C86713" w:rsidP="00FE1BAE" w14:paraId="58CE2574" w14:textId="77777777">
            <w:pPr>
              <w:jc w:val="center"/>
              <w:rPr>
                <w:rFonts w:ascii="Times New Roman" w:hAnsi="Times New Roman"/>
                <w:sz w:val="20"/>
              </w:rPr>
            </w:pPr>
          </w:p>
          <w:p w:rsidR="007B5C68" w:rsidP="00FE1BAE" w14:paraId="7020EDB1" w14:textId="77777777">
            <w:pPr>
              <w:jc w:val="center"/>
              <w:rPr>
                <w:rFonts w:ascii="Times New Roman" w:hAnsi="Times New Roman"/>
                <w:sz w:val="20"/>
              </w:rPr>
            </w:pPr>
          </w:p>
          <w:p w:rsidR="00C86713" w:rsidRPr="007F6104" w:rsidP="00FE1BAE" w14:paraId="58CE2575" w14:textId="77777777">
            <w:pPr>
              <w:jc w:val="center"/>
              <w:rPr>
                <w:rFonts w:ascii="Times New Roman" w:hAnsi="Times New Roman"/>
                <w:sz w:val="20"/>
              </w:rPr>
            </w:pPr>
            <w:r w:rsidRPr="007F6104">
              <w:rPr>
                <w:rFonts w:ascii="Times New Roman" w:hAnsi="Times New Roman"/>
                <w:sz w:val="20"/>
              </w:rPr>
              <w:t>Average Burden Hours per Response</w:t>
            </w:r>
          </w:p>
        </w:tc>
        <w:tc>
          <w:tcPr>
            <w:tcW w:w="810" w:type="dxa"/>
          </w:tcPr>
          <w:p w:rsidR="00F31BEC" w:rsidP="00FE1BAE" w14:paraId="58CE2576" w14:textId="77777777">
            <w:pPr>
              <w:jc w:val="center"/>
              <w:rPr>
                <w:rFonts w:ascii="Times New Roman" w:hAnsi="Times New Roman"/>
                <w:sz w:val="20"/>
              </w:rPr>
            </w:pPr>
          </w:p>
          <w:p w:rsidR="007B5C68" w:rsidP="00FE1BAE" w14:paraId="7D815FAA" w14:textId="77777777">
            <w:pPr>
              <w:jc w:val="center"/>
              <w:rPr>
                <w:rFonts w:ascii="Times New Roman" w:hAnsi="Times New Roman"/>
                <w:sz w:val="20"/>
              </w:rPr>
            </w:pPr>
          </w:p>
          <w:p w:rsidR="00C86713" w:rsidRPr="007F6104" w:rsidP="00F31BEC" w14:paraId="58CE2577" w14:textId="77777777">
            <w:pP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1350" w:type="dxa"/>
          </w:tcPr>
          <w:p w:rsidR="00C86713" w:rsidP="00FE1BAE" w14:paraId="58CE2578" w14:textId="77777777">
            <w:pPr>
              <w:jc w:val="center"/>
              <w:rPr>
                <w:rFonts w:ascii="Times New Roman" w:hAnsi="Times New Roman"/>
                <w:sz w:val="20"/>
              </w:rPr>
            </w:pPr>
          </w:p>
          <w:p w:rsidR="00C86713" w:rsidP="00FE1BAE" w14:paraId="58CE2579" w14:textId="77777777">
            <w:pPr>
              <w:jc w:val="center"/>
              <w:rPr>
                <w:rFonts w:ascii="Times New Roman" w:hAnsi="Times New Roman"/>
                <w:sz w:val="20"/>
              </w:rPr>
            </w:pPr>
          </w:p>
          <w:p w:rsidR="00C86713" w:rsidRPr="007F6104" w:rsidP="00FE1BAE" w14:paraId="58CE257A"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260" w:type="dxa"/>
          </w:tcPr>
          <w:p w:rsidR="00C86713" w:rsidP="00FE1BAE" w14:paraId="58CE257B" w14:textId="77777777">
            <w:pPr>
              <w:jc w:val="center"/>
              <w:rPr>
                <w:rFonts w:ascii="Times New Roman" w:hAnsi="Times New Roman"/>
                <w:sz w:val="20"/>
              </w:rPr>
            </w:pPr>
          </w:p>
          <w:p w:rsidR="00C86713" w:rsidP="00FE1BAE" w14:paraId="58CE257C" w14:textId="77777777">
            <w:pPr>
              <w:jc w:val="center"/>
              <w:rPr>
                <w:rFonts w:ascii="Times New Roman" w:hAnsi="Times New Roman"/>
                <w:sz w:val="20"/>
              </w:rPr>
            </w:pPr>
          </w:p>
          <w:p w:rsidR="00C86713" w:rsidRPr="007F6104" w:rsidP="00FE1BAE" w14:paraId="58CE257D"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58CE2588" w14:textId="77777777" w:rsidTr="00135E5E">
        <w:tblPrEx>
          <w:tblW w:w="11335" w:type="dxa"/>
          <w:tblLayout w:type="fixed"/>
          <w:tblLook w:val="0020"/>
        </w:tblPrEx>
        <w:tc>
          <w:tcPr>
            <w:tcW w:w="1795" w:type="dxa"/>
          </w:tcPr>
          <w:p w:rsidR="00502D53" w:rsidP="00FE1BAE" w14:paraId="25B5E79C" w14:textId="77777777">
            <w:pPr>
              <w:rPr>
                <w:rFonts w:ascii="Times New Roman" w:hAnsi="Times New Roman"/>
                <w:sz w:val="20"/>
              </w:rPr>
            </w:pPr>
            <w:r>
              <w:rPr>
                <w:rFonts w:ascii="Times New Roman" w:hAnsi="Times New Roman"/>
                <w:sz w:val="20"/>
              </w:rPr>
              <w:t xml:space="preserve">Application </w:t>
            </w:r>
            <w:r w:rsidR="00E43B0A">
              <w:rPr>
                <w:rFonts w:ascii="Times New Roman" w:hAnsi="Times New Roman"/>
                <w:sz w:val="20"/>
              </w:rPr>
              <w:t>c</w:t>
            </w:r>
            <w:r>
              <w:rPr>
                <w:rFonts w:ascii="Times New Roman" w:hAnsi="Times New Roman"/>
                <w:sz w:val="20"/>
              </w:rPr>
              <w:t>ompletion</w:t>
            </w:r>
            <w:r>
              <w:rPr>
                <w:rFonts w:ascii="Times New Roman" w:hAnsi="Times New Roman"/>
                <w:sz w:val="20"/>
              </w:rPr>
              <w:t>.</w:t>
            </w:r>
          </w:p>
          <w:p w:rsidR="00C86713" w:rsidRPr="00702BC8" w:rsidP="00FE1BAE" w14:paraId="58CE257F" w14:textId="5B64E166">
            <w:pPr>
              <w:rPr>
                <w:rFonts w:ascii="Times New Roman" w:hAnsi="Times New Roman"/>
                <w:sz w:val="20"/>
              </w:rPr>
            </w:pPr>
            <w:r>
              <w:rPr>
                <w:rFonts w:ascii="Times New Roman" w:hAnsi="Times New Roman"/>
                <w:sz w:val="20"/>
              </w:rPr>
              <w:t xml:space="preserve">Respondents: </w:t>
            </w:r>
            <w:r w:rsidR="001400F0">
              <w:rPr>
                <w:rFonts w:ascii="Times New Roman" w:hAnsi="Times New Roman"/>
                <w:sz w:val="20"/>
              </w:rPr>
              <w:t xml:space="preserve">State </w:t>
            </w:r>
            <w:r w:rsidR="00F447DC">
              <w:rPr>
                <w:rFonts w:ascii="Times New Roman" w:hAnsi="Times New Roman"/>
                <w:sz w:val="20"/>
              </w:rPr>
              <w:t>Educational Agencies (State Government)</w:t>
            </w:r>
          </w:p>
        </w:tc>
        <w:tc>
          <w:tcPr>
            <w:tcW w:w="1170" w:type="dxa"/>
          </w:tcPr>
          <w:p w:rsidR="00C86713" w:rsidRPr="00442E07" w:rsidP="00FE1BAE" w14:paraId="58CE2580" w14:textId="633AF24D">
            <w:pPr>
              <w:rPr>
                <w:rFonts w:ascii="Times New Roman" w:hAnsi="Times New Roman"/>
                <w:szCs w:val="24"/>
              </w:rPr>
            </w:pPr>
            <w:r>
              <w:rPr>
                <w:rFonts w:ascii="Times New Roman" w:hAnsi="Times New Roman"/>
                <w:szCs w:val="24"/>
              </w:rPr>
              <w:t>N/A</w:t>
            </w:r>
          </w:p>
        </w:tc>
        <w:tc>
          <w:tcPr>
            <w:tcW w:w="1170" w:type="dxa"/>
          </w:tcPr>
          <w:p w:rsidR="00C86713" w:rsidRPr="00442E07" w:rsidP="00FE1BAE" w14:paraId="58CE2581" w14:textId="772895B5">
            <w:pPr>
              <w:rPr>
                <w:rFonts w:ascii="Times New Roman" w:hAnsi="Times New Roman"/>
                <w:szCs w:val="24"/>
              </w:rPr>
            </w:pPr>
            <w:r>
              <w:rPr>
                <w:rFonts w:ascii="Times New Roman" w:hAnsi="Times New Roman"/>
                <w:szCs w:val="24"/>
              </w:rPr>
              <w:t>N/A</w:t>
            </w:r>
          </w:p>
        </w:tc>
        <w:tc>
          <w:tcPr>
            <w:tcW w:w="1260" w:type="dxa"/>
          </w:tcPr>
          <w:p w:rsidR="00C86713" w:rsidRPr="00442E07" w:rsidP="00FE1BAE" w14:paraId="58CE2582" w14:textId="1D148A90">
            <w:pPr>
              <w:rPr>
                <w:rFonts w:ascii="Times New Roman" w:hAnsi="Times New Roman"/>
                <w:szCs w:val="24"/>
              </w:rPr>
            </w:pPr>
            <w:r>
              <w:rPr>
                <w:rFonts w:ascii="Times New Roman" w:hAnsi="Times New Roman"/>
                <w:szCs w:val="24"/>
              </w:rPr>
              <w:t>60</w:t>
            </w:r>
          </w:p>
        </w:tc>
        <w:tc>
          <w:tcPr>
            <w:tcW w:w="1170" w:type="dxa"/>
          </w:tcPr>
          <w:p w:rsidR="00C86713" w:rsidRPr="00442E07" w:rsidP="00FE1BAE" w14:paraId="58CE2583" w14:textId="381483B7">
            <w:pPr>
              <w:jc w:val="center"/>
              <w:rPr>
                <w:rFonts w:ascii="Times New Roman" w:hAnsi="Times New Roman"/>
                <w:szCs w:val="24"/>
              </w:rPr>
            </w:pPr>
            <w:r>
              <w:rPr>
                <w:rFonts w:ascii="Times New Roman" w:hAnsi="Times New Roman"/>
                <w:szCs w:val="24"/>
              </w:rPr>
              <w:t>1</w:t>
            </w:r>
          </w:p>
        </w:tc>
        <w:tc>
          <w:tcPr>
            <w:tcW w:w="1350" w:type="dxa"/>
          </w:tcPr>
          <w:p w:rsidR="00C86713" w:rsidRPr="00442E07" w:rsidP="00FE1BAE" w14:paraId="58CE2584" w14:textId="2457B8E7">
            <w:pPr>
              <w:jc w:val="center"/>
              <w:rPr>
                <w:rFonts w:ascii="Times New Roman" w:hAnsi="Times New Roman"/>
                <w:szCs w:val="24"/>
              </w:rPr>
            </w:pPr>
            <w:r>
              <w:rPr>
                <w:rFonts w:ascii="Times New Roman" w:hAnsi="Times New Roman"/>
                <w:szCs w:val="24"/>
              </w:rPr>
              <w:t>14</w:t>
            </w:r>
          </w:p>
        </w:tc>
        <w:tc>
          <w:tcPr>
            <w:tcW w:w="810" w:type="dxa"/>
          </w:tcPr>
          <w:p w:rsidR="00C86713" w:rsidRPr="00442E07" w:rsidP="00FE1BAE" w14:paraId="58CE2585" w14:textId="2505AE3B">
            <w:pPr>
              <w:rPr>
                <w:rFonts w:ascii="Times New Roman" w:hAnsi="Times New Roman"/>
                <w:szCs w:val="24"/>
              </w:rPr>
            </w:pPr>
            <w:r>
              <w:rPr>
                <w:rFonts w:ascii="Times New Roman" w:hAnsi="Times New Roman"/>
                <w:szCs w:val="24"/>
              </w:rPr>
              <w:t>840</w:t>
            </w:r>
          </w:p>
        </w:tc>
        <w:tc>
          <w:tcPr>
            <w:tcW w:w="1350" w:type="dxa"/>
          </w:tcPr>
          <w:p w:rsidR="00C86713" w:rsidRPr="00442E07" w:rsidP="00FE1BAE" w14:paraId="58CE2586" w14:textId="3CD79EA2">
            <w:pPr>
              <w:rPr>
                <w:rFonts w:ascii="Times New Roman" w:hAnsi="Times New Roman"/>
                <w:szCs w:val="24"/>
              </w:rPr>
            </w:pPr>
            <w:r>
              <w:rPr>
                <w:rFonts w:ascii="Times New Roman" w:hAnsi="Times New Roman"/>
                <w:szCs w:val="24"/>
              </w:rPr>
              <w:t>3</w:t>
            </w:r>
            <w:r w:rsidR="0059283E">
              <w:rPr>
                <w:rFonts w:ascii="Times New Roman" w:hAnsi="Times New Roman"/>
                <w:szCs w:val="24"/>
              </w:rPr>
              <w:t>2</w:t>
            </w:r>
            <w:r>
              <w:rPr>
                <w:rFonts w:ascii="Times New Roman" w:hAnsi="Times New Roman"/>
                <w:szCs w:val="24"/>
              </w:rPr>
              <w:t>.00</w:t>
            </w:r>
          </w:p>
        </w:tc>
        <w:tc>
          <w:tcPr>
            <w:tcW w:w="1260" w:type="dxa"/>
          </w:tcPr>
          <w:p w:rsidR="00C86713" w:rsidRPr="00442E07" w:rsidP="00FE1BAE" w14:paraId="58CE2587" w14:textId="38CE38A5">
            <w:pPr>
              <w:rPr>
                <w:rFonts w:ascii="Times New Roman" w:hAnsi="Times New Roman"/>
                <w:szCs w:val="24"/>
              </w:rPr>
            </w:pPr>
            <w:r>
              <w:rPr>
                <w:rFonts w:ascii="Times New Roman" w:hAnsi="Times New Roman"/>
                <w:szCs w:val="24"/>
              </w:rPr>
              <w:t>26,880</w:t>
            </w:r>
          </w:p>
        </w:tc>
      </w:tr>
      <w:tr w14:paraId="58CE25B0" w14:textId="77777777" w:rsidTr="00135E5E">
        <w:tblPrEx>
          <w:tblW w:w="11335" w:type="dxa"/>
          <w:tblLayout w:type="fixed"/>
          <w:tblLook w:val="0020"/>
        </w:tblPrEx>
        <w:tc>
          <w:tcPr>
            <w:tcW w:w="1795" w:type="dxa"/>
          </w:tcPr>
          <w:p w:rsidR="009767AF" w:rsidRPr="00442E07" w:rsidP="00FE1BAE" w14:paraId="58CE25A7" w14:textId="77777777">
            <w:pPr>
              <w:rPr>
                <w:rFonts w:ascii="Times New Roman" w:hAnsi="Times New Roman"/>
                <w:szCs w:val="24"/>
              </w:rPr>
            </w:pPr>
            <w:r>
              <w:rPr>
                <w:rFonts w:ascii="Times New Roman" w:hAnsi="Times New Roman"/>
                <w:szCs w:val="24"/>
              </w:rPr>
              <w:t>Annualized Totals</w:t>
            </w:r>
          </w:p>
        </w:tc>
        <w:tc>
          <w:tcPr>
            <w:tcW w:w="1170" w:type="dxa"/>
          </w:tcPr>
          <w:p w:rsidR="009767AF" w:rsidRPr="00442E07" w:rsidP="00FE1BAE" w14:paraId="58CE25A8" w14:textId="4643A4A9">
            <w:pPr>
              <w:rPr>
                <w:rFonts w:ascii="Times New Roman" w:hAnsi="Times New Roman"/>
                <w:szCs w:val="24"/>
              </w:rPr>
            </w:pPr>
          </w:p>
        </w:tc>
        <w:tc>
          <w:tcPr>
            <w:tcW w:w="1170" w:type="dxa"/>
          </w:tcPr>
          <w:p w:rsidR="009767AF" w:rsidRPr="00442E07" w:rsidP="00FE1BAE" w14:paraId="58CE25A9" w14:textId="5F033C08">
            <w:pPr>
              <w:rPr>
                <w:rFonts w:ascii="Times New Roman" w:hAnsi="Times New Roman"/>
                <w:szCs w:val="24"/>
              </w:rPr>
            </w:pPr>
          </w:p>
        </w:tc>
        <w:tc>
          <w:tcPr>
            <w:tcW w:w="1260" w:type="dxa"/>
          </w:tcPr>
          <w:p w:rsidR="009767AF" w:rsidRPr="00442E07" w:rsidP="00FE1BAE" w14:paraId="58CE25AA" w14:textId="2C10CE1F">
            <w:pPr>
              <w:rPr>
                <w:rFonts w:ascii="Times New Roman" w:hAnsi="Times New Roman"/>
                <w:szCs w:val="24"/>
              </w:rPr>
            </w:pPr>
          </w:p>
        </w:tc>
        <w:tc>
          <w:tcPr>
            <w:tcW w:w="1170" w:type="dxa"/>
          </w:tcPr>
          <w:p w:rsidR="009767AF" w:rsidRPr="00442E07" w:rsidP="00FE1BAE" w14:paraId="58CE25AB" w14:textId="3C8E03C8">
            <w:pPr>
              <w:rPr>
                <w:rFonts w:ascii="Times New Roman" w:hAnsi="Times New Roman"/>
                <w:szCs w:val="24"/>
              </w:rPr>
            </w:pPr>
          </w:p>
        </w:tc>
        <w:tc>
          <w:tcPr>
            <w:tcW w:w="1350" w:type="dxa"/>
          </w:tcPr>
          <w:p w:rsidR="009767AF" w:rsidRPr="00442E07" w:rsidP="00FE1BAE" w14:paraId="58CE25AC" w14:textId="77777777">
            <w:pPr>
              <w:rPr>
                <w:rFonts w:ascii="Times New Roman" w:hAnsi="Times New Roman"/>
                <w:szCs w:val="24"/>
              </w:rPr>
            </w:pPr>
          </w:p>
        </w:tc>
        <w:tc>
          <w:tcPr>
            <w:tcW w:w="810" w:type="dxa"/>
          </w:tcPr>
          <w:p w:rsidR="009767AF" w:rsidRPr="00442E07" w:rsidP="00FE1BAE" w14:paraId="58CE25AD" w14:textId="63F29E18">
            <w:pPr>
              <w:rPr>
                <w:rFonts w:ascii="Times New Roman" w:hAnsi="Times New Roman"/>
                <w:szCs w:val="24"/>
              </w:rPr>
            </w:pPr>
          </w:p>
        </w:tc>
        <w:tc>
          <w:tcPr>
            <w:tcW w:w="1350" w:type="dxa"/>
          </w:tcPr>
          <w:p w:rsidR="009767AF" w:rsidRPr="00442E07" w:rsidP="00FE1BAE" w14:paraId="58CE25AE" w14:textId="77777777">
            <w:pPr>
              <w:rPr>
                <w:rFonts w:ascii="Times New Roman" w:hAnsi="Times New Roman"/>
                <w:szCs w:val="24"/>
              </w:rPr>
            </w:pPr>
          </w:p>
        </w:tc>
        <w:tc>
          <w:tcPr>
            <w:tcW w:w="1260" w:type="dxa"/>
          </w:tcPr>
          <w:p w:rsidR="009767AF" w:rsidRPr="00442E07" w:rsidP="00FE1BAE" w14:paraId="58CE25AF" w14:textId="7428A35B">
            <w:pPr>
              <w:rPr>
                <w:rFonts w:ascii="Times New Roman" w:hAnsi="Times New Roman"/>
                <w:szCs w:val="24"/>
              </w:rPr>
            </w:pPr>
            <w:r>
              <w:rPr>
                <w:rFonts w:ascii="Times New Roman" w:hAnsi="Times New Roman"/>
                <w:szCs w:val="24"/>
              </w:rPr>
              <w:t>26,880</w:t>
            </w:r>
          </w:p>
        </w:tc>
      </w:tr>
    </w:tbl>
    <w:p w:rsidR="001A6AE0" w:rsidP="000446F5" w14:paraId="58CE25B1" w14:textId="77777777">
      <w:pPr>
        <w:pStyle w:val="ListParagraph"/>
        <w:tabs>
          <w:tab w:val="left" w:pos="-720"/>
        </w:tabs>
        <w:suppressAutoHyphens/>
        <w:ind w:left="-864" w:right="-864"/>
        <w:rPr>
          <w:rStyle w:val="a"/>
          <w:rFonts w:ascii="Times New Roman" w:hAnsi="Times New Roman"/>
          <w:b/>
          <w:bCs/>
          <w:i/>
          <w:iCs/>
          <w:szCs w:val="24"/>
        </w:rPr>
      </w:pPr>
    </w:p>
    <w:p w:rsidR="00F31BEC" w:rsidP="000446F5" w14:paraId="58CE25B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7D7E68" w:rsidP="000446F5" w14:paraId="038C4066" w14:textId="77777777">
      <w:pPr>
        <w:pStyle w:val="ListParagraph"/>
        <w:tabs>
          <w:tab w:val="left" w:pos="-720"/>
        </w:tabs>
        <w:suppressAutoHyphens/>
        <w:ind w:left="-864" w:right="-864"/>
        <w:rPr>
          <w:rStyle w:val="a"/>
          <w:rFonts w:ascii="Times New Roman" w:hAnsi="Times New Roman"/>
          <w:b/>
          <w:bCs/>
          <w:i/>
          <w:iCs/>
          <w:sz w:val="22"/>
          <w:szCs w:val="22"/>
        </w:rPr>
      </w:pPr>
    </w:p>
    <w:p w:rsidR="007D7E68" w:rsidRPr="007D7E68" w:rsidP="007D7E68" w14:paraId="329E81B9" w14:textId="77777777">
      <w:pPr>
        <w:pStyle w:val="ListParagraph"/>
        <w:tabs>
          <w:tab w:val="left" w:pos="-720"/>
        </w:tabs>
        <w:suppressAutoHyphens/>
        <w:ind w:left="810" w:right="-864"/>
        <w:rPr>
          <w:rStyle w:val="a"/>
          <w:rFonts w:ascii="Times New Roman" w:hAnsi="Times New Roman"/>
          <w:sz w:val="22"/>
          <w:szCs w:val="22"/>
        </w:rPr>
      </w:pPr>
    </w:p>
    <w:p w:rsidR="00920F63" w:rsidP="00920F63" w14:paraId="58CE25B3" w14:textId="77777777">
      <w:pPr>
        <w:pStyle w:val="ListParagraph"/>
        <w:tabs>
          <w:tab w:val="left" w:pos="-720"/>
        </w:tabs>
        <w:suppressAutoHyphens/>
        <w:rPr>
          <w:rStyle w:val="a"/>
          <w:rFonts w:ascii="Times New Roman" w:hAnsi="Times New Roman"/>
          <w:szCs w:val="24"/>
        </w:rPr>
      </w:pPr>
    </w:p>
    <w:p w:rsidR="00043C32" w:rsidRPr="00ED7195" w:rsidP="00AD381B" w14:paraId="58CE25B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58CE25B5" w14:textId="77777777">
      <w:pPr>
        <w:tabs>
          <w:tab w:val="left" w:pos="-720"/>
        </w:tabs>
        <w:suppressAutoHyphens/>
        <w:rPr>
          <w:rFonts w:ascii="Times New Roman" w:hAnsi="Times New Roman"/>
          <w:b/>
          <w:szCs w:val="24"/>
        </w:rPr>
      </w:pPr>
    </w:p>
    <w:p w:rsidR="00043C32" w:rsidRPr="00ED7195" w:rsidP="00AD381B" w14:paraId="58CE25B6"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AD381B" w:rsidP="00AD381B" w14:paraId="58CE25B7" w14:textId="77777777">
      <w:pPr>
        <w:numPr>
          <w:ilvl w:val="12"/>
          <w:numId w:val="0"/>
        </w:numPr>
        <w:tabs>
          <w:tab w:val="left" w:pos="-720"/>
        </w:tabs>
        <w:suppressAutoHyphens/>
        <w:ind w:left="340"/>
        <w:rPr>
          <w:rFonts w:ascii="Times New Roman" w:hAnsi="Times New Roman"/>
          <w:szCs w:val="24"/>
        </w:rPr>
      </w:pPr>
    </w:p>
    <w:p w:rsidR="00043C32" w:rsidRPr="00ED7195" w:rsidP="00AD381B" w14:paraId="58CE25B8"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w:t>
      </w:r>
      <w:r w:rsidRPr="00ED7195">
        <w:rPr>
          <w:rFonts w:ascii="Times New Roman" w:hAnsi="Times New Roman"/>
          <w:b/>
          <w:szCs w:val="24"/>
        </w:rPr>
        <w:t>analysis associated with the rulemaking containing the information collection, as appropriate.</w:t>
      </w:r>
    </w:p>
    <w:p w:rsidR="00043C32" w:rsidRPr="00ED7195" w:rsidP="00AD381B" w14:paraId="58CE25B9" w14:textId="77777777">
      <w:pPr>
        <w:tabs>
          <w:tab w:val="left" w:pos="-720"/>
          <w:tab w:val="left" w:pos="1247"/>
        </w:tabs>
        <w:suppressAutoHyphens/>
        <w:ind w:left="340"/>
        <w:rPr>
          <w:rFonts w:ascii="Times New Roman" w:hAnsi="Times New Roman"/>
          <w:b/>
          <w:szCs w:val="24"/>
        </w:rPr>
      </w:pPr>
    </w:p>
    <w:p w:rsidR="00043C32" w:rsidRPr="00ED7195" w:rsidP="00AD381B" w14:paraId="58CE25BA"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58CE25BB" w14:textId="77777777">
      <w:pPr>
        <w:tabs>
          <w:tab w:val="left" w:pos="-720"/>
        </w:tabs>
        <w:suppressAutoHyphens/>
        <w:rPr>
          <w:rFonts w:ascii="Times New Roman" w:hAnsi="Times New Roman"/>
          <w:b/>
          <w:szCs w:val="24"/>
        </w:rPr>
      </w:pPr>
    </w:p>
    <w:p w:rsidR="00043C32" w:rsidRPr="00ED7195" w:rsidP="00B4446A" w14:paraId="58CE25BC" w14:textId="71104B9E">
      <w:pPr>
        <w:tabs>
          <w:tab w:val="left" w:pos="-720"/>
        </w:tabs>
        <w:suppressAutoHyphens/>
        <w:ind w:left="1440"/>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r w:rsidRPr="008C07B0" w:rsidR="001C2991">
        <w:rPr>
          <w:rFonts w:ascii="Times New Roman" w:hAnsi="Times New Roman"/>
          <w:bCs/>
          <w:szCs w:val="24"/>
        </w:rPr>
        <w:t>0</w:t>
      </w:r>
    </w:p>
    <w:p w:rsidR="00B14315" w:rsidP="00B4446A" w14:paraId="7F4FD675" w14:textId="77777777">
      <w:pPr>
        <w:tabs>
          <w:tab w:val="left" w:pos="-720"/>
        </w:tabs>
        <w:suppressAutoHyphens/>
        <w:ind w:left="1440"/>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r w:rsidRPr="008C07B0">
        <w:rPr>
          <w:rFonts w:ascii="Times New Roman" w:hAnsi="Times New Roman"/>
          <w:bCs/>
          <w:szCs w:val="24"/>
        </w:rPr>
        <w:t>0</w:t>
      </w:r>
    </w:p>
    <w:p w:rsidR="00043C32" w:rsidRPr="00ED7195" w:rsidP="00B4446A" w14:paraId="58CE25BD" w14:textId="614DB6F9">
      <w:pPr>
        <w:tabs>
          <w:tab w:val="left" w:pos="-720"/>
        </w:tabs>
        <w:suppressAutoHyphens/>
        <w:ind w:left="1440"/>
        <w:rPr>
          <w:rFonts w:ascii="Times New Roman" w:hAnsi="Times New Roman"/>
          <w:b/>
          <w:szCs w:val="24"/>
        </w:rPr>
      </w:pP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ED7195">
        <w:rPr>
          <w:rFonts w:ascii="Times New Roman" w:hAnsi="Times New Roman"/>
          <w:b/>
          <w:szCs w:val="24"/>
        </w:rPr>
        <w:t>_________________</w:t>
      </w:r>
    </w:p>
    <w:p w:rsidR="00043C32" w:rsidRPr="00ED7195" w:rsidP="00B4446A" w14:paraId="58CE25BE" w14:textId="7D71643E">
      <w:pPr>
        <w:tabs>
          <w:tab w:val="left" w:pos="-720"/>
        </w:tabs>
        <w:suppressAutoHyphens/>
        <w:ind w:left="1440"/>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r w:rsidRPr="008C07B0" w:rsidR="00B14315">
        <w:rPr>
          <w:rFonts w:ascii="Times New Roman" w:hAnsi="Times New Roman"/>
          <w:bCs/>
          <w:szCs w:val="24"/>
        </w:rPr>
        <w:t>0</w:t>
      </w:r>
    </w:p>
    <w:p w:rsidR="00043C32" w:rsidP="00AD381B" w14:paraId="58CE25BF" w14:textId="77777777">
      <w:pPr>
        <w:tabs>
          <w:tab w:val="left" w:pos="-720"/>
        </w:tabs>
        <w:suppressAutoHyphens/>
        <w:rPr>
          <w:rFonts w:ascii="Times New Roman" w:hAnsi="Times New Roman"/>
          <w:szCs w:val="24"/>
        </w:rPr>
      </w:pPr>
    </w:p>
    <w:p w:rsidR="00043C32" w:rsidP="00AD381B" w14:paraId="58CE25C0"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2968B8" w:rsidP="002968B8" w14:paraId="2CBF944E" w14:textId="77777777">
      <w:pPr>
        <w:tabs>
          <w:tab w:val="left" w:pos="-720"/>
        </w:tabs>
        <w:suppressAutoHyphens/>
        <w:rPr>
          <w:rStyle w:val="a"/>
          <w:rFonts w:ascii="Times New Roman" w:hAnsi="Times New Roman"/>
          <w:b/>
          <w:szCs w:val="24"/>
        </w:rPr>
      </w:pPr>
    </w:p>
    <w:p w:rsidR="00AA030A" w:rsidRPr="00BB73CF" w:rsidP="00AA030A" w14:paraId="6C66A586" w14:textId="1A203790">
      <w:pPr>
        <w:tabs>
          <w:tab w:val="left" w:pos="-720"/>
        </w:tabs>
        <w:suppressAutoHyphens/>
        <w:ind w:left="900"/>
        <w:rPr>
          <w:rFonts w:ascii="Times New Roman" w:hAnsi="Times New Roman"/>
          <w:szCs w:val="24"/>
        </w:rPr>
      </w:pPr>
      <w:r w:rsidRPr="00BB73CF">
        <w:rPr>
          <w:rFonts w:ascii="Times New Roman" w:hAnsi="Times New Roman"/>
          <w:szCs w:val="24"/>
        </w:rPr>
        <w:t>Estimated Annualized Cost to the Federal Government: $</w:t>
      </w:r>
      <w:r w:rsidR="00D531E8">
        <w:rPr>
          <w:rFonts w:ascii="Times New Roman" w:hAnsi="Times New Roman"/>
          <w:szCs w:val="24"/>
        </w:rPr>
        <w:t>10,441.80</w:t>
      </w:r>
    </w:p>
    <w:p w:rsidR="00AA030A" w:rsidRPr="00BB73CF" w:rsidP="00AA030A" w14:paraId="38E90103" w14:textId="77777777">
      <w:pPr>
        <w:tabs>
          <w:tab w:val="left" w:pos="-720"/>
        </w:tabs>
        <w:suppressAutoHyphens/>
        <w:ind w:left="900"/>
        <w:rPr>
          <w:rFonts w:ascii="Times New Roman" w:hAnsi="Times New Roman"/>
          <w:szCs w:val="24"/>
        </w:rPr>
      </w:pPr>
    </w:p>
    <w:p w:rsidR="00AA356D" w:rsidP="00AA030A" w14:paraId="5DD8B4B8" w14:textId="2D620BA4">
      <w:pPr>
        <w:tabs>
          <w:tab w:val="left" w:pos="-720"/>
        </w:tabs>
        <w:suppressAutoHyphens/>
        <w:ind w:left="900"/>
        <w:rPr>
          <w:rFonts w:ascii="Times New Roman" w:hAnsi="Times New Roman"/>
          <w:szCs w:val="24"/>
        </w:rPr>
      </w:pPr>
      <w:r w:rsidRPr="00BB73CF">
        <w:rPr>
          <w:rFonts w:ascii="Times New Roman" w:hAnsi="Times New Roman"/>
          <w:szCs w:val="24"/>
        </w:rPr>
        <w:t xml:space="preserve">OSEP receives 60 applications. It is estimated that receiving, processing, reviewing, and responding to </w:t>
      </w:r>
      <w:r w:rsidR="002203F5">
        <w:rPr>
          <w:rFonts w:ascii="Times New Roman" w:hAnsi="Times New Roman"/>
          <w:szCs w:val="24"/>
        </w:rPr>
        <w:t xml:space="preserve">each </w:t>
      </w:r>
      <w:r w:rsidRPr="00BB73CF">
        <w:rPr>
          <w:rFonts w:ascii="Times New Roman" w:hAnsi="Times New Roman"/>
          <w:szCs w:val="24"/>
        </w:rPr>
        <w:t>application takes three hours. The average hourly OSEP State Contact salary is $</w:t>
      </w:r>
      <w:r w:rsidR="00A25D91">
        <w:rPr>
          <w:rFonts w:ascii="Times New Roman" w:hAnsi="Times New Roman"/>
          <w:szCs w:val="24"/>
        </w:rPr>
        <w:t>58.01</w:t>
      </w:r>
      <w:r w:rsidRPr="00BB73CF">
        <w:rPr>
          <w:rFonts w:ascii="Times New Roman" w:hAnsi="Times New Roman"/>
          <w:szCs w:val="24"/>
        </w:rPr>
        <w:t xml:space="preserve">/hour. </w:t>
      </w:r>
      <w:r w:rsidR="00186B20">
        <w:rPr>
          <w:rFonts w:ascii="Times New Roman" w:hAnsi="Times New Roman"/>
          <w:szCs w:val="24"/>
        </w:rPr>
        <w:t>T</w:t>
      </w:r>
      <w:r w:rsidR="0076718F">
        <w:rPr>
          <w:rFonts w:ascii="Times New Roman" w:hAnsi="Times New Roman"/>
          <w:szCs w:val="24"/>
        </w:rPr>
        <w:t>he estimated annualized cost to the Federal Government is $</w:t>
      </w:r>
      <w:r w:rsidR="00B52E87">
        <w:rPr>
          <w:rFonts w:ascii="Times New Roman" w:hAnsi="Times New Roman"/>
          <w:szCs w:val="24"/>
        </w:rPr>
        <w:t>10,441.80:</w:t>
      </w:r>
      <w:r w:rsidR="0076718F">
        <w:rPr>
          <w:rFonts w:ascii="Times New Roman" w:hAnsi="Times New Roman"/>
          <w:szCs w:val="24"/>
        </w:rPr>
        <w:t xml:space="preserve"> </w:t>
      </w:r>
      <w:r w:rsidRPr="00BB73CF">
        <w:rPr>
          <w:rFonts w:ascii="Times New Roman" w:hAnsi="Times New Roman"/>
          <w:szCs w:val="24"/>
        </w:rPr>
        <w:t xml:space="preserve"> </w:t>
      </w:r>
    </w:p>
    <w:p w:rsidR="00AA356D" w14:paraId="256561C7" w14:textId="40322C6A">
      <w:pPr>
        <w:rPr>
          <w:rFonts w:ascii="Times New Roman" w:hAnsi="Times New Roman"/>
          <w:szCs w:val="24"/>
        </w:rPr>
      </w:pPr>
    </w:p>
    <w:p w:rsidR="00AA030A" w:rsidRPr="00BB73CF" w:rsidP="00AA030A" w14:paraId="5D99CE82" w14:textId="77777777">
      <w:pPr>
        <w:tabs>
          <w:tab w:val="left" w:pos="-720"/>
        </w:tabs>
        <w:suppressAutoHyphens/>
        <w:rPr>
          <w:rFonts w:ascii="Times New Roman" w:hAnsi="Times New Roman"/>
          <w:szCs w:val="24"/>
        </w:rPr>
      </w:pPr>
    </w:p>
    <w:tbl>
      <w:tblPr>
        <w:tblW w:w="8738" w:type="dxa"/>
        <w:tblInd w:w="895" w:type="dxa"/>
        <w:tblLook w:val="04A0"/>
      </w:tblPr>
      <w:tblGrid>
        <w:gridCol w:w="1990"/>
        <w:gridCol w:w="952"/>
        <w:gridCol w:w="1390"/>
        <w:gridCol w:w="1443"/>
        <w:gridCol w:w="1640"/>
        <w:gridCol w:w="1323"/>
      </w:tblGrid>
      <w:tr w14:paraId="1B1EC96C" w14:textId="77777777" w:rsidTr="00321F41">
        <w:tblPrEx>
          <w:tblW w:w="8738" w:type="dxa"/>
          <w:tblInd w:w="895" w:type="dxa"/>
          <w:tblLook w:val="04A0"/>
        </w:tblPrEx>
        <w:trPr>
          <w:trHeight w:val="900"/>
        </w:trPr>
        <w:tc>
          <w:tcPr>
            <w:tcW w:w="19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030A" w:rsidRPr="00BB73CF" w:rsidP="003C01DB" w14:paraId="70943EFE" w14:textId="77777777">
            <w:pPr>
              <w:rPr>
                <w:rFonts w:ascii="Times New Roman" w:hAnsi="Times New Roman"/>
                <w:color w:val="000000"/>
                <w:szCs w:val="24"/>
              </w:rPr>
            </w:pPr>
            <w:r w:rsidRPr="00BB73CF">
              <w:rPr>
                <w:rFonts w:ascii="Times New Roman" w:hAnsi="Times New Roman"/>
                <w:color w:val="000000"/>
                <w:szCs w:val="24"/>
              </w:rPr>
              <w:t> </w:t>
            </w:r>
          </w:p>
        </w:tc>
        <w:tc>
          <w:tcPr>
            <w:tcW w:w="952" w:type="dxa"/>
            <w:tcBorders>
              <w:top w:val="single" w:sz="4" w:space="0" w:color="auto"/>
              <w:left w:val="nil"/>
              <w:bottom w:val="single" w:sz="4" w:space="0" w:color="auto"/>
              <w:right w:val="single" w:sz="4" w:space="0" w:color="auto"/>
            </w:tcBorders>
            <w:shd w:val="clear" w:color="auto" w:fill="auto"/>
            <w:vAlign w:val="bottom"/>
            <w:hideMark/>
          </w:tcPr>
          <w:p w:rsidR="00AA030A" w:rsidRPr="00BB73CF" w:rsidP="003C01DB" w14:paraId="02419A73" w14:textId="77777777">
            <w:pPr>
              <w:rPr>
                <w:rFonts w:ascii="Times New Roman" w:hAnsi="Times New Roman"/>
                <w:color w:val="000000"/>
                <w:szCs w:val="24"/>
              </w:rPr>
            </w:pPr>
            <w:r w:rsidRPr="00BB73CF">
              <w:rPr>
                <w:rFonts w:ascii="Times New Roman" w:hAnsi="Times New Roman"/>
                <w:color w:val="000000"/>
                <w:szCs w:val="24"/>
              </w:rPr>
              <w:t>Hours</w:t>
            </w:r>
          </w:p>
        </w:tc>
        <w:tc>
          <w:tcPr>
            <w:tcW w:w="1390" w:type="dxa"/>
            <w:tcBorders>
              <w:top w:val="single" w:sz="4" w:space="0" w:color="auto"/>
              <w:left w:val="nil"/>
              <w:bottom w:val="single" w:sz="4" w:space="0" w:color="auto"/>
              <w:right w:val="single" w:sz="4" w:space="0" w:color="auto"/>
            </w:tcBorders>
            <w:shd w:val="clear" w:color="auto" w:fill="auto"/>
            <w:vAlign w:val="bottom"/>
            <w:hideMark/>
          </w:tcPr>
          <w:p w:rsidR="00AA030A" w:rsidRPr="00BB73CF" w:rsidP="003C01DB" w14:paraId="29CEF124" w14:textId="77777777">
            <w:pPr>
              <w:rPr>
                <w:rFonts w:ascii="Times New Roman" w:hAnsi="Times New Roman"/>
                <w:color w:val="000000"/>
                <w:szCs w:val="24"/>
              </w:rPr>
            </w:pPr>
            <w:r w:rsidRPr="00BB73CF">
              <w:rPr>
                <w:rFonts w:ascii="Times New Roman" w:hAnsi="Times New Roman"/>
                <w:color w:val="000000"/>
                <w:szCs w:val="24"/>
              </w:rPr>
              <w:t>Average Hourly Salary</w:t>
            </w:r>
          </w:p>
        </w:tc>
        <w:tc>
          <w:tcPr>
            <w:tcW w:w="1443" w:type="dxa"/>
            <w:tcBorders>
              <w:top w:val="single" w:sz="4" w:space="0" w:color="auto"/>
              <w:left w:val="nil"/>
              <w:bottom w:val="single" w:sz="4" w:space="0" w:color="auto"/>
              <w:right w:val="single" w:sz="4" w:space="0" w:color="auto"/>
            </w:tcBorders>
            <w:shd w:val="clear" w:color="auto" w:fill="auto"/>
            <w:vAlign w:val="bottom"/>
            <w:hideMark/>
          </w:tcPr>
          <w:p w:rsidR="00AA030A" w:rsidRPr="00BB73CF" w:rsidP="003C01DB" w14:paraId="0305B0E0" w14:textId="77777777">
            <w:pPr>
              <w:rPr>
                <w:rFonts w:ascii="Times New Roman" w:hAnsi="Times New Roman"/>
                <w:color w:val="000000"/>
                <w:szCs w:val="24"/>
              </w:rPr>
            </w:pPr>
            <w:r w:rsidRPr="00BB73CF">
              <w:rPr>
                <w:rFonts w:ascii="Times New Roman" w:hAnsi="Times New Roman"/>
                <w:color w:val="000000"/>
                <w:szCs w:val="24"/>
              </w:rPr>
              <w:t>Applications</w:t>
            </w:r>
          </w:p>
        </w:tc>
        <w:tc>
          <w:tcPr>
            <w:tcW w:w="1640" w:type="dxa"/>
            <w:tcBorders>
              <w:top w:val="single" w:sz="4" w:space="0" w:color="auto"/>
              <w:left w:val="nil"/>
              <w:bottom w:val="single" w:sz="4" w:space="0" w:color="auto"/>
              <w:right w:val="single" w:sz="4" w:space="0" w:color="auto"/>
            </w:tcBorders>
            <w:shd w:val="clear" w:color="auto" w:fill="auto"/>
            <w:vAlign w:val="bottom"/>
            <w:hideMark/>
          </w:tcPr>
          <w:p w:rsidR="00AA030A" w:rsidRPr="00BB73CF" w:rsidP="003C01DB" w14:paraId="0C5F2DBC" w14:textId="77777777">
            <w:pPr>
              <w:rPr>
                <w:rFonts w:ascii="Times New Roman" w:hAnsi="Times New Roman"/>
                <w:color w:val="000000"/>
                <w:szCs w:val="24"/>
              </w:rPr>
            </w:pPr>
            <w:r w:rsidRPr="00BB73CF">
              <w:rPr>
                <w:rFonts w:ascii="Times New Roman" w:hAnsi="Times New Roman"/>
                <w:color w:val="000000"/>
                <w:szCs w:val="24"/>
              </w:rPr>
              <w:t>Contracting Cost</w:t>
            </w:r>
          </w:p>
        </w:tc>
        <w:tc>
          <w:tcPr>
            <w:tcW w:w="1323" w:type="dxa"/>
            <w:tcBorders>
              <w:top w:val="single" w:sz="4" w:space="0" w:color="auto"/>
              <w:left w:val="nil"/>
              <w:bottom w:val="single" w:sz="4" w:space="0" w:color="auto"/>
              <w:right w:val="single" w:sz="4" w:space="0" w:color="auto"/>
            </w:tcBorders>
            <w:shd w:val="clear" w:color="auto" w:fill="auto"/>
            <w:vAlign w:val="bottom"/>
            <w:hideMark/>
          </w:tcPr>
          <w:p w:rsidR="00AA030A" w:rsidRPr="00BB73CF" w:rsidP="003C01DB" w14:paraId="3A6A4D28" w14:textId="77777777">
            <w:pPr>
              <w:rPr>
                <w:rFonts w:ascii="Times New Roman" w:hAnsi="Times New Roman"/>
                <w:color w:val="000000"/>
                <w:szCs w:val="24"/>
              </w:rPr>
            </w:pPr>
            <w:r w:rsidRPr="00BB73CF">
              <w:rPr>
                <w:rFonts w:ascii="Times New Roman" w:hAnsi="Times New Roman"/>
                <w:color w:val="000000"/>
                <w:szCs w:val="24"/>
              </w:rPr>
              <w:t>Total Annualized Cost</w:t>
            </w:r>
          </w:p>
        </w:tc>
      </w:tr>
      <w:tr w14:paraId="008C53AE" w14:textId="77777777" w:rsidTr="00321F41">
        <w:tblPrEx>
          <w:tblW w:w="8738" w:type="dxa"/>
          <w:tblInd w:w="895" w:type="dxa"/>
          <w:tblLook w:val="04A0"/>
        </w:tblPrEx>
        <w:trPr>
          <w:trHeight w:val="300"/>
        </w:trPr>
        <w:tc>
          <w:tcPr>
            <w:tcW w:w="1990" w:type="dxa"/>
            <w:tcBorders>
              <w:top w:val="nil"/>
              <w:left w:val="single" w:sz="4" w:space="0" w:color="auto"/>
              <w:bottom w:val="single" w:sz="4" w:space="0" w:color="auto"/>
              <w:right w:val="single" w:sz="4" w:space="0" w:color="auto"/>
            </w:tcBorders>
            <w:shd w:val="clear" w:color="auto" w:fill="auto"/>
            <w:vAlign w:val="bottom"/>
            <w:hideMark/>
          </w:tcPr>
          <w:p w:rsidR="00AA030A" w:rsidRPr="00BB73CF" w:rsidP="003C01DB" w14:paraId="0721ECE2" w14:textId="77777777">
            <w:pPr>
              <w:rPr>
                <w:rFonts w:ascii="Times New Roman" w:hAnsi="Times New Roman"/>
                <w:color w:val="000000"/>
                <w:szCs w:val="24"/>
              </w:rPr>
            </w:pPr>
            <w:r w:rsidRPr="00BB73CF">
              <w:rPr>
                <w:rFonts w:ascii="Times New Roman" w:hAnsi="Times New Roman"/>
                <w:color w:val="000000"/>
                <w:szCs w:val="24"/>
              </w:rPr>
              <w:t>Application Review</w:t>
            </w:r>
          </w:p>
        </w:tc>
        <w:tc>
          <w:tcPr>
            <w:tcW w:w="952" w:type="dxa"/>
            <w:tcBorders>
              <w:top w:val="nil"/>
              <w:left w:val="nil"/>
              <w:bottom w:val="single" w:sz="4" w:space="0" w:color="auto"/>
              <w:right w:val="single" w:sz="4" w:space="0" w:color="auto"/>
            </w:tcBorders>
            <w:shd w:val="clear" w:color="auto" w:fill="auto"/>
            <w:noWrap/>
            <w:vAlign w:val="bottom"/>
            <w:hideMark/>
          </w:tcPr>
          <w:p w:rsidR="00AA030A" w:rsidRPr="00BB73CF" w:rsidP="00D81371" w14:paraId="3B8959DE" w14:textId="77777777">
            <w:pPr>
              <w:jc w:val="center"/>
              <w:rPr>
                <w:rFonts w:ascii="Times New Roman" w:hAnsi="Times New Roman"/>
                <w:color w:val="000000"/>
                <w:szCs w:val="24"/>
              </w:rPr>
            </w:pPr>
            <w:r w:rsidRPr="00BB73CF">
              <w:rPr>
                <w:rFonts w:ascii="Times New Roman" w:hAnsi="Times New Roman"/>
                <w:color w:val="000000"/>
                <w:szCs w:val="24"/>
              </w:rPr>
              <w:t>3</w:t>
            </w:r>
          </w:p>
        </w:tc>
        <w:tc>
          <w:tcPr>
            <w:tcW w:w="1390" w:type="dxa"/>
            <w:tcBorders>
              <w:top w:val="nil"/>
              <w:left w:val="nil"/>
              <w:bottom w:val="single" w:sz="4" w:space="0" w:color="auto"/>
              <w:right w:val="single" w:sz="4" w:space="0" w:color="auto"/>
            </w:tcBorders>
            <w:shd w:val="clear" w:color="auto" w:fill="auto"/>
            <w:noWrap/>
            <w:vAlign w:val="bottom"/>
            <w:hideMark/>
          </w:tcPr>
          <w:p w:rsidR="00AA030A" w:rsidRPr="00BB73CF" w:rsidP="003C01DB" w14:paraId="1F49633B" w14:textId="58EAB122">
            <w:pPr>
              <w:rPr>
                <w:rFonts w:ascii="Times New Roman" w:hAnsi="Times New Roman"/>
                <w:color w:val="000000"/>
                <w:szCs w:val="24"/>
              </w:rPr>
            </w:pPr>
            <w:r w:rsidRPr="00BB73CF">
              <w:rPr>
                <w:rFonts w:ascii="Times New Roman" w:hAnsi="Times New Roman"/>
                <w:color w:val="000000"/>
                <w:szCs w:val="24"/>
              </w:rPr>
              <w:t>$</w:t>
            </w:r>
            <w:r w:rsidR="00A25D91">
              <w:rPr>
                <w:rFonts w:ascii="Times New Roman" w:hAnsi="Times New Roman"/>
                <w:color w:val="000000"/>
                <w:szCs w:val="24"/>
              </w:rPr>
              <w:t>58.01</w:t>
            </w:r>
          </w:p>
        </w:tc>
        <w:tc>
          <w:tcPr>
            <w:tcW w:w="1443" w:type="dxa"/>
            <w:tcBorders>
              <w:top w:val="nil"/>
              <w:left w:val="nil"/>
              <w:bottom w:val="single" w:sz="4" w:space="0" w:color="auto"/>
              <w:right w:val="single" w:sz="4" w:space="0" w:color="auto"/>
            </w:tcBorders>
            <w:shd w:val="clear" w:color="auto" w:fill="auto"/>
            <w:noWrap/>
            <w:vAlign w:val="bottom"/>
            <w:hideMark/>
          </w:tcPr>
          <w:p w:rsidR="00AA030A" w:rsidRPr="00BB73CF" w:rsidP="00D81371" w14:paraId="5D709025" w14:textId="0AFDD0FE">
            <w:pPr>
              <w:jc w:val="center"/>
              <w:rPr>
                <w:rFonts w:ascii="Times New Roman" w:hAnsi="Times New Roman"/>
                <w:color w:val="000000"/>
                <w:szCs w:val="24"/>
              </w:rPr>
            </w:pPr>
            <w:r w:rsidRPr="00BB73CF">
              <w:rPr>
                <w:rFonts w:ascii="Times New Roman" w:hAnsi="Times New Roman"/>
                <w:color w:val="000000"/>
                <w:szCs w:val="24"/>
              </w:rPr>
              <w:t>60</w:t>
            </w:r>
          </w:p>
        </w:tc>
        <w:tc>
          <w:tcPr>
            <w:tcW w:w="1640" w:type="dxa"/>
            <w:tcBorders>
              <w:top w:val="nil"/>
              <w:left w:val="nil"/>
              <w:bottom w:val="single" w:sz="4" w:space="0" w:color="auto"/>
              <w:right w:val="single" w:sz="4" w:space="0" w:color="auto"/>
            </w:tcBorders>
            <w:shd w:val="clear" w:color="auto" w:fill="auto"/>
            <w:noWrap/>
            <w:vAlign w:val="bottom"/>
            <w:hideMark/>
          </w:tcPr>
          <w:p w:rsidR="00AA030A" w:rsidRPr="00BB73CF" w:rsidP="00D81371" w14:paraId="4256C0BF" w14:textId="77777777">
            <w:pPr>
              <w:jc w:val="center"/>
              <w:rPr>
                <w:rFonts w:ascii="Times New Roman" w:hAnsi="Times New Roman"/>
                <w:color w:val="000000"/>
                <w:szCs w:val="24"/>
              </w:rPr>
            </w:pPr>
            <w:r w:rsidRPr="00BB73CF">
              <w:rPr>
                <w:rFonts w:ascii="Times New Roman" w:hAnsi="Times New Roman"/>
                <w:color w:val="000000"/>
                <w:szCs w:val="24"/>
              </w:rPr>
              <w:t>0</w:t>
            </w:r>
          </w:p>
        </w:tc>
        <w:tc>
          <w:tcPr>
            <w:tcW w:w="1323" w:type="dxa"/>
            <w:tcBorders>
              <w:top w:val="nil"/>
              <w:left w:val="nil"/>
              <w:bottom w:val="single" w:sz="4" w:space="0" w:color="auto"/>
              <w:right w:val="single" w:sz="4" w:space="0" w:color="auto"/>
            </w:tcBorders>
            <w:shd w:val="clear" w:color="auto" w:fill="auto"/>
            <w:noWrap/>
            <w:vAlign w:val="bottom"/>
            <w:hideMark/>
          </w:tcPr>
          <w:p w:rsidR="00AA030A" w:rsidRPr="00BB73CF" w:rsidP="003C01DB" w14:paraId="152D290B" w14:textId="468CF582">
            <w:pPr>
              <w:rPr>
                <w:rFonts w:ascii="Times New Roman" w:hAnsi="Times New Roman"/>
                <w:color w:val="000000"/>
                <w:szCs w:val="24"/>
              </w:rPr>
            </w:pPr>
            <w:r w:rsidRPr="00BB73CF">
              <w:rPr>
                <w:rFonts w:ascii="Times New Roman" w:hAnsi="Times New Roman"/>
                <w:color w:val="000000"/>
                <w:szCs w:val="24"/>
              </w:rPr>
              <w:t>$10,</w:t>
            </w:r>
            <w:r w:rsidR="00DB500C">
              <w:rPr>
                <w:rFonts w:ascii="Times New Roman" w:hAnsi="Times New Roman"/>
                <w:color w:val="000000"/>
                <w:szCs w:val="24"/>
              </w:rPr>
              <w:t>441.80</w:t>
            </w:r>
            <w:r w:rsidRPr="00BB73CF">
              <w:rPr>
                <w:rFonts w:ascii="Times New Roman" w:hAnsi="Times New Roman"/>
                <w:color w:val="000000"/>
                <w:szCs w:val="24"/>
              </w:rPr>
              <w:t xml:space="preserve"> </w:t>
            </w:r>
          </w:p>
        </w:tc>
      </w:tr>
      <w:tr w14:paraId="48BDDBC2" w14:textId="77777777" w:rsidTr="00321F41">
        <w:tblPrEx>
          <w:tblW w:w="8738" w:type="dxa"/>
          <w:tblInd w:w="895" w:type="dxa"/>
          <w:tblLook w:val="04A0"/>
        </w:tblPrEx>
        <w:trPr>
          <w:trHeight w:val="300"/>
        </w:trPr>
        <w:tc>
          <w:tcPr>
            <w:tcW w:w="1990" w:type="dxa"/>
            <w:tcBorders>
              <w:top w:val="nil"/>
              <w:left w:val="single" w:sz="4" w:space="0" w:color="auto"/>
              <w:bottom w:val="single" w:sz="4" w:space="0" w:color="auto"/>
              <w:right w:val="single" w:sz="4" w:space="0" w:color="auto"/>
            </w:tcBorders>
            <w:shd w:val="clear" w:color="auto" w:fill="auto"/>
            <w:noWrap/>
            <w:vAlign w:val="bottom"/>
            <w:hideMark/>
          </w:tcPr>
          <w:p w:rsidR="00AA030A" w:rsidRPr="00BB73CF" w:rsidP="003C01DB" w14:paraId="10622559" w14:textId="77777777">
            <w:pPr>
              <w:rPr>
                <w:rFonts w:ascii="Times New Roman" w:hAnsi="Times New Roman"/>
                <w:color w:val="000000"/>
                <w:szCs w:val="24"/>
              </w:rPr>
            </w:pPr>
            <w:r w:rsidRPr="00BB73CF">
              <w:rPr>
                <w:rFonts w:ascii="Times New Roman" w:hAnsi="Times New Roman"/>
                <w:color w:val="000000"/>
                <w:szCs w:val="24"/>
              </w:rPr>
              <w:t>Total Annualized Cost</w:t>
            </w:r>
          </w:p>
        </w:tc>
        <w:tc>
          <w:tcPr>
            <w:tcW w:w="952" w:type="dxa"/>
            <w:tcBorders>
              <w:top w:val="nil"/>
              <w:left w:val="nil"/>
              <w:bottom w:val="single" w:sz="4" w:space="0" w:color="auto"/>
              <w:right w:val="single" w:sz="4" w:space="0" w:color="auto"/>
            </w:tcBorders>
            <w:shd w:val="clear" w:color="auto" w:fill="auto"/>
            <w:noWrap/>
            <w:vAlign w:val="bottom"/>
            <w:hideMark/>
          </w:tcPr>
          <w:p w:rsidR="00AA030A" w:rsidRPr="00BB73CF" w:rsidP="003C01DB" w14:paraId="203F8453" w14:textId="77777777">
            <w:pPr>
              <w:rPr>
                <w:rFonts w:ascii="Times New Roman" w:hAnsi="Times New Roman"/>
                <w:color w:val="000000"/>
                <w:szCs w:val="24"/>
              </w:rPr>
            </w:pPr>
            <w:r w:rsidRPr="00BB73CF">
              <w:rPr>
                <w:rFonts w:ascii="Times New Roman" w:hAnsi="Times New Roman"/>
                <w:color w:val="000000"/>
                <w:szCs w:val="24"/>
              </w:rPr>
              <w:t> </w:t>
            </w:r>
          </w:p>
        </w:tc>
        <w:tc>
          <w:tcPr>
            <w:tcW w:w="1390" w:type="dxa"/>
            <w:tcBorders>
              <w:top w:val="nil"/>
              <w:left w:val="nil"/>
              <w:bottom w:val="single" w:sz="4" w:space="0" w:color="auto"/>
              <w:right w:val="single" w:sz="4" w:space="0" w:color="auto"/>
            </w:tcBorders>
            <w:shd w:val="clear" w:color="auto" w:fill="auto"/>
            <w:noWrap/>
            <w:vAlign w:val="bottom"/>
            <w:hideMark/>
          </w:tcPr>
          <w:p w:rsidR="00AA030A" w:rsidRPr="00BB73CF" w:rsidP="003C01DB" w14:paraId="3FC43872" w14:textId="77777777">
            <w:pPr>
              <w:rPr>
                <w:rFonts w:ascii="Times New Roman" w:hAnsi="Times New Roman"/>
                <w:color w:val="000000"/>
                <w:szCs w:val="24"/>
              </w:rPr>
            </w:pPr>
            <w:r w:rsidRPr="00BB73CF">
              <w:rPr>
                <w:rFonts w:ascii="Times New Roman" w:hAnsi="Times New Roman"/>
                <w:color w:val="000000"/>
                <w:szCs w:val="24"/>
              </w:rPr>
              <w:t> </w:t>
            </w:r>
          </w:p>
        </w:tc>
        <w:tc>
          <w:tcPr>
            <w:tcW w:w="1443" w:type="dxa"/>
            <w:tcBorders>
              <w:top w:val="nil"/>
              <w:left w:val="nil"/>
              <w:bottom w:val="single" w:sz="4" w:space="0" w:color="auto"/>
              <w:right w:val="single" w:sz="4" w:space="0" w:color="auto"/>
            </w:tcBorders>
            <w:shd w:val="clear" w:color="auto" w:fill="auto"/>
            <w:noWrap/>
            <w:vAlign w:val="bottom"/>
            <w:hideMark/>
          </w:tcPr>
          <w:p w:rsidR="00AA030A" w:rsidRPr="00BB73CF" w:rsidP="003C01DB" w14:paraId="65B65483" w14:textId="77777777">
            <w:pPr>
              <w:rPr>
                <w:rFonts w:ascii="Times New Roman" w:hAnsi="Times New Roman"/>
                <w:color w:val="000000"/>
                <w:szCs w:val="24"/>
              </w:rPr>
            </w:pPr>
            <w:r w:rsidRPr="00BB73CF">
              <w:rPr>
                <w:rFonts w:ascii="Times New Roman" w:hAnsi="Times New Roman"/>
                <w:color w:val="000000"/>
                <w:szCs w:val="24"/>
              </w:rPr>
              <w:t> </w:t>
            </w:r>
          </w:p>
        </w:tc>
        <w:tc>
          <w:tcPr>
            <w:tcW w:w="1640" w:type="dxa"/>
            <w:tcBorders>
              <w:top w:val="nil"/>
              <w:left w:val="nil"/>
              <w:bottom w:val="single" w:sz="4" w:space="0" w:color="auto"/>
              <w:right w:val="single" w:sz="4" w:space="0" w:color="auto"/>
            </w:tcBorders>
            <w:shd w:val="clear" w:color="auto" w:fill="auto"/>
            <w:noWrap/>
            <w:vAlign w:val="bottom"/>
            <w:hideMark/>
          </w:tcPr>
          <w:p w:rsidR="00AA030A" w:rsidRPr="00BB73CF" w:rsidP="003C01DB" w14:paraId="1ED52366" w14:textId="77777777">
            <w:pPr>
              <w:rPr>
                <w:rFonts w:ascii="Times New Roman" w:hAnsi="Times New Roman"/>
                <w:color w:val="000000"/>
                <w:szCs w:val="24"/>
              </w:rPr>
            </w:pPr>
            <w:r w:rsidRPr="00BB73CF">
              <w:rPr>
                <w:rFonts w:ascii="Times New Roman" w:hAnsi="Times New Roman"/>
                <w:color w:val="000000"/>
                <w:szCs w:val="24"/>
              </w:rPr>
              <w:t> </w:t>
            </w:r>
          </w:p>
        </w:tc>
        <w:tc>
          <w:tcPr>
            <w:tcW w:w="1323" w:type="dxa"/>
            <w:tcBorders>
              <w:top w:val="nil"/>
              <w:left w:val="nil"/>
              <w:bottom w:val="single" w:sz="4" w:space="0" w:color="auto"/>
              <w:right w:val="single" w:sz="4" w:space="0" w:color="auto"/>
            </w:tcBorders>
            <w:shd w:val="clear" w:color="auto" w:fill="auto"/>
            <w:noWrap/>
            <w:vAlign w:val="center"/>
            <w:hideMark/>
          </w:tcPr>
          <w:p w:rsidR="00AA030A" w:rsidRPr="00BB73CF" w:rsidP="003C01DB" w14:paraId="71BBB28E" w14:textId="2880EA9D">
            <w:pPr>
              <w:rPr>
                <w:rFonts w:ascii="Times New Roman" w:hAnsi="Times New Roman"/>
                <w:color w:val="000000"/>
                <w:szCs w:val="24"/>
              </w:rPr>
            </w:pPr>
            <w:r w:rsidRPr="00BB73CF">
              <w:rPr>
                <w:rFonts w:ascii="Times New Roman" w:hAnsi="Times New Roman"/>
                <w:color w:val="000000"/>
              </w:rPr>
              <w:t>$</w:t>
            </w:r>
            <w:r w:rsidR="007F0048">
              <w:rPr>
                <w:rFonts w:ascii="Times New Roman" w:hAnsi="Times New Roman"/>
                <w:color w:val="000000"/>
              </w:rPr>
              <w:t>10,441.80</w:t>
            </w:r>
            <w:r w:rsidRPr="00BB73CF">
              <w:rPr>
                <w:rFonts w:ascii="Times New Roman" w:hAnsi="Times New Roman"/>
                <w:color w:val="000000"/>
              </w:rPr>
              <w:t xml:space="preserve"> </w:t>
            </w:r>
          </w:p>
        </w:tc>
      </w:tr>
    </w:tbl>
    <w:p w:rsidR="00534B4A" w:rsidP="00534B4A" w14:paraId="58CE25C1" w14:textId="77777777">
      <w:pPr>
        <w:tabs>
          <w:tab w:val="left" w:pos="-720"/>
        </w:tabs>
        <w:suppressAutoHyphens/>
        <w:rPr>
          <w:rFonts w:ascii="Times New Roman" w:hAnsi="Times New Roman"/>
          <w:szCs w:val="24"/>
        </w:rPr>
      </w:pPr>
    </w:p>
    <w:p w:rsidR="00800D30" w:rsidP="00800D30" w14:paraId="58CE25C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w:t>
      </w:r>
      <w:r w:rsidRPr="00800D30">
        <w:rPr>
          <w:rFonts w:ascii="Times New Roman" w:hAnsi="Times New Roman"/>
          <w:b/>
          <w:szCs w:val="24"/>
        </w:rPr>
        <w:t>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Pr>
          <w:rFonts w:ascii="Times New Roman" w:hAnsi="Times New Roman"/>
          <w:b/>
          <w:szCs w:val="24"/>
        </w:rPr>
        <w:t xml:space="preserve"> </w:t>
      </w:r>
    </w:p>
    <w:p w:rsidR="00800D30" w:rsidP="00800D30" w14:paraId="58CE25C4" w14:textId="77777777">
      <w:pPr>
        <w:pStyle w:val="ListParagraph"/>
        <w:tabs>
          <w:tab w:val="left" w:pos="-720"/>
        </w:tabs>
        <w:suppressAutoHyphens/>
        <w:contextualSpacing w:val="0"/>
        <w:rPr>
          <w:rFonts w:ascii="Times New Roman" w:hAnsi="Times New Roman"/>
          <w:b/>
          <w:szCs w:val="24"/>
        </w:rPr>
      </w:pPr>
    </w:p>
    <w:p w:rsidR="00800D30" w:rsidRPr="00756FD3" w:rsidP="00800D30" w14:paraId="58CE25C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14:paraId="58CE25C6" w14:textId="77777777">
      <w:pPr>
        <w:tabs>
          <w:tab w:val="left" w:pos="-720"/>
        </w:tabs>
        <w:suppressAutoHyphens/>
        <w:rPr>
          <w:rFonts w:ascii="Times New Roman" w:hAnsi="Times New Roman"/>
          <w:b/>
          <w:szCs w:val="24"/>
        </w:rPr>
      </w:pPr>
    </w:p>
    <w:tbl>
      <w:tblPr>
        <w:tblStyle w:val="TableGrid"/>
        <w:tblW w:w="8730" w:type="dxa"/>
        <w:tblInd w:w="715" w:type="dxa"/>
        <w:tblLook w:val="04A0"/>
      </w:tblPr>
      <w:tblGrid>
        <w:gridCol w:w="1351"/>
        <w:gridCol w:w="1349"/>
        <w:gridCol w:w="4140"/>
        <w:gridCol w:w="1890"/>
      </w:tblGrid>
      <w:tr w14:paraId="58CE25CB" w14:textId="77777777" w:rsidTr="00E70821">
        <w:tblPrEx>
          <w:tblW w:w="8730" w:type="dxa"/>
          <w:tblInd w:w="715" w:type="dxa"/>
          <w:tblLook w:val="04A0"/>
        </w:tblPrEx>
        <w:tc>
          <w:tcPr>
            <w:tcW w:w="1351" w:type="dxa"/>
            <w:shd w:val="clear" w:color="auto" w:fill="D9D9D9" w:themeFill="background1" w:themeFillShade="D9"/>
          </w:tcPr>
          <w:p w:rsidR="0052073E" w:rsidP="00534B4A" w14:paraId="58CE25C7" w14:textId="77777777">
            <w:pPr>
              <w:tabs>
                <w:tab w:val="left" w:pos="-720"/>
              </w:tabs>
              <w:suppressAutoHyphens/>
              <w:rPr>
                <w:rFonts w:ascii="Times New Roman" w:hAnsi="Times New Roman"/>
                <w:b/>
                <w:szCs w:val="24"/>
              </w:rPr>
            </w:pPr>
          </w:p>
        </w:tc>
        <w:tc>
          <w:tcPr>
            <w:tcW w:w="1349" w:type="dxa"/>
          </w:tcPr>
          <w:p w:rsidR="0052073E" w:rsidP="00534B4A" w14:paraId="58CE25C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4140" w:type="dxa"/>
          </w:tcPr>
          <w:p w:rsidR="0052073E" w:rsidP="00534B4A" w14:paraId="58CE25C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1890" w:type="dxa"/>
          </w:tcPr>
          <w:p w:rsidR="0052073E" w:rsidP="00534B4A" w14:paraId="58CE25C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58CE25D0" w14:textId="77777777" w:rsidTr="00E70821">
        <w:tblPrEx>
          <w:tblW w:w="8730" w:type="dxa"/>
          <w:tblInd w:w="715" w:type="dxa"/>
          <w:tblLook w:val="04A0"/>
        </w:tblPrEx>
        <w:tc>
          <w:tcPr>
            <w:tcW w:w="1351" w:type="dxa"/>
          </w:tcPr>
          <w:p w:rsidR="0052073E" w:rsidP="00534B4A" w14:paraId="58CE25C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1349" w:type="dxa"/>
          </w:tcPr>
          <w:p w:rsidR="0052073E" w:rsidP="00534B4A" w14:paraId="58CE25CD" w14:textId="77777777">
            <w:pPr>
              <w:tabs>
                <w:tab w:val="left" w:pos="-720"/>
              </w:tabs>
              <w:suppressAutoHyphens/>
              <w:rPr>
                <w:rFonts w:ascii="Times New Roman" w:hAnsi="Times New Roman"/>
                <w:b/>
                <w:szCs w:val="24"/>
              </w:rPr>
            </w:pPr>
          </w:p>
        </w:tc>
        <w:tc>
          <w:tcPr>
            <w:tcW w:w="4140" w:type="dxa"/>
          </w:tcPr>
          <w:p w:rsidR="0052073E" w:rsidP="00534B4A" w14:paraId="52A1578A" w14:textId="77777777">
            <w:pPr>
              <w:tabs>
                <w:tab w:val="left" w:pos="-720"/>
              </w:tabs>
              <w:suppressAutoHyphens/>
              <w:rPr>
                <w:rFonts w:ascii="Times New Roman" w:hAnsi="Times New Roman"/>
                <w:bCs/>
                <w:sz w:val="18"/>
                <w:szCs w:val="18"/>
              </w:rPr>
            </w:pPr>
            <w:r w:rsidRPr="00E137F1">
              <w:rPr>
                <w:rFonts w:ascii="Times New Roman" w:hAnsi="Times New Roman"/>
                <w:bCs/>
                <w:sz w:val="18"/>
                <w:szCs w:val="18"/>
              </w:rPr>
              <w:t xml:space="preserve">Removal of Significant Disproportionality Data Collection from IDEA Part B State Grant Award </w:t>
            </w:r>
            <w:r w:rsidRPr="00E137F1" w:rsidR="00E54B24">
              <w:rPr>
                <w:rFonts w:ascii="Times New Roman" w:hAnsi="Times New Roman"/>
                <w:bCs/>
                <w:sz w:val="18"/>
                <w:szCs w:val="18"/>
              </w:rPr>
              <w:t>Application</w:t>
            </w:r>
          </w:p>
          <w:p w:rsidR="00E92C23" w:rsidP="00534B4A" w14:paraId="787C1F98" w14:textId="77777777">
            <w:pPr>
              <w:tabs>
                <w:tab w:val="left" w:pos="-720"/>
              </w:tabs>
              <w:suppressAutoHyphens/>
              <w:rPr>
                <w:rFonts w:ascii="Times New Roman" w:hAnsi="Times New Roman"/>
                <w:bCs/>
                <w:sz w:val="18"/>
                <w:szCs w:val="18"/>
              </w:rPr>
            </w:pPr>
          </w:p>
          <w:p w:rsidR="00E92C23" w:rsidP="00534B4A" w14:paraId="34006F38" w14:textId="1FAEA6C7">
            <w:pPr>
              <w:tabs>
                <w:tab w:val="left" w:pos="-720"/>
              </w:tabs>
              <w:suppressAutoHyphens/>
              <w:rPr>
                <w:rFonts w:ascii="Times New Roman" w:hAnsi="Times New Roman"/>
                <w:bCs/>
                <w:sz w:val="18"/>
                <w:szCs w:val="18"/>
              </w:rPr>
            </w:pPr>
            <w:r>
              <w:rPr>
                <w:rFonts w:ascii="Times New Roman" w:hAnsi="Times New Roman"/>
                <w:bCs/>
                <w:sz w:val="18"/>
                <w:szCs w:val="18"/>
              </w:rPr>
              <w:t xml:space="preserve">Total Burden </w:t>
            </w:r>
            <w:r w:rsidR="00ED1E20">
              <w:rPr>
                <w:rFonts w:ascii="Times New Roman" w:hAnsi="Times New Roman"/>
                <w:bCs/>
                <w:sz w:val="18"/>
                <w:szCs w:val="18"/>
              </w:rPr>
              <w:t xml:space="preserve">Hours </w:t>
            </w:r>
            <w:r>
              <w:rPr>
                <w:rFonts w:ascii="Times New Roman" w:hAnsi="Times New Roman"/>
                <w:bCs/>
                <w:sz w:val="18"/>
                <w:szCs w:val="18"/>
              </w:rPr>
              <w:t>Before Removal:</w:t>
            </w:r>
            <w:r w:rsidR="00ED1E20">
              <w:rPr>
                <w:rFonts w:ascii="Times New Roman" w:hAnsi="Times New Roman"/>
                <w:bCs/>
                <w:sz w:val="18"/>
                <w:szCs w:val="18"/>
              </w:rPr>
              <w:t xml:space="preserve"> 1340 hours</w:t>
            </w:r>
          </w:p>
          <w:p w:rsidR="00ED1E20" w:rsidP="00534B4A" w14:paraId="5C41C102" w14:textId="53A45EFF">
            <w:pPr>
              <w:tabs>
                <w:tab w:val="left" w:pos="-720"/>
              </w:tabs>
              <w:suppressAutoHyphens/>
              <w:rPr>
                <w:rFonts w:ascii="Times New Roman" w:hAnsi="Times New Roman"/>
                <w:bCs/>
                <w:sz w:val="18"/>
                <w:szCs w:val="18"/>
              </w:rPr>
            </w:pPr>
            <w:r>
              <w:rPr>
                <w:rFonts w:ascii="Times New Roman" w:hAnsi="Times New Roman"/>
                <w:bCs/>
                <w:sz w:val="18"/>
                <w:szCs w:val="18"/>
              </w:rPr>
              <w:t>Total Burden Hours After Removal: 840 hours</w:t>
            </w:r>
          </w:p>
          <w:p w:rsidR="00E70821" w:rsidRPr="00E137F1" w:rsidP="007F3584" w14:paraId="58CE25CE" w14:textId="27DDEB5D">
            <w:pPr>
              <w:tabs>
                <w:tab w:val="left" w:pos="-720"/>
              </w:tabs>
              <w:suppressAutoHyphens/>
              <w:rPr>
                <w:rFonts w:ascii="Times New Roman" w:hAnsi="Times New Roman"/>
                <w:bCs/>
                <w:sz w:val="18"/>
                <w:szCs w:val="18"/>
              </w:rPr>
            </w:pPr>
          </w:p>
        </w:tc>
        <w:tc>
          <w:tcPr>
            <w:tcW w:w="1890" w:type="dxa"/>
          </w:tcPr>
          <w:p w:rsidR="0052073E" w:rsidP="00534B4A" w14:paraId="58CE25CF" w14:textId="77777777">
            <w:pPr>
              <w:tabs>
                <w:tab w:val="left" w:pos="-720"/>
              </w:tabs>
              <w:suppressAutoHyphens/>
              <w:rPr>
                <w:rFonts w:ascii="Times New Roman" w:hAnsi="Times New Roman"/>
                <w:b/>
                <w:szCs w:val="24"/>
              </w:rPr>
            </w:pPr>
          </w:p>
        </w:tc>
      </w:tr>
      <w:tr w14:paraId="58CE25D5" w14:textId="77777777" w:rsidTr="00CE38DB">
        <w:tblPrEx>
          <w:tblW w:w="8730" w:type="dxa"/>
          <w:tblInd w:w="715" w:type="dxa"/>
          <w:tblLook w:val="04A0"/>
        </w:tblPrEx>
        <w:trPr>
          <w:trHeight w:val="350"/>
        </w:trPr>
        <w:tc>
          <w:tcPr>
            <w:tcW w:w="1351" w:type="dxa"/>
          </w:tcPr>
          <w:p w:rsidR="0052073E" w:rsidP="00534B4A" w14:paraId="58CE25D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1349" w:type="dxa"/>
          </w:tcPr>
          <w:p w:rsidR="0052073E" w:rsidP="00534B4A" w14:paraId="58CE25D2" w14:textId="77777777">
            <w:pPr>
              <w:tabs>
                <w:tab w:val="left" w:pos="-720"/>
              </w:tabs>
              <w:suppressAutoHyphens/>
              <w:rPr>
                <w:rFonts w:ascii="Times New Roman" w:hAnsi="Times New Roman"/>
                <w:b/>
                <w:szCs w:val="24"/>
              </w:rPr>
            </w:pPr>
          </w:p>
        </w:tc>
        <w:tc>
          <w:tcPr>
            <w:tcW w:w="4140" w:type="dxa"/>
          </w:tcPr>
          <w:p w:rsidR="0052073E" w:rsidP="00534B4A" w14:paraId="343079E4" w14:textId="77777777">
            <w:pPr>
              <w:tabs>
                <w:tab w:val="left" w:pos="-720"/>
              </w:tabs>
              <w:suppressAutoHyphens/>
              <w:rPr>
                <w:rFonts w:ascii="Times New Roman" w:hAnsi="Times New Roman"/>
                <w:bCs/>
                <w:sz w:val="18"/>
                <w:szCs w:val="18"/>
              </w:rPr>
            </w:pPr>
            <w:r w:rsidRPr="00CE38DB">
              <w:rPr>
                <w:rFonts w:ascii="Times New Roman" w:hAnsi="Times New Roman"/>
                <w:bCs/>
                <w:sz w:val="18"/>
                <w:szCs w:val="18"/>
              </w:rPr>
              <w:t>60 responses from States and entities</w:t>
            </w:r>
          </w:p>
          <w:p w:rsidR="007F3584" w:rsidRPr="00CE38DB" w:rsidP="00534B4A" w14:paraId="58CE25D3" w14:textId="571AC942">
            <w:pPr>
              <w:tabs>
                <w:tab w:val="left" w:pos="-720"/>
              </w:tabs>
              <w:suppressAutoHyphens/>
              <w:rPr>
                <w:rFonts w:ascii="Times New Roman" w:hAnsi="Times New Roman"/>
                <w:bCs/>
                <w:sz w:val="18"/>
                <w:szCs w:val="18"/>
              </w:rPr>
            </w:pPr>
            <w:r>
              <w:rPr>
                <w:rFonts w:ascii="Times New Roman" w:hAnsi="Times New Roman"/>
                <w:bCs/>
                <w:sz w:val="18"/>
                <w:szCs w:val="18"/>
              </w:rPr>
              <w:t>One response per State and entity</w:t>
            </w:r>
          </w:p>
        </w:tc>
        <w:tc>
          <w:tcPr>
            <w:tcW w:w="1890" w:type="dxa"/>
          </w:tcPr>
          <w:p w:rsidR="0052073E" w:rsidP="00534B4A" w14:paraId="58CE25D4" w14:textId="77777777">
            <w:pPr>
              <w:tabs>
                <w:tab w:val="left" w:pos="-720"/>
              </w:tabs>
              <w:suppressAutoHyphens/>
              <w:rPr>
                <w:rFonts w:ascii="Times New Roman" w:hAnsi="Times New Roman"/>
                <w:b/>
                <w:szCs w:val="24"/>
              </w:rPr>
            </w:pPr>
          </w:p>
        </w:tc>
      </w:tr>
      <w:tr w14:paraId="58CE25DA" w14:textId="77777777" w:rsidTr="00E70821">
        <w:tblPrEx>
          <w:tblW w:w="8730" w:type="dxa"/>
          <w:tblInd w:w="715" w:type="dxa"/>
          <w:tblLook w:val="04A0"/>
        </w:tblPrEx>
        <w:tc>
          <w:tcPr>
            <w:tcW w:w="1351" w:type="dxa"/>
          </w:tcPr>
          <w:p w:rsidR="0052073E" w:rsidP="00534B4A" w14:paraId="58CE25D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1349" w:type="dxa"/>
          </w:tcPr>
          <w:p w:rsidR="0052073E" w:rsidP="00534B4A" w14:paraId="58CE25D7" w14:textId="77777777">
            <w:pPr>
              <w:tabs>
                <w:tab w:val="left" w:pos="-720"/>
              </w:tabs>
              <w:suppressAutoHyphens/>
              <w:rPr>
                <w:rFonts w:ascii="Times New Roman" w:hAnsi="Times New Roman"/>
                <w:b/>
                <w:szCs w:val="24"/>
              </w:rPr>
            </w:pPr>
          </w:p>
        </w:tc>
        <w:tc>
          <w:tcPr>
            <w:tcW w:w="4140" w:type="dxa"/>
          </w:tcPr>
          <w:p w:rsidR="00F36741" w:rsidP="00F36741" w14:paraId="4D9ED543" w14:textId="2F5543C7">
            <w:pPr>
              <w:tabs>
                <w:tab w:val="left" w:pos="-720"/>
              </w:tabs>
              <w:suppressAutoHyphens/>
              <w:rPr>
                <w:rFonts w:ascii="Times New Roman" w:hAnsi="Times New Roman"/>
                <w:bCs/>
                <w:sz w:val="18"/>
                <w:szCs w:val="18"/>
              </w:rPr>
            </w:pPr>
            <w:r>
              <w:rPr>
                <w:rFonts w:ascii="Times New Roman" w:hAnsi="Times New Roman"/>
                <w:bCs/>
                <w:sz w:val="18"/>
                <w:szCs w:val="18"/>
              </w:rPr>
              <w:t xml:space="preserve">Total Burden </w:t>
            </w:r>
            <w:r w:rsidR="00E92C23">
              <w:rPr>
                <w:rFonts w:ascii="Times New Roman" w:hAnsi="Times New Roman"/>
                <w:bCs/>
                <w:sz w:val="18"/>
                <w:szCs w:val="18"/>
              </w:rPr>
              <w:t xml:space="preserve">Costs </w:t>
            </w:r>
            <w:r w:rsidR="00ED1E20">
              <w:rPr>
                <w:rFonts w:ascii="Times New Roman" w:hAnsi="Times New Roman"/>
                <w:bCs/>
                <w:sz w:val="18"/>
                <w:szCs w:val="18"/>
              </w:rPr>
              <w:t>of IDEA Part B Application b</w:t>
            </w:r>
            <w:r>
              <w:rPr>
                <w:rFonts w:ascii="Times New Roman" w:hAnsi="Times New Roman"/>
                <w:bCs/>
                <w:sz w:val="18"/>
                <w:szCs w:val="18"/>
              </w:rPr>
              <w:t>efore Removal: $74,880</w:t>
            </w:r>
          </w:p>
          <w:p w:rsidR="00F36741" w:rsidP="00F36741" w14:paraId="616845DA" w14:textId="77777777">
            <w:pPr>
              <w:tabs>
                <w:tab w:val="left" w:pos="-720"/>
              </w:tabs>
              <w:suppressAutoHyphens/>
              <w:rPr>
                <w:rFonts w:ascii="Times New Roman" w:hAnsi="Times New Roman"/>
                <w:bCs/>
                <w:sz w:val="18"/>
                <w:szCs w:val="18"/>
              </w:rPr>
            </w:pPr>
          </w:p>
          <w:p w:rsidR="0052073E" w:rsidP="00F36741" w14:paraId="58CE25D8" w14:textId="6B950E1B">
            <w:pPr>
              <w:tabs>
                <w:tab w:val="left" w:pos="-720"/>
              </w:tabs>
              <w:suppressAutoHyphens/>
              <w:rPr>
                <w:rFonts w:ascii="Times New Roman" w:hAnsi="Times New Roman"/>
                <w:b/>
                <w:szCs w:val="24"/>
              </w:rPr>
            </w:pPr>
            <w:r>
              <w:rPr>
                <w:rFonts w:ascii="Times New Roman" w:hAnsi="Times New Roman"/>
                <w:bCs/>
                <w:sz w:val="18"/>
                <w:szCs w:val="18"/>
              </w:rPr>
              <w:t xml:space="preserve">Total Burden </w:t>
            </w:r>
            <w:r w:rsidR="00E92C23">
              <w:rPr>
                <w:rFonts w:ascii="Times New Roman" w:hAnsi="Times New Roman"/>
                <w:bCs/>
                <w:sz w:val="18"/>
                <w:szCs w:val="18"/>
              </w:rPr>
              <w:t xml:space="preserve">Costs </w:t>
            </w:r>
            <w:r w:rsidR="00ED1E20">
              <w:rPr>
                <w:rFonts w:ascii="Times New Roman" w:hAnsi="Times New Roman"/>
                <w:bCs/>
                <w:sz w:val="18"/>
                <w:szCs w:val="18"/>
              </w:rPr>
              <w:t xml:space="preserve">of IDEA Part B Application after </w:t>
            </w:r>
            <w:r>
              <w:rPr>
                <w:rFonts w:ascii="Times New Roman" w:hAnsi="Times New Roman"/>
                <w:bCs/>
                <w:sz w:val="18"/>
                <w:szCs w:val="18"/>
              </w:rPr>
              <w:t>Removal:  $26,880</w:t>
            </w:r>
          </w:p>
        </w:tc>
        <w:tc>
          <w:tcPr>
            <w:tcW w:w="1890" w:type="dxa"/>
          </w:tcPr>
          <w:p w:rsidR="0052073E" w:rsidP="00534B4A" w14:paraId="58CE25D9" w14:textId="77777777">
            <w:pPr>
              <w:tabs>
                <w:tab w:val="left" w:pos="-720"/>
              </w:tabs>
              <w:suppressAutoHyphens/>
              <w:rPr>
                <w:rFonts w:ascii="Times New Roman" w:hAnsi="Times New Roman"/>
                <w:b/>
                <w:szCs w:val="24"/>
              </w:rPr>
            </w:pPr>
          </w:p>
        </w:tc>
      </w:tr>
    </w:tbl>
    <w:p w:rsidR="00F27AAF" w:rsidP="00534B4A" w14:paraId="58CE25DB" w14:textId="77777777">
      <w:pPr>
        <w:tabs>
          <w:tab w:val="left" w:pos="-720"/>
        </w:tabs>
        <w:suppressAutoHyphens/>
        <w:rPr>
          <w:rFonts w:ascii="Times New Roman" w:hAnsi="Times New Roman"/>
          <w:b/>
          <w:szCs w:val="24"/>
        </w:rPr>
      </w:pPr>
    </w:p>
    <w:p w:rsidR="00534B4A" w:rsidP="00F91F35" w14:paraId="58CE25DC" w14:textId="4124B9CF">
      <w:pPr>
        <w:tabs>
          <w:tab w:val="left" w:pos="-720"/>
        </w:tabs>
        <w:suppressAutoHyphens/>
        <w:spacing w:after="120"/>
        <w:ind w:left="810"/>
        <w:rPr>
          <w:rFonts w:ascii="Times New Roman" w:hAnsi="Times New Roman"/>
          <w:szCs w:val="24"/>
        </w:rPr>
      </w:pPr>
      <w:r w:rsidRPr="00F91F35">
        <w:rPr>
          <w:rFonts w:ascii="Times New Roman" w:hAnsi="Times New Roman"/>
          <w:szCs w:val="24"/>
          <w:u w:val="single"/>
        </w:rPr>
        <w:t>Reason for Change</w:t>
      </w:r>
      <w:r>
        <w:rPr>
          <w:rFonts w:ascii="Times New Roman" w:hAnsi="Times New Roman"/>
          <w:szCs w:val="24"/>
        </w:rPr>
        <w:t xml:space="preserve">:  </w:t>
      </w:r>
    </w:p>
    <w:p w:rsidR="002400D6" w:rsidP="002400D6" w14:paraId="19A68FC5" w14:textId="7EDAA7A4">
      <w:pPr>
        <w:pStyle w:val="BodyTextIndent"/>
        <w:spacing w:after="120"/>
        <w:ind w:left="810" w:firstLine="0"/>
        <w:rPr>
          <w:rFonts w:ascii="Times New Roman" w:hAnsi="Times New Roman" w:cs="Times New Roman"/>
          <w:sz w:val="24"/>
        </w:rPr>
      </w:pPr>
      <w:r w:rsidRPr="00F91F35">
        <w:rPr>
          <w:rFonts w:ascii="Times New Roman" w:hAnsi="Times New Roman" w:cs="Times New Roman"/>
          <w:sz w:val="24"/>
        </w:rPr>
        <w:t>The Department is proposing to revise this information collection to remove the Significant Disproportionality data collection, under IDEA section 618(d) and 34 CFR §§300.646 and 300.647</w:t>
      </w:r>
      <w:r w:rsidRPr="00F91F35" w:rsidR="00F91F35">
        <w:rPr>
          <w:rFonts w:ascii="Times New Roman" w:hAnsi="Times New Roman" w:cs="Times New Roman"/>
          <w:sz w:val="24"/>
        </w:rPr>
        <w:t>,</w:t>
      </w:r>
      <w:r w:rsidRPr="00F91F35">
        <w:rPr>
          <w:rFonts w:ascii="Times New Roman" w:hAnsi="Times New Roman" w:cs="Times New Roman"/>
          <w:sz w:val="24"/>
        </w:rPr>
        <w:t xml:space="preserve"> from Section V of the</w:t>
      </w:r>
      <w:r w:rsidRPr="00F91F35" w:rsidR="00580DCA">
        <w:rPr>
          <w:rFonts w:ascii="Times New Roman" w:hAnsi="Times New Roman" w:cs="Times New Roman"/>
          <w:sz w:val="24"/>
        </w:rPr>
        <w:t xml:space="preserve"> </w:t>
      </w:r>
      <w:r w:rsidRPr="00F91F35">
        <w:rPr>
          <w:rFonts w:ascii="Times New Roman" w:hAnsi="Times New Roman" w:cs="Times New Roman"/>
          <w:sz w:val="24"/>
        </w:rPr>
        <w:t>Annual State Application. The Department believes that removal of the data collection related to Significant Disproportionality will reduce th</w:t>
      </w:r>
      <w:r>
        <w:rPr>
          <w:rFonts w:ascii="Times New Roman" w:hAnsi="Times New Roman" w:cs="Times New Roman"/>
          <w:sz w:val="24"/>
        </w:rPr>
        <w:t>e burden on respondents when completing the Annual State Application</w:t>
      </w:r>
      <w:r w:rsidR="00F91F35">
        <w:rPr>
          <w:rFonts w:ascii="Times New Roman" w:hAnsi="Times New Roman" w:cs="Times New Roman"/>
          <w:sz w:val="24"/>
        </w:rPr>
        <w:t>.</w:t>
      </w:r>
      <w:r>
        <w:rPr>
          <w:rFonts w:ascii="Times New Roman" w:hAnsi="Times New Roman" w:cs="Times New Roman"/>
          <w:sz w:val="24"/>
        </w:rPr>
        <w:t xml:space="preserve"> </w:t>
      </w:r>
    </w:p>
    <w:p w:rsidR="002400D6" w:rsidRPr="00534B4A" w:rsidP="002400D6" w14:paraId="1746FEB8" w14:textId="77777777">
      <w:pPr>
        <w:tabs>
          <w:tab w:val="left" w:pos="-720"/>
        </w:tabs>
        <w:suppressAutoHyphens/>
        <w:ind w:left="810"/>
        <w:rPr>
          <w:rFonts w:ascii="Times New Roman" w:hAnsi="Times New Roman"/>
          <w:szCs w:val="24"/>
        </w:rPr>
      </w:pPr>
    </w:p>
    <w:p w:rsidR="00043C32" w:rsidP="00AD381B" w14:paraId="58CE25D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851E4" w:rsidP="00D851E4" w14:paraId="5CE74909" w14:textId="77777777">
      <w:pPr>
        <w:tabs>
          <w:tab w:val="left" w:pos="-720"/>
        </w:tabs>
        <w:suppressAutoHyphens/>
        <w:rPr>
          <w:rStyle w:val="a"/>
          <w:rFonts w:ascii="Times New Roman" w:hAnsi="Times New Roman"/>
          <w:b/>
          <w:szCs w:val="24"/>
        </w:rPr>
      </w:pPr>
    </w:p>
    <w:p w:rsidR="00D851E4" w:rsidRPr="00D851E4" w:rsidP="00D851E4" w14:paraId="3B5EDABD" w14:textId="42E3AF9D">
      <w:pPr>
        <w:tabs>
          <w:tab w:val="left" w:pos="-720"/>
        </w:tabs>
        <w:suppressAutoHyphens/>
        <w:ind w:left="810"/>
        <w:rPr>
          <w:rStyle w:val="a"/>
          <w:rFonts w:ascii="Times New Roman" w:hAnsi="Times New Roman"/>
          <w:bCs/>
          <w:szCs w:val="24"/>
        </w:rPr>
      </w:pPr>
      <w:r w:rsidRPr="00D851E4">
        <w:rPr>
          <w:rStyle w:val="a"/>
          <w:rFonts w:ascii="Times New Roman" w:hAnsi="Times New Roman"/>
          <w:bCs/>
          <w:szCs w:val="24"/>
        </w:rPr>
        <w:t>Not applicable</w:t>
      </w:r>
      <w:r w:rsidR="00954C08">
        <w:rPr>
          <w:rStyle w:val="a"/>
          <w:rFonts w:ascii="Times New Roman" w:hAnsi="Times New Roman"/>
          <w:bCs/>
          <w:szCs w:val="24"/>
        </w:rPr>
        <w:t>.</w:t>
      </w:r>
    </w:p>
    <w:p w:rsidR="00534B4A" w:rsidP="00534B4A" w14:paraId="58CE25DE" w14:textId="77777777">
      <w:pPr>
        <w:tabs>
          <w:tab w:val="left" w:pos="-720"/>
        </w:tabs>
        <w:suppressAutoHyphens/>
        <w:rPr>
          <w:rFonts w:ascii="Times New Roman" w:hAnsi="Times New Roman"/>
          <w:szCs w:val="24"/>
        </w:rPr>
      </w:pPr>
    </w:p>
    <w:p w:rsidR="00043C32" w:rsidRPr="00534B4A" w:rsidP="00AD381B" w14:paraId="58CE25E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534B4A" w14:paraId="58CE25E1" w14:textId="77777777">
      <w:pPr>
        <w:tabs>
          <w:tab w:val="left" w:pos="-720"/>
        </w:tabs>
        <w:suppressAutoHyphens/>
        <w:ind w:left="360"/>
        <w:rPr>
          <w:rFonts w:ascii="Times New Roman" w:hAnsi="Times New Roman"/>
          <w:b/>
          <w:szCs w:val="24"/>
        </w:rPr>
      </w:pPr>
    </w:p>
    <w:p w:rsidR="00534B4A" w:rsidP="00954C08" w14:paraId="58CE25E2" w14:textId="5FF7DCEF">
      <w:pPr>
        <w:tabs>
          <w:tab w:val="left" w:pos="-720"/>
        </w:tabs>
        <w:suppressAutoHyphens/>
        <w:ind w:left="900"/>
        <w:rPr>
          <w:rFonts w:ascii="Times New Roman" w:hAnsi="Times New Roman"/>
          <w:szCs w:val="24"/>
        </w:rPr>
      </w:pPr>
      <w:r>
        <w:rPr>
          <w:rFonts w:ascii="Times New Roman" w:hAnsi="Times New Roman"/>
          <w:szCs w:val="24"/>
        </w:rPr>
        <w:t>Not applicable</w:t>
      </w:r>
      <w:r w:rsidR="00954C08">
        <w:rPr>
          <w:rFonts w:ascii="Times New Roman" w:hAnsi="Times New Roman"/>
          <w:szCs w:val="24"/>
        </w:rPr>
        <w:t>.</w:t>
      </w:r>
    </w:p>
    <w:p w:rsidR="00D851E4" w:rsidRPr="00534B4A" w:rsidP="00D851E4" w14:paraId="0B70665B" w14:textId="77777777">
      <w:pPr>
        <w:tabs>
          <w:tab w:val="left" w:pos="-720"/>
        </w:tabs>
        <w:suppressAutoHyphens/>
        <w:ind w:left="810"/>
        <w:rPr>
          <w:rFonts w:ascii="Times New Roman" w:hAnsi="Times New Roman"/>
          <w:szCs w:val="24"/>
        </w:rPr>
      </w:pPr>
    </w:p>
    <w:p w:rsidR="001C73C0" w:rsidP="00AD381B" w14:paraId="58CE25E3" w14:textId="7777777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954C08" w:rsidP="00954C08" w14:paraId="5457F81F" w14:textId="77777777">
      <w:pPr>
        <w:tabs>
          <w:tab w:val="left" w:pos="-720"/>
        </w:tabs>
        <w:suppressAutoHyphens/>
        <w:rPr>
          <w:rFonts w:ascii="Times New Roman" w:hAnsi="Times New Roman"/>
          <w:b/>
          <w:szCs w:val="24"/>
        </w:rPr>
      </w:pPr>
    </w:p>
    <w:p w:rsidR="00954C08" w:rsidRPr="00954C08" w:rsidP="00954C08" w14:paraId="52B0FFCD" w14:textId="2DB58A0F">
      <w:pPr>
        <w:tabs>
          <w:tab w:val="left" w:pos="-720"/>
        </w:tabs>
        <w:suppressAutoHyphens/>
        <w:ind w:left="900"/>
        <w:rPr>
          <w:rFonts w:ascii="Times New Roman" w:hAnsi="Times New Roman"/>
          <w:b/>
          <w:szCs w:val="24"/>
        </w:rPr>
      </w:pPr>
      <w:r w:rsidRPr="00BB73CF">
        <w:rPr>
          <w:rFonts w:ascii="Times New Roman" w:hAnsi="Times New Roman"/>
          <w:szCs w:val="24"/>
        </w:rPr>
        <w:t>There are no proposed exceptions to the certifications.</w:t>
      </w:r>
    </w:p>
    <w:sectPr w:rsidSect="00043C32">
      <w:footerReference w:type="default" r:id="rId10"/>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6179" w14:paraId="58CE25E8" w14:textId="77777777">
    <w:pPr>
      <w:spacing w:before="140" w:line="100" w:lineRule="exact"/>
      <w:rPr>
        <w:sz w:val="10"/>
      </w:rPr>
    </w:pPr>
  </w:p>
  <w:p w:rsidR="00466179" w14:paraId="58CE25E9" w14:textId="77777777">
    <w:pPr>
      <w:tabs>
        <w:tab w:val="left" w:pos="0"/>
      </w:tabs>
      <w:suppressAutoHyphens/>
    </w:pPr>
  </w:p>
  <w:p w:rsidR="00466179" w14:paraId="58CE25EA"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466179"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466179" w:rsidRPr="00534B4A" w14:paraId="58CE25E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54267" w:rsidP="00043C32" w14:paraId="2A4071E7" w14:textId="77777777">
      <w:r>
        <w:separator/>
      </w:r>
    </w:p>
  </w:footnote>
  <w:footnote w:type="continuationSeparator" w:id="1">
    <w:p w:rsidR="00654267" w:rsidP="00043C32" w14:paraId="1614F848" w14:textId="77777777">
      <w:r>
        <w:continuationSeparator/>
      </w:r>
    </w:p>
  </w:footnote>
  <w:footnote w:type="continuationNotice" w:id="2">
    <w:p w:rsidR="00654267" w14:paraId="49571330" w14:textId="77777777"/>
  </w:footnote>
  <w:footnote w:id="3">
    <w:p w:rsidR="00043C32" w:rsidP="00043C32" w14:paraId="58CE25E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BD365A16"/>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5173247">
    <w:abstractNumId w:val="0"/>
  </w:num>
  <w:num w:numId="2" w16cid:durableId="1708603290">
    <w:abstractNumId w:val="2"/>
  </w:num>
  <w:num w:numId="3" w16cid:durableId="2070569610">
    <w:abstractNumId w:val="1"/>
  </w:num>
  <w:num w:numId="4" w16cid:durableId="1779368749">
    <w:abstractNumId w:val="3"/>
  </w:num>
  <w:num w:numId="5" w16cid:durableId="15277158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90"/>
  <w:proofState w:spelling="clean" w:grammar="clean"/>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4632"/>
    <w:rsid w:val="00010D85"/>
    <w:rsid w:val="000278E8"/>
    <w:rsid w:val="00035ED5"/>
    <w:rsid w:val="00037E79"/>
    <w:rsid w:val="00043C32"/>
    <w:rsid w:val="00043CAE"/>
    <w:rsid w:val="000446F5"/>
    <w:rsid w:val="0004726A"/>
    <w:rsid w:val="000576AE"/>
    <w:rsid w:val="00065DD1"/>
    <w:rsid w:val="00091EA0"/>
    <w:rsid w:val="00093017"/>
    <w:rsid w:val="000A15E9"/>
    <w:rsid w:val="000A1D50"/>
    <w:rsid w:val="000C03E0"/>
    <w:rsid w:val="000E3A12"/>
    <w:rsid w:val="000F21A4"/>
    <w:rsid w:val="000F3AD7"/>
    <w:rsid w:val="00100B55"/>
    <w:rsid w:val="001339ED"/>
    <w:rsid w:val="00135E5E"/>
    <w:rsid w:val="00136CDE"/>
    <w:rsid w:val="001400F0"/>
    <w:rsid w:val="00147422"/>
    <w:rsid w:val="001757EF"/>
    <w:rsid w:val="001824F3"/>
    <w:rsid w:val="00182943"/>
    <w:rsid w:val="00186B20"/>
    <w:rsid w:val="001902EF"/>
    <w:rsid w:val="001A4E1C"/>
    <w:rsid w:val="001A6AE0"/>
    <w:rsid w:val="001A770C"/>
    <w:rsid w:val="001B25E2"/>
    <w:rsid w:val="001B3C2C"/>
    <w:rsid w:val="001B62EF"/>
    <w:rsid w:val="001C2991"/>
    <w:rsid w:val="001C2DEE"/>
    <w:rsid w:val="001C37B1"/>
    <w:rsid w:val="001C73C0"/>
    <w:rsid w:val="001D3241"/>
    <w:rsid w:val="001E79BD"/>
    <w:rsid w:val="001F3137"/>
    <w:rsid w:val="001F45D2"/>
    <w:rsid w:val="00204E11"/>
    <w:rsid w:val="002111B1"/>
    <w:rsid w:val="0021152A"/>
    <w:rsid w:val="002203F5"/>
    <w:rsid w:val="002225CC"/>
    <w:rsid w:val="002248B0"/>
    <w:rsid w:val="00224A3B"/>
    <w:rsid w:val="002400D6"/>
    <w:rsid w:val="00240A39"/>
    <w:rsid w:val="00245449"/>
    <w:rsid w:val="00246FE9"/>
    <w:rsid w:val="00250100"/>
    <w:rsid w:val="00257707"/>
    <w:rsid w:val="00262A69"/>
    <w:rsid w:val="002649BF"/>
    <w:rsid w:val="00270AF7"/>
    <w:rsid w:val="002745CE"/>
    <w:rsid w:val="002844E7"/>
    <w:rsid w:val="0029301E"/>
    <w:rsid w:val="00295616"/>
    <w:rsid w:val="00296701"/>
    <w:rsid w:val="002968B8"/>
    <w:rsid w:val="002A3221"/>
    <w:rsid w:val="002A37A0"/>
    <w:rsid w:val="002C3520"/>
    <w:rsid w:val="002C69B4"/>
    <w:rsid w:val="002E14E0"/>
    <w:rsid w:val="002E204C"/>
    <w:rsid w:val="002E6E02"/>
    <w:rsid w:val="002F55E5"/>
    <w:rsid w:val="002F78F9"/>
    <w:rsid w:val="00307674"/>
    <w:rsid w:val="0032078A"/>
    <w:rsid w:val="00321F41"/>
    <w:rsid w:val="00323555"/>
    <w:rsid w:val="0032539E"/>
    <w:rsid w:val="003311C6"/>
    <w:rsid w:val="00356414"/>
    <w:rsid w:val="00361921"/>
    <w:rsid w:val="003860E4"/>
    <w:rsid w:val="003975F8"/>
    <w:rsid w:val="003B1545"/>
    <w:rsid w:val="003C01DB"/>
    <w:rsid w:val="003D6DD5"/>
    <w:rsid w:val="003D6E06"/>
    <w:rsid w:val="003E1E26"/>
    <w:rsid w:val="003F1CA3"/>
    <w:rsid w:val="004053D1"/>
    <w:rsid w:val="00412915"/>
    <w:rsid w:val="0041684F"/>
    <w:rsid w:val="0042042E"/>
    <w:rsid w:val="00434FE9"/>
    <w:rsid w:val="00436448"/>
    <w:rsid w:val="0044074D"/>
    <w:rsid w:val="00442E07"/>
    <w:rsid w:val="004443D4"/>
    <w:rsid w:val="00454CE3"/>
    <w:rsid w:val="0045581A"/>
    <w:rsid w:val="0046131A"/>
    <w:rsid w:val="00466179"/>
    <w:rsid w:val="004842F5"/>
    <w:rsid w:val="004930B8"/>
    <w:rsid w:val="004A527C"/>
    <w:rsid w:val="004C0696"/>
    <w:rsid w:val="004C6161"/>
    <w:rsid w:val="004E65E9"/>
    <w:rsid w:val="004F0BE4"/>
    <w:rsid w:val="00502717"/>
    <w:rsid w:val="00502D53"/>
    <w:rsid w:val="0051349C"/>
    <w:rsid w:val="00514E6D"/>
    <w:rsid w:val="0052073E"/>
    <w:rsid w:val="00524F90"/>
    <w:rsid w:val="005278D1"/>
    <w:rsid w:val="00531AEA"/>
    <w:rsid w:val="00534AD7"/>
    <w:rsid w:val="00534B4A"/>
    <w:rsid w:val="00542787"/>
    <w:rsid w:val="005462B7"/>
    <w:rsid w:val="005463E3"/>
    <w:rsid w:val="00557D9D"/>
    <w:rsid w:val="00567FA7"/>
    <w:rsid w:val="00571424"/>
    <w:rsid w:val="00573BBB"/>
    <w:rsid w:val="00580DCA"/>
    <w:rsid w:val="00581C11"/>
    <w:rsid w:val="0059283E"/>
    <w:rsid w:val="00596C1F"/>
    <w:rsid w:val="005A5186"/>
    <w:rsid w:val="005B1AEB"/>
    <w:rsid w:val="005B2C09"/>
    <w:rsid w:val="005B4EC5"/>
    <w:rsid w:val="005C07A8"/>
    <w:rsid w:val="00610089"/>
    <w:rsid w:val="0062584E"/>
    <w:rsid w:val="006359C3"/>
    <w:rsid w:val="006533ED"/>
    <w:rsid w:val="00654267"/>
    <w:rsid w:val="00661149"/>
    <w:rsid w:val="0068567A"/>
    <w:rsid w:val="006A292A"/>
    <w:rsid w:val="006A38F7"/>
    <w:rsid w:val="006A4EBB"/>
    <w:rsid w:val="006B4172"/>
    <w:rsid w:val="006C7C9C"/>
    <w:rsid w:val="006D0377"/>
    <w:rsid w:val="006E46E9"/>
    <w:rsid w:val="00702BC8"/>
    <w:rsid w:val="007243F8"/>
    <w:rsid w:val="0075011E"/>
    <w:rsid w:val="00755D99"/>
    <w:rsid w:val="00756FD3"/>
    <w:rsid w:val="00765392"/>
    <w:rsid w:val="0076718F"/>
    <w:rsid w:val="00770064"/>
    <w:rsid w:val="00771571"/>
    <w:rsid w:val="00781A1B"/>
    <w:rsid w:val="0078620D"/>
    <w:rsid w:val="007868E2"/>
    <w:rsid w:val="00786BF3"/>
    <w:rsid w:val="00787BA4"/>
    <w:rsid w:val="00790E3E"/>
    <w:rsid w:val="00792A35"/>
    <w:rsid w:val="007A7DE7"/>
    <w:rsid w:val="007B443B"/>
    <w:rsid w:val="007B5C68"/>
    <w:rsid w:val="007C0A4C"/>
    <w:rsid w:val="007D7E68"/>
    <w:rsid w:val="007E4BD6"/>
    <w:rsid w:val="007E5CB9"/>
    <w:rsid w:val="007F0048"/>
    <w:rsid w:val="007F01A5"/>
    <w:rsid w:val="007F3584"/>
    <w:rsid w:val="007F6104"/>
    <w:rsid w:val="007F6D48"/>
    <w:rsid w:val="00800D30"/>
    <w:rsid w:val="00805B03"/>
    <w:rsid w:val="00807D1A"/>
    <w:rsid w:val="00814716"/>
    <w:rsid w:val="008213FD"/>
    <w:rsid w:val="008221E9"/>
    <w:rsid w:val="0082389E"/>
    <w:rsid w:val="008252DA"/>
    <w:rsid w:val="00845F01"/>
    <w:rsid w:val="0085078D"/>
    <w:rsid w:val="00854705"/>
    <w:rsid w:val="00860800"/>
    <w:rsid w:val="00874EFE"/>
    <w:rsid w:val="0088021F"/>
    <w:rsid w:val="00881F08"/>
    <w:rsid w:val="00882126"/>
    <w:rsid w:val="008842FB"/>
    <w:rsid w:val="008849B9"/>
    <w:rsid w:val="00891A1B"/>
    <w:rsid w:val="00891F0C"/>
    <w:rsid w:val="008933F1"/>
    <w:rsid w:val="008A0CC3"/>
    <w:rsid w:val="008A0F67"/>
    <w:rsid w:val="008A2C66"/>
    <w:rsid w:val="008B2496"/>
    <w:rsid w:val="008B537B"/>
    <w:rsid w:val="008C07B0"/>
    <w:rsid w:val="008C0A7B"/>
    <w:rsid w:val="008C12D8"/>
    <w:rsid w:val="008C2A5E"/>
    <w:rsid w:val="008D0601"/>
    <w:rsid w:val="008D1F11"/>
    <w:rsid w:val="008E5919"/>
    <w:rsid w:val="008E7255"/>
    <w:rsid w:val="008E781E"/>
    <w:rsid w:val="008F68B8"/>
    <w:rsid w:val="00905951"/>
    <w:rsid w:val="00912D2C"/>
    <w:rsid w:val="00916EE4"/>
    <w:rsid w:val="00920F63"/>
    <w:rsid w:val="00922779"/>
    <w:rsid w:val="009243F3"/>
    <w:rsid w:val="0093366B"/>
    <w:rsid w:val="00934185"/>
    <w:rsid w:val="00936567"/>
    <w:rsid w:val="00946126"/>
    <w:rsid w:val="00952DF9"/>
    <w:rsid w:val="0095421D"/>
    <w:rsid w:val="00954C08"/>
    <w:rsid w:val="00955029"/>
    <w:rsid w:val="00960C86"/>
    <w:rsid w:val="00962D8E"/>
    <w:rsid w:val="00965094"/>
    <w:rsid w:val="009767AF"/>
    <w:rsid w:val="00981F58"/>
    <w:rsid w:val="00984FA7"/>
    <w:rsid w:val="00986D0A"/>
    <w:rsid w:val="00997B3F"/>
    <w:rsid w:val="009B694A"/>
    <w:rsid w:val="009C5E23"/>
    <w:rsid w:val="009D3636"/>
    <w:rsid w:val="009D5C6B"/>
    <w:rsid w:val="009E3E86"/>
    <w:rsid w:val="009F33AB"/>
    <w:rsid w:val="00A10217"/>
    <w:rsid w:val="00A118A2"/>
    <w:rsid w:val="00A20BF4"/>
    <w:rsid w:val="00A23187"/>
    <w:rsid w:val="00A23F26"/>
    <w:rsid w:val="00A25D91"/>
    <w:rsid w:val="00A26A3C"/>
    <w:rsid w:val="00A34793"/>
    <w:rsid w:val="00A4001C"/>
    <w:rsid w:val="00A40AAB"/>
    <w:rsid w:val="00A46D01"/>
    <w:rsid w:val="00A473BD"/>
    <w:rsid w:val="00A53EC2"/>
    <w:rsid w:val="00A554AB"/>
    <w:rsid w:val="00A70816"/>
    <w:rsid w:val="00A740A8"/>
    <w:rsid w:val="00A7636D"/>
    <w:rsid w:val="00A8524B"/>
    <w:rsid w:val="00A9138E"/>
    <w:rsid w:val="00A92534"/>
    <w:rsid w:val="00A93A2E"/>
    <w:rsid w:val="00A94220"/>
    <w:rsid w:val="00A949F7"/>
    <w:rsid w:val="00AA030A"/>
    <w:rsid w:val="00AA356D"/>
    <w:rsid w:val="00AB31FA"/>
    <w:rsid w:val="00AC1C89"/>
    <w:rsid w:val="00AD1F80"/>
    <w:rsid w:val="00AD381B"/>
    <w:rsid w:val="00AE18EA"/>
    <w:rsid w:val="00AE6425"/>
    <w:rsid w:val="00AF0BE6"/>
    <w:rsid w:val="00AF1786"/>
    <w:rsid w:val="00AF2B7F"/>
    <w:rsid w:val="00AF5165"/>
    <w:rsid w:val="00AF5B5B"/>
    <w:rsid w:val="00AF5D1A"/>
    <w:rsid w:val="00B017F9"/>
    <w:rsid w:val="00B07213"/>
    <w:rsid w:val="00B10A05"/>
    <w:rsid w:val="00B12C98"/>
    <w:rsid w:val="00B14315"/>
    <w:rsid w:val="00B149AC"/>
    <w:rsid w:val="00B312A8"/>
    <w:rsid w:val="00B330F5"/>
    <w:rsid w:val="00B37D79"/>
    <w:rsid w:val="00B4446A"/>
    <w:rsid w:val="00B4586D"/>
    <w:rsid w:val="00B522EA"/>
    <w:rsid w:val="00B528BB"/>
    <w:rsid w:val="00B52E87"/>
    <w:rsid w:val="00B54167"/>
    <w:rsid w:val="00B6006F"/>
    <w:rsid w:val="00B62E06"/>
    <w:rsid w:val="00B64B1D"/>
    <w:rsid w:val="00B70596"/>
    <w:rsid w:val="00B9671B"/>
    <w:rsid w:val="00BA098C"/>
    <w:rsid w:val="00BA1D31"/>
    <w:rsid w:val="00BA5DA1"/>
    <w:rsid w:val="00BB73CF"/>
    <w:rsid w:val="00BB73FC"/>
    <w:rsid w:val="00BC63B3"/>
    <w:rsid w:val="00BD3BA8"/>
    <w:rsid w:val="00BE1995"/>
    <w:rsid w:val="00BE775D"/>
    <w:rsid w:val="00BF280E"/>
    <w:rsid w:val="00C13F5B"/>
    <w:rsid w:val="00C164D3"/>
    <w:rsid w:val="00C16EDA"/>
    <w:rsid w:val="00C17DAE"/>
    <w:rsid w:val="00C20670"/>
    <w:rsid w:val="00C20A6C"/>
    <w:rsid w:val="00C224FD"/>
    <w:rsid w:val="00C309BA"/>
    <w:rsid w:val="00C40379"/>
    <w:rsid w:val="00C4418B"/>
    <w:rsid w:val="00C86713"/>
    <w:rsid w:val="00C875E8"/>
    <w:rsid w:val="00C92035"/>
    <w:rsid w:val="00C92302"/>
    <w:rsid w:val="00CA4703"/>
    <w:rsid w:val="00CA4D8C"/>
    <w:rsid w:val="00CA56A9"/>
    <w:rsid w:val="00CB5D55"/>
    <w:rsid w:val="00CB74B2"/>
    <w:rsid w:val="00CC2A72"/>
    <w:rsid w:val="00CC3FB5"/>
    <w:rsid w:val="00CD2067"/>
    <w:rsid w:val="00CD47BC"/>
    <w:rsid w:val="00CE03D6"/>
    <w:rsid w:val="00CE38DB"/>
    <w:rsid w:val="00CE63F9"/>
    <w:rsid w:val="00CE6F95"/>
    <w:rsid w:val="00CE74E4"/>
    <w:rsid w:val="00CF038E"/>
    <w:rsid w:val="00CF17EC"/>
    <w:rsid w:val="00CF7B4D"/>
    <w:rsid w:val="00D00FE4"/>
    <w:rsid w:val="00D01D06"/>
    <w:rsid w:val="00D04FE4"/>
    <w:rsid w:val="00D20C61"/>
    <w:rsid w:val="00D214BC"/>
    <w:rsid w:val="00D34984"/>
    <w:rsid w:val="00D36C35"/>
    <w:rsid w:val="00D51504"/>
    <w:rsid w:val="00D531E8"/>
    <w:rsid w:val="00D62543"/>
    <w:rsid w:val="00D63EF0"/>
    <w:rsid w:val="00D75313"/>
    <w:rsid w:val="00D81371"/>
    <w:rsid w:val="00D851E4"/>
    <w:rsid w:val="00D8641A"/>
    <w:rsid w:val="00D93D19"/>
    <w:rsid w:val="00D95D6E"/>
    <w:rsid w:val="00DA76F2"/>
    <w:rsid w:val="00DB06E4"/>
    <w:rsid w:val="00DB500C"/>
    <w:rsid w:val="00DD313E"/>
    <w:rsid w:val="00DF0AE1"/>
    <w:rsid w:val="00DF0F02"/>
    <w:rsid w:val="00E10221"/>
    <w:rsid w:val="00E137F1"/>
    <w:rsid w:val="00E16ACD"/>
    <w:rsid w:val="00E17134"/>
    <w:rsid w:val="00E210E3"/>
    <w:rsid w:val="00E22502"/>
    <w:rsid w:val="00E23298"/>
    <w:rsid w:val="00E25EBC"/>
    <w:rsid w:val="00E37B96"/>
    <w:rsid w:val="00E42264"/>
    <w:rsid w:val="00E43B0A"/>
    <w:rsid w:val="00E54B24"/>
    <w:rsid w:val="00E60FC6"/>
    <w:rsid w:val="00E63689"/>
    <w:rsid w:val="00E66550"/>
    <w:rsid w:val="00E70821"/>
    <w:rsid w:val="00E725FA"/>
    <w:rsid w:val="00E758AE"/>
    <w:rsid w:val="00E877BF"/>
    <w:rsid w:val="00E92C23"/>
    <w:rsid w:val="00E942E5"/>
    <w:rsid w:val="00E95A16"/>
    <w:rsid w:val="00EA1767"/>
    <w:rsid w:val="00EB0929"/>
    <w:rsid w:val="00EB0FA5"/>
    <w:rsid w:val="00EC01DD"/>
    <w:rsid w:val="00EC0378"/>
    <w:rsid w:val="00EC35E3"/>
    <w:rsid w:val="00ED1E20"/>
    <w:rsid w:val="00ED7195"/>
    <w:rsid w:val="00EF71C8"/>
    <w:rsid w:val="00F036CB"/>
    <w:rsid w:val="00F0414F"/>
    <w:rsid w:val="00F112F6"/>
    <w:rsid w:val="00F20F48"/>
    <w:rsid w:val="00F24302"/>
    <w:rsid w:val="00F27AAF"/>
    <w:rsid w:val="00F31BEC"/>
    <w:rsid w:val="00F33EDF"/>
    <w:rsid w:val="00F3523D"/>
    <w:rsid w:val="00F36741"/>
    <w:rsid w:val="00F447DC"/>
    <w:rsid w:val="00F51EF7"/>
    <w:rsid w:val="00F5782B"/>
    <w:rsid w:val="00F725A0"/>
    <w:rsid w:val="00F73131"/>
    <w:rsid w:val="00F77EF8"/>
    <w:rsid w:val="00F91F35"/>
    <w:rsid w:val="00F96641"/>
    <w:rsid w:val="00FA1F0C"/>
    <w:rsid w:val="00FA4720"/>
    <w:rsid w:val="00FC237A"/>
    <w:rsid w:val="00FC669D"/>
    <w:rsid w:val="00FD3BBD"/>
    <w:rsid w:val="00FD4F0B"/>
    <w:rsid w:val="00FE02FC"/>
    <w:rsid w:val="00FE1BAE"/>
    <w:rsid w:val="00FE2A26"/>
    <w:rsid w:val="00FE411F"/>
    <w:rsid w:val="0B514B94"/>
    <w:rsid w:val="56F5FCA0"/>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58CE252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Indent">
    <w:name w:val="Body Text Indent"/>
    <w:basedOn w:val="Normal"/>
    <w:link w:val="BodyTextIndentChar"/>
    <w:rsid w:val="007B443B"/>
    <w:pPr>
      <w:ind w:left="360" w:hanging="360"/>
    </w:pPr>
    <w:rPr>
      <w:rFonts w:ascii="Arial" w:hAnsi="Arial" w:cs="Arial"/>
      <w:sz w:val="22"/>
      <w:szCs w:val="24"/>
    </w:rPr>
  </w:style>
  <w:style w:type="character" w:customStyle="1" w:styleId="BodyTextIndentChar">
    <w:name w:val="Body Text Indent Char"/>
    <w:basedOn w:val="DefaultParagraphFont"/>
    <w:link w:val="BodyTextIndent"/>
    <w:rsid w:val="007B443B"/>
    <w:rPr>
      <w:rFonts w:ascii="Arial" w:hAnsi="Arial" w:cs="Arial"/>
      <w:sz w:val="22"/>
      <w:szCs w:val="24"/>
    </w:rPr>
  </w:style>
  <w:style w:type="paragraph" w:styleId="Revision">
    <w:name w:val="Revision"/>
    <w:hidden/>
    <w:uiPriority w:val="99"/>
    <w:semiHidden/>
    <w:rsid w:val="003311C6"/>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23999d-55bb-4b1f-885e-83712e5c49df">
      <Terms xmlns="http://schemas.microsoft.com/office/infopath/2007/PartnerControls"/>
    </lcf76f155ced4ddcb4097134ff3c332f>
    <TaxCatchAll xmlns="2a2db8c4-56ab-4882-a5d0-0fe8165c665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36E7717F94A9B47B67BC10AE3D60E79" ma:contentTypeVersion="18" ma:contentTypeDescription="Create a new document." ma:contentTypeScope="" ma:versionID="956ba181add28fc84e82e414e3783a7b">
  <xsd:schema xmlns:xsd="http://www.w3.org/2001/XMLSchema" xmlns:xs="http://www.w3.org/2001/XMLSchema" xmlns:p="http://schemas.microsoft.com/office/2006/metadata/properties" xmlns:ns2="dd23999d-55bb-4b1f-885e-83712e5c49df" xmlns:ns3="ffcb171c-5eb6-4b7e-bff7-850b4441ed9e" xmlns:ns4="2a2db8c4-56ab-4882-a5d0-0fe8165c6658" targetNamespace="http://schemas.microsoft.com/office/2006/metadata/properties" ma:root="true" ma:fieldsID="9f6e1591ce18a50843e7d08b57992698" ns2:_="" ns3:_="" ns4:_="">
    <xsd:import namespace="dd23999d-55bb-4b1f-885e-83712e5c49df"/>
    <xsd:import namespace="ffcb171c-5eb6-4b7e-bff7-850b4441ed9e"/>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23999d-55bb-4b1f-885e-83712e5c49d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ed407d4-f511-45e5-b994-35b7527a2573}" ma:internalName="TaxCatchAll" ma:showField="CatchAllData" ma:web="ffcb171c-5eb6-4b7e-bff7-850b4441ed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2.xml><?xml version="1.0" encoding="utf-8"?>
<ds:datastoreItem xmlns:ds="http://schemas.openxmlformats.org/officeDocument/2006/customXml" ds:itemID="{2B865A40-E31D-40FD-BF96-734E87A17B84}">
  <ds:schemaRefs>
    <ds:schemaRef ds:uri="http://schemas.openxmlformats.org/officeDocument/2006/bibliography"/>
  </ds:schemaRefs>
</ds:datastoreItem>
</file>

<file path=customXml/itemProps3.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 ds:uri="dd23999d-55bb-4b1f-885e-83712e5c49df"/>
    <ds:schemaRef ds:uri="2a2db8c4-56ab-4882-a5d0-0fe8165c6658"/>
  </ds:schemaRefs>
</ds:datastoreItem>
</file>

<file path=customXml/itemProps4.xml><?xml version="1.0" encoding="utf-8"?>
<ds:datastoreItem xmlns:ds="http://schemas.openxmlformats.org/officeDocument/2006/customXml" ds:itemID="{9F74F2E2-7459-4F44-85AB-6E4721175F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23999d-55bb-4b1f-885e-83712e5c49df"/>
    <ds:schemaRef ds:uri="ffcb171c-5eb6-4b7e-bff7-850b4441ed9e"/>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3609</Words>
  <Characters>20577</Characters>
  <Application>Microsoft Office Word</Application>
  <DocSecurity>0</DocSecurity>
  <Lines>171</Lines>
  <Paragraphs>48</Paragraphs>
  <ScaleCrop>false</ScaleCrop>
  <Company>U.S. Department of Education</Company>
  <LinksUpToDate>false</LinksUpToDate>
  <CharactersWithSpaces>24138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Simpson, Jennifer</cp:lastModifiedBy>
  <cp:revision>116</cp:revision>
  <dcterms:created xsi:type="dcterms:W3CDTF">2025-07-18T19:47:00Z</dcterms:created>
  <dcterms:modified xsi:type="dcterms:W3CDTF">2025-12-08T20:48:00Z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2107;#OPEPD|ce92b553-05da-452f-8e44-07d7a13de30f</vt:lpwstr>
  </property>
  <property fmtid="{D5CDD505-2E9C-101B-9397-08002B2CF9AE}" pid="3" name="ContentOffice">
    <vt:lpwstr/>
  </property>
  <property fmtid="{D5CDD505-2E9C-101B-9397-08002B2CF9AE}" pid="4" name="ContentTypeId">
    <vt:lpwstr>0x010100A36E7717F94A9B47B67BC10AE3D60E79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MediaServiceImageTags">
    <vt:lpwstr/>
  </property>
  <property fmtid="{D5CDD505-2E9C-101B-9397-08002B2CF9AE}" pid="11" name="Navigation Category">
    <vt:lpwstr>2895;#Information Collection|be93d448-b265-4cb3-93a5-4708954c2750</vt:lpwstr>
  </property>
  <property fmtid="{D5CDD505-2E9C-101B-9397-08002B2CF9AE}" pid="12" name="Order">
    <vt:r8>800</vt:r8>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_dlc_DocIdItemGuid">
    <vt:lpwstr>41013e83-931d-4b51-a694-340c449e8e68</vt:lpwstr>
  </property>
  <property fmtid="{D5CDD505-2E9C-101B-9397-08002B2CF9AE}" pid="16" name="_dlc_LastRun">
    <vt:lpwstr>03/23/2021 01:12:33</vt:lpwstr>
  </property>
  <property fmtid="{D5CDD505-2E9C-101B-9397-08002B2CF9AE}" pid="17" name="_dlc_policyId">
    <vt:lpwstr>0x0101001C22A2B9DBEDBB4DB130C1FAF5F2F008|-874002092</vt:lpwstr>
  </property>
</Properties>
</file>