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07AD7" w14:textId="16B70A84" w:rsidR="00A5559D" w:rsidRDefault="00A5559D" w:rsidP="00104931">
      <w:pPr>
        <w:pStyle w:val="NoSpacing"/>
      </w:pPr>
    </w:p>
    <w:p w14:paraId="65757ABB" w14:textId="35F5526A" w:rsidR="00104931" w:rsidRDefault="008F599B" w:rsidP="00104931">
      <w:pPr>
        <w:pStyle w:val="NoSpacing"/>
      </w:pPr>
      <w:r>
        <w:t>February 9, 2026</w:t>
      </w:r>
    </w:p>
    <w:p w14:paraId="5DAFBEB6" w14:textId="77777777" w:rsidR="00335E2D" w:rsidRPr="00104931" w:rsidRDefault="00335E2D" w:rsidP="00104931">
      <w:pPr>
        <w:pStyle w:val="NoSpacing"/>
      </w:pPr>
    </w:p>
    <w:p w14:paraId="66F2391D" w14:textId="747681CC" w:rsidR="00104931" w:rsidRPr="00104931" w:rsidRDefault="00104931" w:rsidP="00104931">
      <w:pPr>
        <w:pStyle w:val="NoSpacing"/>
      </w:pPr>
      <w:r w:rsidRPr="00104931">
        <w:t xml:space="preserve">Mark Paoletta </w:t>
      </w:r>
    </w:p>
    <w:p w14:paraId="7585FDED" w14:textId="77777777" w:rsidR="00104931" w:rsidRPr="00104931" w:rsidRDefault="00104931" w:rsidP="00104931">
      <w:pPr>
        <w:pStyle w:val="NoSpacing"/>
      </w:pPr>
      <w:r w:rsidRPr="00104931">
        <w:t xml:space="preserve">Acting Administrator, Office of Information and Regulatory Affairs </w:t>
      </w:r>
    </w:p>
    <w:p w14:paraId="306B589F" w14:textId="77777777" w:rsidR="00104931" w:rsidRPr="00104931" w:rsidRDefault="00104931" w:rsidP="00104931">
      <w:pPr>
        <w:pStyle w:val="NoSpacing"/>
      </w:pPr>
      <w:r w:rsidRPr="00104931">
        <w:t xml:space="preserve">U.S. Office of Management and Budget </w:t>
      </w:r>
    </w:p>
    <w:p w14:paraId="2133986A" w14:textId="77777777" w:rsidR="00104931" w:rsidRPr="00104931" w:rsidRDefault="00104931" w:rsidP="00104931">
      <w:pPr>
        <w:pStyle w:val="NoSpacing"/>
      </w:pPr>
      <w:r w:rsidRPr="00104931">
        <w:t xml:space="preserve">1725 17th Street, NW </w:t>
      </w:r>
    </w:p>
    <w:p w14:paraId="536AED61" w14:textId="77777777" w:rsidR="00104931" w:rsidRPr="00104931" w:rsidRDefault="00104931" w:rsidP="00104931">
      <w:pPr>
        <w:pStyle w:val="NoSpacing"/>
      </w:pPr>
      <w:r w:rsidRPr="00104931">
        <w:t xml:space="preserve">Washington, DC 20503 </w:t>
      </w:r>
    </w:p>
    <w:p w14:paraId="596AE23F" w14:textId="77777777" w:rsidR="00335E2D" w:rsidRDefault="00335E2D" w:rsidP="00104931">
      <w:pPr>
        <w:pStyle w:val="NoSpacing"/>
      </w:pPr>
    </w:p>
    <w:p w14:paraId="48217808" w14:textId="76C0B19E" w:rsidR="00104931" w:rsidRPr="00104931" w:rsidRDefault="00104931" w:rsidP="00104931">
      <w:pPr>
        <w:pStyle w:val="NoSpacing"/>
      </w:pPr>
      <w:r w:rsidRPr="00104931">
        <w:t xml:space="preserve">RE: OMB Control Number: 1820-0030: ICR Reference: 202508-1820-002 </w:t>
      </w:r>
    </w:p>
    <w:p w14:paraId="2A7FA1EC" w14:textId="77777777" w:rsidR="00335E2D" w:rsidRDefault="00335E2D" w:rsidP="00104931">
      <w:pPr>
        <w:pStyle w:val="NoSpacing"/>
      </w:pPr>
    </w:p>
    <w:p w14:paraId="4706A3EC" w14:textId="75828044" w:rsidR="00104931" w:rsidRPr="00104931" w:rsidRDefault="00104931" w:rsidP="00104931">
      <w:pPr>
        <w:pStyle w:val="NoSpacing"/>
      </w:pPr>
      <w:r w:rsidRPr="00104931">
        <w:t xml:space="preserve">Submitted via </w:t>
      </w:r>
      <w:r w:rsidRPr="00104931">
        <w:rPr>
          <w:i/>
          <w:iCs/>
        </w:rPr>
        <w:t xml:space="preserve">regulations.gov </w:t>
      </w:r>
    </w:p>
    <w:p w14:paraId="70E0A763" w14:textId="77777777" w:rsidR="00335E2D" w:rsidRDefault="00335E2D" w:rsidP="00104931">
      <w:pPr>
        <w:pStyle w:val="NoSpacing"/>
      </w:pPr>
    </w:p>
    <w:p w14:paraId="2795A7E6" w14:textId="2EF7BB7E" w:rsidR="00262E04" w:rsidRDefault="00104931" w:rsidP="00104931">
      <w:pPr>
        <w:pStyle w:val="NoSpacing"/>
      </w:pPr>
      <w:r w:rsidRPr="00104931">
        <w:t>Dear Mr. Paoletta,</w:t>
      </w:r>
    </w:p>
    <w:p w14:paraId="57C9E0C4" w14:textId="77777777" w:rsidR="00335E2D" w:rsidRDefault="00335E2D" w:rsidP="001834FA">
      <w:pPr>
        <w:pStyle w:val="NoSpacing"/>
      </w:pPr>
    </w:p>
    <w:p w14:paraId="3DD833EC" w14:textId="66DC7C42" w:rsidR="00262E04" w:rsidRDefault="00262E04" w:rsidP="001834FA">
      <w:pPr>
        <w:pStyle w:val="NoSpacing"/>
      </w:pPr>
      <w:r>
        <w:t>I write on behalf of The Arc of the United States, a national organization dedicated to advocating for the rights and well-being of individuals with intellectual and developmental disabilities (IDD).</w:t>
      </w:r>
      <w:r w:rsidR="00F32D18">
        <w:t xml:space="preserve"> On O</w:t>
      </w:r>
      <w:r w:rsidR="00B1551F">
        <w:t>ctober 21, The Arc submitted a public comment to recommend</w:t>
      </w:r>
      <w:r w:rsidR="00A11ECD" w:rsidRPr="00B8679E">
        <w:rPr>
          <w:rFonts w:cstheme="minorHAnsi"/>
          <w:color w:val="000000"/>
        </w:rPr>
        <w:t xml:space="preserve"> the</w:t>
      </w:r>
      <w:r w:rsidRPr="00B8679E">
        <w:rPr>
          <w:rFonts w:cstheme="minorHAnsi"/>
          <w:color w:val="000000"/>
        </w:rPr>
        <w:t xml:space="preserve"> </w:t>
      </w:r>
      <w:r w:rsidR="00CD6361" w:rsidRPr="000C075F">
        <w:t>U.S. Department of Education</w:t>
      </w:r>
      <w:r w:rsidR="00A11ECD" w:rsidRPr="00B8679E">
        <w:t>’s</w:t>
      </w:r>
      <w:r w:rsidR="00B1551F">
        <w:t xml:space="preserve"> (Department) </w:t>
      </w:r>
      <w:r w:rsidR="00842F26">
        <w:t xml:space="preserve">rescind its </w:t>
      </w:r>
      <w:r w:rsidR="00A11ECD" w:rsidRPr="00B8679E">
        <w:t xml:space="preserve">proposal </w:t>
      </w:r>
      <w:r w:rsidR="00CD6361" w:rsidRPr="000C075F">
        <w:t>to eliminate the Significant Disproportionality data reporting requirement under IDEA Section 618(d) and 34 CFR</w:t>
      </w:r>
      <w:r w:rsidR="00BB69FD">
        <w:t xml:space="preserve"> </w:t>
      </w:r>
      <w:r w:rsidR="00CD6361" w:rsidRPr="000C075F">
        <w:t>300.646 and 300.647 from Section V of the Annual State Application under Part B of IDEA.</w:t>
      </w:r>
      <w:r w:rsidR="000C2FB9">
        <w:t xml:space="preserve"> My</w:t>
      </w:r>
      <w:r w:rsidR="000C2FB9" w:rsidRPr="000C2FB9">
        <w:t xml:space="preserve"> comments today reiterate </w:t>
      </w:r>
      <w:r w:rsidR="000C2FB9">
        <w:t>The Arc’s</w:t>
      </w:r>
      <w:r w:rsidR="000C2FB9" w:rsidRPr="000C2FB9">
        <w:t xml:space="preserve"> original opposition to the proposal and maintain the same recommendation, as the Department’s responses to comments submitted by </w:t>
      </w:r>
      <w:r w:rsidR="000C2FB9">
        <w:t>The Arc</w:t>
      </w:r>
      <w:r w:rsidR="000C2FB9" w:rsidRPr="000C2FB9">
        <w:t xml:space="preserve"> and others did not address the serious concerns that were raised.</w:t>
      </w:r>
    </w:p>
    <w:p w14:paraId="2D710C93" w14:textId="642304CD" w:rsidR="001834FA" w:rsidRDefault="001834FA" w:rsidP="001834FA">
      <w:pPr>
        <w:pStyle w:val="NoSpacing"/>
      </w:pPr>
    </w:p>
    <w:p w14:paraId="2A4CB2E3" w14:textId="26307E7B" w:rsidR="00262E04" w:rsidRDefault="00262E04" w:rsidP="001834FA">
      <w:pPr>
        <w:pStyle w:val="NoSpacing"/>
      </w:pPr>
      <w:r>
        <w:t xml:space="preserve">The Arc of the United States has nearly 600 state and local chapters across the United States. These chapters provide a wide range of services for people with intellectual and developmental disabilities (IDD), including individual and systems advocacy, public education, family support, systems navigation, support coordination services, employment, housing, support groups, and recreation. The Arc chapters are committed to improving the lives of people with IDD and their families. </w:t>
      </w:r>
    </w:p>
    <w:p w14:paraId="3B6DE053" w14:textId="77777777" w:rsidR="007E0DCC" w:rsidRDefault="007E0DCC" w:rsidP="001834FA">
      <w:pPr>
        <w:pStyle w:val="NoSpacing"/>
      </w:pPr>
    </w:p>
    <w:p w14:paraId="203088AF" w14:textId="409B4E05" w:rsidR="000C075F" w:rsidRPr="000C075F" w:rsidRDefault="009165F9" w:rsidP="001834FA">
      <w:pPr>
        <w:pStyle w:val="NoSpacing"/>
      </w:pPr>
      <w:r>
        <w:t>The Arc</w:t>
      </w:r>
      <w:r w:rsidR="000C075F" w:rsidRPr="000C075F">
        <w:t xml:space="preserve"> has long emphasized the critical need for robust state policies and practices to identify and address significant racial and ethnic disparities in special education. Since IDEA was amended in 2004, </w:t>
      </w:r>
      <w:r w:rsidR="00151AF5">
        <w:t>The Arc</w:t>
      </w:r>
      <w:r w:rsidR="000C075F" w:rsidRPr="000C075F">
        <w:t xml:space="preserve"> has supported legislative and regulatory effort</w:t>
      </w:r>
      <w:r w:rsidR="00151AF5">
        <w:t xml:space="preserve">s </w:t>
      </w:r>
      <w:r w:rsidR="000C075F" w:rsidRPr="000C075F">
        <w:t>that hold states accountable for addressing racial disproportionality in identification, placement, and disciplinary actions. Consistent with this longstanding commitment to full implementation and transparency in IDEA,</w:t>
      </w:r>
      <w:r w:rsidR="000C2FB9">
        <w:t xml:space="preserve"> including policies that </w:t>
      </w:r>
      <w:r w:rsidR="007271CA">
        <w:t xml:space="preserve">focus on racial disproportionality in special education, </w:t>
      </w:r>
      <w:r w:rsidR="000C075F" w:rsidRPr="000C075F">
        <w:t xml:space="preserve"> </w:t>
      </w:r>
      <w:r w:rsidR="00151AF5" w:rsidRPr="00F72D03">
        <w:t>The Arc</w:t>
      </w:r>
      <w:r w:rsidR="007271CA">
        <w:t xml:space="preserve"> again</w:t>
      </w:r>
      <w:r w:rsidR="000C075F" w:rsidRPr="000C075F">
        <w:t xml:space="preserve"> urge</w:t>
      </w:r>
      <w:r w:rsidR="00151AF5" w:rsidRPr="00F72D03">
        <w:t>s</w:t>
      </w:r>
      <w:r w:rsidR="000C075F" w:rsidRPr="000C075F">
        <w:t xml:space="preserve"> the Department to rescind this </w:t>
      </w:r>
      <w:r w:rsidR="000C075F" w:rsidRPr="000C075F">
        <w:lastRenderedPageBreak/>
        <w:t>proposal.</w:t>
      </w:r>
      <w:r w:rsidR="00E416DF">
        <w:t xml:space="preserve"> The Department must continue to require States to collect the Significant Disproportionality Data under Part B of the</w:t>
      </w:r>
      <w:r w:rsidR="006F554A">
        <w:t xml:space="preserve"> </w:t>
      </w:r>
      <w:r w:rsidR="006F554A" w:rsidRPr="006F554A">
        <w:t>IDEA Section 618(d) and 34 CFR 300.346 and 300.347 through Section V of the Annual State Application under Part B of IDEA.</w:t>
      </w:r>
    </w:p>
    <w:p w14:paraId="2872DDA4" w14:textId="77777777" w:rsidR="0003150B" w:rsidRDefault="0003150B" w:rsidP="000C075F">
      <w:pPr>
        <w:rPr>
          <w:b/>
          <w:bCs/>
        </w:rPr>
      </w:pPr>
    </w:p>
    <w:p w14:paraId="00F85FD8" w14:textId="69241628" w:rsidR="000C075F" w:rsidRPr="000C075F" w:rsidRDefault="000C075F" w:rsidP="000C075F">
      <w:pPr>
        <w:rPr>
          <w:b/>
          <w:bCs/>
        </w:rPr>
      </w:pPr>
      <w:r w:rsidRPr="000C075F">
        <w:rPr>
          <w:b/>
          <w:bCs/>
        </w:rPr>
        <w:t>The Proposal Undermines Congressional Intent to Address Racial Disparities in Special Education</w:t>
      </w:r>
    </w:p>
    <w:p w14:paraId="538192C5" w14:textId="15BBBD38" w:rsidR="000C075F" w:rsidRPr="000C075F" w:rsidRDefault="000C075F" w:rsidP="001834FA">
      <w:pPr>
        <w:pStyle w:val="NoSpacing"/>
      </w:pPr>
      <w:r w:rsidRPr="000C075F">
        <w:t>When Congress reauthorized IDEA in 2004, it made clear that addressing racial and ethnic disproportionality was a priority, designating it as one of three key focus areas. Congress also encouraged the Secretary to closely examine the data collected under IDEA Section 618(a) and provided resources under Section 616(i) to help states address disparities.</w:t>
      </w:r>
      <w:r w:rsidR="00820625">
        <w:rPr>
          <w:rStyle w:val="FootnoteReference"/>
        </w:rPr>
        <w:footnoteReference w:id="1"/>
      </w:r>
      <w:r w:rsidRPr="000C075F">
        <w:t xml:space="preserve"> The </w:t>
      </w:r>
      <w:r w:rsidRPr="000C075F">
        <w:rPr>
          <w:i/>
          <w:iCs/>
        </w:rPr>
        <w:t>Equity in IDEA</w:t>
      </w:r>
      <w:r w:rsidRPr="000C075F">
        <w:t xml:space="preserve"> regulations and the data reporting required in Section V of the State Application were designed to operationalize these priorities and to tackle longstanding issues of racial disparity and noncompliance with IDEA.</w:t>
      </w:r>
    </w:p>
    <w:p w14:paraId="3C5FD54B" w14:textId="77777777" w:rsidR="001834FA" w:rsidRDefault="001834FA" w:rsidP="001834FA">
      <w:pPr>
        <w:pStyle w:val="NoSpacing"/>
      </w:pPr>
    </w:p>
    <w:p w14:paraId="2CE87D57" w14:textId="3DA9F66F" w:rsidR="000C075F" w:rsidRDefault="000C075F" w:rsidP="001834FA">
      <w:pPr>
        <w:pStyle w:val="NoSpacing"/>
      </w:pPr>
      <w:r w:rsidRPr="000C075F">
        <w:t>Despite these efforts, disparities persist. As the Department has reported to Congress</w:t>
      </w:r>
      <w:r w:rsidR="00693BC1">
        <w:rPr>
          <w:rStyle w:val="FootnoteReference"/>
        </w:rPr>
        <w:footnoteReference w:id="2"/>
      </w:r>
      <w:r w:rsidRPr="000C075F">
        <w:t>:</w:t>
      </w:r>
    </w:p>
    <w:p w14:paraId="5A3E1C0D" w14:textId="77777777" w:rsidR="00A21801" w:rsidRPr="000C075F" w:rsidRDefault="00A21801" w:rsidP="001834FA">
      <w:pPr>
        <w:pStyle w:val="NoSpacing"/>
      </w:pPr>
    </w:p>
    <w:p w14:paraId="5989C1AB" w14:textId="77777777" w:rsidR="001834FA" w:rsidRDefault="000C075F" w:rsidP="001834FA">
      <w:pPr>
        <w:pStyle w:val="NoSpacing"/>
        <w:numPr>
          <w:ilvl w:val="0"/>
          <w:numId w:val="4"/>
        </w:numPr>
      </w:pPr>
      <w:r w:rsidRPr="000C075F">
        <w:t>Black or African American students with disabilities are more likely to be identified with an intellectual disability.</w:t>
      </w:r>
      <w:r w:rsidR="00BC339B">
        <w:rPr>
          <w:rStyle w:val="FootnoteReference"/>
        </w:rPr>
        <w:footnoteReference w:id="3"/>
      </w:r>
    </w:p>
    <w:p w14:paraId="3C291340" w14:textId="77777777" w:rsidR="00A21801" w:rsidRDefault="00A21801" w:rsidP="00A21801">
      <w:pPr>
        <w:pStyle w:val="NoSpacing"/>
        <w:ind w:left="720"/>
      </w:pPr>
    </w:p>
    <w:p w14:paraId="0E67B0C9" w14:textId="77777777" w:rsidR="001834FA" w:rsidRDefault="000C075F" w:rsidP="001834FA">
      <w:pPr>
        <w:pStyle w:val="NoSpacing"/>
        <w:numPr>
          <w:ilvl w:val="0"/>
          <w:numId w:val="4"/>
        </w:numPr>
      </w:pPr>
      <w:r w:rsidRPr="000C075F">
        <w:t>Over 33% of Black students with disabilities spend most of their school day in separate classrooms.</w:t>
      </w:r>
      <w:r w:rsidR="005F66DD">
        <w:rPr>
          <w:rStyle w:val="FootnoteReference"/>
        </w:rPr>
        <w:footnoteReference w:id="4"/>
      </w:r>
    </w:p>
    <w:p w14:paraId="03AE973F" w14:textId="77777777" w:rsidR="00A21801" w:rsidRDefault="00A21801" w:rsidP="00A21801">
      <w:pPr>
        <w:pStyle w:val="NoSpacing"/>
      </w:pPr>
    </w:p>
    <w:p w14:paraId="5F2929D6" w14:textId="77E45A43" w:rsidR="000C075F" w:rsidRDefault="000C075F" w:rsidP="001834FA">
      <w:pPr>
        <w:pStyle w:val="NoSpacing"/>
        <w:numPr>
          <w:ilvl w:val="0"/>
          <w:numId w:val="4"/>
        </w:numPr>
      </w:pPr>
      <w:r w:rsidRPr="000C075F">
        <w:t>Black students with disabilities are twice as likely to be expelled and four times as likely to be suspended.</w:t>
      </w:r>
      <w:r w:rsidR="00940423">
        <w:rPr>
          <w:rStyle w:val="FootnoteReference"/>
        </w:rPr>
        <w:footnoteReference w:id="5"/>
      </w:r>
    </w:p>
    <w:p w14:paraId="5A55C968" w14:textId="77777777" w:rsidR="00A21801" w:rsidRDefault="00A21801" w:rsidP="001834FA">
      <w:pPr>
        <w:pStyle w:val="NoSpacing"/>
      </w:pPr>
    </w:p>
    <w:p w14:paraId="4936EBDB" w14:textId="2C4E7E73" w:rsidR="000C075F" w:rsidRDefault="000C075F" w:rsidP="001834FA">
      <w:pPr>
        <w:pStyle w:val="NoSpacing"/>
      </w:pPr>
      <w:r w:rsidRPr="000C075F">
        <w:t>In 2022 alone, 905 of 15,283 local education agencies were required to use IDEA funds for Comprehensive Coordinated Early Intervening Services (CCEIS) due to significant disproportionality.</w:t>
      </w:r>
      <w:r w:rsidR="00B67594">
        <w:rPr>
          <w:rStyle w:val="FootnoteReference"/>
        </w:rPr>
        <w:footnoteReference w:id="6"/>
      </w:r>
    </w:p>
    <w:p w14:paraId="33A0793D" w14:textId="77777777" w:rsidR="00224AC7" w:rsidRPr="000C075F" w:rsidRDefault="00224AC7" w:rsidP="001834FA">
      <w:pPr>
        <w:pStyle w:val="NoSpacing"/>
      </w:pPr>
    </w:p>
    <w:p w14:paraId="5B0306BA" w14:textId="22292A08" w:rsidR="000C075F" w:rsidRDefault="000C075F" w:rsidP="001834FA">
      <w:pPr>
        <w:pStyle w:val="NoSpacing"/>
      </w:pPr>
      <w:r w:rsidRPr="000C075F">
        <w:t>Congress explicitly called on the Department to ensure states take necessary steps to work with local districts to remedy racial disparities and to maintain referral and identification processes that are clear, consistent, and protected from misuse. By eliminating Section V, the Department risks enabling exactly the kind of misuse Congress warned against. This change would leave the Office of Special Education Programs (OSEP) unaware of changes to state methodologies for identifying disproportionality</w:t>
      </w:r>
      <w:r w:rsidR="00B67594">
        <w:t xml:space="preserve">, </w:t>
      </w:r>
      <w:r w:rsidRPr="000C075F">
        <w:t>changes that are currently tracked through Section V.</w:t>
      </w:r>
    </w:p>
    <w:p w14:paraId="7DE16660" w14:textId="77777777" w:rsidR="00224AC7" w:rsidRPr="000C075F" w:rsidRDefault="00224AC7" w:rsidP="001834FA">
      <w:pPr>
        <w:pStyle w:val="NoSpacing"/>
      </w:pPr>
    </w:p>
    <w:p w14:paraId="1E25E311" w14:textId="21D3CD28" w:rsidR="000C075F" w:rsidRPr="000C075F" w:rsidRDefault="000C075F" w:rsidP="00443406">
      <w:pPr>
        <w:pStyle w:val="NoSpacing"/>
      </w:pPr>
      <w:r w:rsidRPr="000C075F">
        <w:t>Additionally, this proposal</w:t>
      </w:r>
      <w:r w:rsidR="006F2C5A">
        <w:t>—</w:t>
      </w:r>
      <w:r w:rsidRPr="000C075F">
        <w:t>along</w:t>
      </w:r>
      <w:r w:rsidR="006F2C5A">
        <w:t xml:space="preserve"> </w:t>
      </w:r>
      <w:r w:rsidRPr="000C075F">
        <w:t xml:space="preserve"> with the recent decision to stop funding the Technical Assistance Center on State Data Collection</w:t>
      </w:r>
      <w:r w:rsidR="006F2C5A">
        <w:t>—</w:t>
      </w:r>
      <w:r w:rsidRPr="000C075F">
        <w:t>further</w:t>
      </w:r>
      <w:r w:rsidR="006F2C5A">
        <w:t xml:space="preserve"> </w:t>
      </w:r>
      <w:r w:rsidRPr="000C075F">
        <w:t>weakens the Department’s capacity to support states in meeting IDEA’s equity requirements. This conflicts directly with the law’s intention to prioritize racial equity in special education policy and practice.</w:t>
      </w:r>
    </w:p>
    <w:p w14:paraId="51ABB4A1" w14:textId="77777777" w:rsidR="00443406" w:rsidRDefault="00443406" w:rsidP="000C075F">
      <w:pPr>
        <w:rPr>
          <w:b/>
          <w:bCs/>
        </w:rPr>
      </w:pPr>
    </w:p>
    <w:p w14:paraId="2E84C052" w14:textId="405D2D9D" w:rsidR="000C075F" w:rsidRPr="000C075F" w:rsidRDefault="000C075F" w:rsidP="000C075F">
      <w:pPr>
        <w:rPr>
          <w:b/>
          <w:bCs/>
        </w:rPr>
      </w:pPr>
      <w:r w:rsidRPr="000C075F">
        <w:rPr>
          <w:b/>
          <w:bCs/>
        </w:rPr>
        <w:t>The Proposal Reduces Transparency and Excludes Parents and Stakeholders</w:t>
      </w:r>
    </w:p>
    <w:p w14:paraId="35D2C5A8" w14:textId="30125526" w:rsidR="000C075F" w:rsidRDefault="00B75A3B" w:rsidP="00224AC7">
      <w:pPr>
        <w:pStyle w:val="NoSpacing"/>
      </w:pPr>
      <w:r>
        <w:t xml:space="preserve">The Arc </w:t>
      </w:r>
      <w:r w:rsidR="000C075F" w:rsidRPr="000C075F">
        <w:t>has consistently championed transparency, accessibility of data, and meaningful stakeholder engagement</w:t>
      </w:r>
      <w:r>
        <w:t xml:space="preserve">, </w:t>
      </w:r>
      <w:r w:rsidR="000C075F" w:rsidRPr="000C075F">
        <w:t>especially for parents and guardians, school personnel, and disability advocates. Under current rules, states are required to publicly report on revisions to policies and procedures related to significant disproportionality and provide at least 30 days for public comment.</w:t>
      </w:r>
      <w:r w:rsidR="00892B85">
        <w:rPr>
          <w:rStyle w:val="FootnoteReference"/>
        </w:rPr>
        <w:footnoteReference w:id="7"/>
      </w:r>
      <w:r w:rsidR="000C075F" w:rsidRPr="000C075F">
        <w:t>These requirements are tied directly to Section V of the Annual State Application.</w:t>
      </w:r>
    </w:p>
    <w:p w14:paraId="1D4B811E" w14:textId="77777777" w:rsidR="00224AC7" w:rsidRPr="000C075F" w:rsidRDefault="00224AC7" w:rsidP="00224AC7">
      <w:pPr>
        <w:pStyle w:val="NoSpacing"/>
      </w:pPr>
    </w:p>
    <w:p w14:paraId="71F59CE3" w14:textId="7FFF21C5" w:rsidR="000C075F" w:rsidRDefault="000C075F" w:rsidP="00224AC7">
      <w:pPr>
        <w:pStyle w:val="NoSpacing"/>
      </w:pPr>
      <w:r w:rsidRPr="000C075F">
        <w:t>Executive Order 14191 emphasizes the federal government’s commitment to supporting parents’ rights in guiding their children’s education.</w:t>
      </w:r>
      <w:r w:rsidR="00B17597">
        <w:rPr>
          <w:rStyle w:val="FootnoteReference"/>
        </w:rPr>
        <w:footnoteReference w:id="8"/>
      </w:r>
      <w:r w:rsidRPr="000C075F">
        <w:t xml:space="preserve"> Eliminating Section V would undermine that commitment by removing a critical avenue for families to learn about, understand, and respond to changes in how states monitor racial disparities in special education.</w:t>
      </w:r>
    </w:p>
    <w:p w14:paraId="7BEF802C" w14:textId="77777777" w:rsidR="00224AC7" w:rsidRPr="000C075F" w:rsidRDefault="00224AC7" w:rsidP="00224AC7">
      <w:pPr>
        <w:pStyle w:val="NoSpacing"/>
      </w:pPr>
    </w:p>
    <w:p w14:paraId="7690AF04" w14:textId="77777777" w:rsidR="000C075F" w:rsidRPr="000C075F" w:rsidRDefault="000C075F" w:rsidP="00224AC7">
      <w:pPr>
        <w:pStyle w:val="NoSpacing"/>
      </w:pPr>
      <w:r w:rsidRPr="000C075F">
        <w:lastRenderedPageBreak/>
        <w:t>This proposal effectively eliminates the only public notification mechanism for changes to how states identify significant disproportionality. Without it, parents and stakeholders lose access to essential information about:</w:t>
      </w:r>
    </w:p>
    <w:p w14:paraId="279724B7" w14:textId="77777777" w:rsidR="000C075F" w:rsidRPr="000C075F" w:rsidRDefault="000C075F" w:rsidP="00224AC7">
      <w:pPr>
        <w:pStyle w:val="NoSpacing"/>
        <w:numPr>
          <w:ilvl w:val="0"/>
          <w:numId w:val="5"/>
        </w:numPr>
      </w:pPr>
      <w:r w:rsidRPr="000C075F">
        <w:t>Whether race plays a role in how students are identified for special education services.</w:t>
      </w:r>
    </w:p>
    <w:p w14:paraId="6C68487C" w14:textId="77777777" w:rsidR="000C075F" w:rsidRPr="000C075F" w:rsidRDefault="000C075F" w:rsidP="00224AC7">
      <w:pPr>
        <w:pStyle w:val="NoSpacing"/>
        <w:numPr>
          <w:ilvl w:val="0"/>
          <w:numId w:val="5"/>
        </w:numPr>
      </w:pPr>
      <w:r w:rsidRPr="000C075F">
        <w:t>Whether children are placed in more restrictive settings.</w:t>
      </w:r>
    </w:p>
    <w:p w14:paraId="77B1AC3D" w14:textId="77777777" w:rsidR="000C075F" w:rsidRPr="000C075F" w:rsidRDefault="000C075F" w:rsidP="00224AC7">
      <w:pPr>
        <w:pStyle w:val="NoSpacing"/>
        <w:numPr>
          <w:ilvl w:val="0"/>
          <w:numId w:val="5"/>
        </w:numPr>
      </w:pPr>
      <w:r w:rsidRPr="000C075F">
        <w:t>Whether disciplinary actions disproportionately affect certain racial or ethnic groups.</w:t>
      </w:r>
    </w:p>
    <w:p w14:paraId="1D5506F6" w14:textId="77777777" w:rsidR="00224AC7" w:rsidRDefault="00224AC7" w:rsidP="00224AC7">
      <w:pPr>
        <w:pStyle w:val="NoSpacing"/>
      </w:pPr>
    </w:p>
    <w:p w14:paraId="76298F47" w14:textId="7F633E2B" w:rsidR="000C075F" w:rsidRDefault="000C075F" w:rsidP="00224AC7">
      <w:pPr>
        <w:pStyle w:val="NoSpacing"/>
      </w:pPr>
      <w:r w:rsidRPr="000C075F">
        <w:t>Parents and advocates need this information to make informed decisions, and to participate meaningfully in the development and oversight of policies impacting children with disabilities. Removing Section V cuts them out of that process and undermines IDEA’s core principles of transparency and stakeholder engagement.</w:t>
      </w:r>
    </w:p>
    <w:p w14:paraId="0780A6D0" w14:textId="77777777" w:rsidR="007016DD" w:rsidRDefault="007016DD" w:rsidP="007016DD">
      <w:pPr>
        <w:pStyle w:val="NoSpacing"/>
      </w:pPr>
      <w:r w:rsidRPr="007016DD">
        <w:t xml:space="preserve">The Department notes that each State’s current methodology is available on </w:t>
      </w:r>
      <w:hyperlink r:id="rId8" w:tgtFrame="_new" w:history="1">
        <w:r w:rsidRPr="007016DD">
          <w:rPr>
            <w:rStyle w:val="Hyperlink"/>
          </w:rPr>
          <w:t>www.ed.gov</w:t>
        </w:r>
      </w:hyperlink>
      <w:r w:rsidRPr="007016DD">
        <w:t>. However, this is the case only because the Department has previously collected this information through the required data collection and made it publicly available. Without continued collection, the Department would no longer be able to update its webpages to reflect changes in State methodologies.</w:t>
      </w:r>
    </w:p>
    <w:p w14:paraId="6E7FC559" w14:textId="77777777" w:rsidR="007016DD" w:rsidRPr="007016DD" w:rsidRDefault="007016DD" w:rsidP="007016DD">
      <w:pPr>
        <w:pStyle w:val="NoSpacing"/>
      </w:pPr>
    </w:p>
    <w:p w14:paraId="6D8C2AA3" w14:textId="77777777" w:rsidR="007016DD" w:rsidRPr="007016DD" w:rsidRDefault="007016DD" w:rsidP="007016DD">
      <w:pPr>
        <w:pStyle w:val="NoSpacing"/>
      </w:pPr>
      <w:r w:rsidRPr="007016DD">
        <w:t>The Department also states that, if a State elects to change its methodology, regulations require that the decision be informed by stakeholder input, including from State Advisory Panels. While stakeholder consultation is required prior to any decision, that requirement does not ensure that a State’s final methodology will be publicly reported. Nor does the Department indicate that States are otherwise obligated under IDEA to publicly disclose their final determinations. As a result, the Department appears to leave unresolved whether States must make their methodologies public in the absence of this data collection. This uncertainty should not be shifted onto public stakeholders.</w:t>
      </w:r>
    </w:p>
    <w:p w14:paraId="2813D906" w14:textId="77777777" w:rsidR="007016DD" w:rsidRDefault="007016DD" w:rsidP="00224AC7">
      <w:pPr>
        <w:pStyle w:val="NoSpacing"/>
      </w:pPr>
    </w:p>
    <w:p w14:paraId="24C2E968" w14:textId="7C89B0FC" w:rsidR="00443406" w:rsidRDefault="000C075F" w:rsidP="00224AC7">
      <w:pPr>
        <w:pStyle w:val="NoSpacing"/>
      </w:pPr>
      <w:r w:rsidRPr="000C075F">
        <w:t xml:space="preserve">For all the reasons outlined above, </w:t>
      </w:r>
      <w:r w:rsidR="000F5250">
        <w:t>The Arc</w:t>
      </w:r>
      <w:r w:rsidRPr="000C075F">
        <w:t xml:space="preserve"> urges the Department to</w:t>
      </w:r>
      <w:r w:rsidR="006926EC">
        <w:t xml:space="preserve"> again</w:t>
      </w:r>
      <w:r w:rsidRPr="000C075F">
        <w:t xml:space="preserve"> withdraw its proposal to remove Section V of the Annual State Application. Maintaining this requirement is essential to:</w:t>
      </w:r>
    </w:p>
    <w:p w14:paraId="5519442A" w14:textId="77777777" w:rsidR="00443406" w:rsidRPr="000C075F" w:rsidRDefault="00443406" w:rsidP="00224AC7">
      <w:pPr>
        <w:pStyle w:val="NoSpacing"/>
      </w:pPr>
    </w:p>
    <w:p w14:paraId="54488F96" w14:textId="77777777" w:rsidR="000C075F" w:rsidRDefault="000C075F" w:rsidP="00224AC7">
      <w:pPr>
        <w:pStyle w:val="NoSpacing"/>
        <w:numPr>
          <w:ilvl w:val="0"/>
          <w:numId w:val="6"/>
        </w:numPr>
      </w:pPr>
      <w:r w:rsidRPr="000C075F">
        <w:t>Upholding Congressional intent.</w:t>
      </w:r>
    </w:p>
    <w:p w14:paraId="0112498A" w14:textId="77777777" w:rsidR="007016DD" w:rsidRPr="000C075F" w:rsidRDefault="007016DD" w:rsidP="007016DD">
      <w:pPr>
        <w:pStyle w:val="NoSpacing"/>
        <w:ind w:left="720"/>
      </w:pPr>
    </w:p>
    <w:p w14:paraId="7EB94801" w14:textId="77777777" w:rsidR="000C075F" w:rsidRDefault="000C075F" w:rsidP="00224AC7">
      <w:pPr>
        <w:pStyle w:val="NoSpacing"/>
        <w:numPr>
          <w:ilvl w:val="0"/>
          <w:numId w:val="6"/>
        </w:numPr>
      </w:pPr>
      <w:r w:rsidRPr="000C075F">
        <w:t>Ensuring meaningful monitoring and enforcement of IDEA’s equity provisions.</w:t>
      </w:r>
    </w:p>
    <w:p w14:paraId="7E025CFD" w14:textId="77777777" w:rsidR="00443406" w:rsidRPr="000C075F" w:rsidRDefault="00443406" w:rsidP="00443406">
      <w:pPr>
        <w:pStyle w:val="NoSpacing"/>
        <w:ind w:left="720"/>
      </w:pPr>
    </w:p>
    <w:p w14:paraId="250C3864" w14:textId="77777777" w:rsidR="000C075F" w:rsidRDefault="000C075F" w:rsidP="00224AC7">
      <w:pPr>
        <w:pStyle w:val="NoSpacing"/>
        <w:numPr>
          <w:ilvl w:val="0"/>
          <w:numId w:val="6"/>
        </w:numPr>
      </w:pPr>
      <w:r w:rsidRPr="000C075F">
        <w:t>Preserving transparency and stakeholder engagement.</w:t>
      </w:r>
    </w:p>
    <w:p w14:paraId="5D9F41DE" w14:textId="77777777" w:rsidR="00443406" w:rsidRPr="000C075F" w:rsidRDefault="00443406" w:rsidP="00443406">
      <w:pPr>
        <w:pStyle w:val="NoSpacing"/>
      </w:pPr>
    </w:p>
    <w:p w14:paraId="6B64D988" w14:textId="288D406F" w:rsidR="00ED446C" w:rsidRDefault="00ED446C" w:rsidP="00224AC7">
      <w:pPr>
        <w:pStyle w:val="NoSpacing"/>
      </w:pPr>
      <w:r>
        <w:lastRenderedPageBreak/>
        <w:t>The Arc</w:t>
      </w:r>
      <w:r w:rsidR="000C075F" w:rsidRPr="000C075F">
        <w:t xml:space="preserve"> appreciate</w:t>
      </w:r>
      <w:r>
        <w:t>s</w:t>
      </w:r>
      <w:r w:rsidR="000C075F" w:rsidRPr="000C075F">
        <w:t xml:space="preserve"> the opportunity to submit these comments and welcome</w:t>
      </w:r>
      <w:r>
        <w:t>s</w:t>
      </w:r>
      <w:r w:rsidR="000C075F" w:rsidRPr="000C075F">
        <w:t xml:space="preserve"> the chance to further discuss this issue.</w:t>
      </w:r>
      <w:r>
        <w:t xml:space="preserve"> Please reach out to Robyn Linscott (</w:t>
      </w:r>
      <w:hyperlink r:id="rId9" w:history="1">
        <w:r w:rsidRPr="00730B81">
          <w:rPr>
            <w:rStyle w:val="Hyperlink"/>
          </w:rPr>
          <w:t>linscott@thearc.org</w:t>
        </w:r>
      </w:hyperlink>
      <w:r>
        <w:t>) with any further questions.</w:t>
      </w:r>
    </w:p>
    <w:p w14:paraId="758EE685" w14:textId="06671131" w:rsidR="00ED446C" w:rsidRDefault="00ED446C" w:rsidP="000C075F">
      <w:r>
        <w:t>Sincerely,</w:t>
      </w:r>
    </w:p>
    <w:p w14:paraId="37051E47" w14:textId="48E1F55B" w:rsidR="00ED446C" w:rsidRDefault="00ED446C" w:rsidP="00ED446C">
      <w:pPr>
        <w:pStyle w:val="NoSpacing"/>
      </w:pPr>
      <w:r>
        <w:t>Robyn Linscott</w:t>
      </w:r>
    </w:p>
    <w:p w14:paraId="47477168" w14:textId="75F0881D" w:rsidR="00ED446C" w:rsidRDefault="00ED446C" w:rsidP="00ED446C">
      <w:pPr>
        <w:pStyle w:val="NoSpacing"/>
      </w:pPr>
      <w:r>
        <w:t>Director of Education and Family Policy</w:t>
      </w:r>
    </w:p>
    <w:p w14:paraId="2AA0862C" w14:textId="2EBCA191" w:rsidR="00ED446C" w:rsidRPr="000C075F" w:rsidRDefault="00ED446C" w:rsidP="00ED446C">
      <w:pPr>
        <w:pStyle w:val="NoSpacing"/>
      </w:pPr>
      <w:r>
        <w:t>The Arc of the United States</w:t>
      </w:r>
    </w:p>
    <w:p w14:paraId="7FFC8355" w14:textId="77777777" w:rsidR="00DA7563" w:rsidRDefault="00DA7563"/>
    <w:sectPr w:rsidR="00DA756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F7592" w14:textId="77777777" w:rsidR="00E723EE" w:rsidRDefault="00E723EE" w:rsidP="00C05C0E">
      <w:pPr>
        <w:spacing w:after="0" w:line="240" w:lineRule="auto"/>
      </w:pPr>
      <w:r>
        <w:separator/>
      </w:r>
    </w:p>
  </w:endnote>
  <w:endnote w:type="continuationSeparator" w:id="0">
    <w:p w14:paraId="6E5B1A9B" w14:textId="77777777" w:rsidR="00E723EE" w:rsidRDefault="00E723EE" w:rsidP="00C05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toneSansITCStd Medium">
    <w:altName w:val="Calibri"/>
    <w:panose1 w:val="00000000000000000000"/>
    <w:charset w:val="00"/>
    <w:family w:val="moder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11654" w14:textId="77777777" w:rsidR="00E723EE" w:rsidRDefault="00E723EE" w:rsidP="00C05C0E">
      <w:pPr>
        <w:spacing w:after="0" w:line="240" w:lineRule="auto"/>
      </w:pPr>
      <w:r>
        <w:separator/>
      </w:r>
    </w:p>
  </w:footnote>
  <w:footnote w:type="continuationSeparator" w:id="0">
    <w:p w14:paraId="07BA55DF" w14:textId="77777777" w:rsidR="00E723EE" w:rsidRDefault="00E723EE" w:rsidP="00C05C0E">
      <w:pPr>
        <w:spacing w:after="0" w:line="240" w:lineRule="auto"/>
      </w:pPr>
      <w:r>
        <w:continuationSeparator/>
      </w:r>
    </w:p>
  </w:footnote>
  <w:footnote w:id="1">
    <w:p w14:paraId="02DC2BC5" w14:textId="1A92CD63" w:rsidR="00820625" w:rsidRDefault="00820625" w:rsidP="00820625">
      <w:pPr>
        <w:pStyle w:val="FootnoteText"/>
      </w:pPr>
      <w:r>
        <w:rPr>
          <w:rStyle w:val="FootnoteReference"/>
        </w:rPr>
        <w:footnoteRef/>
      </w:r>
      <w:r>
        <w:t xml:space="preserve"> </w:t>
      </w:r>
      <w:r w:rsidRPr="00164E6C">
        <w:t>Sec. 616(i). 20 USC 1416</w:t>
      </w:r>
    </w:p>
  </w:footnote>
  <w:footnote w:id="2">
    <w:p w14:paraId="4964B12B" w14:textId="4D7EC65B" w:rsidR="00693BC1" w:rsidRDefault="00693BC1">
      <w:pPr>
        <w:pStyle w:val="FootnoteText"/>
      </w:pPr>
      <w:r>
        <w:rPr>
          <w:rStyle w:val="FootnoteReference"/>
        </w:rPr>
        <w:footnoteRef/>
      </w:r>
      <w:r>
        <w:t xml:space="preserve"> </w:t>
      </w:r>
      <w:r w:rsidRPr="00693BC1">
        <w:t> See: February 2013 U.S. Government Accountability Office (GAO) study, which indicated that there was widespread noncompliance by states with 20 U.S.C. Section 1418(d) of the IDEA.</w:t>
      </w:r>
    </w:p>
  </w:footnote>
  <w:footnote w:id="3">
    <w:p w14:paraId="38D8CF2F" w14:textId="75C9F417" w:rsidR="00BC339B" w:rsidRDefault="00BC339B">
      <w:pPr>
        <w:pStyle w:val="FootnoteText"/>
      </w:pPr>
      <w:r>
        <w:rPr>
          <w:rStyle w:val="FootnoteReference"/>
        </w:rPr>
        <w:footnoteRef/>
      </w:r>
      <w:r>
        <w:t xml:space="preserve"> </w:t>
      </w:r>
      <w:r w:rsidRPr="00BC339B">
        <w:t xml:space="preserve">U.S. Department of Education, EDFacts Data Warehouse (EDW): “IDEA Part B Child Count and Educational Environments Collection,” 2021-22, </w:t>
      </w:r>
      <w:hyperlink r:id="rId1" w:history="1">
        <w:r w:rsidRPr="00BC339B">
          <w:rPr>
            <w:rStyle w:val="Hyperlink"/>
          </w:rPr>
          <w:t>https://data.ed.gov/dataset/71ca7d0c-a161-4abe-9e2b-4e68ffb1061a/resource/22294e78-ff8b-48cf-8f5e-5a84f183ec22/download/bchildcountandedenvironment2021-22.csv</w:t>
        </w:r>
      </w:hyperlink>
    </w:p>
  </w:footnote>
  <w:footnote w:id="4">
    <w:p w14:paraId="18C637A8" w14:textId="0EB874DC" w:rsidR="005F66DD" w:rsidRDefault="005F66DD">
      <w:pPr>
        <w:pStyle w:val="FootnoteText"/>
      </w:pPr>
      <w:r>
        <w:rPr>
          <w:rStyle w:val="FootnoteReference"/>
        </w:rPr>
        <w:footnoteRef/>
      </w:r>
      <w:r>
        <w:t xml:space="preserve"> </w:t>
      </w:r>
      <w:r w:rsidRPr="005F66DD">
        <w:t xml:space="preserve">Separate class refers to a special education program in a class that includes less than 50 percent children without disabilities. See:  </w:t>
      </w:r>
      <w:r w:rsidRPr="005F66DD">
        <w:rPr>
          <w:i/>
          <w:iCs/>
        </w:rPr>
        <w:t>46th Annual Annual Report to Congress on the Implementation of the Individuals with Disabilities Education Act</w:t>
      </w:r>
      <w:r w:rsidRPr="005F66DD">
        <w:t xml:space="preserve">, U.S. Department of Education, (2024), 37. </w:t>
      </w:r>
      <w:hyperlink r:id="rId2" w:history="1">
        <w:r w:rsidRPr="005F66DD">
          <w:rPr>
            <w:rStyle w:val="Hyperlink"/>
          </w:rPr>
          <w:t>https://sites.ed.gov/idea/2024-annual-report-to-congress-on-the-individuals-with-disabilities-education-act-idea/</w:t>
        </w:r>
      </w:hyperlink>
    </w:p>
  </w:footnote>
  <w:footnote w:id="5">
    <w:p w14:paraId="4C05213A" w14:textId="4BB1D26D" w:rsidR="00940423" w:rsidRDefault="00940423">
      <w:pPr>
        <w:pStyle w:val="FootnoteText"/>
      </w:pPr>
      <w:r>
        <w:rPr>
          <w:rStyle w:val="FootnoteReference"/>
        </w:rPr>
        <w:footnoteRef/>
      </w:r>
      <w:r>
        <w:t xml:space="preserve"> </w:t>
      </w:r>
      <w:r w:rsidRPr="00940423">
        <w:t xml:space="preserve">Table 233.28. Percentage of students receiving selected disciplinary actions in public elementary and secondary schools, by type of disciplinary action, disability status, sex, and race/ethnicity: School year 2020-21, Digest of Education Statistics, U.S. Department of Education, </w:t>
      </w:r>
      <w:hyperlink r:id="rId3" w:history="1">
        <w:r w:rsidRPr="00940423">
          <w:rPr>
            <w:rStyle w:val="Hyperlink"/>
          </w:rPr>
          <w:t>https://nces.ed.gov/programs/digest/d23/tables/dt23_233.28.asp?current=yes</w:t>
        </w:r>
      </w:hyperlink>
    </w:p>
  </w:footnote>
  <w:footnote w:id="6">
    <w:p w14:paraId="05877CDB" w14:textId="23E36A5B" w:rsidR="00B67594" w:rsidRDefault="00B67594">
      <w:pPr>
        <w:pStyle w:val="FootnoteText"/>
      </w:pPr>
      <w:r>
        <w:rPr>
          <w:rStyle w:val="FootnoteReference"/>
        </w:rPr>
        <w:footnoteRef/>
      </w:r>
      <w:r>
        <w:t xml:space="preserve"> </w:t>
      </w:r>
      <w:r w:rsidRPr="00B67594">
        <w:t xml:space="preserve"> H. Rept. 108-77, Sec. 208, Overidentification, to accompany P.L. 108-446, (2004), </w:t>
      </w:r>
      <w:hyperlink r:id="rId4" w:history="1">
        <w:r w:rsidRPr="00B67594">
          <w:rPr>
            <w:rStyle w:val="Hyperlink"/>
          </w:rPr>
          <w:t>https://www.congress.gov/committee-report/108th-congress/house-report/77/1</w:t>
        </w:r>
      </w:hyperlink>
    </w:p>
  </w:footnote>
  <w:footnote w:id="7">
    <w:p w14:paraId="4A595198" w14:textId="255EBEEB" w:rsidR="00892B85" w:rsidRDefault="00892B85">
      <w:pPr>
        <w:pStyle w:val="FootnoteText"/>
      </w:pPr>
      <w:r>
        <w:rPr>
          <w:rStyle w:val="FootnoteReference"/>
        </w:rPr>
        <w:footnoteRef/>
      </w:r>
      <w:r>
        <w:t xml:space="preserve"> </w:t>
      </w:r>
      <w:r w:rsidRPr="00892B85">
        <w:t>20 U.S.C. § 1418(d)(2)</w:t>
      </w:r>
    </w:p>
  </w:footnote>
  <w:footnote w:id="8">
    <w:p w14:paraId="79BF8A8F" w14:textId="7539D471" w:rsidR="00B17597" w:rsidRDefault="00B17597">
      <w:pPr>
        <w:pStyle w:val="FootnoteText"/>
      </w:pPr>
      <w:r>
        <w:rPr>
          <w:rStyle w:val="FootnoteReference"/>
        </w:rPr>
        <w:footnoteRef/>
      </w:r>
      <w:r>
        <w:t xml:space="preserve"> </w:t>
      </w:r>
      <w:r w:rsidRPr="00B17597">
        <w:t xml:space="preserve">Executive Order 14191: </w:t>
      </w:r>
      <w:r w:rsidRPr="00B17597">
        <w:rPr>
          <w:i/>
          <w:iCs/>
        </w:rPr>
        <w:t>Expanding Educational Freedom and Opportunity for Families</w:t>
      </w:r>
      <w:r w:rsidRPr="00B17597">
        <w:t xml:space="preserve">, (2025), </w:t>
      </w:r>
      <w:hyperlink r:id="rId5" w:history="1">
        <w:r w:rsidRPr="00B17597">
          <w:rPr>
            <w:rStyle w:val="Hyperlink"/>
          </w:rPr>
          <w:t>https://www.federalregister.gov/documents/2025/02/03/2025-02233/expanding-educational-freedom-and-opportunity-for-families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B94A" w14:textId="3B13D38F" w:rsidR="00A5559D" w:rsidRDefault="00CC3F29">
    <w:pPr>
      <w:pStyle w:val="Header"/>
    </w:pPr>
    <w:r>
      <w:rPr>
        <w:noProof/>
        <w:szCs w:val="20"/>
      </w:rPr>
      <mc:AlternateContent>
        <mc:Choice Requires="wps">
          <w:drawing>
            <wp:anchor distT="0" distB="0" distL="365760" distR="114300" simplePos="0" relativeHeight="251659264" behindDoc="1" locked="0" layoutInCell="1" allowOverlap="1" wp14:anchorId="41B2549F" wp14:editId="13FE0BD0">
              <wp:simplePos x="0" y="0"/>
              <wp:positionH relativeFrom="margin">
                <wp:posOffset>4768850</wp:posOffset>
              </wp:positionH>
              <wp:positionV relativeFrom="page">
                <wp:posOffset>496570</wp:posOffset>
              </wp:positionV>
              <wp:extent cx="1569085" cy="1095375"/>
              <wp:effectExtent l="0" t="0" r="12065" b="9525"/>
              <wp:wrapTight wrapText="bothSides">
                <wp:wrapPolygon edited="0">
                  <wp:start x="0" y="0"/>
                  <wp:lineTo x="0" y="21412"/>
                  <wp:lineTo x="21504" y="21412"/>
                  <wp:lineTo x="21504" y="0"/>
                  <wp:lineTo x="0" y="0"/>
                </wp:wrapPolygon>
              </wp:wrapTigh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085" cy="1095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FA585" w14:textId="77777777" w:rsidR="00CC3F29" w:rsidRDefault="00CC3F29" w:rsidP="00CC3F29">
                          <w:pPr>
                            <w:autoSpaceDE w:val="0"/>
                            <w:autoSpaceDN w:val="0"/>
                            <w:adjustRightInd w:val="0"/>
                            <w:spacing w:after="0" w:line="205" w:lineRule="atLeast"/>
                            <w:textAlignment w:val="center"/>
                            <w:rPr>
                              <w:rFonts w:ascii="StoneSansITCStd Medium" w:eastAsia="Times New Roman" w:hAnsi="StoneSansITCStd Medium" w:cs="StoneSansITCStd Medium"/>
                              <w:color w:val="FF5B00"/>
                              <w:sz w:val="15"/>
                              <w:szCs w:val="15"/>
                            </w:rPr>
                          </w:pPr>
                        </w:p>
                        <w:p w14:paraId="558DC6DE" w14:textId="77777777" w:rsidR="00CC3F29" w:rsidRPr="00A103BA" w:rsidRDefault="00CC3F29" w:rsidP="00CC3F29">
                          <w:pPr>
                            <w:autoSpaceDE w:val="0"/>
                            <w:autoSpaceDN w:val="0"/>
                            <w:adjustRightInd w:val="0"/>
                            <w:spacing w:after="0" w:line="205" w:lineRule="atLeast"/>
                            <w:textAlignment w:val="center"/>
                            <w:rPr>
                              <w:rFonts w:ascii="StoneSansITCStd Medium" w:eastAsia="Times New Roman" w:hAnsi="StoneSansITCStd Medium" w:cs="StoneSansITCStd Medium"/>
                              <w:color w:val="FF5B00"/>
                              <w:sz w:val="15"/>
                              <w:szCs w:val="15"/>
                            </w:rPr>
                          </w:pPr>
                          <w:r w:rsidRPr="00A103BA">
                            <w:rPr>
                              <w:rFonts w:ascii="StoneSansITCStd Medium" w:eastAsia="Times New Roman" w:hAnsi="StoneSansITCStd Medium" w:cs="StoneSansITCStd Medium"/>
                              <w:color w:val="FF5B00"/>
                              <w:sz w:val="15"/>
                              <w:szCs w:val="15"/>
                            </w:rPr>
                            <w:t>The Arc</w:t>
                          </w:r>
                        </w:p>
                        <w:p w14:paraId="3B130D89" w14:textId="77777777" w:rsidR="00CC3F29" w:rsidRPr="00A103BA" w:rsidRDefault="00CC3F29" w:rsidP="00CC3F29">
                          <w:pPr>
                            <w:autoSpaceDE w:val="0"/>
                            <w:autoSpaceDN w:val="0"/>
                            <w:adjustRightInd w:val="0"/>
                            <w:spacing w:after="0" w:line="205" w:lineRule="atLeast"/>
                            <w:textAlignment w:val="center"/>
                            <w:rPr>
                              <w:rFonts w:ascii="StoneSansITCStd Medium" w:eastAsia="Times New Roman" w:hAnsi="StoneSansITCStd Medium" w:cs="StoneSansITCStd Medium"/>
                              <w:color w:val="000000"/>
                              <w:sz w:val="15"/>
                              <w:szCs w:val="15"/>
                            </w:rPr>
                          </w:pPr>
                          <w:r>
                            <w:rPr>
                              <w:rFonts w:ascii="StoneSansITCStd Medium" w:eastAsia="Times New Roman" w:hAnsi="StoneSansITCStd Medium" w:cs="StoneSansITCStd Medium"/>
                              <w:color w:val="000000"/>
                              <w:sz w:val="15"/>
                              <w:szCs w:val="15"/>
                            </w:rPr>
                            <w:t>2000 Pennsylvania Ave.</w:t>
                          </w:r>
                          <w:r w:rsidRPr="00A103BA">
                            <w:rPr>
                              <w:rFonts w:ascii="StoneSansITCStd Medium" w:eastAsia="Times New Roman" w:hAnsi="StoneSansITCStd Medium" w:cs="StoneSansITCStd Medium"/>
                              <w:color w:val="000000"/>
                              <w:sz w:val="15"/>
                              <w:szCs w:val="15"/>
                            </w:rPr>
                            <w:t xml:space="preserve"> NW, Suite </w:t>
                          </w:r>
                          <w:r>
                            <w:rPr>
                              <w:rFonts w:ascii="StoneSansITCStd Medium" w:eastAsia="Times New Roman" w:hAnsi="StoneSansITCStd Medium" w:cs="StoneSansITCStd Medium"/>
                              <w:color w:val="000000"/>
                              <w:sz w:val="15"/>
                              <w:szCs w:val="15"/>
                            </w:rPr>
                            <w:t>500</w:t>
                          </w:r>
                        </w:p>
                        <w:p w14:paraId="64FB2745" w14:textId="77777777" w:rsidR="00CC3F29" w:rsidRPr="00A103BA" w:rsidRDefault="00CC3F29" w:rsidP="00CC3F29">
                          <w:pPr>
                            <w:autoSpaceDE w:val="0"/>
                            <w:autoSpaceDN w:val="0"/>
                            <w:adjustRightInd w:val="0"/>
                            <w:spacing w:after="0" w:line="205" w:lineRule="atLeast"/>
                            <w:textAlignment w:val="center"/>
                            <w:rPr>
                              <w:rFonts w:ascii="StoneSansITCStd Medium" w:eastAsia="Times New Roman" w:hAnsi="StoneSansITCStd Medium" w:cs="StoneSansITCStd Medium"/>
                              <w:color w:val="000000"/>
                              <w:sz w:val="15"/>
                              <w:szCs w:val="15"/>
                            </w:rPr>
                          </w:pPr>
                          <w:r w:rsidRPr="00A103BA">
                            <w:rPr>
                              <w:rFonts w:ascii="StoneSansITCStd Medium" w:eastAsia="Times New Roman" w:hAnsi="StoneSansITCStd Medium" w:cs="StoneSansITCStd Medium"/>
                              <w:color w:val="000000"/>
                              <w:sz w:val="15"/>
                              <w:szCs w:val="15"/>
                            </w:rPr>
                            <w:t>Washington, DC 20006</w:t>
                          </w:r>
                        </w:p>
                        <w:p w14:paraId="121E6E7E" w14:textId="77777777" w:rsidR="00CC3F29" w:rsidRPr="00A103BA" w:rsidRDefault="00CC3F29" w:rsidP="00CC3F29">
                          <w:pPr>
                            <w:autoSpaceDE w:val="0"/>
                            <w:autoSpaceDN w:val="0"/>
                            <w:adjustRightInd w:val="0"/>
                            <w:spacing w:after="0" w:line="205" w:lineRule="atLeast"/>
                            <w:textAlignment w:val="center"/>
                            <w:rPr>
                              <w:rFonts w:ascii="StoneSansITCStd Medium" w:eastAsia="Times New Roman" w:hAnsi="StoneSansITCStd Medium" w:cs="StoneSansITCStd Medium"/>
                              <w:color w:val="000000"/>
                              <w:sz w:val="15"/>
                              <w:szCs w:val="15"/>
                            </w:rPr>
                          </w:pPr>
                        </w:p>
                        <w:p w14:paraId="348184E2" w14:textId="77777777" w:rsidR="00CC3F29" w:rsidRPr="00A103BA" w:rsidRDefault="00CC3F29" w:rsidP="00CC3F29">
                          <w:pPr>
                            <w:tabs>
                              <w:tab w:val="left" w:pos="120"/>
                            </w:tabs>
                            <w:autoSpaceDE w:val="0"/>
                            <w:autoSpaceDN w:val="0"/>
                            <w:adjustRightInd w:val="0"/>
                            <w:spacing w:after="0" w:line="205" w:lineRule="atLeast"/>
                            <w:textAlignment w:val="center"/>
                            <w:rPr>
                              <w:rFonts w:ascii="StoneSansITCStd Medium" w:eastAsia="Times New Roman" w:hAnsi="StoneSansITCStd Medium" w:cs="StoneSansITCStd Medium"/>
                              <w:color w:val="000000"/>
                              <w:sz w:val="15"/>
                              <w:szCs w:val="15"/>
                            </w:rPr>
                          </w:pPr>
                          <w:r w:rsidRPr="00A103BA">
                            <w:rPr>
                              <w:rFonts w:ascii="StoneSansITCStd Medium" w:eastAsia="Times New Roman" w:hAnsi="StoneSansITCStd Medium" w:cs="StoneSansITCStd Medium"/>
                              <w:color w:val="FF5B00"/>
                              <w:sz w:val="15"/>
                              <w:szCs w:val="15"/>
                            </w:rPr>
                            <w:t>T</w:t>
                          </w:r>
                          <w:r w:rsidRPr="00A103BA">
                            <w:rPr>
                              <w:rFonts w:ascii="StoneSansITCStd Medium" w:eastAsia="Times New Roman" w:hAnsi="StoneSansITCStd Medium" w:cs="StoneSansITCStd Medium"/>
                              <w:color w:val="000000"/>
                              <w:sz w:val="15"/>
                              <w:szCs w:val="15"/>
                            </w:rPr>
                            <w:tab/>
                            <w:t>202 534-3700</w:t>
                          </w:r>
                        </w:p>
                        <w:p w14:paraId="67D392EA" w14:textId="77777777" w:rsidR="00CC3F29" w:rsidRPr="00A103BA" w:rsidRDefault="00CC3F29" w:rsidP="00CC3F29">
                          <w:pPr>
                            <w:tabs>
                              <w:tab w:val="left" w:pos="120"/>
                            </w:tabs>
                            <w:autoSpaceDE w:val="0"/>
                            <w:autoSpaceDN w:val="0"/>
                            <w:adjustRightInd w:val="0"/>
                            <w:spacing w:after="0" w:line="205" w:lineRule="atLeast"/>
                            <w:textAlignment w:val="center"/>
                            <w:rPr>
                              <w:rFonts w:ascii="StoneSansITCStd Medium" w:eastAsia="Times New Roman" w:hAnsi="StoneSansITCStd Medium" w:cs="StoneSansITCStd Medium"/>
                              <w:color w:val="000000"/>
                              <w:sz w:val="15"/>
                              <w:szCs w:val="15"/>
                            </w:rPr>
                          </w:pPr>
                          <w:r w:rsidRPr="00A103BA">
                            <w:rPr>
                              <w:rFonts w:ascii="StoneSansITCStd Medium" w:eastAsia="Times New Roman" w:hAnsi="StoneSansITCStd Medium" w:cs="StoneSansITCStd Medium"/>
                              <w:color w:val="FF5B00"/>
                              <w:sz w:val="15"/>
                              <w:szCs w:val="15"/>
                            </w:rPr>
                            <w:t>F</w:t>
                          </w:r>
                          <w:r w:rsidRPr="00A103BA">
                            <w:rPr>
                              <w:rFonts w:ascii="StoneSansITCStd Medium" w:eastAsia="Times New Roman" w:hAnsi="StoneSansITCStd Medium" w:cs="StoneSansITCStd Medium"/>
                              <w:color w:val="000000"/>
                              <w:sz w:val="15"/>
                              <w:szCs w:val="15"/>
                            </w:rPr>
                            <w:tab/>
                            <w:t>202 534-3731</w:t>
                          </w:r>
                        </w:p>
                        <w:p w14:paraId="3AB7F96B" w14:textId="77777777" w:rsidR="00CC3F29" w:rsidRPr="00A103BA" w:rsidRDefault="00CC3F29" w:rsidP="00CC3F29">
                          <w:pPr>
                            <w:autoSpaceDE w:val="0"/>
                            <w:autoSpaceDN w:val="0"/>
                            <w:adjustRightInd w:val="0"/>
                            <w:spacing w:after="0" w:line="205" w:lineRule="atLeast"/>
                            <w:textAlignment w:val="center"/>
                            <w:rPr>
                              <w:rFonts w:ascii="StoneSansITCStd Medium" w:eastAsia="Times New Roman" w:hAnsi="StoneSansITCStd Medium" w:cs="StoneSansITCStd Medium"/>
                              <w:color w:val="000000"/>
                              <w:sz w:val="15"/>
                              <w:szCs w:val="15"/>
                            </w:rPr>
                          </w:pPr>
                          <w:r w:rsidRPr="00A103BA">
                            <w:rPr>
                              <w:rFonts w:ascii="StoneSansITCStd Medium" w:eastAsia="Times New Roman" w:hAnsi="StoneSansITCStd Medium" w:cs="StoneSansITCStd Medium"/>
                              <w:color w:val="000000"/>
                              <w:sz w:val="15"/>
                              <w:szCs w:val="15"/>
                            </w:rPr>
                            <w:t>thearc.org</w:t>
                          </w:r>
                        </w:p>
                        <w:p w14:paraId="3EE8529E" w14:textId="77777777" w:rsidR="00CC3F29" w:rsidRDefault="00CC3F29" w:rsidP="00CC3F29">
                          <w:pPr>
                            <w:tabs>
                              <w:tab w:val="left" w:pos="144"/>
                            </w:tabs>
                            <w:spacing w:line="200" w:lineRule="exact"/>
                            <w:rPr>
                              <w:rFonts w:ascii="Trebuchet MS" w:hAnsi="Trebuchet MS"/>
                              <w:color w:val="EA7125"/>
                              <w:sz w:val="14"/>
                            </w:rPr>
                          </w:pPr>
                        </w:p>
                        <w:p w14:paraId="71B63B95" w14:textId="77777777" w:rsidR="00CC3F29" w:rsidRDefault="00CC3F29" w:rsidP="00CC3F29">
                          <w:pPr>
                            <w:tabs>
                              <w:tab w:val="left" w:pos="144"/>
                            </w:tabs>
                            <w:spacing w:line="200" w:lineRule="exact"/>
                            <w:rPr>
                              <w:rFonts w:ascii="Trebuchet MS" w:hAnsi="Trebuchet MS"/>
                              <w:color w:val="EA7125"/>
                              <w:sz w:val="14"/>
                            </w:rPr>
                          </w:pPr>
                        </w:p>
                        <w:p w14:paraId="7718A834" w14:textId="77777777" w:rsidR="00CC3F29" w:rsidRDefault="00CC3F29" w:rsidP="00CC3F29">
                          <w:pPr>
                            <w:tabs>
                              <w:tab w:val="left" w:pos="144"/>
                            </w:tabs>
                            <w:spacing w:line="200" w:lineRule="exact"/>
                            <w:rPr>
                              <w:rFonts w:ascii="Trebuchet MS" w:hAnsi="Trebuchet MS"/>
                              <w:color w:val="EA7125"/>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2549F" id="_x0000_t202" coordsize="21600,21600" o:spt="202" path="m,l,21600r21600,l21600,xe">
              <v:stroke joinstyle="miter"/>
              <v:path gradientshapeok="t" o:connecttype="rect"/>
            </v:shapetype>
            <v:shape id="Text Box 5" o:spid="_x0000_s1026" type="#_x0000_t202" style="position:absolute;margin-left:375.5pt;margin-top:39.1pt;width:123.55pt;height:86.25pt;z-index:-251657216;visibility:visible;mso-wrap-style:square;mso-width-percent:0;mso-height-percent:0;mso-wrap-distance-left:28.8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BHi1wEAAJIDAAAOAAAAZHJzL2Uyb0RvYy54bWysU9tu2zAMfR+wfxD0vtjpkK414hRdiw4D&#10;ugvQ7QNkWbaF2aJGKrGzrx8lx+kub8NeBEqiDs85pLY309CLg0Gy4Eq5XuVSGKehtq4t5dcvD6+u&#10;pKCgXK16cKaUR0PyZvfyxXb0hbmADvraoGAQR8XoS9mF4IssI92ZQdEKvHF82QAOKvAW26xGNTL6&#10;0GcXeX6ZjYC1R9CGiE/v50u5S/hNY3T41DRkguhLydxCWjGtVVyz3VYVLSrfWX2iof6BxaCs46Jn&#10;qHsVlNij/QtqsBqBoAkrDUMGTWO1SRpYzTr/Q81Tp7xJWtgc8meb6P/B6o+HJ/8ZRZjewsQNTCLI&#10;P4L+RsLBXadca24RYeyMqrnwOlqWjZ6K09NoNRUUQarxA9TcZLUPkICmBofoCusUjM4NOJ5NN1MQ&#10;OpbcXF7nVxspNN+t8+vN6zebVEMVy3OPFN4ZGEQMSonc1QSvDo8UIh1VLCmxmoMH2/eps7377YAT&#10;40miHxnP3MNUTZwdZVRQH1kIwjwoPNgcdIA/pBh5SEpJ3/cKjRT9e8dmxIlaAlyCagmU0/y0lEGK&#10;ObwL8+TtPdq2Y+TZbge3bFhjk5RnFiee3Pik8DSkcbJ+3aes56+0+wkAAP//AwBQSwMEFAAGAAgA&#10;AAAhAJdIPSXgAAAACgEAAA8AAABkcnMvZG93bnJldi54bWxMj8FOwzAQRO9I/IO1SNyonUhtkxCn&#10;qhCckBBpOHB04m1iNV6H2G3D32NOcJvVjGbflLvFjuyCszeOJCQrAQypc9pQL+GjeXnIgPmgSKvR&#10;EUr4Rg+76vamVIV2V6rxcgg9iyXkCyVhCGEqOPfdgFb5lZuQond0s1UhnnPP9ayusdyOPBViw60y&#10;FD8MasKnAbvT4Wwl7D+pfjZfb+17faxN0+SCXjcnKe/vlv0jsIBL+AvDL35Ehyoyte5M2rNRwnad&#10;xC0hiiwFFgN5niXAWgnpWmyBVyX/P6H6AQAA//8DAFBLAQItABQABgAIAAAAIQC2gziS/gAAAOEB&#10;AAATAAAAAAAAAAAAAAAAAAAAAABbQ29udGVudF9UeXBlc10ueG1sUEsBAi0AFAAGAAgAAAAhADj9&#10;If/WAAAAlAEAAAsAAAAAAAAAAAAAAAAALwEAAF9yZWxzLy5yZWxzUEsBAi0AFAAGAAgAAAAhAF90&#10;EeLXAQAAkgMAAA4AAAAAAAAAAAAAAAAALgIAAGRycy9lMm9Eb2MueG1sUEsBAi0AFAAGAAgAAAAh&#10;AJdIPSXgAAAACgEAAA8AAAAAAAAAAAAAAAAAMQQAAGRycy9kb3ducmV2LnhtbFBLBQYAAAAABAAE&#10;APMAAAA+BQAAAAA=&#10;" filled="f" stroked="f">
              <v:textbox inset="0,0,0,0">
                <w:txbxContent>
                  <w:p w14:paraId="474FA585" w14:textId="77777777" w:rsidR="00CC3F29" w:rsidRDefault="00CC3F29" w:rsidP="00CC3F29">
                    <w:pPr>
                      <w:autoSpaceDE w:val="0"/>
                      <w:autoSpaceDN w:val="0"/>
                      <w:adjustRightInd w:val="0"/>
                      <w:spacing w:after="0" w:line="205" w:lineRule="atLeast"/>
                      <w:textAlignment w:val="center"/>
                      <w:rPr>
                        <w:rFonts w:ascii="StoneSansITCStd Medium" w:eastAsia="Times New Roman" w:hAnsi="StoneSansITCStd Medium" w:cs="StoneSansITCStd Medium"/>
                        <w:color w:val="FF5B00"/>
                        <w:sz w:val="15"/>
                        <w:szCs w:val="15"/>
                      </w:rPr>
                    </w:pPr>
                  </w:p>
                  <w:p w14:paraId="558DC6DE" w14:textId="77777777" w:rsidR="00CC3F29" w:rsidRPr="00A103BA" w:rsidRDefault="00CC3F29" w:rsidP="00CC3F29">
                    <w:pPr>
                      <w:autoSpaceDE w:val="0"/>
                      <w:autoSpaceDN w:val="0"/>
                      <w:adjustRightInd w:val="0"/>
                      <w:spacing w:after="0" w:line="205" w:lineRule="atLeast"/>
                      <w:textAlignment w:val="center"/>
                      <w:rPr>
                        <w:rFonts w:ascii="StoneSansITCStd Medium" w:eastAsia="Times New Roman" w:hAnsi="StoneSansITCStd Medium" w:cs="StoneSansITCStd Medium"/>
                        <w:color w:val="FF5B00"/>
                        <w:sz w:val="15"/>
                        <w:szCs w:val="15"/>
                      </w:rPr>
                    </w:pPr>
                    <w:r w:rsidRPr="00A103BA">
                      <w:rPr>
                        <w:rFonts w:ascii="StoneSansITCStd Medium" w:eastAsia="Times New Roman" w:hAnsi="StoneSansITCStd Medium" w:cs="StoneSansITCStd Medium"/>
                        <w:color w:val="FF5B00"/>
                        <w:sz w:val="15"/>
                        <w:szCs w:val="15"/>
                      </w:rPr>
                      <w:t>The Arc</w:t>
                    </w:r>
                  </w:p>
                  <w:p w14:paraId="3B130D89" w14:textId="77777777" w:rsidR="00CC3F29" w:rsidRPr="00A103BA" w:rsidRDefault="00CC3F29" w:rsidP="00CC3F29">
                    <w:pPr>
                      <w:autoSpaceDE w:val="0"/>
                      <w:autoSpaceDN w:val="0"/>
                      <w:adjustRightInd w:val="0"/>
                      <w:spacing w:after="0" w:line="205" w:lineRule="atLeast"/>
                      <w:textAlignment w:val="center"/>
                      <w:rPr>
                        <w:rFonts w:ascii="StoneSansITCStd Medium" w:eastAsia="Times New Roman" w:hAnsi="StoneSansITCStd Medium" w:cs="StoneSansITCStd Medium"/>
                        <w:color w:val="000000"/>
                        <w:sz w:val="15"/>
                        <w:szCs w:val="15"/>
                      </w:rPr>
                    </w:pPr>
                    <w:r>
                      <w:rPr>
                        <w:rFonts w:ascii="StoneSansITCStd Medium" w:eastAsia="Times New Roman" w:hAnsi="StoneSansITCStd Medium" w:cs="StoneSansITCStd Medium"/>
                        <w:color w:val="000000"/>
                        <w:sz w:val="15"/>
                        <w:szCs w:val="15"/>
                      </w:rPr>
                      <w:t>2000 Pennsylvania Ave.</w:t>
                    </w:r>
                    <w:r w:rsidRPr="00A103BA">
                      <w:rPr>
                        <w:rFonts w:ascii="StoneSansITCStd Medium" w:eastAsia="Times New Roman" w:hAnsi="StoneSansITCStd Medium" w:cs="StoneSansITCStd Medium"/>
                        <w:color w:val="000000"/>
                        <w:sz w:val="15"/>
                        <w:szCs w:val="15"/>
                      </w:rPr>
                      <w:t xml:space="preserve"> NW, Suite </w:t>
                    </w:r>
                    <w:r>
                      <w:rPr>
                        <w:rFonts w:ascii="StoneSansITCStd Medium" w:eastAsia="Times New Roman" w:hAnsi="StoneSansITCStd Medium" w:cs="StoneSansITCStd Medium"/>
                        <w:color w:val="000000"/>
                        <w:sz w:val="15"/>
                        <w:szCs w:val="15"/>
                      </w:rPr>
                      <w:t>500</w:t>
                    </w:r>
                  </w:p>
                  <w:p w14:paraId="64FB2745" w14:textId="77777777" w:rsidR="00CC3F29" w:rsidRPr="00A103BA" w:rsidRDefault="00CC3F29" w:rsidP="00CC3F29">
                    <w:pPr>
                      <w:autoSpaceDE w:val="0"/>
                      <w:autoSpaceDN w:val="0"/>
                      <w:adjustRightInd w:val="0"/>
                      <w:spacing w:after="0" w:line="205" w:lineRule="atLeast"/>
                      <w:textAlignment w:val="center"/>
                      <w:rPr>
                        <w:rFonts w:ascii="StoneSansITCStd Medium" w:eastAsia="Times New Roman" w:hAnsi="StoneSansITCStd Medium" w:cs="StoneSansITCStd Medium"/>
                        <w:color w:val="000000"/>
                        <w:sz w:val="15"/>
                        <w:szCs w:val="15"/>
                      </w:rPr>
                    </w:pPr>
                    <w:r w:rsidRPr="00A103BA">
                      <w:rPr>
                        <w:rFonts w:ascii="StoneSansITCStd Medium" w:eastAsia="Times New Roman" w:hAnsi="StoneSansITCStd Medium" w:cs="StoneSansITCStd Medium"/>
                        <w:color w:val="000000"/>
                        <w:sz w:val="15"/>
                        <w:szCs w:val="15"/>
                      </w:rPr>
                      <w:t>Washington, DC 20006</w:t>
                    </w:r>
                  </w:p>
                  <w:p w14:paraId="121E6E7E" w14:textId="77777777" w:rsidR="00CC3F29" w:rsidRPr="00A103BA" w:rsidRDefault="00CC3F29" w:rsidP="00CC3F29">
                    <w:pPr>
                      <w:autoSpaceDE w:val="0"/>
                      <w:autoSpaceDN w:val="0"/>
                      <w:adjustRightInd w:val="0"/>
                      <w:spacing w:after="0" w:line="205" w:lineRule="atLeast"/>
                      <w:textAlignment w:val="center"/>
                      <w:rPr>
                        <w:rFonts w:ascii="StoneSansITCStd Medium" w:eastAsia="Times New Roman" w:hAnsi="StoneSansITCStd Medium" w:cs="StoneSansITCStd Medium"/>
                        <w:color w:val="000000"/>
                        <w:sz w:val="15"/>
                        <w:szCs w:val="15"/>
                      </w:rPr>
                    </w:pPr>
                  </w:p>
                  <w:p w14:paraId="348184E2" w14:textId="77777777" w:rsidR="00CC3F29" w:rsidRPr="00A103BA" w:rsidRDefault="00CC3F29" w:rsidP="00CC3F29">
                    <w:pPr>
                      <w:tabs>
                        <w:tab w:val="left" w:pos="120"/>
                      </w:tabs>
                      <w:autoSpaceDE w:val="0"/>
                      <w:autoSpaceDN w:val="0"/>
                      <w:adjustRightInd w:val="0"/>
                      <w:spacing w:after="0" w:line="205" w:lineRule="atLeast"/>
                      <w:textAlignment w:val="center"/>
                      <w:rPr>
                        <w:rFonts w:ascii="StoneSansITCStd Medium" w:eastAsia="Times New Roman" w:hAnsi="StoneSansITCStd Medium" w:cs="StoneSansITCStd Medium"/>
                        <w:color w:val="000000"/>
                        <w:sz w:val="15"/>
                        <w:szCs w:val="15"/>
                      </w:rPr>
                    </w:pPr>
                    <w:r w:rsidRPr="00A103BA">
                      <w:rPr>
                        <w:rFonts w:ascii="StoneSansITCStd Medium" w:eastAsia="Times New Roman" w:hAnsi="StoneSansITCStd Medium" w:cs="StoneSansITCStd Medium"/>
                        <w:color w:val="FF5B00"/>
                        <w:sz w:val="15"/>
                        <w:szCs w:val="15"/>
                      </w:rPr>
                      <w:t>T</w:t>
                    </w:r>
                    <w:r w:rsidRPr="00A103BA">
                      <w:rPr>
                        <w:rFonts w:ascii="StoneSansITCStd Medium" w:eastAsia="Times New Roman" w:hAnsi="StoneSansITCStd Medium" w:cs="StoneSansITCStd Medium"/>
                        <w:color w:val="000000"/>
                        <w:sz w:val="15"/>
                        <w:szCs w:val="15"/>
                      </w:rPr>
                      <w:tab/>
                      <w:t>202 534-3700</w:t>
                    </w:r>
                  </w:p>
                  <w:p w14:paraId="67D392EA" w14:textId="77777777" w:rsidR="00CC3F29" w:rsidRPr="00A103BA" w:rsidRDefault="00CC3F29" w:rsidP="00CC3F29">
                    <w:pPr>
                      <w:tabs>
                        <w:tab w:val="left" w:pos="120"/>
                      </w:tabs>
                      <w:autoSpaceDE w:val="0"/>
                      <w:autoSpaceDN w:val="0"/>
                      <w:adjustRightInd w:val="0"/>
                      <w:spacing w:after="0" w:line="205" w:lineRule="atLeast"/>
                      <w:textAlignment w:val="center"/>
                      <w:rPr>
                        <w:rFonts w:ascii="StoneSansITCStd Medium" w:eastAsia="Times New Roman" w:hAnsi="StoneSansITCStd Medium" w:cs="StoneSansITCStd Medium"/>
                        <w:color w:val="000000"/>
                        <w:sz w:val="15"/>
                        <w:szCs w:val="15"/>
                      </w:rPr>
                    </w:pPr>
                    <w:r w:rsidRPr="00A103BA">
                      <w:rPr>
                        <w:rFonts w:ascii="StoneSansITCStd Medium" w:eastAsia="Times New Roman" w:hAnsi="StoneSansITCStd Medium" w:cs="StoneSansITCStd Medium"/>
                        <w:color w:val="FF5B00"/>
                        <w:sz w:val="15"/>
                        <w:szCs w:val="15"/>
                      </w:rPr>
                      <w:t>F</w:t>
                    </w:r>
                    <w:r w:rsidRPr="00A103BA">
                      <w:rPr>
                        <w:rFonts w:ascii="StoneSansITCStd Medium" w:eastAsia="Times New Roman" w:hAnsi="StoneSansITCStd Medium" w:cs="StoneSansITCStd Medium"/>
                        <w:color w:val="000000"/>
                        <w:sz w:val="15"/>
                        <w:szCs w:val="15"/>
                      </w:rPr>
                      <w:tab/>
                      <w:t>202 534-3731</w:t>
                    </w:r>
                  </w:p>
                  <w:p w14:paraId="3AB7F96B" w14:textId="77777777" w:rsidR="00CC3F29" w:rsidRPr="00A103BA" w:rsidRDefault="00CC3F29" w:rsidP="00CC3F29">
                    <w:pPr>
                      <w:autoSpaceDE w:val="0"/>
                      <w:autoSpaceDN w:val="0"/>
                      <w:adjustRightInd w:val="0"/>
                      <w:spacing w:after="0" w:line="205" w:lineRule="atLeast"/>
                      <w:textAlignment w:val="center"/>
                      <w:rPr>
                        <w:rFonts w:ascii="StoneSansITCStd Medium" w:eastAsia="Times New Roman" w:hAnsi="StoneSansITCStd Medium" w:cs="StoneSansITCStd Medium"/>
                        <w:color w:val="000000"/>
                        <w:sz w:val="15"/>
                        <w:szCs w:val="15"/>
                      </w:rPr>
                    </w:pPr>
                    <w:r w:rsidRPr="00A103BA">
                      <w:rPr>
                        <w:rFonts w:ascii="StoneSansITCStd Medium" w:eastAsia="Times New Roman" w:hAnsi="StoneSansITCStd Medium" w:cs="StoneSansITCStd Medium"/>
                        <w:color w:val="000000"/>
                        <w:sz w:val="15"/>
                        <w:szCs w:val="15"/>
                      </w:rPr>
                      <w:t>thearc.org</w:t>
                    </w:r>
                  </w:p>
                  <w:p w14:paraId="3EE8529E" w14:textId="77777777" w:rsidR="00CC3F29" w:rsidRDefault="00CC3F29" w:rsidP="00CC3F29">
                    <w:pPr>
                      <w:tabs>
                        <w:tab w:val="left" w:pos="144"/>
                      </w:tabs>
                      <w:spacing w:line="200" w:lineRule="exact"/>
                      <w:rPr>
                        <w:rFonts w:ascii="Trebuchet MS" w:hAnsi="Trebuchet MS"/>
                        <w:color w:val="EA7125"/>
                        <w:sz w:val="14"/>
                      </w:rPr>
                    </w:pPr>
                  </w:p>
                  <w:p w14:paraId="71B63B95" w14:textId="77777777" w:rsidR="00CC3F29" w:rsidRDefault="00CC3F29" w:rsidP="00CC3F29">
                    <w:pPr>
                      <w:tabs>
                        <w:tab w:val="left" w:pos="144"/>
                      </w:tabs>
                      <w:spacing w:line="200" w:lineRule="exact"/>
                      <w:rPr>
                        <w:rFonts w:ascii="Trebuchet MS" w:hAnsi="Trebuchet MS"/>
                        <w:color w:val="EA7125"/>
                        <w:sz w:val="14"/>
                      </w:rPr>
                    </w:pPr>
                  </w:p>
                  <w:p w14:paraId="7718A834" w14:textId="77777777" w:rsidR="00CC3F29" w:rsidRDefault="00CC3F29" w:rsidP="00CC3F29">
                    <w:pPr>
                      <w:tabs>
                        <w:tab w:val="left" w:pos="144"/>
                      </w:tabs>
                      <w:spacing w:line="200" w:lineRule="exact"/>
                      <w:rPr>
                        <w:rFonts w:ascii="Trebuchet MS" w:hAnsi="Trebuchet MS"/>
                        <w:color w:val="EA7125"/>
                        <w:sz w:val="14"/>
                      </w:rPr>
                    </w:pPr>
                  </w:p>
                </w:txbxContent>
              </v:textbox>
              <w10:wrap type="tight" anchorx="margin" anchory="page"/>
            </v:shape>
          </w:pict>
        </mc:Fallback>
      </mc:AlternateContent>
    </w:r>
    <w:r w:rsidR="00A5559D">
      <w:rPr>
        <w:noProof/>
      </w:rPr>
      <w:drawing>
        <wp:inline distT="0" distB="0" distL="0" distR="0" wp14:anchorId="6CDEF972" wp14:editId="4802320E">
          <wp:extent cx="1562100" cy="1122113"/>
          <wp:effectExtent l="0" t="0" r="0" b="0"/>
          <wp:docPr id="718602091" name="Picture 718602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Lockup_For letterhead only.png"/>
                  <pic:cNvPicPr/>
                </pic:nvPicPr>
                <pic:blipFill>
                  <a:blip r:embed="rId1">
                    <a:extLst>
                      <a:ext uri="{28A0092B-C50C-407E-A947-70E740481C1C}">
                        <a14:useLocalDpi xmlns:a14="http://schemas.microsoft.com/office/drawing/2010/main" val="0"/>
                      </a:ext>
                    </a:extLst>
                  </a:blip>
                  <a:stretch>
                    <a:fillRect/>
                  </a:stretch>
                </pic:blipFill>
                <pic:spPr>
                  <a:xfrm>
                    <a:off x="0" y="0"/>
                    <a:ext cx="1569813" cy="1127653"/>
                  </a:xfrm>
                  <a:prstGeom prst="rect">
                    <a:avLst/>
                  </a:prstGeom>
                </pic:spPr>
              </pic:pic>
            </a:graphicData>
          </a:graphic>
        </wp:inline>
      </w:drawing>
    </w:r>
  </w:p>
  <w:p w14:paraId="7BCE949A" w14:textId="36ECF22F" w:rsidR="00A5559D" w:rsidRDefault="00A55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338B1"/>
    <w:multiLevelType w:val="multilevel"/>
    <w:tmpl w:val="49B2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73C2C"/>
    <w:multiLevelType w:val="hybridMultilevel"/>
    <w:tmpl w:val="B8DE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90441C"/>
    <w:multiLevelType w:val="multilevel"/>
    <w:tmpl w:val="6906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2B092E"/>
    <w:multiLevelType w:val="multilevel"/>
    <w:tmpl w:val="C5A0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F33A62"/>
    <w:multiLevelType w:val="hybridMultilevel"/>
    <w:tmpl w:val="E08C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E37C6A"/>
    <w:multiLevelType w:val="hybridMultilevel"/>
    <w:tmpl w:val="BA389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2999658">
    <w:abstractNumId w:val="0"/>
  </w:num>
  <w:num w:numId="2" w16cid:durableId="632371721">
    <w:abstractNumId w:val="3"/>
  </w:num>
  <w:num w:numId="3" w16cid:durableId="828905746">
    <w:abstractNumId w:val="2"/>
  </w:num>
  <w:num w:numId="4" w16cid:durableId="572786026">
    <w:abstractNumId w:val="4"/>
  </w:num>
  <w:num w:numId="5" w16cid:durableId="1479419965">
    <w:abstractNumId w:val="5"/>
  </w:num>
  <w:num w:numId="6" w16cid:durableId="1849633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75F"/>
    <w:rsid w:val="0003150B"/>
    <w:rsid w:val="000C075F"/>
    <w:rsid w:val="000C2FB9"/>
    <w:rsid w:val="000F5250"/>
    <w:rsid w:val="00104931"/>
    <w:rsid w:val="0014026E"/>
    <w:rsid w:val="00151AF5"/>
    <w:rsid w:val="00164E6C"/>
    <w:rsid w:val="001834FA"/>
    <w:rsid w:val="001B6D09"/>
    <w:rsid w:val="001F5977"/>
    <w:rsid w:val="00224AC7"/>
    <w:rsid w:val="00262E04"/>
    <w:rsid w:val="00263616"/>
    <w:rsid w:val="00264827"/>
    <w:rsid w:val="00335E2D"/>
    <w:rsid w:val="00370940"/>
    <w:rsid w:val="00443406"/>
    <w:rsid w:val="00453530"/>
    <w:rsid w:val="004C11FE"/>
    <w:rsid w:val="005F50D1"/>
    <w:rsid w:val="005F66DD"/>
    <w:rsid w:val="006528AA"/>
    <w:rsid w:val="006926EC"/>
    <w:rsid w:val="00693BC1"/>
    <w:rsid w:val="006F2C5A"/>
    <w:rsid w:val="006F554A"/>
    <w:rsid w:val="007016DD"/>
    <w:rsid w:val="007271CA"/>
    <w:rsid w:val="007D5DC0"/>
    <w:rsid w:val="007E0DCC"/>
    <w:rsid w:val="00820625"/>
    <w:rsid w:val="00833AAA"/>
    <w:rsid w:val="00842F26"/>
    <w:rsid w:val="00892B85"/>
    <w:rsid w:val="008F599B"/>
    <w:rsid w:val="00900FE9"/>
    <w:rsid w:val="009165F9"/>
    <w:rsid w:val="00940423"/>
    <w:rsid w:val="009A56C5"/>
    <w:rsid w:val="00A11ECD"/>
    <w:rsid w:val="00A21801"/>
    <w:rsid w:val="00A5559D"/>
    <w:rsid w:val="00AA65A9"/>
    <w:rsid w:val="00AF0388"/>
    <w:rsid w:val="00AF0E40"/>
    <w:rsid w:val="00B1551F"/>
    <w:rsid w:val="00B17597"/>
    <w:rsid w:val="00B336CA"/>
    <w:rsid w:val="00B5618B"/>
    <w:rsid w:val="00B63B4A"/>
    <w:rsid w:val="00B67594"/>
    <w:rsid w:val="00B75A3B"/>
    <w:rsid w:val="00B80E26"/>
    <w:rsid w:val="00B8679E"/>
    <w:rsid w:val="00BB69FD"/>
    <w:rsid w:val="00BC339B"/>
    <w:rsid w:val="00BE2702"/>
    <w:rsid w:val="00C05C0E"/>
    <w:rsid w:val="00CC29B1"/>
    <w:rsid w:val="00CC3F29"/>
    <w:rsid w:val="00CC5F43"/>
    <w:rsid w:val="00CD6361"/>
    <w:rsid w:val="00D352F5"/>
    <w:rsid w:val="00D64951"/>
    <w:rsid w:val="00D758FB"/>
    <w:rsid w:val="00DA7563"/>
    <w:rsid w:val="00DD4E99"/>
    <w:rsid w:val="00DF0DC1"/>
    <w:rsid w:val="00E416DF"/>
    <w:rsid w:val="00E723EE"/>
    <w:rsid w:val="00EB43DB"/>
    <w:rsid w:val="00ED446C"/>
    <w:rsid w:val="00F32D18"/>
    <w:rsid w:val="00F72D03"/>
    <w:rsid w:val="00F76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C5BF7"/>
  <w15:chartTrackingRefBased/>
  <w15:docId w15:val="{A6E4A386-7F8E-48C8-BFC5-A107A272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07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7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7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7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7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7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7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7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7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7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7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7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7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7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7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7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7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75F"/>
    <w:rPr>
      <w:rFonts w:eastAsiaTheme="majorEastAsia" w:cstheme="majorBidi"/>
      <w:color w:val="272727" w:themeColor="text1" w:themeTint="D8"/>
    </w:rPr>
  </w:style>
  <w:style w:type="paragraph" w:styleId="Title">
    <w:name w:val="Title"/>
    <w:basedOn w:val="Normal"/>
    <w:next w:val="Normal"/>
    <w:link w:val="TitleChar"/>
    <w:uiPriority w:val="10"/>
    <w:qFormat/>
    <w:rsid w:val="000C0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7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7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7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75F"/>
    <w:pPr>
      <w:spacing w:before="160"/>
      <w:jc w:val="center"/>
    </w:pPr>
    <w:rPr>
      <w:i/>
      <w:iCs/>
      <w:color w:val="404040" w:themeColor="text1" w:themeTint="BF"/>
    </w:rPr>
  </w:style>
  <w:style w:type="character" w:customStyle="1" w:styleId="QuoteChar">
    <w:name w:val="Quote Char"/>
    <w:basedOn w:val="DefaultParagraphFont"/>
    <w:link w:val="Quote"/>
    <w:uiPriority w:val="29"/>
    <w:rsid w:val="000C075F"/>
    <w:rPr>
      <w:i/>
      <w:iCs/>
      <w:color w:val="404040" w:themeColor="text1" w:themeTint="BF"/>
    </w:rPr>
  </w:style>
  <w:style w:type="paragraph" w:styleId="ListParagraph">
    <w:name w:val="List Paragraph"/>
    <w:basedOn w:val="Normal"/>
    <w:uiPriority w:val="34"/>
    <w:qFormat/>
    <w:rsid w:val="000C075F"/>
    <w:pPr>
      <w:ind w:left="720"/>
      <w:contextualSpacing/>
    </w:pPr>
  </w:style>
  <w:style w:type="character" w:styleId="IntenseEmphasis">
    <w:name w:val="Intense Emphasis"/>
    <w:basedOn w:val="DefaultParagraphFont"/>
    <w:uiPriority w:val="21"/>
    <w:qFormat/>
    <w:rsid w:val="000C075F"/>
    <w:rPr>
      <w:i/>
      <w:iCs/>
      <w:color w:val="0F4761" w:themeColor="accent1" w:themeShade="BF"/>
    </w:rPr>
  </w:style>
  <w:style w:type="paragraph" w:styleId="IntenseQuote">
    <w:name w:val="Intense Quote"/>
    <w:basedOn w:val="Normal"/>
    <w:next w:val="Normal"/>
    <w:link w:val="IntenseQuoteChar"/>
    <w:uiPriority w:val="30"/>
    <w:qFormat/>
    <w:rsid w:val="000C07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75F"/>
    <w:rPr>
      <w:i/>
      <w:iCs/>
      <w:color w:val="0F4761" w:themeColor="accent1" w:themeShade="BF"/>
    </w:rPr>
  </w:style>
  <w:style w:type="character" w:styleId="IntenseReference">
    <w:name w:val="Intense Reference"/>
    <w:basedOn w:val="DefaultParagraphFont"/>
    <w:uiPriority w:val="32"/>
    <w:qFormat/>
    <w:rsid w:val="000C075F"/>
    <w:rPr>
      <w:b/>
      <w:bCs/>
      <w:smallCaps/>
      <w:color w:val="0F4761" w:themeColor="accent1" w:themeShade="BF"/>
      <w:spacing w:val="5"/>
    </w:rPr>
  </w:style>
  <w:style w:type="paragraph" w:styleId="NoSpacing">
    <w:name w:val="No Spacing"/>
    <w:uiPriority w:val="1"/>
    <w:qFormat/>
    <w:rsid w:val="00AF0E40"/>
    <w:pPr>
      <w:spacing w:after="0" w:line="240" w:lineRule="auto"/>
    </w:pPr>
  </w:style>
  <w:style w:type="paragraph" w:styleId="FootnoteText">
    <w:name w:val="footnote text"/>
    <w:basedOn w:val="Normal"/>
    <w:link w:val="FootnoteTextChar"/>
    <w:uiPriority w:val="99"/>
    <w:semiHidden/>
    <w:unhideWhenUsed/>
    <w:rsid w:val="00C05C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5C0E"/>
    <w:rPr>
      <w:sz w:val="20"/>
      <w:szCs w:val="20"/>
    </w:rPr>
  </w:style>
  <w:style w:type="character" w:styleId="FootnoteReference">
    <w:name w:val="footnote reference"/>
    <w:basedOn w:val="DefaultParagraphFont"/>
    <w:uiPriority w:val="99"/>
    <w:semiHidden/>
    <w:unhideWhenUsed/>
    <w:rsid w:val="00C05C0E"/>
    <w:rPr>
      <w:vertAlign w:val="superscript"/>
    </w:rPr>
  </w:style>
  <w:style w:type="paragraph" w:styleId="NormalWeb">
    <w:name w:val="Normal (Web)"/>
    <w:basedOn w:val="Normal"/>
    <w:uiPriority w:val="99"/>
    <w:semiHidden/>
    <w:unhideWhenUsed/>
    <w:rsid w:val="00164E6C"/>
    <w:rPr>
      <w:rFonts w:ascii="Times New Roman" w:hAnsi="Times New Roman" w:cs="Times New Roman"/>
    </w:rPr>
  </w:style>
  <w:style w:type="character" w:styleId="Hyperlink">
    <w:name w:val="Hyperlink"/>
    <w:basedOn w:val="DefaultParagraphFont"/>
    <w:uiPriority w:val="99"/>
    <w:unhideWhenUsed/>
    <w:rsid w:val="00BC339B"/>
    <w:rPr>
      <w:color w:val="467886" w:themeColor="hyperlink"/>
      <w:u w:val="single"/>
    </w:rPr>
  </w:style>
  <w:style w:type="character" w:styleId="UnresolvedMention">
    <w:name w:val="Unresolved Mention"/>
    <w:basedOn w:val="DefaultParagraphFont"/>
    <w:uiPriority w:val="99"/>
    <w:semiHidden/>
    <w:unhideWhenUsed/>
    <w:rsid w:val="00BC339B"/>
    <w:rPr>
      <w:color w:val="605E5C"/>
      <w:shd w:val="clear" w:color="auto" w:fill="E1DFDD"/>
    </w:rPr>
  </w:style>
  <w:style w:type="paragraph" w:styleId="Header">
    <w:name w:val="header"/>
    <w:basedOn w:val="Normal"/>
    <w:link w:val="HeaderChar"/>
    <w:uiPriority w:val="99"/>
    <w:unhideWhenUsed/>
    <w:rsid w:val="00A55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59D"/>
  </w:style>
  <w:style w:type="paragraph" w:styleId="Footer">
    <w:name w:val="footer"/>
    <w:basedOn w:val="Normal"/>
    <w:link w:val="FooterChar"/>
    <w:uiPriority w:val="99"/>
    <w:unhideWhenUsed/>
    <w:rsid w:val="00A55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nscott@thearc.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nces.ed.gov/programs/digest/d23/tables/dt23_233.28.asp?current=yes" TargetMode="External"/><Relationship Id="rId2" Type="http://schemas.openxmlformats.org/officeDocument/2006/relationships/hyperlink" Target="https://sites.ed.gov/idea/2024-annual-report-to-congress-on-the-individuals-with-disabilities-education-act-idea/" TargetMode="External"/><Relationship Id="rId1" Type="http://schemas.openxmlformats.org/officeDocument/2006/relationships/hyperlink" Target="https://data.ed.gov/dataset/71ca7d0c-a161-4abe-9e2b-4e68ffb1061a/resource/22294e78-ff8b-48cf-8f5e-5a84f183ec22/download/bchildcountandedenvironment2021-22.csv" TargetMode="External"/><Relationship Id="rId5" Type="http://schemas.openxmlformats.org/officeDocument/2006/relationships/hyperlink" Target="https://www.federalregister.gov/documents/2025/02/03/2025-02233/expanding-educational-freedom-and-opportunity-for-families" TargetMode="External"/><Relationship Id="rId4" Type="http://schemas.openxmlformats.org/officeDocument/2006/relationships/hyperlink" Target="https://www.congress.gov/committee-report/108th-congress/house-report/7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BE8B8-D204-4C27-BC18-9D80B4E72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1379</Words>
  <Characters>6762</Characters>
  <Application>Microsoft Office Word</Application>
  <DocSecurity>0</DocSecurity>
  <Lines>307</Lines>
  <Paragraphs>85</Paragraphs>
  <ScaleCrop>false</ScaleCrop>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Linscott</dc:creator>
  <cp:keywords/>
  <dc:description/>
  <cp:lastModifiedBy>Robyn Linscott</cp:lastModifiedBy>
  <cp:revision>26</cp:revision>
  <dcterms:created xsi:type="dcterms:W3CDTF">2026-02-09T17:48:00Z</dcterms:created>
  <dcterms:modified xsi:type="dcterms:W3CDTF">2026-02-09T18:37:00Z</dcterms:modified>
</cp:coreProperties>
</file>