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F4E11" w:rsidRPr="00F74288" w:rsidP="00F74288" w14:paraId="05DA5314" w14:textId="1D4B7AF3">
      <w:pPr>
        <w:jc w:val="center"/>
        <w:rPr>
          <w:rFonts w:asciiTheme="minorHAnsi" w:hAnsiTheme="minorHAnsi" w:cstheme="minorHAnsi"/>
        </w:rPr>
      </w:pPr>
      <w:r>
        <w:rPr>
          <w:rFonts w:asciiTheme="minorHAnsi" w:hAnsiTheme="minorHAnsi" w:cstheme="minorHAnsi"/>
        </w:rPr>
        <w:t xml:space="preserve">Prison Education Program </w:t>
      </w:r>
      <w:r w:rsidR="004A6AC0">
        <w:rPr>
          <w:rFonts w:asciiTheme="minorHAnsi" w:hAnsiTheme="minorHAnsi" w:cstheme="minorHAnsi"/>
        </w:rPr>
        <w:t xml:space="preserve">(PEP) </w:t>
      </w:r>
      <w:r>
        <w:rPr>
          <w:rFonts w:asciiTheme="minorHAnsi" w:hAnsiTheme="minorHAnsi" w:cstheme="minorHAnsi"/>
        </w:rPr>
        <w:t>Accreditation Requirements</w:t>
      </w: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5BBC" w:rsidRPr="004A6AC0" w:rsidP="00BC1A67" w14:paraId="16A34305" w14:textId="77777777">
      <w:pPr>
        <w:suppressAutoHyphens/>
        <w:spacing w:line="240" w:lineRule="exact"/>
        <w:ind w:left="720"/>
        <w:rPr>
          <w:rFonts w:asciiTheme="minorHAnsi" w:hAnsiTheme="minorHAnsi" w:cstheme="minorHAnsi"/>
          <w:bCs/>
          <w:szCs w:val="24"/>
        </w:rPr>
      </w:pPr>
    </w:p>
    <w:p w:rsidR="004A6AC0" w:rsidRPr="004A6AC0" w:rsidP="004A6AC0" w14:paraId="79357259" w14:textId="3FCB1E39">
      <w:pPr>
        <w:pStyle w:val="ListParagraph"/>
        <w:tabs>
          <w:tab w:val="left" w:pos="720"/>
        </w:tabs>
        <w:suppressAutoHyphens/>
        <w:rPr>
          <w:rFonts w:asciiTheme="minorHAnsi" w:hAnsiTheme="minorHAnsi" w:cstheme="minorHAnsi"/>
        </w:rPr>
      </w:pPr>
      <w:r w:rsidRPr="004A6AC0">
        <w:rPr>
          <w:rFonts w:asciiTheme="minorHAnsi" w:hAnsiTheme="minorHAnsi" w:cstheme="minorHAnsi"/>
        </w:rPr>
        <w:t>The Secretary publish</w:t>
      </w:r>
      <w:r w:rsidR="00643468">
        <w:rPr>
          <w:rFonts w:asciiTheme="minorHAnsi" w:hAnsiTheme="minorHAnsi" w:cstheme="minorHAnsi"/>
        </w:rPr>
        <w:t>es</w:t>
      </w:r>
      <w:r w:rsidRPr="004A6AC0">
        <w:rPr>
          <w:rFonts w:asciiTheme="minorHAnsi" w:hAnsiTheme="minorHAnsi" w:cstheme="minorHAnsi"/>
        </w:rPr>
        <w:t xml:space="preserve"> regulations for Federal Pell Grants for Prison Education Programs (PEPs), </w:t>
      </w:r>
      <w:r w:rsidR="00E106C0">
        <w:rPr>
          <w:rFonts w:asciiTheme="minorHAnsi" w:hAnsiTheme="minorHAnsi" w:cstheme="minorHAnsi"/>
        </w:rPr>
        <w:t xml:space="preserve">in order </w:t>
      </w:r>
      <w:r w:rsidRPr="004A6AC0">
        <w:rPr>
          <w:rFonts w:asciiTheme="minorHAnsi" w:hAnsiTheme="minorHAnsi" w:cstheme="minorHAnsi"/>
        </w:rPr>
        <w:t xml:space="preserve">to implement the statutory requirements in the Consolidated Appropriations Act, 2021, </w:t>
      </w:r>
      <w:r w:rsidR="00061EBF">
        <w:rPr>
          <w:rFonts w:asciiTheme="minorHAnsi" w:hAnsiTheme="minorHAnsi" w:cstheme="minorHAnsi"/>
        </w:rPr>
        <w:t>which</w:t>
      </w:r>
      <w:r w:rsidRPr="004A6AC0" w:rsidR="00061EBF">
        <w:rPr>
          <w:rFonts w:asciiTheme="minorHAnsi" w:hAnsiTheme="minorHAnsi" w:cstheme="minorHAnsi"/>
        </w:rPr>
        <w:t xml:space="preserve"> </w:t>
      </w:r>
      <w:r w:rsidRPr="004A6AC0">
        <w:rPr>
          <w:rFonts w:asciiTheme="minorHAnsi" w:hAnsiTheme="minorHAnsi" w:cstheme="minorHAnsi"/>
        </w:rPr>
        <w:t>amend the Higher Education Act of 1965, as amended (HEA)</w:t>
      </w:r>
      <w:r w:rsidR="00E106C0">
        <w:rPr>
          <w:rFonts w:asciiTheme="minorHAnsi" w:hAnsiTheme="minorHAnsi" w:cstheme="minorHAnsi"/>
        </w:rPr>
        <w:t>.  Th</w:t>
      </w:r>
      <w:r w:rsidR="00D00E5A">
        <w:rPr>
          <w:rFonts w:asciiTheme="minorHAnsi" w:hAnsiTheme="minorHAnsi" w:cstheme="minorHAnsi"/>
        </w:rPr>
        <w:t xml:space="preserve">e </w:t>
      </w:r>
      <w:r w:rsidR="00AC06A3">
        <w:rPr>
          <w:rFonts w:asciiTheme="minorHAnsi" w:hAnsiTheme="minorHAnsi" w:cstheme="minorHAnsi"/>
        </w:rPr>
        <w:t>Act</w:t>
      </w:r>
      <w:r w:rsidR="00D00E5A">
        <w:rPr>
          <w:rFonts w:asciiTheme="minorHAnsi" w:hAnsiTheme="minorHAnsi" w:cstheme="minorHAnsi"/>
        </w:rPr>
        <w:t xml:space="preserve"> </w:t>
      </w:r>
      <w:r w:rsidRPr="004A6AC0">
        <w:rPr>
          <w:rFonts w:asciiTheme="minorHAnsi" w:hAnsiTheme="minorHAnsi" w:cstheme="minorHAnsi"/>
        </w:rPr>
        <w:t>establish</w:t>
      </w:r>
      <w:r w:rsidR="00E106C0">
        <w:rPr>
          <w:rFonts w:asciiTheme="minorHAnsi" w:hAnsiTheme="minorHAnsi" w:cstheme="minorHAnsi"/>
        </w:rPr>
        <w:t>ed</w:t>
      </w:r>
      <w:r w:rsidRPr="004A6AC0">
        <w:rPr>
          <w:rFonts w:asciiTheme="minorHAnsi" w:hAnsiTheme="minorHAnsi" w:cstheme="minorHAnsi"/>
        </w:rPr>
        <w:t xml:space="preserve"> Pell Grant eligibility for a confined or incarcerated individual enrolled in a PEP</w:t>
      </w:r>
      <w:r w:rsidR="00EA302F">
        <w:rPr>
          <w:rFonts w:asciiTheme="minorHAnsi" w:hAnsiTheme="minorHAnsi" w:cstheme="minorHAnsi"/>
        </w:rPr>
        <w:t>, reflected in</w:t>
      </w:r>
      <w:r w:rsidRPr="004A6AC0">
        <w:rPr>
          <w:rFonts w:asciiTheme="minorHAnsi" w:hAnsiTheme="minorHAnsi" w:cstheme="minorHAnsi"/>
        </w:rPr>
        <w:t xml:space="preserve"> 34 CFR Section 668</w:t>
      </w:r>
      <w:r w:rsidR="00EA302F">
        <w:rPr>
          <w:rFonts w:asciiTheme="minorHAnsi" w:hAnsiTheme="minorHAnsi" w:cstheme="minorHAnsi"/>
        </w:rPr>
        <w:t>, Subpart P</w:t>
      </w:r>
      <w:r w:rsidRPr="004A6AC0">
        <w:rPr>
          <w:rFonts w:asciiTheme="minorHAnsi" w:hAnsiTheme="minorHAnsi" w:cstheme="minorHAnsi"/>
        </w:rPr>
        <w:t xml:space="preserve">.  </w:t>
      </w:r>
    </w:p>
    <w:p w:rsidR="006B11A5" w:rsidP="006B11A5" w14:paraId="6F23B0E1" w14:textId="68B1ED4D">
      <w:pPr>
        <w:pStyle w:val="ListParagraph"/>
        <w:suppressAutoHyphens/>
        <w:contextualSpacing w:val="0"/>
        <w:rPr>
          <w:rFonts w:asciiTheme="minorHAnsi" w:hAnsiTheme="minorHAnsi" w:cstheme="minorHAnsi"/>
          <w:szCs w:val="24"/>
        </w:rPr>
      </w:pPr>
    </w:p>
    <w:p w:rsidR="00DF1B45" w:rsidP="00DF1B45" w14:paraId="78205E4C" w14:textId="58A6EDEA">
      <w:pPr>
        <w:suppressAutoHyphens/>
        <w:ind w:left="720"/>
        <w:rPr>
          <w:rFonts w:ascii="Times New Roman" w:hAnsi="Times New Roman"/>
          <w:bCs/>
          <w:szCs w:val="24"/>
        </w:rPr>
      </w:pPr>
      <w:r w:rsidRPr="00856B1A">
        <w:rPr>
          <w:rFonts w:asciiTheme="minorHAnsi" w:hAnsiTheme="minorHAnsi" w:cstheme="minorHAnsi"/>
        </w:rPr>
        <w:t xml:space="preserve">The Consolidated Appropriations Act, 2021 added section 484(t) to the HEA to formally establish Pell Grant eligibility for confined or incarcerated individuals, as long as they are enrolled in a PEP as defined under the HEA.  </w:t>
      </w:r>
      <w:r w:rsidR="004A6AC0">
        <w:rPr>
          <w:rFonts w:asciiTheme="minorHAnsi" w:hAnsiTheme="minorHAnsi" w:cstheme="minorHAnsi"/>
        </w:rPr>
        <w:t>These</w:t>
      </w:r>
      <w:r w:rsidR="00BF3755">
        <w:rPr>
          <w:rFonts w:asciiTheme="minorHAnsi" w:hAnsiTheme="minorHAnsi" w:cstheme="minorHAnsi"/>
        </w:rPr>
        <w:t xml:space="preserve"> </w:t>
      </w:r>
      <w:r w:rsidRPr="00856B1A">
        <w:rPr>
          <w:rFonts w:asciiTheme="minorHAnsi" w:hAnsiTheme="minorHAnsi" w:cstheme="minorHAnsi"/>
        </w:rPr>
        <w:t xml:space="preserve">regulations implement the statutory requirements allowing access to Federal Pell Grants for individuals who are confined or incarcerated when enrolled in programs that meet necessary standards.  </w:t>
      </w:r>
    </w:p>
    <w:p w:rsidR="006B11A5" w:rsidP="006B11A5" w14:paraId="796AB4D0" w14:textId="77777777">
      <w:pPr>
        <w:pStyle w:val="ListParagraph"/>
        <w:suppressAutoHyphens/>
        <w:spacing w:line="240" w:lineRule="exact"/>
        <w:contextualSpacing w:val="0"/>
        <w:rPr>
          <w:rFonts w:asciiTheme="minorHAnsi" w:hAnsiTheme="minorHAnsi" w:cstheme="minorHAnsi"/>
          <w:szCs w:val="24"/>
        </w:rPr>
      </w:pPr>
    </w:p>
    <w:p w:rsidR="007F54F1" w:rsidP="006B11A5" w14:paraId="02D15FD2" w14:textId="4FC43630">
      <w:pPr>
        <w:ind w:left="720"/>
        <w:rPr>
          <w:rFonts w:asciiTheme="minorHAnsi" w:hAnsiTheme="minorHAnsi" w:cstheme="minorHAnsi"/>
          <w:szCs w:val="24"/>
        </w:rPr>
      </w:pPr>
      <w:r>
        <w:rPr>
          <w:rFonts w:asciiTheme="minorHAnsi" w:hAnsiTheme="minorHAnsi" w:cstheme="minorHAnsi"/>
          <w:szCs w:val="24"/>
        </w:rPr>
        <w:t>This</w:t>
      </w:r>
      <w:r w:rsidR="00EA302F">
        <w:rPr>
          <w:rFonts w:asciiTheme="minorHAnsi" w:hAnsiTheme="minorHAnsi" w:cstheme="minorHAnsi"/>
          <w:szCs w:val="24"/>
        </w:rPr>
        <w:t xml:space="preserve"> information</w:t>
      </w:r>
      <w:r>
        <w:rPr>
          <w:rFonts w:asciiTheme="minorHAnsi" w:hAnsiTheme="minorHAnsi" w:cstheme="minorHAnsi"/>
          <w:szCs w:val="24"/>
        </w:rPr>
        <w:t xml:space="preserve"> collection </w:t>
      </w:r>
      <w:r w:rsidR="00EA302F">
        <w:rPr>
          <w:rFonts w:asciiTheme="minorHAnsi" w:hAnsiTheme="minorHAnsi" w:cstheme="minorHAnsi"/>
          <w:szCs w:val="24"/>
        </w:rPr>
        <w:t xml:space="preserve">captures requirements that have been </w:t>
      </w:r>
      <w:r w:rsidR="0007131B">
        <w:rPr>
          <w:rFonts w:asciiTheme="minorHAnsi" w:hAnsiTheme="minorHAnsi" w:cstheme="minorHAnsi"/>
          <w:szCs w:val="24"/>
        </w:rPr>
        <w:t xml:space="preserve">established </w:t>
      </w:r>
      <w:r w:rsidR="00EA302F">
        <w:rPr>
          <w:rFonts w:asciiTheme="minorHAnsi" w:hAnsiTheme="minorHAnsi" w:cstheme="minorHAnsi"/>
          <w:szCs w:val="24"/>
        </w:rPr>
        <w:t xml:space="preserve">under </w:t>
      </w:r>
      <w:r w:rsidRPr="003601DB" w:rsidR="00CC2346">
        <w:rPr>
          <w:rFonts w:asciiTheme="minorHAnsi" w:hAnsiTheme="minorHAnsi" w:cstheme="minorHAnsi"/>
          <w:color w:val="000000"/>
          <w:szCs w:val="24"/>
        </w:rPr>
        <w:t xml:space="preserve"> </w:t>
      </w:r>
      <w:r w:rsidR="00FE57E7">
        <w:rPr>
          <w:rFonts w:asciiTheme="minorHAnsi" w:hAnsiTheme="minorHAnsi" w:cstheme="minorHAnsi"/>
          <w:szCs w:val="24"/>
        </w:rPr>
        <w:t>34 CFR</w:t>
      </w:r>
      <w:r w:rsidRPr="003601DB" w:rsidR="00CC2346">
        <w:rPr>
          <w:rFonts w:asciiTheme="minorHAnsi" w:hAnsiTheme="minorHAnsi" w:cstheme="minorHAnsi"/>
          <w:szCs w:val="24"/>
        </w:rPr>
        <w:t xml:space="preserve"> 668.237 </w:t>
      </w:r>
      <w:r w:rsidR="00E07822">
        <w:rPr>
          <w:rFonts w:asciiTheme="minorHAnsi" w:hAnsiTheme="minorHAnsi" w:cstheme="minorHAnsi"/>
          <w:szCs w:val="24"/>
        </w:rPr>
        <w:t xml:space="preserve">- </w:t>
      </w:r>
      <w:r w:rsidR="00CC2346">
        <w:rPr>
          <w:rFonts w:asciiTheme="minorHAnsi" w:hAnsiTheme="minorHAnsi" w:cstheme="minorHAnsi"/>
          <w:szCs w:val="24"/>
        </w:rPr>
        <w:t xml:space="preserve">Accreditation requirements.  </w:t>
      </w:r>
      <w:r w:rsidR="0007131B">
        <w:rPr>
          <w:rFonts w:asciiTheme="minorHAnsi" w:hAnsiTheme="minorHAnsi" w:cstheme="minorHAnsi"/>
          <w:szCs w:val="24"/>
        </w:rPr>
        <w:t xml:space="preserve">The </w:t>
      </w:r>
      <w:r w:rsidR="00CC2346">
        <w:rPr>
          <w:rFonts w:asciiTheme="minorHAnsi" w:hAnsiTheme="minorHAnsi" w:cstheme="minorHAnsi"/>
          <w:szCs w:val="24"/>
        </w:rPr>
        <w:t>regulatio</w:t>
      </w:r>
      <w:r w:rsidR="00FE57E7">
        <w:rPr>
          <w:rFonts w:asciiTheme="minorHAnsi" w:hAnsiTheme="minorHAnsi" w:cstheme="minorHAnsi"/>
          <w:szCs w:val="24"/>
        </w:rPr>
        <w:t>n</w:t>
      </w:r>
      <w:r w:rsidR="00CC2346">
        <w:rPr>
          <w:rFonts w:asciiTheme="minorHAnsi" w:hAnsiTheme="minorHAnsi" w:cstheme="minorHAnsi"/>
          <w:szCs w:val="24"/>
        </w:rPr>
        <w:t xml:space="preserve">s </w:t>
      </w:r>
      <w:r w:rsidRPr="003601DB" w:rsidR="00CC2346">
        <w:rPr>
          <w:rFonts w:asciiTheme="minorHAnsi" w:hAnsiTheme="minorHAnsi" w:cstheme="minorHAnsi"/>
          <w:szCs w:val="24"/>
        </w:rPr>
        <w:t>prescribe program evaluation at the first two additional</w:t>
      </w:r>
      <w:r w:rsidRPr="00E07822" w:rsidR="00E07822">
        <w:rPr>
          <w:rFonts w:asciiTheme="minorHAnsi" w:hAnsiTheme="minorHAnsi" w:cstheme="minorHAnsi"/>
          <w:szCs w:val="24"/>
        </w:rPr>
        <w:t xml:space="preserve"> </w:t>
      </w:r>
      <w:r w:rsidRPr="003601DB" w:rsidR="00E07822">
        <w:rPr>
          <w:rFonts w:asciiTheme="minorHAnsi" w:hAnsiTheme="minorHAnsi" w:cstheme="minorHAnsi"/>
          <w:szCs w:val="24"/>
        </w:rPr>
        <w:t xml:space="preserve">PEP </w:t>
      </w:r>
      <w:r w:rsidRPr="003601DB" w:rsidR="00CC2346">
        <w:rPr>
          <w:rFonts w:asciiTheme="minorHAnsi" w:hAnsiTheme="minorHAnsi" w:cstheme="minorHAnsi"/>
          <w:szCs w:val="24"/>
        </w:rPr>
        <w:t xml:space="preserve">locations </w:t>
      </w:r>
      <w:r w:rsidR="00E07822">
        <w:rPr>
          <w:rFonts w:asciiTheme="minorHAnsi" w:hAnsiTheme="minorHAnsi" w:cstheme="minorHAnsi"/>
          <w:szCs w:val="24"/>
        </w:rPr>
        <w:t xml:space="preserve">of a participating institution of higher education </w:t>
      </w:r>
      <w:r w:rsidRPr="003601DB" w:rsidR="00CC2346">
        <w:rPr>
          <w:rFonts w:asciiTheme="minorHAnsi" w:hAnsiTheme="minorHAnsi" w:cstheme="minorHAnsi"/>
          <w:szCs w:val="24"/>
        </w:rPr>
        <w:t>to ensure institutional ability to offer and implement the PEP in accordance with the accrediting agency’s standards</w:t>
      </w:r>
      <w:r w:rsidR="00D82A28">
        <w:rPr>
          <w:rFonts w:asciiTheme="minorHAnsi" w:hAnsiTheme="minorHAnsi" w:cstheme="minorHAnsi"/>
          <w:szCs w:val="24"/>
        </w:rPr>
        <w:t>, as well as e</w:t>
      </w:r>
      <w:r w:rsidRPr="00D82A28" w:rsidR="00D82A28">
        <w:rPr>
          <w:rFonts w:asciiTheme="minorHAnsi" w:hAnsiTheme="minorHAnsi" w:cstheme="minorHAnsi"/>
          <w:szCs w:val="24"/>
        </w:rPr>
        <w:t>valuat</w:t>
      </w:r>
      <w:r w:rsidR="00D82A28">
        <w:rPr>
          <w:rFonts w:asciiTheme="minorHAnsi" w:hAnsiTheme="minorHAnsi" w:cstheme="minorHAnsi"/>
          <w:szCs w:val="24"/>
        </w:rPr>
        <w:t>ing</w:t>
      </w:r>
      <w:r w:rsidRPr="00D82A28" w:rsidR="00D82A28">
        <w:rPr>
          <w:rFonts w:asciiTheme="minorHAnsi" w:hAnsiTheme="minorHAnsi" w:cstheme="minorHAnsi"/>
          <w:szCs w:val="24"/>
        </w:rPr>
        <w:t xml:space="preserve"> the first additional prison education program offered by a new method of delivery</w:t>
      </w:r>
      <w:r w:rsidRPr="003601DB" w:rsidR="00CC2346">
        <w:rPr>
          <w:rFonts w:asciiTheme="minorHAnsi" w:hAnsiTheme="minorHAnsi" w:cstheme="minorHAnsi"/>
          <w:szCs w:val="24"/>
        </w:rPr>
        <w:t xml:space="preserve">.  The regulations </w:t>
      </w:r>
      <w:r w:rsidR="00EA302F">
        <w:rPr>
          <w:rFonts w:asciiTheme="minorHAnsi" w:hAnsiTheme="minorHAnsi" w:cstheme="minorHAnsi"/>
          <w:szCs w:val="24"/>
        </w:rPr>
        <w:t xml:space="preserve">also require </w:t>
      </w:r>
      <w:r w:rsidRPr="003601DB" w:rsidR="00CC2346">
        <w:rPr>
          <w:rFonts w:asciiTheme="minorHAnsi" w:hAnsiTheme="minorHAnsi" w:cstheme="minorHAnsi"/>
          <w:szCs w:val="24"/>
        </w:rPr>
        <w:t xml:space="preserve"> the accrediting agency to conduct a site visit no later than one year after the institution has initiated a PEP at its first two additional locations at correctional facilities.  </w:t>
      </w:r>
    </w:p>
    <w:p w:rsidR="007F54F1" w:rsidP="006B11A5" w14:paraId="353ACE91" w14:textId="77777777">
      <w:pPr>
        <w:ind w:left="720"/>
        <w:rPr>
          <w:rFonts w:asciiTheme="minorHAnsi" w:hAnsiTheme="minorHAnsi" w:cstheme="minorHAnsi"/>
          <w:szCs w:val="24"/>
        </w:rPr>
      </w:pPr>
    </w:p>
    <w:p w:rsidR="006B11A5" w:rsidRPr="006B11A5" w:rsidP="006B11A5" w14:paraId="4944E3D9" w14:textId="39435622">
      <w:pPr>
        <w:ind w:left="720"/>
        <w:rPr>
          <w:rFonts w:asciiTheme="minorHAnsi" w:hAnsiTheme="minorHAnsi" w:cstheme="minorHAnsi"/>
          <w:szCs w:val="24"/>
        </w:rPr>
      </w:pPr>
      <w:r>
        <w:rPr>
          <w:rFonts w:asciiTheme="minorHAnsi" w:hAnsiTheme="minorHAnsi" w:cstheme="minorHAnsi"/>
          <w:szCs w:val="24"/>
        </w:rPr>
        <w:t>A</w:t>
      </w:r>
      <w:r w:rsidRPr="003601DB" w:rsidR="00CC2346">
        <w:rPr>
          <w:rFonts w:asciiTheme="minorHAnsi" w:hAnsiTheme="minorHAnsi" w:cstheme="minorHAnsi"/>
          <w:szCs w:val="24"/>
        </w:rPr>
        <w:t>ccrediting agencies</w:t>
      </w:r>
      <w:r>
        <w:rPr>
          <w:rFonts w:asciiTheme="minorHAnsi" w:hAnsiTheme="minorHAnsi" w:cstheme="minorHAnsi"/>
          <w:szCs w:val="24"/>
        </w:rPr>
        <w:t xml:space="preserve"> are required</w:t>
      </w:r>
      <w:r w:rsidRPr="003601DB" w:rsidR="00CC2346">
        <w:rPr>
          <w:rFonts w:asciiTheme="minorHAnsi" w:hAnsiTheme="minorHAnsi" w:cstheme="minorHAnsi"/>
          <w:szCs w:val="24"/>
        </w:rPr>
        <w:t xml:space="preserve"> to review the methodology used by an institution in determining the PEP meets the same standards for substantially similar non-PEP programs</w:t>
      </w:r>
      <w:r w:rsidR="00335956">
        <w:rPr>
          <w:rFonts w:asciiTheme="minorHAnsi" w:hAnsiTheme="minorHAnsi" w:cstheme="minorHAnsi"/>
          <w:szCs w:val="24"/>
        </w:rPr>
        <w:t xml:space="preserve"> offered at the institution</w:t>
      </w:r>
      <w:r w:rsidRPr="003601DB" w:rsidR="00CC2346">
        <w:rPr>
          <w:rFonts w:asciiTheme="minorHAnsi" w:hAnsiTheme="minorHAnsi" w:cstheme="minorHAnsi"/>
          <w:szCs w:val="24"/>
        </w:rPr>
        <w:t>.</w:t>
      </w:r>
    </w:p>
    <w:p w:rsidR="000C63BF" w:rsidRPr="000C63BF" w:rsidP="00AD381B" w14:paraId="41DDC4B9" w14:textId="77777777">
      <w:pPr>
        <w:pStyle w:val="ListParagraph"/>
        <w:suppressAutoHyphens/>
        <w:spacing w:line="240" w:lineRule="exact"/>
        <w:contextualSpacing w:val="0"/>
        <w:rPr>
          <w:rFonts w:asciiTheme="minorHAnsi" w:hAnsiTheme="minorHAnsi" w:cstheme="minorHAnsi"/>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EF4C67" w:rsidRPr="00FB6309" w:rsidP="00EF4C67" w14:paraId="29246E85" w14:textId="7F0E2792">
      <w:pPr>
        <w:ind w:left="720"/>
        <w:rPr>
          <w:rFonts w:asciiTheme="minorHAnsi" w:hAnsiTheme="minorHAnsi" w:cstheme="minorHAnsi"/>
          <w:szCs w:val="24"/>
        </w:rPr>
      </w:pPr>
      <w:r>
        <w:rPr>
          <w:rFonts w:asciiTheme="minorHAnsi" w:hAnsiTheme="minorHAnsi" w:cstheme="minorHAnsi"/>
          <w:szCs w:val="24"/>
        </w:rPr>
        <w:t>Th</w:t>
      </w:r>
      <w:r w:rsidR="008E0766">
        <w:rPr>
          <w:rFonts w:asciiTheme="minorHAnsi" w:hAnsiTheme="minorHAnsi" w:cstheme="minorHAnsi"/>
          <w:szCs w:val="24"/>
        </w:rPr>
        <w:t>e</w:t>
      </w:r>
      <w:r>
        <w:rPr>
          <w:rFonts w:asciiTheme="minorHAnsi" w:hAnsiTheme="minorHAnsi" w:cstheme="minorHAnsi"/>
          <w:szCs w:val="24"/>
        </w:rPr>
        <w:t xml:space="preserve"> </w:t>
      </w:r>
      <w:r w:rsidR="00FE57E7">
        <w:rPr>
          <w:rFonts w:asciiTheme="minorHAnsi" w:hAnsiTheme="minorHAnsi" w:cstheme="minorHAnsi"/>
          <w:szCs w:val="24"/>
        </w:rPr>
        <w:t xml:space="preserve">information gathered by the accrediting agency </w:t>
      </w:r>
      <w:r w:rsidR="00254DFA">
        <w:rPr>
          <w:rFonts w:asciiTheme="minorHAnsi" w:hAnsiTheme="minorHAnsi" w:cstheme="minorHAnsi"/>
          <w:szCs w:val="24"/>
        </w:rPr>
        <w:t>will</w:t>
      </w:r>
      <w:r w:rsidR="00FE57E7">
        <w:rPr>
          <w:rFonts w:asciiTheme="minorHAnsi" w:hAnsiTheme="minorHAnsi" w:cstheme="minorHAnsi"/>
          <w:szCs w:val="24"/>
        </w:rPr>
        <w:t xml:space="preserve"> be used to ensure that the</w:t>
      </w:r>
      <w:r w:rsidR="0029427B">
        <w:rPr>
          <w:rFonts w:asciiTheme="minorHAnsi" w:hAnsiTheme="minorHAnsi" w:cstheme="minorHAnsi"/>
          <w:szCs w:val="24"/>
        </w:rPr>
        <w:t xml:space="preserve"> programs offered by the</w:t>
      </w:r>
      <w:r w:rsidR="00FE57E7">
        <w:rPr>
          <w:rFonts w:asciiTheme="minorHAnsi" w:hAnsiTheme="minorHAnsi" w:cstheme="minorHAnsi"/>
          <w:szCs w:val="24"/>
        </w:rPr>
        <w:t xml:space="preserve"> institution </w:t>
      </w:r>
      <w:r w:rsidR="00FF6DC1">
        <w:rPr>
          <w:rFonts w:asciiTheme="minorHAnsi" w:hAnsiTheme="minorHAnsi" w:cstheme="minorHAnsi"/>
          <w:szCs w:val="24"/>
        </w:rPr>
        <w:t>and</w:t>
      </w:r>
      <w:r w:rsidR="00D82A28">
        <w:rPr>
          <w:rFonts w:asciiTheme="minorHAnsi" w:hAnsiTheme="minorHAnsi" w:cstheme="minorHAnsi"/>
          <w:szCs w:val="24"/>
        </w:rPr>
        <w:t xml:space="preserve"> how</w:t>
      </w:r>
      <w:r w:rsidR="00FF6DC1">
        <w:rPr>
          <w:rFonts w:asciiTheme="minorHAnsi" w:hAnsiTheme="minorHAnsi" w:cstheme="minorHAnsi"/>
          <w:szCs w:val="24"/>
        </w:rPr>
        <w:t xml:space="preserve"> its PEP locations </w:t>
      </w:r>
      <w:r w:rsidR="00FE57E7">
        <w:rPr>
          <w:rFonts w:asciiTheme="minorHAnsi" w:hAnsiTheme="minorHAnsi" w:cstheme="minorHAnsi"/>
          <w:szCs w:val="24"/>
        </w:rPr>
        <w:t xml:space="preserve">meet the </w:t>
      </w:r>
      <w:r w:rsidR="0029427B">
        <w:rPr>
          <w:rFonts w:asciiTheme="minorHAnsi" w:hAnsiTheme="minorHAnsi" w:cstheme="minorHAnsi"/>
          <w:szCs w:val="24"/>
        </w:rPr>
        <w:t xml:space="preserve">eligible program </w:t>
      </w:r>
      <w:r w:rsidR="00FE57E7">
        <w:rPr>
          <w:rFonts w:asciiTheme="minorHAnsi" w:hAnsiTheme="minorHAnsi" w:cstheme="minorHAnsi"/>
          <w:szCs w:val="24"/>
        </w:rPr>
        <w:t>standards established by the agency.</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EF4C67" w:rsidRPr="00FB6309" w:rsidP="00EF4C67" w14:paraId="2D2F6A02" w14:textId="12B7A682">
      <w:pPr>
        <w:tabs>
          <w:tab w:val="left" w:pos="0"/>
        </w:tabs>
        <w:suppressAutoHyphens/>
        <w:ind w:left="720"/>
        <w:rPr>
          <w:rFonts w:asciiTheme="minorHAnsi" w:hAnsiTheme="minorHAnsi" w:cstheme="minorHAnsi"/>
          <w:szCs w:val="24"/>
        </w:rPr>
      </w:pPr>
      <w:r>
        <w:rPr>
          <w:rFonts w:asciiTheme="minorHAnsi" w:hAnsiTheme="minorHAnsi" w:cstheme="minorHAnsi"/>
          <w:szCs w:val="24"/>
        </w:rPr>
        <w:t xml:space="preserve">There is nothing in the regulations which prohibit the electronic exchange of information between the accrediting agency and institutions requesting evaluation for participation in </w:t>
      </w:r>
      <w:r w:rsidR="0029427B">
        <w:rPr>
          <w:rFonts w:asciiTheme="minorHAnsi" w:hAnsiTheme="minorHAnsi" w:cstheme="minorHAnsi"/>
          <w:szCs w:val="24"/>
        </w:rPr>
        <w:t xml:space="preserve">a </w:t>
      </w:r>
      <w:r>
        <w:rPr>
          <w:rFonts w:asciiTheme="minorHAnsi" w:hAnsiTheme="minorHAnsi" w:cstheme="minorHAnsi"/>
          <w:szCs w:val="24"/>
        </w:rPr>
        <w:t>PE</w:t>
      </w:r>
      <w:r w:rsidR="0029427B">
        <w:rPr>
          <w:rFonts w:asciiTheme="minorHAnsi" w:hAnsiTheme="minorHAnsi" w:cstheme="minorHAnsi"/>
          <w:szCs w:val="24"/>
        </w:rPr>
        <w:t>P</w:t>
      </w:r>
      <w:r>
        <w:rPr>
          <w:rFonts w:asciiTheme="minorHAnsi" w:hAnsiTheme="minorHAnsi" w:cstheme="minorHAnsi"/>
          <w:szCs w:val="24"/>
        </w:rPr>
        <w:t xml:space="preserve">.  </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05BFA6AF">
      <w:pPr>
        <w:pStyle w:val="ListParagraph"/>
        <w:tabs>
          <w:tab w:val="left" w:pos="-720"/>
        </w:tabs>
        <w:suppressAutoHyphens/>
        <w:contextualSpacing w:val="0"/>
        <w:rPr>
          <w:rFonts w:ascii="Times New Roman" w:hAnsi="Times New Roman"/>
          <w:b/>
          <w:szCs w:val="24"/>
        </w:rPr>
      </w:pPr>
    </w:p>
    <w:p w:rsidR="00043C32" w:rsidRPr="005F4E11" w:rsidP="001D3854" w14:paraId="64280E62" w14:textId="62EFC9D1">
      <w:pPr>
        <w:pStyle w:val="ListParagraph"/>
        <w:tabs>
          <w:tab w:val="left" w:pos="-720"/>
        </w:tabs>
        <w:suppressAutoHyphens/>
        <w:contextualSpacing w:val="0"/>
        <w:rPr>
          <w:rFonts w:ascii="Times New Roman" w:hAnsi="Times New Roman"/>
          <w:b/>
          <w:szCs w:val="24"/>
        </w:rPr>
      </w:pPr>
      <w:r w:rsidRPr="008E0766">
        <w:rPr>
          <w:rFonts w:asciiTheme="minorHAnsi" w:hAnsiTheme="minorHAnsi" w:cstheme="minorHAnsi"/>
          <w:bCs/>
          <w:szCs w:val="24"/>
        </w:rPr>
        <w:t xml:space="preserve">There is </w:t>
      </w:r>
      <w:r>
        <w:rPr>
          <w:rFonts w:asciiTheme="minorHAnsi" w:hAnsiTheme="minorHAnsi" w:cstheme="minorHAnsi"/>
          <w:bCs/>
          <w:szCs w:val="24"/>
        </w:rPr>
        <w:t>no</w:t>
      </w:r>
      <w:r w:rsidR="00D82A28">
        <w:rPr>
          <w:rFonts w:asciiTheme="minorHAnsi" w:hAnsiTheme="minorHAnsi" w:cstheme="minorHAnsi"/>
          <w:bCs/>
          <w:szCs w:val="24"/>
        </w:rPr>
        <w:t xml:space="preserve"> information that can be used or converted from any </w:t>
      </w:r>
      <w:r w:rsidR="005F5BBC">
        <w:rPr>
          <w:rFonts w:asciiTheme="minorHAnsi" w:hAnsiTheme="minorHAnsi" w:cstheme="minorHAnsi"/>
          <w:bCs/>
          <w:szCs w:val="24"/>
        </w:rPr>
        <w:t>currently available Department system that</w:t>
      </w:r>
      <w:r w:rsidR="00D82A28">
        <w:rPr>
          <w:rFonts w:asciiTheme="minorHAnsi" w:hAnsiTheme="minorHAnsi" w:cstheme="minorHAnsi"/>
          <w:bCs/>
          <w:szCs w:val="24"/>
        </w:rPr>
        <w:t xml:space="preserve"> would meet the requirements.</w:t>
      </w:r>
      <w:r w:rsidR="005F5BBC">
        <w:rPr>
          <w:rFonts w:asciiTheme="minorHAnsi" w:hAnsiTheme="minorHAnsi" w:cstheme="minorHAnsi"/>
          <w:bCs/>
          <w:szCs w:val="24"/>
        </w:rPr>
        <w:t xml:space="preserve"> </w:t>
      </w: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EF4C67" w:rsidRPr="00FB6309" w:rsidP="00EF4C67" w14:paraId="27DEE347" w14:textId="07CCD429">
      <w:pPr>
        <w:tabs>
          <w:tab w:val="left" w:pos="0"/>
        </w:tabs>
        <w:suppressAutoHyphens/>
        <w:ind w:left="720"/>
        <w:rPr>
          <w:rFonts w:asciiTheme="minorHAnsi" w:hAnsiTheme="minorHAnsi" w:cstheme="minorHAnsi"/>
          <w:szCs w:val="24"/>
        </w:rPr>
      </w:pPr>
      <w:r>
        <w:rPr>
          <w:rFonts w:asciiTheme="minorHAnsi" w:hAnsiTheme="minorHAnsi" w:cstheme="minorHAnsi"/>
          <w:szCs w:val="24"/>
        </w:rPr>
        <w:t>No small businesses will be impacted based on these regulations.</w:t>
      </w:r>
    </w:p>
    <w:p w:rsidR="00EF4C67" w:rsidRPr="005F4E11" w:rsidP="00AD381B" w14:paraId="48B8773E" w14:textId="77777777">
      <w:pPr>
        <w:pStyle w:val="ListParagraph"/>
        <w:contextualSpacing w:val="0"/>
        <w:rPr>
          <w:rFonts w:asciiTheme="minorHAnsi" w:hAnsiTheme="minorHAnsi" w:cstheme="minorHAnsi"/>
          <w:szCs w:val="24"/>
        </w:rPr>
      </w:pP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5F4E11" w:rsidP="00BF3755" w14:paraId="51872AEE" w14:textId="200123D3">
      <w:pPr>
        <w:pStyle w:val="ListParagraph"/>
        <w:rPr>
          <w:rFonts w:asciiTheme="minorHAnsi" w:hAnsiTheme="minorHAnsi" w:cstheme="minorHAnsi"/>
          <w:szCs w:val="24"/>
        </w:rPr>
      </w:pPr>
      <w:r w:rsidRPr="0029427B">
        <w:rPr>
          <w:rFonts w:asciiTheme="minorHAnsi" w:hAnsiTheme="minorHAnsi" w:cstheme="minorHAnsi"/>
          <w:szCs w:val="24"/>
        </w:rPr>
        <w:t xml:space="preserve">If the requirements of the regulations are not </w:t>
      </w:r>
      <w:r w:rsidRPr="0029427B" w:rsidR="0029427B">
        <w:rPr>
          <w:rFonts w:asciiTheme="minorHAnsi" w:hAnsiTheme="minorHAnsi" w:cstheme="minorHAnsi"/>
          <w:szCs w:val="24"/>
        </w:rPr>
        <w:t>met</w:t>
      </w:r>
      <w:r w:rsidRPr="0029427B">
        <w:rPr>
          <w:rFonts w:asciiTheme="minorHAnsi" w:hAnsiTheme="minorHAnsi" w:cstheme="minorHAnsi"/>
          <w:szCs w:val="24"/>
        </w:rPr>
        <w:t xml:space="preserve">, </w:t>
      </w:r>
      <w:r w:rsidRPr="0029427B" w:rsidR="007366A0">
        <w:rPr>
          <w:rFonts w:asciiTheme="minorHAnsi" w:hAnsiTheme="minorHAnsi" w:cstheme="minorHAnsi"/>
          <w:szCs w:val="24"/>
        </w:rPr>
        <w:t xml:space="preserve">accrediting agencies </w:t>
      </w:r>
      <w:r w:rsidR="004A6AC0">
        <w:rPr>
          <w:rFonts w:asciiTheme="minorHAnsi" w:hAnsiTheme="minorHAnsi" w:cstheme="minorHAnsi"/>
          <w:szCs w:val="24"/>
        </w:rPr>
        <w:t>will</w:t>
      </w:r>
      <w:r w:rsidRPr="0029427B" w:rsidR="007366A0">
        <w:rPr>
          <w:rFonts w:asciiTheme="minorHAnsi" w:hAnsiTheme="minorHAnsi" w:cstheme="minorHAnsi"/>
          <w:szCs w:val="24"/>
        </w:rPr>
        <w:t xml:space="preserve"> not be able to ensure an institution</w:t>
      </w:r>
      <w:r w:rsidRPr="0029427B">
        <w:rPr>
          <w:rFonts w:asciiTheme="minorHAnsi" w:hAnsiTheme="minorHAnsi" w:cstheme="minorHAnsi"/>
          <w:szCs w:val="24"/>
        </w:rPr>
        <w:t xml:space="preserve"> </w:t>
      </w:r>
      <w:r w:rsidRPr="0029427B" w:rsidR="007366A0">
        <w:rPr>
          <w:rFonts w:asciiTheme="minorHAnsi" w:hAnsiTheme="minorHAnsi" w:cstheme="minorHAnsi"/>
          <w:szCs w:val="24"/>
        </w:rPr>
        <w:t>had the ability to offer and implement the PEP in accordance with agency standards</w:t>
      </w:r>
      <w:r w:rsidR="00643468">
        <w:rPr>
          <w:rFonts w:asciiTheme="minorHAnsi" w:hAnsiTheme="minorHAnsi" w:cstheme="minorHAnsi"/>
          <w:szCs w:val="24"/>
        </w:rPr>
        <w:t>. S</w:t>
      </w:r>
      <w:r w:rsidR="00BF3755">
        <w:rPr>
          <w:rFonts w:asciiTheme="minorHAnsi" w:hAnsiTheme="minorHAnsi" w:cstheme="minorHAnsi"/>
          <w:szCs w:val="24"/>
        </w:rPr>
        <w:t xml:space="preserve">tudents of the program would not be eligible for a Federal Pell Grant. </w:t>
      </w:r>
    </w:p>
    <w:p w:rsidR="00BF3755" w:rsidRPr="005F4E11" w:rsidP="00BF3755" w14:paraId="28215093" w14:textId="77777777">
      <w:pPr>
        <w:pStyle w:val="ListParagraph"/>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AD381B" w14:paraId="64280E77" w14:textId="77777777">
      <w:pPr>
        <w:pStyle w:val="ListParagraph"/>
        <w:rPr>
          <w:rFonts w:ascii="Times New Roman" w:hAnsi="Times New Roman"/>
          <w:bCs/>
          <w:szCs w:val="24"/>
        </w:rPr>
      </w:pPr>
    </w:p>
    <w:p w:rsidR="001E59A2" w:rsidRPr="00205FBE" w:rsidP="001E59A2" w14:paraId="707E9595"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This information collection does not require any special circumstances.</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7330A1" w:rsidP="00AD381B" w14:paraId="64280E81" w14:textId="77777777">
      <w:pPr>
        <w:tabs>
          <w:tab w:val="left" w:pos="-720"/>
        </w:tabs>
        <w:suppressAutoHyphens/>
        <w:ind w:left="720"/>
        <w:rPr>
          <w:rFonts w:asciiTheme="minorHAnsi" w:hAnsiTheme="minorHAnsi" w:cstheme="minorHAnsi"/>
          <w:bCs/>
          <w:szCs w:val="24"/>
        </w:rPr>
      </w:pPr>
    </w:p>
    <w:p w:rsidR="000927E9" w:rsidRPr="007330A1" w:rsidP="00AD381B" w14:paraId="64327F99" w14:textId="3B3735B3">
      <w:pPr>
        <w:tabs>
          <w:tab w:val="left" w:pos="-720"/>
        </w:tabs>
        <w:suppressAutoHyphens/>
        <w:ind w:left="720"/>
        <w:rPr>
          <w:rStyle w:val="normaltextrun"/>
          <w:rFonts w:asciiTheme="minorHAnsi" w:hAnsiTheme="minorHAnsi" w:cstheme="minorHAnsi"/>
          <w:color w:val="000000"/>
          <w:bdr w:val="none" w:sz="0" w:space="0" w:color="auto" w:frame="1"/>
        </w:rPr>
      </w:pPr>
      <w:r w:rsidRPr="007330A1">
        <w:rPr>
          <w:rStyle w:val="normaltextrun"/>
          <w:rFonts w:asciiTheme="minorHAnsi" w:hAnsiTheme="minorHAnsi" w:cstheme="minorHAnsi"/>
          <w:color w:val="000000"/>
          <w:bdr w:val="none" w:sz="0" w:space="0" w:color="auto" w:frame="1"/>
        </w:rPr>
        <w:t>ED will publish the applicable 60- and 30-day notices in the Federal Register inviting public comment on the form and the burden assessment.</w:t>
      </w:r>
    </w:p>
    <w:p w:rsidR="00AD3115" w:rsidP="00AD381B" w14:paraId="69AAB9A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1E59A2" w:rsidRPr="00205FBE" w:rsidP="001E59A2" w14:paraId="0E6C383E" w14:textId="77777777">
      <w:pPr>
        <w:pStyle w:val="ListParagraph"/>
        <w:tabs>
          <w:tab w:val="left" w:pos="-720"/>
        </w:tabs>
        <w:suppressAutoHyphens/>
        <w:contextualSpacing w:val="0"/>
        <w:rPr>
          <w:rFonts w:asciiTheme="minorHAnsi" w:hAnsiTheme="minorHAnsi" w:cstheme="minorHAnsi"/>
          <w:szCs w:val="24"/>
        </w:rPr>
      </w:pPr>
      <w:r w:rsidRPr="00205FBE">
        <w:rPr>
          <w:rFonts w:asciiTheme="minorHAnsi" w:hAnsiTheme="minorHAnsi" w:cstheme="minorHAnsi"/>
          <w:szCs w:val="24"/>
        </w:rPr>
        <w:t>There are no payments or gifts to respondents.</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7C700A" w:rsidRPr="005F4E11" w:rsidP="005F4E11" w14:paraId="7A4EA0F0" w14:textId="4C5E5943">
      <w:pPr>
        <w:tabs>
          <w:tab w:val="left" w:pos="-720"/>
        </w:tabs>
        <w:suppressAutoHyphens/>
        <w:ind w:left="720"/>
        <w:rPr>
          <w:rFonts w:ascii="Times New Roman" w:hAnsi="Times New Roman"/>
          <w:bCs/>
          <w:szCs w:val="24"/>
        </w:rPr>
      </w:pPr>
      <w:r w:rsidRPr="00D82A28">
        <w:rPr>
          <w:rFonts w:asciiTheme="minorHAnsi" w:hAnsiTheme="minorHAnsi" w:cstheme="minorHAnsi"/>
          <w:szCs w:val="24"/>
        </w:rPr>
        <w:t>The Department makes no pledge about the confidentiality of the data</w:t>
      </w:r>
      <w:r>
        <w:rPr>
          <w:rFonts w:asciiTheme="minorHAnsi" w:hAnsiTheme="minorHAnsi" w:cstheme="minorHAnsi"/>
          <w:szCs w:val="24"/>
        </w:rPr>
        <w:t>.</w:t>
      </w: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1E59A2" w:rsidRPr="00205FBE" w:rsidP="001E59A2" w14:paraId="74B88C0F"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There are no questions of a sensitive nature in this collection.</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AB4E3D" w:rsidP="0006134A" w14:paraId="0BC4C4FA" w14:textId="25C71D62">
      <w:pPr>
        <w:tabs>
          <w:tab w:val="left" w:pos="-720"/>
        </w:tabs>
        <w:suppressAutoHyphens/>
        <w:ind w:left="1080"/>
        <w:rPr>
          <w:rFonts w:asciiTheme="minorHAnsi" w:hAnsiTheme="minorHAnsi" w:cstheme="minorHAnsi"/>
          <w:szCs w:val="24"/>
        </w:rPr>
      </w:pPr>
    </w:p>
    <w:p w:rsidR="00C61758" w:rsidP="0006134A" w14:paraId="62BEF7C4" w14:textId="18A1728F">
      <w:pPr>
        <w:tabs>
          <w:tab w:val="left" w:pos="-720"/>
        </w:tabs>
        <w:suppressAutoHyphens/>
        <w:ind w:left="1080"/>
        <w:rPr>
          <w:rFonts w:asciiTheme="minorHAnsi" w:hAnsiTheme="minorHAnsi" w:cstheme="minorHAnsi"/>
          <w:szCs w:val="24"/>
        </w:rPr>
      </w:pPr>
      <w:r>
        <w:rPr>
          <w:rFonts w:asciiTheme="minorHAnsi" w:hAnsiTheme="minorHAnsi" w:cstheme="minorHAnsi"/>
          <w:szCs w:val="24"/>
        </w:rPr>
        <w:t>Section 668.237 – Accreditation requirements.</w:t>
      </w:r>
    </w:p>
    <w:p w:rsidR="00C61758" w:rsidP="0006134A" w14:paraId="04B49FA9" w14:textId="77777777">
      <w:pPr>
        <w:tabs>
          <w:tab w:val="left" w:pos="-720"/>
        </w:tabs>
        <w:suppressAutoHyphens/>
        <w:ind w:left="1080"/>
        <w:rPr>
          <w:rFonts w:asciiTheme="minorHAnsi" w:hAnsiTheme="minorHAnsi" w:cstheme="minorHAnsi"/>
          <w:szCs w:val="24"/>
        </w:rPr>
      </w:pPr>
    </w:p>
    <w:p w:rsidR="003B4C4B" w:rsidRPr="00EA302F" w:rsidP="00EA302F" w14:paraId="390F412F" w14:textId="20675BE1">
      <w:pPr>
        <w:ind w:left="1080"/>
        <w:rPr>
          <w:rFonts w:asciiTheme="minorHAnsi" w:hAnsiTheme="minorHAnsi" w:cstheme="minorHAnsi"/>
          <w:szCs w:val="24"/>
        </w:rPr>
      </w:pPr>
      <w:r>
        <w:rPr>
          <w:rFonts w:asciiTheme="minorHAnsi" w:hAnsiTheme="minorHAnsi" w:cstheme="minorHAnsi"/>
          <w:color w:val="000000"/>
          <w:szCs w:val="24"/>
        </w:rPr>
        <w:t>R</w:t>
      </w:r>
      <w:r w:rsidRPr="003601DB" w:rsidR="0006134A">
        <w:rPr>
          <w:rFonts w:asciiTheme="minorHAnsi" w:hAnsiTheme="minorHAnsi" w:cstheme="minorHAnsi"/>
          <w:color w:val="000000"/>
          <w:szCs w:val="24"/>
        </w:rPr>
        <w:t xml:space="preserve">egulations at </w:t>
      </w:r>
      <w:r w:rsidRPr="003601DB" w:rsidR="0006134A">
        <w:rPr>
          <w:rFonts w:asciiTheme="minorHAnsi" w:hAnsiTheme="minorHAnsi" w:cstheme="minorHAnsi"/>
          <w:szCs w:val="24"/>
        </w:rPr>
        <w:t xml:space="preserve">§ 668.237, prescribe </w:t>
      </w:r>
      <w:r w:rsidR="00C61758">
        <w:rPr>
          <w:rFonts w:asciiTheme="minorHAnsi" w:hAnsiTheme="minorHAnsi" w:cstheme="minorHAnsi"/>
          <w:szCs w:val="24"/>
        </w:rPr>
        <w:t xml:space="preserve">accrediting agencies perform </w:t>
      </w:r>
      <w:r w:rsidRPr="003601DB" w:rsidR="0006134A">
        <w:rPr>
          <w:rFonts w:asciiTheme="minorHAnsi" w:hAnsiTheme="minorHAnsi" w:cstheme="minorHAnsi"/>
          <w:szCs w:val="24"/>
        </w:rPr>
        <w:t xml:space="preserve">program evaluation at the first two additional locations to ensure institutional ability to offer and implement the Prison Education Program (PEP) in accordance with the accrediting agency’s standards.  The regulations require the accrediting agency to conduct a site visit no later than one year after the institution has initiated a PEP at its first two additional locations at correctional facilities.  </w:t>
      </w:r>
    </w:p>
    <w:p w:rsidR="003B4C4B" w:rsidP="0006134A" w14:paraId="7241B64F" w14:textId="77777777">
      <w:pPr>
        <w:ind w:left="1080"/>
        <w:rPr>
          <w:rFonts w:asciiTheme="minorHAnsi" w:hAnsiTheme="minorHAnsi" w:cstheme="minorHAnsi"/>
          <w:color w:val="000000"/>
          <w:szCs w:val="24"/>
        </w:rPr>
      </w:pPr>
    </w:p>
    <w:p w:rsidR="0006134A" w:rsidRPr="00CA123B" w:rsidP="0006134A" w14:paraId="6177B4E6" w14:textId="383C9706">
      <w:pPr>
        <w:ind w:left="1080"/>
        <w:rPr>
          <w:rFonts w:asciiTheme="minorHAnsi" w:hAnsiTheme="minorHAnsi" w:cstheme="minorHAnsi"/>
          <w:color w:val="000000"/>
          <w:szCs w:val="24"/>
        </w:rPr>
      </w:pPr>
      <w:r>
        <w:rPr>
          <w:rFonts w:asciiTheme="minorHAnsi" w:hAnsiTheme="minorHAnsi" w:cstheme="minorHAnsi"/>
          <w:color w:val="000000"/>
          <w:szCs w:val="24"/>
        </w:rPr>
        <w:t>Of t</w:t>
      </w:r>
      <w:r w:rsidRPr="00CA123B">
        <w:rPr>
          <w:rFonts w:asciiTheme="minorHAnsi" w:hAnsiTheme="minorHAnsi" w:cstheme="minorHAnsi"/>
          <w:color w:val="000000"/>
          <w:szCs w:val="24"/>
        </w:rPr>
        <w:t xml:space="preserve">he </w:t>
      </w:r>
      <w:r w:rsidRPr="00CA123B" w:rsidR="00F270F1">
        <w:rPr>
          <w:rFonts w:asciiTheme="minorHAnsi" w:hAnsiTheme="minorHAnsi" w:cstheme="minorHAnsi"/>
          <w:color w:val="000000"/>
          <w:szCs w:val="24"/>
        </w:rPr>
        <w:t>61</w:t>
      </w:r>
      <w:r w:rsidRPr="00CA123B">
        <w:rPr>
          <w:rFonts w:asciiTheme="minorHAnsi" w:hAnsiTheme="minorHAnsi" w:cstheme="minorHAnsi"/>
          <w:color w:val="000000"/>
          <w:szCs w:val="24"/>
        </w:rPr>
        <w:t xml:space="preserve"> </w:t>
      </w:r>
      <w:r w:rsidRPr="00CA123B" w:rsidR="00F74099">
        <w:rPr>
          <w:rFonts w:asciiTheme="minorHAnsi" w:hAnsiTheme="minorHAnsi" w:cstheme="minorHAnsi"/>
          <w:color w:val="000000"/>
          <w:szCs w:val="24"/>
        </w:rPr>
        <w:t xml:space="preserve">currently </w:t>
      </w:r>
      <w:r w:rsidRPr="00CA123B">
        <w:rPr>
          <w:rFonts w:asciiTheme="minorHAnsi" w:hAnsiTheme="minorHAnsi" w:cstheme="minorHAnsi"/>
          <w:color w:val="000000"/>
          <w:szCs w:val="24"/>
        </w:rPr>
        <w:t xml:space="preserve">recognized accrediting agencies, </w:t>
      </w:r>
      <w:r w:rsidRPr="00CA123B" w:rsidR="007754BF">
        <w:rPr>
          <w:rFonts w:asciiTheme="minorHAnsi" w:hAnsiTheme="minorHAnsi" w:cstheme="minorHAnsi"/>
          <w:color w:val="000000"/>
          <w:szCs w:val="24"/>
        </w:rPr>
        <w:t xml:space="preserve">6 </w:t>
      </w:r>
      <w:r w:rsidRPr="00CA123B">
        <w:rPr>
          <w:rFonts w:asciiTheme="minorHAnsi" w:hAnsiTheme="minorHAnsi" w:cstheme="minorHAnsi"/>
          <w:color w:val="000000"/>
          <w:szCs w:val="24"/>
        </w:rPr>
        <w:t xml:space="preserve">accrediting agencies perform </w:t>
      </w:r>
      <w:r w:rsidR="00643468">
        <w:rPr>
          <w:rFonts w:asciiTheme="minorHAnsi" w:hAnsiTheme="minorHAnsi" w:cstheme="minorHAnsi"/>
          <w:color w:val="000000"/>
          <w:szCs w:val="24"/>
        </w:rPr>
        <w:t xml:space="preserve">the </w:t>
      </w:r>
      <w:r w:rsidRPr="00CA123B">
        <w:rPr>
          <w:rFonts w:asciiTheme="minorHAnsi" w:hAnsiTheme="minorHAnsi" w:cstheme="minorHAnsi"/>
          <w:color w:val="000000"/>
          <w:szCs w:val="24"/>
        </w:rPr>
        <w:t xml:space="preserve">required reviews for </w:t>
      </w:r>
      <w:r w:rsidRPr="00CA123B" w:rsidR="007754BF">
        <w:rPr>
          <w:rFonts w:asciiTheme="minorHAnsi" w:hAnsiTheme="minorHAnsi" w:cstheme="minorHAnsi"/>
          <w:color w:val="000000"/>
          <w:szCs w:val="24"/>
        </w:rPr>
        <w:t xml:space="preserve">21 </w:t>
      </w:r>
      <w:r w:rsidRPr="00CA123B">
        <w:rPr>
          <w:rFonts w:asciiTheme="minorHAnsi" w:hAnsiTheme="minorHAnsi" w:cstheme="minorHAnsi"/>
          <w:color w:val="000000"/>
          <w:szCs w:val="24"/>
        </w:rPr>
        <w:t xml:space="preserve">institutions under their oversight.  </w:t>
      </w:r>
      <w:r w:rsidR="00643468">
        <w:rPr>
          <w:rFonts w:asciiTheme="minorHAnsi" w:hAnsiTheme="minorHAnsi" w:cstheme="minorHAnsi"/>
          <w:color w:val="000000"/>
          <w:szCs w:val="24"/>
        </w:rPr>
        <w:t>E</w:t>
      </w:r>
      <w:r w:rsidRPr="00CA123B" w:rsidR="00643468">
        <w:rPr>
          <w:rFonts w:asciiTheme="minorHAnsi" w:hAnsiTheme="minorHAnsi" w:cstheme="minorHAnsi"/>
          <w:color w:val="000000"/>
          <w:szCs w:val="24"/>
        </w:rPr>
        <w:t xml:space="preserve">ach </w:t>
      </w:r>
      <w:r w:rsidRPr="00CA123B">
        <w:rPr>
          <w:rFonts w:asciiTheme="minorHAnsi" w:hAnsiTheme="minorHAnsi" w:cstheme="minorHAnsi"/>
          <w:color w:val="000000"/>
          <w:szCs w:val="24"/>
        </w:rPr>
        <w:t xml:space="preserve">of these accrediting agencies </w:t>
      </w:r>
      <w:r w:rsidRPr="00CA123B" w:rsidR="00254DFA">
        <w:rPr>
          <w:rFonts w:asciiTheme="minorHAnsi" w:hAnsiTheme="minorHAnsi" w:cstheme="minorHAnsi"/>
          <w:color w:val="000000"/>
          <w:szCs w:val="24"/>
        </w:rPr>
        <w:t>will</w:t>
      </w:r>
      <w:r w:rsidRPr="00CA123B">
        <w:rPr>
          <w:rFonts w:asciiTheme="minorHAnsi" w:hAnsiTheme="minorHAnsi" w:cstheme="minorHAnsi"/>
          <w:color w:val="000000"/>
          <w:szCs w:val="24"/>
        </w:rPr>
        <w:t xml:space="preserve"> require 8 hours per institution to evaluate the written applications for the first two programs offered by PEP or any change in methodology review.  With an estimated </w:t>
      </w:r>
      <w:r w:rsidRPr="00CA123B" w:rsidR="00CC7470">
        <w:rPr>
          <w:rFonts w:asciiTheme="minorHAnsi" w:hAnsiTheme="minorHAnsi" w:cstheme="minorHAnsi"/>
          <w:color w:val="000000"/>
          <w:szCs w:val="24"/>
        </w:rPr>
        <w:t xml:space="preserve">21 </w:t>
      </w:r>
      <w:r w:rsidRPr="00CA123B">
        <w:rPr>
          <w:rFonts w:asciiTheme="minorHAnsi" w:hAnsiTheme="minorHAnsi" w:cstheme="minorHAnsi"/>
          <w:color w:val="000000"/>
          <w:szCs w:val="24"/>
        </w:rPr>
        <w:t xml:space="preserve">institutions participating in the PEP program, accrediting agencies </w:t>
      </w:r>
      <w:r w:rsidRPr="00CA123B" w:rsidR="005341C2">
        <w:rPr>
          <w:rFonts w:asciiTheme="minorHAnsi" w:hAnsiTheme="minorHAnsi" w:cstheme="minorHAnsi"/>
          <w:color w:val="000000"/>
          <w:szCs w:val="24"/>
        </w:rPr>
        <w:t xml:space="preserve">will </w:t>
      </w:r>
      <w:r w:rsidRPr="00CA123B">
        <w:rPr>
          <w:rFonts w:asciiTheme="minorHAnsi" w:hAnsiTheme="minorHAnsi" w:cstheme="minorHAnsi"/>
          <w:color w:val="000000"/>
          <w:szCs w:val="24"/>
        </w:rPr>
        <w:t xml:space="preserve">require </w:t>
      </w:r>
      <w:r w:rsidRPr="00CA123B" w:rsidR="00B173DB">
        <w:rPr>
          <w:rFonts w:asciiTheme="minorHAnsi" w:hAnsiTheme="minorHAnsi" w:cstheme="minorHAnsi"/>
          <w:color w:val="000000"/>
          <w:szCs w:val="24"/>
        </w:rPr>
        <w:t>168</w:t>
      </w:r>
      <w:r w:rsidRPr="00CA123B">
        <w:rPr>
          <w:rFonts w:asciiTheme="minorHAnsi" w:hAnsiTheme="minorHAnsi" w:cstheme="minorHAnsi"/>
          <w:color w:val="000000"/>
          <w:szCs w:val="24"/>
        </w:rPr>
        <w:t xml:space="preserve"> hours to complete this initial review (</w:t>
      </w:r>
      <w:r w:rsidRPr="00CA123B" w:rsidR="00CC7470">
        <w:rPr>
          <w:rFonts w:asciiTheme="minorHAnsi" w:hAnsiTheme="minorHAnsi" w:cstheme="minorHAnsi"/>
          <w:color w:val="000000"/>
          <w:szCs w:val="24"/>
        </w:rPr>
        <w:t xml:space="preserve">21 </w:t>
      </w:r>
      <w:r w:rsidRPr="00CA123B">
        <w:rPr>
          <w:rFonts w:asciiTheme="minorHAnsi" w:hAnsiTheme="minorHAnsi" w:cstheme="minorHAnsi"/>
          <w:color w:val="000000"/>
          <w:szCs w:val="24"/>
        </w:rPr>
        <w:t xml:space="preserve">institutions x 8 hours = </w:t>
      </w:r>
      <w:r w:rsidRPr="00CA123B" w:rsidR="00FD6EBB">
        <w:rPr>
          <w:rFonts w:asciiTheme="minorHAnsi" w:hAnsiTheme="minorHAnsi" w:cstheme="minorHAnsi"/>
          <w:color w:val="000000"/>
          <w:szCs w:val="24"/>
        </w:rPr>
        <w:t>168</w:t>
      </w:r>
      <w:r w:rsidRPr="00CA123B">
        <w:rPr>
          <w:rFonts w:asciiTheme="minorHAnsi" w:hAnsiTheme="minorHAnsi" w:cstheme="minorHAnsi"/>
          <w:color w:val="000000"/>
          <w:szCs w:val="24"/>
        </w:rPr>
        <w:t xml:space="preserve"> burden hours).  </w:t>
      </w:r>
    </w:p>
    <w:p w:rsidR="0006134A" w:rsidRPr="002B038A" w:rsidP="0006134A" w14:paraId="1895AFE4" w14:textId="709A4C51">
      <w:pPr>
        <w:ind w:left="1080"/>
        <w:rPr>
          <w:rFonts w:asciiTheme="minorHAnsi" w:hAnsiTheme="minorHAnsi" w:cstheme="minorHAnsi"/>
          <w:color w:val="000000"/>
          <w:szCs w:val="24"/>
        </w:rPr>
      </w:pPr>
      <w:r w:rsidRPr="002B038A">
        <w:rPr>
          <w:rFonts w:asciiTheme="minorHAnsi" w:hAnsiTheme="minorHAnsi" w:cstheme="minorHAnsi"/>
          <w:color w:val="000000"/>
          <w:szCs w:val="24"/>
        </w:rPr>
        <w:tab/>
      </w:r>
    </w:p>
    <w:p w:rsidR="0006134A" w:rsidP="0006134A" w14:paraId="4863D696" w14:textId="29FD3EDC">
      <w:pPr>
        <w:ind w:left="1080"/>
        <w:rPr>
          <w:rFonts w:asciiTheme="minorHAnsi" w:hAnsiTheme="minorHAnsi" w:cstheme="minorHAnsi"/>
          <w:color w:val="000000"/>
          <w:szCs w:val="24"/>
        </w:rPr>
      </w:pPr>
      <w:r w:rsidRPr="002B038A">
        <w:rPr>
          <w:rFonts w:asciiTheme="minorHAnsi" w:hAnsiTheme="minorHAnsi" w:cstheme="minorHAnsi"/>
          <w:color w:val="000000"/>
          <w:szCs w:val="24"/>
        </w:rPr>
        <w:t>It is estimated that to perform the site visits as required under the</w:t>
      </w:r>
      <w:r w:rsidR="00AB7095">
        <w:rPr>
          <w:rFonts w:asciiTheme="minorHAnsi" w:hAnsiTheme="minorHAnsi" w:cstheme="minorHAnsi"/>
          <w:color w:val="000000"/>
          <w:szCs w:val="24"/>
        </w:rPr>
        <w:t xml:space="preserve"> </w:t>
      </w:r>
      <w:r w:rsidRPr="002B038A">
        <w:rPr>
          <w:rFonts w:asciiTheme="minorHAnsi" w:hAnsiTheme="minorHAnsi" w:cstheme="minorHAnsi"/>
          <w:color w:val="000000"/>
          <w:szCs w:val="24"/>
        </w:rPr>
        <w:t>regulations require an estimated 50 hours to prepare for, perform the site visit</w:t>
      </w:r>
      <w:r w:rsidR="00643468">
        <w:rPr>
          <w:rFonts w:asciiTheme="minorHAnsi" w:hAnsiTheme="minorHAnsi" w:cstheme="minorHAnsi"/>
          <w:color w:val="000000"/>
          <w:szCs w:val="24"/>
        </w:rPr>
        <w:t>,</w:t>
      </w:r>
      <w:r w:rsidRPr="002B038A">
        <w:rPr>
          <w:rFonts w:asciiTheme="minorHAnsi" w:hAnsiTheme="minorHAnsi" w:cstheme="minorHAnsi"/>
          <w:color w:val="000000"/>
          <w:szCs w:val="24"/>
        </w:rPr>
        <w:t xml:space="preserve"> and report the findings.  With an estimated </w:t>
      </w:r>
      <w:r w:rsidRPr="002B038A" w:rsidR="00FD6EBB">
        <w:rPr>
          <w:rFonts w:asciiTheme="minorHAnsi" w:hAnsiTheme="minorHAnsi" w:cstheme="minorHAnsi"/>
          <w:color w:val="000000"/>
          <w:szCs w:val="24"/>
        </w:rPr>
        <w:t xml:space="preserve">21 </w:t>
      </w:r>
      <w:r w:rsidRPr="002B038A">
        <w:rPr>
          <w:rFonts w:asciiTheme="minorHAnsi" w:hAnsiTheme="minorHAnsi" w:cstheme="minorHAnsi"/>
          <w:color w:val="000000"/>
          <w:szCs w:val="24"/>
        </w:rPr>
        <w:t>institutions participating in the PEP program, accrediting agencies w</w:t>
      </w:r>
      <w:r w:rsidRPr="002B038A" w:rsidR="005341C2">
        <w:rPr>
          <w:rFonts w:asciiTheme="minorHAnsi" w:hAnsiTheme="minorHAnsi" w:cstheme="minorHAnsi"/>
          <w:color w:val="000000"/>
          <w:szCs w:val="24"/>
        </w:rPr>
        <w:t>ill</w:t>
      </w:r>
      <w:r w:rsidRPr="002B038A">
        <w:rPr>
          <w:rFonts w:asciiTheme="minorHAnsi" w:hAnsiTheme="minorHAnsi" w:cstheme="minorHAnsi"/>
          <w:color w:val="000000"/>
          <w:szCs w:val="24"/>
        </w:rPr>
        <w:t xml:space="preserve"> require </w:t>
      </w:r>
      <w:r w:rsidRPr="002B038A" w:rsidR="003A3784">
        <w:rPr>
          <w:rFonts w:asciiTheme="minorHAnsi" w:hAnsiTheme="minorHAnsi" w:cstheme="minorHAnsi"/>
          <w:color w:val="000000"/>
          <w:szCs w:val="24"/>
        </w:rPr>
        <w:t>1050</w:t>
      </w:r>
      <w:r w:rsidRPr="002B038A">
        <w:rPr>
          <w:rFonts w:asciiTheme="minorHAnsi" w:hAnsiTheme="minorHAnsi" w:cstheme="minorHAnsi"/>
          <w:color w:val="000000"/>
          <w:szCs w:val="24"/>
        </w:rPr>
        <w:t xml:space="preserve"> hours to complete this initial review (</w:t>
      </w:r>
      <w:r w:rsidRPr="002B038A" w:rsidR="003A3784">
        <w:rPr>
          <w:rFonts w:asciiTheme="minorHAnsi" w:hAnsiTheme="minorHAnsi" w:cstheme="minorHAnsi"/>
          <w:color w:val="000000"/>
          <w:szCs w:val="24"/>
        </w:rPr>
        <w:t xml:space="preserve">21 </w:t>
      </w:r>
      <w:r w:rsidRPr="002B038A">
        <w:rPr>
          <w:rFonts w:asciiTheme="minorHAnsi" w:hAnsiTheme="minorHAnsi" w:cstheme="minorHAnsi"/>
          <w:color w:val="000000"/>
          <w:szCs w:val="24"/>
        </w:rPr>
        <w:t xml:space="preserve">institutions x 50 hours = </w:t>
      </w:r>
      <w:r w:rsidRPr="002B038A" w:rsidR="003A3784">
        <w:rPr>
          <w:rFonts w:asciiTheme="minorHAnsi" w:hAnsiTheme="minorHAnsi" w:cstheme="minorHAnsi"/>
          <w:color w:val="000000"/>
          <w:szCs w:val="24"/>
        </w:rPr>
        <w:t>1050</w:t>
      </w:r>
      <w:r w:rsidRPr="002B038A">
        <w:rPr>
          <w:rFonts w:asciiTheme="minorHAnsi" w:hAnsiTheme="minorHAnsi" w:cstheme="minorHAnsi"/>
          <w:color w:val="000000"/>
          <w:szCs w:val="24"/>
        </w:rPr>
        <w:t xml:space="preserve"> burden hours).  </w:t>
      </w:r>
    </w:p>
    <w:p w:rsidR="002B038A" w:rsidP="0006134A" w14:paraId="025BBA26" w14:textId="77777777">
      <w:pPr>
        <w:ind w:left="1080"/>
        <w:rPr>
          <w:rFonts w:asciiTheme="minorHAnsi" w:hAnsiTheme="minorHAnsi" w:cstheme="minorHAnsi"/>
          <w:color w:val="000000"/>
          <w:szCs w:val="24"/>
        </w:rPr>
      </w:pPr>
    </w:p>
    <w:p w:rsidR="002B038A" w:rsidRPr="002B038A" w:rsidP="0006134A" w14:paraId="06689C53" w14:textId="0247F35D">
      <w:pPr>
        <w:ind w:left="1080"/>
        <w:rPr>
          <w:rFonts w:asciiTheme="minorHAnsi" w:hAnsiTheme="minorHAnsi" w:cstheme="minorHAnsi"/>
          <w:color w:val="000000"/>
          <w:szCs w:val="24"/>
        </w:rPr>
      </w:pPr>
      <w:r>
        <w:rPr>
          <w:rFonts w:asciiTheme="minorHAnsi" w:hAnsiTheme="minorHAnsi" w:cstheme="minorHAnsi"/>
          <w:color w:val="000000"/>
          <w:szCs w:val="24"/>
        </w:rPr>
        <w:t xml:space="preserve">Currently, there are 206 </w:t>
      </w:r>
      <w:r w:rsidR="00685164">
        <w:rPr>
          <w:rFonts w:asciiTheme="minorHAnsi" w:hAnsiTheme="minorHAnsi" w:cstheme="minorHAnsi"/>
          <w:color w:val="000000"/>
          <w:szCs w:val="24"/>
        </w:rPr>
        <w:t xml:space="preserve">participating institutions </w:t>
      </w:r>
      <w:r w:rsidR="008F1871">
        <w:rPr>
          <w:rFonts w:asciiTheme="minorHAnsi" w:hAnsiTheme="minorHAnsi" w:cstheme="minorHAnsi"/>
          <w:color w:val="000000"/>
          <w:szCs w:val="24"/>
        </w:rPr>
        <w:t>participatin</w:t>
      </w:r>
      <w:r w:rsidR="00064F78">
        <w:rPr>
          <w:rFonts w:asciiTheme="minorHAnsi" w:hAnsiTheme="minorHAnsi" w:cstheme="minorHAnsi"/>
          <w:color w:val="000000"/>
          <w:szCs w:val="24"/>
        </w:rPr>
        <w:t>g</w:t>
      </w:r>
      <w:r w:rsidR="008F1871">
        <w:rPr>
          <w:rFonts w:asciiTheme="minorHAnsi" w:hAnsiTheme="minorHAnsi" w:cstheme="minorHAnsi"/>
          <w:color w:val="000000"/>
          <w:szCs w:val="24"/>
        </w:rPr>
        <w:t xml:space="preserve"> in</w:t>
      </w:r>
      <w:r w:rsidR="00685164">
        <w:rPr>
          <w:rFonts w:asciiTheme="minorHAnsi" w:hAnsiTheme="minorHAnsi" w:cstheme="minorHAnsi"/>
          <w:color w:val="000000"/>
          <w:szCs w:val="24"/>
        </w:rPr>
        <w:t xml:space="preserve"> the current Second Chan</w:t>
      </w:r>
      <w:r w:rsidR="00695DBA">
        <w:rPr>
          <w:rFonts w:asciiTheme="minorHAnsi" w:hAnsiTheme="minorHAnsi" w:cstheme="minorHAnsi"/>
          <w:color w:val="000000"/>
          <w:szCs w:val="24"/>
        </w:rPr>
        <w:t>ce</w:t>
      </w:r>
      <w:r w:rsidR="00685164">
        <w:rPr>
          <w:rFonts w:asciiTheme="minorHAnsi" w:hAnsiTheme="minorHAnsi" w:cstheme="minorHAnsi"/>
          <w:color w:val="000000"/>
          <w:szCs w:val="24"/>
        </w:rPr>
        <w:t xml:space="preserve"> Pell</w:t>
      </w:r>
      <w:r w:rsidR="00695DBA">
        <w:rPr>
          <w:rFonts w:asciiTheme="minorHAnsi" w:hAnsiTheme="minorHAnsi" w:cstheme="minorHAnsi"/>
          <w:color w:val="000000"/>
          <w:szCs w:val="24"/>
        </w:rPr>
        <w:t xml:space="preserve"> </w:t>
      </w:r>
      <w:r w:rsidR="00695DBA">
        <w:rPr>
          <w:rFonts w:asciiTheme="minorHAnsi" w:hAnsiTheme="minorHAnsi" w:cstheme="minorHAnsi"/>
          <w:color w:val="000000"/>
          <w:szCs w:val="24"/>
        </w:rPr>
        <w:t>Experiemental</w:t>
      </w:r>
      <w:r w:rsidR="00685164">
        <w:rPr>
          <w:rFonts w:asciiTheme="minorHAnsi" w:hAnsiTheme="minorHAnsi" w:cstheme="minorHAnsi"/>
          <w:color w:val="000000"/>
          <w:szCs w:val="24"/>
        </w:rPr>
        <w:t xml:space="preserve">  Program.</w:t>
      </w:r>
      <w:r w:rsidR="00AB7095">
        <w:rPr>
          <w:rFonts w:asciiTheme="minorHAnsi" w:hAnsiTheme="minorHAnsi" w:cstheme="minorHAnsi"/>
          <w:color w:val="000000"/>
          <w:szCs w:val="24"/>
        </w:rPr>
        <w:t xml:space="preserve"> </w:t>
      </w:r>
      <w:r w:rsidR="008F1871">
        <w:rPr>
          <w:rFonts w:asciiTheme="minorHAnsi" w:hAnsiTheme="minorHAnsi" w:cstheme="minorHAnsi"/>
          <w:color w:val="000000"/>
          <w:szCs w:val="24"/>
        </w:rPr>
        <w:t xml:space="preserve">These institutions have until 2026 to convert their programs into PEPs.  </w:t>
      </w:r>
      <w:r w:rsidRPr="00CA123B" w:rsidR="008F1871">
        <w:rPr>
          <w:rFonts w:asciiTheme="minorHAnsi" w:hAnsiTheme="minorHAnsi" w:cstheme="minorHAnsi"/>
          <w:color w:val="000000"/>
          <w:szCs w:val="24"/>
        </w:rPr>
        <w:t xml:space="preserve">With an estimated </w:t>
      </w:r>
      <w:r w:rsidR="008F1871">
        <w:rPr>
          <w:rFonts w:asciiTheme="minorHAnsi" w:hAnsiTheme="minorHAnsi" w:cstheme="minorHAnsi"/>
          <w:color w:val="000000"/>
          <w:szCs w:val="24"/>
        </w:rPr>
        <w:t xml:space="preserve">additional 206 </w:t>
      </w:r>
      <w:r w:rsidRPr="00CA123B" w:rsidR="008F1871">
        <w:rPr>
          <w:rFonts w:asciiTheme="minorHAnsi" w:hAnsiTheme="minorHAnsi" w:cstheme="minorHAnsi"/>
          <w:color w:val="000000"/>
          <w:szCs w:val="24"/>
        </w:rPr>
        <w:t xml:space="preserve">institutions participating </w:t>
      </w:r>
      <w:r w:rsidRPr="00CA123B" w:rsidR="008F1871">
        <w:rPr>
          <w:rFonts w:asciiTheme="minorHAnsi" w:hAnsiTheme="minorHAnsi" w:cstheme="minorHAnsi"/>
          <w:color w:val="000000"/>
          <w:szCs w:val="24"/>
        </w:rPr>
        <w:t>in the PEP program, accrediting agencies will require hours to complete this initial review (2</w:t>
      </w:r>
      <w:r w:rsidR="008F1871">
        <w:rPr>
          <w:rFonts w:asciiTheme="minorHAnsi" w:hAnsiTheme="minorHAnsi" w:cstheme="minorHAnsi"/>
          <w:color w:val="000000"/>
          <w:szCs w:val="24"/>
        </w:rPr>
        <w:t>06</w:t>
      </w:r>
      <w:r w:rsidRPr="00CA123B" w:rsidR="008F1871">
        <w:rPr>
          <w:rFonts w:asciiTheme="minorHAnsi" w:hAnsiTheme="minorHAnsi" w:cstheme="minorHAnsi"/>
          <w:color w:val="000000"/>
          <w:szCs w:val="24"/>
        </w:rPr>
        <w:t xml:space="preserve"> institutions x 8 hours = 1</w:t>
      </w:r>
      <w:r w:rsidR="008F1871">
        <w:rPr>
          <w:rFonts w:asciiTheme="minorHAnsi" w:hAnsiTheme="minorHAnsi" w:cstheme="minorHAnsi"/>
          <w:color w:val="000000"/>
          <w:szCs w:val="24"/>
        </w:rPr>
        <w:t>,</w:t>
      </w:r>
      <w:r w:rsidRPr="00CA123B" w:rsidR="008F1871">
        <w:rPr>
          <w:rFonts w:asciiTheme="minorHAnsi" w:hAnsiTheme="minorHAnsi" w:cstheme="minorHAnsi"/>
          <w:color w:val="000000"/>
          <w:szCs w:val="24"/>
        </w:rPr>
        <w:t>6</w:t>
      </w:r>
      <w:r w:rsidR="008F1871">
        <w:rPr>
          <w:rFonts w:asciiTheme="minorHAnsi" w:hAnsiTheme="minorHAnsi" w:cstheme="minorHAnsi"/>
          <w:color w:val="000000"/>
          <w:szCs w:val="24"/>
        </w:rPr>
        <w:t>4</w:t>
      </w:r>
      <w:r w:rsidRPr="00CA123B" w:rsidR="008F1871">
        <w:rPr>
          <w:rFonts w:asciiTheme="minorHAnsi" w:hAnsiTheme="minorHAnsi" w:cstheme="minorHAnsi"/>
          <w:color w:val="000000"/>
          <w:szCs w:val="24"/>
        </w:rPr>
        <w:t>8 burden hours)</w:t>
      </w:r>
    </w:p>
    <w:p w:rsidR="0006134A" w:rsidRPr="00E5091F" w:rsidP="0006134A" w14:paraId="7201AABB" w14:textId="77777777">
      <w:pPr>
        <w:ind w:left="1080"/>
        <w:rPr>
          <w:rFonts w:asciiTheme="minorHAnsi" w:hAnsiTheme="minorHAnsi" w:cstheme="minorHAnsi"/>
          <w:color w:val="000000"/>
          <w:szCs w:val="24"/>
          <w:highlight w:val="green"/>
        </w:rPr>
      </w:pPr>
    </w:p>
    <w:p w:rsidR="0006134A" w:rsidRPr="008A60D9" w:rsidP="0006134A" w14:paraId="44FFCE21" w14:textId="37F8D0D6">
      <w:pPr>
        <w:ind w:left="1080"/>
        <w:rPr>
          <w:rFonts w:asciiTheme="minorHAnsi" w:hAnsiTheme="minorHAnsi" w:cstheme="minorHAnsi"/>
          <w:color w:val="000000"/>
          <w:szCs w:val="24"/>
        </w:rPr>
      </w:pPr>
      <w:r w:rsidRPr="008A60D9">
        <w:rPr>
          <w:rFonts w:asciiTheme="minorHAnsi" w:hAnsiTheme="minorHAnsi" w:cstheme="minorHAnsi"/>
          <w:szCs w:val="24"/>
        </w:rPr>
        <w:t xml:space="preserve">Additionally, the </w:t>
      </w:r>
      <w:r w:rsidRPr="008A60D9" w:rsidR="005341C2">
        <w:rPr>
          <w:rFonts w:asciiTheme="minorHAnsi" w:hAnsiTheme="minorHAnsi" w:cstheme="minorHAnsi"/>
          <w:szCs w:val="24"/>
        </w:rPr>
        <w:t>final</w:t>
      </w:r>
      <w:r w:rsidRPr="008A60D9">
        <w:rPr>
          <w:rFonts w:asciiTheme="minorHAnsi" w:hAnsiTheme="minorHAnsi" w:cstheme="minorHAnsi"/>
          <w:szCs w:val="24"/>
        </w:rPr>
        <w:t xml:space="preserve"> regulations at</w:t>
      </w:r>
      <w:r w:rsidRPr="008A60D9">
        <w:rPr>
          <w:rFonts w:cstheme="minorHAnsi"/>
          <w:szCs w:val="24"/>
        </w:rPr>
        <w:t xml:space="preserve"> </w:t>
      </w:r>
      <w:r w:rsidRPr="008A60D9">
        <w:rPr>
          <w:rFonts w:asciiTheme="minorHAnsi" w:hAnsiTheme="minorHAnsi" w:cstheme="minorHAnsi"/>
          <w:szCs w:val="24"/>
        </w:rPr>
        <w:t>§ 668.237 require accrediting agencies to review the methodology used by an institution in determining the PEP meets the same standards for substantially similar non-PEP programs.</w:t>
      </w:r>
    </w:p>
    <w:p w:rsidR="0006134A" w:rsidRPr="008A60D9" w:rsidP="00192B5D" w14:paraId="36A8244F" w14:textId="0EBF8DDA">
      <w:pPr>
        <w:ind w:left="1080"/>
        <w:rPr>
          <w:rFonts w:asciiTheme="minorHAnsi" w:hAnsiTheme="minorHAnsi" w:cstheme="minorHAnsi"/>
          <w:color w:val="000000"/>
          <w:szCs w:val="24"/>
        </w:rPr>
      </w:pPr>
      <w:r w:rsidRPr="008A60D9">
        <w:rPr>
          <w:rFonts w:asciiTheme="minorHAnsi" w:hAnsiTheme="minorHAnsi" w:cstheme="minorHAnsi"/>
          <w:color w:val="000000"/>
          <w:szCs w:val="24"/>
        </w:rPr>
        <w:tab/>
      </w:r>
      <w:r w:rsidRPr="008A60D9">
        <w:rPr>
          <w:rFonts w:asciiTheme="minorHAnsi" w:hAnsiTheme="minorHAnsi" w:cstheme="minorHAnsi"/>
          <w:color w:val="000000"/>
          <w:szCs w:val="24"/>
        </w:rPr>
        <w:tab/>
      </w:r>
    </w:p>
    <w:p w:rsidR="0006134A" w:rsidRPr="008A60D9" w:rsidP="0006134A" w14:paraId="6C3DC7BC" w14:textId="1B203714">
      <w:pPr>
        <w:ind w:left="1080"/>
        <w:rPr>
          <w:rFonts w:asciiTheme="minorHAnsi" w:hAnsiTheme="minorHAnsi" w:cstheme="minorHAnsi"/>
          <w:color w:val="000000"/>
          <w:szCs w:val="24"/>
        </w:rPr>
      </w:pPr>
      <w:r w:rsidRPr="008A60D9">
        <w:rPr>
          <w:rFonts w:asciiTheme="minorHAnsi" w:hAnsiTheme="minorHAnsi" w:cstheme="minorHAnsi"/>
          <w:color w:val="000000"/>
          <w:szCs w:val="24"/>
        </w:rPr>
        <w:t xml:space="preserve">The total estimated burden for accrediting agencies to perform these tasks for the PEP evaluations is </w:t>
      </w:r>
      <w:r w:rsidRPr="008A60D9" w:rsidR="008A60D9">
        <w:rPr>
          <w:rFonts w:ascii="Times New Roman" w:hAnsi="Times New Roman"/>
          <w:szCs w:val="24"/>
        </w:rPr>
        <w:t>24,516</w:t>
      </w:r>
      <w:r w:rsidRPr="008A60D9" w:rsidR="00833A5D">
        <w:rPr>
          <w:rFonts w:asciiTheme="minorHAnsi" w:hAnsiTheme="minorHAnsi" w:cstheme="minorHAnsi"/>
          <w:color w:val="000000"/>
          <w:szCs w:val="24"/>
        </w:rPr>
        <w:t xml:space="preserve"> h</w:t>
      </w:r>
      <w:r w:rsidRPr="008A60D9">
        <w:rPr>
          <w:rFonts w:asciiTheme="minorHAnsi" w:hAnsiTheme="minorHAnsi" w:cstheme="minorHAnsi"/>
          <w:color w:val="000000"/>
          <w:szCs w:val="24"/>
        </w:rPr>
        <w:t>ours under the OMB Control Number 1840-</w:t>
      </w:r>
      <w:r w:rsidRPr="008A60D9" w:rsidR="00B46EE8">
        <w:rPr>
          <w:rFonts w:asciiTheme="minorHAnsi" w:hAnsiTheme="minorHAnsi" w:cstheme="minorHAnsi"/>
          <w:color w:val="000000"/>
          <w:szCs w:val="24"/>
        </w:rPr>
        <w:t>0863</w:t>
      </w:r>
      <w:r w:rsidRPr="008A60D9">
        <w:rPr>
          <w:rFonts w:asciiTheme="minorHAnsi" w:hAnsiTheme="minorHAnsi" w:cstheme="minorHAnsi"/>
          <w:color w:val="000000"/>
          <w:szCs w:val="24"/>
        </w:rPr>
        <w:t>.</w:t>
      </w:r>
    </w:p>
    <w:p w:rsidR="00FA48B5" w:rsidRPr="00E5091F" w:rsidP="0006134A" w14:paraId="71DE984F" w14:textId="0385F009">
      <w:pPr>
        <w:ind w:left="1080"/>
        <w:rPr>
          <w:rFonts w:asciiTheme="minorHAnsi" w:hAnsiTheme="minorHAnsi" w:cstheme="minorHAnsi"/>
          <w:color w:val="000000"/>
          <w:szCs w:val="24"/>
          <w:highlight w:val="green"/>
        </w:rPr>
      </w:pPr>
    </w:p>
    <w:p w:rsidR="00FA48B5" w:rsidRPr="00FA48B5" w:rsidP="0006134A" w14:paraId="44563AF2" w14:textId="3DEDCC63">
      <w:pPr>
        <w:ind w:left="1080"/>
        <w:rPr>
          <w:rFonts w:asciiTheme="minorHAnsi" w:hAnsiTheme="minorHAnsi" w:cstheme="minorHAnsi"/>
          <w:color w:val="000000"/>
          <w:szCs w:val="24"/>
        </w:rPr>
      </w:pPr>
      <w:r w:rsidRPr="008F1871">
        <w:rPr>
          <w:rFonts w:asciiTheme="minorHAnsi" w:hAnsiTheme="minorHAnsi" w:cstheme="minorHAnsi"/>
          <w:color w:val="000000" w:themeColor="text1"/>
          <w:szCs w:val="24"/>
        </w:rPr>
        <w:t>The monetized net cost of the burden for institutions was calculated using wage data developed using Bureau of Labor Statistics (BLS) data.  For institutions we have used the median hourly wage for Education Administrators, Postsecondary, $</w:t>
      </w:r>
      <w:r w:rsidRPr="008F1871" w:rsidR="00443467">
        <w:rPr>
          <w:rFonts w:asciiTheme="minorHAnsi" w:hAnsiTheme="minorHAnsi" w:cstheme="minorHAnsi"/>
          <w:color w:val="000000" w:themeColor="text1"/>
          <w:szCs w:val="24"/>
        </w:rPr>
        <w:t>49.33</w:t>
      </w:r>
      <w:r w:rsidRPr="008F1871">
        <w:rPr>
          <w:rFonts w:asciiTheme="minorHAnsi" w:hAnsiTheme="minorHAnsi" w:cstheme="minorHAnsi"/>
          <w:color w:val="000000" w:themeColor="text1"/>
          <w:szCs w:val="24"/>
        </w:rPr>
        <w:t xml:space="preserve"> per hour according to BLS as of </w:t>
      </w:r>
      <w:r w:rsidRPr="008F1871" w:rsidR="00DE5FAE">
        <w:rPr>
          <w:rFonts w:asciiTheme="minorHAnsi" w:hAnsiTheme="minorHAnsi" w:cstheme="minorHAnsi"/>
          <w:color w:val="000000" w:themeColor="text1"/>
          <w:szCs w:val="24"/>
        </w:rPr>
        <w:t>March 202</w:t>
      </w:r>
      <w:r w:rsidRPr="008F1871" w:rsidR="005D7778">
        <w:rPr>
          <w:rFonts w:asciiTheme="minorHAnsi" w:hAnsiTheme="minorHAnsi" w:cstheme="minorHAnsi"/>
          <w:color w:val="000000" w:themeColor="text1"/>
          <w:szCs w:val="24"/>
        </w:rPr>
        <w:t>3</w:t>
      </w:r>
      <w:r w:rsidRPr="008F1871">
        <w:rPr>
          <w:rFonts w:asciiTheme="minorHAnsi" w:hAnsiTheme="minorHAnsi" w:cstheme="minorHAnsi"/>
          <w:color w:val="000000" w:themeColor="text1"/>
          <w:szCs w:val="24"/>
        </w:rPr>
        <w:t xml:space="preserve">. </w:t>
      </w:r>
      <w:hyperlink r:id="rId10" w:history="1">
        <w:r w:rsidRPr="008F1871">
          <w:rPr>
            <w:rFonts w:asciiTheme="minorHAnsi" w:hAnsiTheme="minorHAnsi" w:cstheme="minorHAnsi"/>
            <w:color w:val="0000FF" w:themeColor="hyperlink"/>
            <w:szCs w:val="24"/>
            <w:u w:val="single"/>
          </w:rPr>
          <w:t>https://www.bls.gov/oes/current/oes119033.htm</w:t>
        </w:r>
      </w:hyperlink>
      <w:r w:rsidRPr="008F1871">
        <w:rPr>
          <w:rFonts w:asciiTheme="minorHAnsi" w:hAnsiTheme="minorHAnsi" w:cstheme="minorHAnsi"/>
          <w:color w:val="000000" w:themeColor="text1"/>
          <w:szCs w:val="24"/>
        </w:rPr>
        <w:t>.</w:t>
      </w:r>
    </w:p>
    <w:p w:rsidR="00AB4E3D" w:rsidRPr="00FB6309" w:rsidP="00EF4C67" w14:paraId="2C99FCF7" w14:textId="77777777">
      <w:pPr>
        <w:tabs>
          <w:tab w:val="left" w:pos="-720"/>
        </w:tabs>
        <w:suppressAutoHyphens/>
        <w:ind w:left="1080"/>
        <w:rPr>
          <w:rFonts w:asciiTheme="minorHAnsi" w:hAnsiTheme="minorHAnsi" w:cstheme="minorHAnsi"/>
          <w:szCs w:val="24"/>
        </w:rPr>
      </w:pPr>
    </w:p>
    <w:p w:rsidR="00F74099" w14:paraId="28123E5D" w14:textId="77777777">
      <w:pPr>
        <w:rPr>
          <w:rFonts w:ascii="Times New Roman" w:hAnsi="Times New Roman"/>
          <w:b/>
          <w:bCs/>
          <w:color w:val="000000" w:themeColor="text1"/>
          <w:szCs w:val="24"/>
        </w:rPr>
      </w:pPr>
      <w:r>
        <w:rPr>
          <w:rFonts w:ascii="Times New Roman" w:hAnsi="Times New Roman"/>
          <w:color w:val="000000" w:themeColor="text1"/>
          <w:szCs w:val="24"/>
        </w:rPr>
        <w:br w:type="page"/>
      </w:r>
    </w:p>
    <w:p w:rsidR="00ED7195" w:rsidP="00756FD3" w14:paraId="64280E96" w14:textId="01940F0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805" w:type="dxa"/>
        <w:tblLayout w:type="fixed"/>
        <w:tblLook w:val="0020"/>
      </w:tblPr>
      <w:tblGrid>
        <w:gridCol w:w="1890"/>
        <w:gridCol w:w="1275"/>
        <w:gridCol w:w="1080"/>
        <w:gridCol w:w="1420"/>
        <w:gridCol w:w="990"/>
        <w:gridCol w:w="1355"/>
        <w:gridCol w:w="1795"/>
      </w:tblGrid>
      <w:tr w14:paraId="30194A75" w14:textId="77777777" w:rsidTr="00987F15">
        <w:tblPrEx>
          <w:tblW w:w="9805" w:type="dxa"/>
          <w:tblLayout w:type="fixed"/>
          <w:tblLook w:val="0020"/>
        </w:tblPrEx>
        <w:trPr>
          <w:tblHeader/>
        </w:trPr>
        <w:tc>
          <w:tcPr>
            <w:tcW w:w="1890" w:type="dxa"/>
          </w:tcPr>
          <w:p w:rsidR="009C37AF" w:rsidRPr="00C911A2" w:rsidP="005D28E6" w14:paraId="5459AFEC" w14:textId="77777777">
            <w:pPr>
              <w:jc w:val="center"/>
              <w:rPr>
                <w:rFonts w:ascii="Times New Roman" w:hAnsi="Times New Roman"/>
                <w:sz w:val="20"/>
              </w:rPr>
            </w:pPr>
            <w:r w:rsidRPr="00C911A2">
              <w:rPr>
                <w:rFonts w:ascii="Times New Roman" w:hAnsi="Times New Roman"/>
                <w:sz w:val="20"/>
              </w:rPr>
              <w:t>Information Activity or IC (with type of respondent)</w:t>
            </w:r>
          </w:p>
        </w:tc>
        <w:tc>
          <w:tcPr>
            <w:tcW w:w="1275" w:type="dxa"/>
          </w:tcPr>
          <w:p w:rsidR="009C37AF" w:rsidRPr="00C911A2" w:rsidP="005D28E6" w14:paraId="68244276" w14:textId="77777777">
            <w:pPr>
              <w:jc w:val="center"/>
              <w:rPr>
                <w:rFonts w:ascii="Times New Roman" w:hAnsi="Times New Roman"/>
                <w:sz w:val="20"/>
              </w:rPr>
            </w:pPr>
            <w:r w:rsidRPr="00C911A2">
              <w:rPr>
                <w:rFonts w:ascii="Times New Roman" w:hAnsi="Times New Roman"/>
                <w:sz w:val="20"/>
              </w:rPr>
              <w:t>Number of Respondents</w:t>
            </w:r>
          </w:p>
        </w:tc>
        <w:tc>
          <w:tcPr>
            <w:tcW w:w="1080" w:type="dxa"/>
          </w:tcPr>
          <w:p w:rsidR="009C37AF" w:rsidRPr="00C911A2" w:rsidP="005D28E6" w14:paraId="2C56A71F" w14:textId="77777777">
            <w:pPr>
              <w:jc w:val="center"/>
              <w:rPr>
                <w:rFonts w:ascii="Times New Roman" w:hAnsi="Times New Roman"/>
                <w:sz w:val="20"/>
              </w:rPr>
            </w:pPr>
            <w:r w:rsidRPr="00C911A2">
              <w:rPr>
                <w:rFonts w:ascii="Times New Roman" w:hAnsi="Times New Roman"/>
                <w:sz w:val="20"/>
              </w:rPr>
              <w:t>Number of Responses</w:t>
            </w:r>
          </w:p>
        </w:tc>
        <w:tc>
          <w:tcPr>
            <w:tcW w:w="1420" w:type="dxa"/>
          </w:tcPr>
          <w:p w:rsidR="009C37AF" w:rsidRPr="00C911A2" w:rsidP="005D28E6" w14:paraId="69413425" w14:textId="142B237E">
            <w:pPr>
              <w:jc w:val="center"/>
              <w:rPr>
                <w:rFonts w:ascii="Times New Roman" w:hAnsi="Times New Roman"/>
                <w:sz w:val="20"/>
              </w:rPr>
            </w:pPr>
            <w:r w:rsidRPr="00C911A2">
              <w:rPr>
                <w:rFonts w:ascii="Times New Roman" w:hAnsi="Times New Roman"/>
                <w:sz w:val="20"/>
              </w:rPr>
              <w:t>Average Burden Hours per Response</w:t>
            </w:r>
            <w:r w:rsidR="00987F15">
              <w:rPr>
                <w:rFonts w:ascii="Times New Roman" w:hAnsi="Times New Roman"/>
                <w:sz w:val="20"/>
              </w:rPr>
              <w:t xml:space="preserve"> (Accreditation Agency)</w:t>
            </w:r>
          </w:p>
        </w:tc>
        <w:tc>
          <w:tcPr>
            <w:tcW w:w="990" w:type="dxa"/>
          </w:tcPr>
          <w:p w:rsidR="009C37AF" w:rsidRPr="00C911A2" w:rsidP="005D28E6" w14:paraId="41E0E3BB" w14:textId="77777777">
            <w:pPr>
              <w:rPr>
                <w:rFonts w:ascii="Times New Roman" w:hAnsi="Times New Roman"/>
                <w:sz w:val="20"/>
              </w:rPr>
            </w:pPr>
            <w:r w:rsidRPr="00C911A2">
              <w:rPr>
                <w:rFonts w:ascii="Times New Roman" w:hAnsi="Times New Roman"/>
                <w:sz w:val="20"/>
              </w:rPr>
              <w:t>Total Annual Burden Hours</w:t>
            </w:r>
          </w:p>
        </w:tc>
        <w:tc>
          <w:tcPr>
            <w:tcW w:w="1355" w:type="dxa"/>
          </w:tcPr>
          <w:p w:rsidR="009C37AF" w:rsidRPr="00C911A2" w:rsidP="005D28E6" w14:paraId="2D036494" w14:textId="3D70C07B">
            <w:pPr>
              <w:jc w:val="center"/>
              <w:rPr>
                <w:rFonts w:ascii="Times New Roman" w:hAnsi="Times New Roman"/>
                <w:sz w:val="20"/>
              </w:rPr>
            </w:pPr>
            <w:r w:rsidRPr="00C911A2">
              <w:rPr>
                <w:rFonts w:ascii="Times New Roman" w:hAnsi="Times New Roman"/>
                <w:sz w:val="20"/>
              </w:rPr>
              <w:t>Estimated Respondent Average Hourly Wage</w:t>
            </w:r>
            <w:r w:rsidRPr="00C911A2" w:rsidR="00D85845">
              <w:rPr>
                <w:rFonts w:ascii="Times New Roman" w:hAnsi="Times New Roman"/>
                <w:sz w:val="20"/>
              </w:rPr>
              <w:t xml:space="preserve"> $4</w:t>
            </w:r>
            <w:r w:rsidRPr="00C911A2" w:rsidR="00CC7470">
              <w:rPr>
                <w:rFonts w:ascii="Times New Roman" w:hAnsi="Times New Roman"/>
                <w:sz w:val="20"/>
              </w:rPr>
              <w:t>9.33</w:t>
            </w:r>
          </w:p>
        </w:tc>
        <w:tc>
          <w:tcPr>
            <w:tcW w:w="1795" w:type="dxa"/>
          </w:tcPr>
          <w:p w:rsidR="009C37AF" w:rsidRPr="00C911A2" w:rsidP="00FA48B5" w14:paraId="31A8B44A" w14:textId="69B2F781">
            <w:pPr>
              <w:jc w:val="center"/>
              <w:rPr>
                <w:rFonts w:ascii="Times New Roman" w:hAnsi="Times New Roman"/>
                <w:sz w:val="20"/>
              </w:rPr>
            </w:pPr>
            <w:r w:rsidRPr="00C911A2">
              <w:rPr>
                <w:rFonts w:ascii="Times New Roman" w:hAnsi="Times New Roman"/>
                <w:sz w:val="20"/>
              </w:rPr>
              <w:t>Total Annual Costs (hourly wage x total burden hours)</w:t>
            </w:r>
            <w:r w:rsidRPr="00C911A2" w:rsidR="00FA48B5">
              <w:rPr>
                <w:rFonts w:ascii="Times New Roman" w:hAnsi="Times New Roman"/>
                <w:sz w:val="20"/>
              </w:rPr>
              <w:t xml:space="preserve"> </w:t>
            </w:r>
          </w:p>
        </w:tc>
      </w:tr>
      <w:tr w14:paraId="3613CD1F" w14:textId="77777777" w:rsidTr="00987F15">
        <w:tblPrEx>
          <w:tblW w:w="9805" w:type="dxa"/>
          <w:tblLayout w:type="fixed"/>
          <w:tblLook w:val="0020"/>
        </w:tblPrEx>
        <w:tc>
          <w:tcPr>
            <w:tcW w:w="1890" w:type="dxa"/>
          </w:tcPr>
          <w:p w:rsidR="009C37AF" w:rsidRPr="00C911A2" w:rsidP="005D28E6" w14:paraId="5E124871" w14:textId="333F199B">
            <w:pPr>
              <w:rPr>
                <w:rFonts w:asciiTheme="minorHAnsi" w:hAnsiTheme="minorHAnsi" w:cstheme="minorHAnsi"/>
                <w:szCs w:val="24"/>
              </w:rPr>
            </w:pPr>
            <w:r w:rsidRPr="00C911A2">
              <w:rPr>
                <w:rFonts w:asciiTheme="minorHAnsi" w:hAnsiTheme="minorHAnsi" w:cstheme="minorHAnsi"/>
                <w:szCs w:val="24"/>
              </w:rPr>
              <w:t>Private Institutions</w:t>
            </w:r>
            <w:r w:rsidRPr="00C911A2" w:rsidR="00C30E7F">
              <w:rPr>
                <w:rFonts w:asciiTheme="minorHAnsi" w:hAnsiTheme="minorHAnsi" w:cstheme="minorHAnsi"/>
                <w:szCs w:val="24"/>
              </w:rPr>
              <w:t xml:space="preserve"> (Enrolled in PEP)</w:t>
            </w:r>
          </w:p>
        </w:tc>
        <w:tc>
          <w:tcPr>
            <w:tcW w:w="1275" w:type="dxa"/>
          </w:tcPr>
          <w:p w:rsidR="009C37AF" w:rsidRPr="00C911A2" w:rsidP="00833A5D" w14:paraId="5E785442" w14:textId="03ECEBD4">
            <w:pPr>
              <w:jc w:val="center"/>
              <w:rPr>
                <w:rFonts w:ascii="Times New Roman" w:hAnsi="Times New Roman"/>
                <w:szCs w:val="24"/>
              </w:rPr>
            </w:pPr>
            <w:r w:rsidRPr="00C911A2">
              <w:rPr>
                <w:rFonts w:ascii="Times New Roman" w:hAnsi="Times New Roman"/>
                <w:szCs w:val="24"/>
              </w:rPr>
              <w:t>21</w:t>
            </w:r>
          </w:p>
        </w:tc>
        <w:tc>
          <w:tcPr>
            <w:tcW w:w="1080" w:type="dxa"/>
          </w:tcPr>
          <w:p w:rsidR="009C37AF" w:rsidRPr="00C911A2" w:rsidP="00833A5D" w14:paraId="49455BBE" w14:textId="5F52611D">
            <w:pPr>
              <w:jc w:val="center"/>
              <w:rPr>
                <w:rFonts w:ascii="Times New Roman" w:hAnsi="Times New Roman"/>
                <w:szCs w:val="24"/>
              </w:rPr>
            </w:pPr>
            <w:r w:rsidRPr="00C911A2">
              <w:rPr>
                <w:rFonts w:ascii="Times New Roman" w:hAnsi="Times New Roman"/>
                <w:szCs w:val="24"/>
              </w:rPr>
              <w:t>1</w:t>
            </w:r>
          </w:p>
        </w:tc>
        <w:tc>
          <w:tcPr>
            <w:tcW w:w="1420" w:type="dxa"/>
          </w:tcPr>
          <w:p w:rsidR="009C37AF" w:rsidRPr="00C911A2" w:rsidP="00833A5D" w14:paraId="04DD53DB" w14:textId="10D9D913">
            <w:pPr>
              <w:jc w:val="center"/>
              <w:rPr>
                <w:rFonts w:ascii="Times New Roman" w:hAnsi="Times New Roman"/>
                <w:szCs w:val="24"/>
              </w:rPr>
            </w:pPr>
            <w:r w:rsidRPr="00C911A2">
              <w:rPr>
                <w:rFonts w:ascii="Times New Roman" w:hAnsi="Times New Roman"/>
                <w:szCs w:val="24"/>
              </w:rPr>
              <w:t>8</w:t>
            </w:r>
          </w:p>
        </w:tc>
        <w:tc>
          <w:tcPr>
            <w:tcW w:w="990" w:type="dxa"/>
          </w:tcPr>
          <w:p w:rsidR="009C37AF" w:rsidRPr="00C911A2" w:rsidP="00833A5D" w14:paraId="39E6A524" w14:textId="02E6D0CB">
            <w:pPr>
              <w:pStyle w:val="EndnoteText"/>
              <w:tabs>
                <w:tab w:val="clear" w:pos="-720"/>
              </w:tabs>
              <w:suppressAutoHyphens w:val="0"/>
              <w:jc w:val="center"/>
              <w:rPr>
                <w:rFonts w:ascii="Times New Roman" w:hAnsi="Times New Roman"/>
                <w:szCs w:val="24"/>
              </w:rPr>
            </w:pPr>
            <w:r>
              <w:rPr>
                <w:rFonts w:ascii="Times New Roman" w:hAnsi="Times New Roman"/>
                <w:szCs w:val="24"/>
              </w:rPr>
              <w:t>168</w:t>
            </w:r>
          </w:p>
        </w:tc>
        <w:tc>
          <w:tcPr>
            <w:tcW w:w="1355" w:type="dxa"/>
          </w:tcPr>
          <w:p w:rsidR="009C37AF" w:rsidRPr="00C911A2" w:rsidP="00D85845" w14:paraId="605A32D6" w14:textId="532ABB43">
            <w:pPr>
              <w:jc w:val="right"/>
              <w:rPr>
                <w:rFonts w:ascii="Times New Roman" w:hAnsi="Times New Roman"/>
                <w:szCs w:val="24"/>
              </w:rPr>
            </w:pPr>
            <w:r w:rsidRPr="00C911A2">
              <w:rPr>
                <w:rFonts w:ascii="Times New Roman" w:hAnsi="Times New Roman"/>
                <w:szCs w:val="24"/>
              </w:rPr>
              <w:t>$</w:t>
            </w:r>
            <w:r w:rsidRPr="00C911A2" w:rsidR="00443467">
              <w:rPr>
                <w:rFonts w:ascii="Times New Roman" w:hAnsi="Times New Roman"/>
                <w:szCs w:val="24"/>
              </w:rPr>
              <w:t>49.33</w:t>
            </w:r>
          </w:p>
        </w:tc>
        <w:tc>
          <w:tcPr>
            <w:tcW w:w="1795" w:type="dxa"/>
          </w:tcPr>
          <w:p w:rsidR="009C37AF" w:rsidRPr="00C911A2" w:rsidP="00833A5D" w14:paraId="7F5D36FF" w14:textId="63F34301">
            <w:pPr>
              <w:jc w:val="center"/>
              <w:rPr>
                <w:rFonts w:ascii="Times New Roman" w:hAnsi="Times New Roman"/>
                <w:szCs w:val="24"/>
              </w:rPr>
            </w:pPr>
            <w:r w:rsidRPr="00C911A2">
              <w:rPr>
                <w:rFonts w:ascii="Times New Roman" w:hAnsi="Times New Roman"/>
                <w:szCs w:val="24"/>
              </w:rPr>
              <w:t>$</w:t>
            </w:r>
            <w:r w:rsidR="007E7843">
              <w:rPr>
                <w:rFonts w:ascii="Times New Roman" w:hAnsi="Times New Roman"/>
                <w:szCs w:val="24"/>
              </w:rPr>
              <w:t>8,288</w:t>
            </w:r>
          </w:p>
        </w:tc>
      </w:tr>
      <w:tr w14:paraId="3740EB8A" w14:textId="77777777" w:rsidTr="00987F15">
        <w:tblPrEx>
          <w:tblW w:w="9805" w:type="dxa"/>
          <w:tblLayout w:type="fixed"/>
          <w:tblLook w:val="0020"/>
        </w:tblPrEx>
        <w:tc>
          <w:tcPr>
            <w:tcW w:w="1890" w:type="dxa"/>
          </w:tcPr>
          <w:p w:rsidR="000C3CB2" w:rsidRPr="00C911A2" w:rsidP="000C3CB2" w14:paraId="4D8FA9A4" w14:textId="1730E02A">
            <w:pPr>
              <w:rPr>
                <w:rFonts w:ascii="Times New Roman" w:hAnsi="Times New Roman"/>
                <w:szCs w:val="24"/>
              </w:rPr>
            </w:pPr>
            <w:r w:rsidRPr="00C911A2">
              <w:rPr>
                <w:rFonts w:asciiTheme="minorHAnsi" w:hAnsiTheme="minorHAnsi" w:cstheme="minorHAnsi"/>
                <w:szCs w:val="24"/>
              </w:rPr>
              <w:t xml:space="preserve">Private Institutions (Enrolled in PEP) </w:t>
            </w:r>
            <w:r w:rsidR="005F1571">
              <w:rPr>
                <w:rFonts w:asciiTheme="minorHAnsi" w:hAnsiTheme="minorHAnsi" w:cstheme="minorHAnsi"/>
                <w:szCs w:val="24"/>
              </w:rPr>
              <w:t>Site Visit</w:t>
            </w:r>
          </w:p>
        </w:tc>
        <w:tc>
          <w:tcPr>
            <w:tcW w:w="1275" w:type="dxa"/>
          </w:tcPr>
          <w:p w:rsidR="000C3CB2" w:rsidRPr="00C911A2" w:rsidP="000C3CB2" w14:paraId="1B6BE53A" w14:textId="00EDB9DE">
            <w:pPr>
              <w:jc w:val="center"/>
              <w:rPr>
                <w:rFonts w:ascii="Times New Roman" w:hAnsi="Times New Roman"/>
                <w:szCs w:val="24"/>
              </w:rPr>
            </w:pPr>
            <w:r w:rsidRPr="00C911A2">
              <w:rPr>
                <w:rFonts w:ascii="Times New Roman" w:hAnsi="Times New Roman"/>
                <w:szCs w:val="24"/>
              </w:rPr>
              <w:t>21</w:t>
            </w:r>
          </w:p>
        </w:tc>
        <w:tc>
          <w:tcPr>
            <w:tcW w:w="1080" w:type="dxa"/>
          </w:tcPr>
          <w:p w:rsidR="000C3CB2" w:rsidRPr="00C911A2" w:rsidP="005F1571" w14:paraId="1545A416" w14:textId="2837B1F7">
            <w:pPr>
              <w:rPr>
                <w:rFonts w:ascii="Times New Roman" w:hAnsi="Times New Roman"/>
                <w:szCs w:val="24"/>
              </w:rPr>
            </w:pPr>
            <w:r>
              <w:rPr>
                <w:rFonts w:ascii="Times New Roman" w:hAnsi="Times New Roman"/>
                <w:szCs w:val="24"/>
              </w:rPr>
              <w:t>1</w:t>
            </w:r>
          </w:p>
        </w:tc>
        <w:tc>
          <w:tcPr>
            <w:tcW w:w="1420" w:type="dxa"/>
          </w:tcPr>
          <w:p w:rsidR="000C3CB2" w:rsidRPr="00C911A2" w:rsidP="000C3CB2" w14:paraId="2BB49472" w14:textId="3A447C88">
            <w:pPr>
              <w:jc w:val="center"/>
              <w:rPr>
                <w:rFonts w:ascii="Times New Roman" w:hAnsi="Times New Roman"/>
                <w:szCs w:val="24"/>
              </w:rPr>
            </w:pPr>
            <w:r w:rsidRPr="00C911A2">
              <w:rPr>
                <w:rFonts w:ascii="Times New Roman" w:hAnsi="Times New Roman"/>
                <w:szCs w:val="24"/>
              </w:rPr>
              <w:t>50</w:t>
            </w:r>
          </w:p>
        </w:tc>
        <w:tc>
          <w:tcPr>
            <w:tcW w:w="990" w:type="dxa"/>
          </w:tcPr>
          <w:p w:rsidR="000C3CB2" w:rsidRPr="00C911A2" w:rsidP="000C3CB2" w14:paraId="49AF9296" w14:textId="22288DEE">
            <w:pPr>
              <w:jc w:val="center"/>
              <w:rPr>
                <w:rFonts w:ascii="Times New Roman" w:hAnsi="Times New Roman"/>
                <w:szCs w:val="24"/>
              </w:rPr>
            </w:pPr>
            <w:r w:rsidRPr="00C911A2">
              <w:rPr>
                <w:rFonts w:ascii="Times New Roman" w:hAnsi="Times New Roman"/>
                <w:szCs w:val="24"/>
              </w:rPr>
              <w:t>1,050</w:t>
            </w:r>
          </w:p>
        </w:tc>
        <w:tc>
          <w:tcPr>
            <w:tcW w:w="1355" w:type="dxa"/>
          </w:tcPr>
          <w:p w:rsidR="000C3CB2" w:rsidRPr="00C911A2" w:rsidP="00FC54EE" w14:paraId="6F974EAB" w14:textId="7CCB7A98">
            <w:pPr>
              <w:jc w:val="right"/>
              <w:rPr>
                <w:rFonts w:ascii="Times New Roman" w:hAnsi="Times New Roman"/>
                <w:szCs w:val="24"/>
              </w:rPr>
            </w:pPr>
            <w:r w:rsidRPr="00C911A2">
              <w:rPr>
                <w:rFonts w:ascii="Times New Roman" w:hAnsi="Times New Roman"/>
                <w:szCs w:val="24"/>
              </w:rPr>
              <w:t>$</w:t>
            </w:r>
            <w:r w:rsidRPr="00C911A2">
              <w:rPr>
                <w:rFonts w:ascii="Times New Roman" w:hAnsi="Times New Roman"/>
                <w:szCs w:val="24"/>
              </w:rPr>
              <w:t>49.33</w:t>
            </w:r>
          </w:p>
        </w:tc>
        <w:tc>
          <w:tcPr>
            <w:tcW w:w="1795" w:type="dxa"/>
          </w:tcPr>
          <w:p w:rsidR="000C3CB2" w:rsidRPr="00C911A2" w:rsidP="000C3CB2" w14:paraId="1AB1EF95" w14:textId="63166C50">
            <w:pPr>
              <w:jc w:val="center"/>
              <w:rPr>
                <w:rFonts w:ascii="Times New Roman" w:hAnsi="Times New Roman"/>
                <w:szCs w:val="24"/>
              </w:rPr>
            </w:pPr>
            <w:r w:rsidRPr="00C911A2">
              <w:rPr>
                <w:rFonts w:ascii="Times New Roman" w:hAnsi="Times New Roman"/>
                <w:szCs w:val="24"/>
              </w:rPr>
              <w:t>$</w:t>
            </w:r>
            <w:r w:rsidR="00B56E16">
              <w:rPr>
                <w:rFonts w:ascii="Times New Roman" w:hAnsi="Times New Roman"/>
                <w:szCs w:val="24"/>
              </w:rPr>
              <w:t>51,797</w:t>
            </w:r>
          </w:p>
        </w:tc>
      </w:tr>
      <w:tr w14:paraId="16B09D3A" w14:textId="77777777" w:rsidTr="00987F15">
        <w:tblPrEx>
          <w:tblW w:w="9805" w:type="dxa"/>
          <w:tblLayout w:type="fixed"/>
          <w:tblLook w:val="0020"/>
        </w:tblPrEx>
        <w:tc>
          <w:tcPr>
            <w:tcW w:w="1890" w:type="dxa"/>
          </w:tcPr>
          <w:p w:rsidR="00C911A2" w:rsidRPr="0069166D" w:rsidP="000C3CB2" w14:paraId="6B9616DD" w14:textId="7F6D2212">
            <w:pPr>
              <w:rPr>
                <w:rFonts w:ascii="Times New Roman" w:hAnsi="Times New Roman"/>
                <w:b/>
                <w:bCs/>
                <w:szCs w:val="24"/>
              </w:rPr>
            </w:pPr>
            <w:r w:rsidRPr="0069166D">
              <w:rPr>
                <w:rFonts w:ascii="Times New Roman" w:hAnsi="Times New Roman"/>
                <w:b/>
                <w:bCs/>
                <w:szCs w:val="24"/>
              </w:rPr>
              <w:t>Total APPROVED</w:t>
            </w:r>
            <w:r w:rsidR="00770BAF">
              <w:rPr>
                <w:rFonts w:ascii="Times New Roman" w:hAnsi="Times New Roman"/>
                <w:b/>
                <w:bCs/>
                <w:szCs w:val="24"/>
              </w:rPr>
              <w:t xml:space="preserve"> (Currently Enrolled in PEP)</w:t>
            </w:r>
          </w:p>
        </w:tc>
        <w:tc>
          <w:tcPr>
            <w:tcW w:w="1275" w:type="dxa"/>
          </w:tcPr>
          <w:p w:rsidR="00C911A2" w:rsidRPr="0069166D" w:rsidP="000C3CB2" w14:paraId="77F808C7" w14:textId="77777777">
            <w:pPr>
              <w:jc w:val="center"/>
              <w:rPr>
                <w:rFonts w:ascii="Times New Roman" w:hAnsi="Times New Roman"/>
                <w:b/>
                <w:bCs/>
                <w:szCs w:val="24"/>
              </w:rPr>
            </w:pPr>
          </w:p>
        </w:tc>
        <w:tc>
          <w:tcPr>
            <w:tcW w:w="1080" w:type="dxa"/>
          </w:tcPr>
          <w:p w:rsidR="00C911A2" w:rsidRPr="0069166D" w:rsidP="000C3CB2" w14:paraId="0175BB19" w14:textId="77777777">
            <w:pPr>
              <w:jc w:val="center"/>
              <w:rPr>
                <w:rFonts w:ascii="Times New Roman" w:hAnsi="Times New Roman"/>
                <w:b/>
                <w:bCs/>
                <w:szCs w:val="24"/>
              </w:rPr>
            </w:pPr>
          </w:p>
        </w:tc>
        <w:tc>
          <w:tcPr>
            <w:tcW w:w="1420" w:type="dxa"/>
          </w:tcPr>
          <w:p w:rsidR="00C911A2" w:rsidRPr="0069166D" w:rsidP="000C3CB2" w14:paraId="1C976ADA" w14:textId="2DCDF475">
            <w:pPr>
              <w:jc w:val="center"/>
              <w:rPr>
                <w:rFonts w:ascii="Times New Roman" w:hAnsi="Times New Roman"/>
                <w:b/>
                <w:bCs/>
                <w:szCs w:val="24"/>
              </w:rPr>
            </w:pPr>
          </w:p>
        </w:tc>
        <w:tc>
          <w:tcPr>
            <w:tcW w:w="990" w:type="dxa"/>
          </w:tcPr>
          <w:p w:rsidR="00C911A2" w:rsidRPr="0069166D" w:rsidP="000C3CB2" w14:paraId="77EAEC95" w14:textId="56A5B2EC">
            <w:pPr>
              <w:jc w:val="center"/>
              <w:rPr>
                <w:rFonts w:ascii="Times New Roman" w:hAnsi="Times New Roman"/>
                <w:b/>
                <w:bCs/>
                <w:szCs w:val="24"/>
              </w:rPr>
            </w:pPr>
            <w:r>
              <w:rPr>
                <w:rFonts w:ascii="Times New Roman" w:hAnsi="Times New Roman"/>
                <w:b/>
                <w:bCs/>
                <w:szCs w:val="24"/>
              </w:rPr>
              <w:t>2,268</w:t>
            </w:r>
          </w:p>
        </w:tc>
        <w:tc>
          <w:tcPr>
            <w:tcW w:w="1355" w:type="dxa"/>
          </w:tcPr>
          <w:p w:rsidR="00C911A2" w:rsidRPr="0069166D" w:rsidP="00FC54EE" w14:paraId="0A830F19" w14:textId="77777777">
            <w:pPr>
              <w:jc w:val="right"/>
              <w:rPr>
                <w:rFonts w:ascii="Times New Roman" w:hAnsi="Times New Roman"/>
                <w:b/>
                <w:bCs/>
                <w:szCs w:val="24"/>
              </w:rPr>
            </w:pPr>
          </w:p>
        </w:tc>
        <w:tc>
          <w:tcPr>
            <w:tcW w:w="1795" w:type="dxa"/>
          </w:tcPr>
          <w:p w:rsidR="00C911A2" w:rsidRPr="0069166D" w:rsidP="000C3CB2" w14:paraId="60E6F0CC" w14:textId="4F36080B">
            <w:pPr>
              <w:jc w:val="center"/>
              <w:rPr>
                <w:rFonts w:ascii="Times New Roman" w:hAnsi="Times New Roman"/>
                <w:b/>
                <w:bCs/>
                <w:szCs w:val="24"/>
              </w:rPr>
            </w:pPr>
            <w:r w:rsidRPr="0069166D">
              <w:rPr>
                <w:rFonts w:ascii="Times New Roman" w:hAnsi="Times New Roman"/>
                <w:b/>
                <w:bCs/>
                <w:szCs w:val="24"/>
              </w:rPr>
              <w:t>$6</w:t>
            </w:r>
            <w:r w:rsidR="00B56E16">
              <w:rPr>
                <w:rFonts w:ascii="Times New Roman" w:hAnsi="Times New Roman"/>
                <w:b/>
                <w:bCs/>
                <w:szCs w:val="24"/>
              </w:rPr>
              <w:t>0,085</w:t>
            </w:r>
          </w:p>
        </w:tc>
      </w:tr>
      <w:tr w14:paraId="6F9E6AB1" w14:textId="77777777" w:rsidTr="00987F15">
        <w:tblPrEx>
          <w:tblW w:w="9805" w:type="dxa"/>
          <w:tblLayout w:type="fixed"/>
          <w:tblLook w:val="0020"/>
        </w:tblPrEx>
        <w:tc>
          <w:tcPr>
            <w:tcW w:w="1890" w:type="dxa"/>
          </w:tcPr>
          <w:p w:rsidR="000C3CB2" w:rsidRPr="00C911A2" w:rsidP="000C3CB2" w14:paraId="52C194A3" w14:textId="15C15ACB">
            <w:pPr>
              <w:rPr>
                <w:rFonts w:ascii="Times New Roman" w:hAnsi="Times New Roman"/>
                <w:szCs w:val="24"/>
              </w:rPr>
            </w:pPr>
            <w:r w:rsidRPr="00C911A2">
              <w:rPr>
                <w:rFonts w:ascii="Times New Roman" w:hAnsi="Times New Roman"/>
                <w:szCs w:val="24"/>
              </w:rPr>
              <w:t xml:space="preserve">Private Institutions (eligible to </w:t>
            </w:r>
            <w:r w:rsidR="001042FD">
              <w:rPr>
                <w:rFonts w:ascii="Times New Roman" w:hAnsi="Times New Roman"/>
                <w:szCs w:val="24"/>
              </w:rPr>
              <w:t>convert to</w:t>
            </w:r>
            <w:r w:rsidRPr="00C911A2">
              <w:rPr>
                <w:rFonts w:ascii="Times New Roman" w:hAnsi="Times New Roman"/>
                <w:szCs w:val="24"/>
              </w:rPr>
              <w:t xml:space="preserve"> PEP in 2026) </w:t>
            </w:r>
          </w:p>
        </w:tc>
        <w:tc>
          <w:tcPr>
            <w:tcW w:w="1275" w:type="dxa"/>
          </w:tcPr>
          <w:p w:rsidR="000C3CB2" w:rsidRPr="00C911A2" w:rsidP="000C3CB2" w14:paraId="6770025C" w14:textId="1C4BAE31">
            <w:pPr>
              <w:jc w:val="center"/>
              <w:rPr>
                <w:rFonts w:ascii="Times New Roman" w:hAnsi="Times New Roman"/>
                <w:szCs w:val="24"/>
              </w:rPr>
            </w:pPr>
            <w:r w:rsidRPr="00C911A2">
              <w:rPr>
                <w:rFonts w:ascii="Times New Roman" w:hAnsi="Times New Roman"/>
                <w:szCs w:val="24"/>
              </w:rPr>
              <w:t>206</w:t>
            </w:r>
          </w:p>
        </w:tc>
        <w:tc>
          <w:tcPr>
            <w:tcW w:w="1080" w:type="dxa"/>
          </w:tcPr>
          <w:p w:rsidR="000C3CB2" w:rsidRPr="00C911A2" w:rsidP="000C3CB2" w14:paraId="4F1778C2" w14:textId="1E666013">
            <w:pPr>
              <w:jc w:val="center"/>
              <w:rPr>
                <w:rFonts w:ascii="Times New Roman" w:hAnsi="Times New Roman"/>
                <w:szCs w:val="24"/>
              </w:rPr>
            </w:pPr>
            <w:r w:rsidRPr="00C911A2">
              <w:rPr>
                <w:rFonts w:ascii="Times New Roman" w:hAnsi="Times New Roman"/>
                <w:szCs w:val="24"/>
              </w:rPr>
              <w:t>1</w:t>
            </w:r>
          </w:p>
        </w:tc>
        <w:tc>
          <w:tcPr>
            <w:tcW w:w="1420" w:type="dxa"/>
          </w:tcPr>
          <w:p w:rsidR="000C3CB2" w:rsidRPr="00C911A2" w:rsidP="000C3CB2" w14:paraId="5280958C" w14:textId="08D9A0D5">
            <w:pPr>
              <w:jc w:val="center"/>
              <w:rPr>
                <w:rFonts w:ascii="Times New Roman" w:hAnsi="Times New Roman"/>
                <w:szCs w:val="24"/>
              </w:rPr>
            </w:pPr>
            <w:r w:rsidRPr="00C911A2">
              <w:rPr>
                <w:rFonts w:ascii="Times New Roman" w:hAnsi="Times New Roman"/>
                <w:szCs w:val="24"/>
              </w:rPr>
              <w:t>8</w:t>
            </w:r>
          </w:p>
        </w:tc>
        <w:tc>
          <w:tcPr>
            <w:tcW w:w="990" w:type="dxa"/>
          </w:tcPr>
          <w:p w:rsidR="000C3CB2" w:rsidRPr="00C911A2" w:rsidP="000C3CB2" w14:paraId="29F60B5B" w14:textId="18A72FCF">
            <w:pPr>
              <w:jc w:val="center"/>
              <w:rPr>
                <w:rFonts w:ascii="Times New Roman" w:hAnsi="Times New Roman"/>
                <w:szCs w:val="24"/>
              </w:rPr>
            </w:pPr>
            <w:r w:rsidRPr="00C911A2">
              <w:rPr>
                <w:rFonts w:ascii="Times New Roman" w:hAnsi="Times New Roman"/>
                <w:szCs w:val="24"/>
              </w:rPr>
              <w:t>1</w:t>
            </w:r>
            <w:r w:rsidR="000144BB">
              <w:rPr>
                <w:rFonts w:ascii="Times New Roman" w:hAnsi="Times New Roman"/>
                <w:szCs w:val="24"/>
              </w:rPr>
              <w:t>,</w:t>
            </w:r>
            <w:r w:rsidRPr="00C911A2">
              <w:rPr>
                <w:rFonts w:ascii="Times New Roman" w:hAnsi="Times New Roman"/>
                <w:szCs w:val="24"/>
              </w:rPr>
              <w:t>648</w:t>
            </w:r>
          </w:p>
        </w:tc>
        <w:tc>
          <w:tcPr>
            <w:tcW w:w="1355" w:type="dxa"/>
          </w:tcPr>
          <w:p w:rsidR="000C3CB2" w:rsidRPr="00C911A2" w:rsidP="00FC54EE" w14:paraId="5F1E6053" w14:textId="252B1F0B">
            <w:pPr>
              <w:jc w:val="right"/>
              <w:rPr>
                <w:rFonts w:ascii="Times New Roman" w:hAnsi="Times New Roman"/>
                <w:szCs w:val="24"/>
              </w:rPr>
            </w:pPr>
            <w:r w:rsidRPr="00C911A2">
              <w:rPr>
                <w:rFonts w:ascii="Times New Roman" w:hAnsi="Times New Roman"/>
                <w:szCs w:val="24"/>
              </w:rPr>
              <w:t>$</w:t>
            </w:r>
            <w:r w:rsidRPr="00C911A2">
              <w:rPr>
                <w:rFonts w:ascii="Times New Roman" w:hAnsi="Times New Roman"/>
                <w:szCs w:val="24"/>
              </w:rPr>
              <w:t>49.33</w:t>
            </w:r>
          </w:p>
        </w:tc>
        <w:tc>
          <w:tcPr>
            <w:tcW w:w="1795" w:type="dxa"/>
          </w:tcPr>
          <w:p w:rsidR="000C3CB2" w:rsidRPr="00C911A2" w:rsidP="000C3CB2" w14:paraId="2B6227D2" w14:textId="284FAACF">
            <w:pPr>
              <w:jc w:val="center"/>
              <w:rPr>
                <w:rFonts w:ascii="Times New Roman" w:hAnsi="Times New Roman"/>
                <w:szCs w:val="24"/>
              </w:rPr>
            </w:pPr>
            <w:r>
              <w:rPr>
                <w:rFonts w:ascii="Times New Roman" w:hAnsi="Times New Roman"/>
                <w:szCs w:val="24"/>
              </w:rPr>
              <w:t>$81</w:t>
            </w:r>
            <w:r w:rsidR="00C03CB7">
              <w:rPr>
                <w:rFonts w:ascii="Times New Roman" w:hAnsi="Times New Roman"/>
                <w:szCs w:val="24"/>
              </w:rPr>
              <w:t>,296</w:t>
            </w:r>
          </w:p>
        </w:tc>
      </w:tr>
      <w:tr w14:paraId="3DEE77D3" w14:textId="77777777" w:rsidTr="00987F15">
        <w:tblPrEx>
          <w:tblW w:w="9805" w:type="dxa"/>
          <w:tblLayout w:type="fixed"/>
          <w:tblLook w:val="0020"/>
        </w:tblPrEx>
        <w:tc>
          <w:tcPr>
            <w:tcW w:w="1890" w:type="dxa"/>
          </w:tcPr>
          <w:p w:rsidR="000C3CB2" w:rsidRPr="00C911A2" w:rsidP="000C3CB2" w14:paraId="597BF3F3" w14:textId="16A545F8">
            <w:pPr>
              <w:rPr>
                <w:rFonts w:ascii="Times New Roman" w:hAnsi="Times New Roman"/>
                <w:szCs w:val="24"/>
              </w:rPr>
            </w:pPr>
            <w:r w:rsidRPr="00C911A2">
              <w:rPr>
                <w:rFonts w:ascii="Times New Roman" w:hAnsi="Times New Roman"/>
                <w:szCs w:val="24"/>
              </w:rPr>
              <w:t xml:space="preserve">Private Institutions (eligible </w:t>
            </w:r>
            <w:r w:rsidR="001042FD">
              <w:rPr>
                <w:rFonts w:ascii="Times New Roman" w:hAnsi="Times New Roman"/>
                <w:szCs w:val="24"/>
              </w:rPr>
              <w:t>to convert to</w:t>
            </w:r>
            <w:r w:rsidRPr="00C911A2">
              <w:rPr>
                <w:rFonts w:ascii="Times New Roman" w:hAnsi="Times New Roman"/>
                <w:szCs w:val="24"/>
              </w:rPr>
              <w:t xml:space="preserve"> PEP in 2026)   Site </w:t>
            </w:r>
            <w:r w:rsidR="005F1571">
              <w:rPr>
                <w:rFonts w:ascii="Times New Roman" w:hAnsi="Times New Roman"/>
                <w:szCs w:val="24"/>
              </w:rPr>
              <w:t>V</w:t>
            </w:r>
            <w:r w:rsidRPr="00C911A2">
              <w:rPr>
                <w:rFonts w:ascii="Times New Roman" w:hAnsi="Times New Roman"/>
                <w:szCs w:val="24"/>
              </w:rPr>
              <w:t>isit</w:t>
            </w:r>
          </w:p>
        </w:tc>
        <w:tc>
          <w:tcPr>
            <w:tcW w:w="1275" w:type="dxa"/>
          </w:tcPr>
          <w:p w:rsidR="000C3CB2" w:rsidRPr="00C911A2" w:rsidP="000C3CB2" w14:paraId="224C2C47" w14:textId="55171FB6">
            <w:pPr>
              <w:jc w:val="center"/>
              <w:rPr>
                <w:rFonts w:ascii="Times New Roman" w:hAnsi="Times New Roman"/>
                <w:szCs w:val="24"/>
              </w:rPr>
            </w:pPr>
            <w:r w:rsidRPr="00C911A2">
              <w:rPr>
                <w:rFonts w:ascii="Times New Roman" w:hAnsi="Times New Roman"/>
                <w:szCs w:val="24"/>
              </w:rPr>
              <w:t>206</w:t>
            </w:r>
          </w:p>
        </w:tc>
        <w:tc>
          <w:tcPr>
            <w:tcW w:w="1080" w:type="dxa"/>
          </w:tcPr>
          <w:p w:rsidR="000C3CB2" w:rsidRPr="00C911A2" w:rsidP="000C3CB2" w14:paraId="5F4B54EA" w14:textId="03AC8616">
            <w:pPr>
              <w:jc w:val="center"/>
              <w:rPr>
                <w:rFonts w:ascii="Times New Roman" w:hAnsi="Times New Roman"/>
                <w:szCs w:val="24"/>
              </w:rPr>
            </w:pPr>
            <w:r>
              <w:rPr>
                <w:rFonts w:ascii="Times New Roman" w:hAnsi="Times New Roman"/>
                <w:szCs w:val="24"/>
              </w:rPr>
              <w:t>2</w:t>
            </w:r>
          </w:p>
        </w:tc>
        <w:tc>
          <w:tcPr>
            <w:tcW w:w="1420" w:type="dxa"/>
          </w:tcPr>
          <w:p w:rsidR="000C3CB2" w:rsidRPr="00C911A2" w:rsidP="000C3CB2" w14:paraId="68058CE4" w14:textId="4388074F">
            <w:pPr>
              <w:jc w:val="center"/>
              <w:rPr>
                <w:rFonts w:ascii="Times New Roman" w:hAnsi="Times New Roman"/>
                <w:szCs w:val="24"/>
              </w:rPr>
            </w:pPr>
            <w:r w:rsidRPr="00C911A2">
              <w:rPr>
                <w:rFonts w:ascii="Times New Roman" w:hAnsi="Times New Roman"/>
                <w:szCs w:val="24"/>
              </w:rPr>
              <w:t>50</w:t>
            </w:r>
          </w:p>
        </w:tc>
        <w:tc>
          <w:tcPr>
            <w:tcW w:w="990" w:type="dxa"/>
          </w:tcPr>
          <w:p w:rsidR="000C3CB2" w:rsidRPr="001A679C" w:rsidP="000C3CB2" w14:paraId="37FAF8A5" w14:textId="4A34FF78">
            <w:pPr>
              <w:jc w:val="center"/>
              <w:rPr>
                <w:rFonts w:ascii="Times New Roman" w:hAnsi="Times New Roman"/>
                <w:b/>
                <w:bCs/>
                <w:szCs w:val="24"/>
              </w:rPr>
            </w:pPr>
            <w:r w:rsidRPr="001A679C">
              <w:rPr>
                <w:rFonts w:ascii="Times New Roman" w:hAnsi="Times New Roman"/>
                <w:b/>
                <w:bCs/>
                <w:szCs w:val="24"/>
              </w:rPr>
              <w:t>20,600</w:t>
            </w:r>
          </w:p>
        </w:tc>
        <w:tc>
          <w:tcPr>
            <w:tcW w:w="1355" w:type="dxa"/>
          </w:tcPr>
          <w:p w:rsidR="000C3CB2" w:rsidRPr="00C911A2" w:rsidP="00FC54EE" w14:paraId="3221A869" w14:textId="0252AC5C">
            <w:pPr>
              <w:jc w:val="right"/>
              <w:rPr>
                <w:rFonts w:ascii="Times New Roman" w:hAnsi="Times New Roman"/>
                <w:szCs w:val="24"/>
              </w:rPr>
            </w:pPr>
            <w:r w:rsidRPr="00C911A2">
              <w:rPr>
                <w:rFonts w:ascii="Times New Roman" w:hAnsi="Times New Roman"/>
                <w:szCs w:val="24"/>
              </w:rPr>
              <w:t>$</w:t>
            </w:r>
            <w:r w:rsidRPr="00C911A2">
              <w:rPr>
                <w:rFonts w:ascii="Times New Roman" w:hAnsi="Times New Roman"/>
                <w:szCs w:val="24"/>
              </w:rPr>
              <w:t>49.33</w:t>
            </w:r>
          </w:p>
        </w:tc>
        <w:tc>
          <w:tcPr>
            <w:tcW w:w="1795" w:type="dxa"/>
          </w:tcPr>
          <w:p w:rsidR="000C3CB2" w:rsidRPr="006B765A" w:rsidP="000C3CB2" w14:paraId="50468F26" w14:textId="59AFF2C3">
            <w:pPr>
              <w:jc w:val="center"/>
              <w:rPr>
                <w:rFonts w:ascii="Times New Roman" w:hAnsi="Times New Roman"/>
                <w:b/>
                <w:bCs/>
                <w:szCs w:val="24"/>
              </w:rPr>
            </w:pPr>
            <w:r w:rsidRPr="006B765A">
              <w:rPr>
                <w:rFonts w:ascii="Times New Roman" w:hAnsi="Times New Roman"/>
                <w:b/>
                <w:bCs/>
                <w:szCs w:val="24"/>
              </w:rPr>
              <w:t>$</w:t>
            </w:r>
            <w:r w:rsidRPr="006B765A" w:rsidR="006B765A">
              <w:rPr>
                <w:rFonts w:ascii="Times New Roman" w:hAnsi="Times New Roman"/>
                <w:b/>
                <w:bCs/>
                <w:szCs w:val="24"/>
              </w:rPr>
              <w:t>1,016,198</w:t>
            </w:r>
          </w:p>
        </w:tc>
      </w:tr>
      <w:tr w14:paraId="5041A97F" w14:textId="77777777" w:rsidTr="00987F15">
        <w:tblPrEx>
          <w:tblW w:w="9805" w:type="dxa"/>
          <w:tblLayout w:type="fixed"/>
          <w:tblLook w:val="0020"/>
        </w:tblPrEx>
        <w:trPr>
          <w:trHeight w:val="1003"/>
        </w:trPr>
        <w:tc>
          <w:tcPr>
            <w:tcW w:w="1890" w:type="dxa"/>
          </w:tcPr>
          <w:p w:rsidR="00C911A2" w:rsidRPr="00770BAF" w:rsidP="007219A4" w14:paraId="5E923DDC" w14:textId="79A5E07B">
            <w:pPr>
              <w:rPr>
                <w:rFonts w:ascii="Times New Roman" w:hAnsi="Times New Roman"/>
                <w:b/>
                <w:bCs/>
                <w:szCs w:val="24"/>
              </w:rPr>
            </w:pPr>
            <w:r w:rsidRPr="00770BAF">
              <w:rPr>
                <w:rFonts w:ascii="Times New Roman" w:hAnsi="Times New Roman"/>
                <w:b/>
                <w:bCs/>
                <w:szCs w:val="24"/>
              </w:rPr>
              <w:t>Total (E</w:t>
            </w:r>
            <w:r w:rsidR="00770BAF">
              <w:rPr>
                <w:rFonts w:ascii="Times New Roman" w:hAnsi="Times New Roman"/>
                <w:b/>
                <w:bCs/>
                <w:szCs w:val="24"/>
              </w:rPr>
              <w:t>ligible to convert to PEP</w:t>
            </w:r>
            <w:r w:rsidRPr="00770BAF">
              <w:rPr>
                <w:rFonts w:ascii="Times New Roman" w:hAnsi="Times New Roman"/>
                <w:b/>
                <w:bCs/>
                <w:szCs w:val="24"/>
              </w:rPr>
              <w:t>)</w:t>
            </w:r>
          </w:p>
        </w:tc>
        <w:tc>
          <w:tcPr>
            <w:tcW w:w="1275" w:type="dxa"/>
          </w:tcPr>
          <w:p w:rsidR="00C911A2" w:rsidRPr="00770BAF" w:rsidP="007219A4" w14:paraId="2B5C1417" w14:textId="77777777">
            <w:pPr>
              <w:jc w:val="center"/>
              <w:rPr>
                <w:rFonts w:ascii="Times New Roman" w:hAnsi="Times New Roman"/>
                <w:b/>
                <w:bCs/>
                <w:szCs w:val="24"/>
              </w:rPr>
            </w:pPr>
          </w:p>
        </w:tc>
        <w:tc>
          <w:tcPr>
            <w:tcW w:w="1080" w:type="dxa"/>
          </w:tcPr>
          <w:p w:rsidR="00C911A2" w:rsidRPr="00770BAF" w:rsidP="007219A4" w14:paraId="067B70CE" w14:textId="77777777">
            <w:pPr>
              <w:jc w:val="center"/>
              <w:rPr>
                <w:rFonts w:ascii="Times New Roman" w:hAnsi="Times New Roman"/>
                <w:b/>
                <w:bCs/>
                <w:szCs w:val="24"/>
              </w:rPr>
            </w:pPr>
          </w:p>
        </w:tc>
        <w:tc>
          <w:tcPr>
            <w:tcW w:w="1420" w:type="dxa"/>
          </w:tcPr>
          <w:p w:rsidR="00C911A2" w:rsidRPr="00770BAF" w:rsidP="007219A4" w14:paraId="48A33606" w14:textId="77777777">
            <w:pPr>
              <w:jc w:val="center"/>
              <w:rPr>
                <w:rFonts w:ascii="Times New Roman" w:hAnsi="Times New Roman"/>
                <w:b/>
                <w:bCs/>
                <w:szCs w:val="24"/>
              </w:rPr>
            </w:pPr>
          </w:p>
        </w:tc>
        <w:tc>
          <w:tcPr>
            <w:tcW w:w="990" w:type="dxa"/>
          </w:tcPr>
          <w:p w:rsidR="00C911A2" w:rsidRPr="00770BAF" w:rsidP="007219A4" w14:paraId="385C5DF2" w14:textId="56F859F2">
            <w:pPr>
              <w:jc w:val="center"/>
              <w:rPr>
                <w:rFonts w:ascii="Times New Roman" w:hAnsi="Times New Roman"/>
                <w:b/>
                <w:bCs/>
                <w:szCs w:val="24"/>
              </w:rPr>
            </w:pPr>
            <w:r w:rsidRPr="00770BAF">
              <w:rPr>
                <w:rFonts w:ascii="Times New Roman" w:hAnsi="Times New Roman"/>
                <w:b/>
                <w:bCs/>
                <w:szCs w:val="24"/>
              </w:rPr>
              <w:t>22,248</w:t>
            </w:r>
          </w:p>
        </w:tc>
        <w:tc>
          <w:tcPr>
            <w:tcW w:w="1355" w:type="dxa"/>
          </w:tcPr>
          <w:p w:rsidR="00C911A2" w:rsidRPr="00B16C19" w:rsidP="007219A4" w14:paraId="4A8CD79E" w14:textId="77777777">
            <w:pPr>
              <w:rPr>
                <w:rFonts w:ascii="Times New Roman" w:hAnsi="Times New Roman"/>
                <w:b/>
                <w:bCs/>
                <w:szCs w:val="24"/>
              </w:rPr>
            </w:pPr>
          </w:p>
        </w:tc>
        <w:tc>
          <w:tcPr>
            <w:tcW w:w="1795" w:type="dxa"/>
          </w:tcPr>
          <w:p w:rsidR="00C911A2" w:rsidRPr="00B16C19" w:rsidP="007219A4" w14:paraId="1838A5E9" w14:textId="4A4639E7">
            <w:pPr>
              <w:jc w:val="center"/>
              <w:rPr>
                <w:rFonts w:ascii="Times New Roman" w:hAnsi="Times New Roman"/>
                <w:b/>
                <w:bCs/>
                <w:szCs w:val="24"/>
              </w:rPr>
            </w:pPr>
            <w:r>
              <w:rPr>
                <w:rFonts w:ascii="Times New Roman" w:hAnsi="Times New Roman"/>
                <w:b/>
                <w:bCs/>
                <w:szCs w:val="24"/>
              </w:rPr>
              <w:t>$</w:t>
            </w:r>
            <w:r w:rsidR="00FD67AC">
              <w:rPr>
                <w:rFonts w:ascii="Times New Roman" w:hAnsi="Times New Roman"/>
                <w:b/>
                <w:bCs/>
                <w:szCs w:val="24"/>
              </w:rPr>
              <w:t>1,097,494</w:t>
            </w:r>
          </w:p>
        </w:tc>
      </w:tr>
      <w:tr w14:paraId="5172E224" w14:textId="77777777" w:rsidTr="00987F15">
        <w:tblPrEx>
          <w:tblW w:w="9805" w:type="dxa"/>
          <w:tblLayout w:type="fixed"/>
          <w:tblLook w:val="0020"/>
        </w:tblPrEx>
        <w:tc>
          <w:tcPr>
            <w:tcW w:w="1890" w:type="dxa"/>
          </w:tcPr>
          <w:p w:rsidR="007219A4" w:rsidRPr="008E57F0" w:rsidP="007219A4" w14:paraId="345A261B" w14:textId="1BA8C4DE">
            <w:pPr>
              <w:rPr>
                <w:rFonts w:ascii="Times New Roman" w:hAnsi="Times New Roman"/>
                <w:b/>
                <w:bCs/>
                <w:szCs w:val="24"/>
              </w:rPr>
            </w:pPr>
            <w:r w:rsidRPr="008E57F0">
              <w:rPr>
                <w:rFonts w:ascii="Times New Roman" w:hAnsi="Times New Roman"/>
                <w:b/>
                <w:bCs/>
                <w:szCs w:val="24"/>
              </w:rPr>
              <w:t>Total</w:t>
            </w:r>
          </w:p>
        </w:tc>
        <w:tc>
          <w:tcPr>
            <w:tcW w:w="1275" w:type="dxa"/>
          </w:tcPr>
          <w:p w:rsidR="007219A4" w:rsidRPr="008E57F0" w:rsidP="007219A4" w14:paraId="0174A3C4" w14:textId="329AEE1F">
            <w:pPr>
              <w:jc w:val="center"/>
              <w:rPr>
                <w:rFonts w:ascii="Times New Roman" w:hAnsi="Times New Roman"/>
                <w:b/>
                <w:bCs/>
                <w:szCs w:val="24"/>
              </w:rPr>
            </w:pPr>
            <w:r w:rsidRPr="008E57F0">
              <w:rPr>
                <w:rFonts w:ascii="Times New Roman" w:hAnsi="Times New Roman"/>
                <w:b/>
                <w:bCs/>
                <w:szCs w:val="24"/>
              </w:rPr>
              <w:t>227</w:t>
            </w:r>
          </w:p>
        </w:tc>
        <w:tc>
          <w:tcPr>
            <w:tcW w:w="1080" w:type="dxa"/>
          </w:tcPr>
          <w:p w:rsidR="007219A4" w:rsidRPr="008E57F0" w:rsidP="007219A4" w14:paraId="72BB5464" w14:textId="10A1AFBA">
            <w:pPr>
              <w:jc w:val="center"/>
              <w:rPr>
                <w:rFonts w:ascii="Times New Roman" w:hAnsi="Times New Roman"/>
                <w:b/>
                <w:bCs/>
                <w:szCs w:val="24"/>
              </w:rPr>
            </w:pPr>
          </w:p>
        </w:tc>
        <w:tc>
          <w:tcPr>
            <w:tcW w:w="1420" w:type="dxa"/>
          </w:tcPr>
          <w:p w:rsidR="007219A4" w:rsidRPr="008E57F0" w:rsidP="007219A4" w14:paraId="17A17765" w14:textId="6E4CBAA8">
            <w:pPr>
              <w:jc w:val="center"/>
              <w:rPr>
                <w:rFonts w:ascii="Times New Roman" w:hAnsi="Times New Roman"/>
                <w:b/>
                <w:bCs/>
                <w:szCs w:val="24"/>
              </w:rPr>
            </w:pPr>
          </w:p>
        </w:tc>
        <w:tc>
          <w:tcPr>
            <w:tcW w:w="990" w:type="dxa"/>
          </w:tcPr>
          <w:p w:rsidR="007219A4" w:rsidRPr="008E57F0" w:rsidP="007219A4" w14:paraId="286E0E79" w14:textId="3E175144">
            <w:pPr>
              <w:jc w:val="center"/>
              <w:rPr>
                <w:rFonts w:ascii="Times New Roman" w:hAnsi="Times New Roman"/>
                <w:b/>
                <w:bCs/>
                <w:szCs w:val="24"/>
              </w:rPr>
            </w:pPr>
            <w:r>
              <w:rPr>
                <w:rFonts w:ascii="Times New Roman" w:hAnsi="Times New Roman"/>
                <w:b/>
                <w:bCs/>
                <w:szCs w:val="24"/>
              </w:rPr>
              <w:t>24,516</w:t>
            </w:r>
          </w:p>
        </w:tc>
        <w:tc>
          <w:tcPr>
            <w:tcW w:w="1355" w:type="dxa"/>
          </w:tcPr>
          <w:p w:rsidR="007219A4" w:rsidRPr="008E57F0" w:rsidP="007219A4" w14:paraId="212DF4F3" w14:textId="77777777">
            <w:pPr>
              <w:rPr>
                <w:rFonts w:ascii="Times New Roman" w:hAnsi="Times New Roman"/>
                <w:b/>
                <w:bCs/>
                <w:szCs w:val="24"/>
              </w:rPr>
            </w:pPr>
          </w:p>
        </w:tc>
        <w:tc>
          <w:tcPr>
            <w:tcW w:w="1795" w:type="dxa"/>
          </w:tcPr>
          <w:p w:rsidR="007219A4" w:rsidRPr="008E57F0" w:rsidP="007219A4" w14:paraId="7B1AE292" w14:textId="1C73F41D">
            <w:pPr>
              <w:jc w:val="center"/>
              <w:rPr>
                <w:rFonts w:ascii="Times New Roman" w:hAnsi="Times New Roman"/>
                <w:b/>
                <w:bCs/>
                <w:szCs w:val="24"/>
              </w:rPr>
            </w:pPr>
            <w:r>
              <w:rPr>
                <w:rFonts w:ascii="Times New Roman" w:hAnsi="Times New Roman"/>
                <w:b/>
                <w:bCs/>
                <w:szCs w:val="24"/>
              </w:rPr>
              <w:t>$</w:t>
            </w:r>
            <w:r w:rsidR="00331228">
              <w:rPr>
                <w:rFonts w:ascii="Times New Roman" w:hAnsi="Times New Roman"/>
                <w:b/>
                <w:bCs/>
                <w:szCs w:val="24"/>
              </w:rPr>
              <w:t>1,157,579</w:t>
            </w:r>
          </w:p>
        </w:tc>
      </w:tr>
    </w:tbl>
    <w:p w:rsidR="009C37AF" w:rsidRPr="009C37AF" w:rsidP="00833A5D" w14:paraId="41C4D4A6" w14:textId="77777777"/>
    <w:p w:rsidR="00F31BEC"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8A60D9" w:rsidP="000446F5" w14:paraId="73F86A55" w14:textId="77777777">
      <w:pPr>
        <w:pStyle w:val="ListParagraph"/>
        <w:tabs>
          <w:tab w:val="left" w:pos="-720"/>
        </w:tabs>
        <w:suppressAutoHyphens/>
        <w:ind w:left="-864" w:right="-864"/>
        <w:rPr>
          <w:rStyle w:val="a"/>
          <w:rFonts w:ascii="Times New Roman" w:hAnsi="Times New Roman"/>
          <w:b/>
          <w:bCs/>
          <w:i/>
          <w:iCs/>
          <w:sz w:val="22"/>
          <w:szCs w:val="22"/>
        </w:rPr>
      </w:pPr>
    </w:p>
    <w:p w:rsidR="008A60D9" w:rsidRPr="008A60D9" w:rsidP="008A60D9" w14:paraId="4DFEAECF" w14:textId="7157C0BB">
      <w:pPr>
        <w:tabs>
          <w:tab w:val="left" w:pos="-720"/>
        </w:tabs>
        <w:suppressAutoHyphens/>
        <w:ind w:right="-864"/>
        <w:rPr>
          <w:rStyle w:val="a"/>
          <w:rFonts w:ascii="Times New Roman" w:hAnsi="Times New Roman"/>
          <w:b/>
          <w:bCs/>
          <w:sz w:val="22"/>
          <w:szCs w:val="22"/>
        </w:rPr>
      </w:pP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7C700A" w14:paraId="64280EE6" w14:textId="77777777">
      <w:pPr>
        <w:numPr>
          <w:ilvl w:val="0"/>
          <w:numId w:val="1"/>
        </w:numPr>
        <w:tabs>
          <w:tab w:val="left" w:pos="-720"/>
          <w:tab w:val="clear" w:pos="700"/>
        </w:tabs>
        <w:suppressAutoHyphens/>
        <w:ind w:left="117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w:t>
      </w:r>
      <w:r w:rsidRPr="00ED7195">
        <w:rPr>
          <w:rFonts w:ascii="Times New Roman" w:hAnsi="Times New Roman"/>
          <w:b/>
          <w:szCs w:val="24"/>
        </w:rPr>
        <w:t>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ED7195" w:rsidP="007C700A" w14:paraId="64280EE8"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7C700A" w14:paraId="64280EEA" w14:textId="77777777">
      <w:pPr>
        <w:numPr>
          <w:ilvl w:val="0"/>
          <w:numId w:val="1"/>
        </w:numPr>
        <w:tabs>
          <w:tab w:val="left" w:pos="-720"/>
          <w:tab w:val="clear" w:pos="700"/>
          <w:tab w:val="left" w:pos="1170"/>
        </w:tabs>
        <w:suppressAutoHyphens/>
        <w:ind w:left="117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14:paraId="64280EEE" w14:textId="53D0F4C6">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BB03CE" w:rsidP="00AD381B" w14:paraId="124B3696" w14:textId="6A79C61F">
      <w:pPr>
        <w:tabs>
          <w:tab w:val="left" w:pos="-720"/>
        </w:tabs>
        <w:suppressAutoHyphens/>
        <w:rPr>
          <w:rFonts w:ascii="Times New Roman" w:hAnsi="Times New Roman"/>
          <w:b/>
          <w:szCs w:val="24"/>
        </w:rPr>
      </w:pPr>
    </w:p>
    <w:p w:rsidR="00D85845" w:rsidRPr="00205FBE" w:rsidP="00D85845" w14:paraId="69EB03EF" w14:textId="1D4FDBCD">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 xml:space="preserve">There </w:t>
      </w:r>
      <w:r w:rsidRPr="00205FBE">
        <w:rPr>
          <w:rFonts w:asciiTheme="minorHAnsi" w:hAnsiTheme="minorHAnsi" w:cstheme="minorHAnsi"/>
          <w:szCs w:val="24"/>
        </w:rPr>
        <w:t>are</w:t>
      </w:r>
      <w:r w:rsidRPr="00205FBE">
        <w:rPr>
          <w:rFonts w:asciiTheme="minorHAnsi" w:hAnsiTheme="minorHAnsi" w:cstheme="minorHAnsi"/>
          <w:szCs w:val="24"/>
        </w:rPr>
        <w:t xml:space="preserve"> no start-up costs related to this</w:t>
      </w:r>
      <w:r w:rsidR="00AB7095">
        <w:rPr>
          <w:rFonts w:asciiTheme="minorHAnsi" w:hAnsiTheme="minorHAnsi" w:cstheme="minorHAnsi"/>
          <w:szCs w:val="24"/>
        </w:rPr>
        <w:t xml:space="preserve"> </w:t>
      </w:r>
      <w:r w:rsidRPr="00205FBE">
        <w:rPr>
          <w:rFonts w:asciiTheme="minorHAnsi" w:hAnsiTheme="minorHAnsi" w:cstheme="minorHAnsi"/>
          <w:szCs w:val="24"/>
        </w:rPr>
        <w:t>regulation.</w:t>
      </w:r>
    </w:p>
    <w:p w:rsidR="00043C32" w:rsidP="00AD381B" w14:paraId="64280EEF"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D85845" w:rsidRPr="00205FBE" w:rsidP="00D85845" w14:paraId="3200F76E" w14:textId="3FD5DE39">
      <w:pPr>
        <w:pStyle w:val="ListParagraph"/>
        <w:tabs>
          <w:tab w:val="left" w:pos="-720"/>
        </w:tabs>
        <w:suppressAutoHyphens/>
        <w:contextualSpacing w:val="0"/>
        <w:rPr>
          <w:rFonts w:asciiTheme="minorHAnsi" w:hAnsiTheme="minorHAnsi" w:cstheme="minorHAnsi"/>
          <w:szCs w:val="24"/>
        </w:rPr>
      </w:pPr>
      <w:r w:rsidRPr="00205FBE">
        <w:rPr>
          <w:rFonts w:asciiTheme="minorHAnsi" w:hAnsiTheme="minorHAnsi" w:cstheme="minorHAnsi"/>
          <w:szCs w:val="24"/>
        </w:rPr>
        <w:t>There are no additional costs to the Federal government from these regulations.</w:t>
      </w:r>
    </w:p>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w:t>
      </w:r>
      <w:r w:rsidRPr="00800D30">
        <w:rPr>
          <w:rFonts w:ascii="Times New Roman" w:hAnsi="Times New Roman"/>
          <w:b/>
          <w:szCs w:val="24"/>
        </w:rPr>
        <w:t>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RPr="00094AB8" w:rsidP="008259BF" w14:paraId="64280EFD" w14:textId="29E87F85">
            <w:pPr>
              <w:tabs>
                <w:tab w:val="left" w:pos="-720"/>
              </w:tabs>
              <w:suppressAutoHyphens/>
              <w:jc w:val="right"/>
              <w:rPr>
                <w:rFonts w:asciiTheme="minorHAnsi" w:hAnsiTheme="minorHAnsi" w:cstheme="minorHAnsi"/>
                <w:bCs/>
                <w:szCs w:val="24"/>
                <w:highlight w:val="yellow"/>
              </w:rPr>
            </w:pPr>
          </w:p>
        </w:tc>
        <w:tc>
          <w:tcPr>
            <w:tcW w:w="2829" w:type="dxa"/>
          </w:tcPr>
          <w:p w:rsidR="0052073E" w:rsidRPr="007A5F49" w:rsidP="008259BF" w14:paraId="64280EFE" w14:textId="2139915C">
            <w:pPr>
              <w:tabs>
                <w:tab w:val="left" w:pos="-720"/>
              </w:tabs>
              <w:suppressAutoHyphens/>
              <w:jc w:val="center"/>
              <w:rPr>
                <w:rFonts w:asciiTheme="minorHAnsi" w:hAnsiTheme="minorHAnsi" w:cstheme="minorHAnsi"/>
                <w:bCs/>
                <w:szCs w:val="24"/>
              </w:rPr>
            </w:pPr>
          </w:p>
        </w:tc>
        <w:tc>
          <w:tcPr>
            <w:tcW w:w="2520" w:type="dxa"/>
          </w:tcPr>
          <w:p w:rsidR="0052073E" w:rsidP="008259BF" w14:paraId="64280EFF" w14:textId="1657CFCB">
            <w:pPr>
              <w:tabs>
                <w:tab w:val="left" w:pos="-720"/>
              </w:tabs>
              <w:suppressAutoHyphens/>
              <w:jc w:val="center"/>
              <w:rPr>
                <w:rFonts w:ascii="Times New Roman" w:hAnsi="Times New Roman"/>
                <w:b/>
                <w:szCs w:val="24"/>
              </w:rPr>
            </w:pPr>
            <w:r>
              <w:rPr>
                <w:rFonts w:ascii="Times New Roman" w:hAnsi="Times New Roman"/>
                <w:b/>
                <w:szCs w:val="24"/>
              </w:rPr>
              <w:t>-1,884</w:t>
            </w: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RPr="00094AB8" w:rsidP="008259BF" w14:paraId="64280F02" w14:textId="5770E22A">
            <w:pPr>
              <w:tabs>
                <w:tab w:val="left" w:pos="-720"/>
              </w:tabs>
              <w:suppressAutoHyphens/>
              <w:jc w:val="right"/>
              <w:rPr>
                <w:rFonts w:asciiTheme="minorHAnsi" w:hAnsiTheme="minorHAnsi" w:cstheme="minorHAnsi"/>
                <w:bCs/>
                <w:szCs w:val="24"/>
                <w:highlight w:val="yellow"/>
              </w:rPr>
            </w:pPr>
          </w:p>
        </w:tc>
        <w:tc>
          <w:tcPr>
            <w:tcW w:w="2829" w:type="dxa"/>
          </w:tcPr>
          <w:p w:rsidR="0052073E" w:rsidRPr="007A5F49" w:rsidP="008259BF" w14:paraId="64280F03" w14:textId="388A3D28">
            <w:pPr>
              <w:tabs>
                <w:tab w:val="left" w:pos="-720"/>
              </w:tabs>
              <w:suppressAutoHyphens/>
              <w:jc w:val="center"/>
              <w:rPr>
                <w:rFonts w:asciiTheme="minorHAnsi" w:hAnsiTheme="minorHAnsi" w:cstheme="minorHAnsi"/>
                <w:bCs/>
                <w:szCs w:val="24"/>
              </w:rPr>
            </w:pPr>
          </w:p>
        </w:tc>
        <w:tc>
          <w:tcPr>
            <w:tcW w:w="2520" w:type="dxa"/>
          </w:tcPr>
          <w:p w:rsidR="0052073E" w:rsidP="008259BF" w14:paraId="64280F04" w14:textId="78CAA791">
            <w:pPr>
              <w:tabs>
                <w:tab w:val="left" w:pos="-720"/>
              </w:tabs>
              <w:suppressAutoHyphens/>
              <w:jc w:val="center"/>
              <w:rPr>
                <w:rFonts w:ascii="Times New Roman" w:hAnsi="Times New Roman"/>
                <w:b/>
                <w:szCs w:val="24"/>
              </w:rPr>
            </w:pPr>
            <w:r>
              <w:rPr>
                <w:rFonts w:ascii="Times New Roman" w:hAnsi="Times New Roman"/>
                <w:b/>
                <w:szCs w:val="24"/>
              </w:rPr>
              <w:t>-11,773</w:t>
            </w: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RPr="00094AB8" w:rsidP="008259BF" w14:paraId="64280F07" w14:textId="20A13EB9">
            <w:pPr>
              <w:tabs>
                <w:tab w:val="left" w:pos="-720"/>
              </w:tabs>
              <w:suppressAutoHyphens/>
              <w:jc w:val="right"/>
              <w:rPr>
                <w:rFonts w:asciiTheme="minorHAnsi" w:hAnsiTheme="minorHAnsi" w:cstheme="minorHAnsi"/>
                <w:bCs/>
                <w:szCs w:val="24"/>
                <w:highlight w:val="yellow"/>
              </w:rPr>
            </w:pPr>
          </w:p>
        </w:tc>
        <w:tc>
          <w:tcPr>
            <w:tcW w:w="2829" w:type="dxa"/>
          </w:tcPr>
          <w:p w:rsidR="0052073E" w:rsidRPr="008259BF" w:rsidP="008259BF" w14:paraId="64280F08" w14:textId="2A58ECFE">
            <w:pPr>
              <w:tabs>
                <w:tab w:val="left" w:pos="-720"/>
              </w:tabs>
              <w:suppressAutoHyphens/>
              <w:jc w:val="center"/>
              <w:rPr>
                <w:rFonts w:asciiTheme="minorHAnsi" w:hAnsiTheme="minorHAnsi" w:cstheme="minorHAnsi"/>
                <w:bCs/>
                <w:szCs w:val="24"/>
              </w:rPr>
            </w:pPr>
          </w:p>
        </w:tc>
        <w:tc>
          <w:tcPr>
            <w:tcW w:w="2520" w:type="dxa"/>
          </w:tcPr>
          <w:p w:rsidR="0052073E" w:rsidP="008259BF" w14:paraId="64280F09" w14:textId="592525A3">
            <w:pPr>
              <w:tabs>
                <w:tab w:val="left" w:pos="-720"/>
              </w:tabs>
              <w:suppressAutoHyphens/>
              <w:jc w:val="center"/>
              <w:rPr>
                <w:rFonts w:ascii="Times New Roman" w:hAnsi="Times New Roman"/>
                <w:b/>
                <w:szCs w:val="24"/>
              </w:rPr>
            </w:pPr>
            <w:r>
              <w:rPr>
                <w:rFonts w:ascii="Times New Roman" w:hAnsi="Times New Roman"/>
                <w:b/>
                <w:szCs w:val="24"/>
              </w:rPr>
              <w:t>-72,397</w:t>
            </w:r>
          </w:p>
        </w:tc>
      </w:tr>
    </w:tbl>
    <w:p w:rsidR="00064F78" w:rsidP="00BB03CE" w14:paraId="4F31553C" w14:textId="77777777">
      <w:pPr>
        <w:tabs>
          <w:tab w:val="left" w:pos="-720"/>
        </w:tabs>
        <w:suppressAutoHyphens/>
        <w:ind w:left="720"/>
        <w:rPr>
          <w:rFonts w:asciiTheme="minorHAnsi" w:hAnsiTheme="minorHAnsi" w:cstheme="minorHAnsi"/>
          <w:szCs w:val="24"/>
          <w:highlight w:val="yellow"/>
        </w:rPr>
      </w:pPr>
    </w:p>
    <w:p w:rsidR="00BB03CE" w:rsidRPr="00FB6309" w:rsidP="00BB03CE" w14:paraId="6566D56D" w14:textId="0FBE545B">
      <w:pPr>
        <w:tabs>
          <w:tab w:val="left" w:pos="-720"/>
        </w:tabs>
        <w:suppressAutoHyphens/>
        <w:ind w:left="720"/>
        <w:rPr>
          <w:rFonts w:asciiTheme="minorHAnsi" w:hAnsiTheme="minorHAnsi" w:cstheme="minorHAnsi"/>
          <w:szCs w:val="24"/>
        </w:rPr>
      </w:pPr>
      <w:r w:rsidRPr="00094AB8">
        <w:rPr>
          <w:rFonts w:asciiTheme="minorHAnsi" w:hAnsiTheme="minorHAnsi" w:cstheme="minorHAnsi"/>
          <w:szCs w:val="24"/>
        </w:rPr>
        <w:t>The change in bu</w:t>
      </w:r>
      <w:r w:rsidRPr="00094AB8" w:rsidR="00E913E9">
        <w:rPr>
          <w:rFonts w:asciiTheme="minorHAnsi" w:hAnsiTheme="minorHAnsi" w:cstheme="minorHAnsi"/>
          <w:szCs w:val="24"/>
        </w:rPr>
        <w:t>rden, responses</w:t>
      </w:r>
      <w:r w:rsidRPr="00094AB8" w:rsidR="00094AB8">
        <w:rPr>
          <w:rFonts w:asciiTheme="minorHAnsi" w:hAnsiTheme="minorHAnsi" w:cstheme="minorHAnsi"/>
          <w:szCs w:val="24"/>
        </w:rPr>
        <w:t>,</w:t>
      </w:r>
      <w:r w:rsidRPr="00094AB8" w:rsidR="00E913E9">
        <w:rPr>
          <w:rFonts w:asciiTheme="minorHAnsi" w:hAnsiTheme="minorHAnsi" w:cstheme="minorHAnsi"/>
          <w:szCs w:val="24"/>
        </w:rPr>
        <w:t xml:space="preserve"> and costs are due to </w:t>
      </w:r>
      <w:r w:rsidRPr="00094AB8" w:rsidR="00094AB8">
        <w:rPr>
          <w:rFonts w:asciiTheme="minorHAnsi" w:hAnsiTheme="minorHAnsi" w:cstheme="minorHAnsi"/>
          <w:szCs w:val="24"/>
        </w:rPr>
        <w:t>having actual data on these items.</w:t>
      </w:r>
      <w:r w:rsidR="00094AB8">
        <w:rPr>
          <w:rFonts w:asciiTheme="minorHAnsi" w:hAnsiTheme="minorHAnsi" w:cstheme="minorHAnsi"/>
          <w:szCs w:val="24"/>
        </w:rPr>
        <w:t xml:space="preserve">  This is the first renewal of </w:t>
      </w:r>
      <w:r w:rsidR="009A3E41">
        <w:rPr>
          <w:rFonts w:asciiTheme="minorHAnsi" w:hAnsiTheme="minorHAnsi" w:cstheme="minorHAnsi"/>
          <w:szCs w:val="24"/>
        </w:rPr>
        <w:t xml:space="preserve">this data </w:t>
      </w:r>
      <w:r w:rsidR="009A3E41">
        <w:rPr>
          <w:rFonts w:asciiTheme="minorHAnsi" w:hAnsiTheme="minorHAnsi" w:cstheme="minorHAnsi"/>
          <w:szCs w:val="24"/>
        </w:rPr>
        <w:t>collection.</w:t>
      </w:r>
      <w:r w:rsidR="00D82A28">
        <w:rPr>
          <w:rFonts w:asciiTheme="minorHAnsi" w:hAnsiTheme="minorHAnsi" w:cstheme="minorHAnsi"/>
          <w:szCs w:val="24"/>
        </w:rPr>
        <w:t>The</w:t>
      </w:r>
      <w:r w:rsidR="00D82A28">
        <w:rPr>
          <w:rFonts w:asciiTheme="minorHAnsi" w:hAnsiTheme="minorHAnsi" w:cstheme="minorHAnsi"/>
          <w:szCs w:val="24"/>
        </w:rPr>
        <w:t xml:space="preserve"> prior submission was based on projected information and this is now based on actual information receiv</w:t>
      </w:r>
      <w:r w:rsidRPr="001D3854" w:rsidR="00D82A28">
        <w:rPr>
          <w:rFonts w:asciiTheme="minorHAnsi" w:hAnsiTheme="minorHAnsi" w:cstheme="minorHAnsi"/>
          <w:szCs w:val="24"/>
        </w:rPr>
        <w:t>ed in 2023.</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534B4A" w:rsidP="00AA5138" w14:paraId="64280F0F" w14:textId="09A51E14">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The information is available via the </w:t>
      </w:r>
      <w:r w:rsidRPr="00E25A09">
        <w:rPr>
          <w:rFonts w:asciiTheme="minorHAnsi" w:hAnsiTheme="minorHAnsi" w:cstheme="minorHAnsi"/>
          <w:szCs w:val="24"/>
        </w:rPr>
        <w:t>Department’s web</w:t>
      </w:r>
      <w:r w:rsidRPr="00E25A09" w:rsidR="00D13862">
        <w:rPr>
          <w:rFonts w:asciiTheme="minorHAnsi" w:hAnsiTheme="minorHAnsi" w:cstheme="minorHAnsi"/>
          <w:szCs w:val="24"/>
        </w:rPr>
        <w:t>site</w:t>
      </w:r>
      <w:r w:rsidR="00D13862">
        <w:rPr>
          <w:rFonts w:asciiTheme="minorHAnsi" w:hAnsiTheme="minorHAnsi" w:cstheme="minorHAnsi"/>
          <w:szCs w:val="24"/>
        </w:rPr>
        <w:t xml:space="preserve"> if the public wishes to view the information.</w:t>
      </w:r>
    </w:p>
    <w:p w:rsidR="004C1F0E" w:rsidRPr="00534B4A" w:rsidP="00AA5138" w14:paraId="4F1C2F74"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4C1F0E" w:rsidRPr="00205FBE" w:rsidP="004C1F0E" w14:paraId="6B77C775" w14:textId="77777777">
      <w:pPr>
        <w:tabs>
          <w:tab w:val="left" w:pos="-720"/>
        </w:tabs>
        <w:suppressAutoHyphens/>
        <w:ind w:left="720"/>
        <w:rPr>
          <w:rFonts w:asciiTheme="minorHAnsi" w:hAnsiTheme="minorHAnsi" w:cstheme="minorHAnsi"/>
          <w:szCs w:val="24"/>
        </w:rPr>
      </w:pPr>
      <w:r w:rsidRPr="00205FBE">
        <w:rPr>
          <w:rFonts w:asciiTheme="minorHAnsi" w:hAnsiTheme="minorHAnsi" w:cstheme="minorHAnsi"/>
          <w:szCs w:val="24"/>
        </w:rPr>
        <w:t>The Department is not seeking this approval.</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4C1F0E" w:rsidRPr="00AA5138" w:rsidP="004C1F0E" w14:paraId="0B955730" w14:textId="77777777">
      <w:pPr>
        <w:tabs>
          <w:tab w:val="left" w:pos="-720"/>
        </w:tabs>
        <w:suppressAutoHyphens/>
        <w:ind w:left="720"/>
        <w:rPr>
          <w:rFonts w:ascii="Times New Roman" w:hAnsi="Times New Roman"/>
          <w:bCs/>
          <w:szCs w:val="24"/>
        </w:rPr>
      </w:pPr>
      <w:r w:rsidRPr="00205FBE">
        <w:rPr>
          <w:rFonts w:asciiTheme="minorHAnsi" w:hAnsiTheme="minorHAnsi" w:cstheme="minorHAnsi"/>
          <w:szCs w:val="24"/>
        </w:rPr>
        <w:t>The Department is not requesting any exceptions to the “certification for Paperwork Reduction Act Submissions” of OMB Form 83-I.</w:t>
      </w:r>
    </w:p>
    <w:p w:rsidR="00AA5138" w:rsidRPr="00AA5138" w:rsidP="004C1F0E" w14:paraId="1D395179" w14:textId="472FB090">
      <w:pPr>
        <w:tabs>
          <w:tab w:val="left" w:pos="-720"/>
        </w:tabs>
        <w:suppressAutoHyphens/>
        <w:ind w:left="720"/>
        <w:rPr>
          <w:rFonts w:ascii="Times New Roman" w:hAnsi="Times New Roman"/>
          <w:bCs/>
          <w:szCs w:val="24"/>
        </w:rPr>
      </w:pPr>
    </w:p>
    <w:sectPr w:rsidSect="00043C3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755" w14:paraId="7F7A2C3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5422" w14:paraId="64280F18" w14:textId="77777777">
    <w:pPr>
      <w:spacing w:before="140" w:line="100" w:lineRule="exact"/>
      <w:rPr>
        <w:sz w:val="10"/>
      </w:rPr>
    </w:pPr>
  </w:p>
  <w:p w:rsidR="00B05422" w14:paraId="64280F19" w14:textId="77777777">
    <w:pPr>
      <w:tabs>
        <w:tab w:val="left" w:pos="0"/>
      </w:tabs>
      <w:suppressAutoHyphens/>
    </w:pPr>
  </w:p>
  <w:p w:rsidR="00B05422"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B05422"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B05422"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755" w14:paraId="6A61F2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6E38" w:rsidP="00043C32" w14:paraId="18BE1DB0" w14:textId="77777777">
      <w:r>
        <w:separator/>
      </w:r>
    </w:p>
  </w:footnote>
  <w:footnote w:type="continuationSeparator" w:id="1">
    <w:p w:rsidR="00056E38" w:rsidP="00043C32" w14:paraId="31979721" w14:textId="77777777">
      <w:r>
        <w:continuationSeparator/>
      </w:r>
    </w:p>
  </w:footnote>
  <w:footnote w:type="continuationNotice" w:id="2">
    <w:p w:rsidR="00056E38" w14:paraId="153807DE"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755" w14:paraId="4F6C56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4E66E6A8">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AB787E">
      <w:rPr>
        <w:rFonts w:ascii="Times New Roman" w:hAnsi="Times New Roman"/>
        <w:szCs w:val="24"/>
      </w:rPr>
      <w:t>1840</w:t>
    </w:r>
    <w:r w:rsidR="007C700A">
      <w:rPr>
        <w:rFonts w:ascii="Times New Roman" w:hAnsi="Times New Roman"/>
        <w:szCs w:val="24"/>
      </w:rPr>
      <w:t>-</w:t>
    </w:r>
    <w:r w:rsidR="00FB3AB0">
      <w:rPr>
        <w:rFonts w:ascii="Times New Roman" w:hAnsi="Times New Roman"/>
        <w:szCs w:val="24"/>
      </w:rPr>
      <w:t>0863</w:t>
    </w:r>
    <w:r w:rsidR="00E22FD3">
      <w:rPr>
        <w:rFonts w:ascii="Times New Roman" w:hAnsi="Times New Roman"/>
        <w:szCs w:val="24"/>
      </w:rPr>
      <w:tab/>
    </w:r>
    <w:r w:rsidRPr="00C875E8">
      <w:rPr>
        <w:rFonts w:ascii="Times New Roman" w:hAnsi="Times New Roman"/>
        <w:szCs w:val="24"/>
      </w:rPr>
      <w:t xml:space="preserve">Revised: </w:t>
    </w:r>
    <w:r w:rsidR="00FB3AB0">
      <w:rPr>
        <w:rFonts w:ascii="Times New Roman" w:hAnsi="Times New Roman"/>
        <w:szCs w:val="24"/>
      </w:rPr>
      <w:t xml:space="preserve"> </w:t>
    </w:r>
    <w:r w:rsidR="008845C7">
      <w:rPr>
        <w:rFonts w:ascii="Times New Roman" w:hAnsi="Times New Roman"/>
        <w:szCs w:val="24"/>
      </w:rPr>
      <w:t>08</w:t>
    </w:r>
    <w:r w:rsidR="00061EBF">
      <w:rPr>
        <w:rFonts w:ascii="Times New Roman" w:hAnsi="Times New Roman"/>
        <w:szCs w:val="24"/>
      </w:rPr>
      <w:t>/2025</w:t>
    </w:r>
  </w:p>
  <w:p w:rsidR="005F4E11" w14:paraId="1EC4CE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3755" w14:paraId="4CFC8A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5806992">
    <w:abstractNumId w:val="0"/>
  </w:num>
  <w:num w:numId="2" w16cid:durableId="362289949">
    <w:abstractNumId w:val="2"/>
  </w:num>
  <w:num w:numId="3" w16cid:durableId="2092118008">
    <w:abstractNumId w:val="1"/>
  </w:num>
  <w:num w:numId="4" w16cid:durableId="1551648968">
    <w:abstractNumId w:val="3"/>
  </w:num>
  <w:num w:numId="5" w16cid:durableId="1553998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4BB"/>
    <w:rsid w:val="0002290A"/>
    <w:rsid w:val="00035ED5"/>
    <w:rsid w:val="00043C32"/>
    <w:rsid w:val="000446F5"/>
    <w:rsid w:val="00055D5B"/>
    <w:rsid w:val="00056E38"/>
    <w:rsid w:val="0006134A"/>
    <w:rsid w:val="00061EBF"/>
    <w:rsid w:val="00064F78"/>
    <w:rsid w:val="0007131B"/>
    <w:rsid w:val="000927E9"/>
    <w:rsid w:val="00093017"/>
    <w:rsid w:val="00094AB8"/>
    <w:rsid w:val="000A27D7"/>
    <w:rsid w:val="000A7D72"/>
    <w:rsid w:val="000B0DFE"/>
    <w:rsid w:val="000C3CB2"/>
    <w:rsid w:val="000C63BF"/>
    <w:rsid w:val="000D2163"/>
    <w:rsid w:val="000F7802"/>
    <w:rsid w:val="001042FD"/>
    <w:rsid w:val="00132BB9"/>
    <w:rsid w:val="0014663A"/>
    <w:rsid w:val="001824F3"/>
    <w:rsid w:val="00192B5D"/>
    <w:rsid w:val="001A01C0"/>
    <w:rsid w:val="001A0FDF"/>
    <w:rsid w:val="001A679C"/>
    <w:rsid w:val="001A6AE0"/>
    <w:rsid w:val="001B12CE"/>
    <w:rsid w:val="001C73C0"/>
    <w:rsid w:val="001D3854"/>
    <w:rsid w:val="001E5273"/>
    <w:rsid w:val="001E59A2"/>
    <w:rsid w:val="001E79BD"/>
    <w:rsid w:val="00205FBE"/>
    <w:rsid w:val="002225CC"/>
    <w:rsid w:val="00224A3B"/>
    <w:rsid w:val="00240A39"/>
    <w:rsid w:val="00246757"/>
    <w:rsid w:val="00246FE9"/>
    <w:rsid w:val="00250100"/>
    <w:rsid w:val="00254DFA"/>
    <w:rsid w:val="00262A69"/>
    <w:rsid w:val="002634BF"/>
    <w:rsid w:val="00270AF7"/>
    <w:rsid w:val="00280DB8"/>
    <w:rsid w:val="0029427B"/>
    <w:rsid w:val="002A3221"/>
    <w:rsid w:val="002A36F0"/>
    <w:rsid w:val="002A5308"/>
    <w:rsid w:val="002A7080"/>
    <w:rsid w:val="002B038A"/>
    <w:rsid w:val="002C3520"/>
    <w:rsid w:val="002E14E0"/>
    <w:rsid w:val="002F3AD3"/>
    <w:rsid w:val="002F55E5"/>
    <w:rsid w:val="0032078A"/>
    <w:rsid w:val="0032539E"/>
    <w:rsid w:val="00331228"/>
    <w:rsid w:val="00335956"/>
    <w:rsid w:val="00356F76"/>
    <w:rsid w:val="003601DB"/>
    <w:rsid w:val="0037661D"/>
    <w:rsid w:val="00382F00"/>
    <w:rsid w:val="00383450"/>
    <w:rsid w:val="003860E4"/>
    <w:rsid w:val="003A3784"/>
    <w:rsid w:val="003B1545"/>
    <w:rsid w:val="003B2A37"/>
    <w:rsid w:val="003B4C4B"/>
    <w:rsid w:val="003B540E"/>
    <w:rsid w:val="003C1BD5"/>
    <w:rsid w:val="003F2F76"/>
    <w:rsid w:val="003F6A0F"/>
    <w:rsid w:val="0041167B"/>
    <w:rsid w:val="00412915"/>
    <w:rsid w:val="00442E07"/>
    <w:rsid w:val="00443467"/>
    <w:rsid w:val="004A6AC0"/>
    <w:rsid w:val="004C1F0E"/>
    <w:rsid w:val="004C27D1"/>
    <w:rsid w:val="004D40A9"/>
    <w:rsid w:val="0052073E"/>
    <w:rsid w:val="005341C2"/>
    <w:rsid w:val="00534B4A"/>
    <w:rsid w:val="00544A90"/>
    <w:rsid w:val="00575DDA"/>
    <w:rsid w:val="00581C11"/>
    <w:rsid w:val="005A23B6"/>
    <w:rsid w:val="005D28E6"/>
    <w:rsid w:val="005D7778"/>
    <w:rsid w:val="005E1715"/>
    <w:rsid w:val="005F1571"/>
    <w:rsid w:val="005F4E11"/>
    <w:rsid w:val="005F5BBC"/>
    <w:rsid w:val="00616E9C"/>
    <w:rsid w:val="00643468"/>
    <w:rsid w:val="00683B9E"/>
    <w:rsid w:val="00685164"/>
    <w:rsid w:val="0068567A"/>
    <w:rsid w:val="0069166D"/>
    <w:rsid w:val="00695DBA"/>
    <w:rsid w:val="006A292A"/>
    <w:rsid w:val="006A38F7"/>
    <w:rsid w:val="006A4EBB"/>
    <w:rsid w:val="006B08D3"/>
    <w:rsid w:val="006B11A5"/>
    <w:rsid w:val="006B4172"/>
    <w:rsid w:val="006B765A"/>
    <w:rsid w:val="006D6A20"/>
    <w:rsid w:val="007068B3"/>
    <w:rsid w:val="00713B69"/>
    <w:rsid w:val="007219A4"/>
    <w:rsid w:val="007330A1"/>
    <w:rsid w:val="007366A0"/>
    <w:rsid w:val="00745AFC"/>
    <w:rsid w:val="00755D99"/>
    <w:rsid w:val="00756FD3"/>
    <w:rsid w:val="00765392"/>
    <w:rsid w:val="007668C3"/>
    <w:rsid w:val="00770BAF"/>
    <w:rsid w:val="007754BF"/>
    <w:rsid w:val="00775B2F"/>
    <w:rsid w:val="007760EF"/>
    <w:rsid w:val="0078205D"/>
    <w:rsid w:val="00790E3E"/>
    <w:rsid w:val="007A5F49"/>
    <w:rsid w:val="007C0A4C"/>
    <w:rsid w:val="007C700A"/>
    <w:rsid w:val="007D4136"/>
    <w:rsid w:val="007E6989"/>
    <w:rsid w:val="007E7843"/>
    <w:rsid w:val="007E7FA5"/>
    <w:rsid w:val="007F54F1"/>
    <w:rsid w:val="007F6104"/>
    <w:rsid w:val="00800D30"/>
    <w:rsid w:val="00807D1A"/>
    <w:rsid w:val="008259BF"/>
    <w:rsid w:val="00833A5D"/>
    <w:rsid w:val="00834A62"/>
    <w:rsid w:val="008400E4"/>
    <w:rsid w:val="00856B1A"/>
    <w:rsid w:val="00861EBD"/>
    <w:rsid w:val="00874EFE"/>
    <w:rsid w:val="00882126"/>
    <w:rsid w:val="008845C7"/>
    <w:rsid w:val="008933F1"/>
    <w:rsid w:val="008A60D9"/>
    <w:rsid w:val="008A7ADB"/>
    <w:rsid w:val="008D0601"/>
    <w:rsid w:val="008D1F11"/>
    <w:rsid w:val="008E0766"/>
    <w:rsid w:val="008E57F0"/>
    <w:rsid w:val="008E5919"/>
    <w:rsid w:val="008F1871"/>
    <w:rsid w:val="008F4F31"/>
    <w:rsid w:val="00905951"/>
    <w:rsid w:val="00912D2C"/>
    <w:rsid w:val="00916EE4"/>
    <w:rsid w:val="00920F63"/>
    <w:rsid w:val="009243F3"/>
    <w:rsid w:val="0093366B"/>
    <w:rsid w:val="00934185"/>
    <w:rsid w:val="00946126"/>
    <w:rsid w:val="00952DF9"/>
    <w:rsid w:val="0095421D"/>
    <w:rsid w:val="00957AC9"/>
    <w:rsid w:val="00960C86"/>
    <w:rsid w:val="009656E7"/>
    <w:rsid w:val="009666F8"/>
    <w:rsid w:val="009767AF"/>
    <w:rsid w:val="00981F58"/>
    <w:rsid w:val="00986D0A"/>
    <w:rsid w:val="00987F15"/>
    <w:rsid w:val="009A3E41"/>
    <w:rsid w:val="009A4FCE"/>
    <w:rsid w:val="009C2089"/>
    <w:rsid w:val="009C37AF"/>
    <w:rsid w:val="009E3E86"/>
    <w:rsid w:val="009F530B"/>
    <w:rsid w:val="00A118A2"/>
    <w:rsid w:val="00A23F26"/>
    <w:rsid w:val="00A25A07"/>
    <w:rsid w:val="00A2718D"/>
    <w:rsid w:val="00A4001C"/>
    <w:rsid w:val="00A40AAB"/>
    <w:rsid w:val="00A44CAA"/>
    <w:rsid w:val="00A46D01"/>
    <w:rsid w:val="00A70816"/>
    <w:rsid w:val="00A73590"/>
    <w:rsid w:val="00A7636D"/>
    <w:rsid w:val="00A9138E"/>
    <w:rsid w:val="00AA0A4E"/>
    <w:rsid w:val="00AA5138"/>
    <w:rsid w:val="00AB4E3D"/>
    <w:rsid w:val="00AB7095"/>
    <w:rsid w:val="00AB787E"/>
    <w:rsid w:val="00AC06A3"/>
    <w:rsid w:val="00AC1C89"/>
    <w:rsid w:val="00AD3115"/>
    <w:rsid w:val="00AD381B"/>
    <w:rsid w:val="00AE0BE3"/>
    <w:rsid w:val="00AF3C10"/>
    <w:rsid w:val="00AF5B5B"/>
    <w:rsid w:val="00AF5D1A"/>
    <w:rsid w:val="00B017F9"/>
    <w:rsid w:val="00B02BB0"/>
    <w:rsid w:val="00B05422"/>
    <w:rsid w:val="00B07213"/>
    <w:rsid w:val="00B10A05"/>
    <w:rsid w:val="00B16C19"/>
    <w:rsid w:val="00B173DB"/>
    <w:rsid w:val="00B46EE8"/>
    <w:rsid w:val="00B52FD0"/>
    <w:rsid w:val="00B54167"/>
    <w:rsid w:val="00B56E16"/>
    <w:rsid w:val="00B62E06"/>
    <w:rsid w:val="00B632BF"/>
    <w:rsid w:val="00B64B1D"/>
    <w:rsid w:val="00B6729C"/>
    <w:rsid w:val="00B74CD2"/>
    <w:rsid w:val="00B9671B"/>
    <w:rsid w:val="00BA1D31"/>
    <w:rsid w:val="00BB03CE"/>
    <w:rsid w:val="00BB2DCB"/>
    <w:rsid w:val="00BC0230"/>
    <w:rsid w:val="00BC1A67"/>
    <w:rsid w:val="00BC1C12"/>
    <w:rsid w:val="00BF3755"/>
    <w:rsid w:val="00C03CB7"/>
    <w:rsid w:val="00C164D3"/>
    <w:rsid w:val="00C20670"/>
    <w:rsid w:val="00C224FD"/>
    <w:rsid w:val="00C30E7F"/>
    <w:rsid w:val="00C46793"/>
    <w:rsid w:val="00C61758"/>
    <w:rsid w:val="00C7264B"/>
    <w:rsid w:val="00C846BF"/>
    <w:rsid w:val="00C86713"/>
    <w:rsid w:val="00C875E8"/>
    <w:rsid w:val="00C911A2"/>
    <w:rsid w:val="00C92035"/>
    <w:rsid w:val="00CA123B"/>
    <w:rsid w:val="00CC2346"/>
    <w:rsid w:val="00CC2A72"/>
    <w:rsid w:val="00CC3FB5"/>
    <w:rsid w:val="00CC7470"/>
    <w:rsid w:val="00CD2067"/>
    <w:rsid w:val="00CD47BC"/>
    <w:rsid w:val="00CF7B9B"/>
    <w:rsid w:val="00D00E5A"/>
    <w:rsid w:val="00D13862"/>
    <w:rsid w:val="00D14F86"/>
    <w:rsid w:val="00D2252F"/>
    <w:rsid w:val="00D32BF0"/>
    <w:rsid w:val="00D32ECB"/>
    <w:rsid w:val="00D34984"/>
    <w:rsid w:val="00D36C35"/>
    <w:rsid w:val="00D75313"/>
    <w:rsid w:val="00D82A28"/>
    <w:rsid w:val="00D85845"/>
    <w:rsid w:val="00DB5B26"/>
    <w:rsid w:val="00DB61C1"/>
    <w:rsid w:val="00DC013F"/>
    <w:rsid w:val="00DE5FAE"/>
    <w:rsid w:val="00DF1B45"/>
    <w:rsid w:val="00E07822"/>
    <w:rsid w:val="00E106C0"/>
    <w:rsid w:val="00E12B94"/>
    <w:rsid w:val="00E16A57"/>
    <w:rsid w:val="00E16ACD"/>
    <w:rsid w:val="00E17134"/>
    <w:rsid w:val="00E22FD3"/>
    <w:rsid w:val="00E25A09"/>
    <w:rsid w:val="00E25EBC"/>
    <w:rsid w:val="00E5091F"/>
    <w:rsid w:val="00E66550"/>
    <w:rsid w:val="00E70D29"/>
    <w:rsid w:val="00E8448A"/>
    <w:rsid w:val="00E865E5"/>
    <w:rsid w:val="00E877BF"/>
    <w:rsid w:val="00E913E9"/>
    <w:rsid w:val="00EA1767"/>
    <w:rsid w:val="00EA302F"/>
    <w:rsid w:val="00EB0929"/>
    <w:rsid w:val="00EB0FA5"/>
    <w:rsid w:val="00EC01DD"/>
    <w:rsid w:val="00EC35E3"/>
    <w:rsid w:val="00ED7195"/>
    <w:rsid w:val="00EF4C67"/>
    <w:rsid w:val="00F0414F"/>
    <w:rsid w:val="00F070F3"/>
    <w:rsid w:val="00F270F1"/>
    <w:rsid w:val="00F27AAF"/>
    <w:rsid w:val="00F31BEC"/>
    <w:rsid w:val="00F5782B"/>
    <w:rsid w:val="00F73131"/>
    <w:rsid w:val="00F74099"/>
    <w:rsid w:val="00F74288"/>
    <w:rsid w:val="00F942BE"/>
    <w:rsid w:val="00FA48B5"/>
    <w:rsid w:val="00FB3AB0"/>
    <w:rsid w:val="00FB6309"/>
    <w:rsid w:val="00FC54EE"/>
    <w:rsid w:val="00FC669D"/>
    <w:rsid w:val="00FD4F0B"/>
    <w:rsid w:val="00FD67AC"/>
    <w:rsid w:val="00FD6EBB"/>
    <w:rsid w:val="00FE010D"/>
    <w:rsid w:val="00FE02FC"/>
    <w:rsid w:val="00FE1BAE"/>
    <w:rsid w:val="00FE57E7"/>
    <w:rsid w:val="00FF198D"/>
    <w:rsid w:val="00FF36E6"/>
    <w:rsid w:val="00FF6DC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qFormat/>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character" w:customStyle="1" w:styleId="cf01">
    <w:name w:val="cf01"/>
    <w:basedOn w:val="DefaultParagraphFont"/>
    <w:rsid w:val="000B0DFE"/>
    <w:rPr>
      <w:rFonts w:ascii="Segoe UI" w:hAnsi="Segoe UI" w:cs="Segoe UI" w:hint="default"/>
      <w:sz w:val="18"/>
      <w:szCs w:val="18"/>
    </w:rPr>
  </w:style>
  <w:style w:type="paragraph" w:styleId="Revision">
    <w:name w:val="Revision"/>
    <w:hidden/>
    <w:uiPriority w:val="99"/>
    <w:semiHidden/>
    <w:rsid w:val="00061EBF"/>
    <w:rPr>
      <w:rFonts w:ascii="Courier" w:hAnsi="Courier"/>
      <w:sz w:val="24"/>
    </w:rPr>
  </w:style>
  <w:style w:type="character" w:customStyle="1" w:styleId="normaltextrun">
    <w:name w:val="normaltextrun"/>
    <w:basedOn w:val="DefaultParagraphFont"/>
    <w:rsid w:val="00AD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119033.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3104</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Wilson, Amy</cp:lastModifiedBy>
  <cp:revision>3</cp:revision>
  <cp:lastPrinted>2025-07-22T13:07:00Z</cp:lastPrinted>
  <dcterms:created xsi:type="dcterms:W3CDTF">2025-08-12T13:26:00Z</dcterms:created>
  <dcterms:modified xsi:type="dcterms:W3CDTF">2025-08-12T13:26:00Z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