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4FB4" w:rsidRPr="00C27768" w:rsidP="00F366C3" w14:paraId="5F7772F6" w14:textId="77777777">
      <w:pPr>
        <w:rPr>
          <w:b/>
          <w:sz w:val="56"/>
          <w:szCs w:val="56"/>
        </w:rPr>
      </w:pPr>
    </w:p>
    <w:p w:rsidR="00F366C3" w:rsidRPr="00C27768" w:rsidP="00F366C3" w14:paraId="264A1906" w14:textId="45207324">
      <w:pPr>
        <w:rPr>
          <w:rFonts w:cstheme="minorHAnsi"/>
          <w:b/>
          <w:sz w:val="56"/>
          <w:szCs w:val="56"/>
        </w:rPr>
      </w:pPr>
      <w:r w:rsidRPr="00C27768">
        <w:rPr>
          <w:rFonts w:cstheme="minorHAnsi"/>
          <w:b/>
          <w:sz w:val="56"/>
          <w:szCs w:val="56"/>
        </w:rPr>
        <w:t xml:space="preserve">Integrated Postsecondary Education Data System (IPEDS) </w:t>
      </w:r>
      <w:r w:rsidRPr="001B4EF3" w:rsidR="00544333">
        <w:rPr>
          <w:rFonts w:cstheme="minorHAnsi"/>
          <w:b/>
          <w:strike/>
          <w:sz w:val="56"/>
          <w:szCs w:val="56"/>
        </w:rPr>
        <w:t>2024-25</w:t>
      </w:r>
      <w:r w:rsidR="001B4EF3">
        <w:rPr>
          <w:rFonts w:cstheme="minorHAnsi"/>
          <w:b/>
          <w:sz w:val="56"/>
          <w:szCs w:val="56"/>
        </w:rPr>
        <w:t xml:space="preserve"> 2025-26</w:t>
      </w:r>
      <w:r w:rsidRPr="00C27768">
        <w:rPr>
          <w:rFonts w:cstheme="minorHAnsi"/>
          <w:b/>
          <w:sz w:val="56"/>
          <w:szCs w:val="56"/>
        </w:rPr>
        <w:t xml:space="preserve"> t</w:t>
      </w:r>
      <w:r w:rsidRPr="00C27768" w:rsidR="00E6031B">
        <w:rPr>
          <w:rFonts w:cstheme="minorHAnsi"/>
          <w:b/>
          <w:sz w:val="56"/>
          <w:szCs w:val="56"/>
        </w:rPr>
        <w:t>hrough</w:t>
      </w:r>
      <w:r w:rsidRPr="00C27768">
        <w:rPr>
          <w:rFonts w:cstheme="minorHAnsi"/>
          <w:b/>
          <w:sz w:val="56"/>
          <w:szCs w:val="56"/>
        </w:rPr>
        <w:t xml:space="preserve"> 202</w:t>
      </w:r>
      <w:r w:rsidR="00A73BD2">
        <w:rPr>
          <w:rFonts w:cstheme="minorHAnsi"/>
          <w:b/>
          <w:sz w:val="56"/>
          <w:szCs w:val="56"/>
        </w:rPr>
        <w:t>6</w:t>
      </w:r>
      <w:r w:rsidR="00544333">
        <w:rPr>
          <w:rFonts w:cstheme="minorHAnsi"/>
          <w:b/>
          <w:sz w:val="56"/>
          <w:szCs w:val="56"/>
        </w:rPr>
        <w:t>-2</w:t>
      </w:r>
      <w:r w:rsidR="00A73BD2">
        <w:rPr>
          <w:rFonts w:cstheme="minorHAnsi"/>
          <w:b/>
          <w:sz w:val="56"/>
          <w:szCs w:val="56"/>
        </w:rPr>
        <w:t>7</w:t>
      </w:r>
    </w:p>
    <w:p w:rsidR="00F366C3" w:rsidRPr="00C27768" w:rsidP="00F366C3" w14:paraId="03AEB554" w14:textId="77777777">
      <w:pPr>
        <w:rPr>
          <w:rFonts w:cstheme="minorHAnsi"/>
          <w:b/>
          <w:sz w:val="56"/>
          <w:szCs w:val="56"/>
        </w:rPr>
      </w:pPr>
    </w:p>
    <w:p w:rsidR="00F366C3" w:rsidRPr="00C27768" w:rsidP="00F366C3" w14:paraId="606F0931" w14:textId="10DEF97A">
      <w:pPr>
        <w:rPr>
          <w:rFonts w:cstheme="minorHAnsi"/>
          <w:b/>
          <w:sz w:val="56"/>
          <w:szCs w:val="56"/>
        </w:rPr>
      </w:pPr>
      <w:r w:rsidRPr="00C27768">
        <w:rPr>
          <w:rFonts w:cstheme="minorHAnsi"/>
          <w:b/>
          <w:sz w:val="56"/>
          <w:szCs w:val="56"/>
        </w:rPr>
        <w:t xml:space="preserve">Appendix </w:t>
      </w:r>
      <w:r w:rsidRPr="00C27768">
        <w:rPr>
          <w:rFonts w:cstheme="minorHAnsi"/>
          <w:b/>
          <w:sz w:val="56"/>
          <w:szCs w:val="56"/>
        </w:rPr>
        <w:t>D: Directed Questions</w:t>
      </w:r>
      <w:r w:rsidR="00EF6C5D">
        <w:rPr>
          <w:rFonts w:cstheme="minorHAnsi"/>
          <w:b/>
          <w:sz w:val="56"/>
          <w:szCs w:val="56"/>
        </w:rPr>
        <w:t xml:space="preserve"> </w:t>
      </w:r>
    </w:p>
    <w:p w:rsidR="00F366C3" w:rsidRPr="00C27768" w:rsidP="00F366C3" w14:paraId="5B09C6ED" w14:textId="77777777">
      <w:pPr>
        <w:rPr>
          <w:rFonts w:cstheme="minorHAnsi"/>
        </w:rPr>
      </w:pPr>
    </w:p>
    <w:p w:rsidR="00334FB4" w:rsidRPr="00C27768" w:rsidP="00F366C3" w14:paraId="5B64E6DA" w14:textId="77777777">
      <w:pPr>
        <w:rPr>
          <w:rFonts w:cstheme="minorHAnsi"/>
        </w:rPr>
      </w:pPr>
    </w:p>
    <w:p w:rsidR="00F366C3" w:rsidRPr="00C27768" w:rsidP="00F366C3" w14:paraId="21215DB2" w14:textId="24DCB7D8">
      <w:pPr>
        <w:rPr>
          <w:rFonts w:cstheme="minorHAnsi"/>
          <w:b/>
          <w:sz w:val="56"/>
          <w:szCs w:val="56"/>
        </w:rPr>
      </w:pPr>
      <w:r w:rsidRPr="00C27768">
        <w:rPr>
          <w:rFonts w:cstheme="minorHAnsi"/>
          <w:b/>
          <w:sz w:val="56"/>
          <w:szCs w:val="56"/>
        </w:rPr>
        <w:t>OMB No. 1850-0582 v.</w:t>
      </w:r>
      <w:r w:rsidR="00F66FB9">
        <w:rPr>
          <w:rFonts w:cstheme="minorHAnsi"/>
          <w:b/>
          <w:sz w:val="56"/>
          <w:szCs w:val="56"/>
        </w:rPr>
        <w:t xml:space="preserve"> 33</w:t>
      </w:r>
    </w:p>
    <w:p w:rsidR="00F366C3" w:rsidRPr="00C27768" w:rsidP="00F366C3" w14:paraId="18144936" w14:textId="77777777">
      <w:pPr>
        <w:rPr>
          <w:rFonts w:cstheme="minorHAnsi"/>
        </w:rPr>
      </w:pPr>
    </w:p>
    <w:p w:rsidR="00F366C3" w:rsidRPr="00C27768" w:rsidP="00F366C3" w14:paraId="5D496466" w14:textId="77777777">
      <w:pPr>
        <w:rPr>
          <w:rFonts w:cstheme="minorHAnsi"/>
        </w:rPr>
      </w:pPr>
    </w:p>
    <w:p w:rsidR="00F366C3" w:rsidRPr="00C27768" w:rsidP="00F366C3" w14:paraId="1BAC574B" w14:textId="77777777">
      <w:pPr>
        <w:rPr>
          <w:rFonts w:cstheme="minorHAnsi"/>
          <w:b/>
          <w:i/>
          <w:sz w:val="28"/>
          <w:szCs w:val="28"/>
        </w:rPr>
      </w:pPr>
      <w:r w:rsidRPr="00C27768">
        <w:rPr>
          <w:rFonts w:cstheme="minorHAnsi"/>
          <w:b/>
          <w:i/>
          <w:sz w:val="28"/>
          <w:szCs w:val="28"/>
        </w:rPr>
        <w:t>Submitted by:</w:t>
      </w:r>
    </w:p>
    <w:p w:rsidR="00F366C3" w:rsidRPr="00C27768" w:rsidP="00F366C3" w14:paraId="3D9D8EDF" w14:textId="652843BE">
      <w:pPr>
        <w:pStyle w:val="NoSpacing"/>
        <w:rPr>
          <w:rFonts w:cstheme="minorHAnsi"/>
          <w:sz w:val="28"/>
          <w:szCs w:val="28"/>
        </w:rPr>
      </w:pPr>
      <w:r w:rsidRPr="00C27768">
        <w:rPr>
          <w:rFonts w:cstheme="minorHAnsi"/>
          <w:sz w:val="28"/>
          <w:szCs w:val="28"/>
        </w:rPr>
        <w:t>National Center for Education Statistics</w:t>
      </w:r>
      <w:r w:rsidRPr="00C27768" w:rsidR="003737C8">
        <w:rPr>
          <w:rFonts w:cstheme="minorHAnsi"/>
          <w:sz w:val="28"/>
          <w:szCs w:val="28"/>
        </w:rPr>
        <w:t xml:space="preserve"> (NCES)</w:t>
      </w:r>
    </w:p>
    <w:p w:rsidR="00F366C3" w:rsidRPr="00C27768" w:rsidP="00F366C3" w14:paraId="607EC472" w14:textId="77777777">
      <w:pPr>
        <w:pStyle w:val="NoSpacing"/>
        <w:rPr>
          <w:rFonts w:cstheme="minorHAnsi"/>
          <w:sz w:val="28"/>
          <w:szCs w:val="28"/>
        </w:rPr>
      </w:pPr>
      <w:r w:rsidRPr="00C27768">
        <w:rPr>
          <w:rFonts w:cstheme="minorHAnsi"/>
          <w:sz w:val="28"/>
          <w:szCs w:val="28"/>
        </w:rPr>
        <w:t>Institute of Education Sciences</w:t>
      </w:r>
    </w:p>
    <w:p w:rsidR="00F366C3" w:rsidRPr="00C27768" w:rsidP="00F366C3" w14:paraId="7A433588" w14:textId="77777777">
      <w:pPr>
        <w:pStyle w:val="NoSpacing"/>
        <w:rPr>
          <w:rFonts w:cstheme="minorHAnsi"/>
          <w:sz w:val="28"/>
          <w:szCs w:val="28"/>
        </w:rPr>
      </w:pPr>
      <w:r w:rsidRPr="00C27768">
        <w:rPr>
          <w:rFonts w:cstheme="minorHAnsi"/>
          <w:sz w:val="28"/>
          <w:szCs w:val="28"/>
        </w:rPr>
        <w:t>U.S. Department of Education</w:t>
      </w:r>
    </w:p>
    <w:p w:rsidR="00F366C3" w:rsidP="00F366C3" w14:paraId="7F69A6BA" w14:textId="77777777">
      <w:pPr>
        <w:rPr>
          <w:rFonts w:cstheme="minorHAnsi"/>
          <w:sz w:val="24"/>
          <w:szCs w:val="24"/>
        </w:rPr>
      </w:pPr>
    </w:p>
    <w:p w:rsidR="00447153" w:rsidRPr="00C27768" w:rsidP="00F366C3" w14:paraId="643B0AEA" w14:textId="77777777">
      <w:pPr>
        <w:rPr>
          <w:rFonts w:cstheme="minorHAnsi"/>
          <w:sz w:val="24"/>
          <w:szCs w:val="24"/>
        </w:rPr>
      </w:pPr>
    </w:p>
    <w:p w:rsidR="00334FB4" w:rsidRPr="00447153" w14:paraId="22C3F0BE" w14:textId="59F78A3C">
      <w:pPr>
        <w:rPr>
          <w:rFonts w:cstheme="minorHAnsi"/>
          <w:b/>
          <w:sz w:val="28"/>
          <w:szCs w:val="28"/>
        </w:rPr>
      </w:pPr>
      <w:bookmarkStart w:id="0" w:name="_Toc1559928"/>
      <w:bookmarkStart w:id="1" w:name="_Toc104007339"/>
      <w:r w:rsidRPr="00447153">
        <w:rPr>
          <w:rFonts w:cstheme="minorHAnsi"/>
          <w:b/>
          <w:sz w:val="28"/>
          <w:szCs w:val="28"/>
        </w:rPr>
        <w:t>March</w:t>
      </w:r>
      <w:r w:rsidRPr="00447153" w:rsidR="00F66FB9">
        <w:rPr>
          <w:rFonts w:cstheme="minorHAnsi"/>
          <w:b/>
          <w:sz w:val="28"/>
          <w:szCs w:val="28"/>
        </w:rPr>
        <w:t xml:space="preserve"> 2024</w:t>
      </w:r>
    </w:p>
    <w:p w:rsidR="00447153" w:rsidRPr="00447153" w14:paraId="4FE765EC" w14:textId="497D446F">
      <w:pPr>
        <w:rPr>
          <w:rFonts w:eastAsiaTheme="majorEastAsia" w:cstheme="minorHAnsi"/>
          <w:b/>
          <w:bCs/>
          <w:sz w:val="28"/>
          <w:szCs w:val="28"/>
        </w:rPr>
      </w:pPr>
      <w:r w:rsidRPr="00447153">
        <w:rPr>
          <w:rFonts w:cstheme="minorHAnsi"/>
          <w:b/>
          <w:sz w:val="28"/>
          <w:szCs w:val="28"/>
        </w:rPr>
        <w:t>Revised October 2025</w:t>
      </w:r>
    </w:p>
    <w:p w:rsidR="00F66FB9" w:rsidP="005C24DB" w14:paraId="0595B914" w14:textId="77777777"/>
    <w:p w:rsidR="004C6D4E" w14:paraId="36F65B00" w14:textId="3E47AC3E">
      <w:r>
        <w:br w:type="page"/>
      </w:r>
    </w:p>
    <w:p w:rsidR="00F366C3" w:rsidRPr="00C27768" w:rsidP="00824432" w14:paraId="57DB4AC2" w14:textId="240DD18A">
      <w:pPr>
        <w:pStyle w:val="Heading1"/>
        <w:rPr>
          <w:rFonts w:asciiTheme="minorHAnsi" w:hAnsiTheme="minorHAnsi" w:cstheme="minorHAnsi"/>
        </w:rPr>
      </w:pPr>
      <w:r w:rsidRPr="00C27768">
        <w:rPr>
          <w:rFonts w:asciiTheme="minorHAnsi" w:hAnsiTheme="minorHAnsi" w:cstheme="minorHAnsi"/>
        </w:rPr>
        <w:t>Introduction</w:t>
      </w:r>
      <w:bookmarkEnd w:id="0"/>
    </w:p>
    <w:p w:rsidR="005A6776" w:rsidRPr="00C27768" w:rsidP="00334FB4" w14:paraId="782AC9CA" w14:textId="782792FE">
      <w:pPr>
        <w:spacing w:after="120"/>
        <w:rPr>
          <w:rFonts w:cstheme="minorHAnsi"/>
          <w:sz w:val="24"/>
          <w:szCs w:val="24"/>
        </w:rPr>
      </w:pPr>
      <w:r w:rsidRPr="00C27768">
        <w:rPr>
          <w:rFonts w:cstheme="minorHAnsi"/>
          <w:sz w:val="24"/>
          <w:szCs w:val="24"/>
        </w:rPr>
        <w:t xml:space="preserve">This </w:t>
      </w:r>
      <w:r w:rsidRPr="00C27768" w:rsidR="007E013E">
        <w:rPr>
          <w:rFonts w:cstheme="minorHAnsi"/>
          <w:sz w:val="24"/>
          <w:szCs w:val="24"/>
        </w:rPr>
        <w:t>document</w:t>
      </w:r>
      <w:r w:rsidRPr="00C27768">
        <w:rPr>
          <w:rFonts w:cstheme="minorHAnsi"/>
          <w:sz w:val="24"/>
          <w:szCs w:val="24"/>
        </w:rPr>
        <w:t xml:space="preserve"> </w:t>
      </w:r>
      <w:r w:rsidRPr="00C27768" w:rsidR="003737C8">
        <w:rPr>
          <w:rFonts w:cstheme="minorHAnsi"/>
          <w:sz w:val="24"/>
          <w:szCs w:val="24"/>
        </w:rPr>
        <w:t>presents</w:t>
      </w:r>
      <w:r w:rsidRPr="00C27768">
        <w:rPr>
          <w:rFonts w:cstheme="minorHAnsi"/>
          <w:sz w:val="24"/>
          <w:szCs w:val="24"/>
        </w:rPr>
        <w:t xml:space="preserve"> specific topics for which </w:t>
      </w:r>
      <w:r w:rsidRPr="00C27768" w:rsidR="003737C8">
        <w:rPr>
          <w:rFonts w:cstheme="minorHAnsi"/>
          <w:sz w:val="24"/>
          <w:szCs w:val="24"/>
        </w:rPr>
        <w:t>NCES</w:t>
      </w:r>
      <w:r w:rsidRPr="00C27768">
        <w:rPr>
          <w:rFonts w:cstheme="minorHAnsi"/>
          <w:sz w:val="24"/>
          <w:szCs w:val="24"/>
        </w:rPr>
        <w:t xml:space="preserve"> would like to obtain input from </w:t>
      </w:r>
      <w:r w:rsidRPr="00C27768" w:rsidR="007E013E">
        <w:rPr>
          <w:rFonts w:cstheme="minorHAnsi"/>
          <w:sz w:val="24"/>
          <w:szCs w:val="24"/>
        </w:rPr>
        <w:t xml:space="preserve">Integrated Postsecondary Education Data System (IPEDS) </w:t>
      </w:r>
      <w:r w:rsidRPr="00C27768">
        <w:rPr>
          <w:rFonts w:cstheme="minorHAnsi"/>
          <w:sz w:val="24"/>
          <w:szCs w:val="24"/>
        </w:rPr>
        <w:t xml:space="preserve">data submitters and </w:t>
      </w:r>
      <w:r w:rsidRPr="00C27768" w:rsidR="00E6031B">
        <w:rPr>
          <w:rFonts w:cstheme="minorHAnsi"/>
          <w:sz w:val="24"/>
          <w:szCs w:val="24"/>
        </w:rPr>
        <w:t>other interested parties</w:t>
      </w:r>
      <w:r w:rsidRPr="00C27768">
        <w:rPr>
          <w:rFonts w:cstheme="minorHAnsi"/>
          <w:sz w:val="24"/>
          <w:szCs w:val="24"/>
        </w:rPr>
        <w:t xml:space="preserve">. Please note that in addition to these specific questions, public comments are encouraged on all </w:t>
      </w:r>
      <w:r w:rsidRPr="00C27768" w:rsidR="00A06DCE">
        <w:rPr>
          <w:rFonts w:cstheme="minorHAnsi"/>
          <w:sz w:val="24"/>
          <w:szCs w:val="24"/>
        </w:rPr>
        <w:t xml:space="preserve">proposed </w:t>
      </w:r>
      <w:r w:rsidRPr="00C27768" w:rsidR="007E013E">
        <w:rPr>
          <w:rFonts w:cstheme="minorHAnsi"/>
          <w:sz w:val="24"/>
          <w:szCs w:val="24"/>
        </w:rPr>
        <w:t>changes.</w:t>
      </w:r>
    </w:p>
    <w:p w:rsidR="006F7B6B" w:rsidRPr="00AA0669" w:rsidP="006F7B6B" w14:paraId="33DE868A" w14:textId="0FC2BA48">
      <w:pPr>
        <w:pStyle w:val="Heading1"/>
        <w:rPr>
          <w:rFonts w:asciiTheme="minorHAnsi" w:hAnsiTheme="minorHAnsi" w:cstheme="minorHAnsi"/>
          <w:strike/>
        </w:rPr>
      </w:pPr>
      <w:r w:rsidRPr="00AA0669">
        <w:rPr>
          <w:rFonts w:asciiTheme="minorHAnsi" w:hAnsiTheme="minorHAnsi" w:cstheme="minorHAnsi"/>
          <w:strike/>
        </w:rPr>
        <w:t xml:space="preserve">Student Financial Aid </w:t>
      </w:r>
      <w:r w:rsidRPr="00AA0669" w:rsidR="00E73366">
        <w:rPr>
          <w:rFonts w:asciiTheme="minorHAnsi" w:hAnsiTheme="minorHAnsi" w:cstheme="minorHAnsi"/>
          <w:strike/>
        </w:rPr>
        <w:t xml:space="preserve">(SFA) </w:t>
      </w:r>
      <w:r w:rsidRPr="00AA0669">
        <w:rPr>
          <w:rFonts w:asciiTheme="minorHAnsi" w:hAnsiTheme="minorHAnsi" w:cstheme="minorHAnsi"/>
          <w:strike/>
        </w:rPr>
        <w:t>survey component planning</w:t>
      </w:r>
    </w:p>
    <w:p w:rsidR="005E40E7" w:rsidRPr="00AA0669" w:rsidP="00084B05" w14:paraId="5C7A74B5" w14:textId="1873A1C8">
      <w:pPr>
        <w:rPr>
          <w:rFonts w:cstheme="minorHAnsi"/>
          <w:strike/>
          <w:sz w:val="24"/>
          <w:szCs w:val="24"/>
        </w:rPr>
      </w:pPr>
      <w:r w:rsidRPr="00AA0669">
        <w:rPr>
          <w:rFonts w:cstheme="minorHAnsi"/>
          <w:strike/>
          <w:sz w:val="24"/>
          <w:szCs w:val="24"/>
        </w:rPr>
        <w:t xml:space="preserve">In the current </w:t>
      </w:r>
      <w:r w:rsidRPr="00AA0669" w:rsidR="00842846">
        <w:rPr>
          <w:rFonts w:cstheme="minorHAnsi"/>
          <w:strike/>
          <w:sz w:val="24"/>
          <w:szCs w:val="24"/>
        </w:rPr>
        <w:t xml:space="preserve">IPEDS 2024-25 through 2026-27 </w:t>
      </w:r>
      <w:r w:rsidRPr="00AA0669">
        <w:rPr>
          <w:rFonts w:cstheme="minorHAnsi"/>
          <w:strike/>
          <w:sz w:val="24"/>
          <w:szCs w:val="24"/>
        </w:rPr>
        <w:t xml:space="preserve">package, NCES is proposing </w:t>
      </w:r>
      <w:r w:rsidRPr="00AA0669" w:rsidR="00F66FB9">
        <w:rPr>
          <w:rFonts w:cstheme="minorHAnsi"/>
          <w:strike/>
          <w:sz w:val="24"/>
          <w:szCs w:val="24"/>
        </w:rPr>
        <w:t xml:space="preserve">multiple changes </w:t>
      </w:r>
      <w:r w:rsidRPr="00AA0669" w:rsidR="00842846">
        <w:rPr>
          <w:rFonts w:cstheme="minorHAnsi"/>
          <w:strike/>
          <w:sz w:val="24"/>
          <w:szCs w:val="24"/>
        </w:rPr>
        <w:t xml:space="preserve">for SFA survey component </w:t>
      </w:r>
      <w:r w:rsidRPr="00AA0669" w:rsidR="00F66FB9">
        <w:rPr>
          <w:rFonts w:cstheme="minorHAnsi"/>
          <w:strike/>
          <w:sz w:val="24"/>
          <w:szCs w:val="24"/>
        </w:rPr>
        <w:t xml:space="preserve">to start streamlining the collection of student financial aid data. NCES has proposed to remove the cost elements into a separate component for 2024-25, and to </w:t>
      </w:r>
      <w:r w:rsidRPr="00AA0669" w:rsidR="00AF7873">
        <w:rPr>
          <w:rFonts w:cstheme="minorHAnsi"/>
          <w:strike/>
          <w:sz w:val="24"/>
          <w:szCs w:val="24"/>
        </w:rPr>
        <w:t>collect</w:t>
      </w:r>
      <w:r w:rsidRPr="00AA0669" w:rsidR="00F66FB9">
        <w:rPr>
          <w:rFonts w:cstheme="minorHAnsi"/>
          <w:strike/>
          <w:sz w:val="24"/>
          <w:szCs w:val="24"/>
        </w:rPr>
        <w:t xml:space="preserve"> consistent </w:t>
      </w:r>
      <w:r w:rsidRPr="00AA0669" w:rsidR="00AF7873">
        <w:rPr>
          <w:rFonts w:cstheme="minorHAnsi"/>
          <w:strike/>
          <w:sz w:val="24"/>
          <w:szCs w:val="24"/>
        </w:rPr>
        <w:t xml:space="preserve">data on aid types from all existing student categories starting in 2025-26. As NCES continues to improve this survey component, </w:t>
      </w:r>
      <w:r w:rsidRPr="00AA0669" w:rsidR="00EF5A21">
        <w:rPr>
          <w:rFonts w:cstheme="minorHAnsi"/>
          <w:strike/>
          <w:sz w:val="24"/>
          <w:szCs w:val="24"/>
        </w:rPr>
        <w:t xml:space="preserve">NCES would like feedback from </w:t>
      </w:r>
      <w:r w:rsidRPr="00AA0669" w:rsidR="00F81B62">
        <w:rPr>
          <w:rFonts w:cstheme="minorHAnsi"/>
          <w:strike/>
          <w:sz w:val="24"/>
          <w:szCs w:val="24"/>
        </w:rPr>
        <w:t>institutions</w:t>
      </w:r>
      <w:r w:rsidRPr="00AA0669" w:rsidR="00EF5A21">
        <w:rPr>
          <w:rFonts w:cstheme="minorHAnsi"/>
          <w:strike/>
          <w:sz w:val="24"/>
          <w:szCs w:val="24"/>
        </w:rPr>
        <w:t xml:space="preserve"> on some potential future changes.</w:t>
      </w:r>
      <w:r w:rsidRPr="00AA0669" w:rsidR="00C5061D">
        <w:rPr>
          <w:rFonts w:cstheme="minorHAnsi"/>
          <w:strike/>
          <w:sz w:val="24"/>
          <w:szCs w:val="24"/>
        </w:rPr>
        <w:t xml:space="preserve"> Please respond to the questions in both A and B as appropriate.</w:t>
      </w:r>
    </w:p>
    <w:p w:rsidR="00DC4192" w:rsidRPr="00AA0669" w:rsidP="00C5061D" w14:paraId="4B251DA1" w14:textId="4CC6D158">
      <w:pPr>
        <w:pStyle w:val="ListParagraph"/>
        <w:numPr>
          <w:ilvl w:val="0"/>
          <w:numId w:val="11"/>
        </w:numPr>
        <w:rPr>
          <w:rFonts w:cstheme="minorHAnsi"/>
          <w:strike/>
          <w:sz w:val="24"/>
          <w:szCs w:val="24"/>
        </w:rPr>
      </w:pPr>
      <w:r w:rsidRPr="00AA0669">
        <w:rPr>
          <w:rFonts w:cstheme="minorHAnsi"/>
          <w:strike/>
          <w:sz w:val="24"/>
          <w:szCs w:val="24"/>
        </w:rPr>
        <w:t>NCES is considering collecting aid data on a</w:t>
      </w:r>
      <w:r w:rsidRPr="00AA0669" w:rsidR="00F81B62">
        <w:rPr>
          <w:rFonts w:cstheme="minorHAnsi"/>
          <w:strike/>
          <w:sz w:val="24"/>
          <w:szCs w:val="24"/>
        </w:rPr>
        <w:t>dditional student categories</w:t>
      </w:r>
      <w:r w:rsidRPr="00AA0669">
        <w:rPr>
          <w:rFonts w:cstheme="minorHAnsi"/>
          <w:strike/>
          <w:sz w:val="24"/>
          <w:szCs w:val="24"/>
        </w:rPr>
        <w:t xml:space="preserve"> to better understand how different student categories are </w:t>
      </w:r>
      <w:r w:rsidRPr="00AA0669" w:rsidR="002E4F26">
        <w:rPr>
          <w:rFonts w:cstheme="minorHAnsi"/>
          <w:strike/>
          <w:sz w:val="24"/>
          <w:szCs w:val="24"/>
        </w:rPr>
        <w:t>being awarded aid</w:t>
      </w:r>
      <w:r w:rsidRPr="00AA0669">
        <w:rPr>
          <w:rFonts w:cstheme="minorHAnsi"/>
          <w:strike/>
          <w:sz w:val="24"/>
          <w:szCs w:val="24"/>
        </w:rPr>
        <w:t xml:space="preserve">. The additional student categories would include </w:t>
      </w:r>
      <w:r w:rsidRPr="00AA0669" w:rsidR="00C92C15">
        <w:rPr>
          <w:rFonts w:cstheme="minorHAnsi"/>
          <w:strike/>
          <w:sz w:val="24"/>
          <w:szCs w:val="24"/>
        </w:rPr>
        <w:t>all</w:t>
      </w:r>
      <w:r w:rsidRPr="00AA0669">
        <w:rPr>
          <w:rFonts w:cstheme="minorHAnsi"/>
          <w:strike/>
          <w:sz w:val="24"/>
          <w:szCs w:val="24"/>
        </w:rPr>
        <w:t xml:space="preserve"> students</w:t>
      </w:r>
      <w:r w:rsidRPr="00AA0669" w:rsidR="00C92C15">
        <w:rPr>
          <w:rFonts w:cstheme="minorHAnsi"/>
          <w:strike/>
          <w:sz w:val="24"/>
          <w:szCs w:val="24"/>
        </w:rPr>
        <w:t xml:space="preserve"> (graduate and undergraduate)</w:t>
      </w:r>
      <w:r w:rsidRPr="00AA0669" w:rsidR="0038428F">
        <w:rPr>
          <w:rFonts w:cstheme="minorHAnsi"/>
          <w:strike/>
          <w:sz w:val="24"/>
          <w:szCs w:val="24"/>
        </w:rPr>
        <w:t xml:space="preserve"> and all </w:t>
      </w:r>
      <w:r w:rsidRPr="00AA0669" w:rsidR="00491A76">
        <w:rPr>
          <w:rFonts w:cstheme="minorHAnsi"/>
          <w:strike/>
          <w:sz w:val="24"/>
          <w:szCs w:val="24"/>
        </w:rPr>
        <w:t>full-time degree/certificate-seeking students, allowing the opportunity to derive values for other categories including</w:t>
      </w:r>
      <w:r w:rsidRPr="00AA0669" w:rsidR="00834CE9">
        <w:rPr>
          <w:rFonts w:cstheme="minorHAnsi"/>
          <w:strike/>
          <w:sz w:val="24"/>
          <w:szCs w:val="24"/>
        </w:rPr>
        <w:t xml:space="preserve"> graduate students,</w:t>
      </w:r>
      <w:r w:rsidRPr="00AA0669" w:rsidR="00C92C15">
        <w:rPr>
          <w:rFonts w:cstheme="minorHAnsi"/>
          <w:strike/>
          <w:sz w:val="24"/>
          <w:szCs w:val="24"/>
        </w:rPr>
        <w:t xml:space="preserve"> </w:t>
      </w:r>
      <w:r w:rsidRPr="00AA0669">
        <w:rPr>
          <w:rFonts w:cstheme="minorHAnsi"/>
          <w:strike/>
          <w:sz w:val="24"/>
          <w:szCs w:val="24"/>
        </w:rPr>
        <w:t>non-first-time students</w:t>
      </w:r>
      <w:r w:rsidRPr="00AA0669" w:rsidR="00110CFD">
        <w:rPr>
          <w:rFonts w:cstheme="minorHAnsi"/>
          <w:strike/>
          <w:sz w:val="24"/>
          <w:szCs w:val="24"/>
        </w:rPr>
        <w:t xml:space="preserve">, </w:t>
      </w:r>
      <w:r w:rsidRPr="00AA0669">
        <w:rPr>
          <w:rFonts w:cstheme="minorHAnsi"/>
          <w:strike/>
          <w:sz w:val="24"/>
          <w:szCs w:val="24"/>
        </w:rPr>
        <w:t xml:space="preserve">and </w:t>
      </w:r>
      <w:r w:rsidRPr="00AA0669" w:rsidR="007C13CB">
        <w:rPr>
          <w:rFonts w:cstheme="minorHAnsi"/>
          <w:strike/>
          <w:sz w:val="24"/>
          <w:szCs w:val="24"/>
        </w:rPr>
        <w:t>less-than-full</w:t>
      </w:r>
      <w:r w:rsidRPr="00AA0669">
        <w:rPr>
          <w:rFonts w:cstheme="minorHAnsi"/>
          <w:strike/>
          <w:sz w:val="24"/>
          <w:szCs w:val="24"/>
        </w:rPr>
        <w:t xml:space="preserve">-time students. Before these changes are made, NCES would like to ask institutions some questions. </w:t>
      </w:r>
    </w:p>
    <w:p w:rsidR="00C46B92" w:rsidRPr="00AA0669" w:rsidP="00C46B92" w14:paraId="62317C3C" w14:textId="77777777">
      <w:pPr>
        <w:pStyle w:val="ListParagraph"/>
        <w:numPr>
          <w:ilvl w:val="0"/>
          <w:numId w:val="9"/>
        </w:numPr>
        <w:rPr>
          <w:rFonts w:cstheme="minorHAnsi"/>
          <w:b/>
          <w:strike/>
          <w:sz w:val="24"/>
          <w:szCs w:val="24"/>
        </w:rPr>
      </w:pPr>
      <w:r w:rsidRPr="00AA0669">
        <w:rPr>
          <w:rFonts w:cstheme="minorHAnsi"/>
          <w:b/>
          <w:strike/>
          <w:sz w:val="24"/>
          <w:szCs w:val="24"/>
        </w:rPr>
        <w:t>Please list the benefits of adding these additional student categories.</w:t>
      </w:r>
    </w:p>
    <w:p w:rsidR="00C46B92" w:rsidRPr="00AA0669" w:rsidP="00C46B92" w14:paraId="5C6FDB5B" w14:textId="6F156FD1">
      <w:pPr>
        <w:pStyle w:val="ListParagraph"/>
        <w:numPr>
          <w:ilvl w:val="0"/>
          <w:numId w:val="9"/>
        </w:numPr>
        <w:rPr>
          <w:rFonts w:cstheme="minorHAnsi"/>
          <w:b/>
          <w:strike/>
          <w:sz w:val="24"/>
          <w:szCs w:val="24"/>
        </w:rPr>
      </w:pPr>
      <w:r w:rsidRPr="00AA0669">
        <w:rPr>
          <w:rFonts w:cstheme="minorHAnsi"/>
          <w:b/>
          <w:strike/>
          <w:sz w:val="24"/>
          <w:szCs w:val="24"/>
        </w:rPr>
        <w:t>Please list any concerns you have about adding these additional student categories.</w:t>
      </w:r>
    </w:p>
    <w:p w:rsidR="00C5061D" w:rsidRPr="00AA0669" w:rsidP="00C5061D" w14:paraId="7FAC888D" w14:textId="77777777">
      <w:pPr>
        <w:pStyle w:val="ListParagraph"/>
        <w:numPr>
          <w:ilvl w:val="0"/>
          <w:numId w:val="9"/>
        </w:numPr>
        <w:rPr>
          <w:rFonts w:cstheme="minorHAnsi"/>
          <w:b/>
          <w:strike/>
          <w:sz w:val="24"/>
          <w:szCs w:val="24"/>
        </w:rPr>
      </w:pPr>
      <w:r w:rsidRPr="00AA0669">
        <w:rPr>
          <w:rFonts w:cstheme="minorHAnsi"/>
          <w:b/>
          <w:strike/>
          <w:sz w:val="24"/>
          <w:szCs w:val="24"/>
        </w:rPr>
        <w:t>If you are an institutional reporter, w</w:t>
      </w:r>
      <w:r w:rsidRPr="00AA0669" w:rsidR="003E6300">
        <w:rPr>
          <w:rFonts w:cstheme="minorHAnsi"/>
          <w:b/>
          <w:strike/>
          <w:sz w:val="24"/>
          <w:szCs w:val="24"/>
        </w:rPr>
        <w:t xml:space="preserve">ould your institution be able to report these additional </w:t>
      </w:r>
      <w:r w:rsidRPr="00AA0669" w:rsidR="002E4F26">
        <w:rPr>
          <w:rFonts w:cstheme="minorHAnsi"/>
          <w:b/>
          <w:strike/>
          <w:sz w:val="24"/>
          <w:szCs w:val="24"/>
        </w:rPr>
        <w:t>student categories if they were added?</w:t>
      </w:r>
    </w:p>
    <w:p w:rsidR="00C5061D" w:rsidRPr="00AA0669" w:rsidP="00C5061D" w14:paraId="7E19B22C" w14:textId="460C49B5">
      <w:pPr>
        <w:pStyle w:val="ListParagraph"/>
        <w:numPr>
          <w:ilvl w:val="0"/>
          <w:numId w:val="9"/>
        </w:numPr>
        <w:rPr>
          <w:rFonts w:cstheme="minorHAnsi"/>
          <w:b/>
          <w:strike/>
          <w:sz w:val="24"/>
          <w:szCs w:val="24"/>
        </w:rPr>
      </w:pPr>
      <w:r w:rsidRPr="00AA0669">
        <w:rPr>
          <w:rFonts w:cstheme="minorHAnsi"/>
          <w:b/>
          <w:strike/>
          <w:sz w:val="24"/>
          <w:szCs w:val="24"/>
        </w:rPr>
        <w:t xml:space="preserve">If you are an institutional reporter, how much additional time would it take you to </w:t>
      </w:r>
      <w:r w:rsidRPr="00AA0669" w:rsidR="00EE3A07">
        <w:rPr>
          <w:rFonts w:cstheme="minorHAnsi"/>
          <w:b/>
          <w:strike/>
          <w:sz w:val="24"/>
          <w:szCs w:val="24"/>
        </w:rPr>
        <w:t>report these data to IPEDS?</w:t>
      </w:r>
    </w:p>
    <w:p w:rsidR="00EE3A07" w:rsidRPr="00AA0669" w:rsidP="00C5061D" w14:paraId="6F128B6F" w14:textId="697D340E">
      <w:pPr>
        <w:pStyle w:val="ListParagraph"/>
        <w:numPr>
          <w:ilvl w:val="0"/>
          <w:numId w:val="9"/>
        </w:numPr>
        <w:rPr>
          <w:rFonts w:cstheme="minorHAnsi"/>
          <w:b/>
          <w:strike/>
          <w:sz w:val="24"/>
          <w:szCs w:val="24"/>
        </w:rPr>
      </w:pPr>
      <w:r w:rsidRPr="00AA0669">
        <w:rPr>
          <w:rFonts w:cstheme="minorHAnsi"/>
          <w:b/>
          <w:strike/>
          <w:sz w:val="24"/>
          <w:szCs w:val="24"/>
        </w:rPr>
        <w:t xml:space="preserve">Are there other </w:t>
      </w:r>
      <w:r w:rsidRPr="00AA0669" w:rsidR="00EA3D6E">
        <w:rPr>
          <w:rFonts w:cstheme="minorHAnsi"/>
          <w:b/>
          <w:strike/>
          <w:sz w:val="24"/>
          <w:szCs w:val="24"/>
        </w:rPr>
        <w:t>data collections</w:t>
      </w:r>
      <w:r w:rsidRPr="00AA0669">
        <w:rPr>
          <w:rFonts w:cstheme="minorHAnsi"/>
          <w:b/>
          <w:strike/>
          <w:sz w:val="24"/>
          <w:szCs w:val="24"/>
        </w:rPr>
        <w:t xml:space="preserve"> where these data are already collected?</w:t>
      </w:r>
    </w:p>
    <w:tbl>
      <w:tblPr>
        <w:tblStyle w:val="TableGrid"/>
        <w:tblpPr w:leftFromText="180" w:rightFromText="180" w:vertAnchor="text" w:horzAnchor="margin" w:tblpXSpec="right" w:tblpY="221"/>
        <w:tblW w:w="5000" w:type="pct"/>
        <w:tblLayout w:type="fixed"/>
        <w:tblLook w:val="04A0"/>
      </w:tblPr>
      <w:tblGrid>
        <w:gridCol w:w="1279"/>
        <w:gridCol w:w="4051"/>
        <w:gridCol w:w="5398"/>
      </w:tblGrid>
      <w:tr w14:paraId="6079D34E" w14:textId="77777777" w:rsidTr="006D0563">
        <w:tblPrEx>
          <w:tblW w:w="5000" w:type="pct"/>
          <w:tblLayout w:type="fixed"/>
          <w:tblLook w:val="04A0"/>
        </w:tblPrEx>
        <w:trPr>
          <w:cantSplit/>
          <w:trHeight w:val="620"/>
        </w:trPr>
        <w:tc>
          <w:tcPr>
            <w:tcW w:w="596" w:type="pct"/>
          </w:tcPr>
          <w:p w:rsidR="008B376A" w:rsidRPr="00AA0669" w:rsidP="008B376A" w14:paraId="21FA3C7D" w14:textId="6E984C5F">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Survey Part</w:t>
            </w:r>
          </w:p>
        </w:tc>
        <w:tc>
          <w:tcPr>
            <w:tcW w:w="1888" w:type="pct"/>
          </w:tcPr>
          <w:p w:rsidR="008B376A" w:rsidRPr="00AA0669" w:rsidP="008B376A" w14:paraId="17EF3A11" w14:textId="23DFAE66">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 xml:space="preserve">Current </w:t>
            </w:r>
            <w:r w:rsidRPr="00AA0669" w:rsidR="00CF506D">
              <w:rPr>
                <w:rFonts w:asciiTheme="minorHAnsi" w:hAnsiTheme="minorHAnsi" w:cstheme="minorHAnsi"/>
                <w:b/>
                <w:strike/>
                <w:sz w:val="22"/>
                <w:szCs w:val="22"/>
              </w:rPr>
              <w:t>Student Categories</w:t>
            </w:r>
            <w:r w:rsidRPr="00AA0669">
              <w:rPr>
                <w:rFonts w:asciiTheme="minorHAnsi" w:hAnsiTheme="minorHAnsi" w:cstheme="minorHAnsi"/>
                <w:b/>
                <w:strike/>
                <w:sz w:val="22"/>
                <w:szCs w:val="22"/>
              </w:rPr>
              <w:t xml:space="preserve"> </w:t>
            </w:r>
          </w:p>
        </w:tc>
        <w:tc>
          <w:tcPr>
            <w:tcW w:w="2517" w:type="pct"/>
          </w:tcPr>
          <w:p w:rsidR="008B376A" w:rsidRPr="00AA0669" w:rsidP="008B376A" w14:paraId="4F93498F" w14:textId="1211E0B5">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 xml:space="preserve">Proposed </w:t>
            </w:r>
            <w:r w:rsidRPr="00AA0669" w:rsidR="00EE4953">
              <w:rPr>
                <w:rFonts w:asciiTheme="minorHAnsi" w:hAnsiTheme="minorHAnsi" w:cstheme="minorHAnsi"/>
                <w:b/>
                <w:strike/>
                <w:sz w:val="22"/>
                <w:szCs w:val="22"/>
              </w:rPr>
              <w:t>Student</w:t>
            </w:r>
            <w:r w:rsidRPr="00AA0669">
              <w:rPr>
                <w:rFonts w:asciiTheme="minorHAnsi" w:hAnsiTheme="minorHAnsi" w:cstheme="minorHAnsi"/>
                <w:b/>
                <w:strike/>
                <w:sz w:val="22"/>
                <w:szCs w:val="22"/>
              </w:rPr>
              <w:t xml:space="preserve"> </w:t>
            </w:r>
            <w:r w:rsidRPr="00AA0669" w:rsidR="00EE4953">
              <w:rPr>
                <w:rFonts w:asciiTheme="minorHAnsi" w:hAnsiTheme="minorHAnsi" w:cstheme="minorHAnsi"/>
                <w:b/>
                <w:strike/>
                <w:sz w:val="22"/>
                <w:szCs w:val="22"/>
              </w:rPr>
              <w:t>Categories</w:t>
            </w:r>
            <w:r w:rsidRPr="00AA0669">
              <w:rPr>
                <w:rFonts w:asciiTheme="minorHAnsi" w:hAnsiTheme="minorHAnsi" w:cstheme="minorHAnsi"/>
                <w:b/>
                <w:strike/>
                <w:sz w:val="22"/>
                <w:szCs w:val="22"/>
              </w:rPr>
              <w:t xml:space="preserve"> </w:t>
            </w:r>
          </w:p>
        </w:tc>
      </w:tr>
      <w:tr w14:paraId="1412F6B8" w14:textId="77777777" w:rsidTr="006D0563">
        <w:tblPrEx>
          <w:tblW w:w="5000" w:type="pct"/>
          <w:tblLayout w:type="fixed"/>
          <w:tblLook w:val="04A0"/>
        </w:tblPrEx>
        <w:trPr>
          <w:cantSplit/>
          <w:trHeight w:val="526"/>
        </w:trPr>
        <w:tc>
          <w:tcPr>
            <w:tcW w:w="596" w:type="pct"/>
          </w:tcPr>
          <w:p w:rsidR="008B376A" w:rsidRPr="00AA0669" w:rsidP="008B376A" w14:paraId="3CAC47CE" w14:textId="1C79939E">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Section 1, </w:t>
            </w:r>
            <w:r w:rsidRPr="00AA0669" w:rsidR="008D736F">
              <w:rPr>
                <w:rFonts w:asciiTheme="minorHAnsi" w:hAnsiTheme="minorHAnsi" w:cstheme="minorHAnsi"/>
                <w:bCs/>
                <w:strike/>
                <w:sz w:val="22"/>
                <w:szCs w:val="22"/>
              </w:rPr>
              <w:t xml:space="preserve">Part A – Establish Your Student </w:t>
            </w:r>
            <w:r w:rsidRPr="00AA0669" w:rsidR="00CF506D">
              <w:rPr>
                <w:rFonts w:asciiTheme="minorHAnsi" w:hAnsiTheme="minorHAnsi" w:cstheme="minorHAnsi"/>
                <w:bCs/>
                <w:strike/>
                <w:sz w:val="22"/>
                <w:szCs w:val="22"/>
              </w:rPr>
              <w:t>Counts</w:t>
            </w:r>
          </w:p>
        </w:tc>
        <w:tc>
          <w:tcPr>
            <w:tcW w:w="1888" w:type="pct"/>
          </w:tcPr>
          <w:p w:rsidR="008B376A" w:rsidRPr="00AA0669" w:rsidP="008B376A" w14:paraId="66DB104E" w14:textId="77777777">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All undergraduate students</w:t>
            </w:r>
          </w:p>
          <w:p w:rsidR="00382214" w:rsidRPr="00AA0669" w:rsidP="00382214" w14:paraId="757C3EFB" w14:textId="4F57F1DE">
            <w:pPr>
              <w:pStyle w:val="EnvelopeReturn"/>
              <w:numPr>
                <w:ilvl w:val="0"/>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Degree</w:t>
            </w:r>
            <w:r w:rsidRPr="00AA0669" w:rsidR="007055F7">
              <w:rPr>
                <w:rFonts w:asciiTheme="minorHAnsi" w:hAnsiTheme="minorHAnsi" w:cstheme="minorHAnsi"/>
                <w:bCs/>
                <w:strike/>
                <w:sz w:val="22"/>
                <w:szCs w:val="22"/>
              </w:rPr>
              <w:t>/certificate</w:t>
            </w:r>
            <w:r w:rsidRPr="00AA0669">
              <w:rPr>
                <w:rFonts w:asciiTheme="minorHAnsi" w:hAnsiTheme="minorHAnsi" w:cstheme="minorHAnsi"/>
                <w:bCs/>
                <w:strike/>
                <w:sz w:val="22"/>
                <w:szCs w:val="22"/>
              </w:rPr>
              <w:t>-seeking undergraduates</w:t>
            </w:r>
          </w:p>
          <w:p w:rsidR="0078189B" w:rsidRPr="00AA0669" w:rsidP="0078189B" w14:paraId="5A4E60BE" w14:textId="2EEA2561">
            <w:pPr>
              <w:pStyle w:val="EnvelopeReturn"/>
              <w:numPr>
                <w:ilvl w:val="1"/>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Full-time, first-time degree/certificate-seeking undergraduates</w:t>
            </w:r>
          </w:p>
          <w:p w:rsidR="007055F7" w:rsidRPr="00AA0669" w:rsidP="0078189B" w14:paraId="384B75F7" w14:textId="6D507ABE">
            <w:pPr>
              <w:pStyle w:val="EnvelopeReturn"/>
              <w:numPr>
                <w:ilvl w:val="0"/>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Non-de</w:t>
            </w:r>
            <w:r w:rsidRPr="00AA0669">
              <w:rPr>
                <w:rFonts w:asciiTheme="minorHAnsi" w:hAnsiTheme="minorHAnsi" w:cstheme="minorHAnsi"/>
                <w:bCs/>
                <w:strike/>
                <w:sz w:val="22"/>
                <w:szCs w:val="22"/>
              </w:rPr>
              <w:t>gree/non-certificate-seeking undergraduates</w:t>
            </w:r>
          </w:p>
        </w:tc>
        <w:tc>
          <w:tcPr>
            <w:tcW w:w="2517" w:type="pct"/>
          </w:tcPr>
          <w:p w:rsidR="008B376A" w:rsidRPr="00AA0669" w:rsidP="008B376A" w14:paraId="4961FFD3" w14:textId="77777777">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All graduate and undergraduate students</w:t>
            </w:r>
          </w:p>
          <w:p w:rsidR="00F44495" w:rsidRPr="00AA0669" w:rsidP="00E83DF1" w14:paraId="1A41FDEA" w14:textId="77777777">
            <w:pPr>
              <w:pStyle w:val="EnvelopeReturn"/>
              <w:numPr>
                <w:ilvl w:val="0"/>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All undergraduate</w:t>
            </w:r>
            <w:r w:rsidRPr="00AA0669" w:rsidR="00E83DF1">
              <w:rPr>
                <w:rFonts w:asciiTheme="minorHAnsi" w:hAnsiTheme="minorHAnsi" w:cstheme="minorHAnsi"/>
                <w:bCs/>
                <w:strike/>
                <w:sz w:val="22"/>
                <w:szCs w:val="22"/>
              </w:rPr>
              <w:t xml:space="preserve"> students </w:t>
            </w:r>
          </w:p>
          <w:p w:rsidR="006431F4" w:rsidRPr="00AA0669" w:rsidP="006431F4" w14:paraId="4F6A445F" w14:textId="0F8B39A2">
            <w:pPr>
              <w:pStyle w:val="EnvelopeReturn"/>
              <w:numPr>
                <w:ilvl w:val="1"/>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Degree/certificate-seeking </w:t>
            </w:r>
            <w:r w:rsidRPr="00AA0669" w:rsidR="00A241BD">
              <w:rPr>
                <w:rFonts w:asciiTheme="minorHAnsi" w:hAnsiTheme="minorHAnsi" w:cstheme="minorHAnsi"/>
                <w:bCs/>
                <w:strike/>
                <w:sz w:val="22"/>
                <w:szCs w:val="22"/>
              </w:rPr>
              <w:t>undergraduates</w:t>
            </w:r>
          </w:p>
          <w:p w:rsidR="00386583" w:rsidRPr="00AA0669" w:rsidP="00386583" w14:paraId="11A1F5BD" w14:textId="77777777">
            <w:pPr>
              <w:pStyle w:val="EnvelopeReturn"/>
              <w:numPr>
                <w:ilvl w:val="2"/>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Full-time</w:t>
            </w:r>
            <w:r w:rsidRPr="00AA0669" w:rsidR="00AA7E25">
              <w:rPr>
                <w:rFonts w:asciiTheme="minorHAnsi" w:hAnsiTheme="minorHAnsi" w:cstheme="minorHAnsi"/>
                <w:bCs/>
                <w:strike/>
                <w:sz w:val="22"/>
                <w:szCs w:val="22"/>
              </w:rPr>
              <w:t xml:space="preserve"> </w:t>
            </w:r>
          </w:p>
          <w:p w:rsidR="005110D2" w:rsidRPr="00AA0669" w:rsidP="005110D2" w14:paraId="1BEE0548" w14:textId="006D58A4">
            <w:pPr>
              <w:pStyle w:val="EnvelopeReturn"/>
              <w:numPr>
                <w:ilvl w:val="3"/>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Full-time, first-time</w:t>
            </w:r>
          </w:p>
          <w:p w:rsidR="00A241BD" w:rsidRPr="00AA0669" w:rsidP="00386583" w14:paraId="2B8D747B" w14:textId="77777777">
            <w:pPr>
              <w:pStyle w:val="EnvelopeReturn"/>
              <w:numPr>
                <w:ilvl w:val="2"/>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Less than full-time</w:t>
            </w:r>
          </w:p>
          <w:p w:rsidR="00ED2D96" w:rsidRPr="00AA0669" w:rsidP="00ED2D96" w14:paraId="5DECE229" w14:textId="77777777">
            <w:pPr>
              <w:pStyle w:val="EnvelopeReturn"/>
              <w:numPr>
                <w:ilvl w:val="1"/>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Non-degree/non-certificate-seeking undergraduates</w:t>
            </w:r>
          </w:p>
          <w:p w:rsidR="00ED2D96" w:rsidRPr="00AA0669" w:rsidP="005110D2" w14:paraId="5D71F56F" w14:textId="77777777">
            <w:pPr>
              <w:pStyle w:val="EnvelopeReturn"/>
              <w:numPr>
                <w:ilvl w:val="0"/>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All graduate students</w:t>
            </w:r>
          </w:p>
          <w:p w:rsidR="00A54609" w:rsidRPr="00AA0669" w:rsidP="00CD7BF5" w14:paraId="41F94D30" w14:textId="541FD6E0">
            <w:pPr>
              <w:pStyle w:val="EnvelopeReturn"/>
              <w:rPr>
                <w:rFonts w:asciiTheme="minorHAnsi" w:hAnsiTheme="minorHAnsi" w:cstheme="minorHAnsi"/>
                <w:bCs/>
                <w:strike/>
                <w:sz w:val="22"/>
                <w:szCs w:val="22"/>
              </w:rPr>
            </w:pPr>
          </w:p>
        </w:tc>
      </w:tr>
    </w:tbl>
    <w:p w:rsidR="00EE3A07" w:rsidRPr="00AA0669" w:rsidP="008B376A" w14:paraId="4F92B7B6" w14:textId="77777777">
      <w:pPr>
        <w:rPr>
          <w:rFonts w:cstheme="minorHAnsi"/>
          <w:strike/>
          <w:sz w:val="24"/>
          <w:szCs w:val="24"/>
        </w:rPr>
      </w:pPr>
    </w:p>
    <w:p w:rsidR="00766C60" w:rsidRPr="00AA0669" w:rsidP="00655E20" w14:paraId="157C97DE" w14:textId="6F0E6173">
      <w:pPr>
        <w:pStyle w:val="ListParagraph"/>
        <w:numPr>
          <w:ilvl w:val="0"/>
          <w:numId w:val="11"/>
        </w:numPr>
        <w:rPr>
          <w:rFonts w:cstheme="minorHAnsi"/>
          <w:strike/>
          <w:sz w:val="24"/>
          <w:szCs w:val="24"/>
        </w:rPr>
      </w:pPr>
      <w:r w:rsidRPr="00AA0669">
        <w:rPr>
          <w:rFonts w:cstheme="minorHAnsi"/>
          <w:strike/>
          <w:sz w:val="24"/>
          <w:szCs w:val="24"/>
        </w:rPr>
        <w:t>NCES is also considering change the way student</w:t>
      </w:r>
      <w:r w:rsidRPr="00AA0669" w:rsidR="002D7154">
        <w:rPr>
          <w:rFonts w:cstheme="minorHAnsi"/>
          <w:strike/>
          <w:sz w:val="24"/>
          <w:szCs w:val="24"/>
        </w:rPr>
        <w:t xml:space="preserve"> counts</w:t>
      </w:r>
      <w:r w:rsidRPr="00AA0669">
        <w:rPr>
          <w:rFonts w:cstheme="minorHAnsi"/>
          <w:strike/>
          <w:sz w:val="24"/>
          <w:szCs w:val="24"/>
        </w:rPr>
        <w:t xml:space="preserve"> are reported in </w:t>
      </w:r>
      <w:r w:rsidRPr="00AA0669" w:rsidR="009A59D1">
        <w:rPr>
          <w:rFonts w:cstheme="minorHAnsi"/>
          <w:strike/>
          <w:sz w:val="24"/>
          <w:szCs w:val="24"/>
        </w:rPr>
        <w:t>SFA</w:t>
      </w:r>
      <w:r w:rsidRPr="00AA0669">
        <w:rPr>
          <w:rFonts w:cstheme="minorHAnsi"/>
          <w:strike/>
          <w:sz w:val="24"/>
          <w:szCs w:val="24"/>
        </w:rPr>
        <w:t xml:space="preserve"> survey component. Currently, </w:t>
      </w:r>
      <w:r w:rsidRPr="00AA0669" w:rsidR="009824AB">
        <w:rPr>
          <w:rFonts w:cstheme="minorHAnsi"/>
          <w:strike/>
          <w:sz w:val="24"/>
          <w:szCs w:val="24"/>
        </w:rPr>
        <w:t xml:space="preserve">academic year reporting institutions report </w:t>
      </w:r>
      <w:r w:rsidRPr="00AA0669" w:rsidR="009A59D1">
        <w:rPr>
          <w:rFonts w:cstheme="minorHAnsi"/>
          <w:strike/>
          <w:sz w:val="24"/>
          <w:szCs w:val="24"/>
        </w:rPr>
        <w:t xml:space="preserve">data </w:t>
      </w:r>
      <w:r w:rsidRPr="00AA0669" w:rsidR="009824AB">
        <w:rPr>
          <w:rFonts w:cstheme="minorHAnsi"/>
          <w:strike/>
          <w:sz w:val="24"/>
          <w:szCs w:val="24"/>
        </w:rPr>
        <w:t xml:space="preserve">based on a </w:t>
      </w:r>
      <w:r w:rsidRPr="00AA0669">
        <w:rPr>
          <w:rFonts w:cstheme="minorHAnsi"/>
          <w:strike/>
          <w:sz w:val="24"/>
          <w:szCs w:val="24"/>
        </w:rPr>
        <w:t xml:space="preserve">fall </w:t>
      </w:r>
      <w:r w:rsidRPr="00AA0669" w:rsidR="009824AB">
        <w:rPr>
          <w:rFonts w:cstheme="minorHAnsi"/>
          <w:strike/>
          <w:sz w:val="24"/>
          <w:szCs w:val="24"/>
        </w:rPr>
        <w:t>census dat</w:t>
      </w:r>
      <w:r w:rsidRPr="00AA0669">
        <w:rPr>
          <w:rFonts w:cstheme="minorHAnsi"/>
          <w:strike/>
          <w:sz w:val="24"/>
          <w:szCs w:val="24"/>
        </w:rPr>
        <w:t>e</w:t>
      </w:r>
      <w:r w:rsidRPr="00AA0669" w:rsidR="009824AB">
        <w:rPr>
          <w:rFonts w:cstheme="minorHAnsi"/>
          <w:strike/>
          <w:sz w:val="24"/>
          <w:szCs w:val="24"/>
        </w:rPr>
        <w:t xml:space="preserve">, and program reporters </w:t>
      </w:r>
      <w:r w:rsidRPr="00AA0669">
        <w:rPr>
          <w:rFonts w:cstheme="minorHAnsi"/>
          <w:strike/>
          <w:sz w:val="24"/>
          <w:szCs w:val="24"/>
        </w:rPr>
        <w:t xml:space="preserve">report </w:t>
      </w:r>
      <w:r w:rsidRPr="00AA0669" w:rsidR="009A59D1">
        <w:rPr>
          <w:rFonts w:cstheme="minorHAnsi"/>
          <w:strike/>
          <w:sz w:val="24"/>
          <w:szCs w:val="24"/>
        </w:rPr>
        <w:t xml:space="preserve">data </w:t>
      </w:r>
      <w:r w:rsidRPr="00AA0669">
        <w:rPr>
          <w:rFonts w:cstheme="minorHAnsi"/>
          <w:strike/>
          <w:sz w:val="24"/>
          <w:szCs w:val="24"/>
        </w:rPr>
        <w:t>for the period of July 1 – June 30.</w:t>
      </w:r>
      <w:r w:rsidRPr="00AA0669" w:rsidR="00481169">
        <w:rPr>
          <w:rFonts w:cstheme="minorHAnsi"/>
          <w:strike/>
          <w:sz w:val="24"/>
          <w:szCs w:val="24"/>
        </w:rPr>
        <w:t xml:space="preserve"> </w:t>
      </w:r>
      <w:r w:rsidRPr="00AA0669" w:rsidR="008920D2">
        <w:rPr>
          <w:rFonts w:cstheme="minorHAnsi"/>
          <w:strike/>
          <w:sz w:val="24"/>
          <w:szCs w:val="24"/>
        </w:rPr>
        <w:t>Although NCES preloads data from the Fall Enrollment (EF) survey component for academic year reporters and from the 12-month Enrollment (E12) survey component for program reporters, institutions may edit the preloaded counts if these do not accurately reflect the student counts for SFA</w:t>
      </w:r>
      <w:r w:rsidRPr="00AA0669" w:rsidR="00102BBB">
        <w:rPr>
          <w:rFonts w:cstheme="minorHAnsi"/>
          <w:strike/>
          <w:sz w:val="24"/>
          <w:szCs w:val="24"/>
        </w:rPr>
        <w:t xml:space="preserve">. </w:t>
      </w:r>
      <w:r w:rsidRPr="00AA0669" w:rsidR="00FE751F">
        <w:rPr>
          <w:rFonts w:cstheme="minorHAnsi"/>
          <w:strike/>
          <w:sz w:val="24"/>
          <w:szCs w:val="24"/>
        </w:rPr>
        <w:t>Some institutions have challenges understanding reporting based on the preloaded data.</w:t>
      </w:r>
    </w:p>
    <w:p w:rsidR="00102BBB" w:rsidRPr="00AA0669" w:rsidP="00754993" w14:paraId="0C7902C1" w14:textId="0AB83AFF">
      <w:pPr>
        <w:pStyle w:val="ListParagraph"/>
        <w:numPr>
          <w:ilvl w:val="0"/>
          <w:numId w:val="9"/>
        </w:numPr>
        <w:rPr>
          <w:rFonts w:cstheme="minorHAnsi"/>
          <w:b/>
          <w:strike/>
          <w:sz w:val="24"/>
          <w:szCs w:val="24"/>
        </w:rPr>
      </w:pPr>
      <w:r w:rsidRPr="00AA0669">
        <w:rPr>
          <w:rFonts w:cstheme="minorHAnsi"/>
          <w:b/>
          <w:strike/>
          <w:sz w:val="24"/>
          <w:szCs w:val="24"/>
        </w:rPr>
        <w:t>Should NCES continue preloading dat</w:t>
      </w:r>
      <w:r w:rsidRPr="00AA0669" w:rsidR="00E31F09">
        <w:rPr>
          <w:rFonts w:cstheme="minorHAnsi"/>
          <w:b/>
          <w:strike/>
          <w:sz w:val="24"/>
          <w:szCs w:val="24"/>
        </w:rPr>
        <w:t xml:space="preserve">a and allowing institutions to edit these data? If so, should the same </w:t>
      </w:r>
      <w:r w:rsidRPr="00AA0669" w:rsidR="008920D2">
        <w:rPr>
          <w:rFonts w:cstheme="minorHAnsi"/>
          <w:b/>
          <w:strike/>
          <w:sz w:val="24"/>
          <w:szCs w:val="24"/>
        </w:rPr>
        <w:t xml:space="preserve">student counts </w:t>
      </w:r>
      <w:r w:rsidRPr="00AA0669" w:rsidR="00E31F09">
        <w:rPr>
          <w:rFonts w:cstheme="minorHAnsi"/>
          <w:b/>
          <w:strike/>
          <w:sz w:val="24"/>
          <w:szCs w:val="24"/>
        </w:rPr>
        <w:t xml:space="preserve">be used for </w:t>
      </w:r>
      <w:r w:rsidRPr="00AA0669" w:rsidR="00481169">
        <w:rPr>
          <w:rFonts w:cstheme="minorHAnsi"/>
          <w:b/>
          <w:strike/>
          <w:sz w:val="24"/>
          <w:szCs w:val="24"/>
        </w:rPr>
        <w:t xml:space="preserve">both reporter types? If the same cohort is used, should it be EF or E12? </w:t>
      </w:r>
    </w:p>
    <w:p w:rsidR="00E12B95" w:rsidRPr="00AA0669" w:rsidP="00754993" w14:paraId="2325B593" w14:textId="17FAEEE8">
      <w:pPr>
        <w:pStyle w:val="ListParagraph"/>
        <w:numPr>
          <w:ilvl w:val="0"/>
          <w:numId w:val="9"/>
        </w:numPr>
        <w:rPr>
          <w:rFonts w:cstheme="minorHAnsi"/>
          <w:b/>
          <w:strike/>
          <w:sz w:val="24"/>
          <w:szCs w:val="24"/>
        </w:rPr>
      </w:pPr>
      <w:r w:rsidRPr="00AA0669">
        <w:rPr>
          <w:rFonts w:cstheme="minorHAnsi"/>
          <w:b/>
          <w:strike/>
          <w:sz w:val="24"/>
          <w:szCs w:val="24"/>
        </w:rPr>
        <w:t xml:space="preserve">Should NCES stop preloading data and ask institutions to report the number of students awarded each type </w:t>
      </w:r>
      <w:r w:rsidRPr="00AA0669" w:rsidR="00FE751F">
        <w:rPr>
          <w:rFonts w:cstheme="minorHAnsi"/>
          <w:b/>
          <w:strike/>
          <w:sz w:val="24"/>
          <w:szCs w:val="24"/>
        </w:rPr>
        <w:t xml:space="preserve">of aid for </w:t>
      </w:r>
      <w:r w:rsidRPr="00AA0669">
        <w:rPr>
          <w:rFonts w:cstheme="minorHAnsi"/>
          <w:b/>
          <w:strike/>
          <w:sz w:val="24"/>
          <w:szCs w:val="24"/>
        </w:rPr>
        <w:t xml:space="preserve">their academic year, as they define the academic year for financial aid purposes? This would allow institutions to </w:t>
      </w:r>
      <w:r w:rsidRPr="00AA0669" w:rsidR="00A9348E">
        <w:rPr>
          <w:rFonts w:cstheme="minorHAnsi"/>
          <w:b/>
          <w:strike/>
          <w:sz w:val="24"/>
          <w:szCs w:val="24"/>
        </w:rPr>
        <w:t>better align the student counts with the aid awarded (which is for an academic year as defined by the institution)</w:t>
      </w:r>
      <w:r w:rsidRPr="00AA0669" w:rsidR="003A6CF1">
        <w:rPr>
          <w:rFonts w:cstheme="minorHAnsi"/>
          <w:b/>
          <w:strike/>
          <w:sz w:val="24"/>
          <w:szCs w:val="24"/>
        </w:rPr>
        <w:t xml:space="preserve"> and provide better average aid numbers</w:t>
      </w:r>
      <w:r w:rsidRPr="00AA0669" w:rsidR="00092D70">
        <w:rPr>
          <w:rFonts w:cstheme="minorHAnsi"/>
          <w:b/>
          <w:bCs/>
          <w:strike/>
          <w:sz w:val="24"/>
          <w:szCs w:val="24"/>
        </w:rPr>
        <w:t>?</w:t>
      </w:r>
      <w:r w:rsidRPr="00AA0669" w:rsidR="00A9348E">
        <w:rPr>
          <w:rFonts w:cstheme="minorHAnsi"/>
          <w:b/>
          <w:bCs/>
          <w:strike/>
          <w:sz w:val="24"/>
          <w:szCs w:val="24"/>
        </w:rPr>
        <w:t xml:space="preserve"> </w:t>
      </w:r>
      <w:r w:rsidRPr="00AA0669" w:rsidR="00092D70">
        <w:rPr>
          <w:rFonts w:cstheme="minorHAnsi"/>
          <w:b/>
          <w:bCs/>
          <w:strike/>
          <w:sz w:val="24"/>
          <w:szCs w:val="24"/>
        </w:rPr>
        <w:t>However, please note that</w:t>
      </w:r>
      <w:r w:rsidRPr="00AA0669" w:rsidR="00A9348E">
        <w:rPr>
          <w:rFonts w:cstheme="minorHAnsi"/>
          <w:b/>
          <w:strike/>
          <w:sz w:val="24"/>
          <w:szCs w:val="24"/>
        </w:rPr>
        <w:t xml:space="preserve"> it would make it challenging to create </w:t>
      </w:r>
      <w:r w:rsidRPr="00AA0669" w:rsidR="004A3E15">
        <w:rPr>
          <w:rFonts w:cstheme="minorHAnsi"/>
          <w:b/>
          <w:strike/>
          <w:sz w:val="24"/>
          <w:szCs w:val="24"/>
        </w:rPr>
        <w:t xml:space="preserve">percentages of students awarded aid (e.g., the number of all undergraduate students </w:t>
      </w:r>
      <w:r w:rsidRPr="00AA0669" w:rsidR="003A6CF1">
        <w:rPr>
          <w:rFonts w:cstheme="minorHAnsi"/>
          <w:b/>
          <w:strike/>
          <w:sz w:val="24"/>
          <w:szCs w:val="24"/>
        </w:rPr>
        <w:t>receiving Pell Grants)</w:t>
      </w:r>
      <w:r w:rsidRPr="00AA0669" w:rsidR="006206D9">
        <w:rPr>
          <w:rFonts w:cstheme="minorHAnsi"/>
          <w:b/>
          <w:strike/>
          <w:sz w:val="24"/>
          <w:szCs w:val="24"/>
        </w:rPr>
        <w:t xml:space="preserve"> since institutions do not currently report the number of students at the institution during an academic year (only fall census </w:t>
      </w:r>
      <w:r w:rsidRPr="00AA0669" w:rsidR="00092D70">
        <w:rPr>
          <w:rFonts w:cstheme="minorHAnsi"/>
          <w:b/>
          <w:bCs/>
          <w:strike/>
          <w:sz w:val="24"/>
          <w:szCs w:val="24"/>
        </w:rPr>
        <w:t xml:space="preserve">in EF </w:t>
      </w:r>
      <w:r w:rsidRPr="00AA0669" w:rsidR="006206D9">
        <w:rPr>
          <w:rFonts w:cstheme="minorHAnsi"/>
          <w:b/>
          <w:strike/>
          <w:sz w:val="24"/>
          <w:szCs w:val="24"/>
        </w:rPr>
        <w:t>and 12-month</w:t>
      </w:r>
      <w:r w:rsidRPr="00AA0669" w:rsidR="00092D70">
        <w:rPr>
          <w:rFonts w:cstheme="minorHAnsi"/>
          <w:b/>
          <w:bCs/>
          <w:strike/>
          <w:sz w:val="24"/>
          <w:szCs w:val="24"/>
        </w:rPr>
        <w:t xml:space="preserve"> period of July 1 – June 30 in E12</w:t>
      </w:r>
      <w:r w:rsidRPr="00AA0669" w:rsidR="006206D9">
        <w:rPr>
          <w:rFonts w:cstheme="minorHAnsi"/>
          <w:b/>
          <w:bCs/>
          <w:strike/>
          <w:sz w:val="24"/>
          <w:szCs w:val="24"/>
        </w:rPr>
        <w:t>).</w:t>
      </w:r>
      <w:r w:rsidRPr="00AA0669" w:rsidR="006206D9">
        <w:rPr>
          <w:rFonts w:cstheme="minorHAnsi"/>
          <w:b/>
          <w:strike/>
          <w:sz w:val="24"/>
          <w:szCs w:val="24"/>
        </w:rPr>
        <w:t xml:space="preserve"> If this change were made, NCES could:</w:t>
      </w:r>
    </w:p>
    <w:p w:rsidR="006206D9" w:rsidRPr="00AA0669" w:rsidP="00092D70" w14:paraId="703ACF2E" w14:textId="2B64363D">
      <w:pPr>
        <w:pStyle w:val="ListParagraph"/>
        <w:numPr>
          <w:ilvl w:val="1"/>
          <w:numId w:val="9"/>
        </w:numPr>
        <w:rPr>
          <w:rFonts w:cstheme="minorHAnsi"/>
          <w:b/>
          <w:strike/>
          <w:sz w:val="24"/>
          <w:szCs w:val="24"/>
        </w:rPr>
      </w:pPr>
      <w:r w:rsidRPr="00AA0669">
        <w:rPr>
          <w:rFonts w:cstheme="minorHAnsi"/>
          <w:b/>
          <w:strike/>
          <w:sz w:val="24"/>
          <w:szCs w:val="24"/>
        </w:rPr>
        <w:t>Allow institutions to report the ratios of students receiving different aid types (</w:t>
      </w:r>
      <w:r w:rsidRPr="00AA0669" w:rsidR="001E356D">
        <w:rPr>
          <w:rFonts w:cstheme="minorHAnsi"/>
          <w:b/>
          <w:strike/>
          <w:sz w:val="24"/>
          <w:szCs w:val="24"/>
        </w:rPr>
        <w:t>as opposed to calculating the percentages)</w:t>
      </w:r>
      <w:r w:rsidRPr="00AA0669" w:rsidR="00F94B20">
        <w:rPr>
          <w:rFonts w:cstheme="minorHAnsi"/>
          <w:b/>
          <w:strike/>
          <w:sz w:val="24"/>
          <w:szCs w:val="24"/>
        </w:rPr>
        <w:t>, or</w:t>
      </w:r>
    </w:p>
    <w:p w:rsidR="00AF7B4A" w:rsidRPr="00AA0669" w:rsidP="008920D2" w14:paraId="238616EA" w14:textId="0F21D389">
      <w:pPr>
        <w:pStyle w:val="ListParagraph"/>
        <w:numPr>
          <w:ilvl w:val="1"/>
          <w:numId w:val="9"/>
        </w:numPr>
        <w:rPr>
          <w:rFonts w:cstheme="minorHAnsi"/>
          <w:b/>
          <w:bCs/>
          <w:strike/>
          <w:sz w:val="24"/>
          <w:szCs w:val="24"/>
        </w:rPr>
      </w:pPr>
      <w:r w:rsidRPr="00AA0669">
        <w:rPr>
          <w:rFonts w:cstheme="minorHAnsi"/>
          <w:b/>
          <w:strike/>
          <w:sz w:val="24"/>
          <w:szCs w:val="24"/>
        </w:rPr>
        <w:t>Ask institutions to report</w:t>
      </w:r>
      <w:r w:rsidRPr="00AA0669" w:rsidR="00F94B20">
        <w:rPr>
          <w:rFonts w:cstheme="minorHAnsi"/>
          <w:b/>
          <w:strike/>
          <w:sz w:val="24"/>
          <w:szCs w:val="24"/>
        </w:rPr>
        <w:t xml:space="preserve"> the totals of each student types for the academic year</w:t>
      </w:r>
      <w:r w:rsidRPr="00AA0669" w:rsidR="002D4D9B">
        <w:rPr>
          <w:rFonts w:cstheme="minorHAnsi"/>
          <w:b/>
          <w:bCs/>
          <w:strike/>
          <w:sz w:val="24"/>
          <w:szCs w:val="24"/>
        </w:rPr>
        <w:t>.</w:t>
      </w:r>
      <w:bookmarkEnd w:id="1"/>
    </w:p>
    <w:tbl>
      <w:tblPr>
        <w:tblStyle w:val="TableGrid"/>
        <w:tblpPr w:leftFromText="180" w:rightFromText="180" w:vertAnchor="text" w:horzAnchor="margin" w:tblpXSpec="right" w:tblpY="221"/>
        <w:tblW w:w="5000" w:type="pct"/>
        <w:tblLook w:val="04A0"/>
      </w:tblPr>
      <w:tblGrid>
        <w:gridCol w:w="1907"/>
        <w:gridCol w:w="4141"/>
        <w:gridCol w:w="4680"/>
      </w:tblGrid>
      <w:tr w14:paraId="129D8194" w14:textId="77777777" w:rsidTr="00A73BD2">
        <w:tblPrEx>
          <w:tblW w:w="5000" w:type="pct"/>
          <w:tblLook w:val="04A0"/>
        </w:tblPrEx>
        <w:trPr>
          <w:cantSplit/>
          <w:trHeight w:val="440"/>
        </w:trPr>
        <w:tc>
          <w:tcPr>
            <w:tcW w:w="889" w:type="pct"/>
          </w:tcPr>
          <w:p w:rsidR="00CE3972" w:rsidRPr="00AA0669" w14:paraId="026C746A" w14:textId="77777777">
            <w:pPr>
              <w:pStyle w:val="EnvelopeReturn"/>
              <w:rPr>
                <w:rFonts w:asciiTheme="minorHAnsi" w:hAnsiTheme="minorHAnsi" w:cstheme="minorHAnsi"/>
                <w:b/>
                <w:strike/>
                <w:sz w:val="22"/>
                <w:szCs w:val="22"/>
              </w:rPr>
            </w:pPr>
          </w:p>
        </w:tc>
        <w:tc>
          <w:tcPr>
            <w:tcW w:w="1930" w:type="pct"/>
          </w:tcPr>
          <w:p w:rsidR="00CE3972" w:rsidRPr="00AA0669" w14:paraId="3612B4E7" w14:textId="70798EE9">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Academic Reporters</w:t>
            </w:r>
          </w:p>
        </w:tc>
        <w:tc>
          <w:tcPr>
            <w:tcW w:w="2181" w:type="pct"/>
          </w:tcPr>
          <w:p w:rsidR="00CE3972" w:rsidRPr="00AA0669" w14:paraId="06B2C0DD" w14:textId="28C55A4B">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Program Reporters</w:t>
            </w:r>
          </w:p>
        </w:tc>
      </w:tr>
      <w:tr w14:paraId="66903E92" w14:textId="77777777" w:rsidTr="00A73BD2">
        <w:tblPrEx>
          <w:tblW w:w="5000" w:type="pct"/>
          <w:tblLook w:val="04A0"/>
        </w:tblPrEx>
        <w:trPr>
          <w:cantSplit/>
          <w:trHeight w:val="526"/>
        </w:trPr>
        <w:tc>
          <w:tcPr>
            <w:tcW w:w="889" w:type="pct"/>
          </w:tcPr>
          <w:p w:rsidR="00CE3972" w:rsidRPr="00AA0669" w:rsidP="00CE3972" w14:paraId="5CD3F01A" w14:textId="0C95DFC5">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Definition</w:t>
            </w:r>
          </w:p>
        </w:tc>
        <w:tc>
          <w:tcPr>
            <w:tcW w:w="1930" w:type="pct"/>
          </w:tcPr>
          <w:p w:rsidR="00CE3972" w:rsidRPr="00AA0669" w:rsidP="00CE3972" w14:paraId="4F88A6BD" w14:textId="77C74311">
            <w:pPr>
              <w:pStyle w:val="EnvelopeReturn"/>
              <w:rPr>
                <w:rFonts w:asciiTheme="minorHAnsi" w:hAnsiTheme="minorHAnsi" w:cstheme="minorHAnsi"/>
                <w:bCs/>
                <w:strike/>
                <w:sz w:val="22"/>
                <w:szCs w:val="22"/>
              </w:rPr>
            </w:pPr>
            <w:r w:rsidRPr="00AA0669">
              <w:rPr>
                <w:rFonts w:asciiTheme="minorHAnsi" w:hAnsiTheme="minorHAnsi" w:cstheme="minorHAnsi"/>
                <w:strike/>
                <w:color w:val="000000"/>
                <w:sz w:val="22"/>
                <w:szCs w:val="22"/>
                <w:shd w:val="clear" w:color="auto" w:fill="FFFFFF"/>
              </w:rPr>
              <w:t>Institutions are academic reporters if the</w:t>
            </w:r>
            <w:r w:rsidRPr="00AA0669" w:rsidR="00A549A5">
              <w:rPr>
                <w:rFonts w:asciiTheme="minorHAnsi" w:hAnsiTheme="minorHAnsi" w:cstheme="minorHAnsi"/>
                <w:strike/>
                <w:color w:val="000000"/>
                <w:sz w:val="22"/>
                <w:szCs w:val="22"/>
                <w:shd w:val="clear" w:color="auto" w:fill="FFFFFF"/>
              </w:rPr>
              <w:t>y operate on a</w:t>
            </w:r>
            <w:r w:rsidRPr="00AA0669" w:rsidR="00743471">
              <w:rPr>
                <w:rFonts w:asciiTheme="minorHAnsi" w:hAnsiTheme="minorHAnsi" w:cstheme="minorHAnsi"/>
                <w:strike/>
                <w:color w:val="000000"/>
                <w:sz w:val="22"/>
                <w:szCs w:val="22"/>
                <w:shd w:val="clear" w:color="auto" w:fill="FFFFFF"/>
              </w:rPr>
              <w:t>n</w:t>
            </w:r>
            <w:r w:rsidRPr="00AA0669" w:rsidR="00A549A5">
              <w:rPr>
                <w:rFonts w:asciiTheme="minorHAnsi" w:hAnsiTheme="minorHAnsi" w:cstheme="minorHAnsi"/>
                <w:strike/>
                <w:color w:val="000000"/>
                <w:sz w:val="22"/>
                <w:szCs w:val="22"/>
                <w:shd w:val="clear" w:color="auto" w:fill="FFFFFF"/>
              </w:rPr>
              <w:t xml:space="preserve"> </w:t>
            </w:r>
            <w:r w:rsidRPr="00AA0669" w:rsidR="0016449C">
              <w:rPr>
                <w:rFonts w:asciiTheme="minorHAnsi" w:hAnsiTheme="minorHAnsi" w:cstheme="minorHAnsi"/>
                <w:strike/>
                <w:color w:val="000000"/>
                <w:sz w:val="22"/>
                <w:szCs w:val="22"/>
                <w:shd w:val="clear" w:color="auto" w:fill="FFFFFF"/>
              </w:rPr>
              <w:t xml:space="preserve">academic </w:t>
            </w:r>
            <w:r w:rsidRPr="00AA0669">
              <w:rPr>
                <w:rFonts w:asciiTheme="minorHAnsi" w:hAnsiTheme="minorHAnsi" w:cstheme="minorHAnsi"/>
                <w:strike/>
                <w:color w:val="000000"/>
                <w:sz w:val="22"/>
                <w:szCs w:val="22"/>
                <w:shd w:val="clear" w:color="auto" w:fill="FFFFFF"/>
              </w:rPr>
              <w:t>calendar</w:t>
            </w:r>
            <w:r w:rsidRPr="00AA0669" w:rsidR="00A73BD2">
              <w:rPr>
                <w:rFonts w:asciiTheme="minorHAnsi" w:hAnsiTheme="minorHAnsi" w:cstheme="minorHAnsi"/>
                <w:strike/>
                <w:color w:val="000000"/>
                <w:sz w:val="22"/>
                <w:szCs w:val="22"/>
                <w:shd w:val="clear" w:color="auto" w:fill="FFFFFF"/>
              </w:rPr>
              <w:t xml:space="preserve"> (e.g., </w:t>
            </w:r>
            <w:r w:rsidRPr="00AA0669">
              <w:rPr>
                <w:rFonts w:asciiTheme="minorHAnsi" w:hAnsiTheme="minorHAnsi" w:cstheme="minorHAnsi"/>
                <w:strike/>
                <w:color w:val="000000"/>
                <w:sz w:val="22"/>
                <w:szCs w:val="22"/>
                <w:shd w:val="clear" w:color="auto" w:fill="FFFFFF"/>
              </w:rPr>
              <w:t>semester, trimester, quarter, or 4-1-4</w:t>
            </w:r>
            <w:r w:rsidRPr="00AA0669" w:rsidR="00A73BD2">
              <w:rPr>
                <w:rFonts w:asciiTheme="minorHAnsi" w:hAnsiTheme="minorHAnsi" w:cstheme="minorHAnsi"/>
                <w:strike/>
                <w:color w:val="000000"/>
                <w:sz w:val="22"/>
                <w:szCs w:val="22"/>
                <w:shd w:val="clear" w:color="auto" w:fill="FFFFFF"/>
              </w:rPr>
              <w:t>)</w:t>
            </w:r>
            <w:r w:rsidRPr="00AA0669">
              <w:rPr>
                <w:rFonts w:asciiTheme="minorHAnsi" w:hAnsiTheme="minorHAnsi" w:cstheme="minorHAnsi"/>
                <w:strike/>
                <w:color w:val="000000"/>
                <w:sz w:val="22"/>
                <w:szCs w:val="22"/>
                <w:shd w:val="clear" w:color="auto" w:fill="FFFFFF"/>
              </w:rPr>
              <w:t xml:space="preserve">. </w:t>
            </w:r>
          </w:p>
        </w:tc>
        <w:tc>
          <w:tcPr>
            <w:tcW w:w="2181" w:type="pct"/>
          </w:tcPr>
          <w:p w:rsidR="00CE3972" w:rsidRPr="00AA0669" w:rsidP="00895D2A" w14:paraId="3E0BD251" w14:textId="0359C2D7">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Institutions are program reporters </w:t>
            </w:r>
            <w:r w:rsidRPr="00AA0669" w:rsidR="00A549A5">
              <w:rPr>
                <w:rFonts w:asciiTheme="minorHAnsi" w:hAnsiTheme="minorHAnsi" w:cstheme="minorHAnsi"/>
                <w:bCs/>
                <w:strike/>
                <w:sz w:val="22"/>
                <w:szCs w:val="22"/>
              </w:rPr>
              <w:t>if they</w:t>
            </w:r>
            <w:r w:rsidRPr="00AA0669">
              <w:rPr>
                <w:rFonts w:asciiTheme="minorHAnsi" w:hAnsiTheme="minorHAnsi" w:cstheme="minorHAnsi"/>
                <w:bCs/>
                <w:strike/>
                <w:sz w:val="22"/>
                <w:szCs w:val="22"/>
              </w:rPr>
              <w:t xml:space="preserve"> operate on a calendar system that differs by program or offers programs on a continuous basis (e.g., every 2 weeks, monthly, or other period)</w:t>
            </w:r>
            <w:r w:rsidRPr="00AA0669" w:rsidR="00A549A5">
              <w:rPr>
                <w:rFonts w:asciiTheme="minorHAnsi" w:hAnsiTheme="minorHAnsi" w:cstheme="minorHAnsi"/>
                <w:bCs/>
                <w:strike/>
                <w:sz w:val="22"/>
                <w:szCs w:val="22"/>
              </w:rPr>
              <w:t>.</w:t>
            </w:r>
          </w:p>
        </w:tc>
      </w:tr>
      <w:tr w14:paraId="069CEDF6" w14:textId="77777777" w:rsidTr="00A73BD2">
        <w:tblPrEx>
          <w:tblW w:w="5000" w:type="pct"/>
          <w:tblLook w:val="04A0"/>
        </w:tblPrEx>
        <w:trPr>
          <w:cantSplit/>
          <w:trHeight w:val="526"/>
        </w:trPr>
        <w:tc>
          <w:tcPr>
            <w:tcW w:w="889" w:type="pct"/>
          </w:tcPr>
          <w:p w:rsidR="00CE3972" w:rsidRPr="00AA0669" w14:paraId="64E4CBA8" w14:textId="4EB54373">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Current Reporting Period</w:t>
            </w:r>
          </w:p>
        </w:tc>
        <w:tc>
          <w:tcPr>
            <w:tcW w:w="1930" w:type="pct"/>
          </w:tcPr>
          <w:p w:rsidR="00702497" w:rsidRPr="00AA0669" w:rsidP="00702497" w14:paraId="64F6FAA5" w14:textId="6A0D21B4">
            <w:pPr>
              <w:pStyle w:val="NoSpacing"/>
              <w:rPr>
                <w:rFonts w:cstheme="minorHAnsi"/>
                <w:strike/>
                <w:color w:val="000000" w:themeColor="text1"/>
              </w:rPr>
            </w:pPr>
            <w:r w:rsidRPr="00AA0669">
              <w:rPr>
                <w:rFonts w:cstheme="minorHAnsi"/>
                <w:strike/>
                <w:color w:val="000000" w:themeColor="text1"/>
              </w:rPr>
              <w:t>Students enrolled</w:t>
            </w:r>
            <w:r w:rsidRPr="00AA0669">
              <w:rPr>
                <w:strike/>
                <w:color w:val="000000" w:themeColor="text1"/>
              </w:rPr>
              <w:t xml:space="preserve"> </w:t>
            </w:r>
            <w:r w:rsidRPr="00AA0669">
              <w:rPr>
                <w:rFonts w:cstheme="minorHAnsi"/>
                <w:strike/>
                <w:color w:val="000000" w:themeColor="text1"/>
              </w:rPr>
              <w:t>in Fall (census date) for the academic year as defined by the institution</w:t>
            </w:r>
            <w:r w:rsidRPr="00AA0669" w:rsidR="000E37DA">
              <w:rPr>
                <w:rFonts w:cstheme="minorHAnsi"/>
                <w:strike/>
                <w:color w:val="000000" w:themeColor="text1"/>
              </w:rPr>
              <w:t>. For example, for the 20</w:t>
            </w:r>
            <w:r w:rsidRPr="00AA0669" w:rsidR="009B27A7">
              <w:rPr>
                <w:rFonts w:cstheme="minorHAnsi"/>
                <w:strike/>
                <w:color w:val="000000" w:themeColor="text1"/>
              </w:rPr>
              <w:t>23</w:t>
            </w:r>
            <w:r w:rsidRPr="00AA0669" w:rsidR="00B60E2D">
              <w:rPr>
                <w:rFonts w:cstheme="minorHAnsi"/>
                <w:strike/>
                <w:color w:val="000000" w:themeColor="text1"/>
              </w:rPr>
              <w:t xml:space="preserve">-24 </w:t>
            </w:r>
            <w:r w:rsidRPr="00AA0669" w:rsidR="0023442C">
              <w:rPr>
                <w:rFonts w:cstheme="minorHAnsi"/>
                <w:strike/>
                <w:color w:val="000000" w:themeColor="text1"/>
              </w:rPr>
              <w:t xml:space="preserve">IPEDS </w:t>
            </w:r>
            <w:r w:rsidRPr="00AA0669" w:rsidR="00B60E2D">
              <w:rPr>
                <w:rFonts w:cstheme="minorHAnsi"/>
                <w:strike/>
                <w:color w:val="000000" w:themeColor="text1"/>
              </w:rPr>
              <w:t xml:space="preserve">data collection, </w:t>
            </w:r>
            <w:r w:rsidRPr="00AA0669" w:rsidR="00E17915">
              <w:rPr>
                <w:rFonts w:cstheme="minorHAnsi"/>
                <w:strike/>
                <w:color w:val="000000" w:themeColor="text1"/>
              </w:rPr>
              <w:t>institutions report students enrolled in Fall 2022</w:t>
            </w:r>
            <w:r w:rsidRPr="00AA0669" w:rsidR="00C7101A">
              <w:rPr>
                <w:rFonts w:cstheme="minorHAnsi"/>
                <w:strike/>
                <w:color w:val="000000" w:themeColor="text1"/>
              </w:rPr>
              <w:t xml:space="preserve"> for the </w:t>
            </w:r>
            <w:r w:rsidRPr="00AA0669" w:rsidR="00C30832">
              <w:rPr>
                <w:rFonts w:cstheme="minorHAnsi"/>
                <w:strike/>
                <w:color w:val="000000" w:themeColor="text1"/>
              </w:rPr>
              <w:t xml:space="preserve">2022-23 academic year as defined by the institution. </w:t>
            </w:r>
          </w:p>
          <w:p w:rsidR="00CE3972" w:rsidRPr="00AA0669" w:rsidP="00224542" w14:paraId="3664AE52" w14:textId="77E69B68">
            <w:pPr>
              <w:pStyle w:val="NoSpacing"/>
              <w:rPr>
                <w:rFonts w:cstheme="minorHAnsi"/>
                <w:bCs/>
                <w:strike/>
              </w:rPr>
            </w:pPr>
          </w:p>
        </w:tc>
        <w:tc>
          <w:tcPr>
            <w:tcW w:w="2181" w:type="pct"/>
          </w:tcPr>
          <w:p w:rsidR="00CE3972" w:rsidRPr="00AA0669" w:rsidP="00895D2A" w14:paraId="4F804326" w14:textId="39628A27">
            <w:pPr>
              <w:pStyle w:val="EnvelopeReturn"/>
              <w:rPr>
                <w:rFonts w:asciiTheme="minorHAnsi" w:hAnsiTheme="minorHAnsi" w:cstheme="minorHAnsi"/>
                <w:strike/>
                <w:color w:val="000000" w:themeColor="text1"/>
                <w:sz w:val="22"/>
                <w:szCs w:val="22"/>
              </w:rPr>
            </w:pPr>
            <w:r w:rsidRPr="00AA0669">
              <w:rPr>
                <w:rFonts w:asciiTheme="minorHAnsi" w:hAnsiTheme="minorHAnsi" w:cstheme="minorHAnsi"/>
                <w:strike/>
                <w:color w:val="000000" w:themeColor="text1"/>
                <w:sz w:val="22"/>
                <w:szCs w:val="22"/>
              </w:rPr>
              <w:t xml:space="preserve">Students enrolled anytime during the academic year as defined by the institution, which is typically for the period of July 1 – June 30. For example, for the 2023-24 data collection, institutions report students enrolled anytime during the academic year as defined by the institution, which is typically from July 1, </w:t>
            </w:r>
            <w:r w:rsidRPr="00AA0669">
              <w:rPr>
                <w:rFonts w:asciiTheme="minorHAnsi" w:hAnsiTheme="minorHAnsi" w:cstheme="minorHAnsi"/>
                <w:strike/>
                <w:color w:val="000000" w:themeColor="text1"/>
                <w:sz w:val="22"/>
                <w:szCs w:val="22"/>
              </w:rPr>
              <w:t>2022</w:t>
            </w:r>
            <w:r w:rsidRPr="00AA0669">
              <w:rPr>
                <w:rFonts w:asciiTheme="minorHAnsi" w:hAnsiTheme="minorHAnsi" w:cstheme="minorHAnsi"/>
                <w:strike/>
                <w:color w:val="000000" w:themeColor="text1"/>
                <w:sz w:val="22"/>
                <w:szCs w:val="22"/>
              </w:rPr>
              <w:t xml:space="preserve"> to June 30, 2023. </w:t>
            </w:r>
          </w:p>
        </w:tc>
      </w:tr>
      <w:tr w14:paraId="58826AA1" w14:textId="77777777" w:rsidTr="00A73BD2">
        <w:tblPrEx>
          <w:tblW w:w="5000" w:type="pct"/>
          <w:tblLook w:val="04A0"/>
        </w:tblPrEx>
        <w:trPr>
          <w:cantSplit/>
          <w:trHeight w:val="526"/>
        </w:trPr>
        <w:tc>
          <w:tcPr>
            <w:tcW w:w="889" w:type="pct"/>
          </w:tcPr>
          <w:p w:rsidR="00CE3972" w:rsidRPr="00AA0669" w14:paraId="17C499EB" w14:textId="2D24B9DC">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Current </w:t>
            </w:r>
            <w:r w:rsidRPr="00AA0669" w:rsidR="00702497">
              <w:rPr>
                <w:rFonts w:asciiTheme="minorHAnsi" w:hAnsiTheme="minorHAnsi" w:cstheme="minorHAnsi"/>
                <w:bCs/>
                <w:strike/>
                <w:sz w:val="22"/>
                <w:szCs w:val="22"/>
              </w:rPr>
              <w:t>Editable Preloads</w:t>
            </w:r>
          </w:p>
        </w:tc>
        <w:tc>
          <w:tcPr>
            <w:tcW w:w="1930" w:type="pct"/>
          </w:tcPr>
          <w:p w:rsidR="00CE3972" w:rsidRPr="00AA0669" w14:paraId="0450DF72" w14:textId="0C1DA201">
            <w:pPr>
              <w:pStyle w:val="EnvelopeReturn"/>
              <w:rPr>
                <w:rFonts w:asciiTheme="minorHAnsi" w:hAnsiTheme="minorHAnsi" w:cstheme="minorHAnsi"/>
                <w:strike/>
                <w:color w:val="000000" w:themeColor="text1"/>
                <w:sz w:val="22"/>
                <w:szCs w:val="22"/>
              </w:rPr>
            </w:pPr>
            <w:r w:rsidRPr="00AA0669">
              <w:rPr>
                <w:rFonts w:asciiTheme="minorHAnsi" w:hAnsiTheme="minorHAnsi" w:cstheme="minorHAnsi"/>
                <w:strike/>
                <w:color w:val="000000" w:themeColor="text1"/>
                <w:sz w:val="22"/>
                <w:szCs w:val="22"/>
              </w:rPr>
              <w:t xml:space="preserve">Student counts reported in </w:t>
            </w:r>
            <w:r w:rsidRPr="00AA0669" w:rsidR="00980C0B">
              <w:rPr>
                <w:rFonts w:asciiTheme="minorHAnsi" w:hAnsiTheme="minorHAnsi" w:cstheme="minorHAnsi"/>
                <w:strike/>
                <w:color w:val="000000" w:themeColor="text1"/>
                <w:sz w:val="22"/>
                <w:szCs w:val="22"/>
              </w:rPr>
              <w:t xml:space="preserve">Fall </w:t>
            </w:r>
            <w:r w:rsidRPr="00AA0669">
              <w:rPr>
                <w:rFonts w:asciiTheme="minorHAnsi" w:hAnsiTheme="minorHAnsi" w:cstheme="minorHAnsi"/>
                <w:strike/>
                <w:color w:val="000000" w:themeColor="text1"/>
                <w:sz w:val="22"/>
                <w:szCs w:val="22"/>
              </w:rPr>
              <w:t>Enrollment (EF) survey component</w:t>
            </w:r>
            <w:r w:rsidRPr="00AA0669" w:rsidR="0023442C">
              <w:rPr>
                <w:rFonts w:asciiTheme="minorHAnsi" w:hAnsiTheme="minorHAnsi" w:cstheme="minorHAnsi"/>
                <w:strike/>
                <w:color w:val="000000" w:themeColor="text1"/>
                <w:sz w:val="22"/>
                <w:szCs w:val="22"/>
              </w:rPr>
              <w:t xml:space="preserve"> (i.e., 2022 EF counts reported during the 2022-23 IPEDS data collection</w:t>
            </w:r>
            <w:r w:rsidRPr="00AA0669" w:rsidR="003C1136">
              <w:rPr>
                <w:rFonts w:asciiTheme="minorHAnsi" w:hAnsiTheme="minorHAnsi" w:cstheme="minorHAnsi"/>
                <w:strike/>
                <w:color w:val="000000" w:themeColor="text1"/>
                <w:sz w:val="22"/>
                <w:szCs w:val="22"/>
              </w:rPr>
              <w:t xml:space="preserve"> [</w:t>
            </w:r>
            <w:r w:rsidRPr="00AA0669" w:rsidR="00220EA1">
              <w:rPr>
                <w:rFonts w:asciiTheme="minorHAnsi" w:hAnsiTheme="minorHAnsi" w:cstheme="minorHAnsi"/>
                <w:strike/>
                <w:color w:val="000000" w:themeColor="text1"/>
                <w:sz w:val="22"/>
                <w:szCs w:val="22"/>
              </w:rPr>
              <w:t>Spring</w:t>
            </w:r>
            <w:r w:rsidRPr="00AA0669" w:rsidR="003C1136">
              <w:rPr>
                <w:rFonts w:asciiTheme="minorHAnsi" w:hAnsiTheme="minorHAnsi" w:cstheme="minorHAnsi"/>
                <w:strike/>
                <w:color w:val="000000" w:themeColor="text1"/>
                <w:sz w:val="22"/>
                <w:szCs w:val="22"/>
              </w:rPr>
              <w:t xml:space="preserve"> collection cycle]</w:t>
            </w:r>
            <w:r w:rsidRPr="00AA0669" w:rsidR="0023442C">
              <w:rPr>
                <w:rFonts w:asciiTheme="minorHAnsi" w:hAnsiTheme="minorHAnsi" w:cstheme="minorHAnsi"/>
                <w:strike/>
                <w:color w:val="000000" w:themeColor="text1"/>
                <w:sz w:val="22"/>
                <w:szCs w:val="22"/>
              </w:rPr>
              <w:t xml:space="preserve">). </w:t>
            </w:r>
          </w:p>
        </w:tc>
        <w:tc>
          <w:tcPr>
            <w:tcW w:w="2181" w:type="pct"/>
          </w:tcPr>
          <w:p w:rsidR="00CE3972" w:rsidRPr="00AA0669" w:rsidP="00895D2A" w14:paraId="2D98C320" w14:textId="5FF926D6">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Student counts reported in 12-month Enrollment (E12) survey component (i.e., </w:t>
            </w:r>
            <w:r w:rsidRPr="00AA0669" w:rsidR="001366F6">
              <w:rPr>
                <w:rFonts w:asciiTheme="minorHAnsi" w:hAnsiTheme="minorHAnsi" w:cstheme="minorHAnsi"/>
                <w:bCs/>
                <w:strike/>
                <w:sz w:val="22"/>
                <w:szCs w:val="22"/>
              </w:rPr>
              <w:t>E12 counts reported during the 202</w:t>
            </w:r>
            <w:r w:rsidRPr="00AA0669" w:rsidR="009B78E4">
              <w:rPr>
                <w:rFonts w:asciiTheme="minorHAnsi" w:hAnsiTheme="minorHAnsi" w:cstheme="minorHAnsi"/>
                <w:bCs/>
                <w:strike/>
                <w:sz w:val="22"/>
                <w:szCs w:val="22"/>
              </w:rPr>
              <w:t>3-24 IPEDS data collection</w:t>
            </w:r>
            <w:r w:rsidRPr="00AA0669" w:rsidR="003C1136">
              <w:rPr>
                <w:rFonts w:asciiTheme="minorHAnsi" w:hAnsiTheme="minorHAnsi" w:cstheme="minorHAnsi"/>
                <w:bCs/>
                <w:strike/>
                <w:sz w:val="22"/>
                <w:szCs w:val="22"/>
              </w:rPr>
              <w:t xml:space="preserve"> [Fall collection cycle]</w:t>
            </w:r>
            <w:r w:rsidRPr="00AA0669" w:rsidR="009B78E4">
              <w:rPr>
                <w:rFonts w:asciiTheme="minorHAnsi" w:hAnsiTheme="minorHAnsi" w:cstheme="minorHAnsi"/>
                <w:bCs/>
                <w:strike/>
                <w:sz w:val="22"/>
                <w:szCs w:val="22"/>
              </w:rPr>
              <w:t>)</w:t>
            </w:r>
            <w:r w:rsidRPr="00AA0669" w:rsidR="003C1136">
              <w:rPr>
                <w:rFonts w:asciiTheme="minorHAnsi" w:hAnsiTheme="minorHAnsi" w:cstheme="minorHAnsi"/>
                <w:bCs/>
                <w:strike/>
                <w:sz w:val="22"/>
                <w:szCs w:val="22"/>
              </w:rPr>
              <w:t>.</w:t>
            </w:r>
            <w:r w:rsidRPr="00AA0669">
              <w:rPr>
                <w:rFonts w:asciiTheme="minorHAnsi" w:hAnsiTheme="minorHAnsi" w:cstheme="minorHAnsi"/>
                <w:bCs/>
                <w:strike/>
                <w:sz w:val="22"/>
                <w:szCs w:val="22"/>
              </w:rPr>
              <w:t xml:space="preserve"> </w:t>
            </w:r>
          </w:p>
        </w:tc>
      </w:tr>
    </w:tbl>
    <w:p w:rsidR="00AA0669" w:rsidP="008920D2" w14:paraId="5CA8A516" w14:textId="37CE945C">
      <w:pPr>
        <w:rPr>
          <w:rFonts w:cstheme="minorHAnsi"/>
        </w:rPr>
      </w:pPr>
    </w:p>
    <w:p w:rsidR="00AA0669" w14:paraId="0B1E53A2" w14:textId="77777777">
      <w:pPr>
        <w:rPr>
          <w:rFonts w:cstheme="minorHAnsi"/>
        </w:rPr>
      </w:pPr>
      <w:r>
        <w:rPr>
          <w:rFonts w:cstheme="minorHAnsi"/>
        </w:rPr>
        <w:br w:type="page"/>
      </w:r>
    </w:p>
    <w:p w:rsidR="00982ABC" w:rsidP="00982ABC" w14:paraId="2A7B8BF6" w14:textId="24EEF957">
      <w:pPr>
        <w:pStyle w:val="Heading1"/>
        <w:rPr>
          <w:rFonts w:asciiTheme="minorHAnsi" w:hAnsiTheme="minorHAnsi" w:cstheme="minorHAnsi"/>
        </w:rPr>
      </w:pPr>
      <w:r w:rsidRPr="00447153">
        <w:rPr>
          <w:rFonts w:asciiTheme="minorHAnsi" w:hAnsiTheme="minorHAnsi" w:cstheme="minorHAnsi"/>
          <w:strike w:val="0"/>
        </w:rPr>
        <w:t>Admissions and Consumer Transparency Supplement (ACTS) survey component planning</w:t>
      </w:r>
    </w:p>
    <w:p w:rsidR="003433FF" w:rsidP="00447153" w14:paraId="7C3A21A3" w14:textId="77777777">
      <w:pPr>
        <w:spacing w:after="0"/>
      </w:pPr>
    </w:p>
    <w:p w:rsidR="003433FF" w:rsidRPr="00447153" w:rsidP="00982ABC" w14:paraId="32D27BFC" w14:textId="101F385A">
      <w:pPr>
        <w:rPr>
          <w:sz w:val="24"/>
          <w:szCs w:val="24"/>
        </w:rPr>
      </w:pPr>
      <w:r w:rsidRPr="00447153">
        <w:rPr>
          <w:sz w:val="24"/>
          <w:szCs w:val="24"/>
        </w:rPr>
        <w:t>(1) Applicable Institutions. The Department is interested in feedback pertaining to the types of institutions required to complete the ACTS component, including whether there are other objective characteristics that the Department could use to identify institutions that have a low-risk or high-risk of noncompliance with Title VI. In addition, the Department is interested in feedback regarding whether open</w:t>
      </w:r>
      <w:r w:rsidR="00513986">
        <w:rPr>
          <w:sz w:val="24"/>
          <w:szCs w:val="24"/>
        </w:rPr>
        <w:t>-</w:t>
      </w:r>
      <w:r w:rsidRPr="00447153">
        <w:rPr>
          <w:sz w:val="24"/>
          <w:szCs w:val="24"/>
        </w:rPr>
        <w:t xml:space="preserve">enrollment institutions are at-risk of noncompliance with respect to scholarship awarding practices that provide preferential treatment based upon race. Feedback received will help to inform us as to whether we should narrow or expand the scope of institutions required to complete the ACTS component. </w:t>
      </w:r>
    </w:p>
    <w:p w:rsidR="00982ABC" w:rsidRPr="00447153" w14:paraId="09446FB0" w14:textId="46DD4CA7">
      <w:pPr>
        <w:rPr>
          <w:rFonts w:asciiTheme="majorHAnsi" w:hAnsiTheme="majorHAnsi" w:cstheme="majorBidi"/>
          <w:strike w:val="0"/>
          <w:sz w:val="24"/>
          <w:szCs w:val="24"/>
        </w:rPr>
      </w:pPr>
      <w:r w:rsidRPr="00447153">
        <w:rPr>
          <w:b w:val="0"/>
          <w:bCs w:val="0"/>
          <w:sz w:val="24"/>
          <w:szCs w:val="24"/>
        </w:rPr>
        <w:t>(2) Time Burden. The Department is interested in feedback pertaining to the anticipated amount of time it will take for your institution to compile and submit the anticipated data elements in ACTS.</w:t>
      </w:r>
    </w:p>
    <w:p w:rsidR="00AF7B4A" w:rsidRPr="008920D2" w:rsidP="008920D2" w14:paraId="4D405375" w14:textId="77777777">
      <w:pPr>
        <w:rPr>
          <w:rFonts w:cstheme="minorHAnsi"/>
        </w:rPr>
      </w:pPr>
    </w:p>
    <w:sectPr w:rsidSect="00C27768">
      <w:headerReference w:type="default" r:id="rId8"/>
      <w:footerReference w:type="even" r:id="rId9"/>
      <w:footerReference w:type="default" r:id="rId10"/>
      <w:pgSz w:w="12240" w:h="15840" w:code="1"/>
      <w:pgMar w:top="864" w:right="864" w:bottom="720" w:left="864" w:header="432" w:footer="14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6C3" w14:paraId="2CA2C23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66C3" w14:paraId="7B0279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88B" w14:paraId="616544BC" w14:textId="121637CB">
    <w:pPr>
      <w:pStyle w:val="Footer"/>
      <w:jc w:val="center"/>
      <w:rPr>
        <w:caps/>
        <w:noProof/>
        <w:color w:val="5B9BD5" w:themeColor="accent1"/>
      </w:rPr>
    </w:pPr>
    <w:r>
      <w:rPr>
        <w:caps/>
        <w:color w:val="5B9BD5" w:themeColor="accent1"/>
      </w:rPr>
      <w:t xml:space="preserve">appendix d – </w:t>
    </w:r>
    <w:r>
      <w:rPr>
        <w:caps/>
        <w:color w:val="5B9BD5" w:themeColor="accent1"/>
      </w:rPr>
      <w:t>IPEDS</w:t>
    </w:r>
    <w:r>
      <w:rPr>
        <w:caps/>
        <w:color w:val="5B9BD5" w:themeColor="accent1"/>
      </w:rPr>
      <w:t>2022-23 through 2024-25 directed questions |</w:t>
    </w:r>
    <w:r>
      <w:rPr>
        <w:caps/>
        <w:color w:val="5B9BD5" w:themeColor="accent1"/>
      </w:rPr>
      <w:t xml:space="preserve"> </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68188B" w14:paraId="1F1C4A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6C3" w:rsidRPr="00C90EDD" w:rsidP="00C90EDD" w14:paraId="3C84A646" w14:textId="7078EAF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00C27"/>
    <w:multiLevelType w:val="hybridMultilevel"/>
    <w:tmpl w:val="E998E9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FEB5381"/>
    <w:multiLevelType w:val="hybridMultilevel"/>
    <w:tmpl w:val="E998E9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978499C"/>
    <w:multiLevelType w:val="hybridMultilevel"/>
    <w:tmpl w:val="5A26C776"/>
    <w:lvl w:ilvl="0">
      <w:start w:val="21"/>
      <w:numFmt w:val="bullet"/>
      <w:lvlText w:val="-"/>
      <w:lvlJc w:val="left"/>
      <w:pPr>
        <w:ind w:left="1080" w:hanging="360"/>
      </w:pPr>
      <w:rPr>
        <w:rFonts w:ascii="Calibri" w:hAnsi="Calibri" w:eastAsiaTheme="minorEastAsia"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095CD3"/>
    <w:multiLevelType w:val="hybridMultilevel"/>
    <w:tmpl w:val="149E79BC"/>
    <w:lvl w:ilvl="0">
      <w:start w:val="21"/>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396E24"/>
    <w:multiLevelType w:val="hybridMultilevel"/>
    <w:tmpl w:val="FA5AF090"/>
    <w:lvl w:ilvl="0">
      <w:start w:val="21"/>
      <w:numFmt w:val="bullet"/>
      <w:lvlText w:val="-"/>
      <w:lvlJc w:val="left"/>
      <w:pPr>
        <w:ind w:left="1080" w:hanging="360"/>
      </w:pPr>
      <w:rPr>
        <w:rFonts w:ascii="Calibri" w:hAnsi="Calibri" w:eastAsiaTheme="minorEastAsia"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E717E01"/>
    <w:multiLevelType w:val="hybridMultilevel"/>
    <w:tmpl w:val="E998E9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F27514B"/>
    <w:multiLevelType w:val="hybridMultilevel"/>
    <w:tmpl w:val="7E5AA9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8E123F"/>
    <w:multiLevelType w:val="hybridMultilevel"/>
    <w:tmpl w:val="D27A2D72"/>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8972E9"/>
    <w:multiLevelType w:val="hybridMultilevel"/>
    <w:tmpl w:val="0AA821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EE94D29"/>
    <w:multiLevelType w:val="hybridMultilevel"/>
    <w:tmpl w:val="9F62FC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CE07982"/>
    <w:multiLevelType w:val="hybridMultilevel"/>
    <w:tmpl w:val="9572AE9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4638663">
    <w:abstractNumId w:val="6"/>
  </w:num>
  <w:num w:numId="2" w16cid:durableId="1177185656">
    <w:abstractNumId w:val="8"/>
  </w:num>
  <w:num w:numId="3" w16cid:durableId="710499491">
    <w:abstractNumId w:val="1"/>
  </w:num>
  <w:num w:numId="4" w16cid:durableId="1842118633">
    <w:abstractNumId w:val="5"/>
  </w:num>
  <w:num w:numId="5" w16cid:durableId="929966935">
    <w:abstractNumId w:val="0"/>
  </w:num>
  <w:num w:numId="6" w16cid:durableId="1569923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522046">
    <w:abstractNumId w:val="2"/>
  </w:num>
  <w:num w:numId="8" w16cid:durableId="1703432526">
    <w:abstractNumId w:val="4"/>
  </w:num>
  <w:num w:numId="9" w16cid:durableId="860508590">
    <w:abstractNumId w:val="3"/>
  </w:num>
  <w:num w:numId="10" w16cid:durableId="1535996517">
    <w:abstractNumId w:val="9"/>
  </w:num>
  <w:num w:numId="11" w16cid:durableId="602421298">
    <w:abstractNumId w:val="10"/>
  </w:num>
  <w:num w:numId="12" w16cid:durableId="17164622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5177F"/>
    <w:rsid w:val="000101CF"/>
    <w:rsid w:val="00012302"/>
    <w:rsid w:val="000133B4"/>
    <w:rsid w:val="00016F4B"/>
    <w:rsid w:val="000603DE"/>
    <w:rsid w:val="00060BDF"/>
    <w:rsid w:val="00061F83"/>
    <w:rsid w:val="00065E4F"/>
    <w:rsid w:val="00072F01"/>
    <w:rsid w:val="00084B05"/>
    <w:rsid w:val="00092D70"/>
    <w:rsid w:val="00096248"/>
    <w:rsid w:val="000A2667"/>
    <w:rsid w:val="000A5CDB"/>
    <w:rsid w:val="000A73C3"/>
    <w:rsid w:val="000B1F34"/>
    <w:rsid w:val="000B295E"/>
    <w:rsid w:val="000B708F"/>
    <w:rsid w:val="000C016A"/>
    <w:rsid w:val="000C22B8"/>
    <w:rsid w:val="000D1A64"/>
    <w:rsid w:val="000D3EC8"/>
    <w:rsid w:val="000D4C3A"/>
    <w:rsid w:val="000D4F40"/>
    <w:rsid w:val="000E37DA"/>
    <w:rsid w:val="000E49FD"/>
    <w:rsid w:val="000E6ABA"/>
    <w:rsid w:val="000F3954"/>
    <w:rsid w:val="0010182B"/>
    <w:rsid w:val="00101F63"/>
    <w:rsid w:val="00102BBB"/>
    <w:rsid w:val="001077C5"/>
    <w:rsid w:val="00110CFD"/>
    <w:rsid w:val="00115B57"/>
    <w:rsid w:val="001230AC"/>
    <w:rsid w:val="00125A28"/>
    <w:rsid w:val="00125BC7"/>
    <w:rsid w:val="00125C66"/>
    <w:rsid w:val="00125D18"/>
    <w:rsid w:val="00134CF2"/>
    <w:rsid w:val="001366F6"/>
    <w:rsid w:val="00152864"/>
    <w:rsid w:val="0015567F"/>
    <w:rsid w:val="00155B7B"/>
    <w:rsid w:val="0016159D"/>
    <w:rsid w:val="00161F29"/>
    <w:rsid w:val="00162F0B"/>
    <w:rsid w:val="0016449C"/>
    <w:rsid w:val="00173E6A"/>
    <w:rsid w:val="001816F6"/>
    <w:rsid w:val="001859EA"/>
    <w:rsid w:val="0018722B"/>
    <w:rsid w:val="00193FEA"/>
    <w:rsid w:val="001A1F80"/>
    <w:rsid w:val="001A5824"/>
    <w:rsid w:val="001B2986"/>
    <w:rsid w:val="001B4EF3"/>
    <w:rsid w:val="001B7B69"/>
    <w:rsid w:val="001C03AA"/>
    <w:rsid w:val="001C563B"/>
    <w:rsid w:val="001C5FB0"/>
    <w:rsid w:val="001E30C7"/>
    <w:rsid w:val="001E356D"/>
    <w:rsid w:val="001F3543"/>
    <w:rsid w:val="001F4F80"/>
    <w:rsid w:val="00201F0C"/>
    <w:rsid w:val="0020256C"/>
    <w:rsid w:val="00202E74"/>
    <w:rsid w:val="00206969"/>
    <w:rsid w:val="00220874"/>
    <w:rsid w:val="00220EA1"/>
    <w:rsid w:val="00224542"/>
    <w:rsid w:val="00232AA3"/>
    <w:rsid w:val="0023442C"/>
    <w:rsid w:val="00236A96"/>
    <w:rsid w:val="0024193D"/>
    <w:rsid w:val="00242ED2"/>
    <w:rsid w:val="00244669"/>
    <w:rsid w:val="00251A28"/>
    <w:rsid w:val="00260987"/>
    <w:rsid w:val="00270926"/>
    <w:rsid w:val="00273D79"/>
    <w:rsid w:val="002748F2"/>
    <w:rsid w:val="00275898"/>
    <w:rsid w:val="00276023"/>
    <w:rsid w:val="00277CA8"/>
    <w:rsid w:val="00277F61"/>
    <w:rsid w:val="0028096F"/>
    <w:rsid w:val="0028243B"/>
    <w:rsid w:val="00290CD1"/>
    <w:rsid w:val="00294A73"/>
    <w:rsid w:val="002A3AB5"/>
    <w:rsid w:val="002A762A"/>
    <w:rsid w:val="002B057D"/>
    <w:rsid w:val="002B10CC"/>
    <w:rsid w:val="002B3409"/>
    <w:rsid w:val="002B4B46"/>
    <w:rsid w:val="002C0A71"/>
    <w:rsid w:val="002D0B68"/>
    <w:rsid w:val="002D1BCA"/>
    <w:rsid w:val="002D364F"/>
    <w:rsid w:val="002D4D9B"/>
    <w:rsid w:val="002D551E"/>
    <w:rsid w:val="002D7154"/>
    <w:rsid w:val="002E4652"/>
    <w:rsid w:val="002E4F26"/>
    <w:rsid w:val="002E5403"/>
    <w:rsid w:val="002E5B5C"/>
    <w:rsid w:val="00300190"/>
    <w:rsid w:val="00304FCD"/>
    <w:rsid w:val="00307657"/>
    <w:rsid w:val="00307D7B"/>
    <w:rsid w:val="00310EBD"/>
    <w:rsid w:val="003115D8"/>
    <w:rsid w:val="003132D9"/>
    <w:rsid w:val="00320984"/>
    <w:rsid w:val="00333653"/>
    <w:rsid w:val="00334FB4"/>
    <w:rsid w:val="00335D96"/>
    <w:rsid w:val="003433FF"/>
    <w:rsid w:val="0034340E"/>
    <w:rsid w:val="003449A9"/>
    <w:rsid w:val="00347588"/>
    <w:rsid w:val="00350BA2"/>
    <w:rsid w:val="0035543F"/>
    <w:rsid w:val="00357EBB"/>
    <w:rsid w:val="00362478"/>
    <w:rsid w:val="003737C8"/>
    <w:rsid w:val="00381E5E"/>
    <w:rsid w:val="00382214"/>
    <w:rsid w:val="00383CD0"/>
    <w:rsid w:val="0038428F"/>
    <w:rsid w:val="00386583"/>
    <w:rsid w:val="00392C8B"/>
    <w:rsid w:val="003939D1"/>
    <w:rsid w:val="003951FE"/>
    <w:rsid w:val="003966E0"/>
    <w:rsid w:val="003A2759"/>
    <w:rsid w:val="003A3589"/>
    <w:rsid w:val="003A4B06"/>
    <w:rsid w:val="003A6CF1"/>
    <w:rsid w:val="003B087A"/>
    <w:rsid w:val="003B1214"/>
    <w:rsid w:val="003B343D"/>
    <w:rsid w:val="003C1136"/>
    <w:rsid w:val="003C5878"/>
    <w:rsid w:val="003D176E"/>
    <w:rsid w:val="003D1D47"/>
    <w:rsid w:val="003D3751"/>
    <w:rsid w:val="003D5AF2"/>
    <w:rsid w:val="003E037E"/>
    <w:rsid w:val="003E1F53"/>
    <w:rsid w:val="003E6300"/>
    <w:rsid w:val="003E69A4"/>
    <w:rsid w:val="003E6D02"/>
    <w:rsid w:val="003E7B1F"/>
    <w:rsid w:val="003F0EDA"/>
    <w:rsid w:val="003F69A3"/>
    <w:rsid w:val="003F7A55"/>
    <w:rsid w:val="00401008"/>
    <w:rsid w:val="00402B97"/>
    <w:rsid w:val="0040443E"/>
    <w:rsid w:val="00405A58"/>
    <w:rsid w:val="00410AF6"/>
    <w:rsid w:val="00412510"/>
    <w:rsid w:val="00415A03"/>
    <w:rsid w:val="00416036"/>
    <w:rsid w:val="0042170B"/>
    <w:rsid w:val="0042387B"/>
    <w:rsid w:val="004250B1"/>
    <w:rsid w:val="00426D71"/>
    <w:rsid w:val="004327F0"/>
    <w:rsid w:val="004339E7"/>
    <w:rsid w:val="004416FE"/>
    <w:rsid w:val="00447153"/>
    <w:rsid w:val="00454011"/>
    <w:rsid w:val="0046202A"/>
    <w:rsid w:val="004651AB"/>
    <w:rsid w:val="004663C4"/>
    <w:rsid w:val="004678CD"/>
    <w:rsid w:val="00470007"/>
    <w:rsid w:val="00476964"/>
    <w:rsid w:val="0047711C"/>
    <w:rsid w:val="00481169"/>
    <w:rsid w:val="00482468"/>
    <w:rsid w:val="00484C45"/>
    <w:rsid w:val="00491A76"/>
    <w:rsid w:val="00492E22"/>
    <w:rsid w:val="0049351A"/>
    <w:rsid w:val="004A3E15"/>
    <w:rsid w:val="004A620E"/>
    <w:rsid w:val="004A67BB"/>
    <w:rsid w:val="004A6A3A"/>
    <w:rsid w:val="004C05BB"/>
    <w:rsid w:val="004C17BC"/>
    <w:rsid w:val="004C61BB"/>
    <w:rsid w:val="004C6D4E"/>
    <w:rsid w:val="004C7E88"/>
    <w:rsid w:val="004D1733"/>
    <w:rsid w:val="004D72BE"/>
    <w:rsid w:val="004D77F4"/>
    <w:rsid w:val="004E2943"/>
    <w:rsid w:val="004E57FE"/>
    <w:rsid w:val="004F0510"/>
    <w:rsid w:val="004F317F"/>
    <w:rsid w:val="0050009D"/>
    <w:rsid w:val="0050282F"/>
    <w:rsid w:val="00510A0A"/>
    <w:rsid w:val="005110D2"/>
    <w:rsid w:val="00513986"/>
    <w:rsid w:val="00516F8A"/>
    <w:rsid w:val="005173B4"/>
    <w:rsid w:val="00517EEC"/>
    <w:rsid w:val="0052210D"/>
    <w:rsid w:val="00522226"/>
    <w:rsid w:val="00531A84"/>
    <w:rsid w:val="00533720"/>
    <w:rsid w:val="00535E7C"/>
    <w:rsid w:val="005401D5"/>
    <w:rsid w:val="00540A28"/>
    <w:rsid w:val="00544333"/>
    <w:rsid w:val="00553488"/>
    <w:rsid w:val="00554690"/>
    <w:rsid w:val="005653C6"/>
    <w:rsid w:val="00574560"/>
    <w:rsid w:val="005807E9"/>
    <w:rsid w:val="00581C76"/>
    <w:rsid w:val="00585408"/>
    <w:rsid w:val="00585ADA"/>
    <w:rsid w:val="00587448"/>
    <w:rsid w:val="00591684"/>
    <w:rsid w:val="005939BA"/>
    <w:rsid w:val="00594490"/>
    <w:rsid w:val="005A26F8"/>
    <w:rsid w:val="005A5A63"/>
    <w:rsid w:val="005A6534"/>
    <w:rsid w:val="005A6776"/>
    <w:rsid w:val="005B14E5"/>
    <w:rsid w:val="005C24DB"/>
    <w:rsid w:val="005C2AED"/>
    <w:rsid w:val="005D0060"/>
    <w:rsid w:val="005D4808"/>
    <w:rsid w:val="005E1B4F"/>
    <w:rsid w:val="005E2D7A"/>
    <w:rsid w:val="005E33A3"/>
    <w:rsid w:val="005E40E7"/>
    <w:rsid w:val="005F0E6F"/>
    <w:rsid w:val="005F40BA"/>
    <w:rsid w:val="005F50B7"/>
    <w:rsid w:val="005F5A61"/>
    <w:rsid w:val="005F65E9"/>
    <w:rsid w:val="005F7169"/>
    <w:rsid w:val="005F72F3"/>
    <w:rsid w:val="0060143E"/>
    <w:rsid w:val="00601BAC"/>
    <w:rsid w:val="006040E5"/>
    <w:rsid w:val="00617FBC"/>
    <w:rsid w:val="006206D9"/>
    <w:rsid w:val="0062541A"/>
    <w:rsid w:val="00632D8B"/>
    <w:rsid w:val="006362BF"/>
    <w:rsid w:val="00636A99"/>
    <w:rsid w:val="00636EC8"/>
    <w:rsid w:val="006431F4"/>
    <w:rsid w:val="00652814"/>
    <w:rsid w:val="00655E20"/>
    <w:rsid w:val="00656C12"/>
    <w:rsid w:val="00661F17"/>
    <w:rsid w:val="006644BD"/>
    <w:rsid w:val="0066479E"/>
    <w:rsid w:val="006719FF"/>
    <w:rsid w:val="00672A17"/>
    <w:rsid w:val="006750D1"/>
    <w:rsid w:val="00675718"/>
    <w:rsid w:val="00676D34"/>
    <w:rsid w:val="0068188B"/>
    <w:rsid w:val="00686592"/>
    <w:rsid w:val="00686793"/>
    <w:rsid w:val="006912F1"/>
    <w:rsid w:val="006925CE"/>
    <w:rsid w:val="00692E5B"/>
    <w:rsid w:val="006A0B29"/>
    <w:rsid w:val="006A24B4"/>
    <w:rsid w:val="006A2E6A"/>
    <w:rsid w:val="006A6B72"/>
    <w:rsid w:val="006B78BA"/>
    <w:rsid w:val="006C0C2F"/>
    <w:rsid w:val="006D0563"/>
    <w:rsid w:val="006D0946"/>
    <w:rsid w:val="006D1FFF"/>
    <w:rsid w:val="006D4B95"/>
    <w:rsid w:val="006D4E4D"/>
    <w:rsid w:val="006D6243"/>
    <w:rsid w:val="006E6212"/>
    <w:rsid w:val="006F7B6B"/>
    <w:rsid w:val="00702260"/>
    <w:rsid w:val="00702497"/>
    <w:rsid w:val="007024A8"/>
    <w:rsid w:val="00703AE3"/>
    <w:rsid w:val="007055F7"/>
    <w:rsid w:val="00711B28"/>
    <w:rsid w:val="00713612"/>
    <w:rsid w:val="007148A0"/>
    <w:rsid w:val="00715D01"/>
    <w:rsid w:val="00724A36"/>
    <w:rsid w:val="00724E86"/>
    <w:rsid w:val="00731949"/>
    <w:rsid w:val="00736E93"/>
    <w:rsid w:val="00737488"/>
    <w:rsid w:val="007426AF"/>
    <w:rsid w:val="00743471"/>
    <w:rsid w:val="0075028D"/>
    <w:rsid w:val="007522B0"/>
    <w:rsid w:val="00754993"/>
    <w:rsid w:val="007607CD"/>
    <w:rsid w:val="007667B1"/>
    <w:rsid w:val="00766C60"/>
    <w:rsid w:val="0078078D"/>
    <w:rsid w:val="0078189B"/>
    <w:rsid w:val="00781A9A"/>
    <w:rsid w:val="00782AE9"/>
    <w:rsid w:val="007A649B"/>
    <w:rsid w:val="007B02CA"/>
    <w:rsid w:val="007B04AB"/>
    <w:rsid w:val="007B0D18"/>
    <w:rsid w:val="007C13CB"/>
    <w:rsid w:val="007C13ED"/>
    <w:rsid w:val="007C27FF"/>
    <w:rsid w:val="007C5398"/>
    <w:rsid w:val="007C5C49"/>
    <w:rsid w:val="007C788B"/>
    <w:rsid w:val="007D19D0"/>
    <w:rsid w:val="007D6720"/>
    <w:rsid w:val="007E013E"/>
    <w:rsid w:val="007E075E"/>
    <w:rsid w:val="007E199C"/>
    <w:rsid w:val="007E2F9D"/>
    <w:rsid w:val="007E57E3"/>
    <w:rsid w:val="007F510F"/>
    <w:rsid w:val="007F5220"/>
    <w:rsid w:val="008018FC"/>
    <w:rsid w:val="00804A95"/>
    <w:rsid w:val="00805952"/>
    <w:rsid w:val="00810725"/>
    <w:rsid w:val="00811BB4"/>
    <w:rsid w:val="00815A8D"/>
    <w:rsid w:val="00816E6E"/>
    <w:rsid w:val="00824432"/>
    <w:rsid w:val="008277AE"/>
    <w:rsid w:val="00834919"/>
    <w:rsid w:val="00834CE9"/>
    <w:rsid w:val="00841C4E"/>
    <w:rsid w:val="00842846"/>
    <w:rsid w:val="00852FEC"/>
    <w:rsid w:val="00865A71"/>
    <w:rsid w:val="0087785C"/>
    <w:rsid w:val="008803E4"/>
    <w:rsid w:val="008811E9"/>
    <w:rsid w:val="008832DA"/>
    <w:rsid w:val="00891A7D"/>
    <w:rsid w:val="008920D2"/>
    <w:rsid w:val="00895D2A"/>
    <w:rsid w:val="00897AAE"/>
    <w:rsid w:val="008A3B06"/>
    <w:rsid w:val="008A6D98"/>
    <w:rsid w:val="008B1A3E"/>
    <w:rsid w:val="008B24CF"/>
    <w:rsid w:val="008B376A"/>
    <w:rsid w:val="008B424F"/>
    <w:rsid w:val="008B68E5"/>
    <w:rsid w:val="008C1686"/>
    <w:rsid w:val="008C3C7E"/>
    <w:rsid w:val="008C6112"/>
    <w:rsid w:val="008D130E"/>
    <w:rsid w:val="008D4F86"/>
    <w:rsid w:val="008D736F"/>
    <w:rsid w:val="008E02D9"/>
    <w:rsid w:val="008E0CE7"/>
    <w:rsid w:val="008E43DC"/>
    <w:rsid w:val="008E7FF6"/>
    <w:rsid w:val="008F20AC"/>
    <w:rsid w:val="008F5AB4"/>
    <w:rsid w:val="00901824"/>
    <w:rsid w:val="00903036"/>
    <w:rsid w:val="00903B30"/>
    <w:rsid w:val="00910BE0"/>
    <w:rsid w:val="009170C8"/>
    <w:rsid w:val="00922B43"/>
    <w:rsid w:val="00931E91"/>
    <w:rsid w:val="00933A20"/>
    <w:rsid w:val="00937C79"/>
    <w:rsid w:val="00946513"/>
    <w:rsid w:val="00956BA3"/>
    <w:rsid w:val="009623A0"/>
    <w:rsid w:val="009651CC"/>
    <w:rsid w:val="00971980"/>
    <w:rsid w:val="00977C31"/>
    <w:rsid w:val="00980C0B"/>
    <w:rsid w:val="009824AB"/>
    <w:rsid w:val="00982ABC"/>
    <w:rsid w:val="0098308A"/>
    <w:rsid w:val="00990D1D"/>
    <w:rsid w:val="009A0726"/>
    <w:rsid w:val="009A39DB"/>
    <w:rsid w:val="009A5298"/>
    <w:rsid w:val="009A59D1"/>
    <w:rsid w:val="009A5D48"/>
    <w:rsid w:val="009B0AF3"/>
    <w:rsid w:val="009B27A7"/>
    <w:rsid w:val="009B56AF"/>
    <w:rsid w:val="009B78E4"/>
    <w:rsid w:val="009D2245"/>
    <w:rsid w:val="009D49C6"/>
    <w:rsid w:val="00A06DCE"/>
    <w:rsid w:val="00A077DA"/>
    <w:rsid w:val="00A1199A"/>
    <w:rsid w:val="00A16EB6"/>
    <w:rsid w:val="00A224D0"/>
    <w:rsid w:val="00A241BD"/>
    <w:rsid w:val="00A30964"/>
    <w:rsid w:val="00A3125C"/>
    <w:rsid w:val="00A32BC6"/>
    <w:rsid w:val="00A34432"/>
    <w:rsid w:val="00A359E2"/>
    <w:rsid w:val="00A409A3"/>
    <w:rsid w:val="00A423EC"/>
    <w:rsid w:val="00A436C6"/>
    <w:rsid w:val="00A4405D"/>
    <w:rsid w:val="00A4408B"/>
    <w:rsid w:val="00A44D44"/>
    <w:rsid w:val="00A520CE"/>
    <w:rsid w:val="00A54609"/>
    <w:rsid w:val="00A549A5"/>
    <w:rsid w:val="00A621A9"/>
    <w:rsid w:val="00A622EA"/>
    <w:rsid w:val="00A62C31"/>
    <w:rsid w:val="00A6400A"/>
    <w:rsid w:val="00A64186"/>
    <w:rsid w:val="00A650E6"/>
    <w:rsid w:val="00A73BD2"/>
    <w:rsid w:val="00A74EBE"/>
    <w:rsid w:val="00A75B74"/>
    <w:rsid w:val="00A75EF9"/>
    <w:rsid w:val="00A83BA8"/>
    <w:rsid w:val="00A83E96"/>
    <w:rsid w:val="00A8534F"/>
    <w:rsid w:val="00A85581"/>
    <w:rsid w:val="00A91C04"/>
    <w:rsid w:val="00A9348E"/>
    <w:rsid w:val="00A95A13"/>
    <w:rsid w:val="00AA0669"/>
    <w:rsid w:val="00AA7388"/>
    <w:rsid w:val="00AA7E25"/>
    <w:rsid w:val="00AB5E1F"/>
    <w:rsid w:val="00AC1AB2"/>
    <w:rsid w:val="00AC6B31"/>
    <w:rsid w:val="00AD6D6D"/>
    <w:rsid w:val="00AE3A28"/>
    <w:rsid w:val="00AE5F1B"/>
    <w:rsid w:val="00AE6773"/>
    <w:rsid w:val="00AE6855"/>
    <w:rsid w:val="00AE7380"/>
    <w:rsid w:val="00AE7F7C"/>
    <w:rsid w:val="00AF03E7"/>
    <w:rsid w:val="00AF23E9"/>
    <w:rsid w:val="00AF2D35"/>
    <w:rsid w:val="00AF4894"/>
    <w:rsid w:val="00AF6022"/>
    <w:rsid w:val="00AF67C5"/>
    <w:rsid w:val="00AF7873"/>
    <w:rsid w:val="00AF7B4A"/>
    <w:rsid w:val="00B04159"/>
    <w:rsid w:val="00B04289"/>
    <w:rsid w:val="00B0636F"/>
    <w:rsid w:val="00B106CC"/>
    <w:rsid w:val="00B112EC"/>
    <w:rsid w:val="00B20380"/>
    <w:rsid w:val="00B23B3E"/>
    <w:rsid w:val="00B25754"/>
    <w:rsid w:val="00B26062"/>
    <w:rsid w:val="00B330E2"/>
    <w:rsid w:val="00B3487E"/>
    <w:rsid w:val="00B44BF3"/>
    <w:rsid w:val="00B4651E"/>
    <w:rsid w:val="00B5488B"/>
    <w:rsid w:val="00B60E2D"/>
    <w:rsid w:val="00B66B0D"/>
    <w:rsid w:val="00B66D2B"/>
    <w:rsid w:val="00B844EC"/>
    <w:rsid w:val="00B95110"/>
    <w:rsid w:val="00BA1948"/>
    <w:rsid w:val="00BA323B"/>
    <w:rsid w:val="00BA7A7A"/>
    <w:rsid w:val="00BB4A29"/>
    <w:rsid w:val="00BB5EEF"/>
    <w:rsid w:val="00BB6A26"/>
    <w:rsid w:val="00BC44B9"/>
    <w:rsid w:val="00BD1046"/>
    <w:rsid w:val="00BD1858"/>
    <w:rsid w:val="00BE295A"/>
    <w:rsid w:val="00BE3892"/>
    <w:rsid w:val="00BE69A1"/>
    <w:rsid w:val="00BF3B7D"/>
    <w:rsid w:val="00BF3D07"/>
    <w:rsid w:val="00BF433B"/>
    <w:rsid w:val="00BF5602"/>
    <w:rsid w:val="00BF6EE3"/>
    <w:rsid w:val="00C015AC"/>
    <w:rsid w:val="00C27768"/>
    <w:rsid w:val="00C27EB9"/>
    <w:rsid w:val="00C30832"/>
    <w:rsid w:val="00C30E7D"/>
    <w:rsid w:val="00C33F99"/>
    <w:rsid w:val="00C43862"/>
    <w:rsid w:val="00C43EEC"/>
    <w:rsid w:val="00C46B92"/>
    <w:rsid w:val="00C4780D"/>
    <w:rsid w:val="00C5061D"/>
    <w:rsid w:val="00C53E77"/>
    <w:rsid w:val="00C62DFA"/>
    <w:rsid w:val="00C6380D"/>
    <w:rsid w:val="00C7101A"/>
    <w:rsid w:val="00C71A3D"/>
    <w:rsid w:val="00C72894"/>
    <w:rsid w:val="00C76546"/>
    <w:rsid w:val="00C81E4E"/>
    <w:rsid w:val="00C84FAE"/>
    <w:rsid w:val="00C86058"/>
    <w:rsid w:val="00C90EDD"/>
    <w:rsid w:val="00C92C15"/>
    <w:rsid w:val="00C93062"/>
    <w:rsid w:val="00C93AD2"/>
    <w:rsid w:val="00CA2454"/>
    <w:rsid w:val="00CA3565"/>
    <w:rsid w:val="00CA406C"/>
    <w:rsid w:val="00CA484B"/>
    <w:rsid w:val="00CA4EBB"/>
    <w:rsid w:val="00CC0C3F"/>
    <w:rsid w:val="00CC34F7"/>
    <w:rsid w:val="00CC4567"/>
    <w:rsid w:val="00CC4E95"/>
    <w:rsid w:val="00CC564D"/>
    <w:rsid w:val="00CC5A97"/>
    <w:rsid w:val="00CC7CCB"/>
    <w:rsid w:val="00CD7BF5"/>
    <w:rsid w:val="00CE0F81"/>
    <w:rsid w:val="00CE3158"/>
    <w:rsid w:val="00CE35D5"/>
    <w:rsid w:val="00CE3961"/>
    <w:rsid w:val="00CE3972"/>
    <w:rsid w:val="00CF1137"/>
    <w:rsid w:val="00CF506D"/>
    <w:rsid w:val="00D03EBD"/>
    <w:rsid w:val="00D06D55"/>
    <w:rsid w:val="00D100F4"/>
    <w:rsid w:val="00D177FB"/>
    <w:rsid w:val="00D372AD"/>
    <w:rsid w:val="00D422CA"/>
    <w:rsid w:val="00D43137"/>
    <w:rsid w:val="00D44E26"/>
    <w:rsid w:val="00D46328"/>
    <w:rsid w:val="00D5177F"/>
    <w:rsid w:val="00D544D7"/>
    <w:rsid w:val="00D548C2"/>
    <w:rsid w:val="00D5674C"/>
    <w:rsid w:val="00D57B33"/>
    <w:rsid w:val="00D61284"/>
    <w:rsid w:val="00D634CD"/>
    <w:rsid w:val="00D64B0A"/>
    <w:rsid w:val="00D65139"/>
    <w:rsid w:val="00D66BBA"/>
    <w:rsid w:val="00D6742B"/>
    <w:rsid w:val="00D76CF5"/>
    <w:rsid w:val="00D81788"/>
    <w:rsid w:val="00D85DED"/>
    <w:rsid w:val="00D9158B"/>
    <w:rsid w:val="00D91CE2"/>
    <w:rsid w:val="00D93695"/>
    <w:rsid w:val="00D94868"/>
    <w:rsid w:val="00DB0203"/>
    <w:rsid w:val="00DB4418"/>
    <w:rsid w:val="00DC4192"/>
    <w:rsid w:val="00DC56CE"/>
    <w:rsid w:val="00DD515B"/>
    <w:rsid w:val="00DD69A3"/>
    <w:rsid w:val="00DE08F2"/>
    <w:rsid w:val="00DE2CD3"/>
    <w:rsid w:val="00DE4024"/>
    <w:rsid w:val="00DE4CC8"/>
    <w:rsid w:val="00DE4F03"/>
    <w:rsid w:val="00DE7C69"/>
    <w:rsid w:val="00DF1889"/>
    <w:rsid w:val="00DF36AB"/>
    <w:rsid w:val="00DF64D2"/>
    <w:rsid w:val="00E00E95"/>
    <w:rsid w:val="00E04D71"/>
    <w:rsid w:val="00E12B95"/>
    <w:rsid w:val="00E1538F"/>
    <w:rsid w:val="00E17915"/>
    <w:rsid w:val="00E2176F"/>
    <w:rsid w:val="00E21F79"/>
    <w:rsid w:val="00E23A36"/>
    <w:rsid w:val="00E23D1B"/>
    <w:rsid w:val="00E253CE"/>
    <w:rsid w:val="00E302BC"/>
    <w:rsid w:val="00E302E5"/>
    <w:rsid w:val="00E3032B"/>
    <w:rsid w:val="00E31F09"/>
    <w:rsid w:val="00E37E25"/>
    <w:rsid w:val="00E46FA5"/>
    <w:rsid w:val="00E6031B"/>
    <w:rsid w:val="00E62C26"/>
    <w:rsid w:val="00E6641E"/>
    <w:rsid w:val="00E670B9"/>
    <w:rsid w:val="00E7086A"/>
    <w:rsid w:val="00E73366"/>
    <w:rsid w:val="00E7448C"/>
    <w:rsid w:val="00E83DF1"/>
    <w:rsid w:val="00E854C7"/>
    <w:rsid w:val="00E87D1D"/>
    <w:rsid w:val="00E91E6E"/>
    <w:rsid w:val="00E92716"/>
    <w:rsid w:val="00E948BB"/>
    <w:rsid w:val="00E97BA6"/>
    <w:rsid w:val="00EA00C5"/>
    <w:rsid w:val="00EA1A92"/>
    <w:rsid w:val="00EA2612"/>
    <w:rsid w:val="00EA37E5"/>
    <w:rsid w:val="00EA3D6E"/>
    <w:rsid w:val="00EA74F5"/>
    <w:rsid w:val="00EB0304"/>
    <w:rsid w:val="00EB6D04"/>
    <w:rsid w:val="00EB7890"/>
    <w:rsid w:val="00EC1F76"/>
    <w:rsid w:val="00EC219C"/>
    <w:rsid w:val="00EC4912"/>
    <w:rsid w:val="00ED0460"/>
    <w:rsid w:val="00ED1D87"/>
    <w:rsid w:val="00ED2D96"/>
    <w:rsid w:val="00ED709C"/>
    <w:rsid w:val="00EE1CEA"/>
    <w:rsid w:val="00EE3A07"/>
    <w:rsid w:val="00EE4953"/>
    <w:rsid w:val="00EF5A21"/>
    <w:rsid w:val="00EF6C5D"/>
    <w:rsid w:val="00F020BA"/>
    <w:rsid w:val="00F06A24"/>
    <w:rsid w:val="00F15319"/>
    <w:rsid w:val="00F20170"/>
    <w:rsid w:val="00F24BEC"/>
    <w:rsid w:val="00F26F62"/>
    <w:rsid w:val="00F3088F"/>
    <w:rsid w:val="00F366C3"/>
    <w:rsid w:val="00F37012"/>
    <w:rsid w:val="00F378A7"/>
    <w:rsid w:val="00F37F77"/>
    <w:rsid w:val="00F42853"/>
    <w:rsid w:val="00F42928"/>
    <w:rsid w:val="00F44495"/>
    <w:rsid w:val="00F51DB0"/>
    <w:rsid w:val="00F52F83"/>
    <w:rsid w:val="00F57675"/>
    <w:rsid w:val="00F60DF5"/>
    <w:rsid w:val="00F627D1"/>
    <w:rsid w:val="00F66FB9"/>
    <w:rsid w:val="00F707EF"/>
    <w:rsid w:val="00F81B62"/>
    <w:rsid w:val="00F94B20"/>
    <w:rsid w:val="00FA0AAE"/>
    <w:rsid w:val="00FA285C"/>
    <w:rsid w:val="00FB1353"/>
    <w:rsid w:val="00FB3221"/>
    <w:rsid w:val="00FB745E"/>
    <w:rsid w:val="00FB79F1"/>
    <w:rsid w:val="00FC4564"/>
    <w:rsid w:val="00FC7CFB"/>
    <w:rsid w:val="00FD0563"/>
    <w:rsid w:val="00FD1643"/>
    <w:rsid w:val="00FD1761"/>
    <w:rsid w:val="00FD1C58"/>
    <w:rsid w:val="00FD6CA0"/>
    <w:rsid w:val="00FE12C6"/>
    <w:rsid w:val="00FE1453"/>
    <w:rsid w:val="00FE751F"/>
    <w:rsid w:val="00FF379B"/>
    <w:rsid w:val="00FF4052"/>
    <w:rsid w:val="00FF71CC"/>
    <w:rsid w:val="3E8C6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02A"/>
  </w:style>
  <w:style w:type="paragraph" w:styleId="Heading1">
    <w:name w:val="heading 1"/>
    <w:aliases w:val="H1-Sec.Head"/>
    <w:basedOn w:val="Normal"/>
    <w:next w:val="Normal"/>
    <w:link w:val="Heading1Char"/>
    <w:uiPriority w:val="9"/>
    <w:qFormat/>
    <w:rsid w:val="0046202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6202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6202A"/>
    <w:pPr>
      <w:spacing w:before="200" w:after="0" w:line="271" w:lineRule="auto"/>
      <w:outlineLvl w:val="2"/>
    </w:pPr>
    <w:rPr>
      <w:rFonts w:asciiTheme="majorHAnsi" w:eastAsiaTheme="majorEastAsia" w:hAnsiTheme="majorHAnsi" w:cstheme="majorBidi"/>
      <w:b/>
      <w:bCs/>
    </w:rPr>
  </w:style>
  <w:style w:type="paragraph" w:styleId="Heading4">
    <w:name w:val="heading 4"/>
    <w:aliases w:val="H4 Sec.Heading"/>
    <w:basedOn w:val="Normal"/>
    <w:next w:val="Normal"/>
    <w:link w:val="Heading4Char"/>
    <w:uiPriority w:val="9"/>
    <w:unhideWhenUsed/>
    <w:qFormat/>
    <w:rsid w:val="004620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620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620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620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620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620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46202A"/>
    <w:rPr>
      <w:rFonts w:asciiTheme="majorHAnsi" w:eastAsiaTheme="majorEastAsia" w:hAnsiTheme="majorHAnsi" w:cstheme="majorBidi"/>
      <w:b/>
      <w:bCs/>
      <w:sz w:val="28"/>
      <w:szCs w:val="28"/>
    </w:rPr>
  </w:style>
  <w:style w:type="character" w:customStyle="1" w:styleId="Heading4Char">
    <w:name w:val="Heading 4 Char"/>
    <w:aliases w:val="H4 Sec.Heading Char"/>
    <w:basedOn w:val="DefaultParagraphFont"/>
    <w:link w:val="Heading4"/>
    <w:uiPriority w:val="9"/>
    <w:rsid w:val="0046202A"/>
    <w:rPr>
      <w:rFonts w:asciiTheme="majorHAnsi" w:eastAsiaTheme="majorEastAsia" w:hAnsiTheme="majorHAnsi" w:cstheme="majorBidi"/>
      <w:b/>
      <w:bCs/>
      <w:i/>
      <w:iCs/>
    </w:rPr>
  </w:style>
  <w:style w:type="paragraph" w:styleId="BodyText">
    <w:name w:val="Body Text"/>
    <w:basedOn w:val="Normal"/>
    <w:link w:val="BodyTextChar"/>
    <w:rsid w:val="00D5177F"/>
    <w:rPr>
      <w:sz w:val="72"/>
    </w:rPr>
  </w:style>
  <w:style w:type="character" w:customStyle="1" w:styleId="BodyTextChar">
    <w:name w:val="Body Text Char"/>
    <w:basedOn w:val="DefaultParagraphFont"/>
    <w:link w:val="BodyText"/>
    <w:rsid w:val="00D5177F"/>
    <w:rPr>
      <w:rFonts w:asciiTheme="majorHAnsi" w:eastAsiaTheme="majorEastAsia" w:hAnsiTheme="majorHAnsi" w:cstheme="majorBidi"/>
      <w:sz w:val="72"/>
      <w:lang w:bidi="en-US"/>
    </w:rPr>
  </w:style>
  <w:style w:type="character" w:styleId="PageNumber">
    <w:name w:val="page number"/>
    <w:basedOn w:val="DefaultParagraphFont"/>
    <w:rsid w:val="00D5177F"/>
  </w:style>
  <w:style w:type="paragraph" w:styleId="Footer">
    <w:name w:val="footer"/>
    <w:basedOn w:val="Normal"/>
    <w:link w:val="FooterChar"/>
    <w:uiPriority w:val="99"/>
    <w:rsid w:val="00D5177F"/>
    <w:pPr>
      <w:tabs>
        <w:tab w:val="center" w:pos="4320"/>
        <w:tab w:val="right" w:pos="8640"/>
      </w:tabs>
    </w:pPr>
  </w:style>
  <w:style w:type="character" w:customStyle="1" w:styleId="FooterChar">
    <w:name w:val="Footer Char"/>
    <w:basedOn w:val="DefaultParagraphFont"/>
    <w:link w:val="Footer"/>
    <w:uiPriority w:val="99"/>
    <w:rsid w:val="00D5177F"/>
    <w:rPr>
      <w:rFonts w:asciiTheme="majorHAnsi" w:eastAsiaTheme="majorEastAsia" w:hAnsiTheme="majorHAnsi" w:cstheme="majorBidi"/>
      <w:lang w:bidi="en-US"/>
    </w:rPr>
  </w:style>
  <w:style w:type="paragraph" w:styleId="Header">
    <w:name w:val="header"/>
    <w:basedOn w:val="Normal"/>
    <w:link w:val="HeaderChar"/>
    <w:uiPriority w:val="99"/>
    <w:rsid w:val="00D5177F"/>
    <w:pPr>
      <w:tabs>
        <w:tab w:val="center" w:pos="4320"/>
        <w:tab w:val="right" w:pos="8640"/>
      </w:tabs>
    </w:pPr>
  </w:style>
  <w:style w:type="character" w:customStyle="1" w:styleId="HeaderChar">
    <w:name w:val="Header Char"/>
    <w:basedOn w:val="DefaultParagraphFont"/>
    <w:link w:val="Header"/>
    <w:uiPriority w:val="99"/>
    <w:rsid w:val="00D5177F"/>
    <w:rPr>
      <w:rFonts w:asciiTheme="majorHAnsi" w:eastAsiaTheme="majorEastAsia" w:hAnsiTheme="majorHAnsi" w:cstheme="majorBidi"/>
      <w:lang w:bidi="en-US"/>
    </w:rPr>
  </w:style>
  <w:style w:type="paragraph" w:styleId="ListParagraph">
    <w:name w:val="List Paragraph"/>
    <w:basedOn w:val="Normal"/>
    <w:uiPriority w:val="34"/>
    <w:qFormat/>
    <w:rsid w:val="0046202A"/>
    <w:pPr>
      <w:ind w:left="720"/>
      <w:contextualSpacing/>
    </w:pPr>
  </w:style>
  <w:style w:type="paragraph" w:styleId="Title">
    <w:name w:val="Title"/>
    <w:basedOn w:val="Normal"/>
    <w:next w:val="Normal"/>
    <w:link w:val="TitleChar"/>
    <w:uiPriority w:val="10"/>
    <w:qFormat/>
    <w:rsid w:val="004620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6202A"/>
    <w:rPr>
      <w:rFonts w:asciiTheme="majorHAnsi" w:eastAsiaTheme="majorEastAsia" w:hAnsiTheme="majorHAnsi" w:cstheme="majorBidi"/>
      <w:spacing w:val="5"/>
      <w:sz w:val="52"/>
      <w:szCs w:val="52"/>
    </w:rPr>
  </w:style>
  <w:style w:type="character" w:styleId="BookTitle">
    <w:name w:val="Book Title"/>
    <w:uiPriority w:val="33"/>
    <w:qFormat/>
    <w:rsid w:val="0046202A"/>
    <w:rPr>
      <w:i/>
      <w:iCs/>
      <w:smallCaps/>
      <w:spacing w:val="5"/>
    </w:rPr>
  </w:style>
  <w:style w:type="paragraph" w:customStyle="1" w:styleId="Default">
    <w:name w:val="Default"/>
    <w:rsid w:val="00D5177F"/>
    <w:pPr>
      <w:autoSpaceDE w:val="0"/>
      <w:autoSpaceDN w:val="0"/>
      <w:adjustRightInd w:val="0"/>
      <w:spacing w:after="0" w:line="240" w:lineRule="auto"/>
    </w:pPr>
    <w:rPr>
      <w:rFonts w:ascii="Times New Roman" w:hAnsi="Times New Roman" w:eastAsiaTheme="majorEastAsia" w:cs="Times New Roman"/>
      <w:color w:val="000000"/>
      <w:sz w:val="24"/>
      <w:szCs w:val="24"/>
    </w:rPr>
  </w:style>
  <w:style w:type="character" w:styleId="CommentReference">
    <w:name w:val="annotation reference"/>
    <w:basedOn w:val="DefaultParagraphFont"/>
    <w:uiPriority w:val="99"/>
    <w:semiHidden/>
    <w:unhideWhenUsed/>
    <w:rsid w:val="00AB5E1F"/>
    <w:rPr>
      <w:sz w:val="16"/>
      <w:szCs w:val="16"/>
    </w:rPr>
  </w:style>
  <w:style w:type="paragraph" w:styleId="CommentText">
    <w:name w:val="annotation text"/>
    <w:basedOn w:val="Normal"/>
    <w:link w:val="CommentTextChar"/>
    <w:uiPriority w:val="99"/>
    <w:unhideWhenUsed/>
    <w:rsid w:val="00AB5E1F"/>
    <w:pPr>
      <w:spacing w:line="240" w:lineRule="auto"/>
    </w:pPr>
    <w:rPr>
      <w:sz w:val="20"/>
      <w:szCs w:val="20"/>
    </w:rPr>
  </w:style>
  <w:style w:type="character" w:customStyle="1" w:styleId="CommentTextChar">
    <w:name w:val="Comment Text Char"/>
    <w:basedOn w:val="DefaultParagraphFont"/>
    <w:link w:val="CommentText"/>
    <w:uiPriority w:val="99"/>
    <w:rsid w:val="00AB5E1F"/>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AB5E1F"/>
    <w:rPr>
      <w:b/>
      <w:bCs/>
    </w:rPr>
  </w:style>
  <w:style w:type="character" w:customStyle="1" w:styleId="CommentSubjectChar">
    <w:name w:val="Comment Subject Char"/>
    <w:basedOn w:val="CommentTextChar"/>
    <w:link w:val="CommentSubject"/>
    <w:uiPriority w:val="99"/>
    <w:semiHidden/>
    <w:rsid w:val="00AB5E1F"/>
    <w:rPr>
      <w:rFonts w:asciiTheme="majorHAnsi" w:eastAsiaTheme="majorEastAsia" w:hAnsiTheme="majorHAnsi" w:cstheme="majorBidi"/>
      <w:b/>
      <w:bCs/>
      <w:sz w:val="20"/>
      <w:szCs w:val="20"/>
      <w:lang w:bidi="en-US"/>
    </w:rPr>
  </w:style>
  <w:style w:type="paragraph" w:styleId="BalloonText">
    <w:name w:val="Balloon Text"/>
    <w:basedOn w:val="Normal"/>
    <w:link w:val="BalloonTextChar"/>
    <w:uiPriority w:val="99"/>
    <w:semiHidden/>
    <w:unhideWhenUsed/>
    <w:rsid w:val="00AB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1F"/>
    <w:rPr>
      <w:rFonts w:ascii="Segoe UI" w:hAnsi="Segoe UI" w:eastAsiaTheme="majorEastAsia" w:cs="Segoe UI"/>
      <w:sz w:val="18"/>
      <w:szCs w:val="18"/>
      <w:lang w:bidi="en-US"/>
    </w:rPr>
  </w:style>
  <w:style w:type="table" w:styleId="TableGrid">
    <w:name w:val="Table Grid"/>
    <w:basedOn w:val="TableNormal"/>
    <w:uiPriority w:val="39"/>
    <w:rsid w:val="0027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202A"/>
    <w:rPr>
      <w:rFonts w:asciiTheme="majorHAnsi" w:eastAsiaTheme="majorEastAsia" w:hAnsiTheme="majorHAnsi" w:cstheme="majorBidi"/>
      <w:b/>
      <w:bCs/>
      <w:sz w:val="26"/>
      <w:szCs w:val="26"/>
    </w:rPr>
  </w:style>
  <w:style w:type="paragraph" w:styleId="TOCHeading">
    <w:name w:val="TOC Heading"/>
    <w:basedOn w:val="Heading1"/>
    <w:next w:val="Normal"/>
    <w:uiPriority w:val="39"/>
    <w:unhideWhenUsed/>
    <w:qFormat/>
    <w:rsid w:val="0046202A"/>
    <w:pPr>
      <w:outlineLvl w:val="9"/>
    </w:pPr>
    <w:rPr>
      <w:lang w:bidi="en-US"/>
    </w:rPr>
  </w:style>
  <w:style w:type="paragraph" w:styleId="TOC1">
    <w:name w:val="toc 1"/>
    <w:basedOn w:val="Normal"/>
    <w:next w:val="Normal"/>
    <w:autoRedefine/>
    <w:uiPriority w:val="39"/>
    <w:unhideWhenUsed/>
    <w:rsid w:val="00E1538F"/>
    <w:pPr>
      <w:tabs>
        <w:tab w:val="right" w:leader="dot" w:pos="9350"/>
      </w:tabs>
      <w:spacing w:after="0"/>
    </w:pPr>
  </w:style>
  <w:style w:type="paragraph" w:styleId="TOC2">
    <w:name w:val="toc 2"/>
    <w:basedOn w:val="Normal"/>
    <w:next w:val="Normal"/>
    <w:autoRedefine/>
    <w:uiPriority w:val="39"/>
    <w:unhideWhenUsed/>
    <w:rsid w:val="008F5AB4"/>
    <w:pPr>
      <w:tabs>
        <w:tab w:val="right" w:leader="dot" w:pos="9350"/>
      </w:tabs>
      <w:spacing w:after="0"/>
      <w:ind w:left="220"/>
    </w:pPr>
  </w:style>
  <w:style w:type="character" w:styleId="Hyperlink">
    <w:name w:val="Hyperlink"/>
    <w:basedOn w:val="DefaultParagraphFont"/>
    <w:uiPriority w:val="99"/>
    <w:unhideWhenUsed/>
    <w:rsid w:val="00E948BB"/>
    <w:rPr>
      <w:color w:val="0563C1" w:themeColor="hyperlink"/>
      <w:u w:val="single"/>
    </w:rPr>
  </w:style>
  <w:style w:type="table" w:customStyle="1" w:styleId="TableGrid1">
    <w:name w:val="Table Grid1"/>
    <w:basedOn w:val="TableNormal"/>
    <w:next w:val="TableGrid"/>
    <w:uiPriority w:val="39"/>
    <w:rsid w:val="00AE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282F"/>
    <w:pPr>
      <w:spacing w:after="0" w:line="240" w:lineRule="auto"/>
    </w:pPr>
    <w:rPr>
      <w:rFonts w:asciiTheme="majorHAnsi" w:eastAsiaTheme="majorEastAsia" w:hAnsiTheme="majorHAnsi" w:cstheme="majorBidi"/>
      <w:lang w:bidi="en-US"/>
    </w:rPr>
  </w:style>
  <w:style w:type="paragraph" w:styleId="NoSpacing">
    <w:name w:val="No Spacing"/>
    <w:basedOn w:val="Normal"/>
    <w:link w:val="NoSpacingChar"/>
    <w:uiPriority w:val="1"/>
    <w:qFormat/>
    <w:rsid w:val="0046202A"/>
    <w:pPr>
      <w:spacing w:after="0" w:line="240" w:lineRule="auto"/>
    </w:pPr>
  </w:style>
  <w:style w:type="character" w:customStyle="1" w:styleId="Heading3Char">
    <w:name w:val="Heading 3 Char"/>
    <w:basedOn w:val="DefaultParagraphFont"/>
    <w:link w:val="Heading3"/>
    <w:uiPriority w:val="9"/>
    <w:semiHidden/>
    <w:rsid w:val="0046202A"/>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4620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620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620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620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6202A"/>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46202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6202A"/>
    <w:rPr>
      <w:rFonts w:asciiTheme="majorHAnsi" w:eastAsiaTheme="majorEastAsia" w:hAnsiTheme="majorHAnsi" w:cstheme="majorBidi"/>
      <w:i/>
      <w:iCs/>
      <w:spacing w:val="13"/>
      <w:sz w:val="24"/>
      <w:szCs w:val="24"/>
    </w:rPr>
  </w:style>
  <w:style w:type="character" w:styleId="Strong">
    <w:name w:val="Strong"/>
    <w:uiPriority w:val="22"/>
    <w:qFormat/>
    <w:rsid w:val="0046202A"/>
    <w:rPr>
      <w:b/>
      <w:bCs/>
    </w:rPr>
  </w:style>
  <w:style w:type="character" w:styleId="Emphasis">
    <w:name w:val="Emphasis"/>
    <w:uiPriority w:val="20"/>
    <w:qFormat/>
    <w:rsid w:val="0046202A"/>
    <w:rPr>
      <w:b/>
      <w:bCs/>
      <w:i/>
      <w:iCs/>
      <w:spacing w:val="10"/>
      <w:bdr w:val="none" w:sz="0" w:space="0" w:color="auto"/>
      <w:shd w:val="clear" w:color="auto" w:fill="auto"/>
    </w:rPr>
  </w:style>
  <w:style w:type="paragraph" w:styleId="Quote">
    <w:name w:val="Quote"/>
    <w:basedOn w:val="Normal"/>
    <w:next w:val="Normal"/>
    <w:link w:val="QuoteChar"/>
    <w:uiPriority w:val="29"/>
    <w:qFormat/>
    <w:rsid w:val="0046202A"/>
    <w:pPr>
      <w:spacing w:before="200" w:after="0"/>
      <w:ind w:left="360" w:right="360"/>
    </w:pPr>
    <w:rPr>
      <w:i/>
      <w:iCs/>
    </w:rPr>
  </w:style>
  <w:style w:type="character" w:customStyle="1" w:styleId="QuoteChar">
    <w:name w:val="Quote Char"/>
    <w:basedOn w:val="DefaultParagraphFont"/>
    <w:link w:val="Quote"/>
    <w:uiPriority w:val="29"/>
    <w:rsid w:val="0046202A"/>
    <w:rPr>
      <w:i/>
      <w:iCs/>
    </w:rPr>
  </w:style>
  <w:style w:type="paragraph" w:styleId="IntenseQuote">
    <w:name w:val="Intense Quote"/>
    <w:basedOn w:val="Normal"/>
    <w:next w:val="Normal"/>
    <w:link w:val="IntenseQuoteChar"/>
    <w:uiPriority w:val="30"/>
    <w:qFormat/>
    <w:rsid w:val="004620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6202A"/>
    <w:rPr>
      <w:b/>
      <w:bCs/>
      <w:i/>
      <w:iCs/>
    </w:rPr>
  </w:style>
  <w:style w:type="character" w:styleId="SubtleEmphasis">
    <w:name w:val="Subtle Emphasis"/>
    <w:uiPriority w:val="19"/>
    <w:qFormat/>
    <w:rsid w:val="0046202A"/>
    <w:rPr>
      <w:i/>
      <w:iCs/>
    </w:rPr>
  </w:style>
  <w:style w:type="character" w:styleId="IntenseEmphasis">
    <w:name w:val="Intense Emphasis"/>
    <w:uiPriority w:val="21"/>
    <w:qFormat/>
    <w:rsid w:val="0046202A"/>
    <w:rPr>
      <w:b/>
      <w:bCs/>
    </w:rPr>
  </w:style>
  <w:style w:type="character" w:styleId="SubtleReference">
    <w:name w:val="Subtle Reference"/>
    <w:uiPriority w:val="31"/>
    <w:qFormat/>
    <w:rsid w:val="0046202A"/>
    <w:rPr>
      <w:smallCaps/>
    </w:rPr>
  </w:style>
  <w:style w:type="character" w:styleId="IntenseReference">
    <w:name w:val="Intense Reference"/>
    <w:uiPriority w:val="32"/>
    <w:qFormat/>
    <w:rsid w:val="0046202A"/>
    <w:rPr>
      <w:smallCaps/>
      <w:spacing w:val="5"/>
      <w:u w:val="single"/>
    </w:rPr>
  </w:style>
  <w:style w:type="character" w:styleId="UnresolvedMention">
    <w:name w:val="Unresolved Mention"/>
    <w:basedOn w:val="DefaultParagraphFont"/>
    <w:uiPriority w:val="99"/>
    <w:semiHidden/>
    <w:unhideWhenUsed/>
    <w:rsid w:val="00715D01"/>
    <w:rPr>
      <w:color w:val="605E5C"/>
      <w:shd w:val="clear" w:color="auto" w:fill="E1DFDD"/>
    </w:rPr>
  </w:style>
  <w:style w:type="character" w:styleId="Mention">
    <w:name w:val="Mention"/>
    <w:basedOn w:val="DefaultParagraphFont"/>
    <w:uiPriority w:val="99"/>
    <w:unhideWhenUsed/>
    <w:rsid w:val="00E670B9"/>
    <w:rPr>
      <w:color w:val="2B579A"/>
      <w:shd w:val="clear" w:color="auto" w:fill="E1DFDD"/>
    </w:rPr>
  </w:style>
  <w:style w:type="paragraph" w:styleId="EnvelopeReturn">
    <w:name w:val="envelope return"/>
    <w:basedOn w:val="Normal"/>
    <w:rsid w:val="00B95110"/>
    <w:pPr>
      <w:spacing w:after="0" w:line="240" w:lineRule="auto"/>
    </w:pPr>
    <w:rPr>
      <w:rFonts w:ascii="Times New Roman" w:eastAsia="Times New Roman" w:hAnsi="Times New Roman" w:cs="Arial"/>
      <w:sz w:val="24"/>
      <w:szCs w:val="24"/>
    </w:rPr>
  </w:style>
  <w:style w:type="character" w:customStyle="1" w:styleId="NoSpacingChar">
    <w:name w:val="No Spacing Char"/>
    <w:basedOn w:val="DefaultParagraphFont"/>
    <w:link w:val="NoSpacing"/>
    <w:uiPriority w:val="1"/>
    <w:rsid w:val="00B95110"/>
  </w:style>
  <w:style w:type="paragraph" w:customStyle="1" w:styleId="msonormal">
    <w:name w:val="msonormal"/>
    <w:basedOn w:val="Normal"/>
    <w:rsid w:val="00B951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9e6370139af5d932de6ad1b2fb19022c">
  <xsd:schema xmlns:xsd="http://www.w3.org/2001/XMLSchema" xmlns:xs="http://www.w3.org/2001/XMLSchema" xmlns:p="http://schemas.microsoft.com/office/2006/metadata/properties" xmlns:ns2="cbf09c1f-469b-4f71-a1cf-515b2476fa1e" targetNamespace="http://schemas.microsoft.com/office/2006/metadata/properties" ma:root="true" ma:fieldsID="69d14812e0867239f8ff4750d8628b49"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66EE2-B22D-475D-A0B6-EDED26DCCBCB}">
  <ds:schemaRefs>
    <ds:schemaRef ds:uri="http://schemas.openxmlformats.org/officeDocument/2006/bibliography"/>
  </ds:schemaRefs>
</ds:datastoreItem>
</file>

<file path=customXml/itemProps2.xml><?xml version="1.0" encoding="utf-8"?>
<ds:datastoreItem xmlns:ds="http://schemas.openxmlformats.org/officeDocument/2006/customXml" ds:itemID="{7A4215F1-0957-4279-B50C-76ADDA5BFDD7}">
  <ds:schemaRefs/>
</ds:datastoreItem>
</file>

<file path=customXml/itemProps3.xml><?xml version="1.0" encoding="utf-8"?>
<ds:datastoreItem xmlns:ds="http://schemas.openxmlformats.org/officeDocument/2006/customXml" ds:itemID="{83184797-37A8-4660-8E4F-E3AC1E4E1A4F}">
  <ds:schemaRefs/>
</ds:datastoreItem>
</file>

<file path=customXml/itemProps4.xml><?xml version="1.0" encoding="utf-8"?>
<ds:datastoreItem xmlns:ds="http://schemas.openxmlformats.org/officeDocument/2006/customXml" ds:itemID="{5B22A4BC-AE94-4170-BFE2-39FA62E202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2025-10-29T21:44:00Z</dcterms:created>
  <dcterms:modified xsi:type="dcterms:W3CDTF">2025-10-29T21:45:00Z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ies>
</file>