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063C6565">
      <w:pPr>
        <w:jc w:val="center"/>
      </w:pPr>
      <w:r w:rsidRPr="007633DD">
        <w:t>Docket No</w:t>
      </w:r>
      <w:r w:rsidRPr="00413FDE">
        <w:t xml:space="preserve">. </w:t>
      </w:r>
      <w:r w:rsidR="00703313">
        <w:t>RD</w:t>
      </w:r>
      <w:r w:rsidR="008B70F5">
        <w:t>2</w:t>
      </w:r>
      <w:r w:rsidR="005A23EA">
        <w:t>5</w:t>
      </w:r>
      <w:r w:rsidRPr="00413FDE" w:rsidR="00613169">
        <w:t>-</w:t>
      </w:r>
      <w:r w:rsidR="00640DB5">
        <w:t>7</w:t>
      </w:r>
      <w:r w:rsidRPr="00413FDE" w:rsidR="00613169">
        <w:t>-000</w:t>
      </w:r>
    </w:p>
    <w:p w:rsidR="00A2604E" w:rsidP="00A2604E" w14:paraId="4D16FE54" w14:textId="77777777"/>
    <w:p w:rsidR="00A2604E" w:rsidP="00A2604E" w14:paraId="0627AE31" w14:textId="2317409D">
      <w:pPr>
        <w:jc w:val="center"/>
      </w:pPr>
      <w:r>
        <w:t>COMMISSION INFORMATION COLLECTION ACTIVITIES (FERC-</w:t>
      </w:r>
      <w:r w:rsidR="000D6969">
        <w:t>725</w:t>
      </w:r>
      <w:r w:rsidR="00640DB5">
        <w:t>S</w:t>
      </w:r>
      <w:r w:rsidR="00B85549">
        <w:t>).</w:t>
      </w:r>
    </w:p>
    <w:p w:rsidR="00A2604E" w:rsidP="00A2604E" w14:paraId="3B5240D4" w14:textId="0F47A49F">
      <w:pPr>
        <w:jc w:val="center"/>
      </w:pPr>
      <w:r>
        <w:t xml:space="preserve">COMMENT REQUEST; </w:t>
      </w:r>
      <w:r w:rsidR="0017796B">
        <w:t>REVISION</w:t>
      </w:r>
    </w:p>
    <w:p w:rsidR="00881405" w:rsidP="00A2604E" w14:paraId="5D8DD33D" w14:textId="77777777">
      <w:pPr>
        <w:jc w:val="center"/>
      </w:pPr>
    </w:p>
    <w:p w:rsidR="00BF2315" w:rsidP="009C408D" w14:paraId="05004927" w14:textId="347A33D6">
      <w:pPr>
        <w:jc w:val="center"/>
      </w:pPr>
      <w:r>
        <w:t>(</w:t>
      </w:r>
      <w:r w:rsidR="00F00E6F">
        <w:t>January 20, 2026</w:t>
      </w:r>
      <w:r w:rsidRPr="009C408D" w:rsidR="009C408D">
        <w:t>)</w:t>
      </w:r>
    </w:p>
    <w:p w:rsidR="009C408D" w:rsidRPr="009C408D" w:rsidP="009C408D" w14:paraId="5D961BD5" w14:textId="77777777"/>
    <w:p w:rsidR="00A2604E" w:rsidRPr="00AB4DBF" w:rsidP="54C9162E" w14:paraId="634EF64B" w14:textId="1871F1E7">
      <w:pPr>
        <w:spacing w:line="480" w:lineRule="auto"/>
      </w:pPr>
      <w:r w:rsidRPr="54C9162E">
        <w:rPr>
          <w:b/>
          <w:bCs/>
        </w:rPr>
        <w:t>AGENCY:</w:t>
      </w:r>
      <w:r>
        <w:t xml:space="preserve">  Federal Energy Regulatory Commission.</w:t>
      </w:r>
    </w:p>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DF0364" w:rsidP="34EF1E99" w14:paraId="35DEAE81" w14:textId="4BC4AF9C">
      <w:pPr>
        <w:spacing w:line="480" w:lineRule="auto"/>
      </w:pPr>
      <w:r w:rsidRPr="50378267">
        <w:rPr>
          <w:b/>
          <w:bCs/>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w:t>
      </w:r>
      <w:r w:rsidR="2B904BD2">
        <w:t xml:space="preserve">proposed revisions of the </w:t>
      </w:r>
      <w:r>
        <w:t>currently approved information collection,</w:t>
      </w:r>
      <w:bookmarkStart w:id="1" w:name="_Hlk193891723"/>
      <w:r w:rsidRPr="00DF0364" w:rsidR="00DF0364">
        <w:t xml:space="preserve"> FERC -725S, Mandatory Reliability Standards for the Bulk-Power System; EOP Reliability Standards</w:t>
      </w:r>
      <w:r w:rsidR="00706117">
        <w:t>.</w:t>
      </w:r>
      <w:r w:rsidR="0082500C">
        <w:t xml:space="preserve"> </w:t>
      </w:r>
      <w:r w:rsidR="001B3C6A">
        <w:t xml:space="preserve">The 60-day notice published on </w:t>
      </w:r>
      <w:r w:rsidR="00DF0364">
        <w:t xml:space="preserve">September </w:t>
      </w:r>
      <w:r w:rsidR="00DB0DD8">
        <w:t>23,</w:t>
      </w:r>
      <w:r w:rsidR="001B3C6A">
        <w:t xml:space="preserve"> </w:t>
      </w:r>
      <w:r w:rsidR="002C2BE6">
        <w:t>2025;</w:t>
      </w:r>
      <w:r w:rsidR="007A5B0C">
        <w:t xml:space="preserve"> </w:t>
      </w:r>
      <w:r w:rsidR="00D606E4">
        <w:t>no comments were received</w:t>
      </w:r>
      <w:r w:rsidR="007056C1">
        <w:t>.</w:t>
      </w:r>
    </w:p>
    <w:bookmarkEnd w:id="1"/>
    <w:p w:rsidR="00AE38C6" w:rsidRPr="006D65AB" w:rsidP="00AE38C6" w14:paraId="6FACA27A" w14:textId="77777777">
      <w:pPr>
        <w:spacing w:line="480" w:lineRule="auto"/>
      </w:pPr>
      <w:r w:rsidRPr="006D65AB">
        <w:rPr>
          <w:b/>
          <w:bCs/>
        </w:rPr>
        <w:t>DATES:</w:t>
      </w:r>
      <w:r w:rsidRPr="006D65AB">
        <w:t xml:space="preserve">  Comments on the collection of information are due </w:t>
      </w:r>
      <w:r w:rsidRPr="006D65AB">
        <w:rPr>
          <w:b/>
          <w:bCs/>
        </w:rPr>
        <w:t>[INSERT DATE 30 DAYS AFTER DATE OF PUBLICATION IN THE FEDERAL REGISTER]</w:t>
      </w:r>
      <w:r w:rsidRPr="006D65AB">
        <w:t>.  </w:t>
      </w:r>
    </w:p>
    <w:p w:rsidR="00AE38C6" w:rsidRPr="006D65AB" w:rsidP="00AE38C6" w14:paraId="4CE2047A" w14:textId="3E898A0F">
      <w:pPr>
        <w:spacing w:line="480" w:lineRule="auto"/>
      </w:pPr>
      <w:r w:rsidRPr="006D65AB">
        <w:rPr>
          <w:b/>
          <w:bCs/>
        </w:rPr>
        <w:t>ADDRESSES:</w:t>
      </w:r>
      <w:r w:rsidRPr="006D65AB">
        <w:t xml:space="preserve"> Send written comments on FERC-</w:t>
      </w:r>
      <w:r>
        <w:t>725</w:t>
      </w:r>
      <w:r w:rsidR="004525F4">
        <w:t>S</w:t>
      </w:r>
      <w:r w:rsidRPr="006D65AB">
        <w:t xml:space="preserve"> to OMB through </w:t>
      </w:r>
      <w:hyperlink r:id="rId10" w:history="1">
        <w:r w:rsidRPr="00793B0E" w:rsidR="00DF0364">
          <w:rPr>
            <w:rStyle w:val="Hyperlink"/>
          </w:rPr>
          <w:t>https://www.reginfo.gov/public/do/PRA/icrPublicCommentRequest?ref_nbr=202508-1902-004</w:t>
        </w:r>
      </w:hyperlink>
      <w:r w:rsidR="00DF0364">
        <w:rPr>
          <w:rStyle w:val="Hyperlink"/>
        </w:rPr>
        <w:t xml:space="preserve"> </w:t>
      </w:r>
      <w:r w:rsidRPr="006D65AB">
        <w:t xml:space="preserve">You can also visit </w:t>
      </w:r>
      <w:hyperlink r:id="rId11" w:tgtFrame="_blank" w:history="1">
        <w:r w:rsidRPr="006D65AB">
          <w:rPr>
            <w:rStyle w:val="Hyperlink"/>
          </w:rPr>
          <w:t>https://www.reginfo.gov/public/do/PRAMain</w:t>
        </w:r>
      </w:hyperlink>
      <w:r w:rsidRPr="006D65AB">
        <w:t xml:space="preserve"> and use the drop-down under “Currently under Review” to select the “Federal Energy Regulatory Commission” where you can see the open opportunities to provide comments. Comments should be sent within 30 days of publication of this notice. </w:t>
      </w:r>
    </w:p>
    <w:p w:rsidR="00AE38C6" w:rsidRPr="006D65AB" w:rsidP="00AE38C6" w14:paraId="15D2945D" w14:textId="7562A8A4">
      <w:pPr>
        <w:spacing w:line="480" w:lineRule="auto"/>
      </w:pPr>
      <w:r w:rsidRPr="006D65AB">
        <w:t xml:space="preserve">Please submit a copy of your comments to the Commission via email to </w:t>
      </w:r>
      <w:hyperlink r:id="rId12" w:tgtFrame="_blank" w:history="1">
        <w:r w:rsidRPr="006D65AB">
          <w:rPr>
            <w:rStyle w:val="Hyperlink"/>
          </w:rPr>
          <w:t>DataClearance@FERC.gov</w:t>
        </w:r>
      </w:hyperlink>
      <w:r w:rsidRPr="006D65AB">
        <w:t>. You must specify the Docket No. (</w:t>
      </w:r>
      <w:r w:rsidR="00830D19">
        <w:t>RD</w:t>
      </w:r>
      <w:r w:rsidRPr="006D65AB">
        <w:t>25-</w:t>
      </w:r>
      <w:r w:rsidR="00DF0364">
        <w:t>7</w:t>
      </w:r>
      <w:r w:rsidRPr="006D65AB">
        <w:t>-000) and the FERC Information Collection number (FERC-</w:t>
      </w:r>
      <w:r>
        <w:t>725</w:t>
      </w:r>
      <w:r w:rsidR="00DF0364">
        <w:t>S</w:t>
      </w:r>
      <w:r w:rsidRPr="006D65AB">
        <w:t>) in your email. If you are unable to file electronically, comments may be filed by USPS mail or by hand (including courier) delivery: </w:t>
      </w:r>
    </w:p>
    <w:p w:rsidR="00AE38C6" w:rsidRPr="006D65AB" w:rsidP="00AE38C6" w14:paraId="4A9277AB" w14:textId="77777777">
      <w:pPr>
        <w:numPr>
          <w:ilvl w:val="0"/>
          <w:numId w:val="18"/>
        </w:numPr>
        <w:spacing w:line="480" w:lineRule="auto"/>
      </w:pPr>
      <w:r w:rsidRPr="006D65AB">
        <w:t>Mail via U.S. Postal Service Only: Federal Energy Regulatory Commission, Secretary of the Commission, 888 First Street, N.E., Washington, DC 20426. </w:t>
      </w:r>
    </w:p>
    <w:p w:rsidR="00AE38C6" w:rsidRPr="006D65AB" w:rsidP="00AE38C6" w14:paraId="7005CAB0" w14:textId="77777777">
      <w:pPr>
        <w:numPr>
          <w:ilvl w:val="0"/>
          <w:numId w:val="19"/>
        </w:numPr>
        <w:spacing w:line="480" w:lineRule="auto"/>
      </w:pPr>
      <w:r w:rsidRPr="006D65AB">
        <w:t>All other delivery methods: Federal Energy Regulatory Commission, Secretary of the Commission, 12225 Wilkins Avenue, Rockville, MD 20852. </w:t>
      </w:r>
    </w:p>
    <w:p w:rsidR="00AE38C6" w:rsidRPr="006D65AB" w:rsidP="00AE38C6" w14:paraId="293DAD89" w14:textId="77777777">
      <w:pPr>
        <w:spacing w:line="480" w:lineRule="auto"/>
      </w:pPr>
      <w:r w:rsidRPr="006D65AB">
        <w:rPr>
          <w:i/>
          <w:iCs/>
        </w:rPr>
        <w:t>Docket</w:t>
      </w:r>
      <w:r w:rsidRPr="006D65AB">
        <w:t xml:space="preserve">:  To view comments and issuances in this docket, please visit </w:t>
      </w:r>
      <w:hyperlink r:id="rId13" w:tgtFrame="_blank" w:history="1">
        <w:r w:rsidRPr="006D65AB">
          <w:rPr>
            <w:rStyle w:val="Hyperlink"/>
          </w:rPr>
          <w:t>https://elibrary.ferc.gov/eLibrary/search</w:t>
        </w:r>
      </w:hyperlink>
      <w:r w:rsidRPr="006D65AB">
        <w:t>. Once there, you can also sign-up for automatic notification of activity in this docket.  </w:t>
      </w:r>
    </w:p>
    <w:p w:rsidR="00AE38C6" w:rsidRPr="00AE38C6" w:rsidP="000F3BC3" w14:paraId="5C75247D" w14:textId="7FA4024D">
      <w:pPr>
        <w:spacing w:line="480" w:lineRule="auto"/>
        <w:rPr>
          <w:b/>
        </w:rPr>
      </w:pPr>
      <w:r w:rsidRPr="006D65AB">
        <w:rPr>
          <w:b/>
          <w:bCs/>
        </w:rPr>
        <w:t>FOR FURTHER INFORMATION CONTACT:</w:t>
      </w:r>
      <w:r w:rsidRPr="006D65AB">
        <w:t xml:space="preserve">  Kayla Williams, (202) 502-6468. </w:t>
      </w:r>
      <w:hyperlink r:id="rId12" w:tgtFrame="_blank" w:history="1">
        <w:r w:rsidRPr="006D65AB">
          <w:rPr>
            <w:rStyle w:val="Hyperlink"/>
          </w:rPr>
          <w:t>DataClearance@FERC.gov</w:t>
        </w:r>
      </w:hyperlink>
      <w:r w:rsidRPr="006D65AB">
        <w:rPr>
          <w:b/>
        </w:rPr>
        <w:t> </w:t>
      </w:r>
    </w:p>
    <w:p w:rsidR="004525F4" w:rsidP="004525F4" w14:paraId="2CCC6E72" w14:textId="77777777">
      <w:pPr>
        <w:spacing w:line="480" w:lineRule="auto"/>
        <w:rPr>
          <w:szCs w:val="26"/>
        </w:rPr>
      </w:pPr>
      <w:r w:rsidRPr="000F3BC3">
        <w:rPr>
          <w:b/>
          <w:szCs w:val="26"/>
        </w:rPr>
        <w:t>SUPPLEMENTARY INFORMATION:</w:t>
      </w:r>
      <w:r w:rsidRPr="000F3BC3">
        <w:rPr>
          <w:szCs w:val="26"/>
        </w:rPr>
        <w:t xml:space="preserve">  </w:t>
      </w:r>
    </w:p>
    <w:p w:rsidR="000F3BC3" w:rsidRPr="004525F4" w:rsidP="004525F4" w14:paraId="5BC3B62F" w14:textId="4FFDB259">
      <w:pPr>
        <w:spacing w:line="480" w:lineRule="auto"/>
        <w:rPr>
          <w:szCs w:val="26"/>
        </w:rPr>
      </w:pPr>
      <w:r w:rsidRPr="6D52CCCC">
        <w:rPr>
          <w:i/>
          <w:iCs/>
        </w:rPr>
        <w:t xml:space="preserve">Title: </w:t>
      </w:r>
      <w:bookmarkStart w:id="2" w:name="_Hlk215842159"/>
      <w:r w:rsidRPr="00B8221E" w:rsidR="00C24B31">
        <w:t>FERC -725S, Mandatory Reliability Standards for the Bulk-Power System; EOP Reliability Standards.</w:t>
      </w:r>
    </w:p>
    <w:bookmarkEnd w:id="2"/>
    <w:p w:rsidR="000F3BC3" w:rsidRPr="00F00E6F" w:rsidP="6D52CCCC" w14:paraId="2F68379A" w14:textId="41A8E70C">
      <w:pPr>
        <w:spacing w:line="480" w:lineRule="auto"/>
        <w:rPr>
          <w:rFonts w:eastAsiaTheme="minorEastAsia"/>
          <w:lang w:val="pt-BR"/>
        </w:rPr>
      </w:pPr>
      <w:r w:rsidRPr="00F00E6F">
        <w:rPr>
          <w:i/>
          <w:iCs/>
          <w:lang w:val="pt-BR"/>
        </w:rPr>
        <w:t xml:space="preserve">OMB Control No.: </w:t>
      </w:r>
      <w:r w:rsidRPr="00F00E6F" w:rsidR="003208BF">
        <w:rPr>
          <w:lang w:val="pt-BR"/>
        </w:rPr>
        <w:t>1902-0270 (FERC-725S).</w:t>
      </w:r>
    </w:p>
    <w:p w:rsidR="4E763C68" w:rsidP="6D52CCCC" w14:paraId="677404B4" w14:textId="651B6141">
      <w:pPr>
        <w:spacing w:line="480" w:lineRule="auto"/>
      </w:pPr>
      <w:r w:rsidRPr="6D52CCCC">
        <w:rPr>
          <w:i/>
          <w:iCs/>
        </w:rPr>
        <w:t>Type of Request:</w:t>
      </w:r>
      <w:r>
        <w:t xml:space="preserve"> </w:t>
      </w:r>
      <w:r w:rsidRPr="004525F4" w:rsidR="004525F4">
        <w:t>Revisions to Existing Collections of Information in FERC-725S</w:t>
      </w:r>
      <w:r w:rsidR="004525F4">
        <w:t xml:space="preserve"> (EOP-012-3</w:t>
      </w:r>
      <w:r w:rsidRPr="004525F4" w:rsidR="004525F4">
        <w:t>.</w:t>
      </w:r>
    </w:p>
    <w:p w:rsidR="005661BC" w:rsidRPr="005661BC" w:rsidP="005661BC" w14:paraId="4C6655A4" w14:textId="47179B00">
      <w:pPr>
        <w:spacing w:line="480" w:lineRule="auto"/>
        <w:rPr>
          <w:szCs w:val="26"/>
        </w:rPr>
      </w:pPr>
      <w:r w:rsidRPr="02DEA4E6">
        <w:rPr>
          <w:i/>
          <w:iCs/>
        </w:rPr>
        <w:t>Abstract:</w:t>
      </w:r>
      <w:r>
        <w:t xml:space="preserve"> </w:t>
      </w:r>
      <w:r w:rsidRPr="02DEA4E6" w:rsidR="564E98E0">
        <w:rPr>
          <w:szCs w:val="26"/>
        </w:rPr>
        <w:t xml:space="preserve"> </w:t>
      </w:r>
      <w:r w:rsidR="00C24B31">
        <w:rPr>
          <w:szCs w:val="26"/>
        </w:rPr>
        <w:t xml:space="preserve">The </w:t>
      </w:r>
      <w:r w:rsidRPr="005661BC" w:rsidR="00C24B31">
        <w:rPr>
          <w:szCs w:val="26"/>
        </w:rPr>
        <w:t>Commission-certified Electric Reliability Organization (ERO)</w:t>
      </w:r>
      <w:r w:rsidRPr="005661BC">
        <w:rPr>
          <w:szCs w:val="26"/>
        </w:rPr>
        <w:t xml:space="preserve"> submitted a petition seeking approval of proposed Reliability Standard EOP-012-3 (Extreme Cold </w:t>
      </w:r>
      <w:r w:rsidRPr="005661BC">
        <w:rPr>
          <w:szCs w:val="26"/>
        </w:rPr>
        <w:t xml:space="preserve">Weather Preparedness and Operations).  </w:t>
      </w:r>
      <w:r w:rsidR="00D74585">
        <w:rPr>
          <w:szCs w:val="26"/>
        </w:rPr>
        <w:t xml:space="preserve">On September 18, 2025, the Commission </w:t>
      </w:r>
      <w:r w:rsidRPr="005661BC">
        <w:rPr>
          <w:szCs w:val="26"/>
        </w:rPr>
        <w:t>approve</w:t>
      </w:r>
      <w:r w:rsidR="00D74585">
        <w:rPr>
          <w:szCs w:val="26"/>
        </w:rPr>
        <w:t>d</w:t>
      </w:r>
      <w:r w:rsidRPr="005661BC">
        <w:rPr>
          <w:szCs w:val="26"/>
        </w:rPr>
        <w:t xml:space="preserve"> </w:t>
      </w:r>
      <w:r w:rsidRPr="005661BC">
        <w:rPr>
          <w:szCs w:val="26"/>
        </w:rPr>
        <w:t xml:space="preserve">proposed Reliability Standard EOP-012-3, </w:t>
      </w:r>
      <w:bookmarkStart w:id="3" w:name="_Hlk77140430"/>
      <w:r w:rsidRPr="005661BC">
        <w:rPr>
          <w:szCs w:val="26"/>
        </w:rPr>
        <w:t xml:space="preserve">its associated </w:t>
      </w:r>
      <w:bookmarkStart w:id="4" w:name="_Hlk117586949"/>
      <w:r w:rsidRPr="005661BC">
        <w:rPr>
          <w:szCs w:val="26"/>
        </w:rPr>
        <w:t>violation risk factors and violation severity levels</w:t>
      </w:r>
      <w:bookmarkEnd w:id="4"/>
      <w:r w:rsidRPr="005661BC">
        <w:rPr>
          <w:szCs w:val="26"/>
        </w:rPr>
        <w:t>, the revised defined term Generator Cold Weather Constraint declaration, and the proposed retirement of Reliability Standard EOP-012-2 immediately prior to the effective date of proposed Reliability Standard EOP-012-3</w:t>
      </w:r>
      <w:bookmarkEnd w:id="3"/>
      <w:r w:rsidRPr="005661BC">
        <w:rPr>
          <w:szCs w:val="26"/>
        </w:rPr>
        <w:t>.</w:t>
      </w:r>
      <w:r>
        <w:rPr>
          <w:b/>
          <w:szCs w:val="26"/>
          <w:vertAlign w:val="superscript"/>
        </w:rPr>
        <w:footnoteReference w:id="3"/>
      </w:r>
      <w:r w:rsidRPr="005661BC">
        <w:rPr>
          <w:szCs w:val="26"/>
        </w:rPr>
        <w:t xml:space="preserve">    </w:t>
      </w:r>
    </w:p>
    <w:p w:rsidR="005661BC" w:rsidRPr="005661BC" w:rsidP="005661BC" w14:paraId="0CF05F21" w14:textId="0CD3B424">
      <w:pPr>
        <w:spacing w:line="480" w:lineRule="auto"/>
        <w:rPr>
          <w:szCs w:val="26"/>
        </w:rPr>
      </w:pPr>
      <w:r w:rsidRPr="005661BC">
        <w:rPr>
          <w:szCs w:val="26"/>
        </w:rPr>
        <w:t>As the Commission has previously stated, “</w:t>
      </w:r>
      <w:r w:rsidR="00D7708C">
        <w:rPr>
          <w:szCs w:val="26"/>
        </w:rPr>
        <w:t>[</w:t>
      </w:r>
      <w:r w:rsidR="00D7708C">
        <w:rPr>
          <w:szCs w:val="26"/>
        </w:rPr>
        <w:t>i</w:t>
      </w:r>
      <w:r w:rsidR="00D7708C">
        <w:rPr>
          <w:szCs w:val="26"/>
        </w:rPr>
        <w:t>]</w:t>
      </w:r>
      <w:r w:rsidRPr="005661BC">
        <w:rPr>
          <w:szCs w:val="26"/>
        </w:rPr>
        <w:t>t is essential to the reliable operation of the Bulk-Power System to ‘ensure enough generating units will be available during the next cold weather event.</w:t>
      </w:r>
      <w:r w:rsidR="00D7708C">
        <w:rPr>
          <w:szCs w:val="26"/>
        </w:rPr>
        <w:t>”</w:t>
      </w:r>
      <w:r>
        <w:rPr>
          <w:b/>
          <w:szCs w:val="26"/>
          <w:vertAlign w:val="superscript"/>
        </w:rPr>
        <w:footnoteReference w:id="4"/>
      </w:r>
      <w:r w:rsidRPr="005661BC">
        <w:rPr>
          <w:szCs w:val="26"/>
        </w:rPr>
        <w:t xml:space="preserve">  When extreme cold weather events such as Winter Storms Uri or Elliott occur, the Bulk-Power System cannot operate reliably without adequate generation availability.  Proposed Reliability Standard EOP-012-3 improves upon the mandatory and effective Standard EOP-012-2 by enhancing the requirements for generator cold weather preparedness and Generator Cold Weather Constraint declarations and by making other improvements consistent with the Commission’s directives in its June 2024 Order to help ensure that adequate generation is available during extreme cold weather.</w:t>
      </w:r>
      <w:r>
        <w:rPr>
          <w:b/>
          <w:szCs w:val="26"/>
          <w:vertAlign w:val="superscript"/>
        </w:rPr>
        <w:footnoteReference w:id="5"/>
      </w:r>
      <w:r w:rsidRPr="005661BC">
        <w:rPr>
          <w:szCs w:val="26"/>
        </w:rPr>
        <w:t xml:space="preserve">  Accordingly, </w:t>
      </w:r>
      <w:r w:rsidR="00D74585">
        <w:rPr>
          <w:szCs w:val="26"/>
        </w:rPr>
        <w:t xml:space="preserve">the Commission determined </w:t>
      </w:r>
      <w:r w:rsidRPr="005661BC">
        <w:rPr>
          <w:szCs w:val="26"/>
        </w:rPr>
        <w:t xml:space="preserve">that proposed Reliability Standard EOP-012-3 </w:t>
      </w:r>
      <w:r w:rsidR="00D74585">
        <w:rPr>
          <w:szCs w:val="26"/>
        </w:rPr>
        <w:t>wa</w:t>
      </w:r>
      <w:r w:rsidRPr="005661BC">
        <w:rPr>
          <w:szCs w:val="26"/>
        </w:rPr>
        <w:t xml:space="preserve">s just, reasonable, not unduly discriminatory or preferential, and in the public interest.  </w:t>
      </w:r>
    </w:p>
    <w:p w:rsidR="005661BC" w:rsidRPr="005661BC" w:rsidP="005661BC" w14:paraId="7C7E33B3" w14:textId="4C6F2D97">
      <w:pPr>
        <w:spacing w:line="480" w:lineRule="auto"/>
        <w:rPr>
          <w:szCs w:val="26"/>
        </w:rPr>
      </w:pPr>
      <w:r>
        <w:rPr>
          <w:szCs w:val="26"/>
        </w:rPr>
        <w:t xml:space="preserve">The Commission also modified </w:t>
      </w:r>
      <w:r w:rsidRPr="005661BC">
        <w:rPr>
          <w:szCs w:val="26"/>
        </w:rPr>
        <w:t xml:space="preserve">Reliability Standard EOP-012-3’s implementation effective date so that the proposed Reliability Standard goes into effect on October 1, 2025.  Other than the implementation effective date of the proposed Reliability Standard, </w:t>
      </w:r>
      <w:r>
        <w:rPr>
          <w:szCs w:val="26"/>
        </w:rPr>
        <w:t>the Commission</w:t>
      </w:r>
      <w:r w:rsidRPr="005661BC">
        <w:rPr>
          <w:szCs w:val="26"/>
        </w:rPr>
        <w:t xml:space="preserve"> approve</w:t>
      </w:r>
      <w:r>
        <w:rPr>
          <w:szCs w:val="26"/>
        </w:rPr>
        <w:t>d</w:t>
      </w:r>
      <w:r w:rsidRPr="005661BC">
        <w:rPr>
          <w:szCs w:val="26"/>
        </w:rPr>
        <w:t xml:space="preserve"> the remainder of NERC’s proposed implementation plan.  </w:t>
      </w:r>
    </w:p>
    <w:p w:rsidR="00D7708C" w:rsidP="00AE02A7" w14:paraId="20B7D4AF" w14:textId="6034E05B">
      <w:pPr>
        <w:spacing w:line="480" w:lineRule="auto"/>
        <w:rPr>
          <w:szCs w:val="26"/>
        </w:rPr>
      </w:pPr>
      <w:r>
        <w:rPr>
          <w:szCs w:val="26"/>
        </w:rPr>
        <w:t xml:space="preserve">The Commission also found </w:t>
      </w:r>
      <w:r w:rsidRPr="005661BC" w:rsidR="005661BC">
        <w:rPr>
          <w:szCs w:val="26"/>
        </w:rPr>
        <w:t>it necessary that NERC confirm that Reliability Standard EOP-012-3 adequately addresses reliability concerns related to the generator owner constraint declarations, generator owner constraint declaration timetable notifications, and the Extreme Cold Weather Temperature definition</w:t>
      </w:r>
      <w:r>
        <w:rPr>
          <w:szCs w:val="26"/>
        </w:rPr>
        <w:t xml:space="preserve">.  </w:t>
      </w:r>
    </w:p>
    <w:p w:rsidR="005661BC" w:rsidP="00AE02A7" w14:paraId="0CE8FABA" w14:textId="17E31528">
      <w:pPr>
        <w:spacing w:line="480" w:lineRule="auto"/>
        <w:rPr>
          <w:szCs w:val="26"/>
        </w:rPr>
      </w:pPr>
      <w:r w:rsidRPr="005661BC">
        <w:rPr>
          <w:szCs w:val="26"/>
        </w:rPr>
        <w:t>The Commission previously directed NERC to collect data associated with an earlier version of this Reliability Standard.</w:t>
      </w:r>
      <w:r>
        <w:rPr>
          <w:b/>
          <w:szCs w:val="26"/>
          <w:vertAlign w:val="superscript"/>
        </w:rPr>
        <w:footnoteReference w:id="6"/>
      </w:r>
      <w:r w:rsidRPr="005661BC">
        <w:rPr>
          <w:szCs w:val="26"/>
        </w:rPr>
        <w:t xml:space="preserve">  However, additional data is needed to determine whether the proposed Reliability Standard addresses the reliability concerns noted above.  As such, </w:t>
      </w:r>
      <w:r w:rsidR="00D74585">
        <w:rPr>
          <w:szCs w:val="26"/>
        </w:rPr>
        <w:t>the Commission</w:t>
      </w:r>
      <w:r w:rsidRPr="005661BC">
        <w:rPr>
          <w:szCs w:val="26"/>
        </w:rPr>
        <w:t xml:space="preserve"> direct</w:t>
      </w:r>
      <w:r w:rsidR="00D74585">
        <w:rPr>
          <w:szCs w:val="26"/>
        </w:rPr>
        <w:t>ed</w:t>
      </w:r>
      <w:r w:rsidRPr="005661BC">
        <w:rPr>
          <w:szCs w:val="26"/>
        </w:rPr>
        <w:t xml:space="preserve"> NERC, pursuant to section 39.2(d) of the Commission’s regulations,</w:t>
      </w:r>
      <w:r>
        <w:rPr>
          <w:b/>
          <w:bCs/>
          <w:szCs w:val="26"/>
          <w:vertAlign w:val="superscript"/>
        </w:rPr>
        <w:footnoteReference w:id="7"/>
      </w:r>
      <w:r w:rsidRPr="005661BC">
        <w:rPr>
          <w:szCs w:val="26"/>
        </w:rPr>
        <w:t xml:space="preserve"> to submit comprehensive biennial informational filings for a limited period of time as explained in more detail below.  </w:t>
      </w:r>
      <w:bookmarkStart w:id="5" w:name="_Hlk205446200"/>
      <w:r w:rsidRPr="005661BC">
        <w:rPr>
          <w:szCs w:val="26"/>
        </w:rPr>
        <w:t xml:space="preserve">  </w:t>
      </w:r>
      <w:bookmarkEnd w:id="5"/>
    </w:p>
    <w:p w:rsidR="00300ADC" w:rsidRPr="00300ADC" w:rsidP="00300ADC" w14:paraId="75FC163A" w14:textId="11292EBC">
      <w:pPr>
        <w:spacing w:line="480" w:lineRule="auto"/>
        <w:rPr>
          <w:szCs w:val="26"/>
        </w:rPr>
      </w:pPr>
      <w:r>
        <w:rPr>
          <w:szCs w:val="26"/>
        </w:rPr>
        <w:t xml:space="preserve">Information collection </w:t>
      </w:r>
      <w:r w:rsidRPr="00300ADC">
        <w:rPr>
          <w:szCs w:val="26"/>
        </w:rPr>
        <w:t>FERC-725S (OMB Control No. 1902-0270)</w:t>
      </w:r>
      <w:r>
        <w:rPr>
          <w:szCs w:val="26"/>
        </w:rPr>
        <w:t xml:space="preserve"> currently covers t</w:t>
      </w:r>
      <w:r w:rsidRPr="00300ADC">
        <w:rPr>
          <w:szCs w:val="26"/>
        </w:rPr>
        <w:t>he EOP Reliability Standards</w:t>
      </w:r>
      <w:r w:rsidRPr="00300ADC">
        <w:rPr>
          <w:szCs w:val="26"/>
        </w:rPr>
        <w:t>.</w:t>
      </w:r>
      <w:r>
        <w:rPr>
          <w:b/>
          <w:szCs w:val="26"/>
          <w:vertAlign w:val="superscript"/>
        </w:rPr>
        <w:footnoteReference w:id="8"/>
      </w:r>
      <w:r w:rsidRPr="00300ADC">
        <w:rPr>
          <w:szCs w:val="26"/>
        </w:rPr>
        <w:t xml:space="preserve">  In Docket No. RD25-7-000, the Commission replace</w:t>
      </w:r>
      <w:r w:rsidR="00D74585">
        <w:rPr>
          <w:szCs w:val="26"/>
        </w:rPr>
        <w:t>d</w:t>
      </w:r>
      <w:r w:rsidRPr="00300ADC">
        <w:rPr>
          <w:szCs w:val="26"/>
        </w:rPr>
        <w:t xml:space="preserve"> the current OMB approved Reliability Standard EOP-012-2 with proposed Standard EOP-012-3 (Table 1).  Proposed Requirements R1 through R8 </w:t>
      </w:r>
      <w:r w:rsidR="00D74585">
        <w:rPr>
          <w:szCs w:val="26"/>
        </w:rPr>
        <w:t>we</w:t>
      </w:r>
      <w:r w:rsidRPr="00300ADC">
        <w:rPr>
          <w:szCs w:val="26"/>
        </w:rPr>
        <w:t xml:space="preserve">re carried over and modified from the prior version of the Standard, and Requirement R9 and Attachment 1 are new.  The proposed Reliability Standard creates a mechanism for NERC to receive, review, evaluate, and confirm validity of each Generator Cold Weather Constraint as well as corrective action extension requests from generator owners beyond the maximum timeframe.  In addition, the proposed Standard implements more frequent reviews of the Generator Cold Weather Constraint declarations to verify they remain valid.  The proposed Standard also adds Attachment 1 and modifies the Generator Cold Weather Constraint definition to address concerns related to ambiguity of the defined terms.  </w:t>
      </w:r>
    </w:p>
    <w:p w:rsidR="00300ADC" w:rsidRPr="00300ADC" w:rsidP="00300ADC" w14:paraId="62EDB617" w14:textId="77777777">
      <w:pPr>
        <w:spacing w:line="480" w:lineRule="auto"/>
        <w:rPr>
          <w:szCs w:val="26"/>
        </w:rPr>
      </w:pPr>
      <w:r w:rsidRPr="00300ADC">
        <w:rPr>
          <w:szCs w:val="26"/>
        </w:rPr>
        <w:t xml:space="preserve">The number of respondents below are based on an estimate of the NERC compliance registry for generator owners and generator operators.  Proposed Reliability Standard EOP-012-3 applies to generator owners and generator operators.  The Commission based its paperwork burden estimates on the NERC compliance registry as of July 11, 2025.  According to the registry for U.S. unique entities, there are 1,314 generator owners.  The revisions to proposed Reliability Standard EOP-012-3 should not present any additional burden to the generator operators compared to the previously approved EOP-012-2 but </w:t>
      </w:r>
      <w:r w:rsidRPr="00300ADC">
        <w:rPr>
          <w:szCs w:val="26"/>
        </w:rPr>
        <w:t>will present additional burden to generator owners.  Thus, the estimates in the tables below are based on the change in generator owner burden borne from the Reliability Standard approved in this order.</w:t>
      </w:r>
      <w:r>
        <w:rPr>
          <w:b/>
          <w:szCs w:val="26"/>
          <w:vertAlign w:val="superscript"/>
        </w:rPr>
        <w:footnoteReference w:id="9"/>
      </w:r>
      <w:r w:rsidRPr="00300ADC">
        <w:rPr>
          <w:szCs w:val="26"/>
        </w:rPr>
        <w:t xml:space="preserve">  The Commission based the burden estimates in the tables below on staff experience, knowledge, and expertise.  </w:t>
      </w:r>
    </w:p>
    <w:p w:rsidR="00300ADC" w:rsidRPr="00300ADC" w:rsidP="00300ADC" w14:paraId="546F767B" w14:textId="77777777">
      <w:pPr>
        <w:spacing w:line="480" w:lineRule="auto"/>
        <w:rPr>
          <w:szCs w:val="26"/>
        </w:rPr>
      </w:pPr>
      <w:r w:rsidRPr="00300ADC">
        <w:rPr>
          <w:i/>
          <w:iCs/>
          <w:szCs w:val="26"/>
        </w:rPr>
        <w:t>Public Reporting Burden</w:t>
      </w:r>
      <w:r w:rsidRPr="00300ADC">
        <w:rPr>
          <w:szCs w:val="26"/>
        </w:rPr>
        <w:t xml:space="preserve">:  The estimated costs and burden for the revisions in Docket No. RD25-7-000 are shown in the table below.  </w:t>
      </w:r>
    </w:p>
    <w:tbl>
      <w:tblPr>
        <w:tblStyle w:val="TableGrid"/>
        <w:tblW w:w="0" w:type="auto"/>
        <w:tblInd w:w="0" w:type="dxa"/>
        <w:tblLook w:val="04A0"/>
      </w:tblPr>
      <w:tblGrid>
        <w:gridCol w:w="1675"/>
        <w:gridCol w:w="1350"/>
        <w:gridCol w:w="1358"/>
        <w:gridCol w:w="1404"/>
        <w:gridCol w:w="1587"/>
        <w:gridCol w:w="1976"/>
      </w:tblGrid>
      <w:tr w14:paraId="3D1FAE33" w14:textId="77777777" w:rsidTr="00DB3D26">
        <w:tblPrEx>
          <w:tblW w:w="0" w:type="auto"/>
          <w:tblInd w:w="0" w:type="dxa"/>
          <w:tblLook w:val="04A0"/>
        </w:tblPrEx>
        <w:tc>
          <w:tcPr>
            <w:tcW w:w="9350" w:type="dxa"/>
            <w:gridSpan w:val="6"/>
            <w:shd w:val="clear" w:color="auto" w:fill="D9D9D9" w:themeFill="background1" w:themeFillShade="D9"/>
          </w:tcPr>
          <w:p w:rsidR="00300ADC" w:rsidRPr="00300ADC" w:rsidP="00300ADC" w14:paraId="53213CA0" w14:textId="741AD782">
            <w:pPr>
              <w:spacing w:line="480" w:lineRule="auto"/>
              <w:rPr>
                <w:b/>
                <w:szCs w:val="26"/>
              </w:rPr>
            </w:pPr>
            <w:r w:rsidRPr="00300ADC">
              <w:rPr>
                <w:b/>
                <w:szCs w:val="26"/>
              </w:rPr>
              <w:t>Table 1: Changes Due to Final Rule in Docket No. RD25-7-000 for EOP-012-3</w:t>
            </w:r>
          </w:p>
        </w:tc>
      </w:tr>
      <w:tr w14:paraId="1BCBD87B" w14:textId="77777777" w:rsidTr="00DB3D26">
        <w:tblPrEx>
          <w:tblW w:w="0" w:type="auto"/>
          <w:tblInd w:w="0" w:type="dxa"/>
          <w:tblLook w:val="04A0"/>
        </w:tblPrEx>
        <w:tc>
          <w:tcPr>
            <w:tcW w:w="1552" w:type="dxa"/>
            <w:shd w:val="clear" w:color="auto" w:fill="FFFFFF" w:themeFill="background1"/>
            <w:vAlign w:val="bottom"/>
          </w:tcPr>
          <w:p w:rsidR="00300ADC" w:rsidRPr="00300ADC" w:rsidP="00300ADC" w14:paraId="036ABFD6" w14:textId="77777777">
            <w:pPr>
              <w:spacing w:line="480" w:lineRule="auto"/>
              <w:rPr>
                <w:b/>
                <w:szCs w:val="26"/>
              </w:rPr>
            </w:pPr>
            <w:r w:rsidRPr="00300ADC">
              <w:rPr>
                <w:b/>
                <w:szCs w:val="26"/>
              </w:rPr>
              <w:t>Reliability Standard &amp; Requirement</w:t>
            </w:r>
          </w:p>
        </w:tc>
        <w:tc>
          <w:tcPr>
            <w:tcW w:w="1077" w:type="dxa"/>
            <w:shd w:val="clear" w:color="auto" w:fill="FFFFFF" w:themeFill="background1"/>
            <w:vAlign w:val="bottom"/>
          </w:tcPr>
          <w:p w:rsidR="00300ADC" w:rsidRPr="00300ADC" w:rsidP="00300ADC" w14:paraId="314E1809" w14:textId="77777777">
            <w:pPr>
              <w:spacing w:line="480" w:lineRule="auto"/>
              <w:rPr>
                <w:b/>
                <w:szCs w:val="26"/>
              </w:rPr>
            </w:pPr>
            <w:r w:rsidRPr="00300ADC">
              <w:rPr>
                <w:b/>
                <w:szCs w:val="26"/>
              </w:rPr>
              <w:t>Type and Number of Entity</w:t>
            </w:r>
          </w:p>
          <w:p w:rsidR="00300ADC" w:rsidRPr="00300ADC" w:rsidP="00300ADC" w14:paraId="1BFCD9F4" w14:textId="77777777">
            <w:pPr>
              <w:spacing w:line="480" w:lineRule="auto"/>
              <w:rPr>
                <w:b/>
                <w:szCs w:val="26"/>
              </w:rPr>
            </w:pPr>
            <w:r w:rsidRPr="00300ADC">
              <w:rPr>
                <w:szCs w:val="26"/>
              </w:rPr>
              <w:t>(1)</w:t>
            </w:r>
          </w:p>
        </w:tc>
        <w:tc>
          <w:tcPr>
            <w:tcW w:w="1263" w:type="dxa"/>
            <w:shd w:val="clear" w:color="auto" w:fill="FFFFFF" w:themeFill="background1"/>
            <w:vAlign w:val="bottom"/>
          </w:tcPr>
          <w:p w:rsidR="00300ADC" w:rsidRPr="00300ADC" w:rsidP="00300ADC" w14:paraId="4E422075" w14:textId="77777777">
            <w:pPr>
              <w:spacing w:line="480" w:lineRule="auto"/>
              <w:rPr>
                <w:b/>
                <w:szCs w:val="26"/>
              </w:rPr>
            </w:pPr>
            <w:r w:rsidRPr="00300ADC">
              <w:rPr>
                <w:b/>
                <w:szCs w:val="26"/>
              </w:rPr>
              <w:t>Number of Annual Responses  Per Entity</w:t>
            </w:r>
          </w:p>
          <w:p w:rsidR="00300ADC" w:rsidRPr="00300ADC" w:rsidP="00300ADC" w14:paraId="59E418E5" w14:textId="77777777">
            <w:pPr>
              <w:spacing w:line="480" w:lineRule="auto"/>
              <w:rPr>
                <w:b/>
                <w:szCs w:val="26"/>
              </w:rPr>
            </w:pPr>
            <w:r w:rsidRPr="00300ADC">
              <w:rPr>
                <w:b/>
                <w:szCs w:val="26"/>
              </w:rPr>
              <w:t>(</w:t>
            </w:r>
            <w:r w:rsidRPr="00300ADC">
              <w:rPr>
                <w:szCs w:val="26"/>
              </w:rPr>
              <w:t>2)</w:t>
            </w:r>
          </w:p>
        </w:tc>
        <w:tc>
          <w:tcPr>
            <w:tcW w:w="1305" w:type="dxa"/>
            <w:shd w:val="clear" w:color="auto" w:fill="FFFFFF" w:themeFill="background1"/>
            <w:vAlign w:val="bottom"/>
          </w:tcPr>
          <w:p w:rsidR="00300ADC" w:rsidRPr="00300ADC" w:rsidP="00300ADC" w14:paraId="1E9BF4B7" w14:textId="77777777">
            <w:pPr>
              <w:spacing w:line="480" w:lineRule="auto"/>
              <w:rPr>
                <w:b/>
                <w:szCs w:val="26"/>
              </w:rPr>
            </w:pPr>
            <w:r w:rsidRPr="00300ADC">
              <w:rPr>
                <w:b/>
                <w:szCs w:val="26"/>
              </w:rPr>
              <w:t>Total Number of Responses</w:t>
            </w:r>
          </w:p>
          <w:p w:rsidR="00300ADC" w:rsidRPr="00300ADC" w:rsidP="00300ADC" w14:paraId="6007DD0E" w14:textId="77777777">
            <w:pPr>
              <w:spacing w:line="480" w:lineRule="auto"/>
              <w:rPr>
                <w:b/>
                <w:szCs w:val="26"/>
              </w:rPr>
            </w:pPr>
            <w:r w:rsidRPr="00300ADC">
              <w:rPr>
                <w:b/>
                <w:szCs w:val="26"/>
              </w:rPr>
              <w:t>(1)*(2)=(3)</w:t>
            </w:r>
          </w:p>
        </w:tc>
        <w:tc>
          <w:tcPr>
            <w:tcW w:w="1792" w:type="dxa"/>
            <w:shd w:val="clear" w:color="auto" w:fill="FFFFFF" w:themeFill="background1"/>
            <w:vAlign w:val="bottom"/>
          </w:tcPr>
          <w:p w:rsidR="00300ADC" w:rsidRPr="00300ADC" w:rsidP="00300ADC" w14:paraId="28B8545A" w14:textId="77777777">
            <w:pPr>
              <w:spacing w:line="480" w:lineRule="auto"/>
              <w:rPr>
                <w:b/>
                <w:szCs w:val="26"/>
              </w:rPr>
            </w:pPr>
            <w:r w:rsidRPr="00300ADC">
              <w:rPr>
                <w:b/>
                <w:szCs w:val="26"/>
              </w:rPr>
              <w:t xml:space="preserve">Average </w:t>
            </w:r>
            <w:r w:rsidRPr="00300ADC">
              <w:rPr>
                <w:b/>
                <w:szCs w:val="26"/>
              </w:rPr>
              <w:t>Number</w:t>
            </w:r>
            <w:r w:rsidRPr="00300ADC">
              <w:rPr>
                <w:b/>
                <w:szCs w:val="26"/>
              </w:rPr>
              <w:t xml:space="preserve"> of Burden Hours per Response</w:t>
            </w:r>
            <w:r>
              <w:rPr>
                <w:b/>
                <w:szCs w:val="26"/>
                <w:vertAlign w:val="superscript"/>
              </w:rPr>
              <w:footnoteReference w:id="10"/>
            </w:r>
          </w:p>
          <w:p w:rsidR="00300ADC" w:rsidRPr="00300ADC" w:rsidP="00300ADC" w14:paraId="4288DA9C" w14:textId="77777777">
            <w:pPr>
              <w:spacing w:line="480" w:lineRule="auto"/>
              <w:rPr>
                <w:b/>
                <w:szCs w:val="26"/>
              </w:rPr>
            </w:pPr>
            <w:r w:rsidRPr="00300ADC">
              <w:rPr>
                <w:b/>
                <w:szCs w:val="26"/>
              </w:rPr>
              <w:t>(4)</w:t>
            </w:r>
          </w:p>
        </w:tc>
        <w:tc>
          <w:tcPr>
            <w:tcW w:w="2361" w:type="dxa"/>
            <w:shd w:val="clear" w:color="auto" w:fill="FFFFFF" w:themeFill="background1"/>
            <w:vAlign w:val="bottom"/>
          </w:tcPr>
          <w:p w:rsidR="00300ADC" w:rsidRPr="00300ADC" w:rsidP="00300ADC" w14:paraId="17376B51" w14:textId="77777777">
            <w:pPr>
              <w:spacing w:line="480" w:lineRule="auto"/>
              <w:rPr>
                <w:b/>
                <w:szCs w:val="26"/>
              </w:rPr>
            </w:pPr>
            <w:r w:rsidRPr="00300ADC">
              <w:rPr>
                <w:b/>
                <w:szCs w:val="26"/>
              </w:rPr>
              <w:t>Total Burden Hours</w:t>
            </w:r>
          </w:p>
          <w:p w:rsidR="00300ADC" w:rsidRPr="00300ADC" w:rsidP="00300ADC" w14:paraId="441CB155" w14:textId="77777777">
            <w:pPr>
              <w:spacing w:line="480" w:lineRule="auto"/>
              <w:rPr>
                <w:b/>
                <w:szCs w:val="26"/>
              </w:rPr>
            </w:pPr>
            <w:r w:rsidRPr="00300ADC">
              <w:rPr>
                <w:b/>
                <w:szCs w:val="26"/>
              </w:rPr>
              <w:t>(3)*(4)=(5)</w:t>
            </w:r>
          </w:p>
        </w:tc>
      </w:tr>
      <w:tr w14:paraId="110F24BF" w14:textId="77777777" w:rsidTr="00DB3D26">
        <w:tblPrEx>
          <w:tblW w:w="0" w:type="auto"/>
          <w:tblInd w:w="0" w:type="dxa"/>
          <w:tblLook w:val="04A0"/>
        </w:tblPrEx>
        <w:tc>
          <w:tcPr>
            <w:tcW w:w="9350" w:type="dxa"/>
            <w:gridSpan w:val="6"/>
            <w:shd w:val="clear" w:color="auto" w:fill="D9D9D9" w:themeFill="background1" w:themeFillShade="D9"/>
          </w:tcPr>
          <w:p w:rsidR="00300ADC" w:rsidRPr="00300ADC" w:rsidP="00300ADC" w14:paraId="763CAEE9" w14:textId="77777777">
            <w:pPr>
              <w:spacing w:line="480" w:lineRule="auto"/>
              <w:rPr>
                <w:b/>
                <w:szCs w:val="26"/>
              </w:rPr>
            </w:pPr>
            <w:r w:rsidRPr="00300ADC">
              <w:rPr>
                <w:b/>
                <w:szCs w:val="26"/>
              </w:rPr>
              <w:t>FERC-725S</w:t>
            </w:r>
          </w:p>
        </w:tc>
      </w:tr>
      <w:tr w14:paraId="0B2CEE71" w14:textId="77777777" w:rsidTr="00DB3D26">
        <w:tblPrEx>
          <w:tblW w:w="0" w:type="auto"/>
          <w:tblInd w:w="0" w:type="dxa"/>
          <w:tblLook w:val="04A0"/>
        </w:tblPrEx>
        <w:tc>
          <w:tcPr>
            <w:tcW w:w="9350" w:type="dxa"/>
            <w:gridSpan w:val="6"/>
            <w:shd w:val="clear" w:color="auto" w:fill="D9D9D9" w:themeFill="background1" w:themeFillShade="D9"/>
          </w:tcPr>
          <w:p w:rsidR="00300ADC" w:rsidRPr="00300ADC" w:rsidP="00300ADC" w14:paraId="0D016FDB" w14:textId="77777777">
            <w:pPr>
              <w:spacing w:line="480" w:lineRule="auto"/>
              <w:rPr>
                <w:b/>
                <w:szCs w:val="26"/>
              </w:rPr>
            </w:pPr>
            <w:r w:rsidRPr="00300ADC">
              <w:rPr>
                <w:b/>
                <w:szCs w:val="26"/>
              </w:rPr>
              <w:t>Annual Collection EOP-012-3</w:t>
            </w:r>
          </w:p>
        </w:tc>
      </w:tr>
      <w:tr w14:paraId="0265A9F6" w14:textId="77777777" w:rsidTr="00DB3D26">
        <w:tblPrEx>
          <w:tblW w:w="0" w:type="auto"/>
          <w:tblInd w:w="0" w:type="dxa"/>
          <w:tblLook w:val="04A0"/>
        </w:tblPrEx>
        <w:tc>
          <w:tcPr>
            <w:tcW w:w="1552" w:type="dxa"/>
          </w:tcPr>
          <w:p w:rsidR="00300ADC" w:rsidRPr="00300ADC" w:rsidP="00300ADC" w14:paraId="55C41C46" w14:textId="77777777">
            <w:pPr>
              <w:spacing w:line="480" w:lineRule="auto"/>
              <w:rPr>
                <w:szCs w:val="26"/>
              </w:rPr>
            </w:pPr>
            <w:r w:rsidRPr="00300ADC">
              <w:rPr>
                <w:szCs w:val="26"/>
              </w:rPr>
              <w:t>EOP-012-3</w:t>
            </w:r>
          </w:p>
        </w:tc>
        <w:tc>
          <w:tcPr>
            <w:tcW w:w="1077" w:type="dxa"/>
          </w:tcPr>
          <w:p w:rsidR="00300ADC" w:rsidRPr="00300ADC" w:rsidP="00300ADC" w14:paraId="5F7D7E3F" w14:textId="77777777">
            <w:pPr>
              <w:spacing w:line="480" w:lineRule="auto"/>
              <w:rPr>
                <w:szCs w:val="26"/>
              </w:rPr>
            </w:pPr>
            <w:r w:rsidRPr="00300ADC">
              <w:rPr>
                <w:szCs w:val="26"/>
              </w:rPr>
              <w:t>1,314(GO)</w:t>
            </w:r>
          </w:p>
        </w:tc>
        <w:tc>
          <w:tcPr>
            <w:tcW w:w="1263" w:type="dxa"/>
          </w:tcPr>
          <w:p w:rsidR="00300ADC" w:rsidRPr="00300ADC" w:rsidP="00300ADC" w14:paraId="6C612867" w14:textId="77777777">
            <w:pPr>
              <w:spacing w:line="480" w:lineRule="auto"/>
              <w:rPr>
                <w:szCs w:val="26"/>
              </w:rPr>
            </w:pPr>
            <w:r w:rsidRPr="00300ADC">
              <w:rPr>
                <w:szCs w:val="26"/>
              </w:rPr>
              <w:t>1</w:t>
            </w:r>
          </w:p>
        </w:tc>
        <w:tc>
          <w:tcPr>
            <w:tcW w:w="1305" w:type="dxa"/>
          </w:tcPr>
          <w:p w:rsidR="00300ADC" w:rsidRPr="00300ADC" w:rsidP="00300ADC" w14:paraId="6657D860" w14:textId="77777777">
            <w:pPr>
              <w:spacing w:line="480" w:lineRule="auto"/>
              <w:rPr>
                <w:szCs w:val="26"/>
              </w:rPr>
            </w:pPr>
            <w:r w:rsidRPr="00300ADC">
              <w:rPr>
                <w:szCs w:val="26"/>
              </w:rPr>
              <w:t>1,314</w:t>
            </w:r>
          </w:p>
        </w:tc>
        <w:tc>
          <w:tcPr>
            <w:tcW w:w="1792" w:type="dxa"/>
          </w:tcPr>
          <w:p w:rsidR="00300ADC" w:rsidRPr="00300ADC" w:rsidP="00300ADC" w14:paraId="5314B683" w14:textId="77777777">
            <w:pPr>
              <w:spacing w:line="480" w:lineRule="auto"/>
              <w:rPr>
                <w:szCs w:val="26"/>
              </w:rPr>
            </w:pPr>
            <w:r w:rsidRPr="00300ADC">
              <w:rPr>
                <w:szCs w:val="26"/>
              </w:rPr>
              <w:t>4 hrs.</w:t>
            </w:r>
          </w:p>
          <w:p w:rsidR="00300ADC" w:rsidRPr="00300ADC" w:rsidP="00300ADC" w14:paraId="5CAA9F0C" w14:textId="77777777">
            <w:pPr>
              <w:spacing w:line="480" w:lineRule="auto"/>
              <w:rPr>
                <w:szCs w:val="26"/>
              </w:rPr>
            </w:pPr>
            <w:r w:rsidRPr="00300ADC">
              <w:rPr>
                <w:szCs w:val="26"/>
              </w:rPr>
              <w:t>$63.52/</w:t>
            </w:r>
            <w:r w:rsidRPr="00300ADC">
              <w:rPr>
                <w:szCs w:val="26"/>
              </w:rPr>
              <w:t>hr</w:t>
            </w:r>
          </w:p>
        </w:tc>
        <w:tc>
          <w:tcPr>
            <w:tcW w:w="2361" w:type="dxa"/>
          </w:tcPr>
          <w:p w:rsidR="00300ADC" w:rsidRPr="00300ADC" w:rsidP="00300ADC" w14:paraId="18A478F0" w14:textId="77777777">
            <w:pPr>
              <w:spacing w:line="480" w:lineRule="auto"/>
              <w:rPr>
                <w:szCs w:val="26"/>
              </w:rPr>
            </w:pPr>
            <w:r w:rsidRPr="00300ADC">
              <w:rPr>
                <w:szCs w:val="26"/>
              </w:rPr>
              <w:t>5,256 hrs.</w:t>
            </w:r>
          </w:p>
          <w:p w:rsidR="00300ADC" w:rsidRPr="00300ADC" w:rsidP="00300ADC" w14:paraId="78C0400A" w14:textId="77777777">
            <w:pPr>
              <w:spacing w:line="480" w:lineRule="auto"/>
              <w:rPr>
                <w:szCs w:val="26"/>
              </w:rPr>
            </w:pPr>
            <w:r w:rsidRPr="00300ADC">
              <w:rPr>
                <w:szCs w:val="26"/>
              </w:rPr>
              <w:t>$333,861.12</w:t>
            </w:r>
          </w:p>
        </w:tc>
      </w:tr>
      <w:tr w14:paraId="212F2B49" w14:textId="77777777" w:rsidTr="00DB3D26">
        <w:tblPrEx>
          <w:tblW w:w="0" w:type="auto"/>
          <w:tblInd w:w="0" w:type="dxa"/>
          <w:tblLook w:val="04A0"/>
        </w:tblPrEx>
        <w:trPr>
          <w:trHeight w:val="98"/>
        </w:trPr>
        <w:tc>
          <w:tcPr>
            <w:tcW w:w="1552" w:type="dxa"/>
          </w:tcPr>
          <w:p w:rsidR="00300ADC" w:rsidRPr="00300ADC" w:rsidP="00300ADC" w14:paraId="1135EC41" w14:textId="77777777">
            <w:pPr>
              <w:spacing w:line="480" w:lineRule="auto"/>
              <w:rPr>
                <w:b/>
                <w:bCs/>
                <w:szCs w:val="26"/>
              </w:rPr>
            </w:pPr>
            <w:r w:rsidRPr="00300ADC">
              <w:rPr>
                <w:b/>
                <w:bCs/>
                <w:szCs w:val="26"/>
              </w:rPr>
              <w:t>Total for EOP-012-3</w:t>
            </w:r>
          </w:p>
        </w:tc>
        <w:tc>
          <w:tcPr>
            <w:tcW w:w="1077" w:type="dxa"/>
          </w:tcPr>
          <w:p w:rsidR="00300ADC" w:rsidRPr="00300ADC" w:rsidP="00300ADC" w14:paraId="5CB541B2" w14:textId="77777777">
            <w:pPr>
              <w:spacing w:line="480" w:lineRule="auto"/>
              <w:rPr>
                <w:szCs w:val="26"/>
              </w:rPr>
            </w:pPr>
          </w:p>
        </w:tc>
        <w:tc>
          <w:tcPr>
            <w:tcW w:w="1263" w:type="dxa"/>
          </w:tcPr>
          <w:p w:rsidR="00300ADC" w:rsidRPr="00300ADC" w:rsidP="00300ADC" w14:paraId="30A63078" w14:textId="77777777">
            <w:pPr>
              <w:spacing w:line="480" w:lineRule="auto"/>
              <w:rPr>
                <w:szCs w:val="26"/>
              </w:rPr>
            </w:pPr>
          </w:p>
        </w:tc>
        <w:tc>
          <w:tcPr>
            <w:tcW w:w="1305" w:type="dxa"/>
          </w:tcPr>
          <w:p w:rsidR="00300ADC" w:rsidRPr="00300ADC" w:rsidP="00300ADC" w14:paraId="729E2729" w14:textId="77777777">
            <w:pPr>
              <w:spacing w:line="480" w:lineRule="auto"/>
              <w:rPr>
                <w:szCs w:val="26"/>
              </w:rPr>
            </w:pPr>
            <w:r w:rsidRPr="00300ADC">
              <w:rPr>
                <w:szCs w:val="26"/>
              </w:rPr>
              <w:t>1,314</w:t>
            </w:r>
          </w:p>
        </w:tc>
        <w:tc>
          <w:tcPr>
            <w:tcW w:w="1792" w:type="dxa"/>
          </w:tcPr>
          <w:p w:rsidR="00300ADC" w:rsidRPr="00300ADC" w:rsidP="00300ADC" w14:paraId="3851393F" w14:textId="77777777">
            <w:pPr>
              <w:spacing w:line="480" w:lineRule="auto"/>
              <w:rPr>
                <w:szCs w:val="26"/>
              </w:rPr>
            </w:pPr>
            <w:r w:rsidRPr="00300ADC">
              <w:rPr>
                <w:szCs w:val="26"/>
              </w:rPr>
              <w:t>4 hrs.</w:t>
            </w:r>
          </w:p>
          <w:p w:rsidR="00300ADC" w:rsidRPr="00300ADC" w:rsidP="00300ADC" w14:paraId="1F0DE85A" w14:textId="77777777">
            <w:pPr>
              <w:spacing w:line="480" w:lineRule="auto"/>
              <w:rPr>
                <w:szCs w:val="26"/>
              </w:rPr>
            </w:pPr>
            <w:r w:rsidRPr="00300ADC">
              <w:rPr>
                <w:szCs w:val="26"/>
              </w:rPr>
              <w:t>$63.52/</w:t>
            </w:r>
            <w:r w:rsidRPr="00300ADC">
              <w:rPr>
                <w:szCs w:val="26"/>
              </w:rPr>
              <w:t>hr</w:t>
            </w:r>
          </w:p>
          <w:p w:rsidR="00300ADC" w:rsidRPr="00300ADC" w:rsidP="00300ADC" w14:paraId="73977C97" w14:textId="77777777">
            <w:pPr>
              <w:spacing w:line="480" w:lineRule="auto"/>
              <w:rPr>
                <w:szCs w:val="26"/>
              </w:rPr>
            </w:pPr>
          </w:p>
        </w:tc>
        <w:tc>
          <w:tcPr>
            <w:tcW w:w="2361" w:type="dxa"/>
          </w:tcPr>
          <w:p w:rsidR="00300ADC" w:rsidRPr="00300ADC" w:rsidP="00300ADC" w14:paraId="15939A07" w14:textId="77777777">
            <w:pPr>
              <w:spacing w:line="480" w:lineRule="auto"/>
              <w:rPr>
                <w:szCs w:val="26"/>
              </w:rPr>
            </w:pPr>
            <w:r w:rsidRPr="00300ADC">
              <w:rPr>
                <w:szCs w:val="26"/>
              </w:rPr>
              <w:t>5,256 hrs.</w:t>
            </w:r>
          </w:p>
          <w:p w:rsidR="00300ADC" w:rsidRPr="00300ADC" w:rsidP="00300ADC" w14:paraId="5A88CB0B" w14:textId="77777777">
            <w:pPr>
              <w:spacing w:line="480" w:lineRule="auto"/>
              <w:rPr>
                <w:szCs w:val="26"/>
              </w:rPr>
            </w:pPr>
            <w:r w:rsidRPr="00300ADC">
              <w:rPr>
                <w:szCs w:val="26"/>
              </w:rPr>
              <w:t>$333,861.12</w:t>
            </w:r>
          </w:p>
          <w:p w:rsidR="00300ADC" w:rsidRPr="00300ADC" w:rsidP="00300ADC" w14:paraId="4CE2504B" w14:textId="77777777">
            <w:pPr>
              <w:spacing w:line="480" w:lineRule="auto"/>
              <w:rPr>
                <w:szCs w:val="26"/>
              </w:rPr>
            </w:pP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593"/>
        <w:gridCol w:w="1652"/>
        <w:gridCol w:w="4469"/>
      </w:tblGrid>
      <w:tr w14:paraId="6A86A506" w14:textId="77777777" w:rsidTr="00DB3D26">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9360" w:type="dxa"/>
            <w:gridSpan w:val="4"/>
            <w:shd w:val="clear" w:color="auto" w:fill="D9D9D9" w:themeFill="background1" w:themeFillShade="D9"/>
            <w:vAlign w:val="bottom"/>
          </w:tcPr>
          <w:p w:rsidR="00300ADC" w:rsidRPr="00300ADC" w:rsidP="00300ADC" w14:paraId="299C416C" w14:textId="77777777">
            <w:pPr>
              <w:spacing w:line="480" w:lineRule="auto"/>
              <w:rPr>
                <w:b/>
                <w:szCs w:val="26"/>
              </w:rPr>
            </w:pPr>
            <w:r w:rsidRPr="00300ADC">
              <w:rPr>
                <w:b/>
                <w:szCs w:val="26"/>
              </w:rPr>
              <w:t>Changes to FERC 725S by RD25-7-000</w:t>
            </w:r>
          </w:p>
        </w:tc>
      </w:tr>
      <w:tr w14:paraId="2AA52DF1" w14:textId="77777777" w:rsidTr="00DB3D26">
        <w:tblPrEx>
          <w:tblW w:w="9360" w:type="dxa"/>
          <w:tblInd w:w="-5" w:type="dxa"/>
          <w:tblLook w:val="01E0"/>
        </w:tblPrEx>
        <w:trPr>
          <w:trHeight w:val="870"/>
        </w:trPr>
        <w:tc>
          <w:tcPr>
            <w:tcW w:w="1646" w:type="dxa"/>
            <w:shd w:val="clear" w:color="auto" w:fill="D9D9D9" w:themeFill="background1" w:themeFillShade="D9"/>
            <w:vAlign w:val="bottom"/>
          </w:tcPr>
          <w:p w:rsidR="00300ADC" w:rsidRPr="00300ADC" w:rsidP="00300ADC" w14:paraId="4A75BA62" w14:textId="77777777">
            <w:pPr>
              <w:spacing w:line="480" w:lineRule="auto"/>
              <w:rPr>
                <w:b/>
                <w:szCs w:val="26"/>
              </w:rPr>
            </w:pPr>
            <w:r w:rsidRPr="00300ADC">
              <w:rPr>
                <w:b/>
                <w:szCs w:val="26"/>
              </w:rPr>
              <w:t xml:space="preserve">FERC-725S Modification </w:t>
            </w:r>
          </w:p>
        </w:tc>
        <w:tc>
          <w:tcPr>
            <w:tcW w:w="1593" w:type="dxa"/>
            <w:shd w:val="clear" w:color="auto" w:fill="D9D9D9" w:themeFill="background1" w:themeFillShade="D9"/>
            <w:vAlign w:val="bottom"/>
          </w:tcPr>
          <w:p w:rsidR="00300ADC" w:rsidRPr="00300ADC" w:rsidP="00300ADC" w14:paraId="217C2E53" w14:textId="77777777">
            <w:pPr>
              <w:spacing w:line="480" w:lineRule="auto"/>
              <w:rPr>
                <w:b/>
                <w:szCs w:val="26"/>
              </w:rPr>
            </w:pPr>
            <w:r w:rsidRPr="00300ADC">
              <w:rPr>
                <w:b/>
                <w:szCs w:val="26"/>
              </w:rPr>
              <w:t>Current Inventory (hours)</w:t>
            </w:r>
          </w:p>
        </w:tc>
        <w:tc>
          <w:tcPr>
            <w:tcW w:w="1652" w:type="dxa"/>
            <w:shd w:val="clear" w:color="auto" w:fill="D9D9D9" w:themeFill="background1" w:themeFillShade="D9"/>
          </w:tcPr>
          <w:p w:rsidR="00300ADC" w:rsidRPr="00300ADC" w:rsidP="00300ADC" w14:paraId="3409EF22" w14:textId="77777777">
            <w:pPr>
              <w:spacing w:line="480" w:lineRule="auto"/>
              <w:rPr>
                <w:b/>
                <w:szCs w:val="26"/>
              </w:rPr>
            </w:pPr>
            <w:r w:rsidRPr="00300ADC">
              <w:rPr>
                <w:b/>
                <w:szCs w:val="26"/>
              </w:rPr>
              <w:t>Current Inventory</w:t>
            </w:r>
          </w:p>
          <w:p w:rsidR="00300ADC" w:rsidRPr="00300ADC" w:rsidP="00300ADC" w14:paraId="7C27C20A" w14:textId="77777777">
            <w:pPr>
              <w:spacing w:line="480" w:lineRule="auto"/>
              <w:rPr>
                <w:b/>
                <w:szCs w:val="26"/>
              </w:rPr>
            </w:pPr>
            <w:r w:rsidRPr="00300ADC">
              <w:rPr>
                <w:b/>
                <w:szCs w:val="26"/>
              </w:rPr>
              <w:t>(responses)</w:t>
            </w:r>
          </w:p>
        </w:tc>
        <w:tc>
          <w:tcPr>
            <w:tcW w:w="4469" w:type="dxa"/>
            <w:shd w:val="clear" w:color="auto" w:fill="D9D9D9" w:themeFill="background1" w:themeFillShade="D9"/>
            <w:vAlign w:val="bottom"/>
          </w:tcPr>
          <w:p w:rsidR="00300ADC" w:rsidRPr="00300ADC" w:rsidP="00300ADC" w14:paraId="1C4BFFE8" w14:textId="77777777">
            <w:pPr>
              <w:spacing w:line="480" w:lineRule="auto"/>
              <w:rPr>
                <w:b/>
                <w:szCs w:val="26"/>
              </w:rPr>
            </w:pPr>
            <w:r w:rsidRPr="00300ADC">
              <w:rPr>
                <w:b/>
                <w:szCs w:val="26"/>
              </w:rPr>
              <w:t>Total Change Due to RD25-7-000</w:t>
            </w:r>
          </w:p>
        </w:tc>
      </w:tr>
      <w:tr w14:paraId="0F3A6CBC" w14:textId="77777777" w:rsidTr="00DB3D26">
        <w:tblPrEx>
          <w:tblW w:w="9360" w:type="dxa"/>
          <w:tblInd w:w="-5" w:type="dxa"/>
          <w:tblLook w:val="01E0"/>
        </w:tblPrEx>
        <w:trPr>
          <w:trHeight w:val="295"/>
        </w:trPr>
        <w:tc>
          <w:tcPr>
            <w:tcW w:w="1646" w:type="dxa"/>
            <w:tcBorders>
              <w:bottom w:val="single" w:sz="4" w:space="0" w:color="auto"/>
            </w:tcBorders>
            <w:shd w:val="clear" w:color="auto" w:fill="FFFFFF" w:themeFill="background1"/>
          </w:tcPr>
          <w:p w:rsidR="00300ADC" w:rsidRPr="00300ADC" w:rsidP="00300ADC" w14:paraId="1DE0350B" w14:textId="77777777">
            <w:pPr>
              <w:spacing w:line="480" w:lineRule="auto"/>
              <w:rPr>
                <w:szCs w:val="26"/>
              </w:rPr>
            </w:pPr>
            <w:r w:rsidRPr="00300ADC">
              <w:rPr>
                <w:szCs w:val="26"/>
              </w:rPr>
              <w:t>Addition of EOP-012-3</w:t>
            </w:r>
          </w:p>
        </w:tc>
        <w:tc>
          <w:tcPr>
            <w:tcW w:w="1593" w:type="dxa"/>
            <w:tcBorders>
              <w:bottom w:val="single" w:sz="4" w:space="0" w:color="auto"/>
            </w:tcBorders>
            <w:shd w:val="clear" w:color="auto" w:fill="FFFFFF" w:themeFill="background1"/>
            <w:vAlign w:val="center"/>
          </w:tcPr>
          <w:p w:rsidR="00300ADC" w:rsidRPr="00300ADC" w:rsidP="00300ADC" w14:paraId="3D5FAD34" w14:textId="77777777">
            <w:pPr>
              <w:spacing w:line="480" w:lineRule="auto"/>
              <w:rPr>
                <w:szCs w:val="26"/>
              </w:rPr>
            </w:pPr>
            <w:r w:rsidRPr="00300ADC">
              <w:rPr>
                <w:szCs w:val="26"/>
              </w:rPr>
              <w:t>-</w:t>
            </w:r>
          </w:p>
        </w:tc>
        <w:tc>
          <w:tcPr>
            <w:tcW w:w="1652" w:type="dxa"/>
            <w:tcBorders>
              <w:bottom w:val="single" w:sz="4" w:space="0" w:color="auto"/>
            </w:tcBorders>
            <w:shd w:val="clear" w:color="auto" w:fill="FFFFFF" w:themeFill="background1"/>
            <w:vAlign w:val="center"/>
          </w:tcPr>
          <w:p w:rsidR="00300ADC" w:rsidRPr="00300ADC" w:rsidP="00300ADC" w14:paraId="1A84854D" w14:textId="77777777">
            <w:pPr>
              <w:spacing w:line="480" w:lineRule="auto"/>
              <w:rPr>
                <w:szCs w:val="26"/>
              </w:rPr>
            </w:pPr>
            <w:r w:rsidRPr="00300ADC">
              <w:rPr>
                <w:szCs w:val="26"/>
              </w:rPr>
              <w:t>-</w:t>
            </w:r>
          </w:p>
        </w:tc>
        <w:tc>
          <w:tcPr>
            <w:tcW w:w="4469" w:type="dxa"/>
            <w:tcBorders>
              <w:bottom w:val="single" w:sz="4" w:space="0" w:color="auto"/>
            </w:tcBorders>
            <w:shd w:val="clear" w:color="auto" w:fill="FFFFFF" w:themeFill="background1"/>
            <w:vAlign w:val="center"/>
          </w:tcPr>
          <w:p w:rsidR="00300ADC" w:rsidRPr="00300ADC" w:rsidP="00300ADC" w14:paraId="68FA938B" w14:textId="77777777">
            <w:pPr>
              <w:spacing w:line="480" w:lineRule="auto"/>
              <w:rPr>
                <w:bCs/>
                <w:szCs w:val="26"/>
              </w:rPr>
            </w:pPr>
            <w:r w:rsidRPr="00300ADC">
              <w:rPr>
                <w:szCs w:val="26"/>
              </w:rPr>
              <w:t>+</w:t>
            </w:r>
            <w:r w:rsidRPr="00300ADC">
              <w:rPr>
                <w:b/>
                <w:szCs w:val="26"/>
              </w:rPr>
              <w:t xml:space="preserve">5,256 </w:t>
            </w:r>
            <w:r w:rsidRPr="00300ADC">
              <w:rPr>
                <w:bCs/>
                <w:szCs w:val="26"/>
              </w:rPr>
              <w:t>hrs.</w:t>
            </w:r>
          </w:p>
          <w:p w:rsidR="00300ADC" w:rsidRPr="00300ADC" w:rsidP="00300ADC" w14:paraId="6FFB1AA7" w14:textId="77777777">
            <w:pPr>
              <w:spacing w:line="480" w:lineRule="auto"/>
              <w:rPr>
                <w:bCs/>
                <w:szCs w:val="26"/>
              </w:rPr>
            </w:pPr>
            <w:r w:rsidRPr="00300ADC">
              <w:rPr>
                <w:bCs/>
                <w:szCs w:val="26"/>
              </w:rPr>
              <w:t xml:space="preserve">+1,314 responses </w:t>
            </w:r>
          </w:p>
        </w:tc>
      </w:tr>
    </w:tbl>
    <w:p w:rsidR="00300ADC" w:rsidRPr="00300ADC" w:rsidP="00AE02A7" w14:paraId="7BC2EA1E" w14:textId="77777777">
      <w:pPr>
        <w:spacing w:line="480" w:lineRule="auto"/>
        <w:rPr>
          <w:szCs w:val="26"/>
        </w:rPr>
      </w:pPr>
    </w:p>
    <w:p w:rsidR="00F00E6F" w:rsidRPr="00F00E6F" w:rsidP="00F00E6F" w14:paraId="3EA2DE4A" w14:textId="0936A4F6">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F00E6F" w:rsidRPr="00F00E6F" w:rsidP="00F00E6F" w14:paraId="51AA2C3E" w14:textId="5C5E3228">
      <w:pPr>
        <w:ind w:firstLine="2606"/>
        <w:jc w:val="center"/>
        <w:rPr>
          <w:rFonts w:eastAsia="Calibri"/>
        </w:rPr>
      </w:pPr>
      <w:r w:rsidRPr="00F00E6F">
        <w:rPr>
          <w:rFonts w:eastAsia="Calibri"/>
        </w:rPr>
        <w:t>Debbie-Anne A. Reese,</w:t>
      </w:r>
    </w:p>
    <w:p w:rsidR="00F00E6F" w:rsidRPr="00F00E6F" w:rsidP="00F00E6F" w14:paraId="515CB888" w14:textId="24B71F85">
      <w:pPr>
        <w:ind w:firstLine="2606"/>
        <w:jc w:val="center"/>
        <w:rPr>
          <w:rFonts w:eastAsia="Calibri"/>
        </w:rPr>
      </w:pPr>
      <w:r w:rsidRPr="00F00E6F">
        <w:rPr>
          <w:rFonts w:eastAsia="Calibri"/>
        </w:rPr>
        <w:t>Secretary.</w:t>
      </w:r>
    </w:p>
    <w:p w:rsidR="00F00E6F" w:rsidRPr="00F00E6F" w:rsidP="00F00E6F" w14:paraId="05DF2369" w14:textId="77777777">
      <w:pPr>
        <w:tabs>
          <w:tab w:val="left" w:pos="720"/>
        </w:tabs>
        <w:autoSpaceDE w:val="0"/>
        <w:autoSpaceDN w:val="0"/>
        <w:adjustRightInd w:val="0"/>
        <w:rPr>
          <w:rFonts w:eastAsia="Calibri"/>
        </w:rPr>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2620" w:rsidP="00B01B16" w14:paraId="441C995C" w14:textId="77777777">
      <w:r>
        <w:separator/>
      </w:r>
    </w:p>
  </w:footnote>
  <w:footnote w:type="continuationSeparator" w:id="1">
    <w:p w:rsidR="00442620" w:rsidP="00B01B16" w14:paraId="2484E95A" w14:textId="77777777">
      <w:r>
        <w:continuationSeparator/>
      </w:r>
    </w:p>
  </w:footnote>
  <w:footnote w:type="continuationNotice" w:id="2">
    <w:p w:rsidR="00442620" w14:paraId="7E2FFB73" w14:textId="77777777"/>
  </w:footnote>
  <w:footnote w:id="3">
    <w:p w:rsidR="005661BC" w:rsidRPr="00104831" w:rsidP="00104831" w14:paraId="310CFC57" w14:textId="77777777">
      <w:pPr>
        <w:pStyle w:val="FootnoteText"/>
        <w:ind w:firstLine="720"/>
        <w:rPr>
          <w:sz w:val="26"/>
          <w:szCs w:val="26"/>
        </w:rPr>
      </w:pPr>
      <w:r w:rsidRPr="00D74585">
        <w:rPr>
          <w:rStyle w:val="FootnoteReference"/>
        </w:rPr>
        <w:footnoteRef/>
      </w:r>
      <w:r w:rsidRPr="00104831">
        <w:rPr>
          <w:sz w:val="26"/>
          <w:szCs w:val="26"/>
        </w:rPr>
        <w:t xml:space="preserve"> 16 U.S.C. § 824o(d)(2).</w:t>
      </w:r>
    </w:p>
    <w:p w:rsidR="00D74585" w:rsidRPr="00104831" w:rsidP="005661BC" w14:paraId="36EA66FB" w14:textId="77777777">
      <w:pPr>
        <w:pStyle w:val="FootnoteText"/>
        <w:rPr>
          <w:sz w:val="26"/>
          <w:szCs w:val="26"/>
        </w:rPr>
      </w:pPr>
    </w:p>
  </w:footnote>
  <w:footnote w:id="4">
    <w:p w:rsidR="005661BC" w:rsidRPr="00104831" w:rsidP="00104831" w14:paraId="5A396A33" w14:textId="77777777">
      <w:pPr>
        <w:pStyle w:val="FootnoteText"/>
        <w:ind w:firstLine="720"/>
        <w:rPr>
          <w:sz w:val="26"/>
          <w:szCs w:val="26"/>
        </w:rPr>
      </w:pPr>
      <w:r w:rsidRPr="00D74585">
        <w:rPr>
          <w:rStyle w:val="FootnoteReference"/>
        </w:rPr>
        <w:footnoteRef/>
      </w:r>
      <w:r w:rsidRPr="00104831">
        <w:rPr>
          <w:sz w:val="26"/>
          <w:szCs w:val="26"/>
        </w:rPr>
        <w:t xml:space="preserve"> </w:t>
      </w:r>
      <w:r w:rsidRPr="00104831">
        <w:rPr>
          <w:i/>
          <w:iCs/>
          <w:sz w:val="26"/>
          <w:szCs w:val="26"/>
        </w:rPr>
        <w:t>N. Am. Elec. Reliability Corp.</w:t>
      </w:r>
      <w:r w:rsidRPr="00104831">
        <w:rPr>
          <w:sz w:val="26"/>
          <w:szCs w:val="26"/>
        </w:rPr>
        <w:t xml:space="preserve">, 187 FERC ¶ 61,204, at P 2 (2024) (June 2024 Order) (citing FERC, NERC, and Regional Entity Staff, </w:t>
      </w:r>
      <w:r w:rsidRPr="00104831">
        <w:rPr>
          <w:i/>
          <w:sz w:val="26"/>
          <w:szCs w:val="26"/>
        </w:rPr>
        <w:t xml:space="preserve">The February 2021 Cold Weather Outages in Texas and the </w:t>
      </w:r>
      <w:r w:rsidRPr="00104831">
        <w:rPr>
          <w:i/>
          <w:sz w:val="26"/>
          <w:szCs w:val="26"/>
        </w:rPr>
        <w:t>South Central</w:t>
      </w:r>
      <w:r w:rsidRPr="00104831">
        <w:rPr>
          <w:i/>
          <w:sz w:val="26"/>
          <w:szCs w:val="26"/>
        </w:rPr>
        <w:t xml:space="preserve"> United States</w:t>
      </w:r>
      <w:r w:rsidRPr="00104831">
        <w:rPr>
          <w:iCs/>
          <w:sz w:val="26"/>
          <w:szCs w:val="26"/>
        </w:rPr>
        <w:t xml:space="preserve"> </w:t>
      </w:r>
      <w:r w:rsidRPr="00104831">
        <w:rPr>
          <w:sz w:val="26"/>
          <w:szCs w:val="26"/>
        </w:rPr>
        <w:t>189 (Nov. 16, 2021), https://www.ferc.gov/media/february-2021-cold-weather-outages-texas-and-south-central-united-states-ferc-nerc-and (November 2021 Report)).</w:t>
      </w:r>
    </w:p>
    <w:p w:rsidR="00D74585" w:rsidRPr="00104831" w:rsidP="005661BC" w14:paraId="4F9CFADF" w14:textId="77777777">
      <w:pPr>
        <w:pStyle w:val="FootnoteText"/>
        <w:rPr>
          <w:sz w:val="26"/>
          <w:szCs w:val="26"/>
        </w:rPr>
      </w:pPr>
    </w:p>
  </w:footnote>
  <w:footnote w:id="5">
    <w:p w:rsidR="005661BC" w:rsidRPr="00725D6E" w:rsidP="00104831" w14:paraId="67AC0323" w14:textId="77777777">
      <w:pPr>
        <w:pStyle w:val="FootnoteText"/>
        <w:ind w:firstLine="720"/>
      </w:pPr>
      <w:r w:rsidRPr="00D74585">
        <w:rPr>
          <w:rStyle w:val="FootnoteReference"/>
        </w:rPr>
        <w:footnoteRef/>
      </w:r>
      <w:r w:rsidRPr="00104831">
        <w:rPr>
          <w:sz w:val="26"/>
          <w:szCs w:val="26"/>
        </w:rPr>
        <w:t xml:space="preserve"> </w:t>
      </w:r>
      <w:r w:rsidRPr="00104831">
        <w:rPr>
          <w:i/>
          <w:iCs/>
          <w:sz w:val="26"/>
          <w:szCs w:val="26"/>
        </w:rPr>
        <w:t>See, e.g.</w:t>
      </w:r>
      <w:r w:rsidRPr="00104831">
        <w:rPr>
          <w:sz w:val="26"/>
          <w:szCs w:val="26"/>
        </w:rPr>
        <w:t>,</w:t>
      </w:r>
      <w:r w:rsidRPr="00104831">
        <w:rPr>
          <w:i/>
          <w:iCs/>
          <w:sz w:val="26"/>
          <w:szCs w:val="26"/>
        </w:rPr>
        <w:t xml:space="preserve"> N. Am. Elec. Reliability Corp.</w:t>
      </w:r>
      <w:r w:rsidRPr="00104831">
        <w:rPr>
          <w:sz w:val="26"/>
          <w:szCs w:val="26"/>
        </w:rPr>
        <w:t xml:space="preserve">, 182 FERC ¶ 61,094, at PP 3-11 (February 2023 Order), </w:t>
      </w:r>
      <w:r w:rsidRPr="00104831">
        <w:rPr>
          <w:i/>
          <w:iCs/>
          <w:sz w:val="26"/>
          <w:szCs w:val="26"/>
        </w:rPr>
        <w:t>reh’g denied</w:t>
      </w:r>
      <w:r w:rsidRPr="00104831">
        <w:rPr>
          <w:sz w:val="26"/>
          <w:szCs w:val="26"/>
        </w:rPr>
        <w:t xml:space="preserve">, 183 FERC ¶ 62,034, </w:t>
      </w:r>
      <w:r w:rsidRPr="00104831">
        <w:rPr>
          <w:i/>
          <w:iCs/>
          <w:sz w:val="26"/>
          <w:szCs w:val="26"/>
        </w:rPr>
        <w:t>order on reh’g</w:t>
      </w:r>
      <w:r w:rsidRPr="00104831">
        <w:rPr>
          <w:sz w:val="26"/>
          <w:szCs w:val="26"/>
        </w:rPr>
        <w:t>, 183 FERC ¶ 61,222 (2023).</w:t>
      </w:r>
    </w:p>
  </w:footnote>
  <w:footnote w:id="6">
    <w:p w:rsidR="005661BC" w:rsidRPr="00104831" w:rsidP="00104831" w14:paraId="4D014309" w14:textId="77777777">
      <w:pPr>
        <w:pStyle w:val="FootnoteText"/>
        <w:ind w:firstLine="720"/>
        <w:rPr>
          <w:sz w:val="26"/>
          <w:szCs w:val="26"/>
        </w:rPr>
      </w:pPr>
      <w:r w:rsidRPr="00D74585">
        <w:rPr>
          <w:rStyle w:val="FootnoteReference"/>
        </w:rPr>
        <w:footnoteRef/>
      </w:r>
      <w:r w:rsidRPr="00104831">
        <w:rPr>
          <w:sz w:val="26"/>
          <w:szCs w:val="26"/>
        </w:rPr>
        <w:t xml:space="preserve"> </w:t>
      </w:r>
      <w:r w:rsidRPr="00104831">
        <w:rPr>
          <w:i/>
          <w:iCs/>
          <w:sz w:val="26"/>
          <w:szCs w:val="26"/>
        </w:rPr>
        <w:t>See</w:t>
      </w:r>
      <w:r w:rsidRPr="00104831">
        <w:rPr>
          <w:sz w:val="26"/>
          <w:szCs w:val="26"/>
        </w:rPr>
        <w:t xml:space="preserve"> </w:t>
      </w:r>
      <w:r w:rsidRPr="00104831">
        <w:rPr>
          <w:i/>
          <w:iCs/>
          <w:sz w:val="26"/>
          <w:szCs w:val="26"/>
        </w:rPr>
        <w:t xml:space="preserve">id. </w:t>
      </w:r>
      <w:r w:rsidRPr="00104831">
        <w:rPr>
          <w:sz w:val="26"/>
          <w:szCs w:val="26"/>
        </w:rPr>
        <w:t xml:space="preserve">P 11.    </w:t>
      </w:r>
    </w:p>
    <w:p w:rsidR="00D74585" w:rsidRPr="00104831" w:rsidP="005661BC" w14:paraId="63EFB94A" w14:textId="77777777">
      <w:pPr>
        <w:pStyle w:val="FootnoteText"/>
        <w:rPr>
          <w:sz w:val="26"/>
          <w:szCs w:val="26"/>
        </w:rPr>
      </w:pPr>
    </w:p>
  </w:footnote>
  <w:footnote w:id="7">
    <w:p w:rsidR="005661BC" w:rsidRPr="00104831" w:rsidP="00104831" w14:paraId="44758AA2" w14:textId="77777777">
      <w:pPr>
        <w:pStyle w:val="FootnoteText"/>
        <w:ind w:firstLine="720"/>
        <w:rPr>
          <w:sz w:val="26"/>
          <w:szCs w:val="26"/>
        </w:rPr>
      </w:pPr>
      <w:r w:rsidRPr="00D74585">
        <w:rPr>
          <w:rStyle w:val="FootnoteReference"/>
        </w:rPr>
        <w:footnoteRef/>
      </w:r>
      <w:r w:rsidRPr="00104831">
        <w:rPr>
          <w:sz w:val="26"/>
          <w:szCs w:val="26"/>
        </w:rPr>
        <w:t xml:space="preserve"> 18 C.F.R. § 39.2(d) (2025) (“The [ERO] . . . shall provide the Commission such information as is necessary to implement section 215 of the [FPA].”).</w:t>
      </w:r>
    </w:p>
    <w:p w:rsidR="00D74585" w:rsidRPr="00725D6E" w:rsidP="005661BC" w14:paraId="15B6FD71" w14:textId="77777777">
      <w:pPr>
        <w:pStyle w:val="FootnoteText"/>
        <w:rPr>
          <w:szCs w:val="26"/>
        </w:rPr>
      </w:pPr>
    </w:p>
  </w:footnote>
  <w:footnote w:id="8">
    <w:p w:rsidR="00300ADC" w:rsidRPr="00104831" w:rsidP="00104831" w14:paraId="4F6A29B5" w14:textId="77777777">
      <w:pPr>
        <w:pStyle w:val="FootnoteText"/>
        <w:keepNext/>
        <w:keepLines/>
        <w:ind w:firstLine="720"/>
        <w:rPr>
          <w:sz w:val="26"/>
          <w:szCs w:val="26"/>
        </w:rPr>
      </w:pPr>
      <w:r w:rsidRPr="00D74585">
        <w:rPr>
          <w:rStyle w:val="FootnoteReference"/>
        </w:rPr>
        <w:footnoteRef/>
      </w:r>
      <w:r w:rsidRPr="00104831">
        <w:rPr>
          <w:sz w:val="26"/>
          <w:szCs w:val="26"/>
        </w:rPr>
        <w:t xml:space="preserve"> The FERC-725S collection includes the EOP family of Reliability Standards:  EOP-004-4, EOP 005-3, EOP-006-3, EOP-008-2, EOP-010-1, EOP-011-4, and EOP</w:t>
      </w:r>
      <w:r w:rsidRPr="00104831">
        <w:rPr>
          <w:sz w:val="26"/>
          <w:szCs w:val="26"/>
        </w:rPr>
        <w:noBreakHyphen/>
        <w:t>012</w:t>
      </w:r>
      <w:r w:rsidRPr="00104831">
        <w:rPr>
          <w:sz w:val="26"/>
          <w:szCs w:val="26"/>
        </w:rPr>
        <w:noBreakHyphen/>
        <w:t>3.</w:t>
      </w:r>
    </w:p>
  </w:footnote>
  <w:footnote w:id="9">
    <w:p w:rsidR="00300ADC" w:rsidRPr="00104831" w:rsidP="00D74585" w14:paraId="36CEF48C" w14:textId="77777777">
      <w:pPr>
        <w:pStyle w:val="FootnoteText"/>
        <w:ind w:firstLine="720"/>
        <w:rPr>
          <w:sz w:val="26"/>
          <w:szCs w:val="26"/>
        </w:rPr>
      </w:pPr>
      <w:r w:rsidRPr="00D74585">
        <w:rPr>
          <w:rStyle w:val="FootnoteReference"/>
        </w:rPr>
        <w:footnoteRef/>
      </w:r>
      <w:r w:rsidRPr="00104831">
        <w:rPr>
          <w:sz w:val="26"/>
          <w:szCs w:val="26"/>
        </w:rPr>
        <w:t xml:space="preserve"> The overall burden associated with Reliability Standard EOP-012 will be the sum of the burden (responses) from Reliability Standard EOP-012-1 (under Docket No. RD23-1-000), Reliability Standard EOP-012-2 (under Docket No. RD24-5-000), and proposed Reliability Standard EOP-012-3 (under Docket No. RD25-7-000).  </w:t>
      </w:r>
    </w:p>
    <w:p w:rsidR="00D74585" w:rsidRPr="00104831" w:rsidP="00104831" w14:paraId="716157EC" w14:textId="77777777">
      <w:pPr>
        <w:pStyle w:val="FootnoteText"/>
        <w:ind w:firstLine="720"/>
        <w:rPr>
          <w:sz w:val="26"/>
          <w:szCs w:val="26"/>
        </w:rPr>
      </w:pPr>
    </w:p>
  </w:footnote>
  <w:footnote w:id="10">
    <w:p w:rsidR="00300ADC" w:rsidRPr="00725D6E" w:rsidP="00104831" w14:paraId="3C887900" w14:textId="77777777">
      <w:pPr>
        <w:pStyle w:val="FootnoteText"/>
        <w:ind w:firstLine="720"/>
      </w:pPr>
      <w:r w:rsidRPr="00D74585">
        <w:rPr>
          <w:rStyle w:val="FootnoteReference"/>
        </w:rPr>
        <w:footnoteRef/>
      </w:r>
      <w:r w:rsidRPr="00104831">
        <w:rPr>
          <w:sz w:val="26"/>
          <w:szCs w:val="26"/>
        </w:rPr>
        <w:t xml:space="preserve"> The estimated hourly cost (salary plus benefits) is a combination of the following categories from the Bureau of Labor Statistics (BLS) website, http://www.bls.gov/oes/current/naics2_22.htm:  75% of the average of an Electrical Engineer (17-2071) $71.19/hr., x .75 = 53.3925 ($53.39-rounded) ($53.39/hour);  and 25% of an Information and Record Clerk (43-4199) $40.51/hr., $40.51 x .25 = 10.1275 ($10.13 rounded) ($10.13/hour), for a total ($53.39+$10.13 = $63.52/hour).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38CC5193">
        <w:pPr>
          <w:pStyle w:val="Header"/>
        </w:pPr>
        <w:r w:rsidRPr="00D954AE">
          <w:t xml:space="preserve">Docket No. </w:t>
        </w:r>
        <w:r w:rsidR="00703313">
          <w:t>RD</w:t>
        </w:r>
        <w:r w:rsidRPr="00D954AE">
          <w:t>2</w:t>
        </w:r>
        <w:r w:rsidR="00E94A54">
          <w:t>5</w:t>
        </w:r>
        <w:r w:rsidRPr="00D954AE">
          <w:t>-</w:t>
        </w:r>
        <w:r w:rsidR="00640DB5">
          <w:t>7</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524B3B"/>
    <w:multiLevelType w:val="hybridMultilevel"/>
    <w:tmpl w:val="EE32B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5">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67044C1C"/>
    <w:multiLevelType w:val="hybridMultilevel"/>
    <w:tmpl w:val="FBB8783A"/>
    <w:lvl w:ilvl="0">
      <w:start w:val="98"/>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nsid w:val="7D3B09D3"/>
    <w:multiLevelType w:val="hybridMultilevel"/>
    <w:tmpl w:val="C8A02A66"/>
    <w:lvl w:ilvl="0">
      <w:start w:val="1"/>
      <w:numFmt w:val="decimal"/>
      <w:pStyle w:val="FERCparanumber"/>
      <w:lvlText w:val="%1."/>
      <w:lvlJc w:val="left"/>
      <w:pPr>
        <w:tabs>
          <w:tab w:val="num" w:pos="990"/>
        </w:tabs>
        <w:ind w:left="270" w:firstLine="0"/>
      </w:pPr>
      <w:rPr>
        <w:b w:val="0"/>
        <w:bCs/>
        <w:vertAlign w:val="baseline"/>
        <w:specVanish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8070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703877">
    <w:abstractNumId w:val="6"/>
  </w:num>
  <w:num w:numId="3" w16cid:durableId="903417670">
    <w:abstractNumId w:val="12"/>
  </w:num>
  <w:num w:numId="4" w16cid:durableId="1149052004">
    <w:abstractNumId w:val="9"/>
  </w:num>
  <w:num w:numId="5" w16cid:durableId="1854490639">
    <w:abstractNumId w:val="18"/>
  </w:num>
  <w:num w:numId="6" w16cid:durableId="314338978">
    <w:abstractNumId w:val="2"/>
  </w:num>
  <w:num w:numId="7" w16cid:durableId="1174344768">
    <w:abstractNumId w:val="13"/>
  </w:num>
  <w:num w:numId="8" w16cid:durableId="1748648823">
    <w:abstractNumId w:val="1"/>
  </w:num>
  <w:num w:numId="9" w16cid:durableId="2116244772">
    <w:abstractNumId w:val="11"/>
  </w:num>
  <w:num w:numId="10" w16cid:durableId="1320773160">
    <w:abstractNumId w:val="17"/>
  </w:num>
  <w:num w:numId="11" w16cid:durableId="1571038222">
    <w:abstractNumId w:val="3"/>
  </w:num>
  <w:num w:numId="12" w16cid:durableId="553780793">
    <w:abstractNumId w:val="15"/>
  </w:num>
  <w:num w:numId="13" w16cid:durableId="463546188">
    <w:abstractNumId w:val="0"/>
  </w:num>
  <w:num w:numId="14" w16cid:durableId="1701586126">
    <w:abstractNumId w:val="16"/>
  </w:num>
  <w:num w:numId="15" w16cid:durableId="197011097">
    <w:abstractNumId w:val="10"/>
  </w:num>
  <w:num w:numId="16" w16cid:durableId="247085332">
    <w:abstractNumId w:val="4"/>
  </w:num>
  <w:num w:numId="17" w16cid:durableId="695468739">
    <w:abstractNumId w:val="14"/>
  </w:num>
  <w:num w:numId="18" w16cid:durableId="38208452">
    <w:abstractNumId w:val="8"/>
  </w:num>
  <w:num w:numId="19" w16cid:durableId="1239710533">
    <w:abstractNumId w:val="5"/>
  </w:num>
  <w:num w:numId="20" w16cid:durableId="13549199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16D90"/>
    <w:rsid w:val="00026C2D"/>
    <w:rsid w:val="000370BC"/>
    <w:rsid w:val="000379D6"/>
    <w:rsid w:val="00042F33"/>
    <w:rsid w:val="000459B6"/>
    <w:rsid w:val="0005167F"/>
    <w:rsid w:val="000578D5"/>
    <w:rsid w:val="00062427"/>
    <w:rsid w:val="0006681D"/>
    <w:rsid w:val="00070ECD"/>
    <w:rsid w:val="00072E34"/>
    <w:rsid w:val="00074CC7"/>
    <w:rsid w:val="00082413"/>
    <w:rsid w:val="00084E3D"/>
    <w:rsid w:val="0008692A"/>
    <w:rsid w:val="00097607"/>
    <w:rsid w:val="000A0250"/>
    <w:rsid w:val="000A3078"/>
    <w:rsid w:val="000A3C2F"/>
    <w:rsid w:val="000A4305"/>
    <w:rsid w:val="000A6164"/>
    <w:rsid w:val="000A6F37"/>
    <w:rsid w:val="000A7E68"/>
    <w:rsid w:val="000B3479"/>
    <w:rsid w:val="000B3EC5"/>
    <w:rsid w:val="000B431B"/>
    <w:rsid w:val="000B5B66"/>
    <w:rsid w:val="000B5C78"/>
    <w:rsid w:val="000B6174"/>
    <w:rsid w:val="000C2353"/>
    <w:rsid w:val="000D318C"/>
    <w:rsid w:val="000D6512"/>
    <w:rsid w:val="000D6969"/>
    <w:rsid w:val="000E1256"/>
    <w:rsid w:val="000E2568"/>
    <w:rsid w:val="000E4C61"/>
    <w:rsid w:val="000F3BC3"/>
    <w:rsid w:val="000F606E"/>
    <w:rsid w:val="000F7B45"/>
    <w:rsid w:val="00101565"/>
    <w:rsid w:val="00104831"/>
    <w:rsid w:val="00112B6B"/>
    <w:rsid w:val="00116326"/>
    <w:rsid w:val="00125991"/>
    <w:rsid w:val="001309CE"/>
    <w:rsid w:val="0013255C"/>
    <w:rsid w:val="00132785"/>
    <w:rsid w:val="001352F4"/>
    <w:rsid w:val="00135FC5"/>
    <w:rsid w:val="00137823"/>
    <w:rsid w:val="001460DD"/>
    <w:rsid w:val="00150CBC"/>
    <w:rsid w:val="0015445B"/>
    <w:rsid w:val="00156BBB"/>
    <w:rsid w:val="001600DF"/>
    <w:rsid w:val="00164215"/>
    <w:rsid w:val="0017145A"/>
    <w:rsid w:val="00171725"/>
    <w:rsid w:val="0017684C"/>
    <w:rsid w:val="00177704"/>
    <w:rsid w:val="0017796B"/>
    <w:rsid w:val="00181BF7"/>
    <w:rsid w:val="00182D98"/>
    <w:rsid w:val="00184250"/>
    <w:rsid w:val="00184A26"/>
    <w:rsid w:val="00184B43"/>
    <w:rsid w:val="0019402A"/>
    <w:rsid w:val="00197435"/>
    <w:rsid w:val="001974A9"/>
    <w:rsid w:val="001A2DAA"/>
    <w:rsid w:val="001A4804"/>
    <w:rsid w:val="001A6645"/>
    <w:rsid w:val="001A6AD6"/>
    <w:rsid w:val="001A6F26"/>
    <w:rsid w:val="001A738D"/>
    <w:rsid w:val="001B0BD2"/>
    <w:rsid w:val="001B3C6A"/>
    <w:rsid w:val="001B78B8"/>
    <w:rsid w:val="001C0889"/>
    <w:rsid w:val="001C3BEC"/>
    <w:rsid w:val="001C543C"/>
    <w:rsid w:val="001C7064"/>
    <w:rsid w:val="001D3E7A"/>
    <w:rsid w:val="001D4C7C"/>
    <w:rsid w:val="001D578A"/>
    <w:rsid w:val="001D68BE"/>
    <w:rsid w:val="001E0030"/>
    <w:rsid w:val="001E2B4A"/>
    <w:rsid w:val="001E3237"/>
    <w:rsid w:val="001E521B"/>
    <w:rsid w:val="001F1CDF"/>
    <w:rsid w:val="00200139"/>
    <w:rsid w:val="00202E41"/>
    <w:rsid w:val="00207AE7"/>
    <w:rsid w:val="00211105"/>
    <w:rsid w:val="002131D0"/>
    <w:rsid w:val="00213696"/>
    <w:rsid w:val="002137CC"/>
    <w:rsid w:val="002220C2"/>
    <w:rsid w:val="00224BF8"/>
    <w:rsid w:val="00224DD2"/>
    <w:rsid w:val="00227D0E"/>
    <w:rsid w:val="00235FEE"/>
    <w:rsid w:val="00236ED4"/>
    <w:rsid w:val="00237AB9"/>
    <w:rsid w:val="0024271E"/>
    <w:rsid w:val="0024309C"/>
    <w:rsid w:val="002433B3"/>
    <w:rsid w:val="00253F98"/>
    <w:rsid w:val="00257CC2"/>
    <w:rsid w:val="00262096"/>
    <w:rsid w:val="00265B23"/>
    <w:rsid w:val="00266431"/>
    <w:rsid w:val="00266774"/>
    <w:rsid w:val="002673BC"/>
    <w:rsid w:val="00267798"/>
    <w:rsid w:val="0027179A"/>
    <w:rsid w:val="00272C05"/>
    <w:rsid w:val="00287E9A"/>
    <w:rsid w:val="002906E5"/>
    <w:rsid w:val="00292A4C"/>
    <w:rsid w:val="00297211"/>
    <w:rsid w:val="002B5874"/>
    <w:rsid w:val="002C0F86"/>
    <w:rsid w:val="002C2BE6"/>
    <w:rsid w:val="002C2C8B"/>
    <w:rsid w:val="002C3223"/>
    <w:rsid w:val="002C32D0"/>
    <w:rsid w:val="002C3579"/>
    <w:rsid w:val="002C46BF"/>
    <w:rsid w:val="002C5E0E"/>
    <w:rsid w:val="002D17E5"/>
    <w:rsid w:val="002D57E8"/>
    <w:rsid w:val="002D6667"/>
    <w:rsid w:val="002D6750"/>
    <w:rsid w:val="002E06A0"/>
    <w:rsid w:val="002E1C29"/>
    <w:rsid w:val="002E1D8F"/>
    <w:rsid w:val="002E686A"/>
    <w:rsid w:val="002E68D4"/>
    <w:rsid w:val="002E6DAA"/>
    <w:rsid w:val="002F0144"/>
    <w:rsid w:val="002F4401"/>
    <w:rsid w:val="002F708A"/>
    <w:rsid w:val="00300ADC"/>
    <w:rsid w:val="00301E3D"/>
    <w:rsid w:val="00303516"/>
    <w:rsid w:val="00306318"/>
    <w:rsid w:val="00311329"/>
    <w:rsid w:val="00311D90"/>
    <w:rsid w:val="00313373"/>
    <w:rsid w:val="00314219"/>
    <w:rsid w:val="003142B5"/>
    <w:rsid w:val="003149BC"/>
    <w:rsid w:val="003208BF"/>
    <w:rsid w:val="0033340D"/>
    <w:rsid w:val="00336AD9"/>
    <w:rsid w:val="00337CDE"/>
    <w:rsid w:val="00340D3C"/>
    <w:rsid w:val="00342C38"/>
    <w:rsid w:val="00343A74"/>
    <w:rsid w:val="00353270"/>
    <w:rsid w:val="0036430E"/>
    <w:rsid w:val="00365468"/>
    <w:rsid w:val="003658A2"/>
    <w:rsid w:val="003673EC"/>
    <w:rsid w:val="0037304A"/>
    <w:rsid w:val="00373A2E"/>
    <w:rsid w:val="00376525"/>
    <w:rsid w:val="00381882"/>
    <w:rsid w:val="003940FF"/>
    <w:rsid w:val="00397ABE"/>
    <w:rsid w:val="003A2C3F"/>
    <w:rsid w:val="003B435C"/>
    <w:rsid w:val="003B5B0B"/>
    <w:rsid w:val="003C002D"/>
    <w:rsid w:val="003C08DE"/>
    <w:rsid w:val="003C3E7A"/>
    <w:rsid w:val="003C4C49"/>
    <w:rsid w:val="003D0BB4"/>
    <w:rsid w:val="003D28D2"/>
    <w:rsid w:val="003E0BE0"/>
    <w:rsid w:val="003E1657"/>
    <w:rsid w:val="003E1B25"/>
    <w:rsid w:val="003E1B5A"/>
    <w:rsid w:val="003E2AB4"/>
    <w:rsid w:val="003E40B2"/>
    <w:rsid w:val="003E44AD"/>
    <w:rsid w:val="003F0FE7"/>
    <w:rsid w:val="003F2E32"/>
    <w:rsid w:val="003F2EC7"/>
    <w:rsid w:val="003F4B12"/>
    <w:rsid w:val="003F570B"/>
    <w:rsid w:val="003F6466"/>
    <w:rsid w:val="003F6DEE"/>
    <w:rsid w:val="00407BCE"/>
    <w:rsid w:val="00410A8B"/>
    <w:rsid w:val="00411B62"/>
    <w:rsid w:val="00413AA8"/>
    <w:rsid w:val="00413FDE"/>
    <w:rsid w:val="00415E2C"/>
    <w:rsid w:val="004177CD"/>
    <w:rsid w:val="0042688C"/>
    <w:rsid w:val="0042765E"/>
    <w:rsid w:val="00427AE5"/>
    <w:rsid w:val="00430620"/>
    <w:rsid w:val="00431210"/>
    <w:rsid w:val="00442620"/>
    <w:rsid w:val="00443282"/>
    <w:rsid w:val="00447C9E"/>
    <w:rsid w:val="00450D64"/>
    <w:rsid w:val="004525F4"/>
    <w:rsid w:val="004554C9"/>
    <w:rsid w:val="004562F1"/>
    <w:rsid w:val="004628F2"/>
    <w:rsid w:val="00462CE1"/>
    <w:rsid w:val="004642F6"/>
    <w:rsid w:val="00465456"/>
    <w:rsid w:val="00471921"/>
    <w:rsid w:val="004725A7"/>
    <w:rsid w:val="00480D2D"/>
    <w:rsid w:val="00491543"/>
    <w:rsid w:val="00497A62"/>
    <w:rsid w:val="004A3167"/>
    <w:rsid w:val="004A661D"/>
    <w:rsid w:val="004A6FC8"/>
    <w:rsid w:val="004B7AF5"/>
    <w:rsid w:val="004BEE0F"/>
    <w:rsid w:val="004C0BC3"/>
    <w:rsid w:val="004C70C8"/>
    <w:rsid w:val="004D3B2D"/>
    <w:rsid w:val="004E44F8"/>
    <w:rsid w:val="004E683E"/>
    <w:rsid w:val="004F2232"/>
    <w:rsid w:val="004F56E3"/>
    <w:rsid w:val="00503954"/>
    <w:rsid w:val="00520275"/>
    <w:rsid w:val="00524164"/>
    <w:rsid w:val="00527733"/>
    <w:rsid w:val="00531000"/>
    <w:rsid w:val="005401E0"/>
    <w:rsid w:val="00544424"/>
    <w:rsid w:val="0054746C"/>
    <w:rsid w:val="00565830"/>
    <w:rsid w:val="00565B5E"/>
    <w:rsid w:val="005661BC"/>
    <w:rsid w:val="00566B5F"/>
    <w:rsid w:val="00567315"/>
    <w:rsid w:val="005739F7"/>
    <w:rsid w:val="00573FA8"/>
    <w:rsid w:val="005749DE"/>
    <w:rsid w:val="0057709C"/>
    <w:rsid w:val="00577E4C"/>
    <w:rsid w:val="0058195F"/>
    <w:rsid w:val="00582915"/>
    <w:rsid w:val="00584A11"/>
    <w:rsid w:val="00584B8C"/>
    <w:rsid w:val="0058779A"/>
    <w:rsid w:val="00587D1F"/>
    <w:rsid w:val="005953A1"/>
    <w:rsid w:val="00596242"/>
    <w:rsid w:val="00597970"/>
    <w:rsid w:val="005A0A9F"/>
    <w:rsid w:val="005A0B82"/>
    <w:rsid w:val="005A0D62"/>
    <w:rsid w:val="005A1E8A"/>
    <w:rsid w:val="005A23EA"/>
    <w:rsid w:val="005A2F24"/>
    <w:rsid w:val="005A5AB9"/>
    <w:rsid w:val="005A6119"/>
    <w:rsid w:val="005B0254"/>
    <w:rsid w:val="005B4DA4"/>
    <w:rsid w:val="005B7231"/>
    <w:rsid w:val="005C09F1"/>
    <w:rsid w:val="005C12CF"/>
    <w:rsid w:val="005C180F"/>
    <w:rsid w:val="005C35B6"/>
    <w:rsid w:val="005C77BE"/>
    <w:rsid w:val="005D0259"/>
    <w:rsid w:val="005D0A61"/>
    <w:rsid w:val="005D238D"/>
    <w:rsid w:val="005D4628"/>
    <w:rsid w:val="005D630A"/>
    <w:rsid w:val="005E0B1A"/>
    <w:rsid w:val="005E1000"/>
    <w:rsid w:val="005E458C"/>
    <w:rsid w:val="005E45C6"/>
    <w:rsid w:val="005E68E7"/>
    <w:rsid w:val="005E7A9B"/>
    <w:rsid w:val="005F7CE1"/>
    <w:rsid w:val="00602995"/>
    <w:rsid w:val="006117BC"/>
    <w:rsid w:val="006128A5"/>
    <w:rsid w:val="00613169"/>
    <w:rsid w:val="006131EE"/>
    <w:rsid w:val="00620474"/>
    <w:rsid w:val="0062572C"/>
    <w:rsid w:val="00630E07"/>
    <w:rsid w:val="00632B22"/>
    <w:rsid w:val="0063784F"/>
    <w:rsid w:val="00637F43"/>
    <w:rsid w:val="00640DB5"/>
    <w:rsid w:val="00641F0D"/>
    <w:rsid w:val="00643772"/>
    <w:rsid w:val="00644A1B"/>
    <w:rsid w:val="0064544E"/>
    <w:rsid w:val="00647718"/>
    <w:rsid w:val="00650E6C"/>
    <w:rsid w:val="006536D8"/>
    <w:rsid w:val="00654399"/>
    <w:rsid w:val="00654BA4"/>
    <w:rsid w:val="0066195A"/>
    <w:rsid w:val="00662FC3"/>
    <w:rsid w:val="0066364E"/>
    <w:rsid w:val="00663FBE"/>
    <w:rsid w:val="00664931"/>
    <w:rsid w:val="00665F91"/>
    <w:rsid w:val="006670C8"/>
    <w:rsid w:val="006740AF"/>
    <w:rsid w:val="006841A7"/>
    <w:rsid w:val="00687348"/>
    <w:rsid w:val="00693721"/>
    <w:rsid w:val="00694C22"/>
    <w:rsid w:val="006963BC"/>
    <w:rsid w:val="006970F4"/>
    <w:rsid w:val="006A2E15"/>
    <w:rsid w:val="006A4398"/>
    <w:rsid w:val="006A53D8"/>
    <w:rsid w:val="006A7F70"/>
    <w:rsid w:val="006B3479"/>
    <w:rsid w:val="006B5461"/>
    <w:rsid w:val="006B6BA9"/>
    <w:rsid w:val="006D5669"/>
    <w:rsid w:val="006D65AB"/>
    <w:rsid w:val="006E7CBB"/>
    <w:rsid w:val="006E7EBE"/>
    <w:rsid w:val="006F0D0B"/>
    <w:rsid w:val="006F7028"/>
    <w:rsid w:val="006F749E"/>
    <w:rsid w:val="00701F6A"/>
    <w:rsid w:val="007024F1"/>
    <w:rsid w:val="00703313"/>
    <w:rsid w:val="007056C1"/>
    <w:rsid w:val="00706117"/>
    <w:rsid w:val="00707D60"/>
    <w:rsid w:val="00713417"/>
    <w:rsid w:val="00714EDD"/>
    <w:rsid w:val="0071596F"/>
    <w:rsid w:val="00716554"/>
    <w:rsid w:val="00723505"/>
    <w:rsid w:val="00725D6E"/>
    <w:rsid w:val="00725E0F"/>
    <w:rsid w:val="007263B9"/>
    <w:rsid w:val="00731493"/>
    <w:rsid w:val="007352F2"/>
    <w:rsid w:val="007377F0"/>
    <w:rsid w:val="0074277A"/>
    <w:rsid w:val="00747177"/>
    <w:rsid w:val="0075009F"/>
    <w:rsid w:val="00752A48"/>
    <w:rsid w:val="00757503"/>
    <w:rsid w:val="00757707"/>
    <w:rsid w:val="00757D44"/>
    <w:rsid w:val="00761148"/>
    <w:rsid w:val="00761431"/>
    <w:rsid w:val="007633DD"/>
    <w:rsid w:val="00771B1A"/>
    <w:rsid w:val="00771EAE"/>
    <w:rsid w:val="007753BE"/>
    <w:rsid w:val="007755E3"/>
    <w:rsid w:val="00781E6A"/>
    <w:rsid w:val="00792436"/>
    <w:rsid w:val="00793B0E"/>
    <w:rsid w:val="007A068A"/>
    <w:rsid w:val="007A2D9B"/>
    <w:rsid w:val="007A5B0C"/>
    <w:rsid w:val="007B0911"/>
    <w:rsid w:val="007B17C9"/>
    <w:rsid w:val="007B1801"/>
    <w:rsid w:val="007B1F57"/>
    <w:rsid w:val="007B370F"/>
    <w:rsid w:val="007B40DD"/>
    <w:rsid w:val="007B4938"/>
    <w:rsid w:val="007B7029"/>
    <w:rsid w:val="007C50E2"/>
    <w:rsid w:val="007C7D00"/>
    <w:rsid w:val="007D02D8"/>
    <w:rsid w:val="007E3706"/>
    <w:rsid w:val="007E5A29"/>
    <w:rsid w:val="007F0E62"/>
    <w:rsid w:val="007F4CD3"/>
    <w:rsid w:val="007F61C2"/>
    <w:rsid w:val="007F70D6"/>
    <w:rsid w:val="00801456"/>
    <w:rsid w:val="008018DB"/>
    <w:rsid w:val="00803CA2"/>
    <w:rsid w:val="008056E7"/>
    <w:rsid w:val="00807CAC"/>
    <w:rsid w:val="008115BF"/>
    <w:rsid w:val="008143B0"/>
    <w:rsid w:val="00816942"/>
    <w:rsid w:val="0082071E"/>
    <w:rsid w:val="008212DA"/>
    <w:rsid w:val="00821E99"/>
    <w:rsid w:val="008225F7"/>
    <w:rsid w:val="00823681"/>
    <w:rsid w:val="00824D81"/>
    <w:rsid w:val="0082500C"/>
    <w:rsid w:val="0082638F"/>
    <w:rsid w:val="00827650"/>
    <w:rsid w:val="00830D19"/>
    <w:rsid w:val="00835322"/>
    <w:rsid w:val="008376AE"/>
    <w:rsid w:val="00841075"/>
    <w:rsid w:val="008416FD"/>
    <w:rsid w:val="00845FCF"/>
    <w:rsid w:val="00846164"/>
    <w:rsid w:val="0084717B"/>
    <w:rsid w:val="008507FE"/>
    <w:rsid w:val="00851BDE"/>
    <w:rsid w:val="00853ABC"/>
    <w:rsid w:val="00855BDC"/>
    <w:rsid w:val="008575C2"/>
    <w:rsid w:val="008613BD"/>
    <w:rsid w:val="00863A2C"/>
    <w:rsid w:val="00863E08"/>
    <w:rsid w:val="00871D53"/>
    <w:rsid w:val="00871DCE"/>
    <w:rsid w:val="008755D6"/>
    <w:rsid w:val="00880340"/>
    <w:rsid w:val="00881405"/>
    <w:rsid w:val="00883F45"/>
    <w:rsid w:val="00886E29"/>
    <w:rsid w:val="0088713C"/>
    <w:rsid w:val="0089069F"/>
    <w:rsid w:val="00893C9F"/>
    <w:rsid w:val="00895B40"/>
    <w:rsid w:val="00895DA2"/>
    <w:rsid w:val="00897359"/>
    <w:rsid w:val="008A050A"/>
    <w:rsid w:val="008A1C9C"/>
    <w:rsid w:val="008A4835"/>
    <w:rsid w:val="008A4C8D"/>
    <w:rsid w:val="008A55FC"/>
    <w:rsid w:val="008A7371"/>
    <w:rsid w:val="008B70F5"/>
    <w:rsid w:val="008B7EC5"/>
    <w:rsid w:val="008D146C"/>
    <w:rsid w:val="008D25B7"/>
    <w:rsid w:val="008D5479"/>
    <w:rsid w:val="008E0DC0"/>
    <w:rsid w:val="008E0DF5"/>
    <w:rsid w:val="008E3273"/>
    <w:rsid w:val="008E70D6"/>
    <w:rsid w:val="008F0AEA"/>
    <w:rsid w:val="008F0C45"/>
    <w:rsid w:val="008F6D40"/>
    <w:rsid w:val="0090185B"/>
    <w:rsid w:val="009019EF"/>
    <w:rsid w:val="00904B00"/>
    <w:rsid w:val="009112D0"/>
    <w:rsid w:val="009327AF"/>
    <w:rsid w:val="009405C8"/>
    <w:rsid w:val="00940C0F"/>
    <w:rsid w:val="00943CA7"/>
    <w:rsid w:val="00951DC3"/>
    <w:rsid w:val="00952652"/>
    <w:rsid w:val="0095548F"/>
    <w:rsid w:val="009610D9"/>
    <w:rsid w:val="00973905"/>
    <w:rsid w:val="009744C8"/>
    <w:rsid w:val="00974530"/>
    <w:rsid w:val="00980E58"/>
    <w:rsid w:val="009815BD"/>
    <w:rsid w:val="00981886"/>
    <w:rsid w:val="00986979"/>
    <w:rsid w:val="00990102"/>
    <w:rsid w:val="00990FEC"/>
    <w:rsid w:val="00992257"/>
    <w:rsid w:val="009928CD"/>
    <w:rsid w:val="009949AA"/>
    <w:rsid w:val="00995921"/>
    <w:rsid w:val="0099713F"/>
    <w:rsid w:val="009A1B08"/>
    <w:rsid w:val="009A4418"/>
    <w:rsid w:val="009A5CE4"/>
    <w:rsid w:val="009A66A5"/>
    <w:rsid w:val="009B0524"/>
    <w:rsid w:val="009C3CB9"/>
    <w:rsid w:val="009C408D"/>
    <w:rsid w:val="009C4A13"/>
    <w:rsid w:val="009C745D"/>
    <w:rsid w:val="009D50C1"/>
    <w:rsid w:val="009E2D84"/>
    <w:rsid w:val="009E68AD"/>
    <w:rsid w:val="009F1618"/>
    <w:rsid w:val="009F279E"/>
    <w:rsid w:val="009F39AC"/>
    <w:rsid w:val="009F7DE3"/>
    <w:rsid w:val="00A04C8E"/>
    <w:rsid w:val="00A07154"/>
    <w:rsid w:val="00A07B06"/>
    <w:rsid w:val="00A11624"/>
    <w:rsid w:val="00A11868"/>
    <w:rsid w:val="00A127D3"/>
    <w:rsid w:val="00A1386C"/>
    <w:rsid w:val="00A14335"/>
    <w:rsid w:val="00A14626"/>
    <w:rsid w:val="00A14B43"/>
    <w:rsid w:val="00A15EFE"/>
    <w:rsid w:val="00A166E7"/>
    <w:rsid w:val="00A178B0"/>
    <w:rsid w:val="00A2075F"/>
    <w:rsid w:val="00A23612"/>
    <w:rsid w:val="00A25152"/>
    <w:rsid w:val="00A2604E"/>
    <w:rsid w:val="00A27C67"/>
    <w:rsid w:val="00A31A17"/>
    <w:rsid w:val="00A32860"/>
    <w:rsid w:val="00A34A90"/>
    <w:rsid w:val="00A366C7"/>
    <w:rsid w:val="00A417A2"/>
    <w:rsid w:val="00A45401"/>
    <w:rsid w:val="00A52189"/>
    <w:rsid w:val="00A57463"/>
    <w:rsid w:val="00A57959"/>
    <w:rsid w:val="00A63DAF"/>
    <w:rsid w:val="00A643A2"/>
    <w:rsid w:val="00A664DF"/>
    <w:rsid w:val="00A71219"/>
    <w:rsid w:val="00A713D0"/>
    <w:rsid w:val="00A722D4"/>
    <w:rsid w:val="00A75AAA"/>
    <w:rsid w:val="00A82A29"/>
    <w:rsid w:val="00A868C3"/>
    <w:rsid w:val="00A86B6F"/>
    <w:rsid w:val="00A94F94"/>
    <w:rsid w:val="00AA516A"/>
    <w:rsid w:val="00AA5B0E"/>
    <w:rsid w:val="00AA6A4A"/>
    <w:rsid w:val="00AB4DBF"/>
    <w:rsid w:val="00AC0504"/>
    <w:rsid w:val="00AC1DB7"/>
    <w:rsid w:val="00AC24E2"/>
    <w:rsid w:val="00AC381D"/>
    <w:rsid w:val="00AC3A7C"/>
    <w:rsid w:val="00AC62A6"/>
    <w:rsid w:val="00AC664F"/>
    <w:rsid w:val="00AC750B"/>
    <w:rsid w:val="00AD13D4"/>
    <w:rsid w:val="00AD1DFC"/>
    <w:rsid w:val="00AD1E15"/>
    <w:rsid w:val="00AD6937"/>
    <w:rsid w:val="00AE02A7"/>
    <w:rsid w:val="00AE1F12"/>
    <w:rsid w:val="00AE24CC"/>
    <w:rsid w:val="00AE38C6"/>
    <w:rsid w:val="00AE4155"/>
    <w:rsid w:val="00AE4B7C"/>
    <w:rsid w:val="00AE66F6"/>
    <w:rsid w:val="00AF0AF6"/>
    <w:rsid w:val="00AF17CE"/>
    <w:rsid w:val="00AF336D"/>
    <w:rsid w:val="00AF349B"/>
    <w:rsid w:val="00AF65F0"/>
    <w:rsid w:val="00B009E9"/>
    <w:rsid w:val="00B01711"/>
    <w:rsid w:val="00B01B16"/>
    <w:rsid w:val="00B062D0"/>
    <w:rsid w:val="00B11D16"/>
    <w:rsid w:val="00B1784B"/>
    <w:rsid w:val="00B17A95"/>
    <w:rsid w:val="00B24588"/>
    <w:rsid w:val="00B253A6"/>
    <w:rsid w:val="00B25CF4"/>
    <w:rsid w:val="00B30F2D"/>
    <w:rsid w:val="00B34928"/>
    <w:rsid w:val="00B35B74"/>
    <w:rsid w:val="00B403F1"/>
    <w:rsid w:val="00B4163B"/>
    <w:rsid w:val="00B447D7"/>
    <w:rsid w:val="00B45D28"/>
    <w:rsid w:val="00B512E2"/>
    <w:rsid w:val="00B556C9"/>
    <w:rsid w:val="00B60113"/>
    <w:rsid w:val="00B6081E"/>
    <w:rsid w:val="00B61016"/>
    <w:rsid w:val="00B624EB"/>
    <w:rsid w:val="00B64C8D"/>
    <w:rsid w:val="00B71BAA"/>
    <w:rsid w:val="00B76A1F"/>
    <w:rsid w:val="00B806DD"/>
    <w:rsid w:val="00B80E54"/>
    <w:rsid w:val="00B8221E"/>
    <w:rsid w:val="00B82F8C"/>
    <w:rsid w:val="00B8460F"/>
    <w:rsid w:val="00B84D34"/>
    <w:rsid w:val="00B85549"/>
    <w:rsid w:val="00B861EC"/>
    <w:rsid w:val="00B95477"/>
    <w:rsid w:val="00BA1D81"/>
    <w:rsid w:val="00BA2296"/>
    <w:rsid w:val="00BA375E"/>
    <w:rsid w:val="00BA7130"/>
    <w:rsid w:val="00BB436B"/>
    <w:rsid w:val="00BC58DF"/>
    <w:rsid w:val="00BC63AF"/>
    <w:rsid w:val="00BC6431"/>
    <w:rsid w:val="00BD205B"/>
    <w:rsid w:val="00BD74AE"/>
    <w:rsid w:val="00BD7F03"/>
    <w:rsid w:val="00BE16BC"/>
    <w:rsid w:val="00BE3970"/>
    <w:rsid w:val="00BE3FE7"/>
    <w:rsid w:val="00BE6EDF"/>
    <w:rsid w:val="00BF2315"/>
    <w:rsid w:val="00BF2922"/>
    <w:rsid w:val="00BF2D74"/>
    <w:rsid w:val="00BF4CC8"/>
    <w:rsid w:val="00BF51ED"/>
    <w:rsid w:val="00BF75B6"/>
    <w:rsid w:val="00C02547"/>
    <w:rsid w:val="00C025C8"/>
    <w:rsid w:val="00C04E54"/>
    <w:rsid w:val="00C058D5"/>
    <w:rsid w:val="00C1124F"/>
    <w:rsid w:val="00C14903"/>
    <w:rsid w:val="00C1686C"/>
    <w:rsid w:val="00C24B31"/>
    <w:rsid w:val="00C30486"/>
    <w:rsid w:val="00C3051C"/>
    <w:rsid w:val="00C30740"/>
    <w:rsid w:val="00C30DED"/>
    <w:rsid w:val="00C32528"/>
    <w:rsid w:val="00C367A6"/>
    <w:rsid w:val="00C37BFF"/>
    <w:rsid w:val="00C42500"/>
    <w:rsid w:val="00C425AD"/>
    <w:rsid w:val="00C45F17"/>
    <w:rsid w:val="00C50BD5"/>
    <w:rsid w:val="00C50EB1"/>
    <w:rsid w:val="00C51458"/>
    <w:rsid w:val="00C51E5F"/>
    <w:rsid w:val="00C52E2C"/>
    <w:rsid w:val="00C53580"/>
    <w:rsid w:val="00C55838"/>
    <w:rsid w:val="00C56745"/>
    <w:rsid w:val="00C63C66"/>
    <w:rsid w:val="00C67035"/>
    <w:rsid w:val="00C70729"/>
    <w:rsid w:val="00C71475"/>
    <w:rsid w:val="00C76958"/>
    <w:rsid w:val="00C77EF7"/>
    <w:rsid w:val="00C80D25"/>
    <w:rsid w:val="00C82053"/>
    <w:rsid w:val="00C820F1"/>
    <w:rsid w:val="00C822C1"/>
    <w:rsid w:val="00C84936"/>
    <w:rsid w:val="00C84DE9"/>
    <w:rsid w:val="00C859F7"/>
    <w:rsid w:val="00C85A38"/>
    <w:rsid w:val="00C91512"/>
    <w:rsid w:val="00C94A53"/>
    <w:rsid w:val="00CA0DEC"/>
    <w:rsid w:val="00CA2DE2"/>
    <w:rsid w:val="00CA3A85"/>
    <w:rsid w:val="00CA6636"/>
    <w:rsid w:val="00CA6D76"/>
    <w:rsid w:val="00CA7FBE"/>
    <w:rsid w:val="00CB2E91"/>
    <w:rsid w:val="00CB400E"/>
    <w:rsid w:val="00CB51CC"/>
    <w:rsid w:val="00CB6F28"/>
    <w:rsid w:val="00CC0389"/>
    <w:rsid w:val="00CC1A72"/>
    <w:rsid w:val="00CC3633"/>
    <w:rsid w:val="00CC5692"/>
    <w:rsid w:val="00CC64E8"/>
    <w:rsid w:val="00CC65F3"/>
    <w:rsid w:val="00CD09E8"/>
    <w:rsid w:val="00CD0A18"/>
    <w:rsid w:val="00CD143D"/>
    <w:rsid w:val="00CD56E5"/>
    <w:rsid w:val="00CE0C1B"/>
    <w:rsid w:val="00CE64F2"/>
    <w:rsid w:val="00CF0C67"/>
    <w:rsid w:val="00CF0F40"/>
    <w:rsid w:val="00CF3AED"/>
    <w:rsid w:val="00CF4753"/>
    <w:rsid w:val="00CF63DF"/>
    <w:rsid w:val="00D0083B"/>
    <w:rsid w:val="00D04DF4"/>
    <w:rsid w:val="00D15403"/>
    <w:rsid w:val="00D172D8"/>
    <w:rsid w:val="00D2396F"/>
    <w:rsid w:val="00D26488"/>
    <w:rsid w:val="00D3231A"/>
    <w:rsid w:val="00D35B2D"/>
    <w:rsid w:val="00D37FE5"/>
    <w:rsid w:val="00D44183"/>
    <w:rsid w:val="00D44A55"/>
    <w:rsid w:val="00D47931"/>
    <w:rsid w:val="00D47B74"/>
    <w:rsid w:val="00D47F3F"/>
    <w:rsid w:val="00D5276C"/>
    <w:rsid w:val="00D606E4"/>
    <w:rsid w:val="00D61B79"/>
    <w:rsid w:val="00D62C84"/>
    <w:rsid w:val="00D6384D"/>
    <w:rsid w:val="00D6477A"/>
    <w:rsid w:val="00D653F3"/>
    <w:rsid w:val="00D65EC2"/>
    <w:rsid w:val="00D66B24"/>
    <w:rsid w:val="00D67307"/>
    <w:rsid w:val="00D73DF8"/>
    <w:rsid w:val="00D74585"/>
    <w:rsid w:val="00D751EB"/>
    <w:rsid w:val="00D763FD"/>
    <w:rsid w:val="00D7708C"/>
    <w:rsid w:val="00D776AF"/>
    <w:rsid w:val="00D80EA7"/>
    <w:rsid w:val="00D85E13"/>
    <w:rsid w:val="00D8600E"/>
    <w:rsid w:val="00D86288"/>
    <w:rsid w:val="00D872BC"/>
    <w:rsid w:val="00D872D9"/>
    <w:rsid w:val="00D900CF"/>
    <w:rsid w:val="00D954AE"/>
    <w:rsid w:val="00D96929"/>
    <w:rsid w:val="00DA1B6F"/>
    <w:rsid w:val="00DA529F"/>
    <w:rsid w:val="00DB0DD8"/>
    <w:rsid w:val="00DB2E03"/>
    <w:rsid w:val="00DB5AAE"/>
    <w:rsid w:val="00DB636B"/>
    <w:rsid w:val="00DB6882"/>
    <w:rsid w:val="00DC4B63"/>
    <w:rsid w:val="00DC5017"/>
    <w:rsid w:val="00DC5129"/>
    <w:rsid w:val="00DD7F1B"/>
    <w:rsid w:val="00DE1A87"/>
    <w:rsid w:val="00DE451F"/>
    <w:rsid w:val="00DF0364"/>
    <w:rsid w:val="00DF41ED"/>
    <w:rsid w:val="00DF4921"/>
    <w:rsid w:val="00DF5B46"/>
    <w:rsid w:val="00E03D2D"/>
    <w:rsid w:val="00E12A7A"/>
    <w:rsid w:val="00E27FD6"/>
    <w:rsid w:val="00E36A0F"/>
    <w:rsid w:val="00E400C7"/>
    <w:rsid w:val="00E40322"/>
    <w:rsid w:val="00E40CB4"/>
    <w:rsid w:val="00E40CB7"/>
    <w:rsid w:val="00E4153D"/>
    <w:rsid w:val="00E41DB9"/>
    <w:rsid w:val="00E478C8"/>
    <w:rsid w:val="00E56612"/>
    <w:rsid w:val="00E566A3"/>
    <w:rsid w:val="00E60A4F"/>
    <w:rsid w:val="00E63808"/>
    <w:rsid w:val="00E71CC0"/>
    <w:rsid w:val="00E730CB"/>
    <w:rsid w:val="00E731AE"/>
    <w:rsid w:val="00E74310"/>
    <w:rsid w:val="00E762BB"/>
    <w:rsid w:val="00E865C8"/>
    <w:rsid w:val="00E8661B"/>
    <w:rsid w:val="00E87A8A"/>
    <w:rsid w:val="00E9084E"/>
    <w:rsid w:val="00E94A54"/>
    <w:rsid w:val="00E962E6"/>
    <w:rsid w:val="00E97D7C"/>
    <w:rsid w:val="00EA1793"/>
    <w:rsid w:val="00EA27C1"/>
    <w:rsid w:val="00EA689F"/>
    <w:rsid w:val="00EB1B49"/>
    <w:rsid w:val="00EB2F0C"/>
    <w:rsid w:val="00EC1434"/>
    <w:rsid w:val="00EC3C9F"/>
    <w:rsid w:val="00EC4FC5"/>
    <w:rsid w:val="00EC72B0"/>
    <w:rsid w:val="00EC77B3"/>
    <w:rsid w:val="00EC799B"/>
    <w:rsid w:val="00ED0142"/>
    <w:rsid w:val="00ED05F9"/>
    <w:rsid w:val="00EE04B1"/>
    <w:rsid w:val="00EE18F2"/>
    <w:rsid w:val="00EE277D"/>
    <w:rsid w:val="00EE365D"/>
    <w:rsid w:val="00EE74F3"/>
    <w:rsid w:val="00EF33BE"/>
    <w:rsid w:val="00EF4F97"/>
    <w:rsid w:val="00EF7C11"/>
    <w:rsid w:val="00F00E6F"/>
    <w:rsid w:val="00F03DD4"/>
    <w:rsid w:val="00F05673"/>
    <w:rsid w:val="00F126FC"/>
    <w:rsid w:val="00F12983"/>
    <w:rsid w:val="00F15359"/>
    <w:rsid w:val="00F164C4"/>
    <w:rsid w:val="00F175C4"/>
    <w:rsid w:val="00F17CE2"/>
    <w:rsid w:val="00F23714"/>
    <w:rsid w:val="00F245A2"/>
    <w:rsid w:val="00F309CB"/>
    <w:rsid w:val="00F31ACB"/>
    <w:rsid w:val="00F32B03"/>
    <w:rsid w:val="00F33EED"/>
    <w:rsid w:val="00F33EEE"/>
    <w:rsid w:val="00F34068"/>
    <w:rsid w:val="00F375FB"/>
    <w:rsid w:val="00F37677"/>
    <w:rsid w:val="00F37B05"/>
    <w:rsid w:val="00F44A0E"/>
    <w:rsid w:val="00F44FC2"/>
    <w:rsid w:val="00F4763C"/>
    <w:rsid w:val="00F540BA"/>
    <w:rsid w:val="00F570F0"/>
    <w:rsid w:val="00F60E60"/>
    <w:rsid w:val="00F64069"/>
    <w:rsid w:val="00F64D6D"/>
    <w:rsid w:val="00F654D4"/>
    <w:rsid w:val="00F6574C"/>
    <w:rsid w:val="00F66182"/>
    <w:rsid w:val="00F71399"/>
    <w:rsid w:val="00F82EE1"/>
    <w:rsid w:val="00F842B8"/>
    <w:rsid w:val="00F866C9"/>
    <w:rsid w:val="00F93134"/>
    <w:rsid w:val="00F93EC2"/>
    <w:rsid w:val="00FA2803"/>
    <w:rsid w:val="00FB078F"/>
    <w:rsid w:val="00FB0A35"/>
    <w:rsid w:val="00FB3586"/>
    <w:rsid w:val="00FB4999"/>
    <w:rsid w:val="00FC3F00"/>
    <w:rsid w:val="00FC750D"/>
    <w:rsid w:val="00FD0EA3"/>
    <w:rsid w:val="00FD1ED0"/>
    <w:rsid w:val="00FD5CBC"/>
    <w:rsid w:val="00FE17CC"/>
    <w:rsid w:val="00FE34E4"/>
    <w:rsid w:val="00FE5D32"/>
    <w:rsid w:val="00FE6367"/>
    <w:rsid w:val="00FF1D71"/>
    <w:rsid w:val="00FF5141"/>
    <w:rsid w:val="00FF52AE"/>
    <w:rsid w:val="0150F23C"/>
    <w:rsid w:val="0165C0A2"/>
    <w:rsid w:val="02361C8C"/>
    <w:rsid w:val="02BC052D"/>
    <w:rsid w:val="02DEA4E6"/>
    <w:rsid w:val="0310494D"/>
    <w:rsid w:val="049B92DE"/>
    <w:rsid w:val="04B03DF6"/>
    <w:rsid w:val="04C86B4E"/>
    <w:rsid w:val="05074556"/>
    <w:rsid w:val="05F9B8B4"/>
    <w:rsid w:val="05FBA5CF"/>
    <w:rsid w:val="0618EBAA"/>
    <w:rsid w:val="061F8014"/>
    <w:rsid w:val="069CB28C"/>
    <w:rsid w:val="07B28F09"/>
    <w:rsid w:val="08585E03"/>
    <w:rsid w:val="086F3F57"/>
    <w:rsid w:val="08CE570B"/>
    <w:rsid w:val="09E94EFF"/>
    <w:rsid w:val="0A2E8201"/>
    <w:rsid w:val="0AF835D9"/>
    <w:rsid w:val="0B93A992"/>
    <w:rsid w:val="0BFB4FEC"/>
    <w:rsid w:val="0BFC081D"/>
    <w:rsid w:val="0D5E7CF0"/>
    <w:rsid w:val="0D9027FA"/>
    <w:rsid w:val="0DB0F6B3"/>
    <w:rsid w:val="0E299198"/>
    <w:rsid w:val="0F8EEAAC"/>
    <w:rsid w:val="0FC4AA08"/>
    <w:rsid w:val="1045B40B"/>
    <w:rsid w:val="107F1EFF"/>
    <w:rsid w:val="147BF9A3"/>
    <w:rsid w:val="15DF01DE"/>
    <w:rsid w:val="16196C8A"/>
    <w:rsid w:val="165915AB"/>
    <w:rsid w:val="168D589F"/>
    <w:rsid w:val="16B5A27A"/>
    <w:rsid w:val="17749E81"/>
    <w:rsid w:val="17F35275"/>
    <w:rsid w:val="194F6AC6"/>
    <w:rsid w:val="1B4FD258"/>
    <w:rsid w:val="1C3BBE74"/>
    <w:rsid w:val="1C4FE28C"/>
    <w:rsid w:val="1C94BA8A"/>
    <w:rsid w:val="1CD53CE3"/>
    <w:rsid w:val="1D76BE8C"/>
    <w:rsid w:val="1E23B990"/>
    <w:rsid w:val="1EC5DD49"/>
    <w:rsid w:val="1FBF89F1"/>
    <w:rsid w:val="1FE428A6"/>
    <w:rsid w:val="20B720BA"/>
    <w:rsid w:val="20C8080D"/>
    <w:rsid w:val="215B5A52"/>
    <w:rsid w:val="21853056"/>
    <w:rsid w:val="22D8E2EA"/>
    <w:rsid w:val="2373BC2C"/>
    <w:rsid w:val="23ED0EF4"/>
    <w:rsid w:val="242D914D"/>
    <w:rsid w:val="245B0F0F"/>
    <w:rsid w:val="251BEEE8"/>
    <w:rsid w:val="2547A327"/>
    <w:rsid w:val="255DA2D4"/>
    <w:rsid w:val="25C961AE"/>
    <w:rsid w:val="264FB5CD"/>
    <w:rsid w:val="2662F6CC"/>
    <w:rsid w:val="26C41655"/>
    <w:rsid w:val="273B0C95"/>
    <w:rsid w:val="27658342"/>
    <w:rsid w:val="28389230"/>
    <w:rsid w:val="2846B374"/>
    <w:rsid w:val="28667B7D"/>
    <w:rsid w:val="2956206E"/>
    <w:rsid w:val="2B904BD2"/>
    <w:rsid w:val="2CA98351"/>
    <w:rsid w:val="2D24A135"/>
    <w:rsid w:val="2E4553B2"/>
    <w:rsid w:val="2E477A49"/>
    <w:rsid w:val="2ED49E65"/>
    <w:rsid w:val="2EE62440"/>
    <w:rsid w:val="2F0D8784"/>
    <w:rsid w:val="2F15DBC6"/>
    <w:rsid w:val="2F261417"/>
    <w:rsid w:val="2FFF6FB6"/>
    <w:rsid w:val="34580A7C"/>
    <w:rsid w:val="34BB335E"/>
    <w:rsid w:val="34EF1E99"/>
    <w:rsid w:val="35C4DF18"/>
    <w:rsid w:val="36307F9F"/>
    <w:rsid w:val="36CAD848"/>
    <w:rsid w:val="3BBB0EF3"/>
    <w:rsid w:val="3CE0670C"/>
    <w:rsid w:val="3CE94BDB"/>
    <w:rsid w:val="3D176554"/>
    <w:rsid w:val="3D3A19CC"/>
    <w:rsid w:val="3D9A8CB5"/>
    <w:rsid w:val="3F31E01D"/>
    <w:rsid w:val="40CA6F92"/>
    <w:rsid w:val="40CAFFA2"/>
    <w:rsid w:val="4217F350"/>
    <w:rsid w:val="42AC0D0A"/>
    <w:rsid w:val="438F9754"/>
    <w:rsid w:val="44A08B00"/>
    <w:rsid w:val="4548C8DC"/>
    <w:rsid w:val="45BE7BF3"/>
    <w:rsid w:val="477FD93D"/>
    <w:rsid w:val="4922DB51"/>
    <w:rsid w:val="4978BC43"/>
    <w:rsid w:val="4A0BF9F8"/>
    <w:rsid w:val="4A1C39FF"/>
    <w:rsid w:val="4AA25E9F"/>
    <w:rsid w:val="4B54BA52"/>
    <w:rsid w:val="4D0D6D47"/>
    <w:rsid w:val="4E763C68"/>
    <w:rsid w:val="4EE34343"/>
    <w:rsid w:val="50282B75"/>
    <w:rsid w:val="50378267"/>
    <w:rsid w:val="50BF72DF"/>
    <w:rsid w:val="50CA7767"/>
    <w:rsid w:val="516278EE"/>
    <w:rsid w:val="51B28E2E"/>
    <w:rsid w:val="51EF7A1A"/>
    <w:rsid w:val="5238B98C"/>
    <w:rsid w:val="54C9162E"/>
    <w:rsid w:val="5524EC81"/>
    <w:rsid w:val="55ED9F3E"/>
    <w:rsid w:val="564E98E0"/>
    <w:rsid w:val="5653D8D9"/>
    <w:rsid w:val="5671D160"/>
    <w:rsid w:val="582AFF86"/>
    <w:rsid w:val="58ABA058"/>
    <w:rsid w:val="5B3E3E7A"/>
    <w:rsid w:val="5B62A048"/>
    <w:rsid w:val="5B965C60"/>
    <w:rsid w:val="5BB1EA6D"/>
    <w:rsid w:val="5C54D0C1"/>
    <w:rsid w:val="5D1E7BD7"/>
    <w:rsid w:val="5D2C8F2C"/>
    <w:rsid w:val="5E7753AC"/>
    <w:rsid w:val="5F71ABEF"/>
    <w:rsid w:val="5F8CF385"/>
    <w:rsid w:val="6005FBC4"/>
    <w:rsid w:val="60202400"/>
    <w:rsid w:val="60AD9582"/>
    <w:rsid w:val="61E20D26"/>
    <w:rsid w:val="6277F6FC"/>
    <w:rsid w:val="62F960D7"/>
    <w:rsid w:val="63CE9A9F"/>
    <w:rsid w:val="63E53644"/>
    <w:rsid w:val="64164094"/>
    <w:rsid w:val="64975C47"/>
    <w:rsid w:val="64BD4124"/>
    <w:rsid w:val="653D58FE"/>
    <w:rsid w:val="655A3041"/>
    <w:rsid w:val="65B9A2B8"/>
    <w:rsid w:val="66310199"/>
    <w:rsid w:val="66D3FE0B"/>
    <w:rsid w:val="67557319"/>
    <w:rsid w:val="67CEFD09"/>
    <w:rsid w:val="6878A8A6"/>
    <w:rsid w:val="6A84891A"/>
    <w:rsid w:val="6B7C829C"/>
    <w:rsid w:val="6BB04968"/>
    <w:rsid w:val="6D52CCCC"/>
    <w:rsid w:val="6E072668"/>
    <w:rsid w:val="728620A0"/>
    <w:rsid w:val="73470079"/>
    <w:rsid w:val="745ADA20"/>
    <w:rsid w:val="75B8F547"/>
    <w:rsid w:val="761118E9"/>
    <w:rsid w:val="764F4F95"/>
    <w:rsid w:val="77189FEF"/>
    <w:rsid w:val="774D29E4"/>
    <w:rsid w:val="78661771"/>
    <w:rsid w:val="78D4FB9D"/>
    <w:rsid w:val="7A448487"/>
    <w:rsid w:val="7B52B354"/>
    <w:rsid w:val="7CA82F0D"/>
    <w:rsid w:val="7CDFB9BB"/>
    <w:rsid w:val="7D1BF9BE"/>
    <w:rsid w:val="7DFD538E"/>
    <w:rsid w:val="7E42E056"/>
    <w:rsid w:val="7E461DF2"/>
    <w:rsid w:val="7F2EFC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CB1AB2FF-41FD-4397-9646-B2D541B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17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6667"/>
    <w:rPr>
      <w:color w:val="2B579A"/>
      <w:shd w:val="clear" w:color="auto" w:fill="E1DFDD"/>
    </w:rPr>
  </w:style>
  <w:style w:type="table" w:customStyle="1" w:styleId="TableGrid1">
    <w:name w:val="Table Grid1"/>
    <w:basedOn w:val="TableNormal"/>
    <w:next w:val="TableGrid"/>
    <w:uiPriority w:val="39"/>
    <w:rsid w:val="00A2075F"/>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C64E8"/>
    <w:pPr>
      <w:spacing w:after="120"/>
    </w:pPr>
  </w:style>
  <w:style w:type="character" w:customStyle="1" w:styleId="BodyTextChar">
    <w:name w:val="Body Text Char"/>
    <w:basedOn w:val="DefaultParagraphFont"/>
    <w:link w:val="BodyText"/>
    <w:uiPriority w:val="99"/>
    <w:semiHidden/>
    <w:rsid w:val="00CC64E8"/>
    <w:rPr>
      <w:rFonts w:ascii="Times New Roman" w:eastAsia="Times New Roman" w:hAnsi="Times New Roman" w:cs="Times New Roman"/>
      <w:sz w:val="26"/>
      <w:szCs w:val="24"/>
    </w:rPr>
  </w:style>
  <w:style w:type="table" w:customStyle="1" w:styleId="TableGrid2">
    <w:name w:val="Table Grid2"/>
    <w:basedOn w:val="TableNormal"/>
    <w:next w:val="TableGrid"/>
    <w:uiPriority w:val="39"/>
    <w:rsid w:val="00CB400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13B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link w:val="FERCparanumberChar"/>
    <w:qFormat/>
    <w:rsid w:val="00C24B31"/>
    <w:pPr>
      <w:numPr>
        <w:numId w:val="20"/>
      </w:numPr>
      <w:tabs>
        <w:tab w:val="num" w:pos="720"/>
        <w:tab w:val="clear" w:pos="990"/>
      </w:tabs>
      <w:spacing w:after="260"/>
      <w:ind w:left="0"/>
    </w:pPr>
    <w:rPr>
      <w:rFonts w:eastAsiaTheme="minorHAnsi"/>
      <w:szCs w:val="22"/>
    </w:rPr>
  </w:style>
  <w:style w:type="character" w:customStyle="1" w:styleId="FERCparanumberChar">
    <w:name w:val="FERC paranumber Char"/>
    <w:basedOn w:val="DefaultParagraphFont"/>
    <w:link w:val="FERCparanumber"/>
    <w:rsid w:val="00C24B31"/>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508-1902-004"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51187-BAD6-4971-9A92-08E565341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D3DBD-51BB-41DA-9723-C5805A4A6A6F}">
  <ds:schemaRefs>
    <ds:schemaRef ds:uri="Microsoft.SharePoint.Taxonomy.ContentTypeSync"/>
  </ds:schemaRefs>
</ds:datastoreItem>
</file>

<file path=customXml/itemProps3.xml><?xml version="1.0" encoding="utf-8"?>
<ds:datastoreItem xmlns:ds="http://schemas.openxmlformats.org/officeDocument/2006/customXml" ds:itemID="{05E7257C-7E32-4D01-B6C7-3E2DD053E99E}">
  <ds:schemaRefs>
    <ds:schemaRef ds:uri="http://schemas.microsoft.com/sharepoint/v3/contenttype/forms"/>
  </ds:schemaRefs>
</ds:datastoreItem>
</file>

<file path=customXml/itemProps4.xml><?xml version="1.0" encoding="utf-8"?>
<ds:datastoreItem xmlns:ds="http://schemas.openxmlformats.org/officeDocument/2006/customXml" ds:itemID="{DB86C259-A4C0-4411-8BD7-EF5D9CA4EF73}">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www.w3.org/XML/1998/namespace"/>
  </ds:schemaRefs>
</ds:datastoreItem>
</file>

<file path=customXml/itemProps5.xml><?xml version="1.0" encoding="utf-8"?>
<ds:datastoreItem xmlns:ds="http://schemas.openxmlformats.org/officeDocument/2006/customXml" ds:itemID="{5598692B-4D65-4C57-AA09-318BB42D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1333</Words>
  <Characters>7602</Characters>
  <Application>Microsoft Office Word</Application>
  <DocSecurity>0</DocSecurity>
  <Lines>63</Lines>
  <Paragraphs>17</Paragraphs>
  <ScaleCrop>false</ScaleCrop>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2026-03-18T00:13:00Z</dcterms:created>
  <dcterms:modified xsi:type="dcterms:W3CDTF">2026-03-18T00:13:00Z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84576f5a-609a-4cb9-ab23-34a5634e794b</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2026-03-18T00:12:47Z</vt:lpwstr>
  </property>
  <property fmtid="{D5CDD505-2E9C-101B-9397-08002B2CF9AE}" pid="8" name="MSIP_Label_bd24d06a-0e85-4d57-b1e0-ba34b1abc708_SiteId">
    <vt:lpwstr>19caa9e9-04ff-43fa-885f-d77fac387903</vt:lpwstr>
  </property>
</Properties>
</file>