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FC0" w:rsidRPr="00045FB5" w:rsidP="00B337A9" w14:paraId="791796F5" w14:textId="0F7610A6">
      <w:pPr>
        <w:tabs>
          <w:tab w:val="center" w:pos="4680"/>
        </w:tabs>
        <w:spacing w:after="0" w:line="259" w:lineRule="auto"/>
        <w:ind w:left="356" w:firstLine="0"/>
        <w:jc w:val="center"/>
        <w:rPr>
          <w:b/>
        </w:rPr>
      </w:pPr>
      <w:r w:rsidRPr="00045FB5">
        <w:rPr>
          <w:b/>
          <w:bCs/>
        </w:rPr>
        <w:t xml:space="preserve">Supporting Statement for </w:t>
      </w:r>
      <w:r w:rsidRPr="00045FB5" w:rsidR="008C5044">
        <w:rPr>
          <w:b/>
          <w:bCs/>
        </w:rPr>
        <w:t>proposed revision</w:t>
      </w:r>
      <w:r w:rsidRPr="00045FB5" w:rsidR="001A6B53">
        <w:rPr>
          <w:b/>
          <w:bCs/>
        </w:rPr>
        <w:t xml:space="preserve"> of</w:t>
      </w:r>
      <w:r w:rsidRPr="00045FB5" w:rsidR="008C5044">
        <w:rPr>
          <w:b/>
          <w:bCs/>
        </w:rPr>
        <w:t xml:space="preserve"> </w:t>
      </w:r>
      <w:r w:rsidRPr="00045FB5">
        <w:rPr>
          <w:b/>
        </w:rPr>
        <w:t>FERC-516 (Electric Rate Schedules and Tariff Filings)</w:t>
      </w:r>
      <w:r w:rsidRPr="00045FB5" w:rsidR="00DE2487">
        <w:rPr>
          <w:b/>
        </w:rPr>
        <w:t xml:space="preserve"> </w:t>
      </w:r>
      <w:r w:rsidRPr="00045FB5" w:rsidR="001A6B53">
        <w:rPr>
          <w:b/>
        </w:rPr>
        <w:t>from Docket No. RM22-2-000</w:t>
      </w:r>
    </w:p>
    <w:p w:rsidR="00DD755B" w:rsidRPr="00045FB5" w14:paraId="541CF329" w14:textId="315C0E01">
      <w:pPr>
        <w:spacing w:after="0" w:line="259" w:lineRule="auto"/>
        <w:ind w:left="590" w:firstLine="0"/>
        <w:jc w:val="center"/>
        <w:outlineLvl w:val="4"/>
      </w:pPr>
    </w:p>
    <w:p w:rsidR="009D15E5" w:rsidRPr="00045FB5" w:rsidP="009D15E5" w14:paraId="44250704" w14:textId="2FE7C550">
      <w:pPr>
        <w:suppressAutoHyphens/>
        <w:spacing w:after="0" w:line="240" w:lineRule="auto"/>
        <w:ind w:left="0" w:firstLine="0"/>
      </w:pPr>
      <w:r w:rsidRPr="00045FB5">
        <w:t xml:space="preserve">The Federal Energy Regulatory Commission (Commission or FERC) requests that the Office of Management and Budget (OMB) review the modification of the information collection requirements in FERC-516 “Electric Rates and Tariffs” (Expires 11/30/2026). </w:t>
      </w:r>
    </w:p>
    <w:p w:rsidR="009D15E5" w:rsidRPr="00045FB5" w:rsidP="009D15E5" w14:paraId="5B8B03E9" w14:textId="77777777">
      <w:pPr>
        <w:suppressAutoHyphens/>
        <w:spacing w:after="0" w:line="240" w:lineRule="auto"/>
        <w:ind w:left="0" w:firstLine="0"/>
      </w:pPr>
    </w:p>
    <w:p w:rsidR="009D15E5" w:rsidRPr="00045FB5" w:rsidP="009D15E5" w14:paraId="7F21EB37" w14:textId="67C33D50">
      <w:pPr>
        <w:suppressAutoHyphens/>
        <w:spacing w:after="0" w:line="240" w:lineRule="auto"/>
        <w:ind w:left="0" w:firstLine="0"/>
      </w:pPr>
      <w:r w:rsidRPr="00045FB5">
        <w:t xml:space="preserve">The changes to the </w:t>
      </w:r>
      <w:r w:rsidR="008312F9">
        <w:t xml:space="preserve"> FERC-</w:t>
      </w:r>
      <w:r w:rsidRPr="00045FB5">
        <w:t xml:space="preserve">516 are a result of the </w:t>
      </w:r>
      <w:r w:rsidRPr="00045FB5" w:rsidR="00F21159">
        <w:t>Final Rule</w:t>
      </w:r>
      <w:r w:rsidRPr="00045FB5">
        <w:t xml:space="preserve"> in Docket No. RM22-2-000.</w:t>
      </w:r>
      <w:r w:rsidRPr="00045FB5" w:rsidR="008851FE">
        <w:t xml:space="preserve"> </w:t>
      </w:r>
      <w:r w:rsidRPr="00045FB5">
        <w:t xml:space="preserve"> </w:t>
      </w:r>
      <w:r w:rsidRPr="00045FB5" w:rsidR="008016A9">
        <w:rPr>
          <w:bCs/>
        </w:rPr>
        <w:t xml:space="preserve">The revisions included in RM22-2-000 require respondents to update their </w:t>
      </w:r>
      <w:r w:rsidRPr="00045FB5" w:rsidR="00551767">
        <w:rPr>
          <w:bCs/>
          <w:i/>
          <w:iCs/>
        </w:rPr>
        <w:t xml:space="preserve">pro forma </w:t>
      </w:r>
      <w:r w:rsidRPr="00045FB5" w:rsidR="008016A9">
        <w:rPr>
          <w:bCs/>
        </w:rPr>
        <w:t xml:space="preserve">Open Access Transmission Tariffs (OATTs), </w:t>
      </w:r>
      <w:r w:rsidRPr="00045FB5" w:rsidR="00C0463E">
        <w:rPr>
          <w:bCs/>
          <w:i/>
          <w:iCs/>
        </w:rPr>
        <w:t xml:space="preserve">pro forma </w:t>
      </w:r>
      <w:r w:rsidRPr="00045FB5" w:rsidR="008016A9">
        <w:rPr>
          <w:bCs/>
        </w:rPr>
        <w:t xml:space="preserve">Large Generator Interconnection Agreements (LGIAs), and </w:t>
      </w:r>
      <w:r w:rsidRPr="00045FB5" w:rsidR="00C0463E">
        <w:rPr>
          <w:bCs/>
          <w:i/>
          <w:iCs/>
        </w:rPr>
        <w:t xml:space="preserve">pro forma </w:t>
      </w:r>
      <w:r w:rsidRPr="00045FB5" w:rsidR="008016A9">
        <w:rPr>
          <w:bCs/>
        </w:rPr>
        <w:t>Small Generator Interconnection Agreements (SGIAs) and require a compliance filing to be submitted to the Commission.</w:t>
      </w:r>
      <w:r w:rsidRPr="00045FB5">
        <w:t xml:space="preserve"> </w:t>
      </w:r>
      <w:r w:rsidRPr="00045FB5" w:rsidR="00177CC2">
        <w:t xml:space="preserve">This supplemental statement pertains to the </w:t>
      </w:r>
      <w:r w:rsidRPr="00045FB5" w:rsidR="00177CC2">
        <w:rPr>
          <w:i/>
          <w:iCs/>
        </w:rPr>
        <w:t>pro forma</w:t>
      </w:r>
      <w:r w:rsidRPr="00045FB5" w:rsidR="00177CC2">
        <w:t xml:space="preserve"> LGIAs.</w:t>
      </w:r>
    </w:p>
    <w:p w:rsidR="00DD755B" w:rsidRPr="00045FB5" w:rsidP="00D55A35" w14:paraId="7AC544E1" w14:textId="77777777">
      <w:pPr>
        <w:suppressAutoHyphens/>
        <w:spacing w:after="0" w:line="240" w:lineRule="auto"/>
        <w:ind w:left="0" w:firstLine="0"/>
        <w:rPr>
          <w:b/>
        </w:rPr>
      </w:pPr>
      <w:r w:rsidRPr="00045FB5">
        <w:rPr>
          <w:b/>
        </w:rPr>
        <w:t xml:space="preserve"> </w:t>
      </w:r>
    </w:p>
    <w:p w:rsidR="00241151" w:rsidRPr="00045FB5" w:rsidP="00A67B72" w14:paraId="3B74F72B" w14:textId="1121B7CB">
      <w:pPr>
        <w:pStyle w:val="Heading1"/>
        <w:numPr>
          <w:ilvl w:val="0"/>
          <w:numId w:val="2"/>
        </w:numPr>
        <w:ind w:left="720" w:hanging="648"/>
      </w:pPr>
      <w:r w:rsidRPr="00045FB5">
        <w:t xml:space="preserve">CIRCUMSTANCES THAT MAKE THE COLLECTION OF INFORMATION NECESSARY </w:t>
      </w:r>
    </w:p>
    <w:p w:rsidR="00E20EA7" w:rsidRPr="00045FB5" w:rsidP="005236F6" w14:paraId="547A9A5C" w14:textId="77777777">
      <w:pPr>
        <w:widowControl w:val="0"/>
        <w:tabs>
          <w:tab w:val="left" w:pos="-1440"/>
        </w:tabs>
        <w:suppressAutoHyphens/>
        <w:autoSpaceDE w:val="0"/>
        <w:autoSpaceDN w:val="0"/>
        <w:adjustRightInd w:val="0"/>
        <w:spacing w:after="0" w:line="240" w:lineRule="auto"/>
        <w:ind w:left="0" w:firstLine="0"/>
        <w:rPr>
          <w:rFonts w:eastAsia="Arial Unicode MS"/>
          <w:bCs/>
          <w:color w:val="auto"/>
        </w:rPr>
      </w:pPr>
      <w:bookmarkStart w:id="0" w:name="_Hlk161147264"/>
    </w:p>
    <w:p w:rsidR="005236F6" w:rsidRPr="00045FB5" w:rsidP="005236F6" w14:paraId="69017021" w14:textId="06B001B4">
      <w:pPr>
        <w:widowControl w:val="0"/>
        <w:tabs>
          <w:tab w:val="left" w:pos="-1440"/>
        </w:tabs>
        <w:suppressAutoHyphens/>
        <w:autoSpaceDE w:val="0"/>
        <w:autoSpaceDN w:val="0"/>
        <w:adjustRightInd w:val="0"/>
        <w:spacing w:after="0" w:line="240" w:lineRule="auto"/>
        <w:ind w:left="0" w:firstLine="0"/>
        <w:rPr>
          <w:rFonts w:eastAsia="Arial Unicode MS"/>
          <w:bCs/>
          <w:color w:val="auto"/>
        </w:rPr>
      </w:pPr>
      <w:bookmarkStart w:id="1" w:name="_Hlk161149181"/>
      <w:r w:rsidRPr="00045FB5">
        <w:rPr>
          <w:rFonts w:eastAsia="Arial Unicode MS"/>
          <w:bCs/>
          <w:color w:val="auto"/>
        </w:rPr>
        <w:t>The Federal Power Act (FPA)</w:t>
      </w:r>
      <w:r>
        <w:rPr>
          <w:rFonts w:eastAsia="Arial Unicode MS"/>
          <w:b/>
          <w:color w:val="auto"/>
          <w:vertAlign w:val="superscript"/>
        </w:rPr>
        <w:footnoteReference w:id="3"/>
      </w:r>
      <w:r w:rsidRPr="00045FB5">
        <w:rPr>
          <w:rFonts w:eastAsia="Arial Unicode MS"/>
          <w:bCs/>
          <w:color w:val="auto"/>
        </w:rPr>
        <w:t xml:space="preserve"> requires respondents that are subject to 18 CFR 35.28 to submit compliance filings. </w:t>
      </w:r>
      <w:r w:rsidRPr="00045FB5" w:rsidR="00174DCA">
        <w:rPr>
          <w:rFonts w:eastAsia="Arial Unicode MS"/>
          <w:bCs/>
          <w:color w:val="auto"/>
        </w:rPr>
        <w:t xml:space="preserve"> </w:t>
      </w:r>
      <w:r w:rsidRPr="00045FB5">
        <w:rPr>
          <w:rFonts w:eastAsia="Arial Unicode MS"/>
          <w:color w:val="auto"/>
        </w:rPr>
        <w:t>The regulation at 18 CFR 35.28, which pertains to non-discriminatory OATTs, applies to:</w:t>
      </w:r>
    </w:p>
    <w:p w:rsidR="005236F6" w:rsidRPr="00045FB5" w:rsidP="005236F6" w14:paraId="773793CD" w14:textId="77777777">
      <w:pPr>
        <w:widowControl w:val="0"/>
        <w:tabs>
          <w:tab w:val="left" w:pos="-1440"/>
        </w:tabs>
        <w:suppressAutoHyphens/>
        <w:autoSpaceDE w:val="0"/>
        <w:autoSpaceDN w:val="0"/>
        <w:adjustRightInd w:val="0"/>
        <w:spacing w:after="0" w:line="240" w:lineRule="auto"/>
        <w:ind w:left="0" w:firstLine="0"/>
        <w:rPr>
          <w:rFonts w:eastAsia="Arial Unicode MS"/>
          <w:color w:val="auto"/>
        </w:rPr>
      </w:pPr>
    </w:p>
    <w:p w:rsidR="005236F6" w:rsidRPr="00045FB5" w:rsidP="005236F6" w14:paraId="2A2E1C4E" w14:textId="77777777">
      <w:pPr>
        <w:widowControl w:val="0"/>
        <w:numPr>
          <w:ilvl w:val="0"/>
          <w:numId w:val="48"/>
        </w:numPr>
        <w:tabs>
          <w:tab w:val="left" w:pos="-1440"/>
        </w:tabs>
        <w:suppressAutoHyphens/>
        <w:autoSpaceDE w:val="0"/>
        <w:autoSpaceDN w:val="0"/>
        <w:adjustRightInd w:val="0"/>
        <w:spacing w:after="0" w:line="240" w:lineRule="auto"/>
        <w:rPr>
          <w:rFonts w:eastAsia="Arial Unicode MS"/>
          <w:color w:val="auto"/>
        </w:rPr>
      </w:pPr>
      <w:r w:rsidRPr="00045FB5">
        <w:rPr>
          <w:rFonts w:eastAsia="Arial Unicode MS"/>
          <w:color w:val="auto"/>
        </w:rPr>
        <w:t>Commission-jurisdictional public utilities that own, control, or operate facilities used for the transmission of electric energy in interstate commerce; and</w:t>
      </w:r>
    </w:p>
    <w:p w:rsidR="005236F6" w:rsidRPr="00045FB5" w:rsidP="005236F6" w14:paraId="4600A77D" w14:textId="77601207">
      <w:pPr>
        <w:widowControl w:val="0"/>
        <w:numPr>
          <w:ilvl w:val="0"/>
          <w:numId w:val="48"/>
        </w:numPr>
        <w:tabs>
          <w:tab w:val="left" w:pos="-1440"/>
        </w:tabs>
        <w:suppressAutoHyphens/>
        <w:autoSpaceDE w:val="0"/>
        <w:autoSpaceDN w:val="0"/>
        <w:adjustRightInd w:val="0"/>
        <w:spacing w:after="0" w:line="240" w:lineRule="auto"/>
        <w:rPr>
          <w:rFonts w:eastAsia="Arial Unicode MS"/>
          <w:color w:val="auto"/>
        </w:rPr>
      </w:pPr>
      <w:r w:rsidRPr="00045FB5">
        <w:rPr>
          <w:rFonts w:eastAsia="Arial Unicode MS"/>
          <w:color w:val="auto"/>
        </w:rPr>
        <w:t>Non-jurisdictional utilities that seek voluntary compliance with jurisdictional transmission tariff reciprocity conditions.</w:t>
      </w:r>
    </w:p>
    <w:p w:rsidR="005236F6" w:rsidRPr="00045FB5" w:rsidP="005236F6" w14:paraId="3BA07CF8" w14:textId="77777777">
      <w:pPr>
        <w:widowControl w:val="0"/>
        <w:tabs>
          <w:tab w:val="left" w:pos="-1440"/>
        </w:tabs>
        <w:suppressAutoHyphens/>
        <w:autoSpaceDE w:val="0"/>
        <w:autoSpaceDN w:val="0"/>
        <w:adjustRightInd w:val="0"/>
        <w:spacing w:after="0" w:line="240" w:lineRule="auto"/>
        <w:ind w:left="720" w:firstLine="0"/>
        <w:rPr>
          <w:rFonts w:eastAsia="Arial Unicode MS"/>
          <w:color w:val="auto"/>
        </w:rPr>
      </w:pPr>
    </w:p>
    <w:p w:rsidR="005236F6" w:rsidRPr="00045FB5" w:rsidP="005236F6" w14:paraId="2226475F" w14:textId="4F52A4D3">
      <w:pPr>
        <w:widowControl w:val="0"/>
        <w:tabs>
          <w:tab w:val="left" w:pos="-1440"/>
        </w:tabs>
        <w:suppressAutoHyphens/>
        <w:autoSpaceDE w:val="0"/>
        <w:autoSpaceDN w:val="0"/>
        <w:adjustRightInd w:val="0"/>
        <w:spacing w:after="0" w:line="240" w:lineRule="auto"/>
        <w:ind w:left="0" w:firstLine="0"/>
        <w:rPr>
          <w:rFonts w:eastAsia="Arial Unicode MS"/>
          <w:color w:val="auto"/>
        </w:rPr>
      </w:pPr>
      <w:r w:rsidRPr="00045FB5">
        <w:rPr>
          <w:rFonts w:eastAsia="Arial Unicode MS"/>
          <w:color w:val="auto"/>
        </w:rPr>
        <w:t>Generally, generating facilities that are interconnected to the transmission system are required to operate within a standard power factor range, which represents the proportion of their output that is reactive power v</w:t>
      </w:r>
      <w:r w:rsidRPr="00045FB5" w:rsidR="00C249B0">
        <w:rPr>
          <w:rFonts w:eastAsia="Arial Unicode MS"/>
          <w:color w:val="auto"/>
        </w:rPr>
        <w:t>ersu</w:t>
      </w:r>
      <w:r w:rsidRPr="00045FB5">
        <w:rPr>
          <w:rFonts w:eastAsia="Arial Unicode MS"/>
          <w:color w:val="auto"/>
        </w:rPr>
        <w:t xml:space="preserve">s real power.  </w:t>
      </w:r>
      <w:r w:rsidRPr="00045FB5" w:rsidR="00440902">
        <w:rPr>
          <w:rFonts w:eastAsia="Arial Unicode MS"/>
          <w:color w:val="auto"/>
        </w:rPr>
        <w:t>Currently, t</w:t>
      </w:r>
      <w:r w:rsidRPr="00045FB5">
        <w:rPr>
          <w:rFonts w:eastAsia="Arial Unicode MS"/>
          <w:color w:val="auto"/>
        </w:rPr>
        <w:t xml:space="preserve">ransmission providers may elect to pay their own or affiliated generating facilities for the provision of reactive power within the standard power factor range provided that they also </w:t>
      </w:r>
      <w:r w:rsidRPr="00045FB5" w:rsidR="004D1511">
        <w:rPr>
          <w:rFonts w:eastAsia="Arial Unicode MS"/>
          <w:color w:val="auto"/>
        </w:rPr>
        <w:t xml:space="preserve">must </w:t>
      </w:r>
      <w:r w:rsidRPr="00045FB5">
        <w:rPr>
          <w:rFonts w:eastAsia="Arial Unicode MS"/>
          <w:color w:val="auto"/>
        </w:rPr>
        <w:t xml:space="preserve">pay unaffiliated generating facilities.  These charges are then </w:t>
      </w:r>
      <w:r w:rsidRPr="00045FB5" w:rsidR="009A37D1">
        <w:rPr>
          <w:rFonts w:eastAsia="Arial Unicode MS"/>
          <w:color w:val="auto"/>
        </w:rPr>
        <w:t xml:space="preserve">included in and </w:t>
      </w:r>
      <w:r w:rsidRPr="00045FB5">
        <w:rPr>
          <w:rFonts w:eastAsia="Arial Unicode MS"/>
          <w:color w:val="auto"/>
        </w:rPr>
        <w:t>increase transmission providers’ transmission rates.</w:t>
      </w:r>
    </w:p>
    <w:p w:rsidR="005236F6" w:rsidRPr="00045FB5" w:rsidP="005236F6" w14:paraId="318CBCA3" w14:textId="77777777">
      <w:pPr>
        <w:widowControl w:val="0"/>
        <w:tabs>
          <w:tab w:val="left" w:pos="-1440"/>
        </w:tabs>
        <w:suppressAutoHyphens/>
        <w:autoSpaceDE w:val="0"/>
        <w:autoSpaceDN w:val="0"/>
        <w:adjustRightInd w:val="0"/>
        <w:spacing w:after="0" w:line="240" w:lineRule="auto"/>
        <w:ind w:left="0" w:firstLine="0"/>
        <w:rPr>
          <w:rFonts w:eastAsia="Arial Unicode MS"/>
          <w:color w:val="auto"/>
        </w:rPr>
      </w:pPr>
    </w:p>
    <w:p w:rsidR="00212585" w:rsidRPr="00045FB5" w:rsidP="005236F6" w14:paraId="3782B2A9" w14:textId="4F5515F4">
      <w:pPr>
        <w:widowControl w:val="0"/>
        <w:tabs>
          <w:tab w:val="left" w:pos="-1440"/>
        </w:tabs>
        <w:suppressAutoHyphens/>
        <w:autoSpaceDE w:val="0"/>
        <w:autoSpaceDN w:val="0"/>
        <w:adjustRightInd w:val="0"/>
        <w:spacing w:after="0" w:line="240" w:lineRule="auto"/>
        <w:ind w:left="0" w:firstLine="0"/>
        <w:rPr>
          <w:rFonts w:eastAsia="Arial Unicode MS"/>
          <w:color w:val="auto"/>
        </w:rPr>
      </w:pPr>
      <w:r w:rsidRPr="00045FB5">
        <w:rPr>
          <w:rFonts w:eastAsia="Arial Unicode MS"/>
          <w:color w:val="auto"/>
        </w:rPr>
        <w:t>The Commission is elimin</w:t>
      </w:r>
      <w:r w:rsidRPr="00045FB5" w:rsidR="007920CD">
        <w:rPr>
          <w:rFonts w:eastAsia="Arial Unicode MS"/>
          <w:color w:val="auto"/>
        </w:rPr>
        <w:t>ing</w:t>
      </w:r>
      <w:r w:rsidRPr="00045FB5">
        <w:rPr>
          <w:rFonts w:eastAsia="Arial Unicode MS"/>
          <w:color w:val="auto"/>
        </w:rPr>
        <w:t xml:space="preserve"> this allowance </w:t>
      </w:r>
      <w:r w:rsidRPr="00045FB5" w:rsidR="00DB1B61">
        <w:rPr>
          <w:rFonts w:eastAsia="Arial Unicode MS"/>
          <w:color w:val="auto"/>
        </w:rPr>
        <w:t xml:space="preserve">to prohibit </w:t>
      </w:r>
      <w:r w:rsidRPr="00045FB5">
        <w:rPr>
          <w:rFonts w:eastAsia="Arial Unicode MS"/>
          <w:color w:val="auto"/>
        </w:rPr>
        <w:t>all generating facilities</w:t>
      </w:r>
      <w:r w:rsidRPr="00045FB5" w:rsidR="000D182B">
        <w:rPr>
          <w:rFonts w:eastAsia="Arial Unicode MS"/>
          <w:color w:val="auto"/>
        </w:rPr>
        <w:t>, on a comparable basis,</w:t>
      </w:r>
      <w:r w:rsidRPr="00045FB5">
        <w:rPr>
          <w:rFonts w:eastAsia="Arial Unicode MS"/>
          <w:color w:val="auto"/>
        </w:rPr>
        <w:t xml:space="preserve"> </w:t>
      </w:r>
      <w:r w:rsidRPr="00045FB5" w:rsidR="00DB1B61">
        <w:rPr>
          <w:rFonts w:eastAsia="Arial Unicode MS"/>
          <w:color w:val="auto"/>
        </w:rPr>
        <w:t xml:space="preserve">from </w:t>
      </w:r>
      <w:r w:rsidRPr="00045FB5">
        <w:rPr>
          <w:rFonts w:eastAsia="Arial Unicode MS"/>
          <w:color w:val="auto"/>
        </w:rPr>
        <w:t>receiv</w:t>
      </w:r>
      <w:r w:rsidRPr="00045FB5" w:rsidR="00DB1B61">
        <w:rPr>
          <w:rFonts w:eastAsia="Arial Unicode MS"/>
          <w:color w:val="auto"/>
        </w:rPr>
        <w:t>ing</w:t>
      </w:r>
      <w:r w:rsidRPr="00045FB5">
        <w:rPr>
          <w:rFonts w:eastAsia="Arial Unicode MS"/>
          <w:color w:val="auto"/>
        </w:rPr>
        <w:t xml:space="preserve"> separate payment for the provision of reactive power within the standard power factor range.  As such, the Commission is add</w:t>
      </w:r>
      <w:r w:rsidRPr="00045FB5" w:rsidR="001D478E">
        <w:rPr>
          <w:rFonts w:eastAsia="Arial Unicode MS"/>
          <w:color w:val="auto"/>
        </w:rPr>
        <w:t>ing</w:t>
      </w:r>
      <w:r w:rsidRPr="00045FB5">
        <w:rPr>
          <w:rFonts w:eastAsia="Arial Unicode MS"/>
          <w:color w:val="auto"/>
        </w:rPr>
        <w:t xml:space="preserve"> language to Schedule 2 </w:t>
      </w:r>
      <w:r w:rsidRPr="00045FB5" w:rsidR="000D182B">
        <w:rPr>
          <w:rFonts w:eastAsia="Arial Unicode MS"/>
          <w:color w:val="auto"/>
        </w:rPr>
        <w:t xml:space="preserve">of </w:t>
      </w:r>
      <w:r w:rsidRPr="00045FB5">
        <w:rPr>
          <w:rFonts w:eastAsia="Arial Unicode MS"/>
          <w:color w:val="auto"/>
        </w:rPr>
        <w:t xml:space="preserve">its </w:t>
      </w:r>
      <w:r w:rsidRPr="00045FB5">
        <w:rPr>
          <w:rFonts w:eastAsia="Arial Unicode MS"/>
          <w:i/>
          <w:iCs/>
          <w:color w:val="auto"/>
        </w:rPr>
        <w:t>pro forma</w:t>
      </w:r>
      <w:r w:rsidRPr="00045FB5">
        <w:rPr>
          <w:rFonts w:eastAsia="Arial Unicode MS"/>
          <w:color w:val="auto"/>
        </w:rPr>
        <w:t xml:space="preserve"> OATT specifying that transmission rates shall not include any charges associated with compensation to a generating facility for the supply of reactive power within the standard power factor range specified in the generating facility’s interconnection agreement.  In addition, the Commission is remov</w:t>
      </w:r>
      <w:r w:rsidRPr="00045FB5" w:rsidR="00DA5BDB">
        <w:rPr>
          <w:rFonts w:eastAsia="Arial Unicode MS"/>
          <w:color w:val="auto"/>
        </w:rPr>
        <w:t>ing</w:t>
      </w:r>
      <w:r w:rsidRPr="00045FB5">
        <w:rPr>
          <w:rFonts w:eastAsia="Arial Unicode MS"/>
          <w:color w:val="auto"/>
        </w:rPr>
        <w:t xml:space="preserve"> from section 9.6.3 of its </w:t>
      </w:r>
      <w:r w:rsidRPr="00045FB5">
        <w:rPr>
          <w:rFonts w:eastAsia="Arial Unicode MS"/>
          <w:i/>
          <w:iCs/>
          <w:color w:val="auto"/>
        </w:rPr>
        <w:t>pro forma</w:t>
      </w:r>
      <w:r w:rsidRPr="00045FB5">
        <w:rPr>
          <w:rFonts w:eastAsia="Arial Unicode MS"/>
          <w:color w:val="auto"/>
        </w:rPr>
        <w:t xml:space="preserve"> LGIA and section 1.8.2 of its </w:t>
      </w:r>
      <w:r w:rsidRPr="00045FB5">
        <w:rPr>
          <w:rFonts w:eastAsia="Arial Unicode MS"/>
          <w:i/>
          <w:iCs/>
          <w:color w:val="auto"/>
        </w:rPr>
        <w:t>pro forma</w:t>
      </w:r>
      <w:r w:rsidRPr="00045FB5">
        <w:rPr>
          <w:rFonts w:eastAsia="Arial Unicode MS"/>
          <w:color w:val="auto"/>
        </w:rPr>
        <w:t xml:space="preserve"> SGIA language that requires transmission providers to pay </w:t>
      </w:r>
      <w:r w:rsidRPr="00045FB5" w:rsidR="002C6DD4">
        <w:rPr>
          <w:rFonts w:eastAsia="Arial Unicode MS"/>
          <w:color w:val="auto"/>
        </w:rPr>
        <w:t>unaffilitate generating facilit</w:t>
      </w:r>
      <w:r w:rsidRPr="00045FB5" w:rsidR="004D34C2">
        <w:rPr>
          <w:rFonts w:eastAsia="Arial Unicode MS"/>
          <w:color w:val="auto"/>
        </w:rPr>
        <w:t>ies</w:t>
      </w:r>
      <w:r w:rsidRPr="00045FB5" w:rsidR="002C6DD4">
        <w:rPr>
          <w:rFonts w:eastAsia="Arial Unicode MS"/>
          <w:color w:val="auto"/>
        </w:rPr>
        <w:t xml:space="preserve"> </w:t>
      </w:r>
      <w:r w:rsidRPr="00045FB5">
        <w:rPr>
          <w:rFonts w:eastAsia="Arial Unicode MS"/>
          <w:color w:val="auto"/>
        </w:rPr>
        <w:t xml:space="preserve">for the supply of reactive power within the standard range if transmission providers pay their </w:t>
      </w:r>
      <w:r w:rsidRPr="00045FB5">
        <w:rPr>
          <w:rFonts w:eastAsia="Arial Unicode MS"/>
          <w:color w:val="auto"/>
        </w:rPr>
        <w:t>own or affiliated generating facilities.</w:t>
      </w:r>
      <w:bookmarkEnd w:id="0"/>
    </w:p>
    <w:bookmarkEnd w:id="1"/>
    <w:p w:rsidR="007B54E6" w:rsidRPr="00045FB5" w:rsidP="00D55A35" w14:paraId="66B6E41F" w14:textId="28EB333B">
      <w:pPr>
        <w:widowControl w:val="0"/>
        <w:tabs>
          <w:tab w:val="left" w:pos="-1440"/>
        </w:tabs>
        <w:suppressAutoHyphens/>
        <w:autoSpaceDE w:val="0"/>
        <w:autoSpaceDN w:val="0"/>
        <w:adjustRightInd w:val="0"/>
        <w:spacing w:after="0" w:line="240" w:lineRule="auto"/>
        <w:ind w:left="0" w:firstLine="0"/>
      </w:pPr>
    </w:p>
    <w:p w:rsidR="00DD755B" w:rsidRPr="00045FB5" w:rsidP="00A67B72" w14:paraId="4B011505" w14:textId="1E3D4B49">
      <w:pPr>
        <w:pStyle w:val="Heading1"/>
        <w:numPr>
          <w:ilvl w:val="0"/>
          <w:numId w:val="2"/>
        </w:numPr>
        <w:ind w:left="720" w:hanging="648"/>
      </w:pPr>
      <w:bookmarkStart w:id="2" w:name="_Hlk106707794"/>
      <w:r w:rsidRPr="00045FB5">
        <w:t xml:space="preserve">HOW, BY WHOM, AND FOR WHAT PURPOSE THE INFORMATION IS TO BE </w:t>
      </w:r>
      <w:r w:rsidRPr="00045FB5" w:rsidR="00CD17A0">
        <w:t>U</w:t>
      </w:r>
      <w:r w:rsidRPr="00045FB5">
        <w:t xml:space="preserve">SED AND THE CONSEQUENCES OF NOT COLLECTING THE INFORMATION </w:t>
      </w:r>
      <w:bookmarkEnd w:id="2"/>
    </w:p>
    <w:p w:rsidR="00D76560" w:rsidRPr="00045FB5" w:rsidP="00D55A35" w14:paraId="403A74A9" w14:textId="6954892A">
      <w:pPr>
        <w:suppressAutoHyphens/>
        <w:ind w:left="0" w:firstLine="0"/>
        <w:rPr>
          <w:b/>
        </w:rPr>
      </w:pPr>
    </w:p>
    <w:p w:rsidR="005236F6" w:rsidRPr="00045FB5" w:rsidP="005236F6" w14:paraId="1778EA4E" w14:textId="70C31002">
      <w:pPr>
        <w:pStyle w:val="FERCparanumber"/>
        <w:numPr>
          <w:ilvl w:val="0"/>
          <w:numId w:val="0"/>
        </w:numPr>
        <w:tabs>
          <w:tab w:val="left" w:pos="720"/>
          <w:tab w:val="left" w:pos="4860"/>
        </w:tabs>
        <w:spacing w:line="240" w:lineRule="auto"/>
        <w:rPr>
          <w:rFonts w:eastAsia="Arial Unicode MS"/>
          <w:sz w:val="24"/>
        </w:rPr>
      </w:pPr>
      <w:bookmarkStart w:id="3" w:name="_Hlk161149206"/>
      <w:r w:rsidRPr="00045FB5">
        <w:rPr>
          <w:rFonts w:eastAsia="Arial Unicode MS"/>
          <w:sz w:val="24"/>
        </w:rPr>
        <w:t xml:space="preserve">The revisions to the </w:t>
      </w:r>
      <w:r w:rsidRPr="00045FB5">
        <w:rPr>
          <w:rFonts w:eastAsia="Arial Unicode MS"/>
          <w:i/>
          <w:iCs/>
          <w:sz w:val="24"/>
        </w:rPr>
        <w:t xml:space="preserve">pro forma </w:t>
      </w:r>
      <w:r w:rsidRPr="00045FB5">
        <w:rPr>
          <w:rFonts w:eastAsia="Arial Unicode MS"/>
          <w:sz w:val="24"/>
        </w:rPr>
        <w:t xml:space="preserve">OATT, </w:t>
      </w:r>
      <w:r w:rsidRPr="00045FB5">
        <w:rPr>
          <w:rFonts w:eastAsia="Arial Unicode MS"/>
          <w:i/>
          <w:iCs/>
          <w:sz w:val="24"/>
        </w:rPr>
        <w:t xml:space="preserve">pro forma </w:t>
      </w:r>
      <w:r w:rsidRPr="00045FB5">
        <w:rPr>
          <w:rFonts w:eastAsia="Arial Unicode MS"/>
          <w:sz w:val="24"/>
        </w:rPr>
        <w:t xml:space="preserve">LGIA, and </w:t>
      </w:r>
      <w:r w:rsidRPr="00045FB5">
        <w:rPr>
          <w:rFonts w:eastAsia="Arial Unicode MS"/>
          <w:i/>
          <w:iCs/>
          <w:sz w:val="24"/>
        </w:rPr>
        <w:t xml:space="preserve">pro forma </w:t>
      </w:r>
      <w:r w:rsidRPr="00045FB5">
        <w:rPr>
          <w:rFonts w:eastAsia="Arial Unicode MS"/>
          <w:sz w:val="24"/>
        </w:rPr>
        <w:t>SGIA are shown in section III.</w:t>
      </w:r>
      <w:r w:rsidRPr="00045FB5" w:rsidR="00CE0884">
        <w:rPr>
          <w:rFonts w:eastAsia="Arial Unicode MS"/>
          <w:sz w:val="24"/>
        </w:rPr>
        <w:t>A</w:t>
      </w:r>
      <w:r w:rsidRPr="00045FB5">
        <w:rPr>
          <w:rFonts w:eastAsia="Arial Unicode MS"/>
          <w:sz w:val="24"/>
        </w:rPr>
        <w:t xml:space="preserve"> of the </w:t>
      </w:r>
      <w:r w:rsidRPr="00045FB5" w:rsidR="00515298">
        <w:rPr>
          <w:rFonts w:eastAsia="Arial Unicode MS"/>
          <w:sz w:val="24"/>
        </w:rPr>
        <w:t>Final Rule</w:t>
      </w:r>
      <w:r w:rsidRPr="00045FB5">
        <w:rPr>
          <w:rFonts w:eastAsia="Arial Unicode MS"/>
          <w:sz w:val="24"/>
        </w:rPr>
        <w:t xml:space="preserve">.  The Commission is </w:t>
      </w:r>
      <w:r w:rsidRPr="00045FB5" w:rsidR="00C4415B">
        <w:rPr>
          <w:rFonts w:eastAsia="Arial Unicode MS"/>
          <w:sz w:val="24"/>
        </w:rPr>
        <w:t xml:space="preserve">making </w:t>
      </w:r>
      <w:r w:rsidRPr="00045FB5">
        <w:rPr>
          <w:rFonts w:eastAsia="Arial Unicode MS"/>
          <w:sz w:val="24"/>
        </w:rPr>
        <w:t>these revisions to ensure that transmission rates are just and reasonable.</w:t>
      </w:r>
    </w:p>
    <w:p w:rsidR="005236F6" w:rsidRPr="00045FB5" w:rsidP="005236F6" w14:paraId="14C161C5" w14:textId="77777777">
      <w:pPr>
        <w:pStyle w:val="FERCparanumber"/>
        <w:numPr>
          <w:ilvl w:val="0"/>
          <w:numId w:val="0"/>
        </w:numPr>
        <w:tabs>
          <w:tab w:val="left" w:pos="720"/>
          <w:tab w:val="left" w:pos="4860"/>
        </w:tabs>
        <w:spacing w:line="240" w:lineRule="auto"/>
        <w:ind w:left="360"/>
        <w:rPr>
          <w:rFonts w:eastAsia="Arial Unicode MS"/>
          <w:sz w:val="24"/>
        </w:rPr>
      </w:pPr>
    </w:p>
    <w:p w:rsidR="005236F6" w:rsidRPr="00045FB5" w:rsidP="005236F6" w14:paraId="59D07537" w14:textId="7C91C2FA">
      <w:pPr>
        <w:pStyle w:val="FERCparanumber"/>
        <w:numPr>
          <w:ilvl w:val="0"/>
          <w:numId w:val="0"/>
        </w:numPr>
        <w:tabs>
          <w:tab w:val="left" w:pos="720"/>
          <w:tab w:val="left" w:pos="4860"/>
        </w:tabs>
        <w:spacing w:line="240" w:lineRule="auto"/>
        <w:rPr>
          <w:rFonts w:eastAsia="Arial Unicode MS"/>
          <w:sz w:val="24"/>
        </w:rPr>
      </w:pPr>
      <w:r w:rsidRPr="00045FB5">
        <w:rPr>
          <w:rFonts w:eastAsia="Arial Unicode MS"/>
          <w:sz w:val="24"/>
        </w:rPr>
        <w:t xml:space="preserve">The Commission has allowed transmission providers to pay generating facilities in their service territories for reactive power within the standard power factor range to ensure comparable treatment between generating facilities that are owned by or affiliated with the transmission provider and unaffiliated generating facilities in the </w:t>
      </w:r>
      <w:r w:rsidRPr="00045FB5" w:rsidR="00050147">
        <w:rPr>
          <w:rFonts w:eastAsia="Arial Unicode MS"/>
          <w:sz w:val="24"/>
        </w:rPr>
        <w:t>transmission provider’s ser</w:t>
      </w:r>
      <w:r w:rsidRPr="00045FB5" w:rsidR="004D2AF2">
        <w:rPr>
          <w:rFonts w:eastAsia="Arial Unicode MS"/>
          <w:sz w:val="24"/>
        </w:rPr>
        <w:t xml:space="preserve">vice territory or </w:t>
      </w:r>
      <w:r w:rsidRPr="00045FB5">
        <w:rPr>
          <w:rFonts w:eastAsia="Arial Unicode MS"/>
          <w:sz w:val="24"/>
        </w:rPr>
        <w:t xml:space="preserve"> region.  However, the provision of reactive power within the standard power factor range results in </w:t>
      </w:r>
      <w:r w:rsidRPr="00045FB5" w:rsidR="00893B52">
        <w:rPr>
          <w:rFonts w:eastAsia="Arial Unicode MS"/>
          <w:sz w:val="24"/>
        </w:rPr>
        <w:t xml:space="preserve">no or at most a </w:t>
      </w:r>
      <w:r w:rsidRPr="00045FB5" w:rsidR="00893B52">
        <w:rPr>
          <w:rFonts w:eastAsia="Arial Unicode MS"/>
          <w:i/>
          <w:iCs/>
          <w:sz w:val="24"/>
        </w:rPr>
        <w:t>de minimis</w:t>
      </w:r>
      <w:r w:rsidRPr="00045FB5" w:rsidR="00893B52">
        <w:rPr>
          <w:rFonts w:eastAsia="Arial Unicode MS"/>
          <w:sz w:val="24"/>
        </w:rPr>
        <w:t xml:space="preserve"> increase in variable costs beyond the cost of providing real power</w:t>
      </w:r>
      <w:r w:rsidRPr="00045FB5">
        <w:rPr>
          <w:rFonts w:eastAsia="Arial Unicode MS"/>
          <w:sz w:val="24"/>
        </w:rPr>
        <w:t xml:space="preserve">.  In many regions of the country, transmission providers do not pay separately for the provision of reactive power within the standard power factor range, instead allowing generating facilities to recover any costs associated with the requirement to provide reactive power </w:t>
      </w:r>
      <w:r w:rsidRPr="00045FB5" w:rsidR="007C15DE">
        <w:rPr>
          <w:rFonts w:eastAsia="Arial Unicode MS"/>
          <w:sz w:val="24"/>
        </w:rPr>
        <w:t xml:space="preserve">within the standard power factor range </w:t>
      </w:r>
      <w:r w:rsidRPr="00045FB5">
        <w:rPr>
          <w:rFonts w:eastAsia="Arial Unicode MS"/>
          <w:sz w:val="24"/>
        </w:rPr>
        <w:t xml:space="preserve">through the same means by which generating facilities recover the costs associated with the provision of real power.  These regions that do not separately compensate for </w:t>
      </w:r>
      <w:r w:rsidRPr="00045FB5" w:rsidR="00212BBE">
        <w:rPr>
          <w:rFonts w:eastAsia="Arial Unicode MS"/>
          <w:sz w:val="24"/>
        </w:rPr>
        <w:t xml:space="preserve">providing </w:t>
      </w:r>
      <w:r w:rsidRPr="00045FB5">
        <w:rPr>
          <w:rFonts w:eastAsia="Arial Unicode MS"/>
          <w:sz w:val="24"/>
        </w:rPr>
        <w:t xml:space="preserve">reactive power </w:t>
      </w:r>
      <w:r w:rsidRPr="00045FB5" w:rsidR="00212BBE">
        <w:rPr>
          <w:rFonts w:eastAsia="Arial Unicode MS"/>
          <w:sz w:val="24"/>
        </w:rPr>
        <w:t xml:space="preserve">within the standard power factor range </w:t>
      </w:r>
      <w:r w:rsidRPr="00045FB5">
        <w:rPr>
          <w:rFonts w:eastAsia="Arial Unicode MS"/>
          <w:sz w:val="24"/>
        </w:rPr>
        <w:t xml:space="preserve">have not seen any shortfalls in reactive power supply from generating facilities or other reliability issues stemming from the decision not to separately compensate for </w:t>
      </w:r>
      <w:r w:rsidRPr="00045FB5" w:rsidR="00212BBE">
        <w:rPr>
          <w:rFonts w:eastAsia="Arial Unicode MS"/>
          <w:sz w:val="24"/>
        </w:rPr>
        <w:t xml:space="preserve">providing </w:t>
      </w:r>
      <w:r w:rsidRPr="00045FB5">
        <w:rPr>
          <w:rFonts w:eastAsia="Arial Unicode MS"/>
          <w:sz w:val="24"/>
        </w:rPr>
        <w:t>reactive power within the standard power factor range.</w:t>
      </w:r>
    </w:p>
    <w:p w:rsidR="005236F6" w:rsidRPr="00045FB5" w:rsidP="005236F6" w14:paraId="2D2DB718" w14:textId="77777777">
      <w:pPr>
        <w:pStyle w:val="FERCparanumber"/>
        <w:numPr>
          <w:ilvl w:val="0"/>
          <w:numId w:val="0"/>
        </w:numPr>
        <w:tabs>
          <w:tab w:val="left" w:pos="720"/>
          <w:tab w:val="left" w:pos="4860"/>
        </w:tabs>
        <w:spacing w:line="240" w:lineRule="auto"/>
        <w:ind w:left="360"/>
        <w:rPr>
          <w:rFonts w:eastAsia="Arial Unicode MS"/>
          <w:sz w:val="24"/>
        </w:rPr>
      </w:pPr>
    </w:p>
    <w:p w:rsidR="005236F6" w:rsidRPr="00045FB5" w:rsidP="005236F6" w14:paraId="4DD5CDB6" w14:textId="6BB8EAAD">
      <w:pPr>
        <w:pStyle w:val="FERCparanumber"/>
        <w:numPr>
          <w:ilvl w:val="0"/>
          <w:numId w:val="0"/>
        </w:numPr>
        <w:tabs>
          <w:tab w:val="left" w:pos="720"/>
          <w:tab w:val="left" w:pos="4860"/>
        </w:tabs>
        <w:spacing w:line="240" w:lineRule="auto"/>
        <w:rPr>
          <w:rFonts w:eastAsia="Arial Unicode MS"/>
          <w:sz w:val="24"/>
        </w:rPr>
      </w:pPr>
      <w:r w:rsidRPr="00045FB5">
        <w:rPr>
          <w:rFonts w:eastAsia="Arial Unicode MS"/>
          <w:sz w:val="24"/>
        </w:rPr>
        <w:t xml:space="preserve">Given that </w:t>
      </w:r>
      <w:r w:rsidRPr="00045FB5" w:rsidR="00816FA5">
        <w:rPr>
          <w:rFonts w:eastAsia="Arial Unicode MS"/>
          <w:sz w:val="24"/>
        </w:rPr>
        <w:t>it is only by virtue of comparability that generating facilities were previously entitled to reactive power compensation</w:t>
      </w:r>
      <w:r w:rsidRPr="00045FB5">
        <w:rPr>
          <w:rFonts w:eastAsia="Arial Unicode MS"/>
          <w:sz w:val="24"/>
        </w:rPr>
        <w:t xml:space="preserve">, the Commission is concerned that continuing to allow transmission providers to elect to separately compensate their own or affiliated generating facilities for the provision of reactive power within the standard power factor range, thereby requiring transmission provider to also pay unaffiliated generating facilities, is resulting in </w:t>
      </w:r>
      <w:r w:rsidRPr="00045FB5" w:rsidR="002A25C5">
        <w:rPr>
          <w:rFonts w:eastAsia="Arial Unicode MS"/>
          <w:sz w:val="24"/>
        </w:rPr>
        <w:t>unjust and unre</w:t>
      </w:r>
      <w:r w:rsidRPr="00045FB5" w:rsidR="00FD2CCB">
        <w:rPr>
          <w:rFonts w:eastAsia="Arial Unicode MS"/>
          <w:sz w:val="24"/>
        </w:rPr>
        <w:t xml:space="preserve">asonable rates for </w:t>
      </w:r>
      <w:r w:rsidRPr="00045FB5">
        <w:rPr>
          <w:rFonts w:eastAsia="Arial Unicode MS"/>
          <w:sz w:val="24"/>
        </w:rPr>
        <w:t>transmission customers.</w:t>
      </w:r>
    </w:p>
    <w:p w:rsidR="005236F6" w:rsidRPr="00045FB5" w:rsidP="005236F6" w14:paraId="1E41AF96" w14:textId="77777777">
      <w:pPr>
        <w:pStyle w:val="FERCparanumber"/>
        <w:numPr>
          <w:ilvl w:val="0"/>
          <w:numId w:val="0"/>
        </w:numPr>
        <w:tabs>
          <w:tab w:val="left" w:pos="720"/>
          <w:tab w:val="left" w:pos="4860"/>
        </w:tabs>
        <w:spacing w:line="240" w:lineRule="auto"/>
        <w:rPr>
          <w:rFonts w:eastAsia="Arial Unicode MS"/>
          <w:sz w:val="24"/>
        </w:rPr>
      </w:pPr>
    </w:p>
    <w:p w:rsidR="005236F6" w:rsidRPr="00045FB5" w:rsidP="005236F6" w14:paraId="58F9D99E" w14:textId="430D698B">
      <w:pPr>
        <w:pStyle w:val="FERCparanumber"/>
        <w:numPr>
          <w:ilvl w:val="0"/>
          <w:numId w:val="0"/>
        </w:numPr>
        <w:tabs>
          <w:tab w:val="left" w:pos="720"/>
          <w:tab w:val="left" w:pos="4860"/>
        </w:tabs>
        <w:spacing w:line="240" w:lineRule="auto"/>
        <w:rPr>
          <w:rFonts w:eastAsia="Arial Unicode MS"/>
          <w:sz w:val="24"/>
        </w:rPr>
      </w:pPr>
      <w:r w:rsidRPr="00045FB5">
        <w:rPr>
          <w:rFonts w:eastAsia="Arial Unicode MS"/>
          <w:sz w:val="24"/>
        </w:rPr>
        <w:t xml:space="preserve">The information collection activities listed below, </w:t>
      </w:r>
      <w:r w:rsidRPr="00045FB5" w:rsidR="007D5E40">
        <w:rPr>
          <w:rFonts w:eastAsia="Arial Unicode MS"/>
          <w:sz w:val="24"/>
        </w:rPr>
        <w:t xml:space="preserve">which </w:t>
      </w:r>
      <w:r w:rsidRPr="00045FB5">
        <w:rPr>
          <w:rFonts w:eastAsia="Arial Unicode MS"/>
          <w:sz w:val="24"/>
        </w:rPr>
        <w:t>will be added to FERC-516, are all one-time burdens in Year 1.  Specifically, the information collection activit</w:t>
      </w:r>
      <w:r w:rsidRPr="00045FB5" w:rsidR="008513EE">
        <w:rPr>
          <w:rFonts w:eastAsia="Arial Unicode MS"/>
          <w:sz w:val="24"/>
        </w:rPr>
        <w:t>ies</w:t>
      </w:r>
      <w:r w:rsidRPr="00045FB5">
        <w:rPr>
          <w:rFonts w:eastAsia="Arial Unicode MS"/>
          <w:sz w:val="24"/>
        </w:rPr>
        <w:t xml:space="preserve"> </w:t>
      </w:r>
      <w:r w:rsidRPr="00045FB5" w:rsidR="006B3695">
        <w:rPr>
          <w:rFonts w:eastAsia="Arial Unicode MS"/>
          <w:sz w:val="24"/>
        </w:rPr>
        <w:t>are</w:t>
      </w:r>
      <w:r w:rsidRPr="00045FB5" w:rsidR="00F57590">
        <w:rPr>
          <w:rFonts w:eastAsia="Arial Unicode MS"/>
          <w:sz w:val="24"/>
        </w:rPr>
        <w:t xml:space="preserve"> </w:t>
      </w:r>
      <w:r w:rsidRPr="00045FB5">
        <w:rPr>
          <w:rFonts w:eastAsia="Arial Unicode MS"/>
          <w:sz w:val="24"/>
        </w:rPr>
        <w:t>limited to</w:t>
      </w:r>
      <w:r w:rsidRPr="00045FB5" w:rsidR="00F57590">
        <w:rPr>
          <w:rFonts w:eastAsia="Arial Unicode MS"/>
          <w:sz w:val="24"/>
        </w:rPr>
        <w:t xml:space="preserve"> the</w:t>
      </w:r>
      <w:r w:rsidRPr="00045FB5">
        <w:rPr>
          <w:rFonts w:eastAsia="Arial Unicode MS"/>
          <w:sz w:val="24"/>
        </w:rPr>
        <w:t xml:space="preserve"> compliance filing from entities with </w:t>
      </w:r>
      <w:r w:rsidRPr="00045FB5" w:rsidR="00E23CAB">
        <w:rPr>
          <w:rFonts w:eastAsia="Arial Unicode MS"/>
          <w:i/>
          <w:iCs/>
          <w:sz w:val="24"/>
        </w:rPr>
        <w:t xml:space="preserve">pro forma </w:t>
      </w:r>
      <w:r w:rsidRPr="00045FB5">
        <w:rPr>
          <w:rFonts w:eastAsia="Arial Unicode MS"/>
          <w:sz w:val="24"/>
        </w:rPr>
        <w:t xml:space="preserve">OATTs, </w:t>
      </w:r>
      <w:r w:rsidRPr="00045FB5">
        <w:rPr>
          <w:rFonts w:eastAsia="Arial Unicode MS"/>
          <w:i/>
          <w:iCs/>
          <w:sz w:val="24"/>
        </w:rPr>
        <w:t>pro forma</w:t>
      </w:r>
      <w:r w:rsidRPr="00045FB5">
        <w:rPr>
          <w:rFonts w:eastAsia="Arial Unicode MS"/>
          <w:sz w:val="24"/>
        </w:rPr>
        <w:t xml:space="preserve"> LGIAs, or </w:t>
      </w:r>
      <w:r w:rsidRPr="00045FB5">
        <w:rPr>
          <w:rFonts w:eastAsia="Arial Unicode MS"/>
          <w:i/>
          <w:iCs/>
          <w:sz w:val="24"/>
        </w:rPr>
        <w:t xml:space="preserve">pro forma </w:t>
      </w:r>
      <w:r w:rsidRPr="00045FB5">
        <w:rPr>
          <w:rFonts w:eastAsia="Arial Unicode MS"/>
          <w:sz w:val="24"/>
        </w:rPr>
        <w:t>SGIAs on file with the Commission.</w:t>
      </w:r>
      <w:bookmarkEnd w:id="3"/>
    </w:p>
    <w:p w:rsidR="00600CA2" w:rsidRPr="00045FB5" w:rsidP="009B0C21" w14:paraId="18E4E38D" w14:textId="05904780">
      <w:pPr>
        <w:ind w:left="0" w:firstLine="0"/>
      </w:pPr>
    </w:p>
    <w:p w:rsidR="00DD755B" w:rsidRPr="00045FB5" w:rsidP="00A67B72" w14:paraId="3E54150A" w14:textId="34D360DF">
      <w:pPr>
        <w:pStyle w:val="Heading1"/>
        <w:numPr>
          <w:ilvl w:val="0"/>
          <w:numId w:val="2"/>
        </w:numPr>
        <w:ind w:left="720" w:hanging="648"/>
      </w:pPr>
      <w:r w:rsidRPr="00045FB5">
        <w:t xml:space="preserve">DESCRIBE ANY CONSIDERATION OF THE USE OF IMPROVED TECHNOLOGY TO REDUCE BURDEN AND TECHNICAL OR LEGAL OBSTACLES TO REDUCING BURDEN.  </w:t>
      </w:r>
    </w:p>
    <w:p w:rsidR="00AC43FD" w:rsidRPr="00045FB5" w:rsidP="00D55A35" w14:paraId="180BC21E" w14:textId="2EB09245">
      <w:pPr>
        <w:suppressAutoHyphens/>
        <w:spacing w:after="13" w:line="250" w:lineRule="auto"/>
        <w:ind w:left="0" w:firstLine="0"/>
      </w:pPr>
    </w:p>
    <w:p w:rsidR="009B0C21" w:rsidRPr="00045FB5" w:rsidP="00FC3FBB" w14:paraId="29481EF4" w14:textId="4202D79A">
      <w:pPr>
        <w:suppressAutoHyphens/>
        <w:spacing w:line="250" w:lineRule="auto"/>
        <w:ind w:left="0" w:firstLine="0"/>
      </w:pPr>
      <w:bookmarkStart w:id="4" w:name="_Hlk161149231"/>
      <w:r w:rsidRPr="00045FB5">
        <w:t xml:space="preserve">The Commission </w:t>
      </w:r>
      <w:r w:rsidRPr="00045FB5" w:rsidR="00FC3FBB">
        <w:t xml:space="preserve">implements its eTariff system for the electronic filing of tariffs.  More information on eTariff is posted at </w:t>
      </w:r>
      <w:hyperlink r:id="rId10" w:history="1">
        <w:r w:rsidRPr="00045FB5" w:rsidR="00FC3FBB">
          <w:rPr>
            <w:rStyle w:val="Hyperlink"/>
          </w:rPr>
          <w:t>https://www.ferc.gov/ferc-online/etariff</w:t>
        </w:r>
      </w:hyperlink>
      <w:r w:rsidRPr="00045FB5" w:rsidR="00FC3FBB">
        <w:t>.</w:t>
      </w:r>
      <w:bookmarkEnd w:id="4"/>
      <w:r w:rsidRPr="00045FB5" w:rsidR="00994107">
        <w:t xml:space="preserve"> </w:t>
      </w:r>
    </w:p>
    <w:p w:rsidR="0007513B" w:rsidRPr="00045FB5" w:rsidP="00FC3FBB" w14:paraId="7F1C355A" w14:textId="77777777">
      <w:pPr>
        <w:suppressAutoHyphens/>
        <w:spacing w:line="250" w:lineRule="auto"/>
        <w:ind w:left="0" w:firstLine="0"/>
      </w:pPr>
    </w:p>
    <w:p w:rsidR="00DD755B" w:rsidRPr="00045FB5" w:rsidP="00A67B72" w14:paraId="7823335F" w14:textId="4788834D">
      <w:pPr>
        <w:pStyle w:val="Heading1"/>
        <w:numPr>
          <w:ilvl w:val="0"/>
          <w:numId w:val="2"/>
        </w:numPr>
        <w:ind w:left="720" w:hanging="648"/>
      </w:pPr>
      <w:r w:rsidRPr="00045FB5">
        <w:t>DESCRIBE EFFORTS TO IDENTIFY DUPLICATION AND SHOW SPECIFICALLY WHY ANY SIMILAR INFORMATION ALREADY AVAILABLE CANNOT BE USED OR MODIFIED FOR USE FOR THE PURPOSE(S) DESCRIBED IN INSTRUCTION NO. 2.</w:t>
      </w:r>
    </w:p>
    <w:p w:rsidR="00A0739A" w:rsidRPr="00045FB5" w:rsidP="00D55A35" w14:paraId="16998981" w14:textId="77777777">
      <w:pPr>
        <w:suppressAutoHyphens/>
        <w:spacing w:after="0" w:line="240" w:lineRule="auto"/>
        <w:ind w:left="0" w:firstLine="0"/>
        <w:rPr>
          <w:b/>
        </w:rPr>
      </w:pPr>
    </w:p>
    <w:p w:rsidR="00DD755B" w:rsidRPr="00045FB5" w:rsidP="00D55A35" w14:paraId="7976B9AC" w14:textId="0365B634">
      <w:pPr>
        <w:suppressAutoHyphens/>
        <w:spacing w:after="0" w:line="240" w:lineRule="auto"/>
        <w:ind w:left="0" w:firstLine="0"/>
      </w:pPr>
      <w:bookmarkStart w:id="5" w:name="_Hlk161149243"/>
      <w:r w:rsidRPr="00045FB5">
        <w:t>The Commission’s</w:t>
      </w:r>
      <w:r w:rsidRPr="00045FB5" w:rsidR="00FC3FBB">
        <w:t xml:space="preserve"> rules and data requirements are periodically reviewed in conjunction with OMB clearance expiration dates.  This includes a review of the Commission’s regulations and data requirements to identify duplication.  The information to be submitted, generated, retained, or posted, pursuant to the final rule is not available from other sources.</w:t>
      </w:r>
      <w:bookmarkEnd w:id="5"/>
      <w:r w:rsidRPr="00045FB5" w:rsidR="00994107">
        <w:t xml:space="preserve">  </w:t>
      </w:r>
    </w:p>
    <w:p w:rsidR="009B0C21" w:rsidRPr="00045FB5" w:rsidP="00D55A35" w14:paraId="49A48525" w14:textId="77777777">
      <w:pPr>
        <w:suppressAutoHyphens/>
        <w:spacing w:after="0" w:line="240" w:lineRule="auto"/>
        <w:ind w:left="0" w:firstLine="0"/>
      </w:pPr>
    </w:p>
    <w:p w:rsidR="00DD755B" w:rsidRPr="00045FB5" w:rsidP="00A67B72" w14:paraId="169254C5" w14:textId="4D4F71CB">
      <w:pPr>
        <w:pStyle w:val="Heading1"/>
        <w:numPr>
          <w:ilvl w:val="0"/>
          <w:numId w:val="2"/>
        </w:numPr>
        <w:ind w:left="720" w:hanging="648"/>
      </w:pPr>
      <w:r w:rsidRPr="00045FB5">
        <w:t xml:space="preserve">METHODS USED TO MINIMIZE BURDEN IN COLLECTION OF INFORMATION INVOLVING SMALL ENTITIES </w:t>
      </w:r>
    </w:p>
    <w:p w:rsidR="00EE395C" w:rsidRPr="00045FB5" w:rsidP="00D55A35" w14:paraId="3652EE11" w14:textId="77777777">
      <w:pPr>
        <w:keepNext/>
        <w:suppressAutoHyphens/>
        <w:spacing w:line="250" w:lineRule="auto"/>
        <w:ind w:left="0" w:firstLine="0"/>
      </w:pPr>
    </w:p>
    <w:p w:rsidR="0039634D" w:rsidRPr="0039634D" w:rsidP="0039634D" w14:paraId="4A41D337" w14:textId="398B2459">
      <w:pPr>
        <w:pStyle w:val="FERCparanumber"/>
        <w:numPr>
          <w:ilvl w:val="0"/>
          <w:numId w:val="0"/>
        </w:numPr>
        <w:suppressAutoHyphens/>
        <w:spacing w:line="240" w:lineRule="auto"/>
        <w:ind w:firstLine="72"/>
      </w:pPr>
      <w:bookmarkStart w:id="6" w:name="_Hlk161149259"/>
      <w:r w:rsidRPr="00045FB5">
        <w:rPr>
          <w:rFonts w:eastAsiaTheme="minorEastAsia"/>
          <w:color w:val="000000"/>
          <w:sz w:val="24"/>
        </w:rPr>
        <w:t>Under the Small Business Administration’s classification,</w:t>
      </w:r>
      <w:r>
        <w:rPr>
          <w:rFonts w:eastAsiaTheme="minorEastAsia"/>
          <w:b/>
          <w:bCs/>
          <w:color w:val="000000"/>
          <w:sz w:val="24"/>
          <w:vertAlign w:val="superscript"/>
        </w:rPr>
        <w:footnoteReference w:id="4"/>
      </w:r>
      <w:r w:rsidRPr="00045FB5">
        <w:rPr>
          <w:rFonts w:eastAsiaTheme="minorEastAsia"/>
          <w:color w:val="000000"/>
          <w:sz w:val="24"/>
        </w:rPr>
        <w:t xml:space="preserve"> the six Regional Transmission Operators and Independent System Operators (RTOs/ISOs) would be considered electric bulk power transmission and control, for which the small business size threshold is 950 or fewer employees.  Because each RTO/ISO has more than 950 employees, none are considered small entities.  The Commission estimated that 40 transmission </w:t>
      </w:r>
      <w:r w:rsidRPr="00045FB5" w:rsidR="00C0463E">
        <w:rPr>
          <w:rFonts w:eastAsiaTheme="minorEastAsia"/>
          <w:color w:val="000000"/>
          <w:sz w:val="24"/>
        </w:rPr>
        <w:t xml:space="preserve">providers </w:t>
      </w:r>
      <w:r w:rsidRPr="00045FB5">
        <w:rPr>
          <w:rFonts w:eastAsiaTheme="minorEastAsia"/>
          <w:color w:val="000000"/>
          <w:sz w:val="24"/>
        </w:rPr>
        <w:t xml:space="preserve">and three other entities with </w:t>
      </w:r>
      <w:r w:rsidRPr="00045FB5" w:rsidR="00804EAD">
        <w:rPr>
          <w:rFonts w:eastAsiaTheme="minorEastAsia"/>
          <w:i/>
          <w:iCs/>
          <w:color w:val="000000"/>
          <w:sz w:val="24"/>
        </w:rPr>
        <w:t xml:space="preserve">pro forma </w:t>
      </w:r>
      <w:r w:rsidRPr="00045FB5" w:rsidR="00804EAD">
        <w:rPr>
          <w:rFonts w:eastAsiaTheme="minorEastAsia"/>
          <w:color w:val="000000"/>
          <w:sz w:val="24"/>
        </w:rPr>
        <w:t xml:space="preserve">OATTs, </w:t>
      </w:r>
      <w:r w:rsidRPr="00045FB5">
        <w:rPr>
          <w:rFonts w:eastAsiaTheme="minorEastAsia"/>
          <w:i/>
          <w:iCs/>
          <w:color w:val="000000"/>
          <w:sz w:val="24"/>
        </w:rPr>
        <w:t>pro forma</w:t>
      </w:r>
      <w:r w:rsidRPr="00045FB5">
        <w:rPr>
          <w:rFonts w:eastAsiaTheme="minorEastAsia"/>
          <w:color w:val="000000"/>
          <w:sz w:val="24"/>
        </w:rPr>
        <w:t xml:space="preserve"> LGIAs</w:t>
      </w:r>
      <w:r w:rsidRPr="00045FB5" w:rsidR="00804EAD">
        <w:rPr>
          <w:rFonts w:eastAsiaTheme="minorEastAsia"/>
          <w:color w:val="000000"/>
          <w:sz w:val="24"/>
        </w:rPr>
        <w:t>,</w:t>
      </w:r>
      <w:r w:rsidRPr="00045FB5">
        <w:rPr>
          <w:rFonts w:eastAsiaTheme="minorEastAsia"/>
          <w:color w:val="000000"/>
          <w:sz w:val="24"/>
        </w:rPr>
        <w:t xml:space="preserve"> and </w:t>
      </w:r>
      <w:r w:rsidRPr="00045FB5">
        <w:rPr>
          <w:rFonts w:eastAsiaTheme="minorEastAsia"/>
          <w:i/>
          <w:iCs/>
          <w:color w:val="000000"/>
          <w:sz w:val="24"/>
        </w:rPr>
        <w:t>pro forma</w:t>
      </w:r>
      <w:r w:rsidRPr="00045FB5">
        <w:rPr>
          <w:rFonts w:eastAsiaTheme="minorEastAsia"/>
          <w:color w:val="000000"/>
          <w:sz w:val="24"/>
        </w:rPr>
        <w:t xml:space="preserve"> SGIAs are affected by this final rule and that approximately 14% of those entities are small entities affected by the final rule.</w:t>
      </w:r>
      <w:bookmarkEnd w:id="6"/>
      <w:r w:rsidRPr="00045FB5" w:rsidR="00994107">
        <w:rPr>
          <w:sz w:val="24"/>
        </w:rPr>
        <w:t xml:space="preserve"> </w:t>
      </w:r>
      <w:r>
        <w:rPr>
          <w:sz w:val="24"/>
        </w:rPr>
        <w:t>T</w:t>
      </w:r>
      <w:r w:rsidRPr="0039634D">
        <w:t xml:space="preserve">he costs related to this rule total only 4 hours of time to update and resubmit the OATT to the Commission. Accordingly, the Commission does not believe that this is a significant cost to any firm regardless of the size of the entity, therefore there are no different methods for small entities. </w:t>
      </w:r>
    </w:p>
    <w:p w:rsidR="00BA7ECF" w:rsidRPr="00045FB5" w:rsidP="003A5DD2" w14:paraId="49717C89" w14:textId="5A50AEEF">
      <w:pPr>
        <w:pStyle w:val="FERCparanumber"/>
        <w:numPr>
          <w:ilvl w:val="0"/>
          <w:numId w:val="0"/>
        </w:numPr>
        <w:suppressAutoHyphens/>
        <w:spacing w:line="240" w:lineRule="auto"/>
        <w:rPr>
          <w:sz w:val="24"/>
        </w:rPr>
      </w:pPr>
    </w:p>
    <w:p w:rsidR="00BA7ECF" w:rsidRPr="00045FB5" w:rsidP="00D55A35" w14:paraId="5486948D" w14:textId="21C36CD4">
      <w:pPr>
        <w:pStyle w:val="FERCparanumber"/>
        <w:numPr>
          <w:ilvl w:val="0"/>
          <w:numId w:val="0"/>
        </w:numPr>
        <w:suppressAutoHyphens/>
        <w:spacing w:line="240" w:lineRule="auto"/>
        <w:rPr>
          <w:sz w:val="24"/>
        </w:rPr>
      </w:pPr>
    </w:p>
    <w:p w:rsidR="00DD755B" w:rsidRPr="00045FB5" w:rsidP="00A67B72" w14:paraId="52648953" w14:textId="6DDAB59F">
      <w:pPr>
        <w:pStyle w:val="Heading1"/>
        <w:numPr>
          <w:ilvl w:val="0"/>
          <w:numId w:val="2"/>
        </w:numPr>
        <w:ind w:left="720" w:hanging="648"/>
      </w:pPr>
      <w:r w:rsidRPr="00045FB5">
        <w:t xml:space="preserve">CONSEQUENCE TO FEDERAL PROGRAM IF COLLECTION WERE CONDUCTED LESS FREQUENTLY </w:t>
      </w:r>
    </w:p>
    <w:p w:rsidR="009B0C21" w:rsidRPr="00045FB5" w:rsidP="004E443E" w14:paraId="15050C84" w14:textId="77777777">
      <w:pPr>
        <w:keepNext/>
        <w:suppressAutoHyphens/>
        <w:spacing w:line="250" w:lineRule="auto"/>
        <w:ind w:left="0" w:firstLine="0"/>
        <w:rPr>
          <w:b/>
        </w:rPr>
      </w:pPr>
    </w:p>
    <w:p w:rsidR="00DE1748" w:rsidRPr="00045FB5" w:rsidP="00D55A35" w14:paraId="503E3853" w14:textId="750F85E8">
      <w:pPr>
        <w:suppressAutoHyphens/>
        <w:spacing w:after="0" w:line="259" w:lineRule="auto"/>
        <w:ind w:left="0" w:firstLine="0"/>
      </w:pPr>
      <w:bookmarkStart w:id="7" w:name="_Hlk161149276"/>
      <w:r w:rsidRPr="00045FB5">
        <w:t xml:space="preserve">The Commission requires this information to perform its mandated oversight and review responsibilities with respect to electric transmission rates being just and reasonable.  Without this information, the Commission would be unable to meet its statutory responsibility under </w:t>
      </w:r>
      <w:r w:rsidRPr="00045FB5" w:rsidR="00D91F7A">
        <w:t>s</w:t>
      </w:r>
      <w:r w:rsidRPr="00045FB5">
        <w:t>ection 206 of the FPA to ensure that electric utility rates and tariffs are not unjust, unreasonable, or unduly discriminatory or preferential.  Failing to meet this responsibility could result in public utilities charging rates that are not just and reasonable.</w:t>
      </w:r>
      <w:bookmarkEnd w:id="7"/>
    </w:p>
    <w:p w:rsidR="009B0C21" w:rsidRPr="00045FB5" w:rsidP="00D55A35" w14:paraId="1C77F93C" w14:textId="12EBF9D1">
      <w:pPr>
        <w:suppressAutoHyphens/>
        <w:spacing w:after="0" w:line="259" w:lineRule="auto"/>
        <w:ind w:left="0" w:firstLine="0"/>
        <w:rPr>
          <w:b/>
        </w:rPr>
      </w:pPr>
    </w:p>
    <w:p w:rsidR="00DD755B" w:rsidRPr="00045FB5" w:rsidP="00A67B72" w14:paraId="3C6F33EB" w14:textId="62B72BDA">
      <w:pPr>
        <w:pStyle w:val="Heading1"/>
        <w:numPr>
          <w:ilvl w:val="0"/>
          <w:numId w:val="2"/>
        </w:numPr>
        <w:ind w:left="720" w:hanging="648"/>
      </w:pPr>
      <w:r w:rsidRPr="00045FB5">
        <w:t xml:space="preserve">EXPLAIN ANY SPECIAL CIRCUMSTANCES RELATING TO THE INFORMATION COLLECTION </w:t>
      </w:r>
    </w:p>
    <w:p w:rsidR="00DF0CC6" w:rsidRPr="00045FB5" w14:paraId="1D12DCFB" w14:textId="77777777">
      <w:pPr>
        <w:ind w:left="0" w:firstLine="0"/>
      </w:pPr>
    </w:p>
    <w:p w:rsidR="00DD755B" w:rsidRPr="00045FB5" w:rsidP="00FC3FBB" w14:paraId="386011C5" w14:textId="11719FAE">
      <w:pPr>
        <w:spacing w:after="0" w:line="259" w:lineRule="auto"/>
        <w:ind w:left="0" w:firstLine="0"/>
      </w:pPr>
      <w:r w:rsidRPr="00045FB5">
        <w:t>This collection contains no special circumstances.</w:t>
      </w:r>
      <w:r w:rsidRPr="00045FB5" w:rsidR="00383548">
        <w:t xml:space="preserve"> </w:t>
      </w:r>
    </w:p>
    <w:p w:rsidR="00076115" w:rsidRPr="00045FB5" w14:paraId="324118F7" w14:textId="77777777">
      <w:pPr>
        <w:spacing w:after="0" w:line="259" w:lineRule="auto"/>
        <w:ind w:left="360" w:firstLine="0"/>
      </w:pPr>
    </w:p>
    <w:p w:rsidR="00DD755B" w:rsidRPr="00045FB5" w:rsidP="00A67B72" w14:paraId="5D0A4110" w14:textId="2B0F7CAE">
      <w:pPr>
        <w:pStyle w:val="Heading1"/>
        <w:numPr>
          <w:ilvl w:val="0"/>
          <w:numId w:val="2"/>
        </w:numPr>
        <w:ind w:left="720" w:hanging="648"/>
      </w:pPr>
      <w:r w:rsidRPr="00045FB5">
        <w:t xml:space="preserve">DESCRIBE EFFORTS TO CONSULT OUTSIDE THE AGENCY: </w:t>
      </w:r>
      <w:r w:rsidRPr="00045FB5" w:rsidR="002F1C41">
        <w:t xml:space="preserve"> </w:t>
      </w:r>
      <w:r w:rsidRPr="00045FB5">
        <w:t>SUMMARIZE PUBLIC COMMENTS AND THE AGENCY</w:t>
      </w:r>
      <w:r w:rsidRPr="00045FB5" w:rsidR="00665736">
        <w:t>’</w:t>
      </w:r>
      <w:r w:rsidRPr="00045FB5">
        <w:t xml:space="preserve">S RESPONSE TO THESE COMMENTS </w:t>
      </w:r>
    </w:p>
    <w:p w:rsidR="00DF0CC6" w:rsidRPr="00045FB5" w:rsidP="0090586F" w14:paraId="11A14DA2" w14:textId="77777777">
      <w:pPr>
        <w:spacing w:after="0" w:line="259" w:lineRule="auto"/>
        <w:ind w:left="0" w:firstLine="0"/>
      </w:pPr>
    </w:p>
    <w:p w:rsidR="00DF11C3" w:rsidRPr="00045FB5" w:rsidP="00D55A35" w14:paraId="72F529D5" w14:textId="21E7AA3D">
      <w:pPr>
        <w:suppressAutoHyphens/>
        <w:spacing w:after="0" w:line="259" w:lineRule="auto"/>
        <w:ind w:left="0" w:firstLine="0"/>
      </w:pPr>
      <w:bookmarkStart w:id="8" w:name="_Hlk161149298"/>
      <w:r w:rsidRPr="00045FB5">
        <w:t xml:space="preserve">The Commission issued </w:t>
      </w:r>
      <w:r w:rsidRPr="00045FB5" w:rsidR="001E11A7">
        <w:t>a Notice of Proposed Rulemaking</w:t>
      </w:r>
      <w:r w:rsidRPr="00045FB5">
        <w:t xml:space="preserve"> on March 21, 2024 and it </w:t>
      </w:r>
      <w:r w:rsidRPr="00045FB5" w:rsidR="00F26F96">
        <w:t xml:space="preserve">was </w:t>
      </w:r>
      <w:r w:rsidRPr="00045FB5">
        <w:t xml:space="preserve">published in the Federal Register on </w:t>
      </w:r>
      <w:r w:rsidRPr="00045FB5" w:rsidR="00C0463E">
        <w:t>March 28, 2024</w:t>
      </w:r>
      <w:r w:rsidRPr="00045FB5">
        <w:t>.</w:t>
      </w:r>
      <w:r w:rsidRPr="00045FB5" w:rsidR="00435BDC">
        <w:t xml:space="preserve"> </w:t>
      </w:r>
      <w:r w:rsidRPr="00045FB5">
        <w:t xml:space="preserve"> </w:t>
      </w:r>
      <w:r w:rsidRPr="00045FB5" w:rsidR="009F0BA6">
        <w:t xml:space="preserve">The Notice of </w:t>
      </w:r>
      <w:r w:rsidRPr="00045FB5" w:rsidR="00F26F96">
        <w:t xml:space="preserve">Proposed Rulemaking </w:t>
      </w:r>
      <w:r w:rsidRPr="00045FB5" w:rsidR="0029264C">
        <w:t>sought comments on the proposal generally, and comments specifically on:  (1) the impact on reliability; (2) the length and alignment of any potential transition period; (3) the impact on investment; and (4) existing reactive power compensation regimes.  These matters fall into two categories:  (1) the contention that it is unjust and unreasonable for transmission providers to pay generating facilities for reactive power capability within the standard power factor range as set forth in generating facilities’ interconnection agreements, as well as the implications of such a finding; and (2) implementation details of the change.</w:t>
      </w:r>
      <w:bookmarkEnd w:id="8"/>
    </w:p>
    <w:p w:rsidR="00AC12F7" w:rsidRPr="00045FB5" w:rsidP="0090586F" w14:paraId="36464AB2" w14:textId="77777777">
      <w:pPr>
        <w:spacing w:after="0" w:line="259" w:lineRule="auto"/>
        <w:ind w:left="0" w:firstLine="0"/>
      </w:pPr>
    </w:p>
    <w:p w:rsidR="00DD755B" w:rsidRPr="00045FB5" w:rsidP="00A67B72" w14:paraId="00B3A600" w14:textId="1E6BA616">
      <w:pPr>
        <w:pStyle w:val="Heading1"/>
        <w:numPr>
          <w:ilvl w:val="0"/>
          <w:numId w:val="2"/>
        </w:numPr>
        <w:ind w:left="720" w:hanging="648"/>
      </w:pPr>
      <w:r w:rsidRPr="00045FB5">
        <w:t xml:space="preserve">EXPLAIN ANY PAYMENT OR GIFTS TO RESPONDENTS  </w:t>
      </w:r>
    </w:p>
    <w:p w:rsidR="00B84FAE" w:rsidRPr="00045FB5" w14:paraId="5609C993" w14:textId="77777777">
      <w:pPr>
        <w:ind w:left="0" w:firstLine="0"/>
      </w:pPr>
    </w:p>
    <w:p w:rsidR="00DD755B" w:rsidRPr="00045FB5" w14:paraId="06F3F9FD" w14:textId="7C68A834">
      <w:pPr>
        <w:ind w:left="0" w:firstLine="0"/>
      </w:pPr>
      <w:r w:rsidRPr="00045FB5">
        <w:t>The Commission makes n</w:t>
      </w:r>
      <w:r w:rsidRPr="00045FB5" w:rsidR="00383548">
        <w:t>o payments or gifts to respondents</w:t>
      </w:r>
      <w:r w:rsidRPr="00045FB5">
        <w:t xml:space="preserve"> as part of this collection</w:t>
      </w:r>
      <w:r w:rsidRPr="00045FB5" w:rsidR="00383548">
        <w:t xml:space="preserve">. </w:t>
      </w:r>
    </w:p>
    <w:p w:rsidR="00DD755B" w:rsidRPr="00045FB5" w14:paraId="58CA03ED" w14:textId="77777777">
      <w:pPr>
        <w:spacing w:after="0" w:line="259" w:lineRule="auto"/>
        <w:ind w:left="360" w:firstLine="0"/>
      </w:pPr>
      <w:r w:rsidRPr="00045FB5">
        <w:t xml:space="preserve"> </w:t>
      </w:r>
    </w:p>
    <w:p w:rsidR="00DD755B" w:rsidRPr="00045FB5" w:rsidP="00A67B72" w14:paraId="41907AE4" w14:textId="08B025AE">
      <w:pPr>
        <w:pStyle w:val="Heading1"/>
        <w:numPr>
          <w:ilvl w:val="0"/>
          <w:numId w:val="2"/>
        </w:numPr>
        <w:ind w:left="720" w:hanging="648"/>
      </w:pPr>
      <w:r w:rsidRPr="00045FB5">
        <w:t xml:space="preserve">DESCRIBE ANY ASSURANCE OF CONFIDENTIALITY PROVIDED TO RESPONDENTS  </w:t>
      </w:r>
    </w:p>
    <w:p w:rsidR="00B84FAE" w:rsidRPr="00045FB5" w:rsidP="00E335D4" w14:paraId="665D7A9A" w14:textId="77777777">
      <w:pPr>
        <w:ind w:left="10"/>
      </w:pPr>
    </w:p>
    <w:p w:rsidR="005561A3" w:rsidRPr="00045FB5" w:rsidP="005561A3" w14:paraId="753253F4" w14:textId="7F83EFE4">
      <w:pPr>
        <w:ind w:left="10"/>
      </w:pPr>
      <w:bookmarkStart w:id="9" w:name="_Hlk161149312"/>
      <w:r w:rsidRPr="00045FB5">
        <w:t>The Commission does not consider the information collected in FERC-516 filings to be confidential.  However, an entity that chooses to seek confidential treatment of the information may submit a request for the Commission to treat this information as confidential and non-public, consistent with 18 CFR 388.112.</w:t>
      </w:r>
    </w:p>
    <w:bookmarkEnd w:id="9"/>
    <w:p w:rsidR="005561A3" w:rsidRPr="00045FB5" w:rsidP="00E335D4" w14:paraId="753FFF2A" w14:textId="77777777">
      <w:pPr>
        <w:ind w:left="10"/>
      </w:pPr>
    </w:p>
    <w:p w:rsidR="00DD755B" w:rsidRPr="00045FB5" w:rsidP="00A67B72" w14:paraId="19EAEFEE" w14:textId="64055511">
      <w:pPr>
        <w:pStyle w:val="Heading1"/>
        <w:numPr>
          <w:ilvl w:val="0"/>
          <w:numId w:val="2"/>
        </w:numPr>
        <w:ind w:left="720" w:hanging="648"/>
      </w:pPr>
      <w:r w:rsidRPr="00045FB5">
        <w:t xml:space="preserve">PROVIDE ADDITIONAL JUSTIFICATION FOR ANY QUESTIONS OF A SENSITIVE NATURE, SUCH AS SEXUAL BEHAVIOR AND ATTITUDES, RELIGIOUS BELIEFS, AND OTHER MATTERS THAT ARE COMMONLY CONSIDERED PRIVATE </w:t>
      </w:r>
    </w:p>
    <w:p w:rsidR="00B84FAE" w:rsidRPr="00045FB5" w:rsidP="0066792E" w14:paraId="377D756E" w14:textId="77777777">
      <w:pPr>
        <w:spacing w:after="0"/>
        <w:ind w:left="0" w:firstLine="0"/>
      </w:pPr>
    </w:p>
    <w:p w:rsidR="00DD755B" w:rsidRPr="00045FB5" w14:paraId="65033787" w14:textId="1F006BF8">
      <w:pPr>
        <w:spacing w:after="197"/>
        <w:ind w:left="0" w:firstLine="0"/>
      </w:pPr>
      <w:bookmarkStart w:id="10" w:name="_Hlk161149329"/>
      <w:r w:rsidRPr="00045FB5">
        <w:t>There are no questions of a sensitive nature associated with the reporting requirements.</w:t>
      </w:r>
      <w:bookmarkEnd w:id="10"/>
      <w:r w:rsidRPr="00045FB5" w:rsidR="00994107">
        <w:t xml:space="preserve"> </w:t>
      </w:r>
    </w:p>
    <w:p w:rsidR="00271299" w:rsidRPr="00045FB5" w:rsidP="00271299" w14:paraId="5CEE9BC2" w14:textId="01DF00AD">
      <w:pPr>
        <w:pStyle w:val="Heading1"/>
        <w:numPr>
          <w:ilvl w:val="0"/>
          <w:numId w:val="2"/>
        </w:numPr>
        <w:ind w:left="720" w:hanging="648"/>
      </w:pPr>
      <w:r w:rsidRPr="00045FB5">
        <w:t xml:space="preserve">ESTIMATED BURDEN OF COLLECTION OF INFORMATION </w:t>
      </w:r>
    </w:p>
    <w:p w:rsidR="00B84FAE" w:rsidRPr="00045FB5" w:rsidP="00113231" w14:paraId="4A78D1F9" w14:textId="77777777">
      <w:pPr>
        <w:tabs>
          <w:tab w:val="num" w:pos="720"/>
        </w:tabs>
        <w:spacing w:after="0" w:line="240" w:lineRule="auto"/>
        <w:ind w:left="0" w:firstLine="0"/>
        <w:rPr>
          <w:rFonts w:eastAsia="Calibri"/>
          <w:color w:val="auto"/>
        </w:rPr>
      </w:pPr>
    </w:p>
    <w:p w:rsidR="00271299" w:rsidRPr="00045FB5" w:rsidP="00113231" w14:paraId="3A5FA642" w14:textId="16EA7099">
      <w:pPr>
        <w:tabs>
          <w:tab w:val="num" w:pos="720"/>
        </w:tabs>
        <w:spacing w:after="0" w:line="240" w:lineRule="auto"/>
        <w:ind w:left="0" w:firstLine="0"/>
        <w:rPr>
          <w:rFonts w:eastAsia="Calibri"/>
          <w:color w:val="auto"/>
        </w:rPr>
      </w:pPr>
      <w:r w:rsidRPr="00045FB5">
        <w:rPr>
          <w:rFonts w:eastAsia="Calibri"/>
          <w:color w:val="auto"/>
        </w:rPr>
        <w:t xml:space="preserve">The estimated burden in the table below shows the burden related to the </w:t>
      </w:r>
      <w:r w:rsidRPr="00045FB5" w:rsidR="007F3E49">
        <w:rPr>
          <w:rFonts w:eastAsia="Calibri"/>
          <w:color w:val="auto"/>
        </w:rPr>
        <w:t xml:space="preserve">proposed rule in Docket No. RM22-2-000. </w:t>
      </w:r>
    </w:p>
    <w:p w:rsidR="00271299" w:rsidRPr="00045FB5" w:rsidP="00113231" w14:paraId="0C54EE33" w14:textId="77777777">
      <w:pPr>
        <w:tabs>
          <w:tab w:val="num" w:pos="720"/>
        </w:tabs>
        <w:spacing w:after="0" w:line="240" w:lineRule="auto"/>
        <w:ind w:left="0" w:firstLine="0"/>
        <w:rPr>
          <w:rFonts w:eastAsia="Calibri"/>
          <w:color w:val="auto"/>
        </w:rPr>
      </w:pPr>
    </w:p>
    <w:tbl>
      <w:tblPr>
        <w:tblStyle w:val="TableGrid12"/>
        <w:tblW w:w="0" w:type="auto"/>
        <w:tblLook w:val="04A0"/>
      </w:tblPr>
      <w:tblGrid>
        <w:gridCol w:w="1964"/>
        <w:gridCol w:w="1128"/>
        <w:gridCol w:w="1228"/>
        <w:gridCol w:w="1323"/>
        <w:gridCol w:w="1017"/>
        <w:gridCol w:w="1561"/>
        <w:gridCol w:w="1129"/>
      </w:tblGrid>
      <w:tr w14:paraId="6E3B7847" w14:textId="77777777">
        <w:tblPrEx>
          <w:tblW w:w="0" w:type="auto"/>
          <w:tblLook w:val="04A0"/>
        </w:tblPrEx>
        <w:trPr>
          <w:cantSplit/>
          <w:tblHeader/>
        </w:trPr>
        <w:tc>
          <w:tcPr>
            <w:tcW w:w="0" w:type="auto"/>
          </w:tcPr>
          <w:p w:rsidR="00E20EA7" w:rsidRPr="00045FB5" w14:paraId="73029F94" w14:textId="77777777">
            <w:pPr>
              <w:jc w:val="center"/>
              <w:rPr>
                <w:rFonts w:eastAsia="Times New Roman"/>
                <w:b/>
                <w:sz w:val="24"/>
                <w:szCs w:val="24"/>
              </w:rPr>
            </w:pPr>
            <w:bookmarkStart w:id="11" w:name="_Hlk161149349"/>
            <w:r w:rsidRPr="00045FB5">
              <w:rPr>
                <w:rFonts w:eastAsia="Times New Roman"/>
                <w:b/>
                <w:sz w:val="24"/>
                <w:szCs w:val="24"/>
              </w:rPr>
              <w:t>A.</w:t>
            </w:r>
          </w:p>
          <w:p w:rsidR="00E20EA7" w:rsidRPr="00045FB5" w:rsidP="00E20EA7" w14:paraId="46B0D997" w14:textId="77777777">
            <w:pPr>
              <w:spacing w:after="0" w:line="240" w:lineRule="auto"/>
              <w:ind w:left="0" w:firstLine="0"/>
              <w:jc w:val="center"/>
              <w:rPr>
                <w:rFonts w:eastAsia="Times New Roman"/>
                <w:b/>
                <w:sz w:val="24"/>
                <w:szCs w:val="24"/>
              </w:rPr>
            </w:pPr>
            <w:r w:rsidRPr="00045FB5">
              <w:rPr>
                <w:rFonts w:eastAsia="Times New Roman"/>
                <w:b/>
                <w:sz w:val="24"/>
                <w:szCs w:val="24"/>
              </w:rPr>
              <w:t>Collection</w:t>
            </w:r>
          </w:p>
        </w:tc>
        <w:tc>
          <w:tcPr>
            <w:tcW w:w="0" w:type="auto"/>
          </w:tcPr>
          <w:p w:rsidR="00E20EA7" w:rsidRPr="00045FB5" w:rsidP="00E20EA7" w14:paraId="09985432" w14:textId="77777777">
            <w:pPr>
              <w:spacing w:after="0" w:line="240" w:lineRule="auto"/>
              <w:ind w:left="0" w:firstLine="0"/>
              <w:jc w:val="center"/>
              <w:rPr>
                <w:rFonts w:eastAsia="Times New Roman"/>
                <w:b/>
                <w:sz w:val="24"/>
                <w:szCs w:val="24"/>
              </w:rPr>
            </w:pPr>
            <w:r w:rsidRPr="00045FB5">
              <w:rPr>
                <w:rFonts w:eastAsia="Times New Roman"/>
                <w:b/>
                <w:sz w:val="24"/>
                <w:szCs w:val="24"/>
              </w:rPr>
              <w:t>B.</w:t>
            </w:r>
          </w:p>
          <w:p w:rsidR="00E20EA7" w:rsidRPr="00045FB5" w:rsidP="00E20EA7" w14:paraId="33E2A994" w14:textId="77777777">
            <w:pPr>
              <w:spacing w:after="0" w:line="240" w:lineRule="auto"/>
              <w:ind w:left="0" w:firstLine="0"/>
              <w:jc w:val="center"/>
              <w:rPr>
                <w:rFonts w:eastAsia="Times New Roman"/>
                <w:b/>
                <w:sz w:val="24"/>
                <w:szCs w:val="24"/>
              </w:rPr>
            </w:pPr>
            <w:r w:rsidRPr="00045FB5">
              <w:rPr>
                <w:rFonts w:eastAsia="Times New Roman"/>
                <w:b/>
                <w:sz w:val="24"/>
                <w:szCs w:val="24"/>
              </w:rPr>
              <w:t>Number of Respondents</w:t>
            </w:r>
          </w:p>
        </w:tc>
        <w:tc>
          <w:tcPr>
            <w:tcW w:w="1228" w:type="dxa"/>
          </w:tcPr>
          <w:p w:rsidR="00E20EA7" w:rsidRPr="00045FB5" w:rsidP="00E20EA7" w14:paraId="19905B13" w14:textId="77777777">
            <w:pPr>
              <w:spacing w:after="0" w:line="240" w:lineRule="auto"/>
              <w:ind w:left="0" w:firstLine="0"/>
              <w:jc w:val="center"/>
              <w:rPr>
                <w:rFonts w:eastAsia="Times New Roman"/>
                <w:b/>
                <w:sz w:val="24"/>
                <w:szCs w:val="24"/>
              </w:rPr>
            </w:pPr>
            <w:r w:rsidRPr="00045FB5">
              <w:rPr>
                <w:rFonts w:eastAsia="Times New Roman"/>
                <w:b/>
                <w:sz w:val="24"/>
                <w:szCs w:val="24"/>
              </w:rPr>
              <w:t>C.</w:t>
            </w:r>
          </w:p>
          <w:p w:rsidR="00E20EA7" w:rsidRPr="00045FB5" w:rsidP="00E20EA7" w14:paraId="5202A63E" w14:textId="77777777">
            <w:pPr>
              <w:spacing w:after="0" w:line="240" w:lineRule="auto"/>
              <w:ind w:left="0" w:firstLine="0"/>
              <w:jc w:val="center"/>
              <w:rPr>
                <w:rFonts w:eastAsia="Times New Roman"/>
                <w:b/>
                <w:sz w:val="24"/>
                <w:szCs w:val="24"/>
              </w:rPr>
            </w:pPr>
            <w:r w:rsidRPr="00045FB5">
              <w:rPr>
                <w:rFonts w:eastAsia="Times New Roman"/>
                <w:b/>
                <w:sz w:val="24"/>
                <w:szCs w:val="24"/>
              </w:rPr>
              <w:t>Annual Number of Responses per Respondent</w:t>
            </w:r>
          </w:p>
        </w:tc>
        <w:tc>
          <w:tcPr>
            <w:tcW w:w="1323" w:type="dxa"/>
          </w:tcPr>
          <w:p w:rsidR="00E20EA7" w:rsidRPr="00045FB5" w:rsidP="00E20EA7" w14:paraId="4AB07728" w14:textId="77777777">
            <w:pPr>
              <w:spacing w:after="0" w:line="240" w:lineRule="auto"/>
              <w:ind w:left="0" w:firstLine="0"/>
              <w:jc w:val="center"/>
              <w:rPr>
                <w:rFonts w:eastAsia="Times New Roman"/>
                <w:b/>
                <w:sz w:val="24"/>
                <w:szCs w:val="24"/>
              </w:rPr>
            </w:pPr>
            <w:r w:rsidRPr="00045FB5">
              <w:rPr>
                <w:rFonts w:eastAsia="Times New Roman"/>
                <w:b/>
                <w:sz w:val="24"/>
                <w:szCs w:val="24"/>
              </w:rPr>
              <w:t>D.</w:t>
            </w:r>
          </w:p>
          <w:p w:rsidR="00E20EA7" w:rsidRPr="00045FB5" w:rsidP="00E20EA7" w14:paraId="6ED8232D" w14:textId="77777777">
            <w:pPr>
              <w:spacing w:after="0" w:line="240" w:lineRule="auto"/>
              <w:ind w:left="0" w:firstLine="0"/>
              <w:jc w:val="center"/>
              <w:rPr>
                <w:rFonts w:eastAsia="Times New Roman"/>
                <w:b/>
                <w:sz w:val="24"/>
                <w:szCs w:val="24"/>
              </w:rPr>
            </w:pPr>
            <w:r w:rsidRPr="00045FB5">
              <w:rPr>
                <w:rFonts w:eastAsia="Times New Roman"/>
                <w:b/>
                <w:sz w:val="24"/>
                <w:szCs w:val="24"/>
              </w:rPr>
              <w:t>Total Number of Responses</w:t>
            </w:r>
          </w:p>
          <w:p w:rsidR="00E20EA7" w:rsidRPr="00045FB5" w:rsidP="00E20EA7" w14:paraId="74CA79E5" w14:textId="77777777">
            <w:pPr>
              <w:spacing w:after="0" w:line="240" w:lineRule="auto"/>
              <w:ind w:left="0" w:firstLine="0"/>
              <w:jc w:val="center"/>
              <w:rPr>
                <w:rFonts w:eastAsia="Times New Roman"/>
                <w:b/>
                <w:sz w:val="24"/>
                <w:szCs w:val="24"/>
              </w:rPr>
            </w:pPr>
            <w:r w:rsidRPr="00045FB5">
              <w:rPr>
                <w:rFonts w:eastAsia="Times New Roman"/>
                <w:b/>
                <w:sz w:val="24"/>
                <w:szCs w:val="24"/>
              </w:rPr>
              <w:t>(Column B x Column C)</w:t>
            </w:r>
          </w:p>
        </w:tc>
        <w:tc>
          <w:tcPr>
            <w:tcW w:w="1017" w:type="dxa"/>
          </w:tcPr>
          <w:p w:rsidR="00E20EA7" w:rsidRPr="00045FB5" w:rsidP="00E20EA7" w14:paraId="16B32C79" w14:textId="77777777">
            <w:pPr>
              <w:spacing w:after="0" w:line="240" w:lineRule="auto"/>
              <w:ind w:left="0" w:firstLine="0"/>
              <w:jc w:val="center"/>
              <w:rPr>
                <w:rFonts w:eastAsia="Times New Roman"/>
                <w:b/>
                <w:sz w:val="24"/>
                <w:szCs w:val="24"/>
              </w:rPr>
            </w:pPr>
            <w:r w:rsidRPr="00045FB5">
              <w:rPr>
                <w:rFonts w:eastAsia="Times New Roman"/>
                <w:b/>
                <w:sz w:val="24"/>
                <w:szCs w:val="24"/>
              </w:rPr>
              <w:t>E.</w:t>
            </w:r>
          </w:p>
          <w:p w:rsidR="00E20EA7" w:rsidRPr="00045FB5" w:rsidP="00E20EA7" w14:paraId="72BDCF2F" w14:textId="77777777">
            <w:pPr>
              <w:spacing w:after="0" w:line="240" w:lineRule="auto"/>
              <w:ind w:left="0" w:firstLine="0"/>
              <w:jc w:val="center"/>
              <w:rPr>
                <w:rFonts w:eastAsia="Times New Roman"/>
                <w:b/>
                <w:sz w:val="24"/>
                <w:szCs w:val="24"/>
              </w:rPr>
            </w:pPr>
            <w:r w:rsidRPr="00045FB5">
              <w:rPr>
                <w:rFonts w:eastAsia="Times New Roman"/>
                <w:b/>
                <w:sz w:val="24"/>
                <w:szCs w:val="24"/>
              </w:rPr>
              <w:t>Average Burden Hrs. &amp;</w:t>
            </w:r>
          </w:p>
          <w:p w:rsidR="00E20EA7" w:rsidRPr="00045FB5" w:rsidP="00E20EA7" w14:paraId="76C224DF" w14:textId="77777777">
            <w:pPr>
              <w:spacing w:after="0" w:line="240" w:lineRule="auto"/>
              <w:ind w:left="0" w:firstLine="0"/>
              <w:jc w:val="center"/>
              <w:rPr>
                <w:rFonts w:eastAsia="Times New Roman"/>
                <w:b/>
                <w:sz w:val="24"/>
                <w:szCs w:val="24"/>
              </w:rPr>
            </w:pPr>
            <w:r w:rsidRPr="00045FB5">
              <w:rPr>
                <w:rFonts w:eastAsia="Times New Roman"/>
                <w:b/>
                <w:sz w:val="24"/>
                <w:szCs w:val="24"/>
              </w:rPr>
              <w:t>Cost per  Response</w:t>
            </w:r>
          </w:p>
        </w:tc>
        <w:tc>
          <w:tcPr>
            <w:tcW w:w="1561" w:type="dxa"/>
          </w:tcPr>
          <w:p w:rsidR="00E20EA7" w:rsidRPr="00045FB5" w:rsidP="00E20EA7" w14:paraId="110D874F" w14:textId="77777777">
            <w:pPr>
              <w:spacing w:after="0" w:line="240" w:lineRule="auto"/>
              <w:ind w:left="0" w:firstLine="0"/>
              <w:jc w:val="center"/>
              <w:rPr>
                <w:rFonts w:eastAsia="Times New Roman"/>
                <w:b/>
                <w:sz w:val="24"/>
                <w:szCs w:val="24"/>
              </w:rPr>
            </w:pPr>
            <w:r w:rsidRPr="00045FB5">
              <w:rPr>
                <w:rFonts w:eastAsia="Times New Roman"/>
                <w:b/>
                <w:sz w:val="24"/>
                <w:szCs w:val="24"/>
              </w:rPr>
              <w:t>F.</w:t>
            </w:r>
          </w:p>
          <w:p w:rsidR="00E20EA7" w:rsidRPr="00045FB5" w:rsidP="00E20EA7" w14:paraId="4F0CA4C2" w14:textId="77777777">
            <w:pPr>
              <w:spacing w:after="0" w:line="240" w:lineRule="auto"/>
              <w:ind w:left="0" w:firstLine="0"/>
              <w:jc w:val="center"/>
              <w:rPr>
                <w:rFonts w:eastAsia="Times New Roman"/>
                <w:b/>
                <w:sz w:val="24"/>
                <w:szCs w:val="24"/>
              </w:rPr>
            </w:pPr>
            <w:r w:rsidRPr="00045FB5">
              <w:rPr>
                <w:rFonts w:eastAsia="Times New Roman"/>
                <w:b/>
                <w:sz w:val="24"/>
                <w:szCs w:val="24"/>
              </w:rPr>
              <w:t>Total Annual Hr. Burdens &amp; Total Annual Cost</w:t>
            </w:r>
          </w:p>
          <w:p w:rsidR="00E20EA7" w:rsidRPr="00045FB5" w:rsidP="00E20EA7" w14:paraId="3319961F" w14:textId="77777777">
            <w:pPr>
              <w:spacing w:after="0" w:line="240" w:lineRule="auto"/>
              <w:ind w:left="0" w:firstLine="0"/>
              <w:jc w:val="center"/>
              <w:rPr>
                <w:rFonts w:eastAsia="Times New Roman"/>
                <w:b/>
                <w:sz w:val="24"/>
                <w:szCs w:val="24"/>
              </w:rPr>
            </w:pPr>
            <w:r w:rsidRPr="00045FB5">
              <w:rPr>
                <w:rFonts w:eastAsia="Times New Roman"/>
                <w:b/>
                <w:sz w:val="24"/>
                <w:szCs w:val="24"/>
              </w:rPr>
              <w:t>(Column D x Column E)</w:t>
            </w:r>
          </w:p>
        </w:tc>
        <w:tc>
          <w:tcPr>
            <w:tcW w:w="0" w:type="auto"/>
          </w:tcPr>
          <w:p w:rsidR="00E20EA7" w:rsidRPr="00045FB5" w:rsidP="00E20EA7" w14:paraId="77A0EF76" w14:textId="77777777">
            <w:pPr>
              <w:spacing w:after="0" w:line="240" w:lineRule="auto"/>
              <w:ind w:left="0" w:firstLine="0"/>
              <w:jc w:val="center"/>
              <w:rPr>
                <w:rFonts w:eastAsia="Times New Roman"/>
                <w:b/>
                <w:sz w:val="24"/>
                <w:szCs w:val="24"/>
              </w:rPr>
            </w:pPr>
            <w:r w:rsidRPr="00045FB5">
              <w:rPr>
                <w:rFonts w:eastAsia="Times New Roman"/>
                <w:b/>
                <w:sz w:val="24"/>
                <w:szCs w:val="24"/>
              </w:rPr>
              <w:t>G.</w:t>
            </w:r>
          </w:p>
          <w:p w:rsidR="00E20EA7" w:rsidRPr="00045FB5" w:rsidP="00E20EA7" w14:paraId="740F77A7" w14:textId="77777777">
            <w:pPr>
              <w:spacing w:after="0" w:line="240" w:lineRule="auto"/>
              <w:ind w:left="0" w:firstLine="0"/>
              <w:jc w:val="center"/>
              <w:rPr>
                <w:rFonts w:eastAsia="Times New Roman"/>
                <w:b/>
                <w:sz w:val="24"/>
                <w:szCs w:val="24"/>
              </w:rPr>
            </w:pPr>
            <w:r w:rsidRPr="00045FB5">
              <w:rPr>
                <w:rFonts w:eastAsia="Times New Roman"/>
                <w:b/>
                <w:sz w:val="24"/>
                <w:szCs w:val="24"/>
              </w:rPr>
              <w:t>Cost per  Respondent</w:t>
            </w:r>
          </w:p>
          <w:p w:rsidR="00E20EA7" w:rsidRPr="00045FB5" w:rsidP="00E20EA7" w14:paraId="106E3031" w14:textId="77777777">
            <w:pPr>
              <w:spacing w:after="0" w:line="240" w:lineRule="auto"/>
              <w:ind w:left="0" w:firstLine="0"/>
              <w:jc w:val="center"/>
              <w:rPr>
                <w:rFonts w:eastAsia="Times New Roman"/>
                <w:b/>
                <w:sz w:val="24"/>
                <w:szCs w:val="24"/>
              </w:rPr>
            </w:pPr>
            <w:r w:rsidRPr="00045FB5">
              <w:rPr>
                <w:rFonts w:eastAsia="Times New Roman"/>
                <w:b/>
                <w:sz w:val="24"/>
                <w:szCs w:val="24"/>
              </w:rPr>
              <w:t>(Column F ÷ Column B)</w:t>
            </w:r>
          </w:p>
        </w:tc>
      </w:tr>
      <w:tr w14:paraId="530D9062" w14:textId="77777777">
        <w:tblPrEx>
          <w:tblW w:w="0" w:type="auto"/>
          <w:tblLook w:val="04A0"/>
        </w:tblPrEx>
        <w:trPr>
          <w:cantSplit/>
        </w:trPr>
        <w:tc>
          <w:tcPr>
            <w:tcW w:w="0" w:type="auto"/>
            <w:vAlign w:val="bottom"/>
          </w:tcPr>
          <w:p w:rsidR="00E20EA7" w:rsidRPr="00045FB5" w:rsidP="00E20EA7" w14:paraId="614453B1" w14:textId="1957CF4E">
            <w:pPr>
              <w:spacing w:after="0" w:line="240" w:lineRule="auto"/>
              <w:ind w:left="0" w:firstLine="0"/>
              <w:jc w:val="right"/>
              <w:rPr>
                <w:rFonts w:eastAsia="Times New Roman"/>
                <w:sz w:val="24"/>
                <w:szCs w:val="24"/>
              </w:rPr>
            </w:pPr>
            <w:r w:rsidRPr="00045FB5">
              <w:rPr>
                <w:rFonts w:eastAsia="Times New Roman"/>
                <w:sz w:val="24"/>
                <w:szCs w:val="24"/>
              </w:rPr>
              <w:t>Entities with Pro Forma Large Generator Interconnection Agreements (one-time compliance filing)</w:t>
            </w:r>
          </w:p>
        </w:tc>
        <w:tc>
          <w:tcPr>
            <w:tcW w:w="0" w:type="auto"/>
            <w:vAlign w:val="bottom"/>
          </w:tcPr>
          <w:p w:rsidR="00E20EA7" w:rsidRPr="00045FB5" w:rsidP="00E20EA7" w14:paraId="154B91A2" w14:textId="775520ED">
            <w:pPr>
              <w:spacing w:after="0" w:line="240" w:lineRule="auto"/>
              <w:ind w:left="0" w:firstLine="0"/>
              <w:jc w:val="right"/>
              <w:rPr>
                <w:rFonts w:eastAsia="Times New Roman"/>
                <w:sz w:val="24"/>
                <w:szCs w:val="24"/>
              </w:rPr>
            </w:pPr>
            <w:r w:rsidRPr="00045FB5">
              <w:rPr>
                <w:rFonts w:eastAsia="Times New Roman"/>
                <w:sz w:val="24"/>
                <w:szCs w:val="24"/>
              </w:rPr>
              <w:t>43</w:t>
            </w:r>
          </w:p>
        </w:tc>
        <w:tc>
          <w:tcPr>
            <w:tcW w:w="1228" w:type="dxa"/>
            <w:vAlign w:val="bottom"/>
          </w:tcPr>
          <w:p w:rsidR="00E20EA7" w:rsidRPr="00045FB5" w:rsidP="00E20EA7" w14:paraId="0F1EAFA6" w14:textId="77777777">
            <w:pPr>
              <w:spacing w:after="0" w:line="240" w:lineRule="auto"/>
              <w:ind w:left="0" w:firstLine="0"/>
              <w:jc w:val="right"/>
              <w:rPr>
                <w:rFonts w:eastAsia="Times New Roman"/>
                <w:sz w:val="24"/>
                <w:szCs w:val="24"/>
              </w:rPr>
            </w:pPr>
            <w:r w:rsidRPr="00045FB5">
              <w:rPr>
                <w:rFonts w:eastAsia="Times New Roman"/>
                <w:sz w:val="24"/>
                <w:szCs w:val="24"/>
              </w:rPr>
              <w:t>1</w:t>
            </w:r>
          </w:p>
        </w:tc>
        <w:tc>
          <w:tcPr>
            <w:tcW w:w="1323" w:type="dxa"/>
            <w:vAlign w:val="bottom"/>
          </w:tcPr>
          <w:p w:rsidR="00E20EA7" w:rsidRPr="00045FB5" w:rsidP="00E20EA7" w14:paraId="274524D6" w14:textId="66071270">
            <w:pPr>
              <w:spacing w:after="0" w:line="240" w:lineRule="auto"/>
              <w:ind w:left="0" w:firstLine="0"/>
              <w:jc w:val="right"/>
              <w:rPr>
                <w:rFonts w:eastAsia="Times New Roman"/>
                <w:sz w:val="24"/>
                <w:szCs w:val="24"/>
              </w:rPr>
            </w:pPr>
            <w:r w:rsidRPr="00045FB5">
              <w:rPr>
                <w:rFonts w:eastAsia="Times New Roman"/>
                <w:sz w:val="24"/>
                <w:szCs w:val="24"/>
              </w:rPr>
              <w:t>43</w:t>
            </w:r>
          </w:p>
        </w:tc>
        <w:tc>
          <w:tcPr>
            <w:tcW w:w="1017" w:type="dxa"/>
            <w:vAlign w:val="bottom"/>
          </w:tcPr>
          <w:p w:rsidR="00E20EA7" w:rsidRPr="00045FB5" w:rsidP="00E20EA7" w14:paraId="22A2DBB1" w14:textId="77777777">
            <w:pPr>
              <w:spacing w:after="0" w:line="240" w:lineRule="auto"/>
              <w:ind w:left="0" w:firstLine="0"/>
              <w:jc w:val="right"/>
              <w:rPr>
                <w:rFonts w:eastAsia="Times New Roman"/>
                <w:sz w:val="24"/>
                <w:szCs w:val="24"/>
              </w:rPr>
            </w:pPr>
            <w:r w:rsidRPr="00045FB5">
              <w:rPr>
                <w:rFonts w:eastAsia="Times New Roman"/>
                <w:sz w:val="24"/>
                <w:szCs w:val="24"/>
              </w:rPr>
              <w:t>4 hrs.; $400</w:t>
            </w:r>
          </w:p>
        </w:tc>
        <w:tc>
          <w:tcPr>
            <w:tcW w:w="1561" w:type="dxa"/>
            <w:vAlign w:val="bottom"/>
          </w:tcPr>
          <w:p w:rsidR="00E20EA7" w:rsidRPr="00045FB5" w:rsidP="00E20EA7" w14:paraId="5CD2E6BF" w14:textId="4A2869D5">
            <w:pPr>
              <w:spacing w:after="0" w:line="240" w:lineRule="auto"/>
              <w:ind w:left="0" w:firstLine="0"/>
              <w:jc w:val="right"/>
              <w:rPr>
                <w:rFonts w:eastAsia="Times New Roman"/>
                <w:sz w:val="24"/>
                <w:szCs w:val="24"/>
              </w:rPr>
            </w:pPr>
            <w:r w:rsidRPr="00045FB5">
              <w:rPr>
                <w:rFonts w:eastAsia="Times New Roman"/>
                <w:sz w:val="24"/>
                <w:szCs w:val="24"/>
              </w:rPr>
              <w:t>172 hrs.; $17,200</w:t>
            </w:r>
          </w:p>
        </w:tc>
        <w:tc>
          <w:tcPr>
            <w:tcW w:w="0" w:type="auto"/>
            <w:vAlign w:val="bottom"/>
          </w:tcPr>
          <w:p w:rsidR="00E20EA7" w:rsidRPr="00045FB5" w:rsidP="00E20EA7" w14:paraId="21EB183D" w14:textId="77777777">
            <w:pPr>
              <w:spacing w:after="0" w:line="240" w:lineRule="auto"/>
              <w:ind w:left="0" w:firstLine="0"/>
              <w:jc w:val="right"/>
              <w:rPr>
                <w:rFonts w:eastAsia="Times New Roman"/>
                <w:sz w:val="24"/>
                <w:szCs w:val="24"/>
              </w:rPr>
            </w:pPr>
            <w:r w:rsidRPr="00045FB5">
              <w:rPr>
                <w:rFonts w:eastAsia="Times New Roman"/>
                <w:sz w:val="24"/>
                <w:szCs w:val="24"/>
              </w:rPr>
              <w:t>$400</w:t>
            </w:r>
          </w:p>
        </w:tc>
      </w:tr>
      <w:tr w14:paraId="3B0F9BEA" w14:textId="77777777">
        <w:tblPrEx>
          <w:tblW w:w="0" w:type="auto"/>
          <w:tblLook w:val="04A0"/>
        </w:tblPrEx>
        <w:trPr>
          <w:cantSplit/>
        </w:trPr>
        <w:tc>
          <w:tcPr>
            <w:tcW w:w="0" w:type="auto"/>
            <w:vAlign w:val="bottom"/>
          </w:tcPr>
          <w:p w:rsidR="00E20EA7" w:rsidRPr="00045FB5" w:rsidP="00E20EA7" w14:paraId="4A68F098" w14:textId="77777777">
            <w:pPr>
              <w:spacing w:after="0" w:line="240" w:lineRule="auto"/>
              <w:ind w:left="0" w:firstLine="0"/>
              <w:jc w:val="right"/>
              <w:rPr>
                <w:rFonts w:eastAsia="Times New Roman"/>
                <w:sz w:val="24"/>
                <w:szCs w:val="24"/>
              </w:rPr>
            </w:pPr>
            <w:r w:rsidRPr="00045FB5">
              <w:rPr>
                <w:rFonts w:eastAsia="Times New Roman"/>
                <w:sz w:val="24"/>
                <w:szCs w:val="24"/>
              </w:rPr>
              <w:t>Totals</w:t>
            </w:r>
          </w:p>
        </w:tc>
        <w:tc>
          <w:tcPr>
            <w:tcW w:w="0" w:type="auto"/>
            <w:vAlign w:val="bottom"/>
          </w:tcPr>
          <w:p w:rsidR="00E20EA7" w:rsidRPr="00045FB5" w:rsidP="00E20EA7" w14:paraId="36E2CDC3" w14:textId="77777777">
            <w:pPr>
              <w:spacing w:after="0" w:line="240" w:lineRule="auto"/>
              <w:ind w:left="0" w:firstLine="0"/>
              <w:jc w:val="center"/>
              <w:rPr>
                <w:rFonts w:eastAsia="Times New Roman"/>
                <w:sz w:val="24"/>
                <w:szCs w:val="24"/>
              </w:rPr>
            </w:pPr>
          </w:p>
        </w:tc>
        <w:tc>
          <w:tcPr>
            <w:tcW w:w="1228" w:type="dxa"/>
            <w:vAlign w:val="bottom"/>
          </w:tcPr>
          <w:p w:rsidR="00E20EA7" w:rsidRPr="00045FB5" w:rsidP="00E20EA7" w14:paraId="35FC83D0" w14:textId="77777777">
            <w:pPr>
              <w:spacing w:after="0" w:line="240" w:lineRule="auto"/>
              <w:ind w:left="0" w:firstLine="0"/>
              <w:jc w:val="right"/>
              <w:rPr>
                <w:rFonts w:eastAsia="Times New Roman"/>
                <w:sz w:val="24"/>
                <w:szCs w:val="24"/>
              </w:rPr>
            </w:pPr>
            <w:r w:rsidRPr="00045FB5">
              <w:rPr>
                <w:rFonts w:eastAsia="Times New Roman"/>
                <w:sz w:val="24"/>
                <w:szCs w:val="24"/>
              </w:rPr>
              <w:t>―</w:t>
            </w:r>
          </w:p>
        </w:tc>
        <w:tc>
          <w:tcPr>
            <w:tcW w:w="1323" w:type="dxa"/>
            <w:vAlign w:val="bottom"/>
          </w:tcPr>
          <w:p w:rsidR="00E20EA7" w:rsidRPr="00045FB5" w:rsidP="00E20EA7" w14:paraId="33599177" w14:textId="77777777">
            <w:pPr>
              <w:spacing w:after="0" w:line="240" w:lineRule="auto"/>
              <w:ind w:left="0" w:firstLine="0"/>
              <w:jc w:val="right"/>
              <w:rPr>
                <w:rFonts w:eastAsia="Times New Roman"/>
                <w:sz w:val="24"/>
                <w:szCs w:val="24"/>
              </w:rPr>
            </w:pPr>
          </w:p>
        </w:tc>
        <w:tc>
          <w:tcPr>
            <w:tcW w:w="1017" w:type="dxa"/>
            <w:vAlign w:val="bottom"/>
          </w:tcPr>
          <w:p w:rsidR="00E20EA7" w:rsidRPr="00045FB5" w:rsidP="00E20EA7" w14:paraId="0E2E3FFA" w14:textId="77777777">
            <w:pPr>
              <w:spacing w:after="0" w:line="240" w:lineRule="auto"/>
              <w:ind w:left="0" w:firstLine="0"/>
              <w:jc w:val="right"/>
              <w:rPr>
                <w:rFonts w:eastAsia="Times New Roman"/>
                <w:sz w:val="24"/>
                <w:szCs w:val="24"/>
              </w:rPr>
            </w:pPr>
            <w:r w:rsidRPr="00045FB5">
              <w:rPr>
                <w:rFonts w:eastAsia="Times New Roman"/>
                <w:sz w:val="24"/>
                <w:szCs w:val="24"/>
              </w:rPr>
              <w:t>―</w:t>
            </w:r>
          </w:p>
        </w:tc>
        <w:tc>
          <w:tcPr>
            <w:tcW w:w="1561" w:type="dxa"/>
            <w:vAlign w:val="bottom"/>
          </w:tcPr>
          <w:p w:rsidR="00E20EA7" w:rsidRPr="00045FB5" w:rsidP="00E20EA7" w14:paraId="1F5900B6" w14:textId="276B318B">
            <w:pPr>
              <w:spacing w:after="0" w:line="240" w:lineRule="auto"/>
              <w:ind w:left="0" w:firstLine="0"/>
              <w:jc w:val="center"/>
              <w:rPr>
                <w:rFonts w:eastAsia="Times New Roman"/>
                <w:sz w:val="24"/>
                <w:szCs w:val="24"/>
              </w:rPr>
            </w:pPr>
            <w:r w:rsidRPr="00045FB5">
              <w:rPr>
                <w:rFonts w:eastAsia="Times New Roman"/>
                <w:sz w:val="24"/>
                <w:szCs w:val="24"/>
              </w:rPr>
              <w:t>172 hrs.; $17,200</w:t>
            </w:r>
          </w:p>
        </w:tc>
        <w:tc>
          <w:tcPr>
            <w:tcW w:w="0" w:type="auto"/>
            <w:vAlign w:val="bottom"/>
          </w:tcPr>
          <w:p w:rsidR="00E20EA7" w:rsidRPr="00045FB5" w:rsidP="00E20EA7" w14:paraId="347D0402" w14:textId="77777777">
            <w:pPr>
              <w:spacing w:after="0" w:line="240" w:lineRule="auto"/>
              <w:ind w:left="0" w:firstLine="0"/>
              <w:jc w:val="right"/>
              <w:rPr>
                <w:rFonts w:eastAsia="Times New Roman"/>
                <w:sz w:val="24"/>
                <w:szCs w:val="24"/>
              </w:rPr>
            </w:pPr>
            <w:r w:rsidRPr="00045FB5">
              <w:rPr>
                <w:rFonts w:eastAsia="Times New Roman"/>
                <w:sz w:val="24"/>
                <w:szCs w:val="24"/>
              </w:rPr>
              <w:t>―</w:t>
            </w:r>
          </w:p>
        </w:tc>
      </w:tr>
      <w:bookmarkEnd w:id="11"/>
    </w:tbl>
    <w:p w:rsidR="00113231" w:rsidRPr="00045FB5" w:rsidP="00411696" w14:paraId="407EFE34" w14:textId="60DD3C05">
      <w:pPr>
        <w:tabs>
          <w:tab w:val="num" w:pos="720"/>
        </w:tabs>
        <w:spacing w:after="0" w:line="240" w:lineRule="auto"/>
        <w:ind w:left="0" w:firstLine="0"/>
      </w:pPr>
    </w:p>
    <w:p w:rsidR="00E20EA7" w:rsidRPr="00045FB5" w:rsidP="00411696" w14:paraId="77ACE670" w14:textId="77777777">
      <w:pPr>
        <w:tabs>
          <w:tab w:val="num" w:pos="720"/>
        </w:tabs>
        <w:spacing w:after="0" w:line="240" w:lineRule="auto"/>
        <w:ind w:left="0" w:firstLine="0"/>
      </w:pPr>
    </w:p>
    <w:p w:rsidR="00DD755B" w:rsidRPr="00045FB5" w:rsidP="00A67B72" w14:paraId="04AA4D5D" w14:textId="4744F9B7">
      <w:pPr>
        <w:pStyle w:val="Heading1"/>
        <w:numPr>
          <w:ilvl w:val="0"/>
          <w:numId w:val="2"/>
        </w:numPr>
        <w:ind w:left="720" w:hanging="648"/>
      </w:pPr>
      <w:r w:rsidRPr="00045FB5">
        <w:t xml:space="preserve">ESTIMATE OF THE TOTAL ANNUAL COST BURDEN TO RESPONDENTS </w:t>
      </w:r>
    </w:p>
    <w:p w:rsidR="00A67B72" w:rsidRPr="00045FB5" w14:paraId="2D3639C3" w14:textId="77777777">
      <w:pPr>
        <w:spacing w:after="0" w:line="259" w:lineRule="auto"/>
        <w:ind w:left="0" w:firstLine="0"/>
      </w:pPr>
    </w:p>
    <w:p w:rsidR="00DD755B" w:rsidRPr="00045FB5" w14:paraId="619E32E2" w14:textId="3AECE5BC">
      <w:pPr>
        <w:spacing w:after="0" w:line="259" w:lineRule="auto"/>
        <w:ind w:left="0" w:firstLine="0"/>
      </w:pPr>
      <w:r w:rsidRPr="00045FB5">
        <w:t xml:space="preserve">There are no non-labor or </w:t>
      </w:r>
      <w:r w:rsidRPr="00045FB5" w:rsidR="00206188">
        <w:rPr>
          <w:rFonts w:eastAsiaTheme="minorHAnsi"/>
          <w:color w:val="auto"/>
        </w:rPr>
        <w:t>Paperwork Reduction Act (PRA)</w:t>
      </w:r>
      <w:r w:rsidRPr="00045FB5">
        <w:t>-related costs.  All costs are related to burden hours and are addressed in Questions #12 and #15.</w:t>
      </w:r>
    </w:p>
    <w:p w:rsidR="00DD755B" w:rsidRPr="00045FB5" w14:paraId="0D13035D" w14:textId="77777777">
      <w:pPr>
        <w:spacing w:after="0" w:line="259" w:lineRule="auto"/>
        <w:ind w:left="360" w:firstLine="0"/>
      </w:pPr>
    </w:p>
    <w:p w:rsidR="00DD755B" w:rsidRPr="00045FB5" w:rsidP="00A67B72" w14:paraId="70F25B54" w14:textId="6910CCAE">
      <w:pPr>
        <w:pStyle w:val="Heading1"/>
        <w:numPr>
          <w:ilvl w:val="0"/>
          <w:numId w:val="2"/>
        </w:numPr>
        <w:ind w:left="720" w:hanging="648"/>
      </w:pPr>
      <w:r w:rsidRPr="00045FB5">
        <w:t xml:space="preserve">ESTIMATED ANNUALIZED COST TO FEDERAL GOVERNMENT </w:t>
      </w:r>
    </w:p>
    <w:p w:rsidR="00B84FAE" w:rsidRPr="00045FB5" w14:paraId="773328CF" w14:textId="77777777">
      <w:pPr>
        <w:spacing w:after="0" w:line="240" w:lineRule="auto"/>
        <w:ind w:left="0" w:firstLine="0"/>
        <w:rPr>
          <w:rFonts w:eastAsiaTheme="minorHAnsi"/>
          <w:color w:val="auto"/>
        </w:rPr>
      </w:pPr>
    </w:p>
    <w:p w:rsidR="00DD755B" w:rsidRPr="00045FB5" w:rsidP="00D55A35" w14:paraId="1CA6A7BE" w14:textId="75BEAED1">
      <w:pPr>
        <w:suppressAutoHyphens/>
        <w:spacing w:after="0" w:line="240" w:lineRule="auto"/>
        <w:ind w:left="0" w:firstLine="0"/>
        <w:rPr>
          <w:rFonts w:eastAsiaTheme="minorHAnsi"/>
          <w:color w:val="auto"/>
        </w:rPr>
      </w:pPr>
      <w:r w:rsidRPr="00045FB5">
        <w:rPr>
          <w:rFonts w:eastAsiaTheme="minorHAnsi"/>
          <w:color w:val="auto"/>
        </w:rPr>
        <w:t xml:space="preserve">The estimates of the cost for analysis and processing of filings are based on salaries and benefits for professional and clerical support.  The </w:t>
      </w:r>
      <w:r w:rsidRPr="00045FB5" w:rsidR="00863A4D">
        <w:rPr>
          <w:rFonts w:eastAsiaTheme="minorHAnsi"/>
          <w:color w:val="auto"/>
        </w:rPr>
        <w:t xml:space="preserve">estimated </w:t>
      </w:r>
      <w:r w:rsidRPr="00045FB5">
        <w:rPr>
          <w:rFonts w:eastAsiaTheme="minorHAnsi"/>
          <w:color w:val="auto"/>
        </w:rPr>
        <w:t xml:space="preserve">cost represents staff analysis, decision-making, and review of any actual filings submitted in response to the </w:t>
      </w:r>
      <w:r w:rsidRPr="00045FB5" w:rsidR="0079153E">
        <w:rPr>
          <w:rFonts w:eastAsiaTheme="minorHAnsi"/>
          <w:color w:val="auto"/>
        </w:rPr>
        <w:t xml:space="preserve">entire FERC 516 </w:t>
      </w:r>
      <w:r w:rsidRPr="00045FB5">
        <w:rPr>
          <w:rFonts w:eastAsiaTheme="minorHAnsi"/>
          <w:color w:val="auto"/>
        </w:rPr>
        <w:t>information collection.</w:t>
      </w:r>
    </w:p>
    <w:p w:rsidR="00DD755B" w:rsidRPr="00045FB5" w:rsidP="00D55A35" w14:paraId="407DF22D" w14:textId="77777777">
      <w:pPr>
        <w:suppressAutoHyphens/>
        <w:spacing w:after="0" w:line="240" w:lineRule="auto"/>
        <w:ind w:left="0" w:firstLine="0"/>
        <w:rPr>
          <w:rFonts w:eastAsiaTheme="minorHAnsi"/>
          <w:color w:val="auto"/>
        </w:rPr>
      </w:pPr>
    </w:p>
    <w:p w:rsidR="00DD755B" w:rsidRPr="00045FB5" w:rsidP="00D55A35" w14:paraId="3AC06D22" w14:textId="0C9EEBF5">
      <w:pPr>
        <w:suppressAutoHyphens/>
        <w:spacing w:after="0" w:line="240" w:lineRule="auto"/>
        <w:ind w:left="0" w:firstLine="0"/>
        <w:rPr>
          <w:rFonts w:eastAsiaTheme="minorHAnsi"/>
          <w:color w:val="auto"/>
        </w:rPr>
      </w:pPr>
      <w:r w:rsidRPr="00045FB5">
        <w:rPr>
          <w:rFonts w:eastAsiaTheme="minorHAnsi"/>
          <w:color w:val="auto"/>
        </w:rPr>
        <w:t>The PRA Administrative Cost is a Federal Cost associated with preparing, issuing, and submitting materials necessary to comply with the PRA</w:t>
      </w:r>
      <w:r>
        <w:rPr>
          <w:rStyle w:val="FootnoteReference"/>
          <w:rFonts w:eastAsiaTheme="minorHAnsi"/>
          <w:color w:val="auto"/>
          <w:sz w:val="24"/>
        </w:rPr>
        <w:footnoteReference w:id="5"/>
      </w:r>
      <w:r w:rsidRPr="00045FB5">
        <w:rPr>
          <w:rFonts w:eastAsiaTheme="minorHAnsi"/>
          <w:color w:val="auto"/>
        </w:rPr>
        <w:t xml:space="preserve"> for rulemakings, orders, or any other vehicle used to create, modify, extend, or discontinue an information collection.  This average annual cost includes requests for extensions, all associated rulemakings, other changes to the collection, and publications in the Federal Register.</w:t>
      </w:r>
    </w:p>
    <w:p w:rsidR="00ED0044" w:rsidRPr="00045FB5" w:rsidP="00D55A35" w14:paraId="73D86657" w14:textId="35A2FABE">
      <w:pPr>
        <w:suppressAutoHyphens/>
        <w:spacing w:after="0" w:line="240" w:lineRule="auto"/>
        <w:ind w:left="0" w:firstLine="0"/>
        <w:rPr>
          <w:rFonts w:eastAsiaTheme="minorHAnsi"/>
          <w:color w:val="auto"/>
        </w:rPr>
      </w:pPr>
    </w:p>
    <w:p w:rsidR="00ED0044" w:rsidRPr="00045FB5" w:rsidP="00D55A35" w14:paraId="487A0CE3" w14:textId="7FFA001A">
      <w:pPr>
        <w:suppressAutoHyphens/>
        <w:spacing w:after="0" w:line="240" w:lineRule="auto"/>
        <w:ind w:left="0" w:firstLine="0"/>
        <w:rPr>
          <w:rFonts w:eastAsiaTheme="minorHAnsi"/>
          <w:color w:val="auto"/>
        </w:rPr>
      </w:pPr>
      <w:r w:rsidRPr="00045FB5">
        <w:rPr>
          <w:rFonts w:eastAsiaTheme="minorHAnsi"/>
          <w:color w:val="auto"/>
        </w:rPr>
        <w:t xml:space="preserve">The chart below represents the existing estimated annualized cost to </w:t>
      </w:r>
      <w:r w:rsidRPr="00045FB5" w:rsidR="00760CB2">
        <w:rPr>
          <w:rFonts w:eastAsiaTheme="minorHAnsi"/>
          <w:color w:val="auto"/>
        </w:rPr>
        <w:t xml:space="preserve">the </w:t>
      </w:r>
      <w:r w:rsidRPr="00045FB5">
        <w:rPr>
          <w:rFonts w:eastAsiaTheme="minorHAnsi"/>
          <w:color w:val="auto"/>
        </w:rPr>
        <w:t xml:space="preserve">federal government for FERC-516.  </w:t>
      </w:r>
    </w:p>
    <w:p w:rsidR="009213B4" w:rsidRPr="00045FB5" w14:paraId="6C13C0EB" w14:textId="77777777">
      <w:pPr>
        <w:spacing w:after="0" w:line="240" w:lineRule="auto"/>
        <w:ind w:left="0" w:firstLine="0"/>
        <w:rPr>
          <w:rFonts w:eastAsiaTheme="minorHAnsi"/>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3149"/>
        <w:gridCol w:w="2515"/>
      </w:tblGrid>
      <w:tr w14:paraId="5902C307" w14:textId="77777777" w:rsidTr="001104E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92"/>
        </w:trPr>
        <w:tc>
          <w:tcPr>
            <w:tcW w:w="1971" w:type="pct"/>
            <w:tcBorders>
              <w:top w:val="single" w:sz="4" w:space="0" w:color="auto"/>
              <w:left w:val="single" w:sz="4" w:space="0" w:color="auto"/>
              <w:bottom w:val="single" w:sz="4" w:space="0" w:color="auto"/>
              <w:right w:val="single" w:sz="4" w:space="0" w:color="auto"/>
            </w:tcBorders>
            <w:shd w:val="clear" w:color="auto" w:fill="D9D9D9"/>
            <w:vAlign w:val="bottom"/>
          </w:tcPr>
          <w:p w:rsidR="00DD755B" w:rsidRPr="00045FB5" w:rsidP="001104E2" w14:paraId="1D9DF94A" w14:textId="08F1F8AB">
            <w:pPr>
              <w:spacing w:after="160" w:line="259" w:lineRule="auto"/>
              <w:ind w:left="0" w:firstLine="0"/>
              <w:jc w:val="center"/>
              <w:rPr>
                <w:rFonts w:eastAsiaTheme="minorHAnsi"/>
                <w:b/>
                <w:color w:val="auto"/>
              </w:rPr>
            </w:pPr>
            <w:r w:rsidRPr="00045FB5">
              <w:rPr>
                <w:rFonts w:eastAsiaTheme="minorHAnsi"/>
                <w:b/>
                <w:color w:val="auto"/>
              </w:rPr>
              <w:t>FERC-516</w:t>
            </w:r>
          </w:p>
        </w:tc>
        <w:tc>
          <w:tcPr>
            <w:tcW w:w="168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D755B" w:rsidRPr="00045FB5" w:rsidP="001104E2" w14:paraId="50713D90" w14:textId="77777777">
            <w:pPr>
              <w:spacing w:after="160" w:line="259" w:lineRule="auto"/>
              <w:ind w:left="0" w:firstLine="0"/>
              <w:jc w:val="center"/>
              <w:rPr>
                <w:rFonts w:eastAsiaTheme="minorHAnsi"/>
                <w:b/>
                <w:color w:val="auto"/>
              </w:rPr>
            </w:pPr>
            <w:r w:rsidRPr="00045FB5">
              <w:rPr>
                <w:rFonts w:eastAsiaTheme="minorHAnsi"/>
                <w:b/>
                <w:color w:val="auto"/>
              </w:rPr>
              <w:t>Number of Employees (Full-Time Equivalents [FTE])</w:t>
            </w:r>
          </w:p>
        </w:tc>
        <w:tc>
          <w:tcPr>
            <w:tcW w:w="134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D755B" w:rsidRPr="00045FB5" w:rsidP="001104E2" w14:paraId="23539834" w14:textId="77777777">
            <w:pPr>
              <w:spacing w:after="160" w:line="259" w:lineRule="auto"/>
              <w:ind w:left="0" w:firstLine="0"/>
              <w:jc w:val="center"/>
              <w:rPr>
                <w:rFonts w:eastAsiaTheme="minorHAnsi"/>
                <w:b/>
                <w:color w:val="auto"/>
              </w:rPr>
            </w:pPr>
            <w:r w:rsidRPr="00045FB5">
              <w:rPr>
                <w:rFonts w:eastAsiaTheme="minorHAnsi"/>
                <w:b/>
                <w:color w:val="auto"/>
              </w:rPr>
              <w:t>Estimated Annual Federal Cost</w:t>
            </w:r>
          </w:p>
        </w:tc>
      </w:tr>
      <w:tr w14:paraId="0DD930E1" w14:textId="77777777">
        <w:tblPrEx>
          <w:tblW w:w="5000" w:type="pct"/>
          <w:tblLook w:val="01E0"/>
        </w:tblPrEx>
        <w:tc>
          <w:tcPr>
            <w:tcW w:w="1971" w:type="pct"/>
            <w:tcBorders>
              <w:top w:val="single" w:sz="4" w:space="0" w:color="auto"/>
              <w:left w:val="single" w:sz="4" w:space="0" w:color="auto"/>
              <w:bottom w:val="single" w:sz="4" w:space="0" w:color="auto"/>
              <w:right w:val="single" w:sz="4" w:space="0" w:color="auto"/>
            </w:tcBorders>
            <w:vAlign w:val="center"/>
            <w:hideMark/>
          </w:tcPr>
          <w:p w:rsidR="00DD755B" w:rsidRPr="00045FB5" w14:paraId="5A00CFF7" w14:textId="01E97230">
            <w:pPr>
              <w:spacing w:after="0" w:line="259" w:lineRule="auto"/>
              <w:ind w:left="0" w:firstLine="0"/>
              <w:rPr>
                <w:rFonts w:eastAsiaTheme="minorHAnsi"/>
                <w:color w:val="auto"/>
              </w:rPr>
            </w:pPr>
            <w:r w:rsidRPr="00045FB5">
              <w:rPr>
                <w:rFonts w:eastAsiaTheme="minorHAnsi"/>
                <w:color w:val="auto"/>
              </w:rPr>
              <w:t>Analysis and Processing of FERC-516</w:t>
            </w:r>
            <w:r>
              <w:rPr>
                <w:rFonts w:eastAsiaTheme="minorHAnsi"/>
                <w:b/>
                <w:bCs/>
                <w:color w:val="auto"/>
                <w:vertAlign w:val="superscript"/>
              </w:rPr>
              <w:footnoteReference w:id="6"/>
            </w:r>
          </w:p>
        </w:tc>
        <w:tc>
          <w:tcPr>
            <w:tcW w:w="1684" w:type="pct"/>
            <w:tcBorders>
              <w:top w:val="single" w:sz="4" w:space="0" w:color="auto"/>
              <w:left w:val="single" w:sz="4" w:space="0" w:color="auto"/>
              <w:bottom w:val="single" w:sz="4" w:space="0" w:color="auto"/>
              <w:right w:val="single" w:sz="4" w:space="0" w:color="auto"/>
            </w:tcBorders>
            <w:vAlign w:val="bottom"/>
            <w:hideMark/>
          </w:tcPr>
          <w:p w:rsidR="00DD755B" w:rsidRPr="00045FB5" w14:paraId="6C370A33" w14:textId="255C507C">
            <w:pPr>
              <w:spacing w:after="160" w:line="259" w:lineRule="auto"/>
              <w:ind w:left="0" w:firstLine="0"/>
              <w:jc w:val="right"/>
              <w:rPr>
                <w:rFonts w:eastAsiaTheme="minorHAnsi"/>
                <w:color w:val="auto"/>
              </w:rPr>
            </w:pPr>
            <w:r w:rsidRPr="00045FB5">
              <w:rPr>
                <w:rFonts w:eastAsiaTheme="minorHAnsi"/>
                <w:color w:val="auto"/>
              </w:rPr>
              <w:t>38</w:t>
            </w:r>
            <w:r>
              <w:rPr>
                <w:rStyle w:val="FootnoteReference"/>
                <w:rFonts w:eastAsiaTheme="minorHAnsi"/>
                <w:color w:val="auto"/>
                <w:sz w:val="24"/>
              </w:rPr>
              <w:footnoteReference w:id="7"/>
            </w:r>
          </w:p>
        </w:tc>
        <w:tc>
          <w:tcPr>
            <w:tcW w:w="1345" w:type="pct"/>
            <w:tcBorders>
              <w:top w:val="single" w:sz="4" w:space="0" w:color="auto"/>
              <w:left w:val="single" w:sz="4" w:space="0" w:color="auto"/>
              <w:bottom w:val="single" w:sz="4" w:space="0" w:color="auto"/>
              <w:right w:val="single" w:sz="4" w:space="0" w:color="auto"/>
            </w:tcBorders>
            <w:vAlign w:val="bottom"/>
            <w:hideMark/>
          </w:tcPr>
          <w:p w:rsidR="00DD755B" w:rsidRPr="00045FB5" w14:paraId="168F2DB5" w14:textId="646D35D6">
            <w:pPr>
              <w:spacing w:after="160" w:line="259" w:lineRule="auto"/>
              <w:ind w:left="0" w:firstLine="0"/>
              <w:jc w:val="right"/>
              <w:rPr>
                <w:rFonts w:eastAsiaTheme="minorHAnsi"/>
                <w:color w:val="auto"/>
              </w:rPr>
            </w:pPr>
            <w:r w:rsidRPr="00045FB5">
              <w:rPr>
                <w:rFonts w:eastAsiaTheme="minorHAnsi"/>
                <w:color w:val="auto"/>
              </w:rPr>
              <w:t>$</w:t>
            </w:r>
            <w:r w:rsidRPr="00045FB5" w:rsidR="000E0921">
              <w:rPr>
                <w:rFonts w:eastAsiaTheme="minorHAnsi"/>
                <w:color w:val="auto"/>
              </w:rPr>
              <w:t>7,895,868</w:t>
            </w:r>
          </w:p>
        </w:tc>
      </w:tr>
      <w:tr w14:paraId="4CF404FF" w14:textId="77777777">
        <w:tblPrEx>
          <w:tblW w:w="5000" w:type="pct"/>
          <w:tblLook w:val="01E0"/>
        </w:tblPrEx>
        <w:tc>
          <w:tcPr>
            <w:tcW w:w="1971" w:type="pct"/>
            <w:tcBorders>
              <w:top w:val="single" w:sz="4" w:space="0" w:color="auto"/>
              <w:left w:val="single" w:sz="4" w:space="0" w:color="auto"/>
              <w:bottom w:val="single" w:sz="4" w:space="0" w:color="auto"/>
              <w:right w:val="single" w:sz="4" w:space="0" w:color="auto"/>
            </w:tcBorders>
            <w:vAlign w:val="center"/>
            <w:hideMark/>
          </w:tcPr>
          <w:p w:rsidR="00DD755B" w:rsidRPr="00045FB5" w14:paraId="3FC36FD3" w14:textId="05D2B45C">
            <w:pPr>
              <w:spacing w:after="0" w:line="259" w:lineRule="auto"/>
              <w:ind w:left="0" w:firstLine="0"/>
              <w:rPr>
                <w:rFonts w:eastAsiaTheme="minorHAnsi"/>
                <w:color w:val="auto"/>
              </w:rPr>
            </w:pPr>
            <w:r w:rsidRPr="00045FB5">
              <w:rPr>
                <w:rFonts w:eastAsiaTheme="minorHAnsi"/>
                <w:color w:val="auto"/>
              </w:rPr>
              <w:t xml:space="preserve">PRA Administrative Cost </w:t>
            </w:r>
          </w:p>
        </w:tc>
        <w:tc>
          <w:tcPr>
            <w:tcW w:w="1684" w:type="pct"/>
            <w:tcBorders>
              <w:top w:val="single" w:sz="4" w:space="0" w:color="auto"/>
              <w:left w:val="single" w:sz="4" w:space="0" w:color="auto"/>
              <w:bottom w:val="single" w:sz="4" w:space="0" w:color="auto"/>
              <w:right w:val="single" w:sz="4" w:space="0" w:color="auto"/>
            </w:tcBorders>
            <w:shd w:val="clear" w:color="auto" w:fill="D9D9D9"/>
            <w:vAlign w:val="bottom"/>
          </w:tcPr>
          <w:p w:rsidR="00DD755B" w:rsidRPr="00045FB5" w14:paraId="47A5D395" w14:textId="77777777">
            <w:pPr>
              <w:spacing w:after="160" w:line="259" w:lineRule="auto"/>
              <w:ind w:left="0" w:firstLine="0"/>
              <w:jc w:val="right"/>
              <w:rPr>
                <w:rFonts w:eastAsiaTheme="minorHAnsi"/>
                <w:b/>
                <w:color w:val="auto"/>
              </w:rPr>
            </w:pPr>
          </w:p>
        </w:tc>
        <w:tc>
          <w:tcPr>
            <w:tcW w:w="1345" w:type="pct"/>
            <w:tcBorders>
              <w:top w:val="single" w:sz="4" w:space="0" w:color="auto"/>
              <w:left w:val="single" w:sz="4" w:space="0" w:color="auto"/>
              <w:bottom w:val="single" w:sz="4" w:space="0" w:color="auto"/>
              <w:right w:val="single" w:sz="4" w:space="0" w:color="auto"/>
            </w:tcBorders>
            <w:vAlign w:val="bottom"/>
            <w:hideMark/>
          </w:tcPr>
          <w:p w:rsidR="00DD755B" w:rsidRPr="00045FB5" w14:paraId="3FB2E47A" w14:textId="244C1F16">
            <w:pPr>
              <w:spacing w:after="160" w:line="259" w:lineRule="auto"/>
              <w:ind w:left="0" w:firstLine="0"/>
              <w:jc w:val="right"/>
              <w:rPr>
                <w:rFonts w:eastAsiaTheme="minorHAnsi"/>
                <w:color w:val="auto"/>
              </w:rPr>
            </w:pPr>
            <w:r w:rsidRPr="00045FB5">
              <w:rPr>
                <w:rFonts w:eastAsiaTheme="minorHAnsi"/>
                <w:color w:val="auto"/>
              </w:rPr>
              <w:t>$</w:t>
            </w:r>
            <w:r w:rsidRPr="00045FB5" w:rsidR="00E03135">
              <w:rPr>
                <w:rFonts w:eastAsiaTheme="minorHAnsi"/>
                <w:color w:val="auto"/>
              </w:rPr>
              <w:t>8,396</w:t>
            </w:r>
          </w:p>
        </w:tc>
      </w:tr>
      <w:tr w14:paraId="6D91583B" w14:textId="77777777">
        <w:tblPrEx>
          <w:tblW w:w="5000" w:type="pct"/>
          <w:tblLook w:val="01E0"/>
        </w:tblPrEx>
        <w:tc>
          <w:tcPr>
            <w:tcW w:w="1971" w:type="pct"/>
            <w:tcBorders>
              <w:top w:val="single" w:sz="4" w:space="0" w:color="auto"/>
              <w:left w:val="single" w:sz="4" w:space="0" w:color="auto"/>
              <w:bottom w:val="single" w:sz="4" w:space="0" w:color="auto"/>
              <w:right w:val="single" w:sz="4" w:space="0" w:color="auto"/>
            </w:tcBorders>
            <w:vAlign w:val="center"/>
            <w:hideMark/>
          </w:tcPr>
          <w:p w:rsidR="00DD755B" w:rsidRPr="00045FB5" w14:paraId="48707AF6" w14:textId="77777777">
            <w:pPr>
              <w:spacing w:after="0" w:line="259" w:lineRule="auto"/>
              <w:ind w:left="0" w:firstLine="0"/>
              <w:rPr>
                <w:rFonts w:eastAsiaTheme="minorHAnsi"/>
                <w:color w:val="auto"/>
              </w:rPr>
            </w:pPr>
            <w:r w:rsidRPr="00045FB5">
              <w:rPr>
                <w:rFonts w:eastAsiaTheme="minorHAnsi"/>
                <w:color w:val="auto"/>
              </w:rPr>
              <w:t>FERC Total</w:t>
            </w:r>
          </w:p>
        </w:tc>
        <w:tc>
          <w:tcPr>
            <w:tcW w:w="1684" w:type="pct"/>
            <w:tcBorders>
              <w:top w:val="single" w:sz="4" w:space="0" w:color="auto"/>
              <w:left w:val="single" w:sz="4" w:space="0" w:color="auto"/>
              <w:bottom w:val="single" w:sz="4" w:space="0" w:color="auto"/>
              <w:right w:val="single" w:sz="4" w:space="0" w:color="auto"/>
            </w:tcBorders>
            <w:shd w:val="clear" w:color="auto" w:fill="D9D9D9"/>
            <w:vAlign w:val="bottom"/>
          </w:tcPr>
          <w:p w:rsidR="00DD755B" w:rsidRPr="00045FB5" w14:paraId="1E29FE6B" w14:textId="77777777">
            <w:pPr>
              <w:spacing w:after="160" w:line="259" w:lineRule="auto"/>
              <w:ind w:left="0" w:firstLine="0"/>
              <w:jc w:val="right"/>
              <w:rPr>
                <w:rFonts w:eastAsiaTheme="minorHAnsi"/>
                <w:b/>
                <w:color w:val="auto"/>
              </w:rPr>
            </w:pPr>
          </w:p>
        </w:tc>
        <w:tc>
          <w:tcPr>
            <w:tcW w:w="1345" w:type="pct"/>
            <w:tcBorders>
              <w:top w:val="single" w:sz="4" w:space="0" w:color="auto"/>
              <w:left w:val="single" w:sz="4" w:space="0" w:color="auto"/>
              <w:bottom w:val="single" w:sz="4" w:space="0" w:color="auto"/>
              <w:right w:val="single" w:sz="4" w:space="0" w:color="auto"/>
            </w:tcBorders>
            <w:vAlign w:val="bottom"/>
            <w:hideMark/>
          </w:tcPr>
          <w:p w:rsidR="00DD755B" w:rsidRPr="00045FB5" w14:paraId="4C121A8C" w14:textId="4CB73054">
            <w:pPr>
              <w:spacing w:after="160" w:line="259" w:lineRule="auto"/>
              <w:ind w:left="0" w:firstLine="0"/>
              <w:jc w:val="right"/>
              <w:rPr>
                <w:rFonts w:eastAsiaTheme="minorHAnsi"/>
                <w:color w:val="auto"/>
              </w:rPr>
            </w:pPr>
            <w:r w:rsidRPr="00045FB5">
              <w:rPr>
                <w:rFonts w:eastAsiaTheme="minorHAnsi"/>
                <w:color w:val="auto"/>
              </w:rPr>
              <w:t>$</w:t>
            </w:r>
            <w:r w:rsidRPr="00045FB5" w:rsidR="00CE04DE">
              <w:t xml:space="preserve"> </w:t>
            </w:r>
            <w:r w:rsidRPr="00045FB5" w:rsidR="00CE04DE">
              <w:rPr>
                <w:rFonts w:eastAsiaTheme="minorHAnsi"/>
                <w:color w:val="auto"/>
              </w:rPr>
              <w:t>7,904,264</w:t>
            </w:r>
          </w:p>
        </w:tc>
      </w:tr>
    </w:tbl>
    <w:p w:rsidR="00DD755B" w:rsidRPr="00045FB5" w14:paraId="7BF2B46F" w14:textId="45DD76C3">
      <w:pPr>
        <w:spacing w:after="0" w:line="259" w:lineRule="auto"/>
        <w:ind w:left="0" w:firstLine="0"/>
        <w:rPr>
          <w:b/>
        </w:rPr>
      </w:pPr>
    </w:p>
    <w:p w:rsidR="001104E2" w:rsidRPr="00045FB5" w14:paraId="5C21EAFC" w14:textId="77777777">
      <w:pPr>
        <w:spacing w:after="0" w:line="259" w:lineRule="auto"/>
        <w:ind w:left="0" w:firstLine="0"/>
        <w:rPr>
          <w:b/>
        </w:rPr>
      </w:pPr>
    </w:p>
    <w:p w:rsidR="00DD755B" w:rsidRPr="00045FB5" w:rsidP="00A67B72" w14:paraId="2689C49F" w14:textId="7173CDDD">
      <w:pPr>
        <w:pStyle w:val="Heading1"/>
        <w:numPr>
          <w:ilvl w:val="0"/>
          <w:numId w:val="2"/>
        </w:numPr>
        <w:ind w:left="720" w:hanging="648"/>
      </w:pPr>
      <w:r w:rsidRPr="00045FB5">
        <w:t xml:space="preserve">REASONS FOR CHANGES IN BURDEN INCLUDING THE NEED FOR ANY INCREASE </w:t>
      </w:r>
      <w:r w:rsidRPr="00045FB5" w:rsidR="00E66532">
        <w:t xml:space="preserve"> </w:t>
      </w:r>
    </w:p>
    <w:p w:rsidR="00144DE0" w:rsidRPr="00045FB5" w14:paraId="05B7F034" w14:textId="426EA1C6">
      <w:pPr>
        <w:widowControl w:val="0"/>
        <w:suppressAutoHyphens/>
        <w:autoSpaceDE w:val="0"/>
        <w:autoSpaceDN w:val="0"/>
        <w:adjustRightInd w:val="0"/>
        <w:spacing w:after="0" w:line="240" w:lineRule="auto"/>
        <w:ind w:left="0" w:firstLine="0"/>
        <w:rPr>
          <w:color w:val="auto"/>
        </w:rPr>
      </w:pPr>
    </w:p>
    <w:p w:rsidR="000118CE" w:rsidRPr="00045FB5" w:rsidP="00D55A35" w14:paraId="6C6D60BF" w14:textId="6482C439">
      <w:pPr>
        <w:widowControl w:val="0"/>
        <w:suppressAutoHyphens/>
        <w:autoSpaceDE w:val="0"/>
        <w:autoSpaceDN w:val="0"/>
        <w:adjustRightInd w:val="0"/>
        <w:spacing w:after="0" w:line="240" w:lineRule="auto"/>
        <w:ind w:left="0" w:firstLine="0"/>
        <w:rPr>
          <w:color w:val="auto"/>
        </w:rPr>
      </w:pPr>
      <w:r w:rsidRPr="00045FB5">
        <w:rPr>
          <w:bCs/>
          <w:color w:val="auto"/>
        </w:rPr>
        <w:t>The proposed rule would increase t</w:t>
      </w:r>
      <w:r w:rsidRPr="00045FB5" w:rsidR="00271299">
        <w:rPr>
          <w:bCs/>
          <w:color w:val="auto"/>
        </w:rPr>
        <w:t xml:space="preserve">he burden </w:t>
      </w:r>
      <w:r w:rsidRPr="00045FB5" w:rsidR="00330977">
        <w:rPr>
          <w:bCs/>
          <w:color w:val="auto"/>
        </w:rPr>
        <w:t xml:space="preserve">within the FERC 516 information collection by </w:t>
      </w:r>
      <w:r w:rsidRPr="00045FB5" w:rsidR="00FA7385">
        <w:rPr>
          <w:bCs/>
          <w:color w:val="auto"/>
        </w:rPr>
        <w:t xml:space="preserve">a total of 43 responses and a </w:t>
      </w:r>
      <w:r w:rsidRPr="00045FB5" w:rsidR="00330977">
        <w:rPr>
          <w:bCs/>
          <w:color w:val="auto"/>
        </w:rPr>
        <w:t xml:space="preserve">172 </w:t>
      </w:r>
      <w:r w:rsidRPr="00045FB5" w:rsidR="00FA7385">
        <w:rPr>
          <w:bCs/>
          <w:color w:val="auto"/>
        </w:rPr>
        <w:t xml:space="preserve">burden hours. This is due to the one-time compliance filing that would be required to be submitted to the Commission after </w:t>
      </w:r>
      <w:r w:rsidRPr="00045FB5" w:rsidR="008C4809">
        <w:rPr>
          <w:bCs/>
          <w:color w:val="auto"/>
        </w:rPr>
        <w:t>implementing the changes to</w:t>
      </w:r>
      <w:r w:rsidRPr="00045FB5" w:rsidR="001A6E42">
        <w:rPr>
          <w:bCs/>
          <w:color w:val="auto"/>
        </w:rPr>
        <w:t xml:space="preserve"> a </w:t>
      </w:r>
      <w:r w:rsidRPr="00045FB5" w:rsidR="0054574E">
        <w:rPr>
          <w:bCs/>
          <w:color w:val="auto"/>
        </w:rPr>
        <w:t>public utility</w:t>
      </w:r>
      <w:r w:rsidRPr="00045FB5" w:rsidR="001A6E42">
        <w:rPr>
          <w:bCs/>
          <w:color w:val="auto"/>
        </w:rPr>
        <w:t>’s tariff to reflect the changes in</w:t>
      </w:r>
      <w:r w:rsidRPr="00045FB5" w:rsidR="008C4809">
        <w:rPr>
          <w:bCs/>
          <w:color w:val="auto"/>
        </w:rPr>
        <w:t xml:space="preserve"> the </w:t>
      </w:r>
      <w:r w:rsidRPr="00045FB5" w:rsidR="008C4809">
        <w:rPr>
          <w:bCs/>
          <w:i/>
          <w:iCs/>
          <w:color w:val="auto"/>
        </w:rPr>
        <w:t xml:space="preserve">pro forma </w:t>
      </w:r>
      <w:r w:rsidRPr="00045FB5" w:rsidR="008C4809">
        <w:rPr>
          <w:bCs/>
          <w:color w:val="auto"/>
        </w:rPr>
        <w:t xml:space="preserve">OATT </w:t>
      </w:r>
      <w:r w:rsidRPr="00045FB5" w:rsidR="001A6E42">
        <w:rPr>
          <w:bCs/>
          <w:color w:val="auto"/>
        </w:rPr>
        <w:t xml:space="preserve">that the proposed rule is seeking to modify. </w:t>
      </w:r>
    </w:p>
    <w:p w:rsidR="000118CE" w:rsidRPr="00045FB5" w:rsidP="00D55A35" w14:paraId="3B2566F0" w14:textId="3E904D70">
      <w:pPr>
        <w:widowControl w:val="0"/>
        <w:suppressAutoHyphens/>
        <w:autoSpaceDE w:val="0"/>
        <w:autoSpaceDN w:val="0"/>
        <w:adjustRightInd w:val="0"/>
        <w:spacing w:after="0" w:line="240" w:lineRule="auto"/>
        <w:ind w:left="0" w:firstLine="0"/>
        <w:rPr>
          <w:color w:val="auto"/>
        </w:rPr>
      </w:pPr>
    </w:p>
    <w:p w:rsidR="00DD755B" w:rsidRPr="00045FB5" w:rsidP="00A67B72" w14:paraId="7051309E" w14:textId="0296EB62">
      <w:pPr>
        <w:pStyle w:val="Heading1"/>
        <w:numPr>
          <w:ilvl w:val="0"/>
          <w:numId w:val="2"/>
        </w:numPr>
        <w:ind w:left="720" w:hanging="648"/>
      </w:pPr>
      <w:r w:rsidRPr="00045FB5">
        <w:t xml:space="preserve">TIME SCHEDULE FOR THE PUBLICATION OF DATA </w:t>
      </w:r>
    </w:p>
    <w:p w:rsidR="00E20EA7" w:rsidRPr="00045FB5" w14:paraId="111CA50F" w14:textId="77777777">
      <w:pPr>
        <w:spacing w:line="240" w:lineRule="auto"/>
        <w:ind w:left="0" w:firstLine="0"/>
      </w:pPr>
    </w:p>
    <w:p w:rsidR="00DD755B" w:rsidRPr="00045FB5" w14:paraId="75C31E0D" w14:textId="61C89B74">
      <w:pPr>
        <w:spacing w:line="240" w:lineRule="auto"/>
        <w:ind w:left="0" w:firstLine="0"/>
      </w:pPr>
      <w:r w:rsidRPr="00045FB5">
        <w:t>There are no tabulating or statistical analysis or publication plans for the collection of information.  The data are used for regulatory purposes only.</w:t>
      </w:r>
    </w:p>
    <w:p w:rsidR="00DD755B" w:rsidRPr="00045FB5" w14:paraId="5964C4D8" w14:textId="77777777">
      <w:pPr>
        <w:spacing w:after="0" w:line="240" w:lineRule="auto"/>
        <w:ind w:left="360" w:firstLine="0"/>
      </w:pPr>
      <w:r w:rsidRPr="00045FB5">
        <w:t xml:space="preserve"> </w:t>
      </w:r>
    </w:p>
    <w:p w:rsidR="00DD755B" w:rsidRPr="00045FB5" w:rsidP="00A67B72" w14:paraId="0248DD22" w14:textId="3C5D51C0">
      <w:pPr>
        <w:pStyle w:val="Heading1"/>
        <w:numPr>
          <w:ilvl w:val="0"/>
          <w:numId w:val="2"/>
        </w:numPr>
        <w:ind w:left="720" w:hanging="648"/>
      </w:pPr>
      <w:r w:rsidRPr="00045FB5">
        <w:t xml:space="preserve">DISPLAY OF THE EXPIRATION DATE  </w:t>
      </w:r>
    </w:p>
    <w:p w:rsidR="00E20EA7" w:rsidRPr="00045FB5" w:rsidP="00D55A35" w14:paraId="1267BDD8" w14:textId="77777777">
      <w:pPr>
        <w:suppressAutoHyphens/>
        <w:spacing w:after="0" w:line="240" w:lineRule="auto"/>
        <w:ind w:left="0" w:firstLine="0"/>
      </w:pPr>
    </w:p>
    <w:p w:rsidR="00DD755B" w:rsidRPr="00045FB5" w:rsidP="00D55A35" w14:paraId="405813C7" w14:textId="77E0C013">
      <w:pPr>
        <w:suppressAutoHyphens/>
        <w:spacing w:after="0" w:line="240" w:lineRule="auto"/>
        <w:ind w:left="0" w:firstLine="0"/>
      </w:pPr>
      <w:r w:rsidRPr="00045FB5">
        <w:t xml:space="preserve">The expiration date is displayed at </w:t>
      </w:r>
      <w:hyperlink r:id="rId11" w:history="1">
        <w:r w:rsidRPr="00045FB5">
          <w:rPr>
            <w:rStyle w:val="Hyperlink"/>
          </w:rPr>
          <w:t>https://www.reginfo.gov/public/do/PRAMain</w:t>
        </w:r>
      </w:hyperlink>
      <w:r w:rsidRPr="00045FB5">
        <w:t>.</w:t>
      </w:r>
    </w:p>
    <w:p w:rsidR="00DD755B" w:rsidRPr="00045FB5" w14:paraId="0DFB9C81" w14:textId="77777777">
      <w:pPr>
        <w:spacing w:after="0" w:line="240" w:lineRule="auto"/>
        <w:ind w:left="360" w:firstLine="0"/>
      </w:pPr>
    </w:p>
    <w:p w:rsidR="00DD755B" w:rsidRPr="00045FB5" w:rsidP="00A67B72" w14:paraId="582D5933" w14:textId="5D5B8C24">
      <w:pPr>
        <w:pStyle w:val="Heading1"/>
        <w:numPr>
          <w:ilvl w:val="0"/>
          <w:numId w:val="2"/>
        </w:numPr>
        <w:ind w:left="720" w:hanging="648"/>
      </w:pPr>
      <w:r w:rsidRPr="00045FB5">
        <w:t xml:space="preserve">EXCEPTIONS TO THE CERTIFICATION STATEMENT </w:t>
      </w:r>
    </w:p>
    <w:p w:rsidR="00E20EA7" w:rsidRPr="00045FB5" w:rsidP="00AF0ED3" w14:paraId="053193FC" w14:textId="77777777">
      <w:pPr>
        <w:spacing w:line="240" w:lineRule="auto"/>
        <w:ind w:left="0" w:firstLine="0"/>
      </w:pPr>
    </w:p>
    <w:p w:rsidR="00544EEF" w:rsidRPr="00BB5D93" w:rsidP="00AF0ED3" w14:paraId="767E2506" w14:textId="503465C8">
      <w:pPr>
        <w:spacing w:line="240" w:lineRule="auto"/>
        <w:ind w:left="0" w:firstLine="0"/>
      </w:pPr>
      <w:r w:rsidRPr="00045FB5">
        <w:t>There are no exceptions.</w:t>
      </w:r>
    </w:p>
    <w:sectPr>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7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94E9B" w14:paraId="33F80E4C" w14:textId="77777777">
      <w:pPr>
        <w:spacing w:after="0" w:line="240" w:lineRule="auto"/>
      </w:pPr>
      <w:r>
        <w:separator/>
      </w:r>
    </w:p>
  </w:endnote>
  <w:endnote w:type="continuationSeparator" w:id="1">
    <w:p w:rsidR="00894E9B" w14:paraId="6B33558E" w14:textId="77777777">
      <w:pPr>
        <w:spacing w:after="0" w:line="240" w:lineRule="auto"/>
      </w:pPr>
      <w:r>
        <w:continuationSeparator/>
      </w:r>
    </w:p>
  </w:endnote>
  <w:endnote w:type="continuationNotice" w:id="2">
    <w:p w:rsidR="00894E9B" w14:paraId="0646810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0E572FAC" w14:textId="77777777">
    <w:pPr>
      <w:spacing w:after="0" w:line="259" w:lineRule="auto"/>
      <w:ind w:left="0" w:right="1" w:firstLine="0"/>
      <w:jc w:val="right"/>
    </w:pPr>
    <w:r>
      <w:rPr>
        <w:rFonts w:eastAsia="Times New Roman"/>
      </w:rPr>
      <w:fldChar w:fldCharType="begin"/>
    </w:r>
    <w:r>
      <w:instrText xml:space="preserve"> PAGE   \* MERGEFORMAT </w:instrText>
    </w:r>
    <w:r>
      <w:rPr>
        <w:rFonts w:eastAsia="Times New Roman"/>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144DE0" w14:paraId="41CC9906" w14:textId="77777777">
    <w:pPr>
      <w:spacing w:after="0" w:line="259" w:lineRule="auto"/>
      <w:ind w:left="36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5753706B" w14:textId="77777777">
    <w:pPr>
      <w:spacing w:after="0" w:line="259" w:lineRule="auto"/>
      <w:ind w:left="0" w:right="1" w:firstLine="0"/>
      <w:jc w:val="right"/>
    </w:pPr>
    <w:r>
      <w:rPr>
        <w:rFonts w:eastAsia="Times New Roman"/>
      </w:rPr>
      <w:fldChar w:fldCharType="begin"/>
    </w:r>
    <w:r>
      <w:instrText xml:space="preserve"> PAGE   \* MERGEFORMAT </w:instrText>
    </w:r>
    <w:r>
      <w:rPr>
        <w:rFonts w:eastAsia="Times New Roman"/>
      </w:rPr>
      <w:fldChar w:fldCharType="separate"/>
    </w:r>
    <w:r>
      <w:rPr>
        <w:rFonts w:eastAsia="Calibri"/>
        <w:noProof/>
      </w:rPr>
      <w:t>8</w:t>
    </w:r>
    <w:r>
      <w:rPr>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6050E15A" w14:textId="77777777">
    <w:pPr>
      <w:spacing w:after="0" w:line="259" w:lineRule="auto"/>
      <w:ind w:left="0" w:right="1" w:firstLine="0"/>
      <w:jc w:val="right"/>
    </w:pPr>
    <w:r>
      <w:rPr>
        <w:rFonts w:eastAsia="Times New Roman"/>
      </w:rPr>
      <w:fldChar w:fldCharType="begin"/>
    </w:r>
    <w:r>
      <w:instrText xml:space="preserve"> PAGE   \* MERGEFORMAT </w:instrText>
    </w:r>
    <w:r>
      <w:rPr>
        <w:rFonts w:eastAsia="Times New Roman"/>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144DE0" w14:paraId="19E222D3" w14:textId="77777777">
    <w:pPr>
      <w:spacing w:after="0" w:line="259" w:lineRule="auto"/>
      <w:ind w:left="36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4E9B" w14:paraId="47193F70" w14:textId="77777777">
      <w:pPr>
        <w:spacing w:after="0"/>
        <w:ind w:left="360" w:firstLine="720"/>
      </w:pPr>
      <w:r>
        <w:separator/>
      </w:r>
    </w:p>
  </w:footnote>
  <w:footnote w:type="continuationSeparator" w:id="1">
    <w:p w:rsidR="00894E9B" w14:paraId="521E1F86" w14:textId="77777777">
      <w:pPr>
        <w:spacing w:after="0"/>
        <w:ind w:left="360" w:firstLine="720"/>
      </w:pPr>
      <w:r>
        <w:continuationSeparator/>
      </w:r>
    </w:p>
  </w:footnote>
  <w:footnote w:type="continuationNotice" w:id="2">
    <w:p w:rsidR="00894E9B" w14:paraId="33C8EC66" w14:textId="77777777">
      <w:pPr>
        <w:spacing w:after="0" w:line="240" w:lineRule="auto"/>
      </w:pPr>
    </w:p>
  </w:footnote>
  <w:footnote w:id="3">
    <w:p w:rsidR="005236F6" w:rsidRPr="00BB5D93" w:rsidP="005236F6" w14:paraId="5B6A243C" w14:textId="77777777">
      <w:pPr>
        <w:pStyle w:val="FootnoteText"/>
        <w:rPr>
          <w:sz w:val="24"/>
          <w:szCs w:val="24"/>
        </w:rPr>
      </w:pPr>
      <w:r w:rsidRPr="00BB5D93">
        <w:rPr>
          <w:rStyle w:val="FootnoteReference"/>
          <w:sz w:val="24"/>
          <w:szCs w:val="24"/>
        </w:rPr>
        <w:footnoteRef/>
      </w:r>
      <w:r w:rsidRPr="00BB5D93">
        <w:rPr>
          <w:sz w:val="24"/>
          <w:szCs w:val="24"/>
        </w:rPr>
        <w:t xml:space="preserve"> 16 U.S.C. 824e.</w:t>
      </w:r>
    </w:p>
  </w:footnote>
  <w:footnote w:id="4">
    <w:p w:rsidR="00FC3FBB" w:rsidRPr="00BB5D93" w:rsidP="00FC3FBB" w14:paraId="52C073BE" w14:textId="2AC5DB56">
      <w:pPr>
        <w:pStyle w:val="FootnoteText"/>
        <w:rPr>
          <w:sz w:val="24"/>
          <w:szCs w:val="24"/>
        </w:rPr>
      </w:pPr>
      <w:r w:rsidRPr="00BB5D93">
        <w:rPr>
          <w:rStyle w:val="FootnoteReference"/>
          <w:sz w:val="24"/>
          <w:szCs w:val="24"/>
        </w:rPr>
        <w:footnoteRef/>
      </w:r>
      <w:r w:rsidRPr="00BB5D93">
        <w:rPr>
          <w:sz w:val="24"/>
          <w:szCs w:val="24"/>
        </w:rPr>
        <w:t xml:space="preserve"> 13 CFR 121.201 (202</w:t>
      </w:r>
      <w:r w:rsidR="00435BDC">
        <w:rPr>
          <w:sz w:val="24"/>
          <w:szCs w:val="24"/>
        </w:rPr>
        <w:t>3</w:t>
      </w:r>
      <w:r w:rsidRPr="00BB5D93">
        <w:rPr>
          <w:sz w:val="24"/>
          <w:szCs w:val="24"/>
        </w:rPr>
        <w:t>) (Sector 22, Utilities).</w:t>
      </w:r>
    </w:p>
  </w:footnote>
  <w:footnote w:id="5">
    <w:p w:rsidR="00073223" w:rsidRPr="00BB5D93" w:rsidP="00B337A9" w14:paraId="38981C89" w14:textId="29CD5486">
      <w:pPr>
        <w:pStyle w:val="FootnoteText"/>
        <w:ind w:left="360" w:firstLine="0"/>
        <w:rPr>
          <w:sz w:val="24"/>
          <w:szCs w:val="24"/>
        </w:rPr>
      </w:pPr>
      <w:r w:rsidRPr="00BB5D93">
        <w:rPr>
          <w:rStyle w:val="FootnoteReference"/>
          <w:sz w:val="24"/>
          <w:szCs w:val="24"/>
        </w:rPr>
        <w:footnoteRef/>
      </w:r>
      <w:r w:rsidR="0070367D">
        <w:rPr>
          <w:sz w:val="24"/>
          <w:szCs w:val="24"/>
        </w:rPr>
        <w:t xml:space="preserve"> </w:t>
      </w:r>
      <w:r w:rsidRPr="00BB5D93" w:rsidR="00CE30BC">
        <w:rPr>
          <w:sz w:val="24"/>
          <w:szCs w:val="24"/>
        </w:rPr>
        <w:t>5 CFR 1320.</w:t>
      </w:r>
    </w:p>
  </w:footnote>
  <w:footnote w:id="6">
    <w:p w:rsidR="00144DE0" w:rsidRPr="00BB5D93" w:rsidP="00B337A9" w14:paraId="5A4BB649" w14:textId="1559B7CC">
      <w:pPr>
        <w:spacing w:after="80"/>
        <w:ind w:left="360" w:firstLine="0"/>
      </w:pPr>
      <w:r w:rsidRPr="00BB5D93">
        <w:rPr>
          <w:rStyle w:val="FootnoteReference"/>
          <w:sz w:val="24"/>
        </w:rPr>
        <w:footnoteRef/>
      </w:r>
      <w:r w:rsidRPr="00BB5D93">
        <w:t xml:space="preserve"> </w:t>
      </w:r>
      <w:r w:rsidRPr="00BB5D93" w:rsidR="00C43D9B">
        <w:t>The Commission</w:t>
      </w:r>
      <w:r w:rsidRPr="00BB5D93" w:rsidR="000807E7">
        <w:t>’s 202</w:t>
      </w:r>
      <w:r w:rsidR="00903BDE">
        <w:t>4</w:t>
      </w:r>
      <w:r w:rsidRPr="00BB5D93" w:rsidR="000807E7">
        <w:t xml:space="preserve"> average wages plus benefits for one full-time equivalent </w:t>
      </w:r>
      <w:r w:rsidRPr="00BB5D93" w:rsidR="00C43D9B">
        <w:t xml:space="preserve">(FTE) </w:t>
      </w:r>
      <w:r w:rsidRPr="00BB5D93" w:rsidR="000807E7">
        <w:t xml:space="preserve">is </w:t>
      </w:r>
      <w:r w:rsidRPr="00903BDE" w:rsidR="00903BDE">
        <w:t>$207,786</w:t>
      </w:r>
      <w:r w:rsidRPr="00903BDE" w:rsidR="00903BDE">
        <w:rPr>
          <w:b/>
          <w:bCs/>
        </w:rPr>
        <w:t xml:space="preserve"> </w:t>
      </w:r>
      <w:r w:rsidRPr="00903BDE" w:rsidR="00903BDE">
        <w:t xml:space="preserve">per year </w:t>
      </w:r>
      <w:r w:rsidR="00903BDE">
        <w:t>($100 per hour)</w:t>
      </w:r>
      <w:r w:rsidRPr="00BB5D93" w:rsidR="000807E7">
        <w:t>.</w:t>
      </w:r>
    </w:p>
  </w:footnote>
  <w:footnote w:id="7">
    <w:p w:rsidR="00144DE0" w:rsidRPr="00BB5D93" w:rsidP="002F197B" w14:paraId="25BE907C" w14:textId="07AEA331">
      <w:pPr>
        <w:pStyle w:val="FootnoteText"/>
        <w:spacing w:after="80"/>
        <w:ind w:left="360"/>
        <w:rPr>
          <w:sz w:val="24"/>
          <w:szCs w:val="24"/>
        </w:rPr>
      </w:pPr>
      <w:r w:rsidRPr="00BB5D93">
        <w:rPr>
          <w:rStyle w:val="FootnoteReference"/>
          <w:sz w:val="24"/>
          <w:szCs w:val="24"/>
        </w:rPr>
        <w:footnoteRef/>
      </w:r>
      <w:r w:rsidRPr="00BB5D93">
        <w:rPr>
          <w:sz w:val="24"/>
          <w:szCs w:val="24"/>
        </w:rPr>
        <w:t xml:space="preserve"> The number of FTEs is the agency’s best estimate for all information collection activities of </w:t>
      </w:r>
      <w:r w:rsidRPr="0070367D">
        <w:rPr>
          <w:sz w:val="24"/>
          <w:szCs w:val="24"/>
        </w:rPr>
        <w:t>F</w:t>
      </w:r>
      <w:r w:rsidRPr="00BB5D93">
        <w:rPr>
          <w:sz w:val="24"/>
          <w:szCs w:val="24"/>
        </w:rPr>
        <w:t xml:space="preserve">ERC-516.  This includes the cost of analysis and processing for all items listed in the burden table in question 12.  </w:t>
      </w:r>
      <w:r w:rsidR="00435448">
        <w:rPr>
          <w:sz w:val="24"/>
          <w:szCs w:val="24"/>
        </w:rPr>
        <w:t>The Commission</w:t>
      </w:r>
      <w:r w:rsidRPr="00BB5D93" w:rsidR="00435448">
        <w:rPr>
          <w:sz w:val="24"/>
          <w:szCs w:val="24"/>
        </w:rPr>
        <w:t xml:space="preserve"> </w:t>
      </w:r>
      <w:r w:rsidRPr="00BB5D93">
        <w:rPr>
          <w:sz w:val="24"/>
          <w:szCs w:val="24"/>
        </w:rPr>
        <w:t xml:space="preserve">will reassess the number of FTEs at the time of the next renewal.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7616DC79" w14:textId="206174BC">
    <w:pPr>
      <w:spacing w:after="0" w:line="259" w:lineRule="auto"/>
      <w:ind w:left="360" w:firstLine="0"/>
    </w:pPr>
    <w:r>
      <w:t xml:space="preserve">FERC-516 &amp; FERC-730 (OMB Control Nos. 1902-0096 and 1902-0239)  </w:t>
    </w:r>
  </w:p>
  <w:p w:rsidR="00144DE0" w14:paraId="66150936" w14:textId="53A2574E">
    <w:pPr>
      <w:spacing w:after="0" w:line="259" w:lineRule="auto"/>
      <w:ind w:left="360" w:firstLine="0"/>
    </w:pPr>
    <w:r>
      <w:t xml:space="preserve">Proposed Rule, issued </w:t>
    </w:r>
    <w:r>
      <w:rPr>
        <w:shd w:val="clear" w:color="auto" w:fill="FFFF00"/>
      </w:rPr>
      <w:t>DATE</w:t>
    </w:r>
    <w:r>
      <w:t xml:space="preserve">), Docket RM20-10-000 </w:t>
    </w:r>
  </w:p>
  <w:p w:rsidR="00144DE0" w14:paraId="500F552D" w14:textId="77777777">
    <w:pPr>
      <w:spacing w:after="0" w:line="259" w:lineRule="auto"/>
      <w:ind w:left="360" w:firstLine="0"/>
    </w:pPr>
    <w:r>
      <w:t>RIN: 1902-</w:t>
    </w:r>
    <w:r>
      <w:rPr>
        <w:shd w:val="clear" w:color="auto" w:fill="FFFF00"/>
      </w:rPr>
      <w:t>XXXX</w:t>
    </w:r>
    <w:r>
      <w:t xml:space="preserve"> </w:t>
    </w:r>
  </w:p>
  <w:p w:rsidR="00144DE0" w14:paraId="77438326" w14:textId="77777777">
    <w:pPr>
      <w:spacing w:after="0" w:line="259" w:lineRule="auto"/>
      <w:ind w:left="36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rsidRPr="004D68BE" w:rsidP="008F25E0" w14:paraId="4205BCCC" w14:textId="442C6EC8">
    <w:pPr>
      <w:spacing w:after="0" w:line="259" w:lineRule="auto"/>
      <w:ind w:left="0" w:firstLine="0"/>
    </w:pPr>
    <w:r w:rsidRPr="004D68BE">
      <w:t xml:space="preserve">FERC-516 (OMB Control No. 1902-0096) </w:t>
    </w:r>
  </w:p>
  <w:p w:rsidR="00144DE0" w:rsidP="008F25E0" w14:paraId="32AAB99E" w14:textId="0DBAA821">
    <w:pPr>
      <w:spacing w:after="0" w:line="259" w:lineRule="auto"/>
      <w:ind w:left="0" w:firstLine="0"/>
    </w:pPr>
    <w:r w:rsidRPr="004D68BE">
      <w:t>Docket No. RM22-</w:t>
    </w:r>
    <w:r w:rsidR="00D26A23">
      <w:t>2-000</w:t>
    </w:r>
  </w:p>
  <w:p w:rsidR="00324A65" w:rsidP="008F25E0" w14:paraId="7E4475D7" w14:textId="48B5527B">
    <w:pPr>
      <w:spacing w:after="0" w:line="259" w:lineRule="auto"/>
      <w:ind w:left="0" w:firstLine="0"/>
    </w:pPr>
    <w:r w:rsidRPr="00512447">
      <w:t>RIN # 1902-</w:t>
    </w:r>
    <w:r w:rsidRPr="00512447" w:rsidR="0029507C">
      <w:t>AF91</w:t>
    </w:r>
  </w:p>
  <w:p w:rsidR="00144DE0" w:rsidRPr="004D68BE" w:rsidP="008F25E0" w14:paraId="06776D3D" w14:textId="77777777">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79F1CFF0" w14:textId="2ED43F7F">
    <w:pPr>
      <w:spacing w:after="0" w:line="259" w:lineRule="auto"/>
      <w:ind w:left="360" w:firstLine="0"/>
    </w:pPr>
    <w:r>
      <w:t xml:space="preserve">FERC-516 &amp; FERC-730 (OMB Control Nos. 1902-0096 and 1902-0239)  </w:t>
    </w:r>
  </w:p>
  <w:p w:rsidR="00144DE0" w14:paraId="4CC330AF" w14:textId="06D46DE2">
    <w:pPr>
      <w:spacing w:after="0" w:line="259" w:lineRule="auto"/>
      <w:ind w:left="360" w:firstLine="0"/>
    </w:pPr>
    <w:r>
      <w:t xml:space="preserve">Proposed Rule, issued </w:t>
    </w:r>
    <w:r>
      <w:rPr>
        <w:shd w:val="clear" w:color="auto" w:fill="FFFF00"/>
      </w:rPr>
      <w:t>DATE</w:t>
    </w:r>
    <w:r>
      <w:t xml:space="preserve">), Docket RM20-10-000 </w:t>
    </w:r>
  </w:p>
  <w:p w:rsidR="00144DE0" w14:paraId="772F8535" w14:textId="77777777">
    <w:pPr>
      <w:spacing w:after="0" w:line="259" w:lineRule="auto"/>
      <w:ind w:left="360" w:firstLine="0"/>
    </w:pPr>
    <w:r>
      <w:t>RIN: 1902-</w:t>
    </w:r>
    <w:r>
      <w:rPr>
        <w:shd w:val="clear" w:color="auto" w:fill="FFFF00"/>
      </w:rPr>
      <w:t>XXXX</w:t>
    </w:r>
    <w:r>
      <w:t xml:space="preserve"> </w:t>
    </w:r>
  </w:p>
  <w:p w:rsidR="00144DE0" w14:paraId="75164813" w14:textId="77777777">
    <w:pPr>
      <w:spacing w:after="0" w:line="259" w:lineRule="auto"/>
      <w:ind w:left="36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E15E86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E76DF"/>
    <w:multiLevelType w:val="hybridMultilevel"/>
    <w:tmpl w:val="3C169D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960B5"/>
    <w:multiLevelType w:val="hybridMultilevel"/>
    <w:tmpl w:val="AAA61D7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126B498C"/>
    <w:multiLevelType w:val="hybridMultilevel"/>
    <w:tmpl w:val="63D2F3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4B39CF"/>
    <w:multiLevelType w:val="hybridMultilevel"/>
    <w:tmpl w:val="15E8D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BF37B7"/>
    <w:multiLevelType w:val="hybridMultilevel"/>
    <w:tmpl w:val="70E8D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B7C92"/>
    <w:multiLevelType w:val="hybridMultilevel"/>
    <w:tmpl w:val="754A2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870FF6"/>
    <w:multiLevelType w:val="hybridMultilevel"/>
    <w:tmpl w:val="F594C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5E07DD"/>
    <w:multiLevelType w:val="hybridMultilevel"/>
    <w:tmpl w:val="73BED954"/>
    <w:lvl w:ilvl="0">
      <w:start w:val="1"/>
      <w:numFmt w:val="decimal"/>
      <w:lvlText w:val="%1."/>
      <w:lvlJc w:val="left"/>
      <w:pPr>
        <w:ind w:left="36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7DB2C2A"/>
    <w:multiLevelType w:val="hybridMultilevel"/>
    <w:tmpl w:val="EE8C18AC"/>
    <w:lvl w:ilvl="0">
      <w:start w:val="1"/>
      <w:numFmt w:val="bullet"/>
      <w:lvlText w:val=""/>
      <w:lvlJc w:val="left"/>
      <w:pPr>
        <w:ind w:left="730" w:hanging="360"/>
      </w:pPr>
      <w:rPr>
        <w:rFonts w:ascii="Symbol" w:hAnsi="Symbol" w:hint="default"/>
      </w:rPr>
    </w:lvl>
    <w:lvl w:ilvl="1" w:tentative="1">
      <w:start w:val="1"/>
      <w:numFmt w:val="bullet"/>
      <w:lvlText w:val="o"/>
      <w:lvlJc w:val="left"/>
      <w:pPr>
        <w:ind w:left="1450" w:hanging="360"/>
      </w:pPr>
      <w:rPr>
        <w:rFonts w:ascii="Courier New" w:hAnsi="Courier New" w:cs="Courier New" w:hint="default"/>
      </w:rPr>
    </w:lvl>
    <w:lvl w:ilvl="2" w:tentative="1">
      <w:start w:val="1"/>
      <w:numFmt w:val="bullet"/>
      <w:lvlText w:val=""/>
      <w:lvlJc w:val="left"/>
      <w:pPr>
        <w:ind w:left="2170" w:hanging="360"/>
      </w:pPr>
      <w:rPr>
        <w:rFonts w:ascii="Wingdings" w:hAnsi="Wingdings" w:hint="default"/>
      </w:rPr>
    </w:lvl>
    <w:lvl w:ilvl="3" w:tentative="1">
      <w:start w:val="1"/>
      <w:numFmt w:val="bullet"/>
      <w:lvlText w:val=""/>
      <w:lvlJc w:val="left"/>
      <w:pPr>
        <w:ind w:left="2890" w:hanging="360"/>
      </w:pPr>
      <w:rPr>
        <w:rFonts w:ascii="Symbol" w:hAnsi="Symbol" w:hint="default"/>
      </w:rPr>
    </w:lvl>
    <w:lvl w:ilvl="4" w:tentative="1">
      <w:start w:val="1"/>
      <w:numFmt w:val="bullet"/>
      <w:lvlText w:val="o"/>
      <w:lvlJc w:val="left"/>
      <w:pPr>
        <w:ind w:left="3610" w:hanging="360"/>
      </w:pPr>
      <w:rPr>
        <w:rFonts w:ascii="Courier New" w:hAnsi="Courier New" w:cs="Courier New" w:hint="default"/>
      </w:rPr>
    </w:lvl>
    <w:lvl w:ilvl="5" w:tentative="1">
      <w:start w:val="1"/>
      <w:numFmt w:val="bullet"/>
      <w:lvlText w:val=""/>
      <w:lvlJc w:val="left"/>
      <w:pPr>
        <w:ind w:left="4330" w:hanging="360"/>
      </w:pPr>
      <w:rPr>
        <w:rFonts w:ascii="Wingdings" w:hAnsi="Wingdings" w:hint="default"/>
      </w:rPr>
    </w:lvl>
    <w:lvl w:ilvl="6" w:tentative="1">
      <w:start w:val="1"/>
      <w:numFmt w:val="bullet"/>
      <w:lvlText w:val=""/>
      <w:lvlJc w:val="left"/>
      <w:pPr>
        <w:ind w:left="5050" w:hanging="360"/>
      </w:pPr>
      <w:rPr>
        <w:rFonts w:ascii="Symbol" w:hAnsi="Symbol" w:hint="default"/>
      </w:rPr>
    </w:lvl>
    <w:lvl w:ilvl="7" w:tentative="1">
      <w:start w:val="1"/>
      <w:numFmt w:val="bullet"/>
      <w:lvlText w:val="o"/>
      <w:lvlJc w:val="left"/>
      <w:pPr>
        <w:ind w:left="5770" w:hanging="360"/>
      </w:pPr>
      <w:rPr>
        <w:rFonts w:ascii="Courier New" w:hAnsi="Courier New" w:cs="Courier New" w:hint="default"/>
      </w:rPr>
    </w:lvl>
    <w:lvl w:ilvl="8" w:tentative="1">
      <w:start w:val="1"/>
      <w:numFmt w:val="bullet"/>
      <w:lvlText w:val=""/>
      <w:lvlJc w:val="left"/>
      <w:pPr>
        <w:ind w:left="6490" w:hanging="360"/>
      </w:pPr>
      <w:rPr>
        <w:rFonts w:ascii="Wingdings" w:hAnsi="Wingdings" w:hint="default"/>
      </w:rPr>
    </w:lvl>
  </w:abstractNum>
  <w:abstractNum w:abstractNumId="10">
    <w:nsid w:val="27EA7F6E"/>
    <w:multiLevelType w:val="hybridMultilevel"/>
    <w:tmpl w:val="D786B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F64F88"/>
    <w:multiLevelType w:val="hybridMultilevel"/>
    <w:tmpl w:val="D9621F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EB456D"/>
    <w:multiLevelType w:val="hybridMultilevel"/>
    <w:tmpl w:val="7680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007742"/>
    <w:multiLevelType w:val="hybridMultilevel"/>
    <w:tmpl w:val="CDA4A3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0A6A08"/>
    <w:multiLevelType w:val="hybridMultilevel"/>
    <w:tmpl w:val="F4842288"/>
    <w:lvl w:ilvl="0">
      <w:start w:val="1"/>
      <w:numFmt w:val="upperLetter"/>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7975499"/>
    <w:multiLevelType w:val="hybridMultilevel"/>
    <w:tmpl w:val="845890E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5C2D27"/>
    <w:multiLevelType w:val="hybridMultilevel"/>
    <w:tmpl w:val="14C2B324"/>
    <w:lvl w:ilvl="0">
      <w:start w:val="1"/>
      <w:numFmt w:val="bullet"/>
      <w:pStyle w:val="FERCparanumbe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1C32227"/>
    <w:multiLevelType w:val="hybridMultilevel"/>
    <w:tmpl w:val="E17E6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E440D6"/>
    <w:multiLevelType w:val="hybridMultilevel"/>
    <w:tmpl w:val="08E82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9836C1"/>
    <w:multiLevelType w:val="hybridMultilevel"/>
    <w:tmpl w:val="7B54AC36"/>
    <w:lvl w:ilvl="0">
      <w:start w:val="1"/>
      <w:numFmt w:val="bullet"/>
      <w:lvlText w:val=""/>
      <w:lvlJc w:val="left"/>
      <w:pPr>
        <w:tabs>
          <w:tab w:val="num" w:pos="1440"/>
        </w:tabs>
        <w:ind w:left="720" w:firstLine="0"/>
      </w:pPr>
      <w:rPr>
        <w:rFonts w:ascii="Symbol" w:hAnsi="Symbol"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45104008"/>
    <w:multiLevelType w:val="hybridMultilevel"/>
    <w:tmpl w:val="558AE4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5CC78B3"/>
    <w:multiLevelType w:val="hybridMultilevel"/>
    <w:tmpl w:val="98C64E7C"/>
    <w:lvl w:ilvl="0">
      <w:start w:val="1"/>
      <w:numFmt w:val="bullet"/>
      <w:lvlText w:val=""/>
      <w:lvlJc w:val="left"/>
      <w:pPr>
        <w:ind w:left="1076" w:hanging="360"/>
      </w:pPr>
      <w:rPr>
        <w:rFonts w:ascii="Symbol" w:hAnsi="Symbol" w:hint="default"/>
      </w:rPr>
    </w:lvl>
    <w:lvl w:ilvl="1" w:tentative="1">
      <w:start w:val="1"/>
      <w:numFmt w:val="bullet"/>
      <w:lvlText w:val="o"/>
      <w:lvlJc w:val="left"/>
      <w:pPr>
        <w:ind w:left="1796" w:hanging="360"/>
      </w:pPr>
      <w:rPr>
        <w:rFonts w:ascii="Courier New" w:hAnsi="Courier New" w:cs="Courier New" w:hint="default"/>
      </w:rPr>
    </w:lvl>
    <w:lvl w:ilvl="2" w:tentative="1">
      <w:start w:val="1"/>
      <w:numFmt w:val="bullet"/>
      <w:lvlText w:val=""/>
      <w:lvlJc w:val="left"/>
      <w:pPr>
        <w:ind w:left="2516" w:hanging="360"/>
      </w:pPr>
      <w:rPr>
        <w:rFonts w:ascii="Wingdings" w:hAnsi="Wingdings" w:hint="default"/>
      </w:rPr>
    </w:lvl>
    <w:lvl w:ilvl="3" w:tentative="1">
      <w:start w:val="1"/>
      <w:numFmt w:val="bullet"/>
      <w:lvlText w:val=""/>
      <w:lvlJc w:val="left"/>
      <w:pPr>
        <w:ind w:left="3236" w:hanging="360"/>
      </w:pPr>
      <w:rPr>
        <w:rFonts w:ascii="Symbol" w:hAnsi="Symbol" w:hint="default"/>
      </w:rPr>
    </w:lvl>
    <w:lvl w:ilvl="4" w:tentative="1">
      <w:start w:val="1"/>
      <w:numFmt w:val="bullet"/>
      <w:lvlText w:val="o"/>
      <w:lvlJc w:val="left"/>
      <w:pPr>
        <w:ind w:left="3956" w:hanging="360"/>
      </w:pPr>
      <w:rPr>
        <w:rFonts w:ascii="Courier New" w:hAnsi="Courier New" w:cs="Courier New" w:hint="default"/>
      </w:rPr>
    </w:lvl>
    <w:lvl w:ilvl="5" w:tentative="1">
      <w:start w:val="1"/>
      <w:numFmt w:val="bullet"/>
      <w:lvlText w:val=""/>
      <w:lvlJc w:val="left"/>
      <w:pPr>
        <w:ind w:left="4676" w:hanging="360"/>
      </w:pPr>
      <w:rPr>
        <w:rFonts w:ascii="Wingdings" w:hAnsi="Wingdings" w:hint="default"/>
      </w:rPr>
    </w:lvl>
    <w:lvl w:ilvl="6" w:tentative="1">
      <w:start w:val="1"/>
      <w:numFmt w:val="bullet"/>
      <w:lvlText w:val=""/>
      <w:lvlJc w:val="left"/>
      <w:pPr>
        <w:ind w:left="5396" w:hanging="360"/>
      </w:pPr>
      <w:rPr>
        <w:rFonts w:ascii="Symbol" w:hAnsi="Symbol" w:hint="default"/>
      </w:rPr>
    </w:lvl>
    <w:lvl w:ilvl="7" w:tentative="1">
      <w:start w:val="1"/>
      <w:numFmt w:val="bullet"/>
      <w:lvlText w:val="o"/>
      <w:lvlJc w:val="left"/>
      <w:pPr>
        <w:ind w:left="6116" w:hanging="360"/>
      </w:pPr>
      <w:rPr>
        <w:rFonts w:ascii="Courier New" w:hAnsi="Courier New" w:cs="Courier New" w:hint="default"/>
      </w:rPr>
    </w:lvl>
    <w:lvl w:ilvl="8" w:tentative="1">
      <w:start w:val="1"/>
      <w:numFmt w:val="bullet"/>
      <w:lvlText w:val=""/>
      <w:lvlJc w:val="left"/>
      <w:pPr>
        <w:ind w:left="6836" w:hanging="360"/>
      </w:pPr>
      <w:rPr>
        <w:rFonts w:ascii="Wingdings" w:hAnsi="Wingdings" w:hint="default"/>
      </w:rPr>
    </w:lvl>
  </w:abstractNum>
  <w:abstractNum w:abstractNumId="22">
    <w:nsid w:val="465C6DB2"/>
    <w:multiLevelType w:val="hybridMultilevel"/>
    <w:tmpl w:val="5A6682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7EA291B"/>
    <w:multiLevelType w:val="hybridMultilevel"/>
    <w:tmpl w:val="77C2E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83E3710"/>
    <w:multiLevelType w:val="hybridMultilevel"/>
    <w:tmpl w:val="E1506C12"/>
    <w:lvl w:ilvl="0">
      <w:start w:val="2"/>
      <w:numFmt w:val="decimal"/>
      <w:lvlText w:val="%1)"/>
      <w:lvlJc w:val="left"/>
      <w:pPr>
        <w:ind w:left="2516" w:hanging="360"/>
      </w:pPr>
      <w:rPr>
        <w:rFonts w:hint="default"/>
      </w:rPr>
    </w:lvl>
    <w:lvl w:ilvl="1" w:tentative="1">
      <w:start w:val="1"/>
      <w:numFmt w:val="lowerLetter"/>
      <w:lvlText w:val="%2."/>
      <w:lvlJc w:val="left"/>
      <w:pPr>
        <w:ind w:left="3236" w:hanging="360"/>
      </w:pPr>
    </w:lvl>
    <w:lvl w:ilvl="2" w:tentative="1">
      <w:start w:val="1"/>
      <w:numFmt w:val="lowerRoman"/>
      <w:lvlText w:val="%3."/>
      <w:lvlJc w:val="right"/>
      <w:pPr>
        <w:ind w:left="3956" w:hanging="180"/>
      </w:pPr>
    </w:lvl>
    <w:lvl w:ilvl="3" w:tentative="1">
      <w:start w:val="1"/>
      <w:numFmt w:val="decimal"/>
      <w:lvlText w:val="%4."/>
      <w:lvlJc w:val="left"/>
      <w:pPr>
        <w:ind w:left="4676" w:hanging="360"/>
      </w:pPr>
    </w:lvl>
    <w:lvl w:ilvl="4" w:tentative="1">
      <w:start w:val="1"/>
      <w:numFmt w:val="lowerLetter"/>
      <w:lvlText w:val="%5."/>
      <w:lvlJc w:val="left"/>
      <w:pPr>
        <w:ind w:left="5396" w:hanging="360"/>
      </w:pPr>
    </w:lvl>
    <w:lvl w:ilvl="5" w:tentative="1">
      <w:start w:val="1"/>
      <w:numFmt w:val="lowerRoman"/>
      <w:lvlText w:val="%6."/>
      <w:lvlJc w:val="right"/>
      <w:pPr>
        <w:ind w:left="6116" w:hanging="180"/>
      </w:pPr>
    </w:lvl>
    <w:lvl w:ilvl="6" w:tentative="1">
      <w:start w:val="1"/>
      <w:numFmt w:val="decimal"/>
      <w:lvlText w:val="%7."/>
      <w:lvlJc w:val="left"/>
      <w:pPr>
        <w:ind w:left="6836" w:hanging="360"/>
      </w:pPr>
    </w:lvl>
    <w:lvl w:ilvl="7" w:tentative="1">
      <w:start w:val="1"/>
      <w:numFmt w:val="lowerLetter"/>
      <w:lvlText w:val="%8."/>
      <w:lvlJc w:val="left"/>
      <w:pPr>
        <w:ind w:left="7556" w:hanging="360"/>
      </w:pPr>
    </w:lvl>
    <w:lvl w:ilvl="8" w:tentative="1">
      <w:start w:val="1"/>
      <w:numFmt w:val="lowerRoman"/>
      <w:lvlText w:val="%9."/>
      <w:lvlJc w:val="right"/>
      <w:pPr>
        <w:ind w:left="8276" w:hanging="180"/>
      </w:pPr>
    </w:lvl>
  </w:abstractNum>
  <w:abstractNum w:abstractNumId="25">
    <w:nsid w:val="497560E7"/>
    <w:multiLevelType w:val="hybridMultilevel"/>
    <w:tmpl w:val="6D12EE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BDD1B71"/>
    <w:multiLevelType w:val="hybridMultilevel"/>
    <w:tmpl w:val="C4C203F8"/>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4A79D9"/>
    <w:multiLevelType w:val="hybridMultilevel"/>
    <w:tmpl w:val="0B341360"/>
    <w:lvl w:ilvl="0">
      <w:start w:val="1"/>
      <w:numFmt w:val="lowerLetter"/>
      <w:lvlText w:val="%1)"/>
      <w:lvlJc w:val="left"/>
      <w:pPr>
        <w:ind w:left="716" w:hanging="360"/>
      </w:pPr>
      <w:rPr>
        <w:rFonts w:hint="default"/>
      </w:rPr>
    </w:lvl>
    <w:lvl w:ilvl="1" w:tentative="1">
      <w:start w:val="1"/>
      <w:numFmt w:val="lowerLetter"/>
      <w:lvlText w:val="%2."/>
      <w:lvlJc w:val="left"/>
      <w:pPr>
        <w:ind w:left="1436" w:hanging="360"/>
      </w:pPr>
    </w:lvl>
    <w:lvl w:ilvl="2" w:tentative="1">
      <w:start w:val="1"/>
      <w:numFmt w:val="lowerRoman"/>
      <w:lvlText w:val="%3."/>
      <w:lvlJc w:val="right"/>
      <w:pPr>
        <w:ind w:left="2156" w:hanging="180"/>
      </w:pPr>
    </w:lvl>
    <w:lvl w:ilvl="3" w:tentative="1">
      <w:start w:val="1"/>
      <w:numFmt w:val="decimal"/>
      <w:lvlText w:val="%4."/>
      <w:lvlJc w:val="left"/>
      <w:pPr>
        <w:ind w:left="2876" w:hanging="360"/>
      </w:pPr>
    </w:lvl>
    <w:lvl w:ilvl="4" w:tentative="1">
      <w:start w:val="1"/>
      <w:numFmt w:val="lowerLetter"/>
      <w:lvlText w:val="%5."/>
      <w:lvlJc w:val="left"/>
      <w:pPr>
        <w:ind w:left="3596" w:hanging="360"/>
      </w:pPr>
    </w:lvl>
    <w:lvl w:ilvl="5" w:tentative="1">
      <w:start w:val="1"/>
      <w:numFmt w:val="lowerRoman"/>
      <w:lvlText w:val="%6."/>
      <w:lvlJc w:val="right"/>
      <w:pPr>
        <w:ind w:left="4316" w:hanging="180"/>
      </w:pPr>
    </w:lvl>
    <w:lvl w:ilvl="6" w:tentative="1">
      <w:start w:val="1"/>
      <w:numFmt w:val="decimal"/>
      <w:lvlText w:val="%7."/>
      <w:lvlJc w:val="left"/>
      <w:pPr>
        <w:ind w:left="5036" w:hanging="360"/>
      </w:pPr>
    </w:lvl>
    <w:lvl w:ilvl="7" w:tentative="1">
      <w:start w:val="1"/>
      <w:numFmt w:val="lowerLetter"/>
      <w:lvlText w:val="%8."/>
      <w:lvlJc w:val="left"/>
      <w:pPr>
        <w:ind w:left="5756" w:hanging="360"/>
      </w:pPr>
    </w:lvl>
    <w:lvl w:ilvl="8" w:tentative="1">
      <w:start w:val="1"/>
      <w:numFmt w:val="lowerRoman"/>
      <w:lvlText w:val="%9."/>
      <w:lvlJc w:val="right"/>
      <w:pPr>
        <w:ind w:left="6476" w:hanging="180"/>
      </w:pPr>
    </w:lvl>
  </w:abstractNum>
  <w:abstractNum w:abstractNumId="28">
    <w:nsid w:val="50546A19"/>
    <w:multiLevelType w:val="hybridMultilevel"/>
    <w:tmpl w:val="02829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5A60FC5"/>
    <w:multiLevelType w:val="hybridMultilevel"/>
    <w:tmpl w:val="4AB67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A4270E3"/>
    <w:multiLevelType w:val="hybridMultilevel"/>
    <w:tmpl w:val="21146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B0346D7"/>
    <w:multiLevelType w:val="hybridMultilevel"/>
    <w:tmpl w:val="C1AC9B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B452027"/>
    <w:multiLevelType w:val="hybridMultilevel"/>
    <w:tmpl w:val="E2C2E29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CF56119"/>
    <w:multiLevelType w:val="hybridMultilevel"/>
    <w:tmpl w:val="940E59B0"/>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nsid w:val="5EAB0FD9"/>
    <w:multiLevelType w:val="hybridMultilevel"/>
    <w:tmpl w:val="05A037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E719D3"/>
    <w:multiLevelType w:val="hybridMultilevel"/>
    <w:tmpl w:val="B9A2F77C"/>
    <w:lvl w:ilvl="0">
      <w:start w:val="1"/>
      <w:numFmt w:val="decimal"/>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11E11E7"/>
    <w:multiLevelType w:val="hybridMultilevel"/>
    <w:tmpl w:val="009A6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EA3400"/>
    <w:multiLevelType w:val="hybridMultilevel"/>
    <w:tmpl w:val="F6FEFC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361D7B"/>
    <w:multiLevelType w:val="hybridMultilevel"/>
    <w:tmpl w:val="5F9E928A"/>
    <w:lvl w:ilvl="0">
      <w:start w:val="1"/>
      <w:numFmt w:val="decimal"/>
      <w:lvlText w:val="%1."/>
      <w:lvlJc w:val="left"/>
      <w:pPr>
        <w:ind w:left="1076" w:hanging="360"/>
      </w:pPr>
    </w:lvl>
    <w:lvl w:ilvl="1" w:tentative="1">
      <w:start w:val="1"/>
      <w:numFmt w:val="lowerLetter"/>
      <w:lvlText w:val="%2."/>
      <w:lvlJc w:val="left"/>
      <w:pPr>
        <w:ind w:left="1796" w:hanging="360"/>
      </w:pPr>
    </w:lvl>
    <w:lvl w:ilvl="2" w:tentative="1">
      <w:start w:val="1"/>
      <w:numFmt w:val="lowerRoman"/>
      <w:lvlText w:val="%3."/>
      <w:lvlJc w:val="right"/>
      <w:pPr>
        <w:ind w:left="2516" w:hanging="180"/>
      </w:pPr>
    </w:lvl>
    <w:lvl w:ilvl="3" w:tentative="1">
      <w:start w:val="1"/>
      <w:numFmt w:val="decimal"/>
      <w:lvlText w:val="%4."/>
      <w:lvlJc w:val="left"/>
      <w:pPr>
        <w:ind w:left="3236" w:hanging="360"/>
      </w:pPr>
    </w:lvl>
    <w:lvl w:ilvl="4" w:tentative="1">
      <w:start w:val="1"/>
      <w:numFmt w:val="lowerLetter"/>
      <w:lvlText w:val="%5."/>
      <w:lvlJc w:val="left"/>
      <w:pPr>
        <w:ind w:left="3956" w:hanging="360"/>
      </w:pPr>
    </w:lvl>
    <w:lvl w:ilvl="5" w:tentative="1">
      <w:start w:val="1"/>
      <w:numFmt w:val="lowerRoman"/>
      <w:lvlText w:val="%6."/>
      <w:lvlJc w:val="right"/>
      <w:pPr>
        <w:ind w:left="4676" w:hanging="180"/>
      </w:pPr>
    </w:lvl>
    <w:lvl w:ilvl="6" w:tentative="1">
      <w:start w:val="1"/>
      <w:numFmt w:val="decimal"/>
      <w:lvlText w:val="%7."/>
      <w:lvlJc w:val="left"/>
      <w:pPr>
        <w:ind w:left="5396" w:hanging="360"/>
      </w:pPr>
    </w:lvl>
    <w:lvl w:ilvl="7" w:tentative="1">
      <w:start w:val="1"/>
      <w:numFmt w:val="lowerLetter"/>
      <w:lvlText w:val="%8."/>
      <w:lvlJc w:val="left"/>
      <w:pPr>
        <w:ind w:left="6116" w:hanging="360"/>
      </w:pPr>
    </w:lvl>
    <w:lvl w:ilvl="8" w:tentative="1">
      <w:start w:val="1"/>
      <w:numFmt w:val="lowerRoman"/>
      <w:lvlText w:val="%9."/>
      <w:lvlJc w:val="right"/>
      <w:pPr>
        <w:ind w:left="6836" w:hanging="180"/>
      </w:pPr>
    </w:lvl>
  </w:abstractNum>
  <w:abstractNum w:abstractNumId="39">
    <w:nsid w:val="6E9B7C6F"/>
    <w:multiLevelType w:val="hybridMultilevel"/>
    <w:tmpl w:val="139803CC"/>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nsid w:val="6FF72274"/>
    <w:multiLevelType w:val="hybridMultilevel"/>
    <w:tmpl w:val="C9D22DB0"/>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nsid w:val="70D85F1B"/>
    <w:multiLevelType w:val="hybridMultilevel"/>
    <w:tmpl w:val="BB66AD9A"/>
    <w:lvl w:ilvl="0">
      <w:start w:val="1"/>
      <w:numFmt w:val="decimal"/>
      <w:lvlText w:val="(%1)"/>
      <w:lvlJc w:val="left"/>
      <w:pPr>
        <w:ind w:left="9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upperLetter"/>
      <w:lvlText w:val="(%2)"/>
      <w:lvlJc w:val="left"/>
      <w:pPr>
        <w:ind w:left="11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24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31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9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46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53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60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7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2">
    <w:nsid w:val="73C9493C"/>
    <w:multiLevelType w:val="hybridMultilevel"/>
    <w:tmpl w:val="93386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5227796"/>
    <w:multiLevelType w:val="hybridMultilevel"/>
    <w:tmpl w:val="2FD21864"/>
    <w:lvl w:ilvl="0">
      <w:start w:val="4"/>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44">
    <w:nsid w:val="7AF729A4"/>
    <w:multiLevelType w:val="hybridMultilevel"/>
    <w:tmpl w:val="F3C098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B954430"/>
    <w:multiLevelType w:val="hybridMultilevel"/>
    <w:tmpl w:val="57BAE4FE"/>
    <w:lvl w:ilvl="0">
      <w:start w:val="1"/>
      <w:numFmt w:val="decimal"/>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D3B09D3"/>
    <w:multiLevelType w:val="hybridMultilevel"/>
    <w:tmpl w:val="18B42A12"/>
    <w:lvl w:ilvl="0">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35240953">
    <w:abstractNumId w:val="40"/>
  </w:num>
  <w:num w:numId="2" w16cid:durableId="1271931594">
    <w:abstractNumId w:val="8"/>
  </w:num>
  <w:num w:numId="3" w16cid:durableId="1318070122">
    <w:abstractNumId w:val="43"/>
  </w:num>
  <w:num w:numId="4" w16cid:durableId="171645148">
    <w:abstractNumId w:val="39"/>
  </w:num>
  <w:num w:numId="5" w16cid:durableId="1015377394">
    <w:abstractNumId w:val="33"/>
  </w:num>
  <w:num w:numId="6" w16cid:durableId="1605959787">
    <w:abstractNumId w:val="22"/>
  </w:num>
  <w:num w:numId="7" w16cid:durableId="397287080">
    <w:abstractNumId w:val="19"/>
  </w:num>
  <w:num w:numId="8" w16cid:durableId="1395661354">
    <w:abstractNumId w:val="2"/>
  </w:num>
  <w:num w:numId="9" w16cid:durableId="534930908">
    <w:abstractNumId w:val="6"/>
  </w:num>
  <w:num w:numId="10" w16cid:durableId="919369113">
    <w:abstractNumId w:val="27"/>
  </w:num>
  <w:num w:numId="11" w16cid:durableId="868955779">
    <w:abstractNumId w:val="5"/>
  </w:num>
  <w:num w:numId="12" w16cid:durableId="1413041329">
    <w:abstractNumId w:val="21"/>
  </w:num>
  <w:num w:numId="13" w16cid:durableId="1385136096">
    <w:abstractNumId w:val="14"/>
  </w:num>
  <w:num w:numId="14" w16cid:durableId="1191339664">
    <w:abstractNumId w:val="44"/>
  </w:num>
  <w:num w:numId="15" w16cid:durableId="2118982462">
    <w:abstractNumId w:val="26"/>
  </w:num>
  <w:num w:numId="16" w16cid:durableId="1635910227">
    <w:abstractNumId w:val="46"/>
  </w:num>
  <w:num w:numId="17" w16cid:durableId="513031144">
    <w:abstractNumId w:val="16"/>
  </w:num>
  <w:num w:numId="18" w16cid:durableId="1138720640">
    <w:abstractNumId w:val="24"/>
  </w:num>
  <w:num w:numId="19" w16cid:durableId="2018802203">
    <w:abstractNumId w:val="15"/>
  </w:num>
  <w:num w:numId="20" w16cid:durableId="1638417840">
    <w:abstractNumId w:val="7"/>
  </w:num>
  <w:num w:numId="21" w16cid:durableId="1651980750">
    <w:abstractNumId w:val="36"/>
  </w:num>
  <w:num w:numId="22" w16cid:durableId="1897281516">
    <w:abstractNumId w:val="38"/>
  </w:num>
  <w:num w:numId="23" w16cid:durableId="223175571">
    <w:abstractNumId w:val="41"/>
  </w:num>
  <w:num w:numId="24" w16cid:durableId="1893274063">
    <w:abstractNumId w:val="30"/>
  </w:num>
  <w:num w:numId="25" w16cid:durableId="425349715">
    <w:abstractNumId w:val="31"/>
  </w:num>
  <w:num w:numId="26" w16cid:durableId="1420567781">
    <w:abstractNumId w:val="9"/>
  </w:num>
  <w:num w:numId="27" w16cid:durableId="718748170">
    <w:abstractNumId w:val="28"/>
  </w:num>
  <w:num w:numId="28" w16cid:durableId="1692532889">
    <w:abstractNumId w:val="25"/>
  </w:num>
  <w:num w:numId="29" w16cid:durableId="852913233">
    <w:abstractNumId w:val="4"/>
  </w:num>
  <w:num w:numId="30" w16cid:durableId="854075877">
    <w:abstractNumId w:val="3"/>
  </w:num>
  <w:num w:numId="31" w16cid:durableId="349843375">
    <w:abstractNumId w:val="37"/>
  </w:num>
  <w:num w:numId="32" w16cid:durableId="36586927">
    <w:abstractNumId w:val="13"/>
  </w:num>
  <w:num w:numId="33" w16cid:durableId="566185243">
    <w:abstractNumId w:val="42"/>
  </w:num>
  <w:num w:numId="34" w16cid:durableId="2049059939">
    <w:abstractNumId w:val="18"/>
  </w:num>
  <w:num w:numId="35" w16cid:durableId="567762043">
    <w:abstractNumId w:val="34"/>
  </w:num>
  <w:num w:numId="36" w16cid:durableId="1399787682">
    <w:abstractNumId w:val="29"/>
  </w:num>
  <w:num w:numId="37" w16cid:durableId="1927882691">
    <w:abstractNumId w:val="20"/>
  </w:num>
  <w:num w:numId="38" w16cid:durableId="1787311810">
    <w:abstractNumId w:val="17"/>
  </w:num>
  <w:num w:numId="39" w16cid:durableId="324743068">
    <w:abstractNumId w:val="12"/>
  </w:num>
  <w:num w:numId="40" w16cid:durableId="245577527">
    <w:abstractNumId w:val="45"/>
  </w:num>
  <w:num w:numId="41" w16cid:durableId="2102338964">
    <w:abstractNumId w:val="0"/>
  </w:num>
  <w:num w:numId="42" w16cid:durableId="211493160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68538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49112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37905450">
    <w:abstractNumId w:val="1"/>
  </w:num>
  <w:num w:numId="46" w16cid:durableId="1560437449">
    <w:abstractNumId w:val="23"/>
  </w:num>
  <w:num w:numId="47" w16cid:durableId="384373785">
    <w:abstractNumId w:val="11"/>
  </w:num>
  <w:num w:numId="48" w16cid:durableId="2116825830">
    <w:abstractNumId w:val="10"/>
  </w:num>
  <w:num w:numId="49" w16cid:durableId="79036561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autoHyphenation/>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5B"/>
    <w:rsid w:val="0000099D"/>
    <w:rsid w:val="000013A3"/>
    <w:rsid w:val="0000170D"/>
    <w:rsid w:val="00001A5D"/>
    <w:rsid w:val="00002539"/>
    <w:rsid w:val="00002E09"/>
    <w:rsid w:val="00004BBB"/>
    <w:rsid w:val="00006003"/>
    <w:rsid w:val="0000779C"/>
    <w:rsid w:val="00007832"/>
    <w:rsid w:val="000079E5"/>
    <w:rsid w:val="00007E94"/>
    <w:rsid w:val="00010466"/>
    <w:rsid w:val="00010478"/>
    <w:rsid w:val="0001087B"/>
    <w:rsid w:val="000116C7"/>
    <w:rsid w:val="000118CE"/>
    <w:rsid w:val="00011A20"/>
    <w:rsid w:val="00011B01"/>
    <w:rsid w:val="00012F33"/>
    <w:rsid w:val="00015B0E"/>
    <w:rsid w:val="000163A9"/>
    <w:rsid w:val="0001692B"/>
    <w:rsid w:val="00017681"/>
    <w:rsid w:val="00020FBF"/>
    <w:rsid w:val="00021048"/>
    <w:rsid w:val="000216D9"/>
    <w:rsid w:val="000218C9"/>
    <w:rsid w:val="00022435"/>
    <w:rsid w:val="00024CDE"/>
    <w:rsid w:val="0002513D"/>
    <w:rsid w:val="000255FC"/>
    <w:rsid w:val="00025C9F"/>
    <w:rsid w:val="00026B1C"/>
    <w:rsid w:val="00027C12"/>
    <w:rsid w:val="0003049B"/>
    <w:rsid w:val="00030A6D"/>
    <w:rsid w:val="00031C77"/>
    <w:rsid w:val="000321ED"/>
    <w:rsid w:val="00034FC0"/>
    <w:rsid w:val="000367B9"/>
    <w:rsid w:val="00036C9F"/>
    <w:rsid w:val="000378C8"/>
    <w:rsid w:val="00041D2F"/>
    <w:rsid w:val="000420B8"/>
    <w:rsid w:val="00043D50"/>
    <w:rsid w:val="00044066"/>
    <w:rsid w:val="00044836"/>
    <w:rsid w:val="000450AE"/>
    <w:rsid w:val="00045373"/>
    <w:rsid w:val="00045A95"/>
    <w:rsid w:val="00045FB5"/>
    <w:rsid w:val="00046B7C"/>
    <w:rsid w:val="00047C5E"/>
    <w:rsid w:val="00050147"/>
    <w:rsid w:val="00051B41"/>
    <w:rsid w:val="00051C6D"/>
    <w:rsid w:val="00052817"/>
    <w:rsid w:val="00052C23"/>
    <w:rsid w:val="00052F19"/>
    <w:rsid w:val="000553F3"/>
    <w:rsid w:val="00061304"/>
    <w:rsid w:val="00062065"/>
    <w:rsid w:val="000642C8"/>
    <w:rsid w:val="00065C3D"/>
    <w:rsid w:val="0006667D"/>
    <w:rsid w:val="00070804"/>
    <w:rsid w:val="00073223"/>
    <w:rsid w:val="00073684"/>
    <w:rsid w:val="000738DD"/>
    <w:rsid w:val="00074C08"/>
    <w:rsid w:val="0007513B"/>
    <w:rsid w:val="000755AE"/>
    <w:rsid w:val="00075A6C"/>
    <w:rsid w:val="00076115"/>
    <w:rsid w:val="00076D6C"/>
    <w:rsid w:val="00077BC0"/>
    <w:rsid w:val="000804B3"/>
    <w:rsid w:val="000807E7"/>
    <w:rsid w:val="00082554"/>
    <w:rsid w:val="00082CF0"/>
    <w:rsid w:val="000835F5"/>
    <w:rsid w:val="0008472A"/>
    <w:rsid w:val="00086494"/>
    <w:rsid w:val="00090CC1"/>
    <w:rsid w:val="0009158D"/>
    <w:rsid w:val="000947DE"/>
    <w:rsid w:val="00097D38"/>
    <w:rsid w:val="000A200F"/>
    <w:rsid w:val="000A230E"/>
    <w:rsid w:val="000A243F"/>
    <w:rsid w:val="000A2AE3"/>
    <w:rsid w:val="000A350F"/>
    <w:rsid w:val="000A541D"/>
    <w:rsid w:val="000A5FF7"/>
    <w:rsid w:val="000A69BC"/>
    <w:rsid w:val="000B11F4"/>
    <w:rsid w:val="000B2419"/>
    <w:rsid w:val="000B2856"/>
    <w:rsid w:val="000B51D2"/>
    <w:rsid w:val="000B65E1"/>
    <w:rsid w:val="000C1594"/>
    <w:rsid w:val="000C1731"/>
    <w:rsid w:val="000C1DDA"/>
    <w:rsid w:val="000C2ABB"/>
    <w:rsid w:val="000C4094"/>
    <w:rsid w:val="000C5F3D"/>
    <w:rsid w:val="000C62BD"/>
    <w:rsid w:val="000C7809"/>
    <w:rsid w:val="000C7D82"/>
    <w:rsid w:val="000D172F"/>
    <w:rsid w:val="000D182B"/>
    <w:rsid w:val="000D20C6"/>
    <w:rsid w:val="000D41B5"/>
    <w:rsid w:val="000D521A"/>
    <w:rsid w:val="000D58F2"/>
    <w:rsid w:val="000D64BD"/>
    <w:rsid w:val="000D66BF"/>
    <w:rsid w:val="000D6914"/>
    <w:rsid w:val="000D6DC2"/>
    <w:rsid w:val="000D78CD"/>
    <w:rsid w:val="000D7FF1"/>
    <w:rsid w:val="000E073B"/>
    <w:rsid w:val="000E0921"/>
    <w:rsid w:val="000E0CFD"/>
    <w:rsid w:val="000E1735"/>
    <w:rsid w:val="000E25EF"/>
    <w:rsid w:val="000E2701"/>
    <w:rsid w:val="000E28D4"/>
    <w:rsid w:val="000E296E"/>
    <w:rsid w:val="000E29EE"/>
    <w:rsid w:val="000E49E6"/>
    <w:rsid w:val="000E78C6"/>
    <w:rsid w:val="000E7A64"/>
    <w:rsid w:val="000E7CFE"/>
    <w:rsid w:val="000F0F61"/>
    <w:rsid w:val="000F124F"/>
    <w:rsid w:val="000F23BF"/>
    <w:rsid w:val="000F2CB3"/>
    <w:rsid w:val="000F2E90"/>
    <w:rsid w:val="000F5F51"/>
    <w:rsid w:val="000F78FA"/>
    <w:rsid w:val="001005BB"/>
    <w:rsid w:val="001006A7"/>
    <w:rsid w:val="00100A80"/>
    <w:rsid w:val="00100E21"/>
    <w:rsid w:val="0010176A"/>
    <w:rsid w:val="00101FF6"/>
    <w:rsid w:val="00102BFE"/>
    <w:rsid w:val="00105019"/>
    <w:rsid w:val="001056E3"/>
    <w:rsid w:val="00105897"/>
    <w:rsid w:val="00105E07"/>
    <w:rsid w:val="001068FA"/>
    <w:rsid w:val="00107A97"/>
    <w:rsid w:val="00110032"/>
    <w:rsid w:val="001104E2"/>
    <w:rsid w:val="00111722"/>
    <w:rsid w:val="00113231"/>
    <w:rsid w:val="00113914"/>
    <w:rsid w:val="00113E1C"/>
    <w:rsid w:val="00114A0A"/>
    <w:rsid w:val="0011565A"/>
    <w:rsid w:val="00115811"/>
    <w:rsid w:val="0011720C"/>
    <w:rsid w:val="00120557"/>
    <w:rsid w:val="00120E54"/>
    <w:rsid w:val="00121834"/>
    <w:rsid w:val="00122021"/>
    <w:rsid w:val="00122C4A"/>
    <w:rsid w:val="00122D69"/>
    <w:rsid w:val="00123522"/>
    <w:rsid w:val="001243E0"/>
    <w:rsid w:val="001245B6"/>
    <w:rsid w:val="00124BF2"/>
    <w:rsid w:val="00124E0D"/>
    <w:rsid w:val="0012526F"/>
    <w:rsid w:val="00125633"/>
    <w:rsid w:val="00126187"/>
    <w:rsid w:val="0012692A"/>
    <w:rsid w:val="001269A0"/>
    <w:rsid w:val="00127F87"/>
    <w:rsid w:val="00130357"/>
    <w:rsid w:val="00130A95"/>
    <w:rsid w:val="00130B5A"/>
    <w:rsid w:val="00130D1B"/>
    <w:rsid w:val="00131570"/>
    <w:rsid w:val="001320E3"/>
    <w:rsid w:val="00134501"/>
    <w:rsid w:val="00134A65"/>
    <w:rsid w:val="001351AF"/>
    <w:rsid w:val="00136ADA"/>
    <w:rsid w:val="00137E7C"/>
    <w:rsid w:val="001414E4"/>
    <w:rsid w:val="00144DE0"/>
    <w:rsid w:val="0014519A"/>
    <w:rsid w:val="001472DB"/>
    <w:rsid w:val="00147354"/>
    <w:rsid w:val="001475F3"/>
    <w:rsid w:val="001500D5"/>
    <w:rsid w:val="00150169"/>
    <w:rsid w:val="00153114"/>
    <w:rsid w:val="00153921"/>
    <w:rsid w:val="0015414D"/>
    <w:rsid w:val="001558CC"/>
    <w:rsid w:val="00155D7B"/>
    <w:rsid w:val="00155F8D"/>
    <w:rsid w:val="00156051"/>
    <w:rsid w:val="00156174"/>
    <w:rsid w:val="0015679A"/>
    <w:rsid w:val="00160D71"/>
    <w:rsid w:val="00161283"/>
    <w:rsid w:val="00162064"/>
    <w:rsid w:val="001634B7"/>
    <w:rsid w:val="00164758"/>
    <w:rsid w:val="00165DBC"/>
    <w:rsid w:val="00165F11"/>
    <w:rsid w:val="001673C5"/>
    <w:rsid w:val="001709E0"/>
    <w:rsid w:val="00171168"/>
    <w:rsid w:val="00172918"/>
    <w:rsid w:val="0017331B"/>
    <w:rsid w:val="00173A96"/>
    <w:rsid w:val="00174DCA"/>
    <w:rsid w:val="0017518A"/>
    <w:rsid w:val="00175296"/>
    <w:rsid w:val="00175743"/>
    <w:rsid w:val="00175BC2"/>
    <w:rsid w:val="00175D36"/>
    <w:rsid w:val="00177CC2"/>
    <w:rsid w:val="00177DF8"/>
    <w:rsid w:val="00180A5A"/>
    <w:rsid w:val="00180FE6"/>
    <w:rsid w:val="0018118A"/>
    <w:rsid w:val="001811E6"/>
    <w:rsid w:val="00182DB7"/>
    <w:rsid w:val="00184294"/>
    <w:rsid w:val="001846A3"/>
    <w:rsid w:val="001862DF"/>
    <w:rsid w:val="00190015"/>
    <w:rsid w:val="001900C8"/>
    <w:rsid w:val="001920BF"/>
    <w:rsid w:val="00193926"/>
    <w:rsid w:val="00193E04"/>
    <w:rsid w:val="00195193"/>
    <w:rsid w:val="00195D7D"/>
    <w:rsid w:val="00196BB4"/>
    <w:rsid w:val="00197206"/>
    <w:rsid w:val="00197838"/>
    <w:rsid w:val="001978B8"/>
    <w:rsid w:val="001A1C09"/>
    <w:rsid w:val="001A4057"/>
    <w:rsid w:val="001A42D5"/>
    <w:rsid w:val="001A5A26"/>
    <w:rsid w:val="001A6536"/>
    <w:rsid w:val="001A6B53"/>
    <w:rsid w:val="001A6E42"/>
    <w:rsid w:val="001B0967"/>
    <w:rsid w:val="001B1273"/>
    <w:rsid w:val="001B297D"/>
    <w:rsid w:val="001B3545"/>
    <w:rsid w:val="001B425D"/>
    <w:rsid w:val="001B5E10"/>
    <w:rsid w:val="001B6472"/>
    <w:rsid w:val="001B7588"/>
    <w:rsid w:val="001B7C6B"/>
    <w:rsid w:val="001C02B7"/>
    <w:rsid w:val="001C02F8"/>
    <w:rsid w:val="001C11FD"/>
    <w:rsid w:val="001C1367"/>
    <w:rsid w:val="001C1F50"/>
    <w:rsid w:val="001C2A92"/>
    <w:rsid w:val="001C36DF"/>
    <w:rsid w:val="001C4347"/>
    <w:rsid w:val="001C5768"/>
    <w:rsid w:val="001C5A5F"/>
    <w:rsid w:val="001C6350"/>
    <w:rsid w:val="001C6373"/>
    <w:rsid w:val="001C66AF"/>
    <w:rsid w:val="001C6AD5"/>
    <w:rsid w:val="001D0EDD"/>
    <w:rsid w:val="001D2FC6"/>
    <w:rsid w:val="001D3888"/>
    <w:rsid w:val="001D395D"/>
    <w:rsid w:val="001D44C1"/>
    <w:rsid w:val="001D478E"/>
    <w:rsid w:val="001D559E"/>
    <w:rsid w:val="001D5E7A"/>
    <w:rsid w:val="001D7642"/>
    <w:rsid w:val="001D7D53"/>
    <w:rsid w:val="001E11A7"/>
    <w:rsid w:val="001E1B4C"/>
    <w:rsid w:val="001E27B9"/>
    <w:rsid w:val="001E2E64"/>
    <w:rsid w:val="001E30F3"/>
    <w:rsid w:val="001E428D"/>
    <w:rsid w:val="001E596C"/>
    <w:rsid w:val="001E5AED"/>
    <w:rsid w:val="001E5B44"/>
    <w:rsid w:val="001E6177"/>
    <w:rsid w:val="001E66F0"/>
    <w:rsid w:val="001E6CFB"/>
    <w:rsid w:val="001E7325"/>
    <w:rsid w:val="001F0C13"/>
    <w:rsid w:val="001F0FF2"/>
    <w:rsid w:val="001F13F1"/>
    <w:rsid w:val="001F1814"/>
    <w:rsid w:val="001F2FD1"/>
    <w:rsid w:val="001F3988"/>
    <w:rsid w:val="001F3DBB"/>
    <w:rsid w:val="001F4248"/>
    <w:rsid w:val="001F767B"/>
    <w:rsid w:val="001F7B5A"/>
    <w:rsid w:val="001F7C32"/>
    <w:rsid w:val="0020035A"/>
    <w:rsid w:val="00201471"/>
    <w:rsid w:val="00201822"/>
    <w:rsid w:val="002022C6"/>
    <w:rsid w:val="0020324E"/>
    <w:rsid w:val="0020414A"/>
    <w:rsid w:val="00205AF7"/>
    <w:rsid w:val="00205DB3"/>
    <w:rsid w:val="00206188"/>
    <w:rsid w:val="00206834"/>
    <w:rsid w:val="00211241"/>
    <w:rsid w:val="00211945"/>
    <w:rsid w:val="00212585"/>
    <w:rsid w:val="0021263B"/>
    <w:rsid w:val="00212BBE"/>
    <w:rsid w:val="00213FE1"/>
    <w:rsid w:val="002140FB"/>
    <w:rsid w:val="00214E33"/>
    <w:rsid w:val="00215025"/>
    <w:rsid w:val="00215492"/>
    <w:rsid w:val="0021622E"/>
    <w:rsid w:val="002168BD"/>
    <w:rsid w:val="002171A1"/>
    <w:rsid w:val="00217591"/>
    <w:rsid w:val="00217F24"/>
    <w:rsid w:val="00220186"/>
    <w:rsid w:val="00220C14"/>
    <w:rsid w:val="00220E36"/>
    <w:rsid w:val="002223D2"/>
    <w:rsid w:val="002223E7"/>
    <w:rsid w:val="0022252D"/>
    <w:rsid w:val="00224FA6"/>
    <w:rsid w:val="00230127"/>
    <w:rsid w:val="0023042C"/>
    <w:rsid w:val="002305A5"/>
    <w:rsid w:val="00232F93"/>
    <w:rsid w:val="00233540"/>
    <w:rsid w:val="00234CA5"/>
    <w:rsid w:val="0023618A"/>
    <w:rsid w:val="00236CF2"/>
    <w:rsid w:val="0023750D"/>
    <w:rsid w:val="002403E0"/>
    <w:rsid w:val="0024040D"/>
    <w:rsid w:val="00240676"/>
    <w:rsid w:val="00241151"/>
    <w:rsid w:val="002422B1"/>
    <w:rsid w:val="0024262E"/>
    <w:rsid w:val="00242CE3"/>
    <w:rsid w:val="00243432"/>
    <w:rsid w:val="00246D57"/>
    <w:rsid w:val="00247D58"/>
    <w:rsid w:val="00250180"/>
    <w:rsid w:val="00250554"/>
    <w:rsid w:val="002506FE"/>
    <w:rsid w:val="00250BCF"/>
    <w:rsid w:val="00250F57"/>
    <w:rsid w:val="00250F74"/>
    <w:rsid w:val="00251A12"/>
    <w:rsid w:val="00252BC0"/>
    <w:rsid w:val="00253221"/>
    <w:rsid w:val="002549F7"/>
    <w:rsid w:val="00255874"/>
    <w:rsid w:val="002559AF"/>
    <w:rsid w:val="00255AE0"/>
    <w:rsid w:val="002568C0"/>
    <w:rsid w:val="00256DA6"/>
    <w:rsid w:val="002621DD"/>
    <w:rsid w:val="00262DE0"/>
    <w:rsid w:val="00264530"/>
    <w:rsid w:val="00264868"/>
    <w:rsid w:val="00264A9E"/>
    <w:rsid w:val="002657A1"/>
    <w:rsid w:val="00266A42"/>
    <w:rsid w:val="00267214"/>
    <w:rsid w:val="00267745"/>
    <w:rsid w:val="0027058A"/>
    <w:rsid w:val="00270B39"/>
    <w:rsid w:val="00271299"/>
    <w:rsid w:val="00271DBF"/>
    <w:rsid w:val="00272457"/>
    <w:rsid w:val="00272595"/>
    <w:rsid w:val="002729A4"/>
    <w:rsid w:val="00272A61"/>
    <w:rsid w:val="00273022"/>
    <w:rsid w:val="002749D6"/>
    <w:rsid w:val="00274C86"/>
    <w:rsid w:val="00274F99"/>
    <w:rsid w:val="00276220"/>
    <w:rsid w:val="002768DF"/>
    <w:rsid w:val="0027766E"/>
    <w:rsid w:val="00277941"/>
    <w:rsid w:val="00277FDC"/>
    <w:rsid w:val="00280882"/>
    <w:rsid w:val="002817A0"/>
    <w:rsid w:val="0028328A"/>
    <w:rsid w:val="00283403"/>
    <w:rsid w:val="002835E6"/>
    <w:rsid w:val="002842C3"/>
    <w:rsid w:val="0028519C"/>
    <w:rsid w:val="002861EE"/>
    <w:rsid w:val="0029002F"/>
    <w:rsid w:val="00290D8A"/>
    <w:rsid w:val="0029264C"/>
    <w:rsid w:val="00293036"/>
    <w:rsid w:val="00293609"/>
    <w:rsid w:val="0029507C"/>
    <w:rsid w:val="00295724"/>
    <w:rsid w:val="00295D7E"/>
    <w:rsid w:val="00295E3A"/>
    <w:rsid w:val="00296F50"/>
    <w:rsid w:val="002A0A18"/>
    <w:rsid w:val="002A14CA"/>
    <w:rsid w:val="002A167D"/>
    <w:rsid w:val="002A1C15"/>
    <w:rsid w:val="002A25C5"/>
    <w:rsid w:val="002A3F3C"/>
    <w:rsid w:val="002A4634"/>
    <w:rsid w:val="002A62E6"/>
    <w:rsid w:val="002B36DE"/>
    <w:rsid w:val="002B3CB3"/>
    <w:rsid w:val="002B3D82"/>
    <w:rsid w:val="002B4094"/>
    <w:rsid w:val="002B4E0F"/>
    <w:rsid w:val="002B68F1"/>
    <w:rsid w:val="002C0C18"/>
    <w:rsid w:val="002C103D"/>
    <w:rsid w:val="002C1843"/>
    <w:rsid w:val="002C354C"/>
    <w:rsid w:val="002C3C5F"/>
    <w:rsid w:val="002C6358"/>
    <w:rsid w:val="002C6C59"/>
    <w:rsid w:val="002C6DD4"/>
    <w:rsid w:val="002C7642"/>
    <w:rsid w:val="002D4209"/>
    <w:rsid w:val="002D4378"/>
    <w:rsid w:val="002D51F4"/>
    <w:rsid w:val="002D5CAA"/>
    <w:rsid w:val="002D7071"/>
    <w:rsid w:val="002D7C03"/>
    <w:rsid w:val="002D7E48"/>
    <w:rsid w:val="002E0337"/>
    <w:rsid w:val="002E1956"/>
    <w:rsid w:val="002E1AA4"/>
    <w:rsid w:val="002E225A"/>
    <w:rsid w:val="002E2384"/>
    <w:rsid w:val="002E29E9"/>
    <w:rsid w:val="002E2FA4"/>
    <w:rsid w:val="002E3996"/>
    <w:rsid w:val="002E4DDA"/>
    <w:rsid w:val="002E4EB6"/>
    <w:rsid w:val="002E5C84"/>
    <w:rsid w:val="002E7A0D"/>
    <w:rsid w:val="002F16B0"/>
    <w:rsid w:val="002F197B"/>
    <w:rsid w:val="002F1C41"/>
    <w:rsid w:val="002F205B"/>
    <w:rsid w:val="002F2E9F"/>
    <w:rsid w:val="002F3062"/>
    <w:rsid w:val="002F393D"/>
    <w:rsid w:val="002F3B4D"/>
    <w:rsid w:val="002F3DDF"/>
    <w:rsid w:val="002F4489"/>
    <w:rsid w:val="002F47B4"/>
    <w:rsid w:val="002F4CB4"/>
    <w:rsid w:val="002F5134"/>
    <w:rsid w:val="002F5849"/>
    <w:rsid w:val="002F6496"/>
    <w:rsid w:val="002F64C9"/>
    <w:rsid w:val="002F7A1B"/>
    <w:rsid w:val="0030054A"/>
    <w:rsid w:val="00300A06"/>
    <w:rsid w:val="00301481"/>
    <w:rsid w:val="003021A6"/>
    <w:rsid w:val="0030342C"/>
    <w:rsid w:val="00303665"/>
    <w:rsid w:val="00303893"/>
    <w:rsid w:val="003038A9"/>
    <w:rsid w:val="0030560E"/>
    <w:rsid w:val="00305801"/>
    <w:rsid w:val="003070E4"/>
    <w:rsid w:val="00310B74"/>
    <w:rsid w:val="00310B8D"/>
    <w:rsid w:val="00311BE5"/>
    <w:rsid w:val="00314BA7"/>
    <w:rsid w:val="0031682F"/>
    <w:rsid w:val="003177E2"/>
    <w:rsid w:val="003200ED"/>
    <w:rsid w:val="00320C43"/>
    <w:rsid w:val="00321FE9"/>
    <w:rsid w:val="003229C4"/>
    <w:rsid w:val="00323431"/>
    <w:rsid w:val="00324A65"/>
    <w:rsid w:val="00325443"/>
    <w:rsid w:val="0032577A"/>
    <w:rsid w:val="00325A3F"/>
    <w:rsid w:val="0032689C"/>
    <w:rsid w:val="00327699"/>
    <w:rsid w:val="00330701"/>
    <w:rsid w:val="00330977"/>
    <w:rsid w:val="00331788"/>
    <w:rsid w:val="003327A2"/>
    <w:rsid w:val="00332953"/>
    <w:rsid w:val="00332BC6"/>
    <w:rsid w:val="00333BF6"/>
    <w:rsid w:val="00334330"/>
    <w:rsid w:val="00334CFF"/>
    <w:rsid w:val="00335C3D"/>
    <w:rsid w:val="00336342"/>
    <w:rsid w:val="003374F7"/>
    <w:rsid w:val="003420B1"/>
    <w:rsid w:val="00343726"/>
    <w:rsid w:val="0034399F"/>
    <w:rsid w:val="0034451E"/>
    <w:rsid w:val="00344E67"/>
    <w:rsid w:val="00346090"/>
    <w:rsid w:val="0034718E"/>
    <w:rsid w:val="003474DB"/>
    <w:rsid w:val="0034752C"/>
    <w:rsid w:val="003477AB"/>
    <w:rsid w:val="00347984"/>
    <w:rsid w:val="00347E60"/>
    <w:rsid w:val="00350358"/>
    <w:rsid w:val="00350594"/>
    <w:rsid w:val="00350B87"/>
    <w:rsid w:val="003513A6"/>
    <w:rsid w:val="003520D1"/>
    <w:rsid w:val="00352972"/>
    <w:rsid w:val="00353487"/>
    <w:rsid w:val="00354C02"/>
    <w:rsid w:val="00355349"/>
    <w:rsid w:val="003563E1"/>
    <w:rsid w:val="00356BA5"/>
    <w:rsid w:val="00357430"/>
    <w:rsid w:val="0036111B"/>
    <w:rsid w:val="0036181F"/>
    <w:rsid w:val="00362464"/>
    <w:rsid w:val="00363E9E"/>
    <w:rsid w:val="003640CA"/>
    <w:rsid w:val="0036428F"/>
    <w:rsid w:val="00365452"/>
    <w:rsid w:val="00366096"/>
    <w:rsid w:val="00367002"/>
    <w:rsid w:val="00367321"/>
    <w:rsid w:val="00370127"/>
    <w:rsid w:val="003719EF"/>
    <w:rsid w:val="00372071"/>
    <w:rsid w:val="003745F9"/>
    <w:rsid w:val="00374B94"/>
    <w:rsid w:val="00374D78"/>
    <w:rsid w:val="003761EE"/>
    <w:rsid w:val="0037665C"/>
    <w:rsid w:val="00376933"/>
    <w:rsid w:val="003772C8"/>
    <w:rsid w:val="00377427"/>
    <w:rsid w:val="00377F9D"/>
    <w:rsid w:val="003800F0"/>
    <w:rsid w:val="00380A55"/>
    <w:rsid w:val="00380AEA"/>
    <w:rsid w:val="0038246A"/>
    <w:rsid w:val="00383548"/>
    <w:rsid w:val="0038359C"/>
    <w:rsid w:val="00383782"/>
    <w:rsid w:val="00383CEA"/>
    <w:rsid w:val="00384964"/>
    <w:rsid w:val="00385A93"/>
    <w:rsid w:val="0038680F"/>
    <w:rsid w:val="0038787A"/>
    <w:rsid w:val="00387A8B"/>
    <w:rsid w:val="00387B81"/>
    <w:rsid w:val="00390407"/>
    <w:rsid w:val="00390628"/>
    <w:rsid w:val="003908DA"/>
    <w:rsid w:val="00391855"/>
    <w:rsid w:val="00391AD9"/>
    <w:rsid w:val="00392E09"/>
    <w:rsid w:val="003943D3"/>
    <w:rsid w:val="003951F6"/>
    <w:rsid w:val="003953D0"/>
    <w:rsid w:val="003960AC"/>
    <w:rsid w:val="0039634D"/>
    <w:rsid w:val="00396F31"/>
    <w:rsid w:val="00397241"/>
    <w:rsid w:val="003974CE"/>
    <w:rsid w:val="00397F49"/>
    <w:rsid w:val="003A000C"/>
    <w:rsid w:val="003A13DE"/>
    <w:rsid w:val="003A2A41"/>
    <w:rsid w:val="003A5461"/>
    <w:rsid w:val="003A5DD2"/>
    <w:rsid w:val="003A70AF"/>
    <w:rsid w:val="003A70CE"/>
    <w:rsid w:val="003A7E1C"/>
    <w:rsid w:val="003B004B"/>
    <w:rsid w:val="003B1F78"/>
    <w:rsid w:val="003B2FA8"/>
    <w:rsid w:val="003B3FEB"/>
    <w:rsid w:val="003B4D84"/>
    <w:rsid w:val="003B527D"/>
    <w:rsid w:val="003B54CA"/>
    <w:rsid w:val="003B6374"/>
    <w:rsid w:val="003B6BE2"/>
    <w:rsid w:val="003B6EC3"/>
    <w:rsid w:val="003B7220"/>
    <w:rsid w:val="003B76E5"/>
    <w:rsid w:val="003B774F"/>
    <w:rsid w:val="003C0571"/>
    <w:rsid w:val="003C0EC5"/>
    <w:rsid w:val="003C127E"/>
    <w:rsid w:val="003C28AD"/>
    <w:rsid w:val="003C2EA3"/>
    <w:rsid w:val="003C4AE1"/>
    <w:rsid w:val="003C4F7D"/>
    <w:rsid w:val="003C58CD"/>
    <w:rsid w:val="003C7B1C"/>
    <w:rsid w:val="003D059F"/>
    <w:rsid w:val="003D13EB"/>
    <w:rsid w:val="003D2EF8"/>
    <w:rsid w:val="003D2F5B"/>
    <w:rsid w:val="003D39F5"/>
    <w:rsid w:val="003D4844"/>
    <w:rsid w:val="003D622A"/>
    <w:rsid w:val="003D71F8"/>
    <w:rsid w:val="003D787A"/>
    <w:rsid w:val="003E010A"/>
    <w:rsid w:val="003E1165"/>
    <w:rsid w:val="003E1656"/>
    <w:rsid w:val="003E316D"/>
    <w:rsid w:val="003E50F5"/>
    <w:rsid w:val="003E5254"/>
    <w:rsid w:val="003E690F"/>
    <w:rsid w:val="003F063F"/>
    <w:rsid w:val="003F215C"/>
    <w:rsid w:val="003F3EDB"/>
    <w:rsid w:val="003F406A"/>
    <w:rsid w:val="003F49F5"/>
    <w:rsid w:val="003F4FD2"/>
    <w:rsid w:val="003F5230"/>
    <w:rsid w:val="003F7C1E"/>
    <w:rsid w:val="003F7EF0"/>
    <w:rsid w:val="004000AC"/>
    <w:rsid w:val="00400742"/>
    <w:rsid w:val="00401529"/>
    <w:rsid w:val="00401A44"/>
    <w:rsid w:val="004027E4"/>
    <w:rsid w:val="004044A1"/>
    <w:rsid w:val="00405EA7"/>
    <w:rsid w:val="00410011"/>
    <w:rsid w:val="004102BE"/>
    <w:rsid w:val="00410AD3"/>
    <w:rsid w:val="004112AE"/>
    <w:rsid w:val="00411696"/>
    <w:rsid w:val="0041244F"/>
    <w:rsid w:val="00412787"/>
    <w:rsid w:val="004128A6"/>
    <w:rsid w:val="00413679"/>
    <w:rsid w:val="00413A7D"/>
    <w:rsid w:val="0041516C"/>
    <w:rsid w:val="0041642E"/>
    <w:rsid w:val="00416D17"/>
    <w:rsid w:val="004200CA"/>
    <w:rsid w:val="004208B1"/>
    <w:rsid w:val="00421FD4"/>
    <w:rsid w:val="00422983"/>
    <w:rsid w:val="00423A55"/>
    <w:rsid w:val="00424E24"/>
    <w:rsid w:val="00424F21"/>
    <w:rsid w:val="00425FAC"/>
    <w:rsid w:val="00426EC5"/>
    <w:rsid w:val="0043054E"/>
    <w:rsid w:val="00430619"/>
    <w:rsid w:val="00430AC5"/>
    <w:rsid w:val="004312CA"/>
    <w:rsid w:val="004312D7"/>
    <w:rsid w:val="0043169B"/>
    <w:rsid w:val="00434EA7"/>
    <w:rsid w:val="00434F3F"/>
    <w:rsid w:val="00435448"/>
    <w:rsid w:val="00435BDC"/>
    <w:rsid w:val="00436243"/>
    <w:rsid w:val="004364C8"/>
    <w:rsid w:val="0043667C"/>
    <w:rsid w:val="00440902"/>
    <w:rsid w:val="004414F1"/>
    <w:rsid w:val="00442838"/>
    <w:rsid w:val="00443F57"/>
    <w:rsid w:val="00444173"/>
    <w:rsid w:val="0044574A"/>
    <w:rsid w:val="004466FF"/>
    <w:rsid w:val="0044744C"/>
    <w:rsid w:val="004513FF"/>
    <w:rsid w:val="00451CE7"/>
    <w:rsid w:val="004543F5"/>
    <w:rsid w:val="00454403"/>
    <w:rsid w:val="00454E62"/>
    <w:rsid w:val="00455BEF"/>
    <w:rsid w:val="00456F83"/>
    <w:rsid w:val="00457621"/>
    <w:rsid w:val="004608D0"/>
    <w:rsid w:val="004617AA"/>
    <w:rsid w:val="0046309C"/>
    <w:rsid w:val="00463FE8"/>
    <w:rsid w:val="00465888"/>
    <w:rsid w:val="00465C38"/>
    <w:rsid w:val="004660A5"/>
    <w:rsid w:val="0047094B"/>
    <w:rsid w:val="0047216D"/>
    <w:rsid w:val="004728F5"/>
    <w:rsid w:val="00472A8E"/>
    <w:rsid w:val="00472DAC"/>
    <w:rsid w:val="00473A0C"/>
    <w:rsid w:val="00473D54"/>
    <w:rsid w:val="00473E48"/>
    <w:rsid w:val="00474740"/>
    <w:rsid w:val="004757FF"/>
    <w:rsid w:val="00477163"/>
    <w:rsid w:val="00477B2E"/>
    <w:rsid w:val="0048089A"/>
    <w:rsid w:val="00481B97"/>
    <w:rsid w:val="00481CE2"/>
    <w:rsid w:val="00481F3C"/>
    <w:rsid w:val="00484762"/>
    <w:rsid w:val="00485797"/>
    <w:rsid w:val="00486A92"/>
    <w:rsid w:val="00486BFB"/>
    <w:rsid w:val="004874CC"/>
    <w:rsid w:val="0049264D"/>
    <w:rsid w:val="0049274E"/>
    <w:rsid w:val="00494910"/>
    <w:rsid w:val="00496615"/>
    <w:rsid w:val="004968C6"/>
    <w:rsid w:val="0049795D"/>
    <w:rsid w:val="00497A06"/>
    <w:rsid w:val="004A11FD"/>
    <w:rsid w:val="004A1239"/>
    <w:rsid w:val="004A3963"/>
    <w:rsid w:val="004A3D6A"/>
    <w:rsid w:val="004A73E4"/>
    <w:rsid w:val="004A755E"/>
    <w:rsid w:val="004B0A51"/>
    <w:rsid w:val="004B0F06"/>
    <w:rsid w:val="004B21F0"/>
    <w:rsid w:val="004B43CC"/>
    <w:rsid w:val="004B451E"/>
    <w:rsid w:val="004B5423"/>
    <w:rsid w:val="004B6A83"/>
    <w:rsid w:val="004C005A"/>
    <w:rsid w:val="004C0E5E"/>
    <w:rsid w:val="004C0E7D"/>
    <w:rsid w:val="004C151D"/>
    <w:rsid w:val="004C1B9D"/>
    <w:rsid w:val="004C2D7C"/>
    <w:rsid w:val="004C3F35"/>
    <w:rsid w:val="004C4FAF"/>
    <w:rsid w:val="004C6143"/>
    <w:rsid w:val="004C723D"/>
    <w:rsid w:val="004D1511"/>
    <w:rsid w:val="004D22A6"/>
    <w:rsid w:val="004D2AD9"/>
    <w:rsid w:val="004D2AF2"/>
    <w:rsid w:val="004D34C2"/>
    <w:rsid w:val="004D3530"/>
    <w:rsid w:val="004D45C2"/>
    <w:rsid w:val="004D54FF"/>
    <w:rsid w:val="004D5756"/>
    <w:rsid w:val="004D5CC7"/>
    <w:rsid w:val="004D68BE"/>
    <w:rsid w:val="004D6A9E"/>
    <w:rsid w:val="004E091C"/>
    <w:rsid w:val="004E15CF"/>
    <w:rsid w:val="004E1CC3"/>
    <w:rsid w:val="004E2D04"/>
    <w:rsid w:val="004E3F9A"/>
    <w:rsid w:val="004E443E"/>
    <w:rsid w:val="004E4A03"/>
    <w:rsid w:val="004E4C4B"/>
    <w:rsid w:val="004E57E2"/>
    <w:rsid w:val="004E5A36"/>
    <w:rsid w:val="004E61D9"/>
    <w:rsid w:val="004E72E2"/>
    <w:rsid w:val="004E7B9B"/>
    <w:rsid w:val="004E7CFB"/>
    <w:rsid w:val="004F0B7B"/>
    <w:rsid w:val="004F18D0"/>
    <w:rsid w:val="004F1C29"/>
    <w:rsid w:val="004F28A2"/>
    <w:rsid w:val="004F35D3"/>
    <w:rsid w:val="004F45CC"/>
    <w:rsid w:val="004F4D9A"/>
    <w:rsid w:val="004F5A63"/>
    <w:rsid w:val="004F645E"/>
    <w:rsid w:val="004F7296"/>
    <w:rsid w:val="004F77AE"/>
    <w:rsid w:val="004F7C9B"/>
    <w:rsid w:val="004F7FF9"/>
    <w:rsid w:val="00500129"/>
    <w:rsid w:val="00501C06"/>
    <w:rsid w:val="00501CE6"/>
    <w:rsid w:val="00501E19"/>
    <w:rsid w:val="005030E2"/>
    <w:rsid w:val="00506085"/>
    <w:rsid w:val="00507F9F"/>
    <w:rsid w:val="00510AAA"/>
    <w:rsid w:val="005121EC"/>
    <w:rsid w:val="00512447"/>
    <w:rsid w:val="0051351B"/>
    <w:rsid w:val="005142EA"/>
    <w:rsid w:val="0051509F"/>
    <w:rsid w:val="00515298"/>
    <w:rsid w:val="00516B80"/>
    <w:rsid w:val="00516F12"/>
    <w:rsid w:val="00517198"/>
    <w:rsid w:val="00517932"/>
    <w:rsid w:val="005224BA"/>
    <w:rsid w:val="00522B85"/>
    <w:rsid w:val="00523427"/>
    <w:rsid w:val="005236F6"/>
    <w:rsid w:val="00525173"/>
    <w:rsid w:val="00527865"/>
    <w:rsid w:val="00527F9E"/>
    <w:rsid w:val="00530ECD"/>
    <w:rsid w:val="00530FF2"/>
    <w:rsid w:val="00532706"/>
    <w:rsid w:val="0053293F"/>
    <w:rsid w:val="00533455"/>
    <w:rsid w:val="00534489"/>
    <w:rsid w:val="00534B4D"/>
    <w:rsid w:val="00534D19"/>
    <w:rsid w:val="00534DB7"/>
    <w:rsid w:val="005358E5"/>
    <w:rsid w:val="00535DBE"/>
    <w:rsid w:val="00535FF9"/>
    <w:rsid w:val="00536F08"/>
    <w:rsid w:val="00537541"/>
    <w:rsid w:val="00542111"/>
    <w:rsid w:val="005423C0"/>
    <w:rsid w:val="00542D47"/>
    <w:rsid w:val="00542DF2"/>
    <w:rsid w:val="00543099"/>
    <w:rsid w:val="00543CF3"/>
    <w:rsid w:val="00544A44"/>
    <w:rsid w:val="00544EEF"/>
    <w:rsid w:val="005452BE"/>
    <w:rsid w:val="0054574E"/>
    <w:rsid w:val="00545EC9"/>
    <w:rsid w:val="005469FF"/>
    <w:rsid w:val="00546D42"/>
    <w:rsid w:val="00551767"/>
    <w:rsid w:val="00552A21"/>
    <w:rsid w:val="00552AC1"/>
    <w:rsid w:val="00554679"/>
    <w:rsid w:val="0055612A"/>
    <w:rsid w:val="005561A3"/>
    <w:rsid w:val="00556ADE"/>
    <w:rsid w:val="005571F3"/>
    <w:rsid w:val="00557376"/>
    <w:rsid w:val="005576B4"/>
    <w:rsid w:val="005579C4"/>
    <w:rsid w:val="005622AC"/>
    <w:rsid w:val="00563042"/>
    <w:rsid w:val="00564181"/>
    <w:rsid w:val="00564274"/>
    <w:rsid w:val="00565165"/>
    <w:rsid w:val="00565C8D"/>
    <w:rsid w:val="00566DE7"/>
    <w:rsid w:val="00566E7E"/>
    <w:rsid w:val="005670ED"/>
    <w:rsid w:val="00570237"/>
    <w:rsid w:val="005710F8"/>
    <w:rsid w:val="005724CB"/>
    <w:rsid w:val="00572C9B"/>
    <w:rsid w:val="00572CE8"/>
    <w:rsid w:val="00574089"/>
    <w:rsid w:val="005745A2"/>
    <w:rsid w:val="00575ED6"/>
    <w:rsid w:val="00576815"/>
    <w:rsid w:val="00576EF8"/>
    <w:rsid w:val="00580BC8"/>
    <w:rsid w:val="00581F72"/>
    <w:rsid w:val="005822A6"/>
    <w:rsid w:val="0058286C"/>
    <w:rsid w:val="00582FED"/>
    <w:rsid w:val="0058359C"/>
    <w:rsid w:val="00583AA0"/>
    <w:rsid w:val="00583AF3"/>
    <w:rsid w:val="005851FA"/>
    <w:rsid w:val="00585F02"/>
    <w:rsid w:val="00586DD3"/>
    <w:rsid w:val="00586E11"/>
    <w:rsid w:val="00586EBF"/>
    <w:rsid w:val="00591E22"/>
    <w:rsid w:val="00591FD9"/>
    <w:rsid w:val="00592437"/>
    <w:rsid w:val="00592A0D"/>
    <w:rsid w:val="00592CBB"/>
    <w:rsid w:val="00593A45"/>
    <w:rsid w:val="00594A55"/>
    <w:rsid w:val="0059532E"/>
    <w:rsid w:val="005964A5"/>
    <w:rsid w:val="00596E07"/>
    <w:rsid w:val="005975B7"/>
    <w:rsid w:val="005A283D"/>
    <w:rsid w:val="005A28FC"/>
    <w:rsid w:val="005A2B42"/>
    <w:rsid w:val="005A2F69"/>
    <w:rsid w:val="005A4C81"/>
    <w:rsid w:val="005A51E4"/>
    <w:rsid w:val="005A5B96"/>
    <w:rsid w:val="005A68A8"/>
    <w:rsid w:val="005B018A"/>
    <w:rsid w:val="005B0B92"/>
    <w:rsid w:val="005B12E9"/>
    <w:rsid w:val="005B13CD"/>
    <w:rsid w:val="005B3148"/>
    <w:rsid w:val="005B3BCF"/>
    <w:rsid w:val="005B40F3"/>
    <w:rsid w:val="005B4513"/>
    <w:rsid w:val="005B4D91"/>
    <w:rsid w:val="005B5774"/>
    <w:rsid w:val="005B586B"/>
    <w:rsid w:val="005B5B2D"/>
    <w:rsid w:val="005B5DE1"/>
    <w:rsid w:val="005B67E7"/>
    <w:rsid w:val="005B6988"/>
    <w:rsid w:val="005C03C9"/>
    <w:rsid w:val="005C16EA"/>
    <w:rsid w:val="005C1C29"/>
    <w:rsid w:val="005C34F8"/>
    <w:rsid w:val="005C3C1C"/>
    <w:rsid w:val="005C4508"/>
    <w:rsid w:val="005C4D46"/>
    <w:rsid w:val="005C4DC7"/>
    <w:rsid w:val="005C562A"/>
    <w:rsid w:val="005C74B7"/>
    <w:rsid w:val="005D0BA8"/>
    <w:rsid w:val="005D1382"/>
    <w:rsid w:val="005D2932"/>
    <w:rsid w:val="005D29FB"/>
    <w:rsid w:val="005D397D"/>
    <w:rsid w:val="005D4346"/>
    <w:rsid w:val="005D4A6E"/>
    <w:rsid w:val="005D7CD7"/>
    <w:rsid w:val="005E0CDA"/>
    <w:rsid w:val="005E2293"/>
    <w:rsid w:val="005E254B"/>
    <w:rsid w:val="005E2E82"/>
    <w:rsid w:val="005E3990"/>
    <w:rsid w:val="005E3C04"/>
    <w:rsid w:val="005E5503"/>
    <w:rsid w:val="005E5547"/>
    <w:rsid w:val="005E5C4C"/>
    <w:rsid w:val="005E63B7"/>
    <w:rsid w:val="005E640C"/>
    <w:rsid w:val="005E773B"/>
    <w:rsid w:val="005F1ECA"/>
    <w:rsid w:val="005F22CF"/>
    <w:rsid w:val="005F3EE3"/>
    <w:rsid w:val="005F49E4"/>
    <w:rsid w:val="005F55D3"/>
    <w:rsid w:val="005F5745"/>
    <w:rsid w:val="005F5F47"/>
    <w:rsid w:val="005F7D92"/>
    <w:rsid w:val="00600CA2"/>
    <w:rsid w:val="00600CB8"/>
    <w:rsid w:val="00602C11"/>
    <w:rsid w:val="0060308C"/>
    <w:rsid w:val="00606DBB"/>
    <w:rsid w:val="00610011"/>
    <w:rsid w:val="006105CA"/>
    <w:rsid w:val="00611245"/>
    <w:rsid w:val="00612F07"/>
    <w:rsid w:val="00615396"/>
    <w:rsid w:val="006171D2"/>
    <w:rsid w:val="00617308"/>
    <w:rsid w:val="00617482"/>
    <w:rsid w:val="0062056E"/>
    <w:rsid w:val="006205B4"/>
    <w:rsid w:val="00620E3F"/>
    <w:rsid w:val="00620FE7"/>
    <w:rsid w:val="00621681"/>
    <w:rsid w:val="006218B6"/>
    <w:rsid w:val="00622277"/>
    <w:rsid w:val="00622AFF"/>
    <w:rsid w:val="0062379A"/>
    <w:rsid w:val="006257B7"/>
    <w:rsid w:val="00626330"/>
    <w:rsid w:val="006304F4"/>
    <w:rsid w:val="006312D2"/>
    <w:rsid w:val="00631DE8"/>
    <w:rsid w:val="00632D73"/>
    <w:rsid w:val="006331D9"/>
    <w:rsid w:val="0063357D"/>
    <w:rsid w:val="00633BBB"/>
    <w:rsid w:val="00634788"/>
    <w:rsid w:val="00634A64"/>
    <w:rsid w:val="00636E55"/>
    <w:rsid w:val="00637ACE"/>
    <w:rsid w:val="00637CB9"/>
    <w:rsid w:val="00640ADC"/>
    <w:rsid w:val="00640BB5"/>
    <w:rsid w:val="00641181"/>
    <w:rsid w:val="00642D17"/>
    <w:rsid w:val="00643998"/>
    <w:rsid w:val="00643D77"/>
    <w:rsid w:val="00644374"/>
    <w:rsid w:val="00644703"/>
    <w:rsid w:val="00645D15"/>
    <w:rsid w:val="00646544"/>
    <w:rsid w:val="00647440"/>
    <w:rsid w:val="00647D34"/>
    <w:rsid w:val="00650128"/>
    <w:rsid w:val="006509A7"/>
    <w:rsid w:val="0065136C"/>
    <w:rsid w:val="00651772"/>
    <w:rsid w:val="00651B58"/>
    <w:rsid w:val="00652054"/>
    <w:rsid w:val="00652452"/>
    <w:rsid w:val="00652C76"/>
    <w:rsid w:val="00653732"/>
    <w:rsid w:val="006543CB"/>
    <w:rsid w:val="00655EE0"/>
    <w:rsid w:val="0065618E"/>
    <w:rsid w:val="0065621A"/>
    <w:rsid w:val="00656F5C"/>
    <w:rsid w:val="006578BA"/>
    <w:rsid w:val="00660229"/>
    <w:rsid w:val="00660EFC"/>
    <w:rsid w:val="00661677"/>
    <w:rsid w:val="0066202A"/>
    <w:rsid w:val="006621F8"/>
    <w:rsid w:val="00663688"/>
    <w:rsid w:val="00665736"/>
    <w:rsid w:val="00665D7F"/>
    <w:rsid w:val="0066715D"/>
    <w:rsid w:val="006671E9"/>
    <w:rsid w:val="0066792E"/>
    <w:rsid w:val="00667CC7"/>
    <w:rsid w:val="00670A06"/>
    <w:rsid w:val="00670F85"/>
    <w:rsid w:val="0067234F"/>
    <w:rsid w:val="006723E2"/>
    <w:rsid w:val="00672C1D"/>
    <w:rsid w:val="0067433F"/>
    <w:rsid w:val="00676308"/>
    <w:rsid w:val="00677680"/>
    <w:rsid w:val="00680C74"/>
    <w:rsid w:val="0068244C"/>
    <w:rsid w:val="006824D0"/>
    <w:rsid w:val="0068278B"/>
    <w:rsid w:val="00683444"/>
    <w:rsid w:val="006834D7"/>
    <w:rsid w:val="00684D17"/>
    <w:rsid w:val="0068597E"/>
    <w:rsid w:val="00685A0D"/>
    <w:rsid w:val="006870E5"/>
    <w:rsid w:val="00687224"/>
    <w:rsid w:val="006874DD"/>
    <w:rsid w:val="00687A4B"/>
    <w:rsid w:val="00687CFD"/>
    <w:rsid w:val="00691243"/>
    <w:rsid w:val="00692816"/>
    <w:rsid w:val="00692860"/>
    <w:rsid w:val="0069293E"/>
    <w:rsid w:val="00692960"/>
    <w:rsid w:val="0069332F"/>
    <w:rsid w:val="00693E33"/>
    <w:rsid w:val="00694607"/>
    <w:rsid w:val="00694D06"/>
    <w:rsid w:val="00694E9C"/>
    <w:rsid w:val="006951CF"/>
    <w:rsid w:val="00695278"/>
    <w:rsid w:val="00695648"/>
    <w:rsid w:val="0069615E"/>
    <w:rsid w:val="00696AF5"/>
    <w:rsid w:val="006979E2"/>
    <w:rsid w:val="006A1F8B"/>
    <w:rsid w:val="006A31BC"/>
    <w:rsid w:val="006A33AC"/>
    <w:rsid w:val="006A3A58"/>
    <w:rsid w:val="006A42F8"/>
    <w:rsid w:val="006A4EC9"/>
    <w:rsid w:val="006A6688"/>
    <w:rsid w:val="006A6F4D"/>
    <w:rsid w:val="006A7810"/>
    <w:rsid w:val="006A7C10"/>
    <w:rsid w:val="006B062E"/>
    <w:rsid w:val="006B12BB"/>
    <w:rsid w:val="006B3695"/>
    <w:rsid w:val="006B48C4"/>
    <w:rsid w:val="006B598B"/>
    <w:rsid w:val="006B667A"/>
    <w:rsid w:val="006B7A55"/>
    <w:rsid w:val="006B7A82"/>
    <w:rsid w:val="006C0622"/>
    <w:rsid w:val="006C1777"/>
    <w:rsid w:val="006C4257"/>
    <w:rsid w:val="006C4709"/>
    <w:rsid w:val="006C4B93"/>
    <w:rsid w:val="006C54FD"/>
    <w:rsid w:val="006C6179"/>
    <w:rsid w:val="006C6D14"/>
    <w:rsid w:val="006C7958"/>
    <w:rsid w:val="006C7C01"/>
    <w:rsid w:val="006C7D49"/>
    <w:rsid w:val="006D1B7E"/>
    <w:rsid w:val="006D1F74"/>
    <w:rsid w:val="006D2891"/>
    <w:rsid w:val="006D3132"/>
    <w:rsid w:val="006D3CF5"/>
    <w:rsid w:val="006D4D8E"/>
    <w:rsid w:val="006D59FE"/>
    <w:rsid w:val="006D5BEA"/>
    <w:rsid w:val="006D62A6"/>
    <w:rsid w:val="006D6409"/>
    <w:rsid w:val="006D6748"/>
    <w:rsid w:val="006D78ED"/>
    <w:rsid w:val="006E273C"/>
    <w:rsid w:val="006E2FD7"/>
    <w:rsid w:val="006E35B1"/>
    <w:rsid w:val="006E3E6A"/>
    <w:rsid w:val="006E56D0"/>
    <w:rsid w:val="006E5FB8"/>
    <w:rsid w:val="006E7CBF"/>
    <w:rsid w:val="006F0241"/>
    <w:rsid w:val="006F0EDB"/>
    <w:rsid w:val="006F1AE1"/>
    <w:rsid w:val="006F431E"/>
    <w:rsid w:val="006F4A43"/>
    <w:rsid w:val="006F5E1C"/>
    <w:rsid w:val="006F7436"/>
    <w:rsid w:val="006F7A53"/>
    <w:rsid w:val="006F7B89"/>
    <w:rsid w:val="00700C23"/>
    <w:rsid w:val="00701978"/>
    <w:rsid w:val="00702FD8"/>
    <w:rsid w:val="0070367D"/>
    <w:rsid w:val="00703E73"/>
    <w:rsid w:val="00703F87"/>
    <w:rsid w:val="007052DC"/>
    <w:rsid w:val="00705680"/>
    <w:rsid w:val="00705A71"/>
    <w:rsid w:val="00711591"/>
    <w:rsid w:val="0071191A"/>
    <w:rsid w:val="00712270"/>
    <w:rsid w:val="00712614"/>
    <w:rsid w:val="00713364"/>
    <w:rsid w:val="0071427F"/>
    <w:rsid w:val="0071428C"/>
    <w:rsid w:val="007147AB"/>
    <w:rsid w:val="00715306"/>
    <w:rsid w:val="007154E0"/>
    <w:rsid w:val="00715EA5"/>
    <w:rsid w:val="007179E3"/>
    <w:rsid w:val="00717C56"/>
    <w:rsid w:val="0072091F"/>
    <w:rsid w:val="0072179C"/>
    <w:rsid w:val="00721BCE"/>
    <w:rsid w:val="007221FF"/>
    <w:rsid w:val="00722499"/>
    <w:rsid w:val="00722A76"/>
    <w:rsid w:val="007235D0"/>
    <w:rsid w:val="00723DF6"/>
    <w:rsid w:val="0072416D"/>
    <w:rsid w:val="0072569A"/>
    <w:rsid w:val="007256DE"/>
    <w:rsid w:val="00725AFE"/>
    <w:rsid w:val="00725CBE"/>
    <w:rsid w:val="00727AC0"/>
    <w:rsid w:val="00730282"/>
    <w:rsid w:val="007308A2"/>
    <w:rsid w:val="00731639"/>
    <w:rsid w:val="00732AEC"/>
    <w:rsid w:val="00733113"/>
    <w:rsid w:val="00734886"/>
    <w:rsid w:val="007355E5"/>
    <w:rsid w:val="007362B2"/>
    <w:rsid w:val="00737953"/>
    <w:rsid w:val="00740D5A"/>
    <w:rsid w:val="007420EB"/>
    <w:rsid w:val="007428C5"/>
    <w:rsid w:val="007432FF"/>
    <w:rsid w:val="00743373"/>
    <w:rsid w:val="0074441F"/>
    <w:rsid w:val="007450DD"/>
    <w:rsid w:val="00746FEF"/>
    <w:rsid w:val="00747463"/>
    <w:rsid w:val="00750B49"/>
    <w:rsid w:val="00750D66"/>
    <w:rsid w:val="00751229"/>
    <w:rsid w:val="00753CEE"/>
    <w:rsid w:val="00754E0A"/>
    <w:rsid w:val="00755502"/>
    <w:rsid w:val="0075566F"/>
    <w:rsid w:val="00756804"/>
    <w:rsid w:val="0075787E"/>
    <w:rsid w:val="00760CB2"/>
    <w:rsid w:val="007619EB"/>
    <w:rsid w:val="00762D5D"/>
    <w:rsid w:val="00763FFF"/>
    <w:rsid w:val="00764594"/>
    <w:rsid w:val="00765158"/>
    <w:rsid w:val="00765924"/>
    <w:rsid w:val="0076594A"/>
    <w:rsid w:val="00766820"/>
    <w:rsid w:val="00766D10"/>
    <w:rsid w:val="0077097A"/>
    <w:rsid w:val="00772021"/>
    <w:rsid w:val="007730E4"/>
    <w:rsid w:val="00773ACD"/>
    <w:rsid w:val="0077556C"/>
    <w:rsid w:val="00775EE8"/>
    <w:rsid w:val="00776581"/>
    <w:rsid w:val="00776735"/>
    <w:rsid w:val="00776F8D"/>
    <w:rsid w:val="007773CE"/>
    <w:rsid w:val="0078033F"/>
    <w:rsid w:val="007806DA"/>
    <w:rsid w:val="007815EB"/>
    <w:rsid w:val="00782178"/>
    <w:rsid w:val="00782735"/>
    <w:rsid w:val="00782E18"/>
    <w:rsid w:val="007837D6"/>
    <w:rsid w:val="00783839"/>
    <w:rsid w:val="0078387B"/>
    <w:rsid w:val="00784AAE"/>
    <w:rsid w:val="00785BD8"/>
    <w:rsid w:val="00786CBA"/>
    <w:rsid w:val="00786F24"/>
    <w:rsid w:val="00790A31"/>
    <w:rsid w:val="0079153E"/>
    <w:rsid w:val="00791A27"/>
    <w:rsid w:val="007920CD"/>
    <w:rsid w:val="0079260D"/>
    <w:rsid w:val="00792CF7"/>
    <w:rsid w:val="0079342E"/>
    <w:rsid w:val="0079469E"/>
    <w:rsid w:val="00794814"/>
    <w:rsid w:val="00794B39"/>
    <w:rsid w:val="007952F8"/>
    <w:rsid w:val="00795864"/>
    <w:rsid w:val="00796FED"/>
    <w:rsid w:val="00797676"/>
    <w:rsid w:val="007A00F8"/>
    <w:rsid w:val="007A072E"/>
    <w:rsid w:val="007A1689"/>
    <w:rsid w:val="007A2344"/>
    <w:rsid w:val="007A262F"/>
    <w:rsid w:val="007A2902"/>
    <w:rsid w:val="007A37EC"/>
    <w:rsid w:val="007A46C3"/>
    <w:rsid w:val="007A532E"/>
    <w:rsid w:val="007A560D"/>
    <w:rsid w:val="007A5AF2"/>
    <w:rsid w:val="007A60C8"/>
    <w:rsid w:val="007A640A"/>
    <w:rsid w:val="007A6414"/>
    <w:rsid w:val="007A70FA"/>
    <w:rsid w:val="007A7CC2"/>
    <w:rsid w:val="007B0F8C"/>
    <w:rsid w:val="007B14F6"/>
    <w:rsid w:val="007B18E0"/>
    <w:rsid w:val="007B3D3F"/>
    <w:rsid w:val="007B4339"/>
    <w:rsid w:val="007B51BC"/>
    <w:rsid w:val="007B54E6"/>
    <w:rsid w:val="007B6CA9"/>
    <w:rsid w:val="007C15DE"/>
    <w:rsid w:val="007C41A8"/>
    <w:rsid w:val="007C5520"/>
    <w:rsid w:val="007C5CB4"/>
    <w:rsid w:val="007C6186"/>
    <w:rsid w:val="007C7406"/>
    <w:rsid w:val="007D0615"/>
    <w:rsid w:val="007D1E64"/>
    <w:rsid w:val="007D2083"/>
    <w:rsid w:val="007D21B3"/>
    <w:rsid w:val="007D37AA"/>
    <w:rsid w:val="007D4275"/>
    <w:rsid w:val="007D4682"/>
    <w:rsid w:val="007D4719"/>
    <w:rsid w:val="007D59D3"/>
    <w:rsid w:val="007D5E40"/>
    <w:rsid w:val="007D7FCD"/>
    <w:rsid w:val="007E08A6"/>
    <w:rsid w:val="007E343E"/>
    <w:rsid w:val="007E42C8"/>
    <w:rsid w:val="007E4792"/>
    <w:rsid w:val="007E5CF3"/>
    <w:rsid w:val="007E6ECB"/>
    <w:rsid w:val="007E794D"/>
    <w:rsid w:val="007E7D67"/>
    <w:rsid w:val="007F049E"/>
    <w:rsid w:val="007F050F"/>
    <w:rsid w:val="007F0878"/>
    <w:rsid w:val="007F0C68"/>
    <w:rsid w:val="007F13F1"/>
    <w:rsid w:val="007F19BF"/>
    <w:rsid w:val="007F2ACF"/>
    <w:rsid w:val="007F2AF8"/>
    <w:rsid w:val="007F33B8"/>
    <w:rsid w:val="007F34E7"/>
    <w:rsid w:val="007F3714"/>
    <w:rsid w:val="007F3E49"/>
    <w:rsid w:val="007F427B"/>
    <w:rsid w:val="007F4D17"/>
    <w:rsid w:val="007F5C28"/>
    <w:rsid w:val="007F6B72"/>
    <w:rsid w:val="0080086E"/>
    <w:rsid w:val="00800C60"/>
    <w:rsid w:val="008016A9"/>
    <w:rsid w:val="00801C21"/>
    <w:rsid w:val="008022CC"/>
    <w:rsid w:val="008033E6"/>
    <w:rsid w:val="00803B70"/>
    <w:rsid w:val="00803C01"/>
    <w:rsid w:val="00804EAD"/>
    <w:rsid w:val="00804FF3"/>
    <w:rsid w:val="00805863"/>
    <w:rsid w:val="00806889"/>
    <w:rsid w:val="0080709D"/>
    <w:rsid w:val="008070DE"/>
    <w:rsid w:val="00807F7D"/>
    <w:rsid w:val="00810A01"/>
    <w:rsid w:val="00811F66"/>
    <w:rsid w:val="008128DD"/>
    <w:rsid w:val="008140EE"/>
    <w:rsid w:val="00814E8F"/>
    <w:rsid w:val="00815648"/>
    <w:rsid w:val="008167D6"/>
    <w:rsid w:val="00816FA5"/>
    <w:rsid w:val="00817ADE"/>
    <w:rsid w:val="00820829"/>
    <w:rsid w:val="0082102A"/>
    <w:rsid w:val="00821587"/>
    <w:rsid w:val="008237D4"/>
    <w:rsid w:val="00824583"/>
    <w:rsid w:val="00824F9E"/>
    <w:rsid w:val="008252B1"/>
    <w:rsid w:val="008255D6"/>
    <w:rsid w:val="00825DBC"/>
    <w:rsid w:val="00827ACC"/>
    <w:rsid w:val="0083005A"/>
    <w:rsid w:val="0083015F"/>
    <w:rsid w:val="0083035D"/>
    <w:rsid w:val="00830A05"/>
    <w:rsid w:val="008312F9"/>
    <w:rsid w:val="00831992"/>
    <w:rsid w:val="00832278"/>
    <w:rsid w:val="00833A75"/>
    <w:rsid w:val="00835B38"/>
    <w:rsid w:val="00836758"/>
    <w:rsid w:val="00836CE7"/>
    <w:rsid w:val="00840F63"/>
    <w:rsid w:val="00841019"/>
    <w:rsid w:val="00841BE5"/>
    <w:rsid w:val="008420F6"/>
    <w:rsid w:val="00842CD9"/>
    <w:rsid w:val="00844289"/>
    <w:rsid w:val="00844683"/>
    <w:rsid w:val="00844F83"/>
    <w:rsid w:val="008450D5"/>
    <w:rsid w:val="0084518A"/>
    <w:rsid w:val="008455BB"/>
    <w:rsid w:val="008459BA"/>
    <w:rsid w:val="00845E33"/>
    <w:rsid w:val="00845E79"/>
    <w:rsid w:val="00850609"/>
    <w:rsid w:val="008513EE"/>
    <w:rsid w:val="00851CBB"/>
    <w:rsid w:val="00852473"/>
    <w:rsid w:val="00852AB7"/>
    <w:rsid w:val="00852AE3"/>
    <w:rsid w:val="00854449"/>
    <w:rsid w:val="00854BDD"/>
    <w:rsid w:val="008565B6"/>
    <w:rsid w:val="00856926"/>
    <w:rsid w:val="00856C39"/>
    <w:rsid w:val="00856FE3"/>
    <w:rsid w:val="00857381"/>
    <w:rsid w:val="00860FC1"/>
    <w:rsid w:val="00861677"/>
    <w:rsid w:val="00861F37"/>
    <w:rsid w:val="00862155"/>
    <w:rsid w:val="008628AD"/>
    <w:rsid w:val="00863277"/>
    <w:rsid w:val="00863A4D"/>
    <w:rsid w:val="0086569B"/>
    <w:rsid w:val="00871BF5"/>
    <w:rsid w:val="00871E78"/>
    <w:rsid w:val="00871F95"/>
    <w:rsid w:val="008727A3"/>
    <w:rsid w:val="00872906"/>
    <w:rsid w:val="008759DF"/>
    <w:rsid w:val="008768D6"/>
    <w:rsid w:val="008774D7"/>
    <w:rsid w:val="00884FB3"/>
    <w:rsid w:val="008851FE"/>
    <w:rsid w:val="00885D52"/>
    <w:rsid w:val="00886F4C"/>
    <w:rsid w:val="008876BF"/>
    <w:rsid w:val="00887A98"/>
    <w:rsid w:val="0089023E"/>
    <w:rsid w:val="00890659"/>
    <w:rsid w:val="00891761"/>
    <w:rsid w:val="00891A15"/>
    <w:rsid w:val="00891BA1"/>
    <w:rsid w:val="00891ED8"/>
    <w:rsid w:val="00891FDC"/>
    <w:rsid w:val="00893B52"/>
    <w:rsid w:val="00894E9B"/>
    <w:rsid w:val="0089521E"/>
    <w:rsid w:val="00895C93"/>
    <w:rsid w:val="0089607B"/>
    <w:rsid w:val="0089682D"/>
    <w:rsid w:val="00897766"/>
    <w:rsid w:val="008A0BCE"/>
    <w:rsid w:val="008A18DA"/>
    <w:rsid w:val="008A2426"/>
    <w:rsid w:val="008A3BC8"/>
    <w:rsid w:val="008A5013"/>
    <w:rsid w:val="008A656A"/>
    <w:rsid w:val="008A6C3B"/>
    <w:rsid w:val="008A73A7"/>
    <w:rsid w:val="008B10FC"/>
    <w:rsid w:val="008B1E84"/>
    <w:rsid w:val="008B2415"/>
    <w:rsid w:val="008B2C5F"/>
    <w:rsid w:val="008B482C"/>
    <w:rsid w:val="008B567B"/>
    <w:rsid w:val="008B5770"/>
    <w:rsid w:val="008B5D36"/>
    <w:rsid w:val="008B62BD"/>
    <w:rsid w:val="008B6844"/>
    <w:rsid w:val="008B6C4D"/>
    <w:rsid w:val="008B6CFD"/>
    <w:rsid w:val="008B7B8E"/>
    <w:rsid w:val="008B7E86"/>
    <w:rsid w:val="008C222C"/>
    <w:rsid w:val="008C306E"/>
    <w:rsid w:val="008C3990"/>
    <w:rsid w:val="008C39EB"/>
    <w:rsid w:val="008C3E10"/>
    <w:rsid w:val="008C4809"/>
    <w:rsid w:val="008C5044"/>
    <w:rsid w:val="008C5423"/>
    <w:rsid w:val="008C5C3E"/>
    <w:rsid w:val="008C5F3B"/>
    <w:rsid w:val="008C5FD4"/>
    <w:rsid w:val="008C6493"/>
    <w:rsid w:val="008C71EE"/>
    <w:rsid w:val="008C7456"/>
    <w:rsid w:val="008C778B"/>
    <w:rsid w:val="008D12FF"/>
    <w:rsid w:val="008D37C2"/>
    <w:rsid w:val="008D3DC2"/>
    <w:rsid w:val="008D4141"/>
    <w:rsid w:val="008D48C9"/>
    <w:rsid w:val="008D4FFA"/>
    <w:rsid w:val="008D5CE0"/>
    <w:rsid w:val="008D5E05"/>
    <w:rsid w:val="008D6B56"/>
    <w:rsid w:val="008D7F5D"/>
    <w:rsid w:val="008E0E49"/>
    <w:rsid w:val="008E4A3A"/>
    <w:rsid w:val="008E5F18"/>
    <w:rsid w:val="008E6B0A"/>
    <w:rsid w:val="008E6E41"/>
    <w:rsid w:val="008E71A5"/>
    <w:rsid w:val="008E7FCC"/>
    <w:rsid w:val="008F0265"/>
    <w:rsid w:val="008F08F3"/>
    <w:rsid w:val="008F0F47"/>
    <w:rsid w:val="008F104A"/>
    <w:rsid w:val="008F18ED"/>
    <w:rsid w:val="008F195E"/>
    <w:rsid w:val="008F1A5D"/>
    <w:rsid w:val="008F25E0"/>
    <w:rsid w:val="008F2E09"/>
    <w:rsid w:val="008F340C"/>
    <w:rsid w:val="008F6D09"/>
    <w:rsid w:val="008F76FD"/>
    <w:rsid w:val="008F7F83"/>
    <w:rsid w:val="00900898"/>
    <w:rsid w:val="00901D6A"/>
    <w:rsid w:val="00901F77"/>
    <w:rsid w:val="00902DFB"/>
    <w:rsid w:val="0090303E"/>
    <w:rsid w:val="009037DE"/>
    <w:rsid w:val="0090387F"/>
    <w:rsid w:val="00903BDE"/>
    <w:rsid w:val="00904698"/>
    <w:rsid w:val="0090533B"/>
    <w:rsid w:val="009055DA"/>
    <w:rsid w:val="0090586F"/>
    <w:rsid w:val="0090634B"/>
    <w:rsid w:val="00907007"/>
    <w:rsid w:val="009075BC"/>
    <w:rsid w:val="009076DB"/>
    <w:rsid w:val="009078B5"/>
    <w:rsid w:val="0090792F"/>
    <w:rsid w:val="00907D85"/>
    <w:rsid w:val="00910263"/>
    <w:rsid w:val="00911042"/>
    <w:rsid w:val="009115B8"/>
    <w:rsid w:val="00911EB9"/>
    <w:rsid w:val="0091273A"/>
    <w:rsid w:val="009138A9"/>
    <w:rsid w:val="00914D7D"/>
    <w:rsid w:val="009213B4"/>
    <w:rsid w:val="00921445"/>
    <w:rsid w:val="009221F0"/>
    <w:rsid w:val="009231ED"/>
    <w:rsid w:val="00923C78"/>
    <w:rsid w:val="0092448A"/>
    <w:rsid w:val="009247B3"/>
    <w:rsid w:val="00924972"/>
    <w:rsid w:val="00924C92"/>
    <w:rsid w:val="00926966"/>
    <w:rsid w:val="00927ABF"/>
    <w:rsid w:val="009302D2"/>
    <w:rsid w:val="0093033E"/>
    <w:rsid w:val="00931405"/>
    <w:rsid w:val="009318C6"/>
    <w:rsid w:val="00931C0D"/>
    <w:rsid w:val="00931F26"/>
    <w:rsid w:val="009339F7"/>
    <w:rsid w:val="00934C51"/>
    <w:rsid w:val="0093550D"/>
    <w:rsid w:val="009358A0"/>
    <w:rsid w:val="00935CF3"/>
    <w:rsid w:val="0093662E"/>
    <w:rsid w:val="009400CF"/>
    <w:rsid w:val="00942FA0"/>
    <w:rsid w:val="009433EB"/>
    <w:rsid w:val="0094444A"/>
    <w:rsid w:val="00944FDA"/>
    <w:rsid w:val="009459A1"/>
    <w:rsid w:val="00945BD6"/>
    <w:rsid w:val="00945FD8"/>
    <w:rsid w:val="00946E11"/>
    <w:rsid w:val="009473BE"/>
    <w:rsid w:val="00947831"/>
    <w:rsid w:val="00951CF5"/>
    <w:rsid w:val="0095428B"/>
    <w:rsid w:val="00954293"/>
    <w:rsid w:val="00954AC8"/>
    <w:rsid w:val="009551B3"/>
    <w:rsid w:val="00955F5D"/>
    <w:rsid w:val="00956B69"/>
    <w:rsid w:val="0096163A"/>
    <w:rsid w:val="00962367"/>
    <w:rsid w:val="00962D1C"/>
    <w:rsid w:val="0096309E"/>
    <w:rsid w:val="00963299"/>
    <w:rsid w:val="00963970"/>
    <w:rsid w:val="00964FC1"/>
    <w:rsid w:val="009655AB"/>
    <w:rsid w:val="00965E19"/>
    <w:rsid w:val="009665AA"/>
    <w:rsid w:val="00967C7A"/>
    <w:rsid w:val="00972239"/>
    <w:rsid w:val="0097389A"/>
    <w:rsid w:val="00973BAF"/>
    <w:rsid w:val="00973FF5"/>
    <w:rsid w:val="009741A4"/>
    <w:rsid w:val="00975666"/>
    <w:rsid w:val="00975A0E"/>
    <w:rsid w:val="00975B3D"/>
    <w:rsid w:val="0098120E"/>
    <w:rsid w:val="0098235A"/>
    <w:rsid w:val="0098240F"/>
    <w:rsid w:val="009830B1"/>
    <w:rsid w:val="00985A0A"/>
    <w:rsid w:val="00991B69"/>
    <w:rsid w:val="00994107"/>
    <w:rsid w:val="00997B68"/>
    <w:rsid w:val="00997BF5"/>
    <w:rsid w:val="00997EC6"/>
    <w:rsid w:val="009A0CF6"/>
    <w:rsid w:val="009A18AB"/>
    <w:rsid w:val="009A2389"/>
    <w:rsid w:val="009A37D1"/>
    <w:rsid w:val="009A3D6F"/>
    <w:rsid w:val="009A3DBF"/>
    <w:rsid w:val="009A3E12"/>
    <w:rsid w:val="009A4470"/>
    <w:rsid w:val="009A5344"/>
    <w:rsid w:val="009A56C6"/>
    <w:rsid w:val="009A7A62"/>
    <w:rsid w:val="009B035D"/>
    <w:rsid w:val="009B03C5"/>
    <w:rsid w:val="009B0C21"/>
    <w:rsid w:val="009B0DD8"/>
    <w:rsid w:val="009B1856"/>
    <w:rsid w:val="009B1873"/>
    <w:rsid w:val="009B29F2"/>
    <w:rsid w:val="009B2EB1"/>
    <w:rsid w:val="009B3742"/>
    <w:rsid w:val="009B3A22"/>
    <w:rsid w:val="009B485C"/>
    <w:rsid w:val="009B63BE"/>
    <w:rsid w:val="009B6F91"/>
    <w:rsid w:val="009B7E06"/>
    <w:rsid w:val="009C0075"/>
    <w:rsid w:val="009C0408"/>
    <w:rsid w:val="009C1F51"/>
    <w:rsid w:val="009C2589"/>
    <w:rsid w:val="009C34B1"/>
    <w:rsid w:val="009C3BEF"/>
    <w:rsid w:val="009C4A0F"/>
    <w:rsid w:val="009C509D"/>
    <w:rsid w:val="009C5414"/>
    <w:rsid w:val="009C57F6"/>
    <w:rsid w:val="009C59B3"/>
    <w:rsid w:val="009C66F8"/>
    <w:rsid w:val="009C6B1B"/>
    <w:rsid w:val="009C6CE0"/>
    <w:rsid w:val="009C7300"/>
    <w:rsid w:val="009C739B"/>
    <w:rsid w:val="009C794D"/>
    <w:rsid w:val="009D0385"/>
    <w:rsid w:val="009D078B"/>
    <w:rsid w:val="009D0B5A"/>
    <w:rsid w:val="009D0CBD"/>
    <w:rsid w:val="009D15E5"/>
    <w:rsid w:val="009D21DD"/>
    <w:rsid w:val="009D2EB5"/>
    <w:rsid w:val="009D323B"/>
    <w:rsid w:val="009D408A"/>
    <w:rsid w:val="009D75CD"/>
    <w:rsid w:val="009D7AF3"/>
    <w:rsid w:val="009E4141"/>
    <w:rsid w:val="009E55DC"/>
    <w:rsid w:val="009E56EF"/>
    <w:rsid w:val="009E5DD6"/>
    <w:rsid w:val="009E75BD"/>
    <w:rsid w:val="009E7A92"/>
    <w:rsid w:val="009E7C40"/>
    <w:rsid w:val="009F03F5"/>
    <w:rsid w:val="009F0BA6"/>
    <w:rsid w:val="009F1FA1"/>
    <w:rsid w:val="009F26BD"/>
    <w:rsid w:val="009F2954"/>
    <w:rsid w:val="009F366A"/>
    <w:rsid w:val="009F432D"/>
    <w:rsid w:val="009F57FC"/>
    <w:rsid w:val="009F65C4"/>
    <w:rsid w:val="009F6A93"/>
    <w:rsid w:val="009F6EF4"/>
    <w:rsid w:val="009F7194"/>
    <w:rsid w:val="009F7590"/>
    <w:rsid w:val="00A0092D"/>
    <w:rsid w:val="00A00AC8"/>
    <w:rsid w:val="00A014F5"/>
    <w:rsid w:val="00A018B5"/>
    <w:rsid w:val="00A01E93"/>
    <w:rsid w:val="00A02CC7"/>
    <w:rsid w:val="00A03274"/>
    <w:rsid w:val="00A038C5"/>
    <w:rsid w:val="00A03991"/>
    <w:rsid w:val="00A04163"/>
    <w:rsid w:val="00A057F7"/>
    <w:rsid w:val="00A05FEA"/>
    <w:rsid w:val="00A06483"/>
    <w:rsid w:val="00A06550"/>
    <w:rsid w:val="00A0687B"/>
    <w:rsid w:val="00A068C3"/>
    <w:rsid w:val="00A0739A"/>
    <w:rsid w:val="00A0776F"/>
    <w:rsid w:val="00A1085B"/>
    <w:rsid w:val="00A10C3B"/>
    <w:rsid w:val="00A1162C"/>
    <w:rsid w:val="00A1338F"/>
    <w:rsid w:val="00A155A7"/>
    <w:rsid w:val="00A16637"/>
    <w:rsid w:val="00A16992"/>
    <w:rsid w:val="00A17995"/>
    <w:rsid w:val="00A20853"/>
    <w:rsid w:val="00A20DE7"/>
    <w:rsid w:val="00A227E5"/>
    <w:rsid w:val="00A22C22"/>
    <w:rsid w:val="00A22F2E"/>
    <w:rsid w:val="00A24D68"/>
    <w:rsid w:val="00A25BD8"/>
    <w:rsid w:val="00A25C64"/>
    <w:rsid w:val="00A25F82"/>
    <w:rsid w:val="00A262A4"/>
    <w:rsid w:val="00A264C1"/>
    <w:rsid w:val="00A26BF8"/>
    <w:rsid w:val="00A27608"/>
    <w:rsid w:val="00A27864"/>
    <w:rsid w:val="00A27B94"/>
    <w:rsid w:val="00A3127A"/>
    <w:rsid w:val="00A3235C"/>
    <w:rsid w:val="00A3389B"/>
    <w:rsid w:val="00A33C90"/>
    <w:rsid w:val="00A350F3"/>
    <w:rsid w:val="00A35362"/>
    <w:rsid w:val="00A35377"/>
    <w:rsid w:val="00A354C0"/>
    <w:rsid w:val="00A35603"/>
    <w:rsid w:val="00A36D96"/>
    <w:rsid w:val="00A371AF"/>
    <w:rsid w:val="00A37AEE"/>
    <w:rsid w:val="00A400A4"/>
    <w:rsid w:val="00A40290"/>
    <w:rsid w:val="00A40842"/>
    <w:rsid w:val="00A410BF"/>
    <w:rsid w:val="00A4228C"/>
    <w:rsid w:val="00A43B62"/>
    <w:rsid w:val="00A442A2"/>
    <w:rsid w:val="00A45F3D"/>
    <w:rsid w:val="00A475EC"/>
    <w:rsid w:val="00A47E38"/>
    <w:rsid w:val="00A50EC1"/>
    <w:rsid w:val="00A50F11"/>
    <w:rsid w:val="00A5345B"/>
    <w:rsid w:val="00A539C8"/>
    <w:rsid w:val="00A53AA0"/>
    <w:rsid w:val="00A553A3"/>
    <w:rsid w:val="00A57831"/>
    <w:rsid w:val="00A57861"/>
    <w:rsid w:val="00A60B1C"/>
    <w:rsid w:val="00A6124C"/>
    <w:rsid w:val="00A6212B"/>
    <w:rsid w:val="00A628A4"/>
    <w:rsid w:val="00A63730"/>
    <w:rsid w:val="00A643AD"/>
    <w:rsid w:val="00A66909"/>
    <w:rsid w:val="00A6736E"/>
    <w:rsid w:val="00A678D8"/>
    <w:rsid w:val="00A67B72"/>
    <w:rsid w:val="00A70156"/>
    <w:rsid w:val="00A71618"/>
    <w:rsid w:val="00A745A7"/>
    <w:rsid w:val="00A755A6"/>
    <w:rsid w:val="00A75FDD"/>
    <w:rsid w:val="00A76C39"/>
    <w:rsid w:val="00A76E2F"/>
    <w:rsid w:val="00A776A7"/>
    <w:rsid w:val="00A77A7B"/>
    <w:rsid w:val="00A77DAB"/>
    <w:rsid w:val="00A807A3"/>
    <w:rsid w:val="00A81BE9"/>
    <w:rsid w:val="00A82953"/>
    <w:rsid w:val="00A8325A"/>
    <w:rsid w:val="00A8367B"/>
    <w:rsid w:val="00A83D55"/>
    <w:rsid w:val="00A84E4A"/>
    <w:rsid w:val="00A85749"/>
    <w:rsid w:val="00A8669C"/>
    <w:rsid w:val="00A8791C"/>
    <w:rsid w:val="00A9015C"/>
    <w:rsid w:val="00A90896"/>
    <w:rsid w:val="00A913BF"/>
    <w:rsid w:val="00A91CB0"/>
    <w:rsid w:val="00A946E0"/>
    <w:rsid w:val="00A97FC7"/>
    <w:rsid w:val="00AA2064"/>
    <w:rsid w:val="00AA2F73"/>
    <w:rsid w:val="00AA30EB"/>
    <w:rsid w:val="00AA38AF"/>
    <w:rsid w:val="00AA448D"/>
    <w:rsid w:val="00AA55F8"/>
    <w:rsid w:val="00AA5C7F"/>
    <w:rsid w:val="00AA6A6D"/>
    <w:rsid w:val="00AA76BC"/>
    <w:rsid w:val="00AA7D04"/>
    <w:rsid w:val="00AB0C79"/>
    <w:rsid w:val="00AB4266"/>
    <w:rsid w:val="00AB63B5"/>
    <w:rsid w:val="00AC091A"/>
    <w:rsid w:val="00AC0936"/>
    <w:rsid w:val="00AC0E5B"/>
    <w:rsid w:val="00AC0F40"/>
    <w:rsid w:val="00AC12F7"/>
    <w:rsid w:val="00AC1DBB"/>
    <w:rsid w:val="00AC2EDF"/>
    <w:rsid w:val="00AC3380"/>
    <w:rsid w:val="00AC3749"/>
    <w:rsid w:val="00AC388C"/>
    <w:rsid w:val="00AC3E10"/>
    <w:rsid w:val="00AC43FD"/>
    <w:rsid w:val="00AC5C95"/>
    <w:rsid w:val="00AC5E69"/>
    <w:rsid w:val="00AC6B7D"/>
    <w:rsid w:val="00AC707D"/>
    <w:rsid w:val="00AC7A8C"/>
    <w:rsid w:val="00AC7BB3"/>
    <w:rsid w:val="00AD1C25"/>
    <w:rsid w:val="00AD1D60"/>
    <w:rsid w:val="00AD34D5"/>
    <w:rsid w:val="00AD48B3"/>
    <w:rsid w:val="00AD4D8A"/>
    <w:rsid w:val="00AD59A1"/>
    <w:rsid w:val="00AE0030"/>
    <w:rsid w:val="00AE0491"/>
    <w:rsid w:val="00AE1CDB"/>
    <w:rsid w:val="00AE2DD8"/>
    <w:rsid w:val="00AE5748"/>
    <w:rsid w:val="00AE6061"/>
    <w:rsid w:val="00AE6B81"/>
    <w:rsid w:val="00AE72AE"/>
    <w:rsid w:val="00AE7753"/>
    <w:rsid w:val="00AF0201"/>
    <w:rsid w:val="00AF09C4"/>
    <w:rsid w:val="00AF0ED3"/>
    <w:rsid w:val="00AF123C"/>
    <w:rsid w:val="00AF220A"/>
    <w:rsid w:val="00AF2966"/>
    <w:rsid w:val="00AF40B5"/>
    <w:rsid w:val="00AF52D8"/>
    <w:rsid w:val="00AF6E96"/>
    <w:rsid w:val="00AF7759"/>
    <w:rsid w:val="00B00900"/>
    <w:rsid w:val="00B00F47"/>
    <w:rsid w:val="00B038F0"/>
    <w:rsid w:val="00B0458D"/>
    <w:rsid w:val="00B0472B"/>
    <w:rsid w:val="00B04D80"/>
    <w:rsid w:val="00B04F05"/>
    <w:rsid w:val="00B05E2F"/>
    <w:rsid w:val="00B07AF6"/>
    <w:rsid w:val="00B1010D"/>
    <w:rsid w:val="00B11FA2"/>
    <w:rsid w:val="00B120D6"/>
    <w:rsid w:val="00B12370"/>
    <w:rsid w:val="00B12646"/>
    <w:rsid w:val="00B13FD4"/>
    <w:rsid w:val="00B16277"/>
    <w:rsid w:val="00B20337"/>
    <w:rsid w:val="00B21718"/>
    <w:rsid w:val="00B22347"/>
    <w:rsid w:val="00B22537"/>
    <w:rsid w:val="00B243AC"/>
    <w:rsid w:val="00B243EF"/>
    <w:rsid w:val="00B24907"/>
    <w:rsid w:val="00B24979"/>
    <w:rsid w:val="00B273C6"/>
    <w:rsid w:val="00B27BB2"/>
    <w:rsid w:val="00B322AC"/>
    <w:rsid w:val="00B337A9"/>
    <w:rsid w:val="00B33EEC"/>
    <w:rsid w:val="00B347C1"/>
    <w:rsid w:val="00B3497F"/>
    <w:rsid w:val="00B362EA"/>
    <w:rsid w:val="00B36472"/>
    <w:rsid w:val="00B417E0"/>
    <w:rsid w:val="00B4389F"/>
    <w:rsid w:val="00B43CC3"/>
    <w:rsid w:val="00B4690E"/>
    <w:rsid w:val="00B46924"/>
    <w:rsid w:val="00B46B8D"/>
    <w:rsid w:val="00B50E6C"/>
    <w:rsid w:val="00B51AF8"/>
    <w:rsid w:val="00B521E8"/>
    <w:rsid w:val="00B52AB8"/>
    <w:rsid w:val="00B52C30"/>
    <w:rsid w:val="00B53F5D"/>
    <w:rsid w:val="00B54246"/>
    <w:rsid w:val="00B54507"/>
    <w:rsid w:val="00B54B51"/>
    <w:rsid w:val="00B54BCF"/>
    <w:rsid w:val="00B558E1"/>
    <w:rsid w:val="00B559E5"/>
    <w:rsid w:val="00B57217"/>
    <w:rsid w:val="00B61D64"/>
    <w:rsid w:val="00B642D2"/>
    <w:rsid w:val="00B64A9D"/>
    <w:rsid w:val="00B64F0B"/>
    <w:rsid w:val="00B65688"/>
    <w:rsid w:val="00B66770"/>
    <w:rsid w:val="00B67AE7"/>
    <w:rsid w:val="00B702CD"/>
    <w:rsid w:val="00B70B98"/>
    <w:rsid w:val="00B720FC"/>
    <w:rsid w:val="00B728D0"/>
    <w:rsid w:val="00B73D13"/>
    <w:rsid w:val="00B7529D"/>
    <w:rsid w:val="00B76183"/>
    <w:rsid w:val="00B76DD7"/>
    <w:rsid w:val="00B76F45"/>
    <w:rsid w:val="00B7759F"/>
    <w:rsid w:val="00B775DC"/>
    <w:rsid w:val="00B801B2"/>
    <w:rsid w:val="00B804EF"/>
    <w:rsid w:val="00B80968"/>
    <w:rsid w:val="00B8207D"/>
    <w:rsid w:val="00B82575"/>
    <w:rsid w:val="00B826FB"/>
    <w:rsid w:val="00B831C4"/>
    <w:rsid w:val="00B84FAE"/>
    <w:rsid w:val="00B85604"/>
    <w:rsid w:val="00B86702"/>
    <w:rsid w:val="00B8716F"/>
    <w:rsid w:val="00B87941"/>
    <w:rsid w:val="00B92104"/>
    <w:rsid w:val="00B93D57"/>
    <w:rsid w:val="00B93E56"/>
    <w:rsid w:val="00B94BA3"/>
    <w:rsid w:val="00B957DD"/>
    <w:rsid w:val="00B95A86"/>
    <w:rsid w:val="00B9694B"/>
    <w:rsid w:val="00B974EF"/>
    <w:rsid w:val="00B975BF"/>
    <w:rsid w:val="00B97BE0"/>
    <w:rsid w:val="00BA2859"/>
    <w:rsid w:val="00BA2FBE"/>
    <w:rsid w:val="00BA434A"/>
    <w:rsid w:val="00BA447C"/>
    <w:rsid w:val="00BA456E"/>
    <w:rsid w:val="00BA4750"/>
    <w:rsid w:val="00BA7AF3"/>
    <w:rsid w:val="00BA7B7E"/>
    <w:rsid w:val="00BA7C3B"/>
    <w:rsid w:val="00BA7ECF"/>
    <w:rsid w:val="00BB0C7D"/>
    <w:rsid w:val="00BB0D8A"/>
    <w:rsid w:val="00BB1770"/>
    <w:rsid w:val="00BB21D3"/>
    <w:rsid w:val="00BB2A1A"/>
    <w:rsid w:val="00BB4AAB"/>
    <w:rsid w:val="00BB4B3F"/>
    <w:rsid w:val="00BB5020"/>
    <w:rsid w:val="00BB5D93"/>
    <w:rsid w:val="00BB68DF"/>
    <w:rsid w:val="00BC1211"/>
    <w:rsid w:val="00BC1265"/>
    <w:rsid w:val="00BC22DE"/>
    <w:rsid w:val="00BC2B3C"/>
    <w:rsid w:val="00BC3172"/>
    <w:rsid w:val="00BC322B"/>
    <w:rsid w:val="00BC395C"/>
    <w:rsid w:val="00BC4D72"/>
    <w:rsid w:val="00BC645B"/>
    <w:rsid w:val="00BC6568"/>
    <w:rsid w:val="00BC6C93"/>
    <w:rsid w:val="00BC6DF3"/>
    <w:rsid w:val="00BD0B64"/>
    <w:rsid w:val="00BD1B55"/>
    <w:rsid w:val="00BD259F"/>
    <w:rsid w:val="00BD29E4"/>
    <w:rsid w:val="00BD2B32"/>
    <w:rsid w:val="00BD2DFB"/>
    <w:rsid w:val="00BD2EF5"/>
    <w:rsid w:val="00BD39DA"/>
    <w:rsid w:val="00BD3A4F"/>
    <w:rsid w:val="00BD6044"/>
    <w:rsid w:val="00BD622D"/>
    <w:rsid w:val="00BD6C95"/>
    <w:rsid w:val="00BD6D46"/>
    <w:rsid w:val="00BD7693"/>
    <w:rsid w:val="00BD76D3"/>
    <w:rsid w:val="00BD797C"/>
    <w:rsid w:val="00BE056C"/>
    <w:rsid w:val="00BE123B"/>
    <w:rsid w:val="00BE14E9"/>
    <w:rsid w:val="00BE16FB"/>
    <w:rsid w:val="00BE2236"/>
    <w:rsid w:val="00BE236A"/>
    <w:rsid w:val="00BE33B8"/>
    <w:rsid w:val="00BE493C"/>
    <w:rsid w:val="00BE4F0F"/>
    <w:rsid w:val="00BE5503"/>
    <w:rsid w:val="00BE6159"/>
    <w:rsid w:val="00BF0388"/>
    <w:rsid w:val="00BF1217"/>
    <w:rsid w:val="00BF3983"/>
    <w:rsid w:val="00BF4866"/>
    <w:rsid w:val="00BF54A5"/>
    <w:rsid w:val="00BF579B"/>
    <w:rsid w:val="00BF57B0"/>
    <w:rsid w:val="00BF6DD2"/>
    <w:rsid w:val="00BF7F77"/>
    <w:rsid w:val="00C01114"/>
    <w:rsid w:val="00C01E6F"/>
    <w:rsid w:val="00C0216D"/>
    <w:rsid w:val="00C0235E"/>
    <w:rsid w:val="00C02740"/>
    <w:rsid w:val="00C03654"/>
    <w:rsid w:val="00C0463E"/>
    <w:rsid w:val="00C04A7D"/>
    <w:rsid w:val="00C05B0C"/>
    <w:rsid w:val="00C06E94"/>
    <w:rsid w:val="00C077ED"/>
    <w:rsid w:val="00C07809"/>
    <w:rsid w:val="00C105DD"/>
    <w:rsid w:val="00C106C1"/>
    <w:rsid w:val="00C12218"/>
    <w:rsid w:val="00C13B4A"/>
    <w:rsid w:val="00C15772"/>
    <w:rsid w:val="00C15C78"/>
    <w:rsid w:val="00C16135"/>
    <w:rsid w:val="00C1679C"/>
    <w:rsid w:val="00C16F7C"/>
    <w:rsid w:val="00C204EF"/>
    <w:rsid w:val="00C21478"/>
    <w:rsid w:val="00C22523"/>
    <w:rsid w:val="00C23B12"/>
    <w:rsid w:val="00C24027"/>
    <w:rsid w:val="00C24144"/>
    <w:rsid w:val="00C249B0"/>
    <w:rsid w:val="00C24E05"/>
    <w:rsid w:val="00C24E0E"/>
    <w:rsid w:val="00C2566D"/>
    <w:rsid w:val="00C25B7B"/>
    <w:rsid w:val="00C2634A"/>
    <w:rsid w:val="00C30179"/>
    <w:rsid w:val="00C304B1"/>
    <w:rsid w:val="00C30D72"/>
    <w:rsid w:val="00C312B2"/>
    <w:rsid w:val="00C315AF"/>
    <w:rsid w:val="00C31FCC"/>
    <w:rsid w:val="00C333CF"/>
    <w:rsid w:val="00C3382F"/>
    <w:rsid w:val="00C34916"/>
    <w:rsid w:val="00C34D62"/>
    <w:rsid w:val="00C3634A"/>
    <w:rsid w:val="00C3653F"/>
    <w:rsid w:val="00C368AF"/>
    <w:rsid w:val="00C36BD0"/>
    <w:rsid w:val="00C37008"/>
    <w:rsid w:val="00C37259"/>
    <w:rsid w:val="00C374F2"/>
    <w:rsid w:val="00C375AC"/>
    <w:rsid w:val="00C41333"/>
    <w:rsid w:val="00C42681"/>
    <w:rsid w:val="00C42E0F"/>
    <w:rsid w:val="00C438CC"/>
    <w:rsid w:val="00C439F4"/>
    <w:rsid w:val="00C43D9B"/>
    <w:rsid w:val="00C43E96"/>
    <w:rsid w:val="00C4415B"/>
    <w:rsid w:val="00C446D6"/>
    <w:rsid w:val="00C44A4C"/>
    <w:rsid w:val="00C4611F"/>
    <w:rsid w:val="00C47685"/>
    <w:rsid w:val="00C504FC"/>
    <w:rsid w:val="00C50B3C"/>
    <w:rsid w:val="00C51824"/>
    <w:rsid w:val="00C51E23"/>
    <w:rsid w:val="00C5352E"/>
    <w:rsid w:val="00C5363B"/>
    <w:rsid w:val="00C53E32"/>
    <w:rsid w:val="00C54105"/>
    <w:rsid w:val="00C54642"/>
    <w:rsid w:val="00C553BC"/>
    <w:rsid w:val="00C575CE"/>
    <w:rsid w:val="00C61C92"/>
    <w:rsid w:val="00C6218B"/>
    <w:rsid w:val="00C624F0"/>
    <w:rsid w:val="00C63ADB"/>
    <w:rsid w:val="00C63CFB"/>
    <w:rsid w:val="00C64DD5"/>
    <w:rsid w:val="00C655B4"/>
    <w:rsid w:val="00C66C4F"/>
    <w:rsid w:val="00C66CEC"/>
    <w:rsid w:val="00C71941"/>
    <w:rsid w:val="00C72003"/>
    <w:rsid w:val="00C73258"/>
    <w:rsid w:val="00C7385B"/>
    <w:rsid w:val="00C74084"/>
    <w:rsid w:val="00C74824"/>
    <w:rsid w:val="00C74B88"/>
    <w:rsid w:val="00C752F7"/>
    <w:rsid w:val="00C756F7"/>
    <w:rsid w:val="00C76AE9"/>
    <w:rsid w:val="00C779BF"/>
    <w:rsid w:val="00C80263"/>
    <w:rsid w:val="00C80560"/>
    <w:rsid w:val="00C8060F"/>
    <w:rsid w:val="00C81B72"/>
    <w:rsid w:val="00C81EC5"/>
    <w:rsid w:val="00C8214E"/>
    <w:rsid w:val="00C83F77"/>
    <w:rsid w:val="00C845A9"/>
    <w:rsid w:val="00C84A28"/>
    <w:rsid w:val="00C84C25"/>
    <w:rsid w:val="00C85268"/>
    <w:rsid w:val="00C85758"/>
    <w:rsid w:val="00C859B5"/>
    <w:rsid w:val="00C85D2E"/>
    <w:rsid w:val="00C86DE9"/>
    <w:rsid w:val="00C86F56"/>
    <w:rsid w:val="00C8705B"/>
    <w:rsid w:val="00C92C5B"/>
    <w:rsid w:val="00C9554E"/>
    <w:rsid w:val="00C95A0A"/>
    <w:rsid w:val="00C978F8"/>
    <w:rsid w:val="00C97C8B"/>
    <w:rsid w:val="00CA097B"/>
    <w:rsid w:val="00CA14DC"/>
    <w:rsid w:val="00CA21D1"/>
    <w:rsid w:val="00CA2926"/>
    <w:rsid w:val="00CA2A59"/>
    <w:rsid w:val="00CA2CCA"/>
    <w:rsid w:val="00CA31D0"/>
    <w:rsid w:val="00CA372B"/>
    <w:rsid w:val="00CA4B74"/>
    <w:rsid w:val="00CA72A8"/>
    <w:rsid w:val="00CA79CB"/>
    <w:rsid w:val="00CA7A51"/>
    <w:rsid w:val="00CB128B"/>
    <w:rsid w:val="00CB287A"/>
    <w:rsid w:val="00CB46B9"/>
    <w:rsid w:val="00CB477C"/>
    <w:rsid w:val="00CB4D1E"/>
    <w:rsid w:val="00CB5C2C"/>
    <w:rsid w:val="00CB60FD"/>
    <w:rsid w:val="00CC0768"/>
    <w:rsid w:val="00CC106D"/>
    <w:rsid w:val="00CC230C"/>
    <w:rsid w:val="00CC24E8"/>
    <w:rsid w:val="00CC3266"/>
    <w:rsid w:val="00CC3BC8"/>
    <w:rsid w:val="00CC3C7A"/>
    <w:rsid w:val="00CC59F2"/>
    <w:rsid w:val="00CC6870"/>
    <w:rsid w:val="00CC6B4D"/>
    <w:rsid w:val="00CC6D09"/>
    <w:rsid w:val="00CC7078"/>
    <w:rsid w:val="00CC71A6"/>
    <w:rsid w:val="00CC75AA"/>
    <w:rsid w:val="00CC78E0"/>
    <w:rsid w:val="00CD006A"/>
    <w:rsid w:val="00CD07DD"/>
    <w:rsid w:val="00CD17A0"/>
    <w:rsid w:val="00CD281E"/>
    <w:rsid w:val="00CD4371"/>
    <w:rsid w:val="00CD6D53"/>
    <w:rsid w:val="00CD78E4"/>
    <w:rsid w:val="00CE04DE"/>
    <w:rsid w:val="00CE0884"/>
    <w:rsid w:val="00CE16CE"/>
    <w:rsid w:val="00CE2A2E"/>
    <w:rsid w:val="00CE30BC"/>
    <w:rsid w:val="00CE33A9"/>
    <w:rsid w:val="00CE34AA"/>
    <w:rsid w:val="00CE362A"/>
    <w:rsid w:val="00CE37C3"/>
    <w:rsid w:val="00CE4624"/>
    <w:rsid w:val="00CE4F7B"/>
    <w:rsid w:val="00CE522D"/>
    <w:rsid w:val="00CE5898"/>
    <w:rsid w:val="00CE5CBE"/>
    <w:rsid w:val="00CE701E"/>
    <w:rsid w:val="00CE7745"/>
    <w:rsid w:val="00CF086F"/>
    <w:rsid w:val="00CF0D46"/>
    <w:rsid w:val="00CF0E08"/>
    <w:rsid w:val="00CF21FA"/>
    <w:rsid w:val="00CF24DB"/>
    <w:rsid w:val="00CF50B2"/>
    <w:rsid w:val="00D009E8"/>
    <w:rsid w:val="00D02608"/>
    <w:rsid w:val="00D02884"/>
    <w:rsid w:val="00D040D6"/>
    <w:rsid w:val="00D04452"/>
    <w:rsid w:val="00D0481E"/>
    <w:rsid w:val="00D0546F"/>
    <w:rsid w:val="00D05C54"/>
    <w:rsid w:val="00D06D69"/>
    <w:rsid w:val="00D1110B"/>
    <w:rsid w:val="00D1146C"/>
    <w:rsid w:val="00D12949"/>
    <w:rsid w:val="00D12985"/>
    <w:rsid w:val="00D13086"/>
    <w:rsid w:val="00D1356D"/>
    <w:rsid w:val="00D13A81"/>
    <w:rsid w:val="00D14A59"/>
    <w:rsid w:val="00D14C2B"/>
    <w:rsid w:val="00D15136"/>
    <w:rsid w:val="00D153F5"/>
    <w:rsid w:val="00D16910"/>
    <w:rsid w:val="00D17EF3"/>
    <w:rsid w:val="00D2056B"/>
    <w:rsid w:val="00D210C1"/>
    <w:rsid w:val="00D22142"/>
    <w:rsid w:val="00D231B7"/>
    <w:rsid w:val="00D23965"/>
    <w:rsid w:val="00D243DE"/>
    <w:rsid w:val="00D26142"/>
    <w:rsid w:val="00D26374"/>
    <w:rsid w:val="00D26A23"/>
    <w:rsid w:val="00D26FD3"/>
    <w:rsid w:val="00D278BC"/>
    <w:rsid w:val="00D27A81"/>
    <w:rsid w:val="00D27B6F"/>
    <w:rsid w:val="00D30890"/>
    <w:rsid w:val="00D3199B"/>
    <w:rsid w:val="00D333DF"/>
    <w:rsid w:val="00D35901"/>
    <w:rsid w:val="00D37081"/>
    <w:rsid w:val="00D37F3A"/>
    <w:rsid w:val="00D40988"/>
    <w:rsid w:val="00D40EAA"/>
    <w:rsid w:val="00D41366"/>
    <w:rsid w:val="00D42228"/>
    <w:rsid w:val="00D4281D"/>
    <w:rsid w:val="00D46193"/>
    <w:rsid w:val="00D46B37"/>
    <w:rsid w:val="00D46CCE"/>
    <w:rsid w:val="00D471CE"/>
    <w:rsid w:val="00D47780"/>
    <w:rsid w:val="00D51309"/>
    <w:rsid w:val="00D5216B"/>
    <w:rsid w:val="00D548DB"/>
    <w:rsid w:val="00D54A68"/>
    <w:rsid w:val="00D54E1F"/>
    <w:rsid w:val="00D55710"/>
    <w:rsid w:val="00D55A35"/>
    <w:rsid w:val="00D57001"/>
    <w:rsid w:val="00D607E3"/>
    <w:rsid w:val="00D60C59"/>
    <w:rsid w:val="00D61CDB"/>
    <w:rsid w:val="00D63514"/>
    <w:rsid w:val="00D6366B"/>
    <w:rsid w:val="00D644A3"/>
    <w:rsid w:val="00D6549A"/>
    <w:rsid w:val="00D65850"/>
    <w:rsid w:val="00D65884"/>
    <w:rsid w:val="00D67618"/>
    <w:rsid w:val="00D703B3"/>
    <w:rsid w:val="00D7070A"/>
    <w:rsid w:val="00D70E42"/>
    <w:rsid w:val="00D72067"/>
    <w:rsid w:val="00D73055"/>
    <w:rsid w:val="00D73B41"/>
    <w:rsid w:val="00D74850"/>
    <w:rsid w:val="00D76560"/>
    <w:rsid w:val="00D76EF3"/>
    <w:rsid w:val="00D77E4D"/>
    <w:rsid w:val="00D8048D"/>
    <w:rsid w:val="00D8187C"/>
    <w:rsid w:val="00D81B38"/>
    <w:rsid w:val="00D82E86"/>
    <w:rsid w:val="00D82FFD"/>
    <w:rsid w:val="00D837B8"/>
    <w:rsid w:val="00D8511D"/>
    <w:rsid w:val="00D85486"/>
    <w:rsid w:val="00D857D9"/>
    <w:rsid w:val="00D8581B"/>
    <w:rsid w:val="00D86C9A"/>
    <w:rsid w:val="00D90730"/>
    <w:rsid w:val="00D91F7A"/>
    <w:rsid w:val="00D9377A"/>
    <w:rsid w:val="00D94483"/>
    <w:rsid w:val="00D944DB"/>
    <w:rsid w:val="00D946CF"/>
    <w:rsid w:val="00D94DB0"/>
    <w:rsid w:val="00D9547E"/>
    <w:rsid w:val="00D95646"/>
    <w:rsid w:val="00D95797"/>
    <w:rsid w:val="00D95D28"/>
    <w:rsid w:val="00D9612A"/>
    <w:rsid w:val="00DA091F"/>
    <w:rsid w:val="00DA2C1D"/>
    <w:rsid w:val="00DA5BDB"/>
    <w:rsid w:val="00DA62EB"/>
    <w:rsid w:val="00DA63F1"/>
    <w:rsid w:val="00DB1B61"/>
    <w:rsid w:val="00DB292B"/>
    <w:rsid w:val="00DB355C"/>
    <w:rsid w:val="00DB3D60"/>
    <w:rsid w:val="00DB40BA"/>
    <w:rsid w:val="00DB4DAE"/>
    <w:rsid w:val="00DB4FA2"/>
    <w:rsid w:val="00DB5AFA"/>
    <w:rsid w:val="00DB6352"/>
    <w:rsid w:val="00DB6F3A"/>
    <w:rsid w:val="00DC080E"/>
    <w:rsid w:val="00DC18DA"/>
    <w:rsid w:val="00DC2824"/>
    <w:rsid w:val="00DC319C"/>
    <w:rsid w:val="00DC5493"/>
    <w:rsid w:val="00DC54FD"/>
    <w:rsid w:val="00DC6576"/>
    <w:rsid w:val="00DC6AE2"/>
    <w:rsid w:val="00DC7121"/>
    <w:rsid w:val="00DD0774"/>
    <w:rsid w:val="00DD10F9"/>
    <w:rsid w:val="00DD1DCD"/>
    <w:rsid w:val="00DD282D"/>
    <w:rsid w:val="00DD2DFB"/>
    <w:rsid w:val="00DD3A10"/>
    <w:rsid w:val="00DD3EB1"/>
    <w:rsid w:val="00DD5F45"/>
    <w:rsid w:val="00DD755B"/>
    <w:rsid w:val="00DE03B3"/>
    <w:rsid w:val="00DE1748"/>
    <w:rsid w:val="00DE2487"/>
    <w:rsid w:val="00DE2AF5"/>
    <w:rsid w:val="00DE3759"/>
    <w:rsid w:val="00DE46E3"/>
    <w:rsid w:val="00DE5817"/>
    <w:rsid w:val="00DE6D02"/>
    <w:rsid w:val="00DE7B4F"/>
    <w:rsid w:val="00DF007F"/>
    <w:rsid w:val="00DF0CC6"/>
    <w:rsid w:val="00DF11C3"/>
    <w:rsid w:val="00DF1A7C"/>
    <w:rsid w:val="00DF1D52"/>
    <w:rsid w:val="00DF28EB"/>
    <w:rsid w:val="00DF32CD"/>
    <w:rsid w:val="00DF4059"/>
    <w:rsid w:val="00DF4225"/>
    <w:rsid w:val="00DF428C"/>
    <w:rsid w:val="00DF4655"/>
    <w:rsid w:val="00DF4703"/>
    <w:rsid w:val="00DF4B31"/>
    <w:rsid w:val="00DF546F"/>
    <w:rsid w:val="00DF5650"/>
    <w:rsid w:val="00DF591D"/>
    <w:rsid w:val="00DF68D0"/>
    <w:rsid w:val="00DF6C2D"/>
    <w:rsid w:val="00DF7114"/>
    <w:rsid w:val="00DF7F68"/>
    <w:rsid w:val="00E00298"/>
    <w:rsid w:val="00E01CDB"/>
    <w:rsid w:val="00E0291F"/>
    <w:rsid w:val="00E02C53"/>
    <w:rsid w:val="00E03135"/>
    <w:rsid w:val="00E036BA"/>
    <w:rsid w:val="00E03989"/>
    <w:rsid w:val="00E03CB5"/>
    <w:rsid w:val="00E04E9A"/>
    <w:rsid w:val="00E05399"/>
    <w:rsid w:val="00E05F2F"/>
    <w:rsid w:val="00E06A90"/>
    <w:rsid w:val="00E077D7"/>
    <w:rsid w:val="00E10700"/>
    <w:rsid w:val="00E10795"/>
    <w:rsid w:val="00E12C18"/>
    <w:rsid w:val="00E13276"/>
    <w:rsid w:val="00E14512"/>
    <w:rsid w:val="00E15A57"/>
    <w:rsid w:val="00E16DF2"/>
    <w:rsid w:val="00E17372"/>
    <w:rsid w:val="00E17A72"/>
    <w:rsid w:val="00E205FE"/>
    <w:rsid w:val="00E20BAA"/>
    <w:rsid w:val="00E20EA7"/>
    <w:rsid w:val="00E20F3D"/>
    <w:rsid w:val="00E22112"/>
    <w:rsid w:val="00E2244F"/>
    <w:rsid w:val="00E232BC"/>
    <w:rsid w:val="00E23AD4"/>
    <w:rsid w:val="00E23CAB"/>
    <w:rsid w:val="00E23F93"/>
    <w:rsid w:val="00E246A7"/>
    <w:rsid w:val="00E24867"/>
    <w:rsid w:val="00E2486A"/>
    <w:rsid w:val="00E24F60"/>
    <w:rsid w:val="00E254A8"/>
    <w:rsid w:val="00E30C41"/>
    <w:rsid w:val="00E3112C"/>
    <w:rsid w:val="00E32E0A"/>
    <w:rsid w:val="00E335D4"/>
    <w:rsid w:val="00E33831"/>
    <w:rsid w:val="00E3494F"/>
    <w:rsid w:val="00E35032"/>
    <w:rsid w:val="00E35924"/>
    <w:rsid w:val="00E35B20"/>
    <w:rsid w:val="00E361F0"/>
    <w:rsid w:val="00E37DFE"/>
    <w:rsid w:val="00E37FD2"/>
    <w:rsid w:val="00E401D7"/>
    <w:rsid w:val="00E4341F"/>
    <w:rsid w:val="00E4348C"/>
    <w:rsid w:val="00E43824"/>
    <w:rsid w:val="00E44186"/>
    <w:rsid w:val="00E45F37"/>
    <w:rsid w:val="00E46148"/>
    <w:rsid w:val="00E5200E"/>
    <w:rsid w:val="00E5204B"/>
    <w:rsid w:val="00E52513"/>
    <w:rsid w:val="00E52BCE"/>
    <w:rsid w:val="00E52E74"/>
    <w:rsid w:val="00E5340B"/>
    <w:rsid w:val="00E55012"/>
    <w:rsid w:val="00E555CB"/>
    <w:rsid w:val="00E563E6"/>
    <w:rsid w:val="00E571EE"/>
    <w:rsid w:val="00E5789C"/>
    <w:rsid w:val="00E57A27"/>
    <w:rsid w:val="00E57E9C"/>
    <w:rsid w:val="00E61009"/>
    <w:rsid w:val="00E61742"/>
    <w:rsid w:val="00E61D4D"/>
    <w:rsid w:val="00E63285"/>
    <w:rsid w:val="00E654B8"/>
    <w:rsid w:val="00E65D85"/>
    <w:rsid w:val="00E66218"/>
    <w:rsid w:val="00E66532"/>
    <w:rsid w:val="00E66FF9"/>
    <w:rsid w:val="00E700A9"/>
    <w:rsid w:val="00E7117A"/>
    <w:rsid w:val="00E72438"/>
    <w:rsid w:val="00E7259E"/>
    <w:rsid w:val="00E72CFD"/>
    <w:rsid w:val="00E7372E"/>
    <w:rsid w:val="00E744C1"/>
    <w:rsid w:val="00E76B94"/>
    <w:rsid w:val="00E7731B"/>
    <w:rsid w:val="00E776F9"/>
    <w:rsid w:val="00E80459"/>
    <w:rsid w:val="00E82C48"/>
    <w:rsid w:val="00E836D7"/>
    <w:rsid w:val="00E85102"/>
    <w:rsid w:val="00E85359"/>
    <w:rsid w:val="00E85405"/>
    <w:rsid w:val="00E87F71"/>
    <w:rsid w:val="00E91396"/>
    <w:rsid w:val="00E92434"/>
    <w:rsid w:val="00E9389D"/>
    <w:rsid w:val="00E93D90"/>
    <w:rsid w:val="00E957E2"/>
    <w:rsid w:val="00E95836"/>
    <w:rsid w:val="00E95AD7"/>
    <w:rsid w:val="00E976DB"/>
    <w:rsid w:val="00EA0BD8"/>
    <w:rsid w:val="00EA0BDB"/>
    <w:rsid w:val="00EA1B61"/>
    <w:rsid w:val="00EA2A99"/>
    <w:rsid w:val="00EA3D98"/>
    <w:rsid w:val="00EA45C9"/>
    <w:rsid w:val="00EA6B4D"/>
    <w:rsid w:val="00EB0840"/>
    <w:rsid w:val="00EB26FF"/>
    <w:rsid w:val="00EB3481"/>
    <w:rsid w:val="00EB3B4D"/>
    <w:rsid w:val="00EB563A"/>
    <w:rsid w:val="00EB575F"/>
    <w:rsid w:val="00EB5A87"/>
    <w:rsid w:val="00EB6086"/>
    <w:rsid w:val="00EB66D0"/>
    <w:rsid w:val="00EB6A48"/>
    <w:rsid w:val="00EB6AE1"/>
    <w:rsid w:val="00EB6EAB"/>
    <w:rsid w:val="00EC0C58"/>
    <w:rsid w:val="00EC0ED1"/>
    <w:rsid w:val="00EC1917"/>
    <w:rsid w:val="00EC2793"/>
    <w:rsid w:val="00EC3EA7"/>
    <w:rsid w:val="00EC57F9"/>
    <w:rsid w:val="00EC70B3"/>
    <w:rsid w:val="00EC74A0"/>
    <w:rsid w:val="00EC7F92"/>
    <w:rsid w:val="00ED0044"/>
    <w:rsid w:val="00ED0428"/>
    <w:rsid w:val="00ED0A1A"/>
    <w:rsid w:val="00ED128D"/>
    <w:rsid w:val="00ED36FF"/>
    <w:rsid w:val="00ED5088"/>
    <w:rsid w:val="00ED565B"/>
    <w:rsid w:val="00ED6639"/>
    <w:rsid w:val="00ED6FE8"/>
    <w:rsid w:val="00EE0565"/>
    <w:rsid w:val="00EE1618"/>
    <w:rsid w:val="00EE1831"/>
    <w:rsid w:val="00EE1958"/>
    <w:rsid w:val="00EE26B9"/>
    <w:rsid w:val="00EE395C"/>
    <w:rsid w:val="00EE3BB0"/>
    <w:rsid w:val="00EE453B"/>
    <w:rsid w:val="00EE4549"/>
    <w:rsid w:val="00EE68F1"/>
    <w:rsid w:val="00EE7577"/>
    <w:rsid w:val="00EE7CAF"/>
    <w:rsid w:val="00EF0411"/>
    <w:rsid w:val="00EF0593"/>
    <w:rsid w:val="00EF0D4C"/>
    <w:rsid w:val="00EF1B06"/>
    <w:rsid w:val="00EF1BF9"/>
    <w:rsid w:val="00EF3591"/>
    <w:rsid w:val="00EF393A"/>
    <w:rsid w:val="00EF3E9E"/>
    <w:rsid w:val="00EF4F02"/>
    <w:rsid w:val="00EF5B5A"/>
    <w:rsid w:val="00EF6108"/>
    <w:rsid w:val="00F00D0F"/>
    <w:rsid w:val="00F03237"/>
    <w:rsid w:val="00F03833"/>
    <w:rsid w:val="00F042F7"/>
    <w:rsid w:val="00F04D04"/>
    <w:rsid w:val="00F0525E"/>
    <w:rsid w:val="00F05D17"/>
    <w:rsid w:val="00F05E5A"/>
    <w:rsid w:val="00F062A3"/>
    <w:rsid w:val="00F07325"/>
    <w:rsid w:val="00F10891"/>
    <w:rsid w:val="00F11807"/>
    <w:rsid w:val="00F11827"/>
    <w:rsid w:val="00F12C10"/>
    <w:rsid w:val="00F13116"/>
    <w:rsid w:val="00F13C4A"/>
    <w:rsid w:val="00F14F4A"/>
    <w:rsid w:val="00F17509"/>
    <w:rsid w:val="00F202EC"/>
    <w:rsid w:val="00F204B1"/>
    <w:rsid w:val="00F20A04"/>
    <w:rsid w:val="00F20D7E"/>
    <w:rsid w:val="00F21152"/>
    <w:rsid w:val="00F21159"/>
    <w:rsid w:val="00F2292B"/>
    <w:rsid w:val="00F22A5A"/>
    <w:rsid w:val="00F252EF"/>
    <w:rsid w:val="00F26082"/>
    <w:rsid w:val="00F26268"/>
    <w:rsid w:val="00F26506"/>
    <w:rsid w:val="00F268CF"/>
    <w:rsid w:val="00F26DB6"/>
    <w:rsid w:val="00F26F96"/>
    <w:rsid w:val="00F277AA"/>
    <w:rsid w:val="00F278AE"/>
    <w:rsid w:val="00F27B63"/>
    <w:rsid w:val="00F27D8A"/>
    <w:rsid w:val="00F30FD1"/>
    <w:rsid w:val="00F31853"/>
    <w:rsid w:val="00F31B4C"/>
    <w:rsid w:val="00F31FD2"/>
    <w:rsid w:val="00F3298B"/>
    <w:rsid w:val="00F34284"/>
    <w:rsid w:val="00F34BA0"/>
    <w:rsid w:val="00F351B9"/>
    <w:rsid w:val="00F353DB"/>
    <w:rsid w:val="00F3648B"/>
    <w:rsid w:val="00F36C6E"/>
    <w:rsid w:val="00F36D2E"/>
    <w:rsid w:val="00F37C43"/>
    <w:rsid w:val="00F406C5"/>
    <w:rsid w:val="00F4124D"/>
    <w:rsid w:val="00F417B0"/>
    <w:rsid w:val="00F41923"/>
    <w:rsid w:val="00F42A44"/>
    <w:rsid w:val="00F43B93"/>
    <w:rsid w:val="00F44A0B"/>
    <w:rsid w:val="00F4698D"/>
    <w:rsid w:val="00F50EFB"/>
    <w:rsid w:val="00F515DF"/>
    <w:rsid w:val="00F522F5"/>
    <w:rsid w:val="00F5387D"/>
    <w:rsid w:val="00F53DBC"/>
    <w:rsid w:val="00F53EB6"/>
    <w:rsid w:val="00F5588E"/>
    <w:rsid w:val="00F56E60"/>
    <w:rsid w:val="00F57590"/>
    <w:rsid w:val="00F57804"/>
    <w:rsid w:val="00F63D20"/>
    <w:rsid w:val="00F63E18"/>
    <w:rsid w:val="00F646FE"/>
    <w:rsid w:val="00F65730"/>
    <w:rsid w:val="00F65A30"/>
    <w:rsid w:val="00F65CAD"/>
    <w:rsid w:val="00F67FCF"/>
    <w:rsid w:val="00F70DA4"/>
    <w:rsid w:val="00F715FA"/>
    <w:rsid w:val="00F71797"/>
    <w:rsid w:val="00F73ADF"/>
    <w:rsid w:val="00F73CA6"/>
    <w:rsid w:val="00F75924"/>
    <w:rsid w:val="00F76002"/>
    <w:rsid w:val="00F76D9D"/>
    <w:rsid w:val="00F77114"/>
    <w:rsid w:val="00F80983"/>
    <w:rsid w:val="00F80D7D"/>
    <w:rsid w:val="00F810C8"/>
    <w:rsid w:val="00F8288A"/>
    <w:rsid w:val="00F82DDA"/>
    <w:rsid w:val="00F83277"/>
    <w:rsid w:val="00F843A0"/>
    <w:rsid w:val="00F8498C"/>
    <w:rsid w:val="00F8681A"/>
    <w:rsid w:val="00F90174"/>
    <w:rsid w:val="00F909A0"/>
    <w:rsid w:val="00F90C0E"/>
    <w:rsid w:val="00F91D79"/>
    <w:rsid w:val="00F91E99"/>
    <w:rsid w:val="00F92432"/>
    <w:rsid w:val="00F93E79"/>
    <w:rsid w:val="00F94D28"/>
    <w:rsid w:val="00F94E6D"/>
    <w:rsid w:val="00F9654B"/>
    <w:rsid w:val="00FA0511"/>
    <w:rsid w:val="00FA0ADE"/>
    <w:rsid w:val="00FA117F"/>
    <w:rsid w:val="00FA2748"/>
    <w:rsid w:val="00FA2D86"/>
    <w:rsid w:val="00FA3037"/>
    <w:rsid w:val="00FA3FCB"/>
    <w:rsid w:val="00FA4E7E"/>
    <w:rsid w:val="00FA4E7F"/>
    <w:rsid w:val="00FA5C47"/>
    <w:rsid w:val="00FA7385"/>
    <w:rsid w:val="00FB03B8"/>
    <w:rsid w:val="00FB0F0C"/>
    <w:rsid w:val="00FB0F60"/>
    <w:rsid w:val="00FB1636"/>
    <w:rsid w:val="00FB27B3"/>
    <w:rsid w:val="00FB3817"/>
    <w:rsid w:val="00FB3D4C"/>
    <w:rsid w:val="00FB3FB0"/>
    <w:rsid w:val="00FB478C"/>
    <w:rsid w:val="00FB5DDB"/>
    <w:rsid w:val="00FB6A51"/>
    <w:rsid w:val="00FB6C1B"/>
    <w:rsid w:val="00FB729E"/>
    <w:rsid w:val="00FC0305"/>
    <w:rsid w:val="00FC0D90"/>
    <w:rsid w:val="00FC2A46"/>
    <w:rsid w:val="00FC2BEE"/>
    <w:rsid w:val="00FC3FBB"/>
    <w:rsid w:val="00FC4057"/>
    <w:rsid w:val="00FC460B"/>
    <w:rsid w:val="00FC519E"/>
    <w:rsid w:val="00FC5C1A"/>
    <w:rsid w:val="00FC696C"/>
    <w:rsid w:val="00FC6DED"/>
    <w:rsid w:val="00FC7A3E"/>
    <w:rsid w:val="00FD0F4A"/>
    <w:rsid w:val="00FD1CFE"/>
    <w:rsid w:val="00FD2CCB"/>
    <w:rsid w:val="00FD4707"/>
    <w:rsid w:val="00FD493B"/>
    <w:rsid w:val="00FD6154"/>
    <w:rsid w:val="00FD6897"/>
    <w:rsid w:val="00FE0A71"/>
    <w:rsid w:val="00FE1091"/>
    <w:rsid w:val="00FE2CF5"/>
    <w:rsid w:val="00FE364F"/>
    <w:rsid w:val="00FE4998"/>
    <w:rsid w:val="00FE6424"/>
    <w:rsid w:val="00FE6E8C"/>
    <w:rsid w:val="00FE701F"/>
    <w:rsid w:val="00FE71F9"/>
    <w:rsid w:val="00FE7B28"/>
    <w:rsid w:val="00FF20D6"/>
    <w:rsid w:val="00FF263C"/>
    <w:rsid w:val="00FF3375"/>
    <w:rsid w:val="00FF3954"/>
    <w:rsid w:val="00FF39C1"/>
    <w:rsid w:val="00FF3D42"/>
    <w:rsid w:val="00FF40E1"/>
    <w:rsid w:val="00FF5AAE"/>
    <w:rsid w:val="00FF6136"/>
    <w:rsid w:val="00FF620E"/>
    <w:rsid w:val="00FF75F5"/>
    <w:rsid w:val="190F7AA9"/>
    <w:rsid w:val="1D397C9D"/>
    <w:rsid w:val="3948412A"/>
    <w:rsid w:val="3D5EC89E"/>
    <w:rsid w:val="47032530"/>
    <w:rsid w:val="523BB549"/>
    <w:rsid w:val="62691450"/>
    <w:rsid w:val="65B77F8F"/>
    <w:rsid w:val="686AF3EF"/>
    <w:rsid w:val="69582B1D"/>
    <w:rsid w:val="6F6D0B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D98021"/>
  <w15:docId w15:val="{FB79047A-9F8B-41E1-BF71-847E9422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366" w:hanging="10"/>
    </w:pPr>
  </w:style>
  <w:style w:type="paragraph" w:styleId="Heading1">
    <w:name w:val="heading 1"/>
    <w:next w:val="Normal"/>
    <w:link w:val="Heading1Char"/>
    <w:uiPriority w:val="9"/>
    <w:qFormat/>
    <w:rsid w:val="00924972"/>
    <w:pPr>
      <w:keepNext/>
      <w:keepLines/>
      <w:spacing w:after="13" w:line="249" w:lineRule="auto"/>
      <w:outlineLvl w:val="0"/>
    </w:pPr>
    <w:rPr>
      <w:rFonts w:eastAsia="Times New Roman"/>
      <w:b/>
    </w:rPr>
  </w:style>
  <w:style w:type="paragraph" w:styleId="Heading2">
    <w:name w:val="heading 2"/>
    <w:basedOn w:val="Normal"/>
    <w:next w:val="Normal"/>
    <w:link w:val="Heading2Char"/>
    <w:uiPriority w:val="9"/>
    <w:semiHidden/>
    <w:unhideWhenUsed/>
    <w:qFormat/>
    <w:rsid w:val="00B347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AC43F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360" w:firstLine="360"/>
    </w:pPr>
    <w:rPr>
      <w:rFonts w:eastAsia="Times New Roman"/>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Heading1Char">
    <w:name w:val="Heading 1 Char"/>
    <w:link w:val="Heading1"/>
    <w:uiPriority w:val="9"/>
    <w:rsid w:val="00924972"/>
    <w:rPr>
      <w:rFonts w:eastAsia="Times New Roman"/>
      <w:b/>
    </w:rPr>
  </w:style>
  <w:style w:type="character" w:customStyle="1" w:styleId="footnotemark">
    <w:name w:val="footnote mark"/>
    <w:hidden/>
    <w:rPr>
      <w:rFonts w:ascii="Times New Roman" w:eastAsia="Times New Roman" w:hAnsi="Times New Roman" w:cs="Times New Roman"/>
      <w:color w:val="000000"/>
      <w:sz w:val="24"/>
      <w:vertAlign w:val="superscript"/>
    </w:rPr>
  </w:style>
  <w:style w:type="paragraph" w:styleId="FootnoteText">
    <w:name w:val="footnote text"/>
    <w:aliases w:val="Footnote Text Char Char,Footnote Text Char Char Char,Footnote Text Char Char1,Footnote Text Char1,Footnote Text Char1 Char,Footnote Text Char1 Char Char Char1,Footnote Text Char2 Char,Footnote Text Char3,Footnote Text MRP,c,f,fn,ft,ft Ch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1 Char,Footnote Text Char1 Char Char,Footnote Text Char1 Char Char Char1 Char,Footnote Text Char1 Char1,Footnote Text Char2 Char Char,c Char,f Char"/>
    <w:basedOn w:val="DefaultParagraphFont"/>
    <w:link w:val="FootnoteText"/>
    <w:rPr>
      <w:rFonts w:ascii="Times New Roman" w:eastAsia="Times New Roman" w:hAnsi="Times New Roman" w:cs="Times New Roman"/>
      <w:color w:val="000000"/>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qFormat/>
    <w:rPr>
      <w:rFonts w:ascii="Times New Roman" w:hAnsi="Times New Roman" w:cs="Times New Roman" w:hint="default"/>
      <w:b/>
      <w:bCs w:val="0"/>
      <w:sz w:val="26"/>
      <w:vertAlign w:val="superscript"/>
    </w:rPr>
  </w:style>
  <w:style w:type="paragraph" w:styleId="CommentText">
    <w:name w:val="annotation text"/>
    <w:basedOn w:val="Normal"/>
    <w:link w:val="CommentTextChar"/>
    <w:uiPriority w:val="99"/>
    <w:unhideWhenUsed/>
    <w:pPr>
      <w:widowControl w:val="0"/>
      <w:spacing w:after="0" w:line="240" w:lineRule="auto"/>
      <w:ind w:left="0" w:firstLine="0"/>
    </w:pPr>
    <w:rPr>
      <w:rFonts w:ascii="Arial" w:hAnsi="Arial" w:eastAsiaTheme="minorHAnsi" w:cs="Arial"/>
      <w:color w:val="auto"/>
      <w:sz w:val="20"/>
      <w:szCs w:val="20"/>
    </w:rPr>
  </w:style>
  <w:style w:type="character" w:customStyle="1" w:styleId="CommentTextChar">
    <w:name w:val="Comment Text Char"/>
    <w:basedOn w:val="DefaultParagraphFont"/>
    <w:link w:val="CommentText"/>
    <w:uiPriority w:val="99"/>
    <w:rPr>
      <w:rFonts w:ascii="Arial" w:hAnsi="Arial" w:eastAsiaTheme="minorHAnsi" w:cs="Arial"/>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widowControl/>
      <w:spacing w:after="3"/>
      <w:ind w:left="366" w:hanging="10"/>
    </w:pPr>
    <w:rPr>
      <w:rFonts w:ascii="Times New Roman" w:eastAsia="Times New Roman" w:hAnsi="Times New Roman" w:cs="Times New Roman"/>
      <w:b/>
      <w:bCs/>
      <w:color w:val="00000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table" w:customStyle="1" w:styleId="TableGrid1">
    <w:name w:val="Table Grid1"/>
    <w:uiPriority w:val="59"/>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FERCparanumber">
    <w:name w:val="FERC paranumber"/>
    <w:basedOn w:val="Normal"/>
    <w:link w:val="FERCparanumberChar"/>
    <w:qFormat/>
    <w:pPr>
      <w:numPr>
        <w:numId w:val="17"/>
      </w:numPr>
      <w:spacing w:after="0" w:line="480" w:lineRule="auto"/>
    </w:pPr>
    <w:rPr>
      <w:rFonts w:eastAsia="Calibri"/>
      <w:color w:val="auto"/>
      <w:sz w:val="26"/>
    </w:rPr>
  </w:style>
  <w:style w:type="character" w:customStyle="1" w:styleId="FERCparanumberChar">
    <w:name w:val="FERC paranumber Char"/>
    <w:basedOn w:val="DefaultParagraphFont"/>
    <w:link w:val="FERCparanumber"/>
    <w:rPr>
      <w:rFonts w:ascii="Times New Roman" w:eastAsia="Calibri" w:hAnsi="Times New Roman" w:cs="Times New Roman"/>
      <w:sz w:val="26"/>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rPr>
      <w:rFonts w:eastAsia="Times New Roman"/>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Pr>
      <w:rFonts w:ascii="Times New Roman" w:eastAsia="Times New Roman" w:hAnsi="Times New Roman" w:cs="Times New Roman"/>
      <w:color w:val="000000"/>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A946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46E0"/>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A946E0"/>
    <w:rPr>
      <w:vertAlign w:val="superscript"/>
    </w:rPr>
  </w:style>
  <w:style w:type="character" w:styleId="UnresolvedMention">
    <w:name w:val="Unresolved Mention"/>
    <w:basedOn w:val="DefaultParagraphFont"/>
    <w:uiPriority w:val="99"/>
    <w:unhideWhenUsed/>
    <w:rsid w:val="00082554"/>
    <w:rPr>
      <w:color w:val="605E5C"/>
      <w:shd w:val="clear" w:color="auto" w:fill="E1DFDD"/>
    </w:rPr>
  </w:style>
  <w:style w:type="table" w:customStyle="1" w:styleId="TableGrid11">
    <w:name w:val="Table Grid11"/>
    <w:basedOn w:val="TableNormal"/>
    <w:next w:val="TableNormal"/>
    <w:uiPriority w:val="39"/>
    <w:rsid w:val="0011323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347C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AC43FD"/>
    <w:rPr>
      <w:rFonts w:asciiTheme="majorHAnsi" w:eastAsiaTheme="majorEastAsia" w:hAnsiTheme="majorHAnsi" w:cstheme="majorBidi"/>
      <w:color w:val="2F5496" w:themeColor="accent1" w:themeShade="BF"/>
      <w:sz w:val="24"/>
    </w:rPr>
  </w:style>
  <w:style w:type="paragraph" w:styleId="NormalWeb">
    <w:name w:val="Normal (Web)"/>
    <w:basedOn w:val="Normal"/>
    <w:uiPriority w:val="99"/>
    <w:unhideWhenUsed/>
    <w:rsid w:val="00FC4057"/>
    <w:pPr>
      <w:spacing w:before="100" w:beforeAutospacing="1" w:after="100" w:afterAutospacing="1" w:line="276" w:lineRule="auto"/>
      <w:ind w:left="0" w:firstLine="0"/>
    </w:pPr>
    <w:rPr>
      <w:color w:val="auto"/>
    </w:rPr>
  </w:style>
  <w:style w:type="character" w:styleId="Mention">
    <w:name w:val="Mention"/>
    <w:basedOn w:val="DefaultParagraphFont"/>
    <w:uiPriority w:val="99"/>
    <w:unhideWhenUsed/>
    <w:rsid w:val="007C41A8"/>
    <w:rPr>
      <w:color w:val="2B579A"/>
      <w:shd w:val="clear" w:color="auto" w:fill="E1DFDD"/>
    </w:rPr>
  </w:style>
  <w:style w:type="paragraph" w:customStyle="1" w:styleId="FERCNopara">
    <w:name w:val="FERC Nopara"/>
    <w:basedOn w:val="Normal"/>
    <w:qFormat/>
    <w:rsid w:val="00D14C2B"/>
    <w:pPr>
      <w:spacing w:after="260" w:line="240" w:lineRule="auto"/>
      <w:ind w:left="0" w:firstLine="720"/>
    </w:pPr>
    <w:rPr>
      <w:rFonts w:eastAsiaTheme="minorHAnsi"/>
      <w:color w:val="auto"/>
      <w:sz w:val="26"/>
      <w:szCs w:val="22"/>
    </w:rPr>
  </w:style>
  <w:style w:type="table" w:customStyle="1" w:styleId="TableGrid0">
    <w:name w:val="Table Grid0"/>
    <w:basedOn w:val="TableNormal"/>
    <w:uiPriority w:val="39"/>
    <w:rsid w:val="00000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94D06"/>
    <w:pPr>
      <w:numPr>
        <w:numId w:val="41"/>
      </w:numPr>
      <w:contextualSpacing/>
    </w:pPr>
  </w:style>
  <w:style w:type="table" w:customStyle="1" w:styleId="TableGrid12">
    <w:name w:val="Table Grid12"/>
    <w:basedOn w:val="TableNormal"/>
    <w:next w:val="TableGrid"/>
    <w:uiPriority w:val="59"/>
    <w:rsid w:val="00E20EA7"/>
    <w:pPr>
      <w:spacing w:after="0" w:line="240" w:lineRule="auto"/>
    </w:pPr>
    <w:rPr>
      <w:rFonts w:eastAsia="Calibri"/>
      <w:color w:val="auto"/>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0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ferc-online/etariff" TargetMode="External" /><Relationship Id="rId11" Type="http://schemas.openxmlformats.org/officeDocument/2006/relationships/hyperlink" Target="https://www.reginfo.gov/public/do/PRAMain"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431604-29cd-4315-8796-3e5c08451dcf" xsi:nil="true"/>
    <lcf76f155ced4ddcb4097134ff3c332f xmlns="36d16fec-2881-4e42-8e3e-82d2ddd01c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CE9DBF6E931146816AB24CE04876B2" ma:contentTypeVersion="6" ma:contentTypeDescription="Create a new document." ma:contentTypeScope="" ma:versionID="0e6ae2aa00919d4a0d768121d018fac5">
  <xsd:schema xmlns:xsd="http://www.w3.org/2001/XMLSchema" xmlns:xs="http://www.w3.org/2001/XMLSchema" xmlns:p="http://schemas.microsoft.com/office/2006/metadata/properties" xmlns:ns2="36d16fec-2881-4e42-8e3e-82d2ddd01ccf" xmlns:ns3="8e431604-29cd-4315-8796-3e5c08451dcf" targetNamespace="http://schemas.microsoft.com/office/2006/metadata/properties" ma:root="true" ma:fieldsID="dcb7036339923a3b7a06bc07658e8576" ns2:_="" ns3:_="">
    <xsd:import namespace="36d16fec-2881-4e42-8e3e-82d2ddd01ccf"/>
    <xsd:import namespace="8e431604-29cd-4315-8796-3e5c08451dcf"/>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16fec-2881-4e42-8e3e-82d2ddd01ccf"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31604-29cd-4315-8796-3e5c08451dc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cb36dc6-8347-480a-85d7-39ff36616223}" ma:internalName="TaxCatchAll" ma:showField="CatchAllData" ma:web="8e431604-29cd-4315-8796-3e5c08451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BD5E9-6322-4225-8BCB-FF512B735564}">
  <ds:schemaRefs>
    <ds:schemaRef ds:uri="http://schemas.microsoft.com/office/2006/metadata/properties"/>
    <ds:schemaRef ds:uri="http://schemas.microsoft.com/office/infopath/2007/PartnerControls"/>
    <ds:schemaRef ds:uri="8e431604-29cd-4315-8796-3e5c08451dcf"/>
    <ds:schemaRef ds:uri="36d16fec-2881-4e42-8e3e-82d2ddd01ccf"/>
  </ds:schemaRefs>
</ds:datastoreItem>
</file>

<file path=customXml/itemProps2.xml><?xml version="1.0" encoding="utf-8"?>
<ds:datastoreItem xmlns:ds="http://schemas.openxmlformats.org/officeDocument/2006/customXml" ds:itemID="{0350D59B-19F7-4F41-88CC-7FD718426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16fec-2881-4e42-8e3e-82d2ddd01ccf"/>
    <ds:schemaRef ds:uri="8e431604-29cd-4315-8796-3e5c08451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B0E84-5482-4C1F-8E28-F375EDCF3B59}">
  <ds:schemaRefs>
    <ds:schemaRef ds:uri="http://schemas.microsoft.com/sharepoint/v3/contenttype/forms"/>
  </ds:schemaRefs>
</ds:datastoreItem>
</file>

<file path=customXml/itemProps4.xml><?xml version="1.0" encoding="utf-8"?>
<ds:datastoreItem xmlns:ds="http://schemas.openxmlformats.org/officeDocument/2006/customXml" ds:itemID="{C8E18BF4-456F-4DF9-9EB3-3D100E5D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FERC-516 Supporting Statement</vt:lpstr>
    </vt:vector>
  </TitlesOfParts>
  <Company>Federal Energy Regulatory Commission</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FERC-516 Supporting Statement</dc:title>
  <dc:creator>anthony.may@ferc.gov</dc:creator>
  <cp:lastModifiedBy>Christopher Kozler</cp:lastModifiedBy>
  <cp:revision>2</cp:revision>
  <dcterms:created xsi:type="dcterms:W3CDTF">2025-01-16T13:05:00Z</dcterms:created>
  <dcterms:modified xsi:type="dcterms:W3CDTF">2025-01-16T13:05:00Z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0x01010032CE9DBF6E931146816AB24CE04876B2</vt:lpwstr>
  </property>
  <property fmtid="{D5CDD505-2E9C-101B-9397-08002B2CF9AE}" pid="3" name="MediaServiceImageTags">
    <vt:lpwstr/>
  </property>
  <property fmtid="{D5CDD505-2E9C-101B-9397-08002B2CF9AE}" pid="4" name="MSIP_Label_bd24d06a-0e85-4d57-b1e0-ba34b1abc708_ActionId">
    <vt:lpwstr>421634c0-c547-433c-a3a1-5d5b3ef5bb95</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2024-11-06T21:21:11Z</vt:lpwstr>
  </property>
  <property fmtid="{D5CDD505-2E9C-101B-9397-08002B2CF9AE}" pid="10" name="MSIP_Label_bd24d06a-0e85-4d57-b1e0-ba34b1abc708_SiteId">
    <vt:lpwstr>19caa9e9-04ff-43fa-885f-d77fac387903</vt:lpwstr>
  </property>
</Properties>
</file>