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1D28" w:rsidP="3C9E74BE" w14:paraId="38B1598C" w14:textId="5F1D3EF5">
      <w:pPr>
        <w:pStyle w:val="Heading2"/>
        <w:spacing w:before="299" w:after="299"/>
      </w:pPr>
      <w:r w:rsidRPr="3C9E74BE">
        <w:rPr>
          <w:rFonts w:ascii="Aptos" w:eastAsia="Aptos" w:hAnsi="Aptos" w:cs="Aptos"/>
          <w:b/>
          <w:bCs/>
          <w:sz w:val="36"/>
          <w:szCs w:val="36"/>
        </w:rPr>
        <w:t>§ 60.7 Notification and record keeping.</w:t>
      </w:r>
    </w:p>
    <w:p w:rsidR="00E91D28" w:rsidP="3C9E74BE" w14:paraId="4525C2C3" w14:textId="391E15F6">
      <w:pPr>
        <w:spacing w:before="240" w:after="240"/>
        <w:ind w:left="180"/>
      </w:pPr>
      <w:r w:rsidRPr="3C9E74BE">
        <w:rPr>
          <w:rFonts w:ascii="Aptos" w:eastAsia="Aptos" w:hAnsi="Aptos" w:cs="Aptos"/>
        </w:rPr>
        <w:t>(a) Any owner or operator subject to the provisions of this part shall furnish the Administrator written notification or, if acceptable to both the Administrator and the owner or operator of a source, electronic notification, as follows:</w:t>
      </w:r>
    </w:p>
    <w:p w:rsidR="00E91D28" w:rsidP="3C9E74BE" w14:paraId="246FB01C" w14:textId="53B7A627">
      <w:pPr>
        <w:spacing w:before="240" w:after="240"/>
        <w:ind w:left="360"/>
      </w:pPr>
      <w:r w:rsidRPr="3C9E74BE">
        <w:rPr>
          <w:rFonts w:ascii="Aptos" w:eastAsia="Aptos" w:hAnsi="Aptos" w:cs="Aptos"/>
        </w:rPr>
        <w:t xml:space="preserve">(1) A notification of the date construction (or reconstruction as defined under </w:t>
      </w:r>
      <w:hyperlink r:id="rId8">
        <w:r w:rsidRPr="3C9E74BE">
          <w:rPr>
            <w:rStyle w:val="Hyperlink"/>
            <w:rFonts w:ascii="Aptos" w:eastAsia="Aptos" w:hAnsi="Aptos" w:cs="Aptos"/>
          </w:rPr>
          <w:t>§ 60.15</w:t>
        </w:r>
      </w:hyperlink>
      <w:r w:rsidRPr="3C9E74BE">
        <w:rPr>
          <w:rFonts w:ascii="Aptos" w:eastAsia="Aptos" w:hAnsi="Aptos" w:cs="Aptos"/>
        </w:rPr>
        <w:t>) of an affected facility is commenced postmarked no later than 30 days after such date. This requirement shall not apply in the case of mass-produced facilities which are purchased in completed form.</w:t>
      </w:r>
    </w:p>
    <w:p w:rsidR="00E91D28" w:rsidP="3C9E74BE" w14:paraId="7B2BACE5" w14:textId="242EB77A">
      <w:pPr>
        <w:spacing w:before="240" w:after="240"/>
        <w:ind w:left="360"/>
      </w:pPr>
      <w:r w:rsidRPr="3C9E74BE">
        <w:rPr>
          <w:rFonts w:ascii="Aptos" w:eastAsia="Aptos" w:hAnsi="Aptos" w:cs="Aptos"/>
        </w:rPr>
        <w:t>(2) [Reserved]</w:t>
      </w:r>
    </w:p>
    <w:p w:rsidR="00E91D28" w:rsidP="3C9E74BE" w14:paraId="1F7EE326" w14:textId="42A2628D">
      <w:pPr>
        <w:spacing w:before="240" w:after="240"/>
        <w:ind w:left="360"/>
      </w:pPr>
      <w:r w:rsidRPr="3C9E74BE">
        <w:rPr>
          <w:rFonts w:ascii="Aptos" w:eastAsia="Aptos" w:hAnsi="Aptos" w:cs="Aptos"/>
        </w:rPr>
        <w:t>(3) A notification of the actual date of initial startup of an affected facility postmarked within 15 days after such date.</w:t>
      </w:r>
    </w:p>
    <w:p w:rsidR="00E91D28" w:rsidP="3C9E74BE" w14:paraId="5BDC0067" w14:textId="3C64659C">
      <w:pPr>
        <w:spacing w:before="240" w:after="240"/>
        <w:ind w:left="360"/>
      </w:pPr>
      <w:r w:rsidRPr="3C9E74BE">
        <w:rPr>
          <w:rFonts w:ascii="Aptos" w:eastAsia="Aptos" w:hAnsi="Aptos" w:cs="Aptos"/>
        </w:rPr>
        <w:t xml:space="preserve">(4) A notification of any physical or operational change to an existing facility which may increase the emission rate of any air pollutant to which a standard applies, unless that change is specifically exempted under an applicable subpart or in </w:t>
      </w:r>
      <w:hyperlink r:id="rId9" w:anchor="p-60.14(e)">
        <w:r w:rsidRPr="3C9E74BE">
          <w:rPr>
            <w:rStyle w:val="Hyperlink"/>
            <w:rFonts w:ascii="Aptos" w:eastAsia="Aptos" w:hAnsi="Aptos" w:cs="Aptos"/>
          </w:rPr>
          <w:t>§ 60.14(e)</w:t>
        </w:r>
      </w:hyperlink>
      <w:r w:rsidRPr="3C9E74BE">
        <w:rPr>
          <w:rFonts w:ascii="Aptos" w:eastAsia="Aptos" w:hAnsi="Aptos" w:cs="Aptos"/>
        </w:rPr>
        <w:t>.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w:t>
      </w:r>
    </w:p>
    <w:p w:rsidR="00E91D28" w:rsidP="3C9E74BE" w14:paraId="38DF7DAB" w14:textId="1D7F798C">
      <w:pPr>
        <w:spacing w:before="240" w:after="240"/>
        <w:ind w:left="360"/>
      </w:pPr>
      <w:r w:rsidRPr="3C9E74BE">
        <w:rPr>
          <w:rFonts w:ascii="Aptos" w:eastAsia="Aptos" w:hAnsi="Aptos" w:cs="Aptos"/>
        </w:rPr>
        <w:t xml:space="preserve">(5) A notification of the date upon which demonstration of the continuous monitoring system performance commences in accordance with </w:t>
      </w:r>
      <w:hyperlink r:id="rId10" w:anchor="p-60.13(c)">
        <w:r w:rsidRPr="3C9E74BE">
          <w:rPr>
            <w:rStyle w:val="Hyperlink"/>
            <w:rFonts w:ascii="Aptos" w:eastAsia="Aptos" w:hAnsi="Aptos" w:cs="Aptos"/>
          </w:rPr>
          <w:t>§ 60.13(c)</w:t>
        </w:r>
      </w:hyperlink>
      <w:r w:rsidRPr="3C9E74BE">
        <w:rPr>
          <w:rFonts w:ascii="Aptos" w:eastAsia="Aptos" w:hAnsi="Aptos" w:cs="Aptos"/>
        </w:rPr>
        <w:t>. Notification shall be postmarked not less than 30 days prior to such date.</w:t>
      </w:r>
    </w:p>
    <w:p w:rsidR="00E91D28" w:rsidP="3C9E74BE" w14:paraId="6D629ECC" w14:textId="7398D4B3">
      <w:pPr>
        <w:spacing w:before="240" w:after="240"/>
        <w:ind w:left="180"/>
      </w:pPr>
      <w:r w:rsidRPr="3C9E74BE">
        <w:rPr>
          <w:rFonts w:ascii="Aptos" w:eastAsia="Aptos" w:hAnsi="Aptos" w:cs="Aptos"/>
        </w:rPr>
        <w:t>(b)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E91D28" w:rsidP="3C9E74BE" w14:paraId="639F0095" w14:textId="66F3D186">
      <w:pPr>
        <w:spacing w:before="240" w:after="240"/>
        <w:ind w:left="180"/>
      </w:pPr>
      <w:r w:rsidRPr="3C9E74BE">
        <w:rPr>
          <w:rFonts w:ascii="Aptos" w:eastAsia="Aptos" w:hAnsi="Aptos" w:cs="Aptos"/>
        </w:rPr>
        <w:t xml:space="preserve">(c) Each owner or operator required to install a continuous monitoring device shall submit excess emissions and monitoring systems performance report (excess emissions are defined in applicable subparts) and-or summary report form (see </w:t>
      </w:r>
      <w:hyperlink r:id="rId11" w:anchor="p-60.7(d)">
        <w:r w:rsidRPr="3C9E74BE">
          <w:rPr>
            <w:rStyle w:val="Hyperlink"/>
            <w:rFonts w:ascii="Aptos" w:eastAsia="Aptos" w:hAnsi="Aptos" w:cs="Aptos"/>
          </w:rPr>
          <w:t>paragraph (d)</w:t>
        </w:r>
      </w:hyperlink>
      <w:r w:rsidRPr="3C9E74BE">
        <w:rPr>
          <w:rFonts w:ascii="Aptos" w:eastAsia="Aptos" w:hAnsi="Aptos" w:cs="Aptos"/>
        </w:rPr>
        <w:t xml:space="preserve"> of this section) to the Administrator semiannually, except when: more frequent reporting is specifically required by an applicable subpart; or the Administrator, on a case-by-case </w:t>
      </w:r>
      <w:r w:rsidRPr="3C9E74BE">
        <w:rPr>
          <w:rFonts w:ascii="Aptos" w:eastAsia="Aptos" w:hAnsi="Aptos" w:cs="Aptos"/>
        </w:rPr>
        <w:t>basis, determines that more frequent reporting is necessary to accurately assess the compliance status of the source. All reports shall be postmarked by the 30th day following the end of each six-month period. Written reports of excess emissions shall include the following information:</w:t>
      </w:r>
    </w:p>
    <w:p w:rsidR="00E91D28" w:rsidP="3C9E74BE" w14:paraId="2695284D" w14:textId="4C750BAC">
      <w:pPr>
        <w:spacing w:before="240" w:after="240"/>
        <w:ind w:left="360"/>
      </w:pPr>
      <w:r w:rsidRPr="3C9E74BE">
        <w:rPr>
          <w:rFonts w:ascii="Aptos" w:eastAsia="Aptos" w:hAnsi="Aptos" w:cs="Aptos"/>
        </w:rPr>
        <w:t xml:space="preserve">(1) The magnitude of excess emissions computed in accordance with </w:t>
      </w:r>
      <w:hyperlink r:id="rId10" w:anchor="p-60.13(h)">
        <w:r w:rsidRPr="3C9E74BE">
          <w:rPr>
            <w:rStyle w:val="Hyperlink"/>
            <w:rFonts w:ascii="Aptos" w:eastAsia="Aptos" w:hAnsi="Aptos" w:cs="Aptos"/>
          </w:rPr>
          <w:t>§ 60.13(h)</w:t>
        </w:r>
      </w:hyperlink>
      <w:r w:rsidRPr="3C9E74BE">
        <w:rPr>
          <w:rFonts w:ascii="Aptos" w:eastAsia="Aptos" w:hAnsi="Aptos" w:cs="Aptos"/>
        </w:rPr>
        <w:t>, any conversion factor(s) used, and the date and time of commencement and completion of each time period of excess emissions. The process operating time during the reporting period.</w:t>
      </w:r>
    </w:p>
    <w:p w:rsidR="00E91D28" w:rsidP="3C9E74BE" w14:paraId="6270A9C9" w14:textId="4F5A2BC5">
      <w:pPr>
        <w:spacing w:before="240" w:after="240"/>
        <w:ind w:left="360"/>
      </w:pPr>
      <w:r w:rsidRPr="3C9E74BE">
        <w:rPr>
          <w:rFonts w:ascii="Aptos" w:eastAsia="Aptos" w:hAnsi="Aptos" w:cs="Aptos"/>
        </w:rPr>
        <w:t>(2) Specific identification of each period of excess emissions that occurs during startups, shutdowns, and malfunctions of the affected facility. The nature and cause of any malfunction (if known), the corrective action taken or preventative measures adopted.</w:t>
      </w:r>
    </w:p>
    <w:p w:rsidR="00E91D28" w:rsidP="3C9E74BE" w14:paraId="20599060" w14:textId="475AD2F6">
      <w:pPr>
        <w:spacing w:before="240" w:after="240"/>
        <w:ind w:left="360"/>
      </w:pPr>
      <w:r w:rsidRPr="3C9E74BE">
        <w:rPr>
          <w:rFonts w:ascii="Aptos" w:eastAsia="Aptos" w:hAnsi="Aptos" w:cs="Aptos"/>
        </w:rPr>
        <w:t>(3) The date and time identifying each period during which the continuous monitoring system was inoperative except for zero and span checks and the nature of the system repairs or adjustments.</w:t>
      </w:r>
    </w:p>
    <w:p w:rsidR="00E91D28" w:rsidP="3C9E74BE" w14:paraId="52BF32AF" w14:textId="30FCD3D8">
      <w:pPr>
        <w:spacing w:before="240" w:after="240"/>
        <w:ind w:left="360"/>
      </w:pPr>
      <w:r w:rsidRPr="75455C2F">
        <w:rPr>
          <w:rFonts w:ascii="Aptos" w:eastAsia="Aptos" w:hAnsi="Aptos" w:cs="Aptos"/>
        </w:rPr>
        <w:t>(4) When no excess emissions have occurred or the continuous monitoring system(s) have not been inoperative, repaired, or adjusted, such information shall be stated in the report.</w:t>
      </w:r>
    </w:p>
    <w:p w:rsidR="00E91D28" w:rsidP="75455C2F" w14:paraId="06C9D151" w14:textId="24EB6A70">
      <w:pPr>
        <w:spacing w:before="240" w:after="240"/>
        <w:ind w:left="180"/>
      </w:pPr>
      <w:r w:rsidRPr="75455C2F">
        <w:rPr>
          <w:rFonts w:ascii="Aptos" w:eastAsia="Aptos" w:hAnsi="Aptos" w:cs="Aptos"/>
        </w:rPr>
        <w:t>(f)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as follows:</w:t>
      </w:r>
    </w:p>
    <w:p w:rsidR="00E91D28" w:rsidP="75455C2F" w14:paraId="434E5D54" w14:textId="43320F67">
      <w:pPr>
        <w:spacing w:before="240" w:after="240"/>
        <w:ind w:left="360"/>
      </w:pPr>
      <w:r w:rsidRPr="75455C2F">
        <w:rPr>
          <w:rFonts w:ascii="Aptos" w:eastAsia="Aptos" w:hAnsi="Aptos" w:cs="Aptos"/>
        </w:rPr>
        <w:t xml:space="preserve">(1)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w:t>
      </w:r>
      <w:hyperlink r:id="rId11" w:anchor="p-60.7(f)">
        <w:r w:rsidRPr="75455C2F">
          <w:rPr>
            <w:rStyle w:val="Hyperlink"/>
            <w:rFonts w:ascii="Aptos" w:eastAsia="Aptos" w:hAnsi="Aptos" w:cs="Aptos"/>
          </w:rPr>
          <w:t>paragraph (f)</w:t>
        </w:r>
      </w:hyperlink>
      <w:r w:rsidRPr="75455C2F">
        <w:rPr>
          <w:rFonts w:ascii="Aptos" w:eastAsia="Aptos" w:hAnsi="Aptos" w:cs="Aptos"/>
        </w:rPr>
        <w:t xml:space="preserve"> of this section, the owner or operator shall retain the most recent </w:t>
      </w:r>
      <w:r w:rsidRPr="75455C2F">
        <w:rPr>
          <w:rFonts w:ascii="Aptos" w:eastAsia="Aptos" w:hAnsi="Aptos" w:cs="Aptos"/>
        </w:rPr>
        <w:t>consecutive three averaging periods of subhourly measurements and a file that contains a hard copy of the data acquisition system algorithm used to reduce the measured data into the reportable form of the standard.</w:t>
      </w:r>
    </w:p>
    <w:p w:rsidR="00E91D28" w:rsidP="75455C2F" w14:paraId="50BD90AA" w14:textId="224FCFA9">
      <w:pPr>
        <w:spacing w:before="240" w:after="240"/>
        <w:ind w:left="360"/>
      </w:pPr>
      <w:r w:rsidRPr="75455C2F">
        <w:rPr>
          <w:rFonts w:ascii="Aptos" w:eastAsia="Aptos" w:hAnsi="Aptos" w:cs="Aptos"/>
        </w:rPr>
        <w:t xml:space="preserve">(2)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w:t>
      </w:r>
      <w:hyperlink r:id="rId11" w:anchor="p-60.7(f)">
        <w:r w:rsidRPr="75455C2F">
          <w:rPr>
            <w:rStyle w:val="Hyperlink"/>
            <w:rFonts w:ascii="Aptos" w:eastAsia="Aptos" w:hAnsi="Aptos" w:cs="Aptos"/>
          </w:rPr>
          <w:t>paragraph (f)</w:t>
        </w:r>
      </w:hyperlink>
      <w:r w:rsidRPr="75455C2F">
        <w:rPr>
          <w:rFonts w:ascii="Aptos" w:eastAsia="Aptos" w:hAnsi="Aptos" w:cs="Aptos"/>
        </w:rPr>
        <w:t xml:space="preserve"> of this section, the owner or operator shall retain all subhourly measurements for the most recent reporting period. The subhourly measurements shall be retained for 120 days from the date of the most recent summary or excess emission report submitted to the Administrator.</w:t>
      </w:r>
    </w:p>
    <w:p w:rsidR="00E91D28" w:rsidP="75455C2F" w14:paraId="5C18D33B" w14:textId="6B37D184">
      <w:pPr>
        <w:spacing w:before="240" w:after="240"/>
        <w:ind w:left="360"/>
      </w:pPr>
      <w:r w:rsidRPr="75455C2F">
        <w:rPr>
          <w:rFonts w:ascii="Aptos" w:eastAsia="Aptos" w:hAnsi="Aptos" w:cs="Aptos"/>
        </w:rPr>
        <w:t xml:space="preserve">(3) The Administrator or delegated authority, upon notification to the source, may require the owner or operator to maintain all measurements as required by </w:t>
      </w:r>
      <w:hyperlink r:id="rId11" w:anchor="p-60.7(f)">
        <w:r w:rsidRPr="75455C2F">
          <w:rPr>
            <w:rStyle w:val="Hyperlink"/>
            <w:rFonts w:ascii="Aptos" w:eastAsia="Aptos" w:hAnsi="Aptos" w:cs="Aptos"/>
          </w:rPr>
          <w:t>paragraph (f)</w:t>
        </w:r>
      </w:hyperlink>
      <w:r w:rsidRPr="75455C2F">
        <w:rPr>
          <w:rFonts w:ascii="Aptos" w:eastAsia="Aptos" w:hAnsi="Aptos" w:cs="Aptos"/>
        </w:rPr>
        <w:t xml:space="preserve"> of this section, if the Administrator or the delegated authority determines these records are required to more accurately assess the compliance status of the affected source.</w:t>
      </w:r>
    </w:p>
    <w:p w:rsidR="00E91D28" w:rsidP="75455C2F" w14:paraId="0C5CFAFF" w14:textId="6F57CB42">
      <w:pPr>
        <w:pStyle w:val="Heading2"/>
        <w:spacing w:before="299" w:after="299"/>
      </w:pPr>
      <w:r w:rsidRPr="75455C2F">
        <w:rPr>
          <w:rFonts w:ascii="Aptos" w:eastAsia="Aptos" w:hAnsi="Aptos" w:cs="Aptos"/>
          <w:b/>
          <w:bCs/>
          <w:sz w:val="36"/>
          <w:szCs w:val="36"/>
        </w:rPr>
        <w:t>§ 60.8 Performance tests.</w:t>
      </w:r>
    </w:p>
    <w:p w:rsidR="00E91D28" w:rsidP="75455C2F" w14:paraId="38D99DF6" w14:textId="193CF6D5">
      <w:pPr>
        <w:spacing w:before="240" w:after="240"/>
        <w:ind w:left="180"/>
      </w:pPr>
      <w:r w:rsidRPr="75455C2F">
        <w:rPr>
          <w:rFonts w:ascii="Aptos" w:eastAsia="Aptos" w:hAnsi="Aptos" w:cs="Aptos"/>
        </w:rPr>
        <w:t xml:space="preserve">(a) Except as specified in </w:t>
      </w:r>
      <w:hyperlink r:id="rId12" w:anchor="p-60.8(a)(1)">
        <w:r w:rsidRPr="75455C2F">
          <w:rPr>
            <w:rStyle w:val="Hyperlink"/>
            <w:rFonts w:ascii="Aptos" w:eastAsia="Aptos" w:hAnsi="Aptos" w:cs="Aptos"/>
          </w:rPr>
          <w:t>paragraphs (a)(1)</w:t>
        </w:r>
      </w:hyperlink>
      <w:r w:rsidRPr="75455C2F">
        <w:rPr>
          <w:rFonts w:ascii="Aptos" w:eastAsia="Aptos" w:hAnsi="Aptos" w:cs="Aptos"/>
        </w:rPr>
        <w:t>,</w:t>
      </w:r>
      <w:hyperlink r:id="rId12" w:anchor="p-60.8(a)(2)">
        <w:r w:rsidRPr="75455C2F">
          <w:rPr>
            <w:rStyle w:val="Hyperlink"/>
            <w:rFonts w:ascii="Aptos" w:eastAsia="Aptos" w:hAnsi="Aptos" w:cs="Aptos"/>
          </w:rPr>
          <w:t>(a)(2)</w:t>
        </w:r>
      </w:hyperlink>
      <w:r w:rsidRPr="75455C2F">
        <w:rPr>
          <w:rFonts w:ascii="Aptos" w:eastAsia="Aptos" w:hAnsi="Aptos" w:cs="Aptos"/>
        </w:rPr>
        <w:t xml:space="preserve">, </w:t>
      </w:r>
      <w:hyperlink r:id="rId12" w:anchor="p-60.8(a)(3)">
        <w:r w:rsidRPr="75455C2F">
          <w:rPr>
            <w:rStyle w:val="Hyperlink"/>
            <w:rFonts w:ascii="Aptos" w:eastAsia="Aptos" w:hAnsi="Aptos" w:cs="Aptos"/>
          </w:rPr>
          <w:t>(a)(3)</w:t>
        </w:r>
      </w:hyperlink>
      <w:r w:rsidRPr="75455C2F">
        <w:rPr>
          <w:rFonts w:ascii="Aptos" w:eastAsia="Aptos" w:hAnsi="Aptos" w:cs="Aptos"/>
        </w:rPr>
        <w:t xml:space="preserve">, and </w:t>
      </w:r>
      <w:hyperlink r:id="rId12" w:anchor="p-60.8(a)(4)">
        <w:r w:rsidRPr="75455C2F">
          <w:rPr>
            <w:rStyle w:val="Hyperlink"/>
            <w:rFonts w:ascii="Aptos" w:eastAsia="Aptos" w:hAnsi="Aptos" w:cs="Aptos"/>
          </w:rPr>
          <w:t>(a)(4)</w:t>
        </w:r>
      </w:hyperlink>
      <w:r w:rsidRPr="75455C2F">
        <w:rPr>
          <w:rFonts w:ascii="Aptos" w:eastAsia="Aptos" w:hAnsi="Aptos" w:cs="Aptos"/>
        </w:rPr>
        <w:t xml:space="preserve">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w:t>
      </w:r>
    </w:p>
    <w:p w:rsidR="00E91D28" w:rsidP="75455C2F" w14:paraId="650F7CD4" w14:textId="4090AA81">
      <w:pPr>
        <w:spacing w:before="240" w:after="240"/>
        <w:ind w:left="360"/>
      </w:pPr>
      <w:r w:rsidRPr="75455C2F">
        <w:rPr>
          <w:rFonts w:ascii="Aptos" w:eastAsia="Aptos" w:hAnsi="Aptos" w:cs="Aptos"/>
        </w:rPr>
        <w:t>(1)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w:t>
      </w:r>
    </w:p>
    <w:p w:rsidR="00E91D28" w:rsidP="75455C2F" w14:paraId="160AD9BF" w14:textId="5FF3252E">
      <w:pPr>
        <w:spacing w:before="240" w:after="240"/>
        <w:ind w:left="360"/>
      </w:pPr>
      <w:r w:rsidRPr="75455C2F">
        <w:rPr>
          <w:rFonts w:ascii="Aptos" w:eastAsia="Aptos" w:hAnsi="Aptos" w:cs="Aptos"/>
        </w:rPr>
        <w:t>(2)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w:t>
      </w:r>
    </w:p>
    <w:p w:rsidR="00E91D28" w:rsidP="75455C2F" w14:paraId="3C47EAF9" w14:textId="403DB3CD">
      <w:pPr>
        <w:spacing w:before="240" w:after="240"/>
        <w:ind w:left="360"/>
      </w:pPr>
      <w:r w:rsidRPr="75455C2F">
        <w:rPr>
          <w:rFonts w:ascii="Aptos" w:eastAsia="Aptos" w:hAnsi="Aptos" w:cs="Aptos"/>
        </w:rPr>
        <w:t>(3)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w:t>
      </w:r>
    </w:p>
    <w:p w:rsidR="00E91D28" w:rsidP="75455C2F" w14:paraId="3B88D3E8" w14:textId="10FDA2EF">
      <w:pPr>
        <w:spacing w:before="240" w:after="240"/>
        <w:ind w:left="360"/>
      </w:pPr>
      <w:r w:rsidRPr="51957574">
        <w:rPr>
          <w:rFonts w:ascii="Aptos" w:eastAsia="Aptos" w:hAnsi="Aptos" w:cs="Aptos"/>
        </w:rPr>
        <w:t xml:space="preserve">(4) Until an extension of the performance test deadline has been approved by the Administrator under </w:t>
      </w:r>
      <w:hyperlink r:id="rId12" w:anchor="p-60.8(a)(1)">
        <w:r w:rsidRPr="51957574">
          <w:rPr>
            <w:rStyle w:val="Hyperlink"/>
            <w:rFonts w:ascii="Aptos" w:eastAsia="Aptos" w:hAnsi="Aptos" w:cs="Aptos"/>
          </w:rPr>
          <w:t>paragraphs (a)(1)</w:t>
        </w:r>
      </w:hyperlink>
      <w:r w:rsidRPr="51957574">
        <w:rPr>
          <w:rFonts w:ascii="Aptos" w:eastAsia="Aptos" w:hAnsi="Aptos" w:cs="Aptos"/>
        </w:rPr>
        <w:t xml:space="preserve">, </w:t>
      </w:r>
      <w:hyperlink r:id="rId12" w:anchor="p-60.8(a)(2)">
        <w:r w:rsidRPr="51957574">
          <w:rPr>
            <w:rStyle w:val="Hyperlink"/>
            <w:rFonts w:ascii="Aptos" w:eastAsia="Aptos" w:hAnsi="Aptos" w:cs="Aptos"/>
          </w:rPr>
          <w:t>(2)</w:t>
        </w:r>
      </w:hyperlink>
      <w:r w:rsidRPr="51957574">
        <w:rPr>
          <w:rFonts w:ascii="Aptos" w:eastAsia="Aptos" w:hAnsi="Aptos" w:cs="Aptos"/>
        </w:rPr>
        <w:t xml:space="preserve">, and </w:t>
      </w:r>
      <w:hyperlink r:id="rId12" w:anchor="p-60.8(a)(3)">
        <w:r w:rsidRPr="51957574">
          <w:rPr>
            <w:rStyle w:val="Hyperlink"/>
            <w:rFonts w:ascii="Aptos" w:eastAsia="Aptos" w:hAnsi="Aptos" w:cs="Aptos"/>
          </w:rPr>
          <w:t>(3)</w:t>
        </w:r>
      </w:hyperlink>
      <w:r w:rsidRPr="51957574">
        <w:rPr>
          <w:rFonts w:ascii="Aptos" w:eastAsia="Aptos" w:hAnsi="Aptos" w:cs="Aptos"/>
        </w:rPr>
        <w:t xml:space="preserve"> of this section, the owner or operator of the affected facility remains strictly subject to the requirements of this part.</w:t>
      </w:r>
    </w:p>
    <w:p w:rsidR="00E91D28" w:rsidP="51957574" w14:paraId="04AAC141" w14:textId="25B11740">
      <w:pPr>
        <w:pStyle w:val="Heading2"/>
        <w:spacing w:before="299" w:after="299"/>
      </w:pPr>
      <w:r w:rsidRPr="51957574">
        <w:rPr>
          <w:rFonts w:ascii="Aptos" w:eastAsia="Aptos" w:hAnsi="Aptos" w:cs="Aptos"/>
          <w:b/>
          <w:bCs/>
          <w:sz w:val="36"/>
          <w:szCs w:val="36"/>
        </w:rPr>
        <w:t>§ 60.334 Monitoring of operations.</w:t>
      </w:r>
    </w:p>
    <w:p w:rsidR="00E91D28" w:rsidP="51957574" w14:paraId="65BF3DC6" w14:textId="763E1ABA">
      <w:pPr>
        <w:spacing w:before="240" w:after="240"/>
        <w:ind w:left="180"/>
      </w:pPr>
      <w:r w:rsidRPr="51957574">
        <w:rPr>
          <w:rFonts w:ascii="Aptos" w:eastAsia="Aptos" w:hAnsi="Aptos" w:cs="Aptos"/>
        </w:rPr>
        <w:t xml:space="preserve">(a) Except as provided in </w:t>
      </w:r>
      <w:hyperlink r:id="rId13" w:anchor="p-60.334(b)">
        <w:r w:rsidRPr="51957574">
          <w:rPr>
            <w:rStyle w:val="Hyperlink"/>
            <w:rFonts w:ascii="Aptos" w:eastAsia="Aptos" w:hAnsi="Aptos" w:cs="Aptos"/>
          </w:rPr>
          <w:t>paragraph (b)</w:t>
        </w:r>
      </w:hyperlink>
      <w:r w:rsidRPr="51957574">
        <w:rPr>
          <w:rFonts w:ascii="Aptos" w:eastAsia="Aptos" w:hAnsi="Aptos" w:cs="Aptos"/>
        </w:rPr>
        <w:t xml:space="preserve"> of this section, the owner or operator of any stationary gas turbine subject to the provisions of this subpart and using water or steam injection to control NO</w:t>
      </w:r>
      <w:r w:rsidRPr="51957574">
        <w:rPr>
          <w:rFonts w:ascii="Aptos" w:eastAsia="Aptos" w:hAnsi="Aptos" w:cs="Aptos"/>
          <w:vertAlign w:val="subscript"/>
        </w:rPr>
        <w:t>X</w:t>
      </w:r>
      <w:r w:rsidRPr="51957574">
        <w:rPr>
          <w:rFonts w:ascii="Aptos" w:eastAsia="Aptos" w:hAnsi="Aptos" w:cs="Aptos"/>
        </w:rPr>
        <w:t xml:space="preserve"> emissions shall install, calibrate, maintain and operate a continuous monitoring system to monitor and record the fuel consumption and the ratio of water or steam to fuel being fired in the turbine.</w:t>
      </w:r>
    </w:p>
    <w:p w:rsidR="00E91D28" w:rsidP="51957574" w14:paraId="363063EE" w14:textId="71F642C1">
      <w:pPr>
        <w:spacing w:before="240" w:after="240"/>
        <w:ind w:left="180"/>
      </w:pPr>
      <w:r w:rsidRPr="51957574">
        <w:rPr>
          <w:rFonts w:ascii="Aptos" w:eastAsia="Aptos" w:hAnsi="Aptos" w:cs="Aptos"/>
        </w:rPr>
        <w:t>(b) The owner or operator of any stationary gas turbine that commenced construction, reconstruction or modification after October 3, 1977, but before July 8, 2004, and which uses water or steam injection to control NO</w:t>
      </w:r>
      <w:r w:rsidRPr="51957574">
        <w:rPr>
          <w:rFonts w:ascii="Aptos" w:eastAsia="Aptos" w:hAnsi="Aptos" w:cs="Aptos"/>
          <w:vertAlign w:val="subscript"/>
        </w:rPr>
        <w:t>X</w:t>
      </w:r>
      <w:r w:rsidRPr="51957574">
        <w:rPr>
          <w:rFonts w:ascii="Aptos" w:eastAsia="Aptos" w:hAnsi="Aptos" w:cs="Aptos"/>
        </w:rPr>
        <w:t xml:space="preserve"> emissions may, as an alternative to operating the continuous monitoring system described in </w:t>
      </w:r>
      <w:hyperlink r:id="rId13" w:anchor="p-60.334(a)">
        <w:r w:rsidRPr="51957574">
          <w:rPr>
            <w:rStyle w:val="Hyperlink"/>
            <w:rFonts w:ascii="Aptos" w:eastAsia="Aptos" w:hAnsi="Aptos" w:cs="Aptos"/>
          </w:rPr>
          <w:t>paragraph (a)</w:t>
        </w:r>
      </w:hyperlink>
      <w:r w:rsidRPr="51957574">
        <w:rPr>
          <w:rFonts w:ascii="Aptos" w:eastAsia="Aptos" w:hAnsi="Aptos" w:cs="Aptos"/>
        </w:rPr>
        <w:t xml:space="preserve"> of this section, install, certify, maintain, operate, and quality-assure a continuous emission monitoring system (CEMS) consisting of NO</w:t>
      </w:r>
      <w:r w:rsidRPr="51957574">
        <w:rPr>
          <w:rFonts w:ascii="Aptos" w:eastAsia="Aptos" w:hAnsi="Aptos" w:cs="Aptos"/>
          <w:vertAlign w:val="subscript"/>
        </w:rPr>
        <w:t>X</w:t>
      </w:r>
      <w:r w:rsidRPr="51957574">
        <w:rPr>
          <w:rFonts w:ascii="Aptos" w:eastAsia="Aptos" w:hAnsi="Aptos" w:cs="Aptos"/>
        </w:rPr>
        <w:t xml:space="preserve"> and O</w:t>
      </w:r>
      <w:r w:rsidRPr="51957574">
        <w:rPr>
          <w:rFonts w:ascii="Aptos" w:eastAsia="Aptos" w:hAnsi="Aptos" w:cs="Aptos"/>
          <w:vertAlign w:val="subscript"/>
        </w:rPr>
        <w:t>2</w:t>
      </w:r>
      <w:r w:rsidRPr="51957574">
        <w:rPr>
          <w:rFonts w:ascii="Aptos" w:eastAsia="Aptos" w:hAnsi="Aptos" w:cs="Aptos"/>
        </w:rPr>
        <w:t xml:space="preserve"> monitors. As an alternative, a CO</w:t>
      </w:r>
      <w:r w:rsidRPr="51957574">
        <w:rPr>
          <w:rFonts w:ascii="Aptos" w:eastAsia="Aptos" w:hAnsi="Aptos" w:cs="Aptos"/>
          <w:vertAlign w:val="subscript"/>
        </w:rPr>
        <w:t>2</w:t>
      </w:r>
      <w:r w:rsidRPr="51957574">
        <w:rPr>
          <w:rFonts w:ascii="Aptos" w:eastAsia="Aptos" w:hAnsi="Aptos" w:cs="Aptos"/>
        </w:rPr>
        <w:t xml:space="preserve"> monitor may be used to adjust the measured NO</w:t>
      </w:r>
      <w:r w:rsidRPr="51957574">
        <w:rPr>
          <w:rFonts w:ascii="Aptos" w:eastAsia="Aptos" w:hAnsi="Aptos" w:cs="Aptos"/>
          <w:vertAlign w:val="subscript"/>
        </w:rPr>
        <w:t>X</w:t>
      </w:r>
      <w:r w:rsidRPr="51957574">
        <w:rPr>
          <w:rFonts w:ascii="Aptos" w:eastAsia="Aptos" w:hAnsi="Aptos" w:cs="Aptos"/>
        </w:rPr>
        <w:t xml:space="preserve"> concentrations to 15 percent O</w:t>
      </w:r>
      <w:r w:rsidRPr="51957574">
        <w:rPr>
          <w:rFonts w:ascii="Aptos" w:eastAsia="Aptos" w:hAnsi="Aptos" w:cs="Aptos"/>
          <w:vertAlign w:val="subscript"/>
        </w:rPr>
        <w:t>2</w:t>
      </w:r>
      <w:r w:rsidRPr="51957574">
        <w:rPr>
          <w:rFonts w:ascii="Aptos" w:eastAsia="Aptos" w:hAnsi="Aptos" w:cs="Aptos"/>
        </w:rPr>
        <w:t xml:space="preserve"> by either converting the CO</w:t>
      </w:r>
      <w:r w:rsidRPr="51957574">
        <w:rPr>
          <w:rFonts w:ascii="Aptos" w:eastAsia="Aptos" w:hAnsi="Aptos" w:cs="Aptos"/>
          <w:vertAlign w:val="subscript"/>
        </w:rPr>
        <w:t>2</w:t>
      </w:r>
      <w:r w:rsidRPr="51957574">
        <w:rPr>
          <w:rFonts w:ascii="Aptos" w:eastAsia="Aptos" w:hAnsi="Aptos" w:cs="Aptos"/>
        </w:rPr>
        <w:t xml:space="preserve"> hourly averages to equivalent O</w:t>
      </w:r>
      <w:r w:rsidRPr="51957574">
        <w:rPr>
          <w:rFonts w:ascii="Aptos" w:eastAsia="Aptos" w:hAnsi="Aptos" w:cs="Aptos"/>
          <w:vertAlign w:val="subscript"/>
        </w:rPr>
        <w:t>2</w:t>
      </w:r>
      <w:r w:rsidRPr="51957574">
        <w:rPr>
          <w:rFonts w:ascii="Aptos" w:eastAsia="Aptos" w:hAnsi="Aptos" w:cs="Aptos"/>
        </w:rPr>
        <w:t xml:space="preserve"> concentrations using Equation F-14a or F-14b in appendix F to </w:t>
      </w:r>
      <w:hyperlink r:id="rId14">
        <w:r w:rsidRPr="51957574">
          <w:rPr>
            <w:rStyle w:val="Hyperlink"/>
            <w:rFonts w:ascii="Aptos" w:eastAsia="Aptos" w:hAnsi="Aptos" w:cs="Aptos"/>
          </w:rPr>
          <w:t>part 75 of this chapter</w:t>
        </w:r>
      </w:hyperlink>
      <w:r w:rsidRPr="51957574">
        <w:rPr>
          <w:rFonts w:ascii="Aptos" w:eastAsia="Aptos" w:hAnsi="Aptos" w:cs="Aptos"/>
        </w:rPr>
        <w:t xml:space="preserve"> and making the adjustments to 15 percent O</w:t>
      </w:r>
      <w:r w:rsidRPr="51957574">
        <w:rPr>
          <w:rFonts w:ascii="Aptos" w:eastAsia="Aptos" w:hAnsi="Aptos" w:cs="Aptos"/>
          <w:vertAlign w:val="subscript"/>
        </w:rPr>
        <w:t>2</w:t>
      </w:r>
      <w:r w:rsidRPr="51957574">
        <w:rPr>
          <w:rFonts w:ascii="Aptos" w:eastAsia="Aptos" w:hAnsi="Aptos" w:cs="Aptos"/>
        </w:rPr>
        <w:t>, or by using the CO</w:t>
      </w:r>
      <w:r w:rsidRPr="51957574">
        <w:rPr>
          <w:rFonts w:ascii="Aptos" w:eastAsia="Aptos" w:hAnsi="Aptos" w:cs="Aptos"/>
          <w:vertAlign w:val="subscript"/>
        </w:rPr>
        <w:t>2</w:t>
      </w:r>
      <w:r w:rsidRPr="51957574">
        <w:rPr>
          <w:rFonts w:ascii="Aptos" w:eastAsia="Aptos" w:hAnsi="Aptos" w:cs="Aptos"/>
        </w:rPr>
        <w:t xml:space="preserve"> readings directly to make the adjustments, as described in Method 20. If the option to use a CEMS is chosen, the CEMS shall be installed, certified, maintained and operated as follows:</w:t>
      </w:r>
    </w:p>
    <w:p w:rsidR="00E91D28" w:rsidP="51957574" w14:paraId="2AFEAF26" w14:textId="25BACD0B">
      <w:pPr>
        <w:spacing w:before="240" w:after="240"/>
        <w:ind w:left="360"/>
      </w:pPr>
      <w:r w:rsidRPr="51957574">
        <w:rPr>
          <w:rFonts w:ascii="Aptos" w:eastAsia="Aptos" w:hAnsi="Aptos" w:cs="Aptos"/>
        </w:rPr>
        <w:t xml:space="preserve">(1) Each CEMS must be installed and certified according to PS 2 and 3 (for diluent) of </w:t>
      </w:r>
      <w:hyperlink r:id="rId15">
        <w:r w:rsidRPr="51957574">
          <w:rPr>
            <w:rStyle w:val="Hyperlink"/>
            <w:rFonts w:ascii="Aptos" w:eastAsia="Aptos" w:hAnsi="Aptos" w:cs="Aptos"/>
          </w:rPr>
          <w:t>40 CFR part 60, appendix B</w:t>
        </w:r>
      </w:hyperlink>
      <w:r w:rsidRPr="51957574">
        <w:rPr>
          <w:rFonts w:ascii="Aptos" w:eastAsia="Aptos" w:hAnsi="Aptos" w:cs="Aptos"/>
        </w:rPr>
        <w:t xml:space="preserve">, except the 7-day calibration drift is based on unit operating </w:t>
      </w:r>
      <w:r w:rsidRPr="51957574">
        <w:rPr>
          <w:rFonts w:ascii="Aptos" w:eastAsia="Aptos" w:hAnsi="Aptos" w:cs="Aptos"/>
        </w:rPr>
        <w:t>days, not calendar days. Appendix F, Procedure 1 is not required. The relative accuracy test audit (RATA) of the NO</w:t>
      </w:r>
      <w:r w:rsidRPr="51957574">
        <w:rPr>
          <w:rFonts w:ascii="Aptos" w:eastAsia="Aptos" w:hAnsi="Aptos" w:cs="Aptos"/>
          <w:vertAlign w:val="subscript"/>
        </w:rPr>
        <w:t>X</w:t>
      </w:r>
      <w:r w:rsidRPr="51957574">
        <w:rPr>
          <w:rFonts w:ascii="Aptos" w:eastAsia="Aptos" w:hAnsi="Aptos" w:cs="Aptos"/>
        </w:rPr>
        <w:t xml:space="preserve"> and diluent monitors may be performed individually or on a combined basis, </w:t>
      </w:r>
      <w:r w:rsidRPr="51957574">
        <w:rPr>
          <w:rFonts w:ascii="Aptos" w:eastAsia="Aptos" w:hAnsi="Aptos" w:cs="Aptos"/>
          <w:i/>
          <w:iCs/>
        </w:rPr>
        <w:t>i.e.</w:t>
      </w:r>
      <w:r w:rsidRPr="51957574">
        <w:rPr>
          <w:rFonts w:ascii="Aptos" w:eastAsia="Aptos" w:hAnsi="Aptos" w:cs="Aptos"/>
        </w:rPr>
        <w:t>, the relative accuracy tests of the CEMS may be performed either:</w:t>
      </w:r>
    </w:p>
    <w:p w:rsidR="00E91D28" w:rsidP="51957574" w14:paraId="12819BB4" w14:textId="59E18F58">
      <w:pPr>
        <w:spacing w:before="240" w:after="240"/>
        <w:ind w:left="540"/>
      </w:pPr>
      <w:r w:rsidRPr="51957574">
        <w:rPr>
          <w:rFonts w:ascii="Aptos" w:eastAsia="Aptos" w:hAnsi="Aptos" w:cs="Aptos"/>
        </w:rPr>
        <w:t>(i) On a ppm basis (for NO</w:t>
      </w:r>
      <w:r w:rsidRPr="51957574">
        <w:rPr>
          <w:rFonts w:ascii="Aptos" w:eastAsia="Aptos" w:hAnsi="Aptos" w:cs="Aptos"/>
          <w:vertAlign w:val="subscript"/>
        </w:rPr>
        <w:t>X</w:t>
      </w:r>
      <w:r w:rsidRPr="51957574">
        <w:rPr>
          <w:rFonts w:ascii="Aptos" w:eastAsia="Aptos" w:hAnsi="Aptos" w:cs="Aptos"/>
        </w:rPr>
        <w:t>) and a percent O</w:t>
      </w:r>
      <w:r w:rsidRPr="51957574">
        <w:rPr>
          <w:rFonts w:ascii="Aptos" w:eastAsia="Aptos" w:hAnsi="Aptos" w:cs="Aptos"/>
          <w:vertAlign w:val="subscript"/>
        </w:rPr>
        <w:t>2</w:t>
      </w:r>
      <w:r w:rsidRPr="51957574">
        <w:rPr>
          <w:rFonts w:ascii="Aptos" w:eastAsia="Aptos" w:hAnsi="Aptos" w:cs="Aptos"/>
        </w:rPr>
        <w:t xml:space="preserve"> basis for oxygen; or</w:t>
      </w:r>
    </w:p>
    <w:p w:rsidR="00E91D28" w:rsidP="51957574" w14:paraId="356703D3" w14:textId="341A052B">
      <w:pPr>
        <w:spacing w:before="240" w:after="240"/>
        <w:ind w:left="540"/>
      </w:pPr>
      <w:r w:rsidRPr="51957574">
        <w:rPr>
          <w:rFonts w:ascii="Aptos" w:eastAsia="Aptos" w:hAnsi="Aptos" w:cs="Aptos"/>
        </w:rPr>
        <w:t>(ii) On a ppm at 15 percent O</w:t>
      </w:r>
      <w:r w:rsidRPr="51957574">
        <w:rPr>
          <w:rFonts w:ascii="Aptos" w:eastAsia="Aptos" w:hAnsi="Aptos" w:cs="Aptos"/>
          <w:vertAlign w:val="subscript"/>
        </w:rPr>
        <w:t>2</w:t>
      </w:r>
      <w:r w:rsidRPr="51957574">
        <w:rPr>
          <w:rFonts w:ascii="Aptos" w:eastAsia="Aptos" w:hAnsi="Aptos" w:cs="Aptos"/>
        </w:rPr>
        <w:t xml:space="preserve"> basis; or</w:t>
      </w:r>
    </w:p>
    <w:p w:rsidR="00E91D28" w:rsidP="51957574" w14:paraId="0B723BA7" w14:textId="3E54789A">
      <w:pPr>
        <w:spacing w:before="240" w:after="240"/>
        <w:ind w:left="540"/>
      </w:pPr>
      <w:r w:rsidRPr="51957574">
        <w:rPr>
          <w:rFonts w:ascii="Aptos" w:eastAsia="Aptos" w:hAnsi="Aptos" w:cs="Aptos"/>
        </w:rPr>
        <w:t>(iii) On a ppm basis (for NO</w:t>
      </w:r>
      <w:r w:rsidRPr="51957574">
        <w:rPr>
          <w:rFonts w:ascii="Aptos" w:eastAsia="Aptos" w:hAnsi="Aptos" w:cs="Aptos"/>
          <w:vertAlign w:val="subscript"/>
        </w:rPr>
        <w:t>X</w:t>
      </w:r>
      <w:r w:rsidRPr="51957574">
        <w:rPr>
          <w:rFonts w:ascii="Aptos" w:eastAsia="Aptos" w:hAnsi="Aptos" w:cs="Aptos"/>
        </w:rPr>
        <w:t>) and a percent CO</w:t>
      </w:r>
      <w:r w:rsidRPr="51957574">
        <w:rPr>
          <w:rFonts w:ascii="Aptos" w:eastAsia="Aptos" w:hAnsi="Aptos" w:cs="Aptos"/>
          <w:vertAlign w:val="subscript"/>
        </w:rPr>
        <w:t>2</w:t>
      </w:r>
      <w:r w:rsidRPr="51957574">
        <w:rPr>
          <w:rFonts w:ascii="Aptos" w:eastAsia="Aptos" w:hAnsi="Aptos" w:cs="Aptos"/>
        </w:rPr>
        <w:t xml:space="preserve"> basis (for a CO</w:t>
      </w:r>
      <w:r w:rsidRPr="51957574">
        <w:rPr>
          <w:rFonts w:ascii="Aptos" w:eastAsia="Aptos" w:hAnsi="Aptos" w:cs="Aptos"/>
          <w:vertAlign w:val="subscript"/>
        </w:rPr>
        <w:t>2</w:t>
      </w:r>
      <w:r w:rsidRPr="51957574">
        <w:rPr>
          <w:rFonts w:ascii="Aptos" w:eastAsia="Aptos" w:hAnsi="Aptos" w:cs="Aptos"/>
        </w:rPr>
        <w:t xml:space="preserve"> monitor that uses the procedures in Method 20 to correct the NO</w:t>
      </w:r>
      <w:r w:rsidRPr="51957574">
        <w:rPr>
          <w:rFonts w:ascii="Aptos" w:eastAsia="Aptos" w:hAnsi="Aptos" w:cs="Aptos"/>
          <w:vertAlign w:val="subscript"/>
        </w:rPr>
        <w:t>X</w:t>
      </w:r>
      <w:r w:rsidRPr="51957574">
        <w:rPr>
          <w:rFonts w:ascii="Aptos" w:eastAsia="Aptos" w:hAnsi="Aptos" w:cs="Aptos"/>
        </w:rPr>
        <w:t xml:space="preserve"> data to 15 percent O</w:t>
      </w:r>
      <w:r w:rsidRPr="51957574">
        <w:rPr>
          <w:rFonts w:ascii="Aptos" w:eastAsia="Aptos" w:hAnsi="Aptos" w:cs="Aptos"/>
          <w:vertAlign w:val="subscript"/>
        </w:rPr>
        <w:t>2</w:t>
      </w:r>
      <w:r w:rsidRPr="51957574">
        <w:rPr>
          <w:rFonts w:ascii="Aptos" w:eastAsia="Aptos" w:hAnsi="Aptos" w:cs="Aptos"/>
        </w:rPr>
        <w:t>).</w:t>
      </w:r>
    </w:p>
    <w:p w:rsidR="00E91D28" w:rsidP="51957574" w14:paraId="0F0B12DB" w14:textId="3C14FD1D">
      <w:pPr>
        <w:spacing w:before="240" w:after="240"/>
        <w:ind w:left="360"/>
      </w:pPr>
      <w:r w:rsidRPr="51957574">
        <w:rPr>
          <w:rFonts w:ascii="Aptos" w:eastAsia="Aptos" w:hAnsi="Aptos" w:cs="Aptos"/>
        </w:rPr>
        <w:t xml:space="preserve">(2) As specified in </w:t>
      </w:r>
      <w:hyperlink r:id="rId10" w:anchor="p-60.13(e)(2)">
        <w:r w:rsidRPr="51957574">
          <w:rPr>
            <w:rStyle w:val="Hyperlink"/>
            <w:rFonts w:ascii="Aptos" w:eastAsia="Aptos" w:hAnsi="Aptos" w:cs="Aptos"/>
          </w:rPr>
          <w:t>§ 60.13(e)(2)</w:t>
        </w:r>
      </w:hyperlink>
      <w:r w:rsidRPr="51957574">
        <w:rPr>
          <w:rFonts w:ascii="Aptos" w:eastAsia="Aptos" w:hAnsi="Aptos" w:cs="Aptos"/>
        </w:rPr>
        <w:t>, during each full unit operating hour, each monitor must complete a minimum of one cycle of operation (sampling, analyzing, and data recording) for each 15-minute quadrant of the hour, to validate the hour. For partial unit operating hours, at least one valid data point must be obtained for each quadrant of the hour in which the unit operates. For unit operating hours in which required quality assurance and maintenance activities are performed on the CEMS, a minimum of two valid data points (one in each of two quadrants) are required to validate the hour.</w:t>
      </w:r>
    </w:p>
    <w:p w:rsidR="00E91D28" w:rsidP="51957574" w14:paraId="008C0376" w14:textId="51E8C7C1">
      <w:pPr>
        <w:spacing w:before="240" w:after="240"/>
        <w:ind w:left="360"/>
      </w:pPr>
      <w:r w:rsidRPr="51957574">
        <w:rPr>
          <w:rFonts w:ascii="Aptos" w:eastAsia="Aptos" w:hAnsi="Aptos" w:cs="Aptos"/>
        </w:rPr>
        <w:t xml:space="preserve">(3) For purposes of identifying excess emissions, CEMS data must be reduced to hourly averages as specified in </w:t>
      </w:r>
      <w:hyperlink r:id="rId10" w:anchor="p-60.13(h)">
        <w:r w:rsidRPr="51957574">
          <w:rPr>
            <w:rStyle w:val="Hyperlink"/>
            <w:rFonts w:ascii="Aptos" w:eastAsia="Aptos" w:hAnsi="Aptos" w:cs="Aptos"/>
          </w:rPr>
          <w:t>§ 60.13(h)</w:t>
        </w:r>
      </w:hyperlink>
      <w:r w:rsidRPr="51957574">
        <w:rPr>
          <w:rFonts w:ascii="Aptos" w:eastAsia="Aptos" w:hAnsi="Aptos" w:cs="Aptos"/>
        </w:rPr>
        <w:t>.</w:t>
      </w:r>
    </w:p>
    <w:p w:rsidR="00E91D28" w:rsidP="51957574" w14:paraId="4B630127" w14:textId="766756DF">
      <w:pPr>
        <w:spacing w:before="240" w:after="240"/>
        <w:ind w:left="540"/>
      </w:pPr>
      <w:r w:rsidRPr="51957574">
        <w:rPr>
          <w:rFonts w:ascii="Aptos" w:eastAsia="Aptos" w:hAnsi="Aptos" w:cs="Aptos"/>
        </w:rPr>
        <w:t xml:space="preserve">(i) For each unit operating hour in which a valid hourly average, as described in </w:t>
      </w:r>
      <w:hyperlink r:id="rId13" w:anchor="p-60.334(b)(2)">
        <w:r w:rsidRPr="51957574">
          <w:rPr>
            <w:rStyle w:val="Hyperlink"/>
            <w:rFonts w:ascii="Aptos" w:eastAsia="Aptos" w:hAnsi="Aptos" w:cs="Aptos"/>
          </w:rPr>
          <w:t>paragraph (b)(2)</w:t>
        </w:r>
      </w:hyperlink>
      <w:r w:rsidRPr="51957574">
        <w:rPr>
          <w:rFonts w:ascii="Aptos" w:eastAsia="Aptos" w:hAnsi="Aptos" w:cs="Aptos"/>
        </w:rPr>
        <w:t xml:space="preserve"> of this section, is obtained for both NO</w:t>
      </w:r>
      <w:r w:rsidRPr="51957574">
        <w:rPr>
          <w:rFonts w:ascii="Aptos" w:eastAsia="Aptos" w:hAnsi="Aptos" w:cs="Aptos"/>
          <w:vertAlign w:val="subscript"/>
        </w:rPr>
        <w:t>X</w:t>
      </w:r>
      <w:r w:rsidRPr="51957574">
        <w:rPr>
          <w:rFonts w:ascii="Aptos" w:eastAsia="Aptos" w:hAnsi="Aptos" w:cs="Aptos"/>
        </w:rPr>
        <w:t xml:space="preserve"> and diluent, the data acquisition and handling system must calculate and record the hourly NO</w:t>
      </w:r>
      <w:r w:rsidRPr="51957574">
        <w:rPr>
          <w:rFonts w:ascii="Aptos" w:eastAsia="Aptos" w:hAnsi="Aptos" w:cs="Aptos"/>
          <w:vertAlign w:val="subscript"/>
        </w:rPr>
        <w:t>X</w:t>
      </w:r>
      <w:r w:rsidRPr="51957574">
        <w:rPr>
          <w:rFonts w:ascii="Aptos" w:eastAsia="Aptos" w:hAnsi="Aptos" w:cs="Aptos"/>
        </w:rPr>
        <w:t xml:space="preserve"> emissions in the units of the applicable NO</w:t>
      </w:r>
      <w:r w:rsidRPr="51957574">
        <w:rPr>
          <w:rFonts w:ascii="Aptos" w:eastAsia="Aptos" w:hAnsi="Aptos" w:cs="Aptos"/>
          <w:vertAlign w:val="subscript"/>
        </w:rPr>
        <w:t>X</w:t>
      </w:r>
      <w:r w:rsidRPr="51957574">
        <w:rPr>
          <w:rFonts w:ascii="Aptos" w:eastAsia="Aptos" w:hAnsi="Aptos" w:cs="Aptos"/>
        </w:rPr>
        <w:t xml:space="preserve"> emission standard under </w:t>
      </w:r>
      <w:hyperlink r:id="rId16" w:anchor="p-60.332(a)">
        <w:r w:rsidRPr="51957574">
          <w:rPr>
            <w:rStyle w:val="Hyperlink"/>
            <w:rFonts w:ascii="Aptos" w:eastAsia="Aptos" w:hAnsi="Aptos" w:cs="Aptos"/>
          </w:rPr>
          <w:t>§ 60.332(a)</w:t>
        </w:r>
      </w:hyperlink>
      <w:r w:rsidRPr="51957574">
        <w:rPr>
          <w:rFonts w:ascii="Aptos" w:eastAsia="Aptos" w:hAnsi="Aptos" w:cs="Aptos"/>
        </w:rPr>
        <w:t xml:space="preserve">, </w:t>
      </w:r>
      <w:r w:rsidRPr="51957574">
        <w:rPr>
          <w:rFonts w:ascii="Aptos" w:eastAsia="Aptos" w:hAnsi="Aptos" w:cs="Aptos"/>
          <w:i/>
          <w:iCs/>
        </w:rPr>
        <w:t>i.e.</w:t>
      </w:r>
      <w:r w:rsidRPr="51957574">
        <w:rPr>
          <w:rFonts w:ascii="Aptos" w:eastAsia="Aptos" w:hAnsi="Aptos" w:cs="Aptos"/>
        </w:rPr>
        <w:t>, percent NO</w:t>
      </w:r>
      <w:r w:rsidRPr="51957574">
        <w:rPr>
          <w:rFonts w:ascii="Aptos" w:eastAsia="Aptos" w:hAnsi="Aptos" w:cs="Aptos"/>
          <w:vertAlign w:val="subscript"/>
        </w:rPr>
        <w:t>X</w:t>
      </w:r>
      <w:r w:rsidRPr="51957574">
        <w:rPr>
          <w:rFonts w:ascii="Aptos" w:eastAsia="Aptos" w:hAnsi="Aptos" w:cs="Aptos"/>
        </w:rPr>
        <w:t xml:space="preserve"> by volume, dry basis, corrected to 15 percent O</w:t>
      </w:r>
      <w:r w:rsidRPr="51957574">
        <w:rPr>
          <w:rFonts w:ascii="Aptos" w:eastAsia="Aptos" w:hAnsi="Aptos" w:cs="Aptos"/>
          <w:vertAlign w:val="subscript"/>
        </w:rPr>
        <w:t>2</w:t>
      </w:r>
      <w:r w:rsidRPr="51957574">
        <w:rPr>
          <w:rFonts w:ascii="Aptos" w:eastAsia="Aptos" w:hAnsi="Aptos" w:cs="Aptos"/>
        </w:rPr>
        <w:t xml:space="preserve"> and International Organization for Standardization (ISO) standard conditions (if required as given in </w:t>
      </w:r>
      <w:hyperlink r:id="rId17" w:anchor="p-60.335(b)(1)">
        <w:r w:rsidRPr="51957574">
          <w:rPr>
            <w:rStyle w:val="Hyperlink"/>
            <w:rFonts w:ascii="Aptos" w:eastAsia="Aptos" w:hAnsi="Aptos" w:cs="Aptos"/>
          </w:rPr>
          <w:t>§ 60.335(b)(1)</w:t>
        </w:r>
      </w:hyperlink>
      <w:r w:rsidRPr="51957574">
        <w:rPr>
          <w:rFonts w:ascii="Aptos" w:eastAsia="Aptos" w:hAnsi="Aptos" w:cs="Aptos"/>
        </w:rPr>
        <w:t>). For any hour in which the hourly average O</w:t>
      </w:r>
      <w:r w:rsidRPr="51957574">
        <w:rPr>
          <w:rFonts w:ascii="Aptos" w:eastAsia="Aptos" w:hAnsi="Aptos" w:cs="Aptos"/>
          <w:vertAlign w:val="subscript"/>
        </w:rPr>
        <w:t>2</w:t>
      </w:r>
      <w:r w:rsidRPr="51957574">
        <w:rPr>
          <w:rFonts w:ascii="Aptos" w:eastAsia="Aptos" w:hAnsi="Aptos" w:cs="Aptos"/>
        </w:rPr>
        <w:t xml:space="preserve"> concentration exceeds 19.0 percent O</w:t>
      </w:r>
      <w:r w:rsidRPr="51957574">
        <w:rPr>
          <w:rFonts w:ascii="Aptos" w:eastAsia="Aptos" w:hAnsi="Aptos" w:cs="Aptos"/>
          <w:vertAlign w:val="subscript"/>
        </w:rPr>
        <w:t>2</w:t>
      </w:r>
      <w:r w:rsidRPr="51957574">
        <w:rPr>
          <w:rFonts w:ascii="Aptos" w:eastAsia="Aptos" w:hAnsi="Aptos" w:cs="Aptos"/>
        </w:rPr>
        <w:t>, a diluent cap value of 19.0 percent O</w:t>
      </w:r>
      <w:r w:rsidRPr="51957574">
        <w:rPr>
          <w:rFonts w:ascii="Aptos" w:eastAsia="Aptos" w:hAnsi="Aptos" w:cs="Aptos"/>
          <w:vertAlign w:val="subscript"/>
        </w:rPr>
        <w:t>2</w:t>
      </w:r>
      <w:r w:rsidRPr="51957574">
        <w:rPr>
          <w:rFonts w:ascii="Aptos" w:eastAsia="Aptos" w:hAnsi="Aptos" w:cs="Aptos"/>
        </w:rPr>
        <w:t xml:space="preserve"> may be used in the emission calculations.</w:t>
      </w:r>
    </w:p>
    <w:p w:rsidR="00E91D28" w:rsidP="51957574" w14:paraId="2E420F1C" w14:textId="3259633C">
      <w:pPr>
        <w:spacing w:before="240" w:after="240"/>
        <w:ind w:left="540"/>
      </w:pPr>
      <w:r w:rsidRPr="51957574">
        <w:rPr>
          <w:rFonts w:ascii="Aptos" w:eastAsia="Aptos" w:hAnsi="Aptos" w:cs="Aptos"/>
        </w:rPr>
        <w:t>(ii) A worst case ISO correction factor may be calculated and applied using historical ambient data. For the purpose of this calculation, substitute the maximum humidity of ambient air (Ho), minimum ambient temperature (T</w:t>
      </w:r>
      <w:r w:rsidRPr="51957574">
        <w:rPr>
          <w:rFonts w:ascii="Aptos" w:eastAsia="Aptos" w:hAnsi="Aptos" w:cs="Aptos"/>
          <w:vertAlign w:val="subscript"/>
        </w:rPr>
        <w:t>a</w:t>
      </w:r>
      <w:r w:rsidRPr="51957574">
        <w:rPr>
          <w:rFonts w:ascii="Aptos" w:eastAsia="Aptos" w:hAnsi="Aptos" w:cs="Aptos"/>
        </w:rPr>
        <w:t>), and minimum combustor inlet absolute pressure (P</w:t>
      </w:r>
      <w:r w:rsidRPr="51957574">
        <w:rPr>
          <w:rFonts w:ascii="Aptos" w:eastAsia="Aptos" w:hAnsi="Aptos" w:cs="Aptos"/>
          <w:vertAlign w:val="subscript"/>
        </w:rPr>
        <w:t>o</w:t>
      </w:r>
      <w:r w:rsidRPr="51957574">
        <w:rPr>
          <w:rFonts w:ascii="Aptos" w:eastAsia="Aptos" w:hAnsi="Aptos" w:cs="Aptos"/>
        </w:rPr>
        <w:t>) into the ISO correction equation.</w:t>
      </w:r>
    </w:p>
    <w:p w:rsidR="00E91D28" w:rsidP="51957574" w14:paraId="0DBB2EC0" w14:textId="0430568A">
      <w:pPr>
        <w:spacing w:before="240" w:after="240"/>
        <w:ind w:left="540"/>
      </w:pPr>
      <w:r w:rsidRPr="51957574">
        <w:rPr>
          <w:rFonts w:ascii="Aptos" w:eastAsia="Aptos" w:hAnsi="Aptos" w:cs="Aptos"/>
        </w:rPr>
        <w:t>(iii) If the owner or operator has installed a NO</w:t>
      </w:r>
      <w:r w:rsidRPr="51957574">
        <w:rPr>
          <w:rFonts w:ascii="Aptos" w:eastAsia="Aptos" w:hAnsi="Aptos" w:cs="Aptos"/>
          <w:vertAlign w:val="subscript"/>
        </w:rPr>
        <w:t>X</w:t>
      </w:r>
      <w:r w:rsidRPr="51957574">
        <w:rPr>
          <w:rFonts w:ascii="Aptos" w:eastAsia="Aptos" w:hAnsi="Aptos" w:cs="Aptos"/>
        </w:rPr>
        <w:t xml:space="preserve"> CEMS to meet the requirements of </w:t>
      </w:r>
      <w:hyperlink r:id="rId14">
        <w:r w:rsidRPr="51957574">
          <w:rPr>
            <w:rStyle w:val="Hyperlink"/>
            <w:rFonts w:ascii="Aptos" w:eastAsia="Aptos" w:hAnsi="Aptos" w:cs="Aptos"/>
          </w:rPr>
          <w:t>part 75 of this chapter</w:t>
        </w:r>
      </w:hyperlink>
      <w:r w:rsidRPr="51957574">
        <w:rPr>
          <w:rFonts w:ascii="Aptos" w:eastAsia="Aptos" w:hAnsi="Aptos" w:cs="Aptos"/>
        </w:rPr>
        <w:t xml:space="preserve">, and is continuing to meet the ongoing requirements of </w:t>
      </w:r>
      <w:hyperlink r:id="rId14">
        <w:r w:rsidRPr="51957574">
          <w:rPr>
            <w:rStyle w:val="Hyperlink"/>
            <w:rFonts w:ascii="Aptos" w:eastAsia="Aptos" w:hAnsi="Aptos" w:cs="Aptos"/>
          </w:rPr>
          <w:t>part 75 of this chapter</w:t>
        </w:r>
      </w:hyperlink>
      <w:r w:rsidRPr="51957574">
        <w:rPr>
          <w:rFonts w:ascii="Aptos" w:eastAsia="Aptos" w:hAnsi="Aptos" w:cs="Aptos"/>
        </w:rPr>
        <w:t xml:space="preserve">, the CEMS may be used to meet the requirements of this section, except that the missing data substitution methodology provided for at </w:t>
      </w:r>
      <w:hyperlink r:id="rId18">
        <w:r w:rsidRPr="51957574">
          <w:rPr>
            <w:rStyle w:val="Hyperlink"/>
            <w:rFonts w:ascii="Aptos" w:eastAsia="Aptos" w:hAnsi="Aptos" w:cs="Aptos"/>
          </w:rPr>
          <w:t xml:space="preserve">40 CFR part 75, </w:t>
        </w:r>
        <w:r w:rsidRPr="51957574">
          <w:rPr>
            <w:rStyle w:val="Hyperlink"/>
            <w:rFonts w:ascii="Aptos" w:eastAsia="Aptos" w:hAnsi="Aptos" w:cs="Aptos"/>
          </w:rPr>
          <w:t>subpart D</w:t>
        </w:r>
      </w:hyperlink>
      <w:r w:rsidRPr="51957574">
        <w:rPr>
          <w:rFonts w:ascii="Aptos" w:eastAsia="Aptos" w:hAnsi="Aptos" w:cs="Aptos"/>
        </w:rPr>
        <w:t xml:space="preserve">, is not required for purposes of identifying excess emissions. Instead, periods of missing CEMS data are to be reported as monitor downtime in the excess emissions and monitoring performance report required in </w:t>
      </w:r>
      <w:hyperlink r:id="rId11" w:anchor="p-60.7(c)">
        <w:r w:rsidRPr="51957574">
          <w:rPr>
            <w:rStyle w:val="Hyperlink"/>
            <w:rFonts w:ascii="Aptos" w:eastAsia="Aptos" w:hAnsi="Aptos" w:cs="Aptos"/>
          </w:rPr>
          <w:t>§ 60.7(c)</w:t>
        </w:r>
      </w:hyperlink>
      <w:r w:rsidRPr="51957574">
        <w:rPr>
          <w:rFonts w:ascii="Aptos" w:eastAsia="Aptos" w:hAnsi="Aptos" w:cs="Aptos"/>
        </w:rPr>
        <w:t>.</w:t>
      </w:r>
    </w:p>
    <w:p w:rsidR="00E91D28" w:rsidP="51957574" w14:paraId="2A3D6656" w14:textId="03F6BE80">
      <w:pPr>
        <w:spacing w:before="240" w:after="240"/>
        <w:ind w:left="180"/>
      </w:pPr>
      <w:r w:rsidRPr="51957574">
        <w:rPr>
          <w:rFonts w:ascii="Aptos" w:eastAsia="Aptos" w:hAnsi="Aptos" w:cs="Aptos"/>
        </w:rPr>
        <w:t>(i) The frequency of determining the sulfur and nitrogen content of the fuel shall be as follows:</w:t>
      </w:r>
    </w:p>
    <w:p w:rsidR="00E91D28" w:rsidP="51957574" w14:paraId="4949B043" w14:textId="55654DE9">
      <w:pPr>
        <w:spacing w:before="240" w:after="240"/>
        <w:ind w:left="360"/>
      </w:pPr>
      <w:r w:rsidRPr="51957574">
        <w:rPr>
          <w:rFonts w:ascii="Aptos" w:eastAsia="Aptos" w:hAnsi="Aptos" w:cs="Aptos"/>
        </w:rPr>
        <w:t xml:space="preserve">(1) </w:t>
      </w:r>
      <w:r w:rsidRPr="51957574">
        <w:rPr>
          <w:rFonts w:ascii="Aptos" w:eastAsia="Aptos" w:hAnsi="Aptos" w:cs="Aptos"/>
          <w:b/>
          <w:bCs/>
          <w:i/>
          <w:iCs/>
        </w:rPr>
        <w:t>Fuel oil.</w:t>
      </w:r>
      <w:r w:rsidRPr="51957574">
        <w:rPr>
          <w:rFonts w:ascii="Aptos" w:eastAsia="Aptos" w:hAnsi="Aptos" w:cs="Aptos"/>
        </w:rPr>
        <w:t xml:space="preserve"> For fuel oil, use one of the total sulfur sampling options and the associated sampling frequency described in sections 2.2.3, 2.2.4.1, 2.2.4.2, and 2.2.4.3 of appendix D to </w:t>
      </w:r>
      <w:hyperlink r:id="rId14">
        <w:r w:rsidRPr="51957574">
          <w:rPr>
            <w:rStyle w:val="Hyperlink"/>
            <w:rFonts w:ascii="Aptos" w:eastAsia="Aptos" w:hAnsi="Aptos" w:cs="Aptos"/>
          </w:rPr>
          <w:t>part 75 of this chapter</w:t>
        </w:r>
      </w:hyperlink>
      <w:r w:rsidRPr="51957574">
        <w:rPr>
          <w:rFonts w:ascii="Aptos" w:eastAsia="Aptos" w:hAnsi="Aptos" w:cs="Aptos"/>
        </w:rPr>
        <w:t xml:space="preserve"> (</w:t>
      </w:r>
      <w:r w:rsidRPr="51957574">
        <w:rPr>
          <w:rFonts w:ascii="Aptos" w:eastAsia="Aptos" w:hAnsi="Aptos" w:cs="Aptos"/>
          <w:i/>
          <w:iCs/>
        </w:rPr>
        <w:t>i.e.</w:t>
      </w:r>
      <w:r w:rsidRPr="51957574">
        <w:rPr>
          <w:rFonts w:ascii="Aptos" w:eastAsia="Aptos" w:hAnsi="Aptos" w:cs="Aptos"/>
        </w:rPr>
        <w:t>, flow proportional sampling, daily sampling, sampling from the unit's storage tank after each addition of fuel to the tank, or sampling each delivery prior to combining it with fuel oil already in the intended storage tank). If an emission allowance is being claimed for fuel-bound nitrogen, the nitrogen content of the oil shall be determined and recorded once per unit operating day.</w:t>
      </w:r>
    </w:p>
    <w:p w:rsidR="00E91D28" w:rsidP="51957574" w14:paraId="08BC1943" w14:textId="0A6E202A">
      <w:pPr>
        <w:spacing w:before="240" w:after="240"/>
        <w:ind w:left="360"/>
      </w:pPr>
      <w:r w:rsidRPr="51957574">
        <w:rPr>
          <w:rFonts w:ascii="Aptos" w:eastAsia="Aptos" w:hAnsi="Aptos" w:cs="Aptos"/>
        </w:rPr>
        <w:t xml:space="preserve">(2) </w:t>
      </w:r>
      <w:r w:rsidRPr="51957574">
        <w:rPr>
          <w:rFonts w:ascii="Aptos" w:eastAsia="Aptos" w:hAnsi="Aptos" w:cs="Aptos"/>
          <w:b/>
          <w:bCs/>
          <w:i/>
          <w:iCs/>
        </w:rPr>
        <w:t>Gaseous fuel.</w:t>
      </w:r>
      <w:r w:rsidRPr="51957574">
        <w:rPr>
          <w:rFonts w:ascii="Aptos" w:eastAsia="Aptos" w:hAnsi="Aptos" w:cs="Aptos"/>
        </w:rPr>
        <w:t xml:space="preserve"> Any applicable nitrogen content value of the gaseous fuel shall be determined and recorded once per unit operating day. For owners and operators that elect not to demonstrate sulfur content using options in </w:t>
      </w:r>
      <w:hyperlink r:id="rId13" w:anchor="p-60.334(h)(3)">
        <w:r w:rsidRPr="51957574">
          <w:rPr>
            <w:rStyle w:val="Hyperlink"/>
            <w:rFonts w:ascii="Aptos" w:eastAsia="Aptos" w:hAnsi="Aptos" w:cs="Aptos"/>
          </w:rPr>
          <w:t>paragraph (h)(3)</w:t>
        </w:r>
      </w:hyperlink>
      <w:r w:rsidRPr="51957574">
        <w:rPr>
          <w:rFonts w:ascii="Aptos" w:eastAsia="Aptos" w:hAnsi="Aptos" w:cs="Aptos"/>
        </w:rPr>
        <w:t xml:space="preserve"> of this section, and for which the fuel is supplied without intermediate bulk storage, the sulfur content value of the gaseous fuel shall be determined and recorded once per unit operating day.</w:t>
      </w:r>
    </w:p>
    <w:p w:rsidR="00E91D28" w:rsidP="51957574" w14:paraId="0494247A" w14:textId="7201BAF3">
      <w:pPr>
        <w:spacing w:before="240" w:after="240"/>
        <w:ind w:left="360"/>
      </w:pPr>
      <w:r w:rsidRPr="51957574">
        <w:rPr>
          <w:rFonts w:ascii="Aptos" w:eastAsia="Aptos" w:hAnsi="Aptos" w:cs="Aptos"/>
        </w:rPr>
        <w:t xml:space="preserve">(3) </w:t>
      </w:r>
      <w:r w:rsidRPr="51957574">
        <w:rPr>
          <w:rFonts w:ascii="Aptos" w:eastAsia="Aptos" w:hAnsi="Aptos" w:cs="Aptos"/>
          <w:b/>
          <w:bCs/>
          <w:i/>
          <w:iCs/>
        </w:rPr>
        <w:t>Custom schedules.</w:t>
      </w:r>
      <w:r w:rsidRPr="51957574">
        <w:rPr>
          <w:rFonts w:ascii="Aptos" w:eastAsia="Aptos" w:hAnsi="Aptos" w:cs="Aptos"/>
        </w:rPr>
        <w:t xml:space="preserve"> Notwithstanding the requirements of </w:t>
      </w:r>
      <w:hyperlink r:id="rId13" w:anchor="p-60.334(i)(2)">
        <w:r w:rsidRPr="51957574">
          <w:rPr>
            <w:rStyle w:val="Hyperlink"/>
            <w:rFonts w:ascii="Aptos" w:eastAsia="Aptos" w:hAnsi="Aptos" w:cs="Aptos"/>
          </w:rPr>
          <w:t>paragraph (i)(2)</w:t>
        </w:r>
      </w:hyperlink>
      <w:r w:rsidRPr="51957574">
        <w:rPr>
          <w:rFonts w:ascii="Aptos" w:eastAsia="Aptos" w:hAnsi="Aptos" w:cs="Aptos"/>
        </w:rPr>
        <w:t xml:space="preserve"> of this section, operators or fuel vendors may develop custom schedules for determination of the total sulfur content of gaseous fuels, based on the design and operation of the affected facility and the characteristics of the fuel supply. Except as provided in </w:t>
      </w:r>
      <w:hyperlink r:id="rId13" w:anchor="p-60.334(i)(3)(i)">
        <w:r w:rsidRPr="51957574">
          <w:rPr>
            <w:rStyle w:val="Hyperlink"/>
            <w:rFonts w:ascii="Aptos" w:eastAsia="Aptos" w:hAnsi="Aptos" w:cs="Aptos"/>
          </w:rPr>
          <w:t>paragraphs (i)(3)(i)</w:t>
        </w:r>
      </w:hyperlink>
      <w:r w:rsidRPr="51957574">
        <w:rPr>
          <w:rFonts w:ascii="Aptos" w:eastAsia="Aptos" w:hAnsi="Aptos" w:cs="Aptos"/>
        </w:rPr>
        <w:t xml:space="preserve"> and </w:t>
      </w:r>
      <w:hyperlink r:id="rId13" w:anchor="p-60.334(i)(3)(ii)">
        <w:r w:rsidRPr="51957574">
          <w:rPr>
            <w:rStyle w:val="Hyperlink"/>
            <w:rFonts w:ascii="Aptos" w:eastAsia="Aptos" w:hAnsi="Aptos" w:cs="Aptos"/>
          </w:rPr>
          <w:t>(i)(3)(ii)</w:t>
        </w:r>
      </w:hyperlink>
      <w:r w:rsidRPr="51957574">
        <w:rPr>
          <w:rFonts w:ascii="Aptos" w:eastAsia="Aptos" w:hAnsi="Aptos" w:cs="Aptos"/>
        </w:rPr>
        <w:t xml:space="preserve"> of this section, custom schedules shall be substantiated with data and shall be approved by the Administrator before they can be used to comply with the standard in </w:t>
      </w:r>
      <w:hyperlink r:id="rId19">
        <w:r w:rsidRPr="51957574">
          <w:rPr>
            <w:rStyle w:val="Hyperlink"/>
            <w:rFonts w:ascii="Aptos" w:eastAsia="Aptos" w:hAnsi="Aptos" w:cs="Aptos"/>
          </w:rPr>
          <w:t>§ 60.333</w:t>
        </w:r>
      </w:hyperlink>
      <w:r w:rsidRPr="51957574">
        <w:rPr>
          <w:rFonts w:ascii="Aptos" w:eastAsia="Aptos" w:hAnsi="Aptos" w:cs="Aptos"/>
        </w:rPr>
        <w:t>.</w:t>
      </w:r>
    </w:p>
    <w:p w:rsidR="00E91D28" w:rsidP="51957574" w14:paraId="56A1E8C7" w14:textId="76FC2A54">
      <w:pPr>
        <w:spacing w:before="240" w:after="240"/>
        <w:ind w:left="540"/>
      </w:pPr>
      <w:r w:rsidRPr="51957574">
        <w:rPr>
          <w:rFonts w:ascii="Aptos" w:eastAsia="Aptos" w:hAnsi="Aptos" w:cs="Aptos"/>
        </w:rPr>
        <w:t xml:space="preserve">(i) The two custom sulfur monitoring schedules set forth in paragraphs (i)(3)(i)(A) through (D) and in </w:t>
      </w:r>
      <w:hyperlink r:id="rId13" w:anchor="p-60.334(i)(3)(ii)">
        <w:r w:rsidRPr="51957574">
          <w:rPr>
            <w:rStyle w:val="Hyperlink"/>
            <w:rFonts w:ascii="Aptos" w:eastAsia="Aptos" w:hAnsi="Aptos" w:cs="Aptos"/>
          </w:rPr>
          <w:t>paragraph (i)(3)(ii)</w:t>
        </w:r>
      </w:hyperlink>
      <w:r w:rsidRPr="51957574">
        <w:rPr>
          <w:rFonts w:ascii="Aptos" w:eastAsia="Aptos" w:hAnsi="Aptos" w:cs="Aptos"/>
        </w:rPr>
        <w:t xml:space="preserve"> of this section are acceptable, without prior Administrative approval:</w:t>
      </w:r>
    </w:p>
    <w:p w:rsidR="00E91D28" w:rsidP="51957574" w14:paraId="55409394" w14:textId="1B3596AE">
      <w:pPr>
        <w:spacing w:before="240" w:after="240"/>
        <w:ind w:left="720"/>
      </w:pPr>
      <w:r w:rsidRPr="51957574">
        <w:rPr>
          <w:rFonts w:ascii="Aptos" w:eastAsia="Aptos" w:hAnsi="Aptos" w:cs="Aptos"/>
        </w:rPr>
        <w:t xml:space="preserve">(A) The owner or operator shall obtain daily total sulfur content measurements for 30 consecutive unit operating days, using the applicable methods specified in this subpart. Based on the results of the 30 daily samples, the required frequency for subsequent monitoring of the fuel's total sulfur content shall be as specified in </w:t>
      </w:r>
      <w:hyperlink r:id="rId13" w:anchor="p-60.334(i)(3)(i)(B)">
        <w:r w:rsidRPr="51957574">
          <w:rPr>
            <w:rStyle w:val="Hyperlink"/>
            <w:rFonts w:ascii="Aptos" w:eastAsia="Aptos" w:hAnsi="Aptos" w:cs="Aptos"/>
          </w:rPr>
          <w:t>paragraph (i)(3)(i)(B)</w:t>
        </w:r>
      </w:hyperlink>
      <w:r w:rsidRPr="51957574">
        <w:rPr>
          <w:rFonts w:ascii="Aptos" w:eastAsia="Aptos" w:hAnsi="Aptos" w:cs="Aptos"/>
        </w:rPr>
        <w:t xml:space="preserve">, </w:t>
      </w:r>
      <w:hyperlink r:id="rId13" w:anchor="p-60.334(i)(3)(i)(C)">
        <w:r w:rsidRPr="51957574">
          <w:rPr>
            <w:rStyle w:val="Hyperlink"/>
            <w:rFonts w:ascii="Aptos" w:eastAsia="Aptos" w:hAnsi="Aptos" w:cs="Aptos"/>
          </w:rPr>
          <w:t>(C)</w:t>
        </w:r>
      </w:hyperlink>
      <w:r w:rsidRPr="51957574">
        <w:rPr>
          <w:rFonts w:ascii="Aptos" w:eastAsia="Aptos" w:hAnsi="Aptos" w:cs="Aptos"/>
        </w:rPr>
        <w:t xml:space="preserve">, or </w:t>
      </w:r>
      <w:hyperlink r:id="rId13" w:anchor="p-60.334(i)(3)(i)(D)">
        <w:r w:rsidRPr="51957574">
          <w:rPr>
            <w:rStyle w:val="Hyperlink"/>
            <w:rFonts w:ascii="Aptos" w:eastAsia="Aptos" w:hAnsi="Aptos" w:cs="Aptos"/>
          </w:rPr>
          <w:t>(D)</w:t>
        </w:r>
      </w:hyperlink>
      <w:r w:rsidRPr="51957574">
        <w:rPr>
          <w:rFonts w:ascii="Aptos" w:eastAsia="Aptos" w:hAnsi="Aptos" w:cs="Aptos"/>
        </w:rPr>
        <w:t xml:space="preserve"> of this section, as applicable.</w:t>
      </w:r>
    </w:p>
    <w:p w:rsidR="00E91D28" w:rsidP="51957574" w14:paraId="551062D7" w14:textId="1FD690EC">
      <w:pPr>
        <w:spacing w:before="240" w:after="240"/>
        <w:ind w:left="720"/>
      </w:pPr>
      <w:r w:rsidRPr="51957574">
        <w:rPr>
          <w:rFonts w:ascii="Aptos" w:eastAsia="Aptos" w:hAnsi="Aptos" w:cs="Aptos"/>
        </w:rPr>
        <w:t xml:space="preserve">(B) If none of the 30 daily measurements of the fuel's total sulfur content exceeds 0.4 weight percent (4000 ppmw), subsequent sulfur content monitoring may be performed at 12 month intervals. If any of the samples taken at 12-month intervals has a total sulfur content between 0.4 and 0.8 weight percent (4000 and 8000 ppmw), follow the procedures in </w:t>
      </w:r>
      <w:hyperlink r:id="rId13" w:anchor="p-60.334(i)(3)(i)(C)">
        <w:r w:rsidRPr="51957574">
          <w:rPr>
            <w:rStyle w:val="Hyperlink"/>
            <w:rFonts w:ascii="Aptos" w:eastAsia="Aptos" w:hAnsi="Aptos" w:cs="Aptos"/>
          </w:rPr>
          <w:t>paragraph (i)(3)(i)(C)</w:t>
        </w:r>
      </w:hyperlink>
      <w:r w:rsidRPr="51957574">
        <w:rPr>
          <w:rFonts w:ascii="Aptos" w:eastAsia="Aptos" w:hAnsi="Aptos" w:cs="Aptos"/>
        </w:rPr>
        <w:t xml:space="preserve"> of this section. If any measurement exceeds 0.8 weight percent (8000 ppmw), follow the procedures in </w:t>
      </w:r>
      <w:hyperlink r:id="rId13" w:anchor="p-60.334(i)(3)(i)(D)">
        <w:r w:rsidRPr="51957574">
          <w:rPr>
            <w:rStyle w:val="Hyperlink"/>
            <w:rFonts w:ascii="Aptos" w:eastAsia="Aptos" w:hAnsi="Aptos" w:cs="Aptos"/>
          </w:rPr>
          <w:t>paragraph (i)(3)(i)(D)</w:t>
        </w:r>
      </w:hyperlink>
      <w:r w:rsidRPr="51957574">
        <w:rPr>
          <w:rFonts w:ascii="Aptos" w:eastAsia="Aptos" w:hAnsi="Aptos" w:cs="Aptos"/>
        </w:rPr>
        <w:t xml:space="preserve"> of this section.</w:t>
      </w:r>
    </w:p>
    <w:p w:rsidR="00E91D28" w:rsidP="51957574" w14:paraId="57344114" w14:textId="7422B63A">
      <w:pPr>
        <w:spacing w:before="240" w:after="240"/>
        <w:ind w:left="720"/>
      </w:pPr>
      <w:r w:rsidRPr="51957574">
        <w:rPr>
          <w:rFonts w:ascii="Aptos" w:eastAsia="Aptos" w:hAnsi="Aptos" w:cs="Aptos"/>
        </w:rPr>
        <w:t>(C) If at least one of the 30 daily measurements of the fuel's total sulfur content is between 0.4 and 0.8 weight percent (4000 and 8000 ppmw), but none exceeds 0.8 weight percent (8000 ppmw), then:</w:t>
      </w:r>
    </w:p>
    <w:p w:rsidR="00E91D28" w:rsidP="51957574" w14:paraId="6BC41B82" w14:textId="41D02955">
      <w:pPr>
        <w:spacing w:before="240" w:after="240"/>
        <w:ind w:left="900"/>
      </w:pPr>
      <w:r w:rsidRPr="51957574">
        <w:rPr>
          <w:rFonts w:ascii="Aptos" w:eastAsia="Aptos" w:hAnsi="Aptos" w:cs="Aptos"/>
        </w:rPr>
        <w:t>(</w:t>
      </w:r>
      <w:r w:rsidRPr="51957574">
        <w:rPr>
          <w:rFonts w:ascii="Aptos" w:eastAsia="Aptos" w:hAnsi="Aptos" w:cs="Aptos"/>
          <w:i/>
          <w:iCs/>
        </w:rPr>
        <w:t>1</w:t>
      </w:r>
      <w:r w:rsidRPr="51957574">
        <w:rPr>
          <w:rFonts w:ascii="Aptos" w:eastAsia="Aptos" w:hAnsi="Aptos" w:cs="Aptos"/>
        </w:rPr>
        <w:t xml:space="preserve">) Collect and analyze a sample every 30 days for three months. If any sulfur content measurement exceeds 0.8 weight percent (8000 ppmw), follow the procedures in </w:t>
      </w:r>
      <w:hyperlink r:id="rId13" w:anchor="p-60.334(i)(3)(i)(D)">
        <w:r w:rsidRPr="51957574">
          <w:rPr>
            <w:rStyle w:val="Hyperlink"/>
            <w:rFonts w:ascii="Aptos" w:eastAsia="Aptos" w:hAnsi="Aptos" w:cs="Aptos"/>
          </w:rPr>
          <w:t>paragraph (i)(3)(i)(D)</w:t>
        </w:r>
      </w:hyperlink>
      <w:r w:rsidRPr="51957574">
        <w:rPr>
          <w:rFonts w:ascii="Aptos" w:eastAsia="Aptos" w:hAnsi="Aptos" w:cs="Aptos"/>
        </w:rPr>
        <w:t xml:space="preserve"> of this section. Otherwise, follow the procedures in </w:t>
      </w:r>
      <w:hyperlink r:id="rId13" w:anchor="p-60.334(i)(3)(i)(C)(2)">
        <w:r w:rsidRPr="51957574">
          <w:rPr>
            <w:rStyle w:val="Hyperlink"/>
            <w:rFonts w:ascii="Aptos" w:eastAsia="Aptos" w:hAnsi="Aptos" w:cs="Aptos"/>
          </w:rPr>
          <w:t>paragraph (i)(3)(i)(C)(</w:t>
        </w:r>
        <w:r w:rsidRPr="51957574">
          <w:rPr>
            <w:rStyle w:val="Hyperlink"/>
            <w:rFonts w:ascii="Aptos" w:eastAsia="Aptos" w:hAnsi="Aptos" w:cs="Aptos"/>
            <w:i/>
            <w:iCs/>
          </w:rPr>
          <w:t>2</w:t>
        </w:r>
        <w:r w:rsidRPr="51957574">
          <w:rPr>
            <w:rStyle w:val="Hyperlink"/>
            <w:rFonts w:ascii="Aptos" w:eastAsia="Aptos" w:hAnsi="Aptos" w:cs="Aptos"/>
          </w:rPr>
          <w:t>)</w:t>
        </w:r>
      </w:hyperlink>
      <w:r w:rsidRPr="51957574">
        <w:rPr>
          <w:rFonts w:ascii="Aptos" w:eastAsia="Aptos" w:hAnsi="Aptos" w:cs="Aptos"/>
        </w:rPr>
        <w:t xml:space="preserve"> of this section.</w:t>
      </w:r>
    </w:p>
    <w:p w:rsidR="00E91D28" w:rsidP="51957574" w14:paraId="3C5DE338" w14:textId="174485B8">
      <w:pPr>
        <w:spacing w:before="240" w:after="240"/>
        <w:ind w:left="900"/>
      </w:pPr>
      <w:r w:rsidRPr="51957574">
        <w:rPr>
          <w:rFonts w:ascii="Aptos" w:eastAsia="Aptos" w:hAnsi="Aptos" w:cs="Aptos"/>
        </w:rPr>
        <w:t>(</w:t>
      </w:r>
      <w:r w:rsidRPr="51957574">
        <w:rPr>
          <w:rFonts w:ascii="Aptos" w:eastAsia="Aptos" w:hAnsi="Aptos" w:cs="Aptos"/>
          <w:i/>
          <w:iCs/>
        </w:rPr>
        <w:t>2</w:t>
      </w:r>
      <w:r w:rsidRPr="51957574">
        <w:rPr>
          <w:rFonts w:ascii="Aptos" w:eastAsia="Aptos" w:hAnsi="Aptos" w:cs="Aptos"/>
        </w:rPr>
        <w:t xml:space="preserve">) Begin monitoring at 6-month intervals for 12 months. If any sulfur content measurement exceeds 0.8 weight percent (8000 ppmw), follow the procedures in </w:t>
      </w:r>
      <w:hyperlink r:id="rId13" w:anchor="p-60.334(i)(3)(i)(D)">
        <w:r w:rsidRPr="51957574">
          <w:rPr>
            <w:rStyle w:val="Hyperlink"/>
            <w:rFonts w:ascii="Aptos" w:eastAsia="Aptos" w:hAnsi="Aptos" w:cs="Aptos"/>
          </w:rPr>
          <w:t>paragraph (i)(3)(i)(D)</w:t>
        </w:r>
      </w:hyperlink>
      <w:r w:rsidRPr="51957574">
        <w:rPr>
          <w:rFonts w:ascii="Aptos" w:eastAsia="Aptos" w:hAnsi="Aptos" w:cs="Aptos"/>
        </w:rPr>
        <w:t xml:space="preserve"> of this section. Otherwise, follow the procedures in </w:t>
      </w:r>
      <w:hyperlink r:id="rId13" w:anchor="p-60.334(i)(3)(i)(C)(3)">
        <w:r w:rsidRPr="51957574">
          <w:rPr>
            <w:rStyle w:val="Hyperlink"/>
            <w:rFonts w:ascii="Aptos" w:eastAsia="Aptos" w:hAnsi="Aptos" w:cs="Aptos"/>
          </w:rPr>
          <w:t>paragraph (i)(3)(i)(C)(</w:t>
        </w:r>
        <w:r w:rsidRPr="51957574">
          <w:rPr>
            <w:rStyle w:val="Hyperlink"/>
            <w:rFonts w:ascii="Aptos" w:eastAsia="Aptos" w:hAnsi="Aptos" w:cs="Aptos"/>
            <w:i/>
            <w:iCs/>
          </w:rPr>
          <w:t>3</w:t>
        </w:r>
        <w:r w:rsidRPr="51957574">
          <w:rPr>
            <w:rStyle w:val="Hyperlink"/>
            <w:rFonts w:ascii="Aptos" w:eastAsia="Aptos" w:hAnsi="Aptos" w:cs="Aptos"/>
          </w:rPr>
          <w:t>)</w:t>
        </w:r>
      </w:hyperlink>
      <w:r w:rsidRPr="51957574">
        <w:rPr>
          <w:rFonts w:ascii="Aptos" w:eastAsia="Aptos" w:hAnsi="Aptos" w:cs="Aptos"/>
        </w:rPr>
        <w:t xml:space="preserve"> of this section.</w:t>
      </w:r>
    </w:p>
    <w:p w:rsidR="00E91D28" w:rsidP="51957574" w14:paraId="675E16AF" w14:textId="06446339">
      <w:pPr>
        <w:spacing w:before="240" w:after="240"/>
        <w:ind w:left="900"/>
      </w:pPr>
      <w:r w:rsidRPr="51957574">
        <w:rPr>
          <w:rFonts w:ascii="Aptos" w:eastAsia="Aptos" w:hAnsi="Aptos" w:cs="Aptos"/>
        </w:rPr>
        <w:t>(</w:t>
      </w:r>
      <w:r w:rsidRPr="51957574">
        <w:rPr>
          <w:rFonts w:ascii="Aptos" w:eastAsia="Aptos" w:hAnsi="Aptos" w:cs="Aptos"/>
          <w:i/>
          <w:iCs/>
        </w:rPr>
        <w:t>3</w:t>
      </w:r>
      <w:r w:rsidRPr="51957574">
        <w:rPr>
          <w:rFonts w:ascii="Aptos" w:eastAsia="Aptos" w:hAnsi="Aptos" w:cs="Aptos"/>
        </w:rPr>
        <w:t xml:space="preserve">) Begin monitoring at 12-month intervals. If any sulfur content measurement exceeds 0.8 weight percent (8000 ppmw), follow the procedures in </w:t>
      </w:r>
      <w:hyperlink r:id="rId13" w:anchor="p-60.334(i)(3)(i)(D)">
        <w:r w:rsidRPr="51957574">
          <w:rPr>
            <w:rStyle w:val="Hyperlink"/>
            <w:rFonts w:ascii="Aptos" w:eastAsia="Aptos" w:hAnsi="Aptos" w:cs="Aptos"/>
          </w:rPr>
          <w:t>paragraph (i)(3)(i)(D)</w:t>
        </w:r>
      </w:hyperlink>
      <w:r w:rsidRPr="51957574">
        <w:rPr>
          <w:rFonts w:ascii="Aptos" w:eastAsia="Aptos" w:hAnsi="Aptos" w:cs="Aptos"/>
        </w:rPr>
        <w:t xml:space="preserve"> of this section. Otherwise, continue to monitor at this frequency.</w:t>
      </w:r>
    </w:p>
    <w:p w:rsidR="00E91D28" w:rsidP="51957574" w14:paraId="6F902E46" w14:textId="0F1C9BE8">
      <w:pPr>
        <w:spacing w:before="240" w:after="240"/>
        <w:ind w:left="720"/>
      </w:pPr>
      <w:r w:rsidRPr="51957574">
        <w:rPr>
          <w:rFonts w:ascii="Aptos" w:eastAsia="Aptos" w:hAnsi="Aptos" w:cs="Aptos"/>
        </w:rPr>
        <w:t xml:space="preserve">(D) If a sulfur content measurement exceeds 0.8 weight percent (8000 ppmw), immediately begin daily monitoring according to </w:t>
      </w:r>
      <w:hyperlink r:id="rId13" w:anchor="p-60.334(i)(3)(i)(A)">
        <w:r w:rsidRPr="51957574">
          <w:rPr>
            <w:rStyle w:val="Hyperlink"/>
            <w:rFonts w:ascii="Aptos" w:eastAsia="Aptos" w:hAnsi="Aptos" w:cs="Aptos"/>
          </w:rPr>
          <w:t>paragraph (i)(3)(i)(A)</w:t>
        </w:r>
      </w:hyperlink>
      <w:r w:rsidRPr="51957574">
        <w:rPr>
          <w:rFonts w:ascii="Aptos" w:eastAsia="Aptos" w:hAnsi="Aptos" w:cs="Aptos"/>
        </w:rPr>
        <w:t xml:space="preserve"> of this section. Daily monitoring shall continue until 30 consecutive daily samples, each having a sulfur content no greater than 0.8 weight percent (8000 ppmw), are obtained. At that point, the applicable procedures of </w:t>
      </w:r>
      <w:hyperlink r:id="rId13" w:anchor="p-60.334(i)(3)(i)(B)">
        <w:r w:rsidRPr="51957574">
          <w:rPr>
            <w:rStyle w:val="Hyperlink"/>
            <w:rFonts w:ascii="Aptos" w:eastAsia="Aptos" w:hAnsi="Aptos" w:cs="Aptos"/>
          </w:rPr>
          <w:t>paragraph (i)(3)(i)(B)</w:t>
        </w:r>
      </w:hyperlink>
      <w:r w:rsidRPr="51957574">
        <w:rPr>
          <w:rFonts w:ascii="Aptos" w:eastAsia="Aptos" w:hAnsi="Aptos" w:cs="Aptos"/>
        </w:rPr>
        <w:t xml:space="preserve"> or </w:t>
      </w:r>
      <w:hyperlink r:id="rId13" w:anchor="p-60.334(i)(3)(i)(C)">
        <w:r w:rsidRPr="51957574">
          <w:rPr>
            <w:rStyle w:val="Hyperlink"/>
            <w:rFonts w:ascii="Aptos" w:eastAsia="Aptos" w:hAnsi="Aptos" w:cs="Aptos"/>
          </w:rPr>
          <w:t>(C)</w:t>
        </w:r>
      </w:hyperlink>
      <w:r w:rsidRPr="51957574">
        <w:rPr>
          <w:rFonts w:ascii="Aptos" w:eastAsia="Aptos" w:hAnsi="Aptos" w:cs="Aptos"/>
        </w:rPr>
        <w:t xml:space="preserve"> of this section shall be followed.</w:t>
      </w:r>
    </w:p>
    <w:p w:rsidR="00E91D28" w:rsidP="51957574" w14:paraId="2B5233AE" w14:textId="634BC478">
      <w:pPr>
        <w:spacing w:before="240" w:after="240"/>
        <w:ind w:left="540"/>
      </w:pPr>
      <w:r w:rsidRPr="51957574">
        <w:rPr>
          <w:rFonts w:ascii="Aptos" w:eastAsia="Aptos" w:hAnsi="Aptos" w:cs="Aptos"/>
        </w:rPr>
        <w:t xml:space="preserve">(ii) The owner or operator may use the data collected from the 720-hour sulfur sampling demonstration described in </w:t>
      </w:r>
      <w:hyperlink r:id="rId20">
        <w:r w:rsidRPr="51957574">
          <w:rPr>
            <w:rStyle w:val="Hyperlink"/>
            <w:rFonts w:ascii="Aptos" w:eastAsia="Aptos" w:hAnsi="Aptos" w:cs="Aptos"/>
          </w:rPr>
          <w:t>section 2.3.6</w:t>
        </w:r>
      </w:hyperlink>
      <w:r w:rsidRPr="51957574">
        <w:rPr>
          <w:rFonts w:ascii="Aptos" w:eastAsia="Aptos" w:hAnsi="Aptos" w:cs="Aptos"/>
        </w:rPr>
        <w:t xml:space="preserve"> of appendix D to </w:t>
      </w:r>
      <w:hyperlink r:id="rId14">
        <w:r w:rsidRPr="51957574">
          <w:rPr>
            <w:rStyle w:val="Hyperlink"/>
            <w:rFonts w:ascii="Aptos" w:eastAsia="Aptos" w:hAnsi="Aptos" w:cs="Aptos"/>
          </w:rPr>
          <w:t>part 75 of this chapter</w:t>
        </w:r>
      </w:hyperlink>
      <w:r w:rsidRPr="51957574">
        <w:rPr>
          <w:rFonts w:ascii="Aptos" w:eastAsia="Aptos" w:hAnsi="Aptos" w:cs="Aptos"/>
        </w:rPr>
        <w:t xml:space="preserve"> to determine a custom sulfur sampling schedule, as follows:</w:t>
      </w:r>
    </w:p>
    <w:p w:rsidR="00E91D28" w:rsidP="51957574" w14:paraId="1E4A2203" w14:textId="627D643C">
      <w:pPr>
        <w:spacing w:before="240" w:after="240"/>
        <w:ind w:left="720"/>
      </w:pPr>
      <w:r w:rsidRPr="51957574">
        <w:rPr>
          <w:rFonts w:ascii="Aptos" w:eastAsia="Aptos" w:hAnsi="Aptos" w:cs="Aptos"/>
        </w:rPr>
        <w:t>(A) If the maximum fuel sulfur content obtained from the 720 hourly samples does not exceed 20 grains/100 scf (</w:t>
      </w:r>
      <w:r w:rsidRPr="51957574">
        <w:rPr>
          <w:rFonts w:ascii="Aptos" w:eastAsia="Aptos" w:hAnsi="Aptos" w:cs="Aptos"/>
          <w:i/>
          <w:iCs/>
        </w:rPr>
        <w:t>i.e.</w:t>
      </w:r>
      <w:r w:rsidRPr="51957574">
        <w:rPr>
          <w:rFonts w:ascii="Aptos" w:eastAsia="Aptos" w:hAnsi="Aptos" w:cs="Aptos"/>
        </w:rPr>
        <w:t xml:space="preserve">, the maximum total sulfur content of natural gas </w:t>
      </w:r>
      <w:r w:rsidRPr="51957574">
        <w:rPr>
          <w:rFonts w:ascii="Aptos" w:eastAsia="Aptos" w:hAnsi="Aptos" w:cs="Aptos"/>
        </w:rPr>
        <w:t xml:space="preserve">as defined in </w:t>
      </w:r>
      <w:hyperlink r:id="rId21" w:anchor="p-60.331(u)">
        <w:r w:rsidRPr="51957574">
          <w:rPr>
            <w:rStyle w:val="Hyperlink"/>
            <w:rFonts w:ascii="Aptos" w:eastAsia="Aptos" w:hAnsi="Aptos" w:cs="Aptos"/>
          </w:rPr>
          <w:t>§ 60.331(u)</w:t>
        </w:r>
      </w:hyperlink>
      <w:r w:rsidRPr="51957574">
        <w:rPr>
          <w:rFonts w:ascii="Aptos" w:eastAsia="Aptos" w:hAnsi="Aptos" w:cs="Aptos"/>
        </w:rPr>
        <w:t>), no additional monitoring of the sulfur content of the gas is required, for the purposes of this subpart.</w:t>
      </w:r>
    </w:p>
    <w:p w:rsidR="00E91D28" w:rsidP="51957574" w14:paraId="588A2B7A" w14:textId="28E46C0E">
      <w:pPr>
        <w:spacing w:before="240" w:after="240"/>
        <w:ind w:left="720"/>
      </w:pPr>
      <w:r w:rsidRPr="51957574">
        <w:rPr>
          <w:rFonts w:ascii="Aptos" w:eastAsia="Aptos" w:hAnsi="Aptos" w:cs="Aptos"/>
        </w:rPr>
        <w:t>(B) If the maximum fuel sulfur content obtained from any of the 720 hourly samples exceeds 20 grains/100 scf, but none of the sulfur content values (when converted to weight percent sulfur) exceeds 0.4 weight percent (4000 ppmw), then the minimum required sampling frequency shall be one sample at 12 month intervals.</w:t>
      </w:r>
    </w:p>
    <w:p w:rsidR="00E91D28" w:rsidP="51957574" w14:paraId="44EBBE12" w14:textId="4C805C01">
      <w:pPr>
        <w:spacing w:before="240" w:after="240"/>
        <w:ind w:left="720"/>
      </w:pPr>
      <w:r w:rsidRPr="51957574">
        <w:rPr>
          <w:rFonts w:ascii="Aptos" w:eastAsia="Aptos" w:hAnsi="Aptos" w:cs="Aptos"/>
        </w:rPr>
        <w:t xml:space="preserve">(C) If any sample result exceeds 0.4 weight percent sulfur (4000 ppmw), but none exceeds 0.8 weight percent sulfur (8000 ppmw), follow the provisions of </w:t>
      </w:r>
      <w:hyperlink r:id="rId13" w:anchor="p-60.334(i)(3)(i)(C)">
        <w:r w:rsidRPr="51957574">
          <w:rPr>
            <w:rStyle w:val="Hyperlink"/>
            <w:rFonts w:ascii="Aptos" w:eastAsia="Aptos" w:hAnsi="Aptos" w:cs="Aptos"/>
          </w:rPr>
          <w:t>paragraph (i)(3)(i)(C)</w:t>
        </w:r>
      </w:hyperlink>
      <w:r w:rsidRPr="51957574">
        <w:rPr>
          <w:rFonts w:ascii="Aptos" w:eastAsia="Aptos" w:hAnsi="Aptos" w:cs="Aptos"/>
        </w:rPr>
        <w:t xml:space="preserve"> of this section.</w:t>
      </w:r>
    </w:p>
    <w:p w:rsidR="00E91D28" w:rsidP="51957574" w14:paraId="2FC49857" w14:textId="4C3BF36A">
      <w:pPr>
        <w:spacing w:before="240" w:after="240"/>
        <w:ind w:left="720"/>
      </w:pPr>
      <w:r w:rsidRPr="51957574">
        <w:rPr>
          <w:rFonts w:ascii="Aptos" w:eastAsia="Aptos" w:hAnsi="Aptos" w:cs="Aptos"/>
        </w:rPr>
        <w:t xml:space="preserve">(D) If the sulfur content of any of the 720 hourly samples exceeds 0.8 weight percent (8000 ppmw), follow the provisions of </w:t>
      </w:r>
      <w:hyperlink r:id="rId13" w:anchor="p-60.334(i)(3)(i)(D)">
        <w:r w:rsidRPr="51957574">
          <w:rPr>
            <w:rStyle w:val="Hyperlink"/>
            <w:rFonts w:ascii="Aptos" w:eastAsia="Aptos" w:hAnsi="Aptos" w:cs="Aptos"/>
          </w:rPr>
          <w:t>paragraph (i)(3)(i)(D)</w:t>
        </w:r>
      </w:hyperlink>
      <w:r w:rsidRPr="51957574">
        <w:rPr>
          <w:rFonts w:ascii="Aptos" w:eastAsia="Aptos" w:hAnsi="Aptos" w:cs="Aptos"/>
        </w:rPr>
        <w:t xml:space="preserve"> of this section.</w:t>
      </w:r>
    </w:p>
    <w:p w:rsidR="00E91D28" w14:paraId="2C078E63" w14:textId="3E38662E"/>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2030B"/>
    <w:rsid w:val="007F212C"/>
    <w:rsid w:val="00BE6C3C"/>
    <w:rsid w:val="00E91D28"/>
    <w:rsid w:val="33D2030B"/>
    <w:rsid w:val="3655F122"/>
    <w:rsid w:val="3C9E74BE"/>
    <w:rsid w:val="474A8DA5"/>
    <w:rsid w:val="51957574"/>
    <w:rsid w:val="75455C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D2030B"/>
  <w15:chartTrackingRefBased/>
  <w15:docId w15:val="{7282EF9A-A7F1-4DD1-9F45-BED428D5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uiPriority w:val="9"/>
    <w:unhideWhenUsed/>
    <w:qFormat/>
    <w:rsid w:val="3C9E7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3C9E74B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13" TargetMode="External" /><Relationship Id="rId11" Type="http://schemas.openxmlformats.org/officeDocument/2006/relationships/hyperlink" Target="https://www.ecfr.gov/current/title-40/section-60.7" TargetMode="External" /><Relationship Id="rId12" Type="http://schemas.openxmlformats.org/officeDocument/2006/relationships/hyperlink" Target="https://www.ecfr.gov/current/title-40/section-60.8" TargetMode="External" /><Relationship Id="rId13" Type="http://schemas.openxmlformats.org/officeDocument/2006/relationships/hyperlink" Target="https://www.ecfr.gov/current/title-40/section-60.334" TargetMode="External" /><Relationship Id="rId14" Type="http://schemas.openxmlformats.org/officeDocument/2006/relationships/hyperlink" Target="https://www.ecfr.gov/current/title-40/part-75" TargetMode="External" /><Relationship Id="rId15" Type="http://schemas.openxmlformats.org/officeDocument/2006/relationships/hyperlink" Target="https://www.ecfr.gov/current/title-40/part-60/appendix-Appendix%20B%20to%20Part%2060" TargetMode="External" /><Relationship Id="rId16" Type="http://schemas.openxmlformats.org/officeDocument/2006/relationships/hyperlink" Target="https://www.ecfr.gov/current/title-40/section-60.332" TargetMode="External" /><Relationship Id="rId17" Type="http://schemas.openxmlformats.org/officeDocument/2006/relationships/hyperlink" Target="https://www.ecfr.gov/current/title-40/section-60.335" TargetMode="External" /><Relationship Id="rId18" Type="http://schemas.openxmlformats.org/officeDocument/2006/relationships/hyperlink" Target="https://www.ecfr.gov/current/title-40/part-75/subpart-D" TargetMode="External" /><Relationship Id="rId19" Type="http://schemas.openxmlformats.org/officeDocument/2006/relationships/hyperlink" Target="https://www.ecfr.gov/current/title-40/section-60.333" TargetMode="External" /><Relationship Id="rId2" Type="http://schemas.openxmlformats.org/officeDocument/2006/relationships/webSettings" Target="webSettings.xml" /><Relationship Id="rId20" Type="http://schemas.openxmlformats.org/officeDocument/2006/relationships/hyperlink" Target="https://www.ecfr.gov/current/title-40/section-2.3.6" TargetMode="External" /><Relationship Id="rId21" Type="http://schemas.openxmlformats.org/officeDocument/2006/relationships/hyperlink" Target="https://www.ecfr.gov/current/title-40/section-60.331"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0.15" TargetMode="External" /><Relationship Id="rId9" Type="http://schemas.openxmlformats.org/officeDocument/2006/relationships/hyperlink" Target="https://www.ecfr.gov/current/title-40/section-60.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fe02c4-dc41-46ff-9d52-90c0a1b1f611">
      <Terms xmlns="http://schemas.microsoft.com/office/infopath/2007/PartnerControls"/>
    </lcf76f155ced4ddcb4097134ff3c332f>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2025-08-21T20:31:13+00:00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96fc5250-dc30-4f01-945b-7e46a880eeb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8" ma:contentTypeDescription="Create a new document." ma:contentTypeScope="" ma:versionID="312d34f8ed2d9a19618b6e7108fb249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04c65d1dfb247c5fe118c04c81543e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87ED2-B5BB-451C-B399-C269E185A1B7}">
  <ds:schemaRefs/>
</ds:datastoreItem>
</file>

<file path=customXml/itemProps2.xml><?xml version="1.0" encoding="utf-8"?>
<ds:datastoreItem xmlns:ds="http://schemas.openxmlformats.org/officeDocument/2006/customXml" ds:itemID="{2D655740-8A9C-4EFA-AD94-F72999BF954B}">
  <ds:schemaRefs/>
</ds:datastoreItem>
</file>

<file path=customXml/itemProps3.xml><?xml version="1.0" encoding="utf-8"?>
<ds:datastoreItem xmlns:ds="http://schemas.openxmlformats.org/officeDocument/2006/customXml" ds:itemID="{4D86CB7A-8D29-4E7D-BA02-8AE2415418D6}">
  <ds:schemaRefs/>
</ds:datastoreItem>
</file>

<file path=customXml/itemProps4.xml><?xml version="1.0" encoding="utf-8"?>
<ds:datastoreItem xmlns:ds="http://schemas.openxmlformats.org/officeDocument/2006/customXml" ds:itemID="{589B560B-57FD-499A-996D-677B06A3AE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3387</Words>
  <Characters>19307</Characters>
  <Application>Microsoft Office Word</Application>
  <DocSecurity>0</DocSecurity>
  <Lines>160</Lines>
  <Paragraphs>45</Paragraphs>
  <ScaleCrop>false</ScaleCrop>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Arnold</dc:creator>
  <cp:lastModifiedBy>Schultz, Eric</cp:lastModifiedBy>
  <cp:revision>2</cp:revision>
  <dcterms:created xsi:type="dcterms:W3CDTF">2025-09-17T01:19:00Z</dcterms:created>
  <dcterms:modified xsi:type="dcterms:W3CDTF">2025-09-17T01:19:00Z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MediaServiceImageTags">
    <vt:lpwstr/>
  </property>
  <property fmtid="{D5CDD505-2E9C-101B-9397-08002B2CF9AE}" pid="10" name="Order">
    <vt:r8>160600</vt:r8>
  </property>
  <property fmtid="{D5CDD505-2E9C-101B-9397-08002B2CF9AE}" pid="11" name="TaxKeyword">
    <vt:lpwstr/>
  </property>
  <property fmtid="{D5CDD505-2E9C-101B-9397-08002B2CF9AE}" pid="12" name="TriggerFlowInfo">
    <vt:lpwstr/>
  </property>
  <property fmtid="{D5CDD505-2E9C-101B-9397-08002B2CF9AE}" pid="13" name="_ExtendedDescription">
    <vt:lpwstr/>
  </property>
  <property fmtid="{D5CDD505-2E9C-101B-9397-08002B2CF9AE}" pid="14" name="_SharedFileIndex">
    <vt:lpwstr/>
  </property>
  <property fmtid="{D5CDD505-2E9C-101B-9397-08002B2CF9AE}" pid="15" name="_SourceUrl">
    <vt:lpwstr/>
  </property>
</Properties>
</file>