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29E3FB2C">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C0CD7" w:rsidR="004C0CD7">
        <w:rPr>
          <w:rFonts w:cstheme="minorHAnsi"/>
        </w:rPr>
        <w:t>NSPS for Incinerators</w:t>
      </w:r>
      <w:r w:rsidR="00695CE5">
        <w:rPr>
          <w:rFonts w:cstheme="minorHAnsi"/>
        </w:rPr>
        <w:t xml:space="preserve"> </w:t>
      </w:r>
      <w:r w:rsidRPr="00695CE5" w:rsidR="00695CE5">
        <w:rPr>
          <w:rFonts w:cstheme="minorHAnsi"/>
        </w:rPr>
        <w:t>(40 CFR Part 60, Subpart E)</w:t>
      </w:r>
      <w:r w:rsidR="005D2670">
        <w:rPr>
          <w:rFonts w:cstheme="minorHAnsi"/>
        </w:rPr>
        <w:t xml:space="preserve"> (Renewal)</w:t>
      </w:r>
    </w:p>
    <w:p w:rsidR="00EE2403" w:rsidRPr="00BB3410" w:rsidP="3BC34301" w14:paraId="71D5121E" w14:textId="4CD51327">
      <w:pPr>
        <w:spacing w:line="240" w:lineRule="auto"/>
      </w:pPr>
      <w:r w:rsidRPr="3BC34301">
        <w:rPr>
          <w:b/>
          <w:bCs/>
        </w:rPr>
        <w:t>OMB Control Number:</w:t>
      </w:r>
      <w:r w:rsidRPr="3BC34301" w:rsidR="00BB432F">
        <w:t xml:space="preserve"> </w:t>
      </w:r>
      <w:r w:rsidRPr="3BC34301" w:rsidR="00C6448F">
        <w:t xml:space="preserve">2060-0040 </w:t>
      </w:r>
    </w:p>
    <w:p w:rsidR="00EE2403" w:rsidRPr="00BB3410" w:rsidP="00ED57A4" w14:paraId="4FB77BCA" w14:textId="254C994F">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471ED3">
        <w:rPr>
          <w:rFonts w:cstheme="minorHAnsi"/>
        </w:rPr>
        <w:t>1058.16</w:t>
      </w:r>
    </w:p>
    <w:p w:rsidR="00C7741F" w:rsidP="00C7741F" w14:paraId="5BD037CF" w14:textId="636D1738">
      <w:pPr>
        <w:spacing w:before="240"/>
      </w:pPr>
      <w:r w:rsidRPr="4BDBF0A0">
        <w:rPr>
          <w:b/>
          <w:bCs/>
        </w:rPr>
        <w:t>Abstract:</w:t>
      </w:r>
      <w:r w:rsidRPr="4BDBF0A0" w:rsidR="00BB432F">
        <w:t xml:space="preserve"> </w:t>
      </w:r>
      <w:r w:rsidRPr="00C7741F">
        <w:t xml:space="preserve">The New Source Performance Standards (NSPS) for </w:t>
      </w:r>
      <w:bookmarkStart w:id="1" w:name="_Hlk205453975"/>
      <w:r w:rsidRPr="00C7741F">
        <w:t xml:space="preserve">Incinerators (40 CFR Part 60, Subpart E) </w:t>
      </w:r>
      <w:bookmarkEnd w:id="1"/>
      <w:r w:rsidRPr="00C7741F">
        <w:t xml:space="preserve">were proposed on July 25, 1977, and amended on May 10, 2006. These regulations apply to existing incinerators that charge more than 45 metric tons per day (50 tons per day) of solid waste, and that commenced either construction or modification after August 17, 1971. Solid waste is defined as refuse, more than 50 percent of which is municipal type waste consisting of a mixture of paper, wood, yard </w:t>
      </w:r>
      <w:r w:rsidRPr="00C7741F">
        <w:t>wastes</w:t>
      </w:r>
      <w:r w:rsidRPr="00C7741F">
        <w:t xml:space="preserve">, food </w:t>
      </w:r>
      <w:r w:rsidRPr="00C7741F">
        <w:t>wastes</w:t>
      </w:r>
      <w:r w:rsidRPr="00C7741F">
        <w:t xml:space="preserve">, </w:t>
      </w:r>
      <w:r w:rsidRPr="00C7741F">
        <w:t>plastics, leather</w:t>
      </w:r>
      <w:r w:rsidRPr="00C7741F">
        <w:t xml:space="preserve">, rubber, and other combustibles, and noncombustible materials such as glass and rock. New incinerators will be subject to either 40 CFR Part 60, Subpart Eb, or 40 CFR Part 60, Subpart AAAA. Additionally, incinerators that are covered by either 40 CFR Part 60, Subparts </w:t>
      </w:r>
      <w:r w:rsidRPr="00C7741F">
        <w:t>Cb</w:t>
      </w:r>
      <w:r w:rsidRPr="00C7741F">
        <w:t xml:space="preserve">, Eb, AAAA, or BBBB; or by an EPA-approved State section 111(d)/129 plan implementing Subpart </w:t>
      </w:r>
      <w:r w:rsidRPr="00C7741F">
        <w:t>Cb</w:t>
      </w:r>
      <w:r w:rsidRPr="00C7741F">
        <w:t xml:space="preserve"> or BBB; or by 40 CFR Part 62, Subpart FFF or JJJ, not subject to the above standards. This information is being collected to assure compliance with 40 CFR Part 60, Subpart E. </w:t>
      </w:r>
    </w:p>
    <w:p w:rsidR="00EA1F47" w:rsidRPr="00B233A5" w:rsidP="00EA1F47" w14:paraId="20B50ADC" w14:textId="77777777">
      <w:pPr>
        <w:spacing w:before="240"/>
      </w:pPr>
      <w:r w:rsidRPr="00B233A5">
        <w:t xml:space="preserve">The active (previous) ICR had the following Terms of Clearance (TOC): </w:t>
      </w:r>
    </w:p>
    <w:p w:rsidR="00EA1F47" w:rsidRPr="00AB6B68" w:rsidP="00543DFD" w14:paraId="5C6E6479" w14:textId="018C3643">
      <w:pPr>
        <w:spacing w:before="240"/>
        <w:ind w:left="360" w:right="360"/>
        <w:rPr>
          <w:color w:val="FF0000"/>
        </w:rPr>
      </w:pPr>
      <w:r w:rsidRPr="00BD1245">
        <w:t xml:space="preserve">This ICR request is approved for only one year due to failure to comply </w:t>
      </w:r>
      <w:r w:rsidRPr="00BD1245">
        <w:t>to</w:t>
      </w:r>
      <w:r w:rsidRPr="00BD1245">
        <w:t xml:space="preserve"> prior terms of clearance. In accordance with 5 CFR 1320, EPA is required to include the following information in its submission for information collection request review and approval: (1) supporting statements to show compliance with PRA requirements and other associated laws; (2) a description of the regulatory text applicable to the ICR including submission specifications; (3) a clear description of the data elements being collected under the ICR; (4) copies of the data collection instrument(s) and/or screen shots of the electronic portal where the reporting requirements are submitted to EPA (with the control number and burden statement included); (5) a detailed discussion of how information is submitted and the extent to which electronic reporting is available; (6)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(7) discussion of how EPA addressed substantive concerns raised by respondents and other stakeholders during consultation and in response to comments received on FR notices. In addition, supporting statement A should use the standard 18 question SS-A format. More information can be found at https://pra.digital.gov/clearance-process/supporting-statement/.</w:t>
      </w:r>
    </w:p>
    <w:p w:rsidR="00FE1682" w:rsidRPr="00BB3410" w:rsidP="4BDBF0A0" w14:paraId="682A081B" w14:textId="1A697C33">
      <w:pPr>
        <w:spacing w:before="240"/>
        <w:rPr>
          <w:color w:val="000000"/>
        </w:rPr>
      </w:pPr>
      <w:r w:rsidRPr="00B233A5">
        <w:t xml:space="preserve">The relevant regulatory text is referenced in section 12(b) of this document. We have created a supplementary document including the regulatory text that describes the ICR requirements as identified in section 12(b) of this document as requested. This NSPS does not require electronic reporting, and the </w:t>
      </w:r>
      <w:r w:rsidRPr="00B233A5">
        <w:t>Agency has not developed specific reporting forms for these subparts for use within</w:t>
      </w:r>
      <w:r w:rsidR="00B72B75">
        <w:t xml:space="preserve"> Compliance and Emissions Data Reporting Interface</w:t>
      </w:r>
      <w:r w:rsidRPr="00B233A5">
        <w:t xml:space="preserve"> </w:t>
      </w:r>
      <w:r w:rsidR="00B72B75">
        <w:t>(</w:t>
      </w:r>
      <w:r w:rsidRPr="00B233A5">
        <w:t>CEDRI</w:t>
      </w:r>
      <w:r w:rsidR="00B72B75">
        <w:t>)</w:t>
      </w:r>
      <w:r w:rsidRPr="00B233A5">
        <w:t>.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653D08" w:rsidP="00653D08" w14:paraId="37BCC543" w14:textId="7129D990">
      <w:pPr>
        <w:pBdr>
          <w:top w:val="single" w:sz="6" w:space="0" w:color="FFFFFF"/>
          <w:left w:val="single" w:sz="6" w:space="0" w:color="FFFFFF"/>
          <w:bottom w:val="single" w:sz="6" w:space="0" w:color="FFFFFF"/>
          <w:right w:val="single" w:sz="6" w:space="0" w:color="FFFFFF"/>
        </w:pBdr>
      </w:pPr>
      <w:r w:rsidRPr="00B233A5">
        <w:rPr>
          <w:rFonts w:cstheme="minorHAnsi"/>
        </w:rPr>
        <w:t xml:space="preserve">The </w:t>
      </w:r>
      <w:r w:rsidRPr="00DB2450">
        <w:t>EPA is</w:t>
      </w:r>
      <w:r w:rsidRPr="00653D08">
        <w:t xml:space="preserve"> charged under Section 111 of the Clean Air Act (CAA), as amended, to establish standards of performance for new stationary sources that reflect: </w:t>
      </w:r>
    </w:p>
    <w:p w:rsidR="00653D08" w:rsidRPr="00653D08" w:rsidP="00653D08" w14:paraId="7237EAA6" w14:textId="3B405EFC">
      <w:pPr>
        <w:pBdr>
          <w:top w:val="single" w:sz="6" w:space="0" w:color="FFFFFF"/>
          <w:left w:val="single" w:sz="6" w:space="0" w:color="FFFFFF"/>
          <w:bottom w:val="single" w:sz="6" w:space="0" w:color="FFFFFF"/>
          <w:right w:val="single" w:sz="6" w:space="0" w:color="FFFFFF"/>
        </w:pBdr>
        <w:ind w:left="1440" w:right="1440"/>
      </w:pPr>
      <w:r w:rsidRPr="00653D08">
        <w:rPr>
          <w:b/>
          <w:bCs/>
        </w:rPr>
        <w:t>. . .</w:t>
      </w:r>
      <w:r w:rsidRPr="00653D08">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653D08" w:rsidRPr="00653D08" w:rsidP="00653D08" w14:paraId="674E972B" w14:textId="2B4F6F10">
      <w:pPr>
        <w:pBdr>
          <w:top w:val="single" w:sz="6" w:space="0" w:color="FFFFFF"/>
          <w:left w:val="single" w:sz="6" w:space="0" w:color="FFFFFF"/>
          <w:bottom w:val="single" w:sz="6" w:space="0" w:color="FFFFFF"/>
          <w:right w:val="single" w:sz="6" w:space="0" w:color="FFFFFF"/>
        </w:pBdr>
      </w:pPr>
      <w:r w:rsidRPr="00653D08">
        <w:t xml:space="preserve">The Agency refers to this charge as selecting the best demonstrated technology (BDT). Section 111 also requires that the Administrator review and, if appropriate, revise such standards every eight years. In addition, section 114(a) states that the Administrator may require any owner/operator subject to any requirement of this Act to: </w:t>
      </w:r>
    </w:p>
    <w:p w:rsidR="00653D08" w:rsidRPr="00653D08" w:rsidP="00653D08" w14:paraId="4D0A336C" w14:textId="6D8C65EA">
      <w:pPr>
        <w:pBdr>
          <w:top w:val="single" w:sz="6" w:space="0" w:color="FFFFFF"/>
          <w:left w:val="single" w:sz="6" w:space="0" w:color="FFFFFF"/>
          <w:bottom w:val="single" w:sz="6" w:space="0" w:color="FFFFFF"/>
          <w:right w:val="single" w:sz="6" w:space="0" w:color="FFFFFF"/>
        </w:pBdr>
        <w:ind w:left="1440" w:right="1440"/>
      </w:pPr>
      <w:r w:rsidRPr="00653D0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53D08" w:rsidP="00B233A5" w14:paraId="1B63982B" w14:textId="785ADFF4">
      <w:pPr>
        <w:pBdr>
          <w:top w:val="single" w:sz="6" w:space="0" w:color="FFFFFF"/>
          <w:left w:val="single" w:sz="6" w:space="0" w:color="FFFFFF"/>
          <w:bottom w:val="single" w:sz="6" w:space="0" w:color="FFFFFF"/>
          <w:right w:val="single" w:sz="6" w:space="0" w:color="FFFFFF"/>
        </w:pBdr>
        <w:rPr>
          <w:color w:val="000000"/>
        </w:rPr>
      </w:pPr>
      <w:r>
        <w:rPr>
          <w:color w:val="000000"/>
        </w:rPr>
        <w:t>In the Administrator's judgment,</w:t>
      </w:r>
      <w:r>
        <w:rPr>
          <w:color w:val="FF0000"/>
        </w:rPr>
        <w:t xml:space="preserve"> </w:t>
      </w:r>
      <w:r w:rsidRPr="00D117CD" w:rsidR="00D117CD">
        <w:rPr>
          <w:color w:val="000000"/>
        </w:rPr>
        <w:t xml:space="preserve">particulate matter emissions from incinerators </w:t>
      </w:r>
      <w:r>
        <w:rPr>
          <w:color w:val="000000"/>
        </w:rPr>
        <w:t xml:space="preserve">cause or contribute to air pollution that may reasonably be anticipated to endanger public health or welfare. Therefore, the </w:t>
      </w:r>
      <w:r w:rsidRPr="00653D08">
        <w:t>NSPS</w:t>
      </w:r>
      <w:r>
        <w:rPr>
          <w:color w:val="FF0000"/>
        </w:rPr>
        <w:t xml:space="preserve"> </w:t>
      </w:r>
      <w:r>
        <w:rPr>
          <w:color w:val="000000"/>
        </w:rPr>
        <w:t xml:space="preserve">were promulgated for this source </w:t>
      </w:r>
      <w:r w:rsidRPr="00031832">
        <w:rPr>
          <w:color w:val="000000"/>
        </w:rPr>
        <w:t xml:space="preserve">category at </w:t>
      </w:r>
      <w:r w:rsidRPr="00B233A5">
        <w:rPr>
          <w:color w:val="000000"/>
        </w:rPr>
        <w:t xml:space="preserve">40 CFR Part </w:t>
      </w:r>
      <w:r w:rsidRPr="00B233A5" w:rsidR="002443DC">
        <w:rPr>
          <w:color w:val="000000"/>
        </w:rPr>
        <w:t>60</w:t>
      </w:r>
      <w:r w:rsidRPr="00B233A5" w:rsidR="00031832">
        <w:rPr>
          <w:color w:val="000000"/>
        </w:rPr>
        <w:t>,</w:t>
      </w:r>
      <w:r w:rsidRPr="00B233A5" w:rsidR="002443DC">
        <w:rPr>
          <w:color w:val="000000"/>
        </w:rPr>
        <w:t xml:space="preserve"> </w:t>
      </w:r>
      <w:r w:rsidRPr="00031832">
        <w:rPr>
          <w:color w:val="000000"/>
        </w:rPr>
        <w:t xml:space="preserve">Subpart </w:t>
      </w:r>
      <w:r w:rsidRPr="00B233A5" w:rsidR="00031832">
        <w:t>E</w:t>
      </w:r>
      <w:r w:rsidRPr="00031832">
        <w:rPr>
          <w:color w:val="000000"/>
        </w:rP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A58FB" w:rsidRPr="00EA58FB" w:rsidP="00EA58FB" w14:paraId="7BEB58EF" w14:textId="4AE0A09D">
      <w:pPr>
        <w:pBdr>
          <w:top w:val="single" w:sz="6" w:space="0" w:color="FFFFFF"/>
          <w:left w:val="single" w:sz="6" w:space="0" w:color="FFFFFF"/>
          <w:bottom w:val="single" w:sz="6" w:space="0" w:color="FFFFFF"/>
          <w:right w:val="single" w:sz="6" w:space="0" w:color="FFFFFF"/>
        </w:pBdr>
        <w:rPr>
          <w:rFonts w:cstheme="minorHAnsi"/>
        </w:rPr>
      </w:pPr>
      <w:r w:rsidRPr="00EA58FB">
        <w:rPr>
          <w:rFonts w:cstheme="minorHAnsi"/>
        </w:rPr>
        <w:t xml:space="preserve">The recordkeeping and reporting requirements in these standards ensure compliance with the applicable regulations which were promulgated in accordance with the Clean Air Act. The </w:t>
      </w:r>
      <w:r w:rsidRPr="00EA58FB">
        <w:rPr>
          <w:rFonts w:cstheme="minorHAnsi"/>
        </w:rPr>
        <w:t>collected information</w:t>
      </w:r>
      <w:r w:rsidRPr="00EA58FB">
        <w:rPr>
          <w:rFonts w:cstheme="minorHAnsi"/>
        </w:rPr>
        <w:t xml:space="preserve"> is also used for targeting inspections and as evidence in legal proceedings. </w:t>
      </w:r>
    </w:p>
    <w:p w:rsidR="00EA58FB" w:rsidRPr="00EA58FB" w:rsidP="00EA58FB" w14:paraId="1CC5A34E" w14:textId="330E47DB">
      <w:pPr>
        <w:pBdr>
          <w:top w:val="single" w:sz="6" w:space="0" w:color="FFFFFF"/>
          <w:left w:val="single" w:sz="6" w:space="0" w:color="FFFFFF"/>
          <w:bottom w:val="single" w:sz="6" w:space="0" w:color="FFFFFF"/>
          <w:right w:val="single" w:sz="6" w:space="0" w:color="FFFFFF"/>
        </w:pBdr>
        <w:rPr>
          <w:rFonts w:cstheme="minorHAnsi"/>
        </w:rPr>
      </w:pPr>
      <w:r w:rsidRPr="00EA58FB">
        <w:rPr>
          <w:rFonts w:cstheme="minorHAnsi"/>
        </w:rPr>
        <w:t xml:space="preserve">Performance tests are required </w:t>
      </w:r>
      <w:r w:rsidRPr="00EA58FB" w:rsidR="00B72B75">
        <w:rPr>
          <w:rFonts w:cstheme="minorHAnsi"/>
        </w:rPr>
        <w:t>to</w:t>
      </w:r>
      <w:r w:rsidRPr="00EA58FB">
        <w:rPr>
          <w:rFonts w:cstheme="minorHAnsi"/>
        </w:rPr>
        <w:t xml:space="preserve"> determine an affected facility’s initial capability to comply with the emission standards. Continuous emission monitors are used to </w:t>
      </w:r>
      <w:r w:rsidRPr="00EA58FB">
        <w:rPr>
          <w:rFonts w:cstheme="minorHAnsi"/>
        </w:rPr>
        <w:t>ensure compliance with these standards at all times</w:t>
      </w:r>
      <w:r w:rsidRPr="00EA58FB">
        <w:rPr>
          <w:rFonts w:cstheme="minorHAnsi"/>
        </w:rPr>
        <w:t xml:space="preserve">. During the performance test a record of the operating parameters under which compliance was achieved may be recorded and used to determine compliance in place of a continuous emission monitor. </w:t>
      </w:r>
    </w:p>
    <w:p w:rsidR="00EA58FB" w:rsidRPr="00EA58FB" w:rsidP="00EA58FB" w14:paraId="495C40DF" w14:textId="584638A2">
      <w:pPr>
        <w:pBdr>
          <w:top w:val="single" w:sz="6" w:space="0" w:color="FFFFFF"/>
          <w:left w:val="single" w:sz="6" w:space="0" w:color="FFFFFF"/>
          <w:bottom w:val="single" w:sz="6" w:space="0" w:color="FFFFFF"/>
          <w:right w:val="single" w:sz="6" w:space="0" w:color="FFFFFF"/>
        </w:pBdr>
        <w:rPr>
          <w:rFonts w:cstheme="minorHAnsi"/>
        </w:rPr>
      </w:pPr>
      <w:r w:rsidRPr="00EA58FB">
        <w:rPr>
          <w:rFonts w:cstheme="minorHAnsi"/>
        </w:rPr>
        <w:t xml:space="preserve">The notifications required </w:t>
      </w:r>
      <w:r w:rsidRPr="00EA58FB">
        <w:rPr>
          <w:rFonts w:cstheme="minorHAnsi"/>
        </w:rPr>
        <w:t>in</w:t>
      </w:r>
      <w:r w:rsidRPr="00EA58FB">
        <w:rPr>
          <w:rFonts w:cstheme="minorHAnsi"/>
        </w:rPr>
        <w:t xml:space="preserve"> these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these same standards are being met. The performance test may also be observed.</w:t>
      </w:r>
    </w:p>
    <w:p w:rsidR="00BB432F" w:rsidRPr="00BB3410" w:rsidP="00EA58FB" w14:paraId="1E879A61" w14:textId="28A0F781">
      <w:pPr>
        <w:pBdr>
          <w:top w:val="single" w:sz="6" w:space="0" w:color="FFFFFF"/>
          <w:left w:val="single" w:sz="6" w:space="0" w:color="FFFFFF"/>
          <w:bottom w:val="single" w:sz="6" w:space="0" w:color="FFFFFF"/>
          <w:right w:val="single" w:sz="6" w:space="0" w:color="FFFFFF"/>
        </w:pBdr>
        <w:rPr>
          <w:rFonts w:cstheme="minorHAnsi"/>
          <w:color w:val="FF0000"/>
        </w:rPr>
      </w:pPr>
      <w:r w:rsidRPr="00EA58FB">
        <w:rPr>
          <w:rFonts w:cstheme="minorHAnsi"/>
        </w:rPr>
        <w:t xml:space="preserve">The required annual recordkeeping is used to determine periods of excess emissions, identify problems at the facility, verify operation/maintenance procedures, and for compliance determinations.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F0834">
        <w:rPr>
          <w:rFonts w:ascii="Calibri" w:hAnsi="Calibri" w:cs="Calibri"/>
          <w:i/>
          <w:iCs/>
          <w:color w:val="000000"/>
          <w:shd w:val="clear" w:color="auto" w:fill="FFFFFF"/>
        </w:rPr>
        <w:t>for adopting</w:t>
      </w:r>
      <w:r w:rsidRPr="001F0834">
        <w:rPr>
          <w:rFonts w:ascii="Calibri" w:hAnsi="Calibri" w:cs="Calibri"/>
          <w:i/>
          <w:iCs/>
          <w:color w:val="000000"/>
          <w:shd w:val="clear" w:color="auto" w:fill="FFFFFF"/>
        </w:rPr>
        <w:t xml:space="preserve">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4D7E0D9D" w14:textId="61EF29C3">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sidR="00B72B75">
        <w:rPr>
          <w:rFonts w:cstheme="minorHAnsi"/>
          <w:color w:val="000000"/>
        </w:rPr>
        <w:t>to</w:t>
      </w:r>
      <w:r w:rsidRPr="0093123F">
        <w:rPr>
          <w:rFonts w:cstheme="minorHAnsi"/>
          <w:color w:val="000000"/>
        </w:rPr>
        <w:t xml:space="preserve"> satisfy federal recordkeeping requirements. For additional information on the Paperwork Reduction Act requirements for CEDRI and </w:t>
      </w:r>
      <w:r w:rsidR="00B72B75">
        <w:rPr>
          <w:rFonts w:cstheme="minorHAnsi"/>
          <w:color w:val="000000"/>
        </w:rPr>
        <w:t>Electronic Reporting Tool (</w:t>
      </w:r>
      <w:r w:rsidRPr="0093123F">
        <w:rPr>
          <w:rFonts w:cstheme="minorHAnsi"/>
          <w:color w:val="000000"/>
        </w:rPr>
        <w:t>ERT</w:t>
      </w:r>
      <w:r w:rsidR="00B72B75">
        <w:rPr>
          <w:rFonts w:cstheme="minorHAnsi"/>
          <w:color w:val="000000"/>
        </w:rPr>
        <w:t>)</w:t>
      </w:r>
      <w:r w:rsidRPr="0093123F">
        <w:rPr>
          <w:rFonts w:cstheme="minorHAnsi"/>
          <w:color w:val="000000"/>
        </w:rPr>
        <w:t xml:space="preserve"> for this rule, see: https://www.epa.gov/electronic-reporting-air-emissions/paperwork-reduction-act-pra-cedri-and-ert.</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6"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6"/>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79557D63">
      <w:pPr>
        <w:rPr>
          <w:rFonts w:cstheme="minorHAnsi"/>
        </w:rPr>
      </w:pPr>
      <w:r w:rsidRPr="006D489E">
        <w:rPr>
          <w:rFonts w:cstheme="minorHAnsi"/>
        </w:rPr>
        <w:t>Most of</w:t>
      </w:r>
      <w:r w:rsidRPr="006D489E" w:rsidR="006D489E">
        <w:rPr>
          <w:rFonts w:cstheme="minorHAnsi"/>
        </w:rPr>
        <w:t xml:space="preserve"> the respondents are large entities (i.e., large businesses). However, the impact on small entities (i.</w:t>
      </w:r>
      <w:r w:rsidRPr="006D489E" w:rsidR="006D489E">
        <w:rPr>
          <w:rFonts w:cstheme="minorHAnsi"/>
        </w:rPr>
        <w:t>e.,</w:t>
      </w:r>
      <w:r w:rsidRPr="006D489E" w:rsidR="006D489E">
        <w:rPr>
          <w:rFonts w:cstheme="minorHAnsi"/>
        </w:rPr>
        <w:t xml:space="preserv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 </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 xml:space="preserve">Describe the </w:t>
      </w:r>
      <w:r w:rsidRPr="001F0834">
        <w:rPr>
          <w:rFonts w:ascii="Calibri" w:hAnsi="Calibri" w:cs="Calibri"/>
          <w:i/>
          <w:iCs/>
          <w:color w:val="000000"/>
          <w:shd w:val="clear" w:color="auto" w:fill="FFFFFF"/>
        </w:rPr>
        <w:t>consequence</w:t>
      </w:r>
      <w:r w:rsidRPr="001F0834">
        <w:rPr>
          <w:rFonts w:ascii="Calibri" w:hAnsi="Calibri" w:cs="Calibri"/>
          <w:i/>
          <w:iCs/>
          <w:color w:val="000000"/>
          <w:shd w:val="clear" w:color="auto" w:fill="FFFFFF"/>
        </w:rPr>
        <w:t xml:space="preserve"> </w:t>
      </w:r>
      <w:r w:rsidRPr="001F0834">
        <w:rPr>
          <w:rFonts w:ascii="Calibri" w:hAnsi="Calibri" w:cs="Calibri"/>
          <w:i/>
          <w:iCs/>
          <w:color w:val="000000"/>
          <w:shd w:val="clear" w:color="auto" w:fill="FFFFFF"/>
        </w:rPr>
        <w:t>to</w:t>
      </w:r>
      <w:r w:rsidRPr="001F0834">
        <w:rPr>
          <w:rFonts w:ascii="Calibri" w:hAnsi="Calibri" w:cs="Calibri"/>
          <w:i/>
          <w:iCs/>
          <w:color w:val="000000"/>
          <w:shd w:val="clear" w:color="auto" w:fill="FFFFFF"/>
        </w:rPr>
        <w:t xml:space="preserve">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7C3E686A">
      <w:pPr>
        <w:spacing w:before="120" w:after="0"/>
        <w:rPr>
          <w:rFonts w:cstheme="minorHAnsi"/>
          <w:color w:val="000000"/>
        </w:rPr>
      </w:pPr>
      <w:r w:rsidRPr="00A733C9">
        <w:rPr>
          <w:rFonts w:cstheme="minorHAnsi"/>
          <w:color w:val="000000"/>
        </w:rPr>
        <w:t>An announcement of a public comment period for the renewal of this ICR was published in the Federal Register (</w:t>
      </w:r>
      <w:r w:rsidRPr="00A733C9" w:rsidR="00B138EB">
        <w:rPr>
          <w:rFonts w:cstheme="minorHAnsi"/>
        </w:rPr>
        <w:t xml:space="preserve">90 FR </w:t>
      </w:r>
      <w:r w:rsidRPr="00A733C9" w:rsidR="00AC7B61">
        <w:rPr>
          <w:rFonts w:cstheme="minorHAnsi"/>
        </w:rPr>
        <w:t>25614</w:t>
      </w:r>
      <w:r w:rsidRPr="00A733C9">
        <w:rPr>
          <w:rFonts w:cstheme="minorHAnsi"/>
        </w:rPr>
        <w:t xml:space="preserve">) on </w:t>
      </w:r>
      <w:r w:rsidRPr="00A733C9" w:rsidR="00E41FA1">
        <w:rPr>
          <w:rFonts w:cstheme="minorHAnsi"/>
        </w:rPr>
        <w:t>June 17, 2025</w:t>
      </w:r>
      <w:r w:rsidRPr="00A733C9">
        <w:rPr>
          <w:rFonts w:cstheme="minorHAnsi"/>
        </w:rPr>
        <w:t>.</w:t>
      </w:r>
      <w:r w:rsidRPr="00A733C9">
        <w:rPr>
          <w:rFonts w:cstheme="minorHAnsi"/>
          <w:color w:val="000000"/>
        </w:rPr>
        <w:t xml:space="preserve"> </w:t>
      </w:r>
      <w:r w:rsidRPr="00A733C9" w:rsidR="00455475">
        <w:rPr>
          <w:rFonts w:cstheme="minorHAnsi"/>
          <w:color w:val="000000"/>
        </w:rPr>
        <w:t>One comment was</w:t>
      </w:r>
      <w:r w:rsidRPr="00A733C9">
        <w:rPr>
          <w:rFonts w:cstheme="minorHAnsi"/>
          <w:color w:val="000000"/>
        </w:rPr>
        <w:t xml:space="preserve"> received on the burden published in the Federal Register for this renewal.</w:t>
      </w:r>
      <w:r w:rsidRPr="00A733C9" w:rsidR="00BC49F3">
        <w:rPr>
          <w:rFonts w:cstheme="minorHAnsi"/>
          <w:color w:val="000000"/>
        </w:rPr>
        <w:t xml:space="preserve"> The commenter </w:t>
      </w:r>
      <w:r w:rsidRPr="00A733C9" w:rsidR="007908D2">
        <w:rPr>
          <w:rFonts w:cstheme="minorHAnsi"/>
          <w:color w:val="000000"/>
        </w:rPr>
        <w:t>stated it is essential for the data collection effort to include greenhouse gas (GHG) emissions, especially carbon dioxide (CO</w:t>
      </w:r>
      <w:r w:rsidRPr="00A733C9" w:rsidR="007908D2">
        <w:rPr>
          <w:rFonts w:cstheme="minorHAnsi"/>
          <w:color w:val="000000"/>
          <w:vertAlign w:val="subscript"/>
        </w:rPr>
        <w:t>2</w:t>
      </w:r>
      <w:r w:rsidRPr="00A733C9" w:rsidR="007908D2">
        <w:rPr>
          <w:rFonts w:cstheme="minorHAnsi"/>
          <w:color w:val="000000"/>
        </w:rPr>
        <w:t>)</w:t>
      </w:r>
      <w:r w:rsidRPr="00A733C9" w:rsidR="00DC5EB4">
        <w:rPr>
          <w:rFonts w:cstheme="minorHAnsi"/>
          <w:color w:val="000000"/>
        </w:rPr>
        <w:t xml:space="preserve"> and provided reasons that data should be collected for these pollutants.</w:t>
      </w:r>
      <w:r w:rsidRPr="00A733C9" w:rsidR="003E5E77">
        <w:rPr>
          <w:rFonts w:cstheme="minorHAnsi"/>
          <w:color w:val="000000"/>
        </w:rPr>
        <w:t xml:space="preserve"> It is outside the scope of this ICR renewal to </w:t>
      </w:r>
      <w:r w:rsidRPr="00A733C9" w:rsidR="00863060">
        <w:rPr>
          <w:rFonts w:cstheme="minorHAnsi"/>
          <w:color w:val="000000"/>
        </w:rPr>
        <w:t>change recordkeeping and reporting requirements for 40 CFR Part 60, Subpart E. Therefore, we did not make any changes in response to this comment.</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w:t>
      </w:r>
      <w:r w:rsidRPr="00A233E0">
        <w:rPr>
          <w:rFonts w:cstheme="minorHAnsi"/>
          <w:i/>
          <w:iCs/>
        </w:rPr>
        <w:t>persons</w:t>
      </w:r>
      <w:r w:rsidRPr="00A233E0">
        <w:rPr>
          <w:rFonts w:cstheme="minorHAnsi"/>
          <w:i/>
          <w:iCs/>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05DF1195">
      <w:pPr>
        <w:rPr>
          <w:rFonts w:cstheme="minorHAnsi"/>
        </w:rPr>
      </w:pPr>
      <w:r w:rsidRPr="00FE090D">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sidR="00750273">
        <w:rPr>
          <w:rFonts w:cstheme="minorHAnsi"/>
        </w:rPr>
        <w:t>47</w:t>
      </w:r>
      <w:r w:rsidRPr="00FE090D">
        <w:rPr>
          <w:rFonts w:cstheme="minorHAnsi"/>
        </w:rPr>
        <w:t xml:space="preserve"> respondents will be subject to the standard over the three-year period covered by this ICR.</w:t>
      </w:r>
    </w:p>
    <w:p w:rsidR="0093123F" w:rsidRPr="00FE090D" w:rsidP="0093123F" w14:paraId="2523EFF7" w14:textId="7FC25912">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w:t>
      </w:r>
      <w:r w:rsidRPr="00B233A5" w:rsidR="000F076E">
        <w:rPr>
          <w:rFonts w:cstheme="minorHAnsi"/>
        </w:rPr>
        <w:t>National Waste &amp; Recycling Association</w:t>
      </w:r>
      <w:r w:rsidRPr="00FE090D">
        <w:rPr>
          <w:rFonts w:cstheme="minorHAnsi"/>
        </w:rPr>
        <w:t xml:space="preserve"> </w:t>
      </w:r>
      <w:r w:rsidRPr="00D6477B">
        <w:rPr>
          <w:rFonts w:cstheme="minorHAnsi"/>
        </w:rPr>
        <w:t xml:space="preserve">at </w:t>
      </w:r>
      <w:r w:rsidRPr="00B233A5" w:rsidR="00D6477B">
        <w:rPr>
          <w:rFonts w:cstheme="minorHAnsi"/>
        </w:rPr>
        <w:t>(202) 244-4700</w:t>
      </w:r>
      <w:r w:rsidRPr="00B233A5">
        <w:rPr>
          <w:rFonts w:cstheme="minorHAnsi"/>
        </w:rPr>
        <w:t>,</w:t>
      </w:r>
      <w:r w:rsidRPr="00FE090D">
        <w:rPr>
          <w:rFonts w:cstheme="minorHAnsi"/>
        </w:rPr>
        <w:t xml:space="preserve"> and </w:t>
      </w:r>
      <w:r>
        <w:rPr>
          <w:rFonts w:cstheme="minorHAnsi"/>
        </w:rPr>
        <w:t xml:space="preserve">the </w:t>
      </w:r>
      <w:r w:rsidRPr="00B233A5" w:rsidR="007473A7">
        <w:rPr>
          <w:rFonts w:cstheme="minorHAnsi"/>
        </w:rPr>
        <w:t>Solid Waste Association of North America</w:t>
      </w:r>
      <w:r w:rsidRPr="00FE090D">
        <w:rPr>
          <w:rFonts w:cstheme="minorHAnsi"/>
        </w:rPr>
        <w:t xml:space="preserve"> at </w:t>
      </w:r>
      <w:r w:rsidRPr="00B233A5" w:rsidR="005F2714">
        <w:rPr>
          <w:rFonts w:cstheme="minorHAnsi"/>
        </w:rPr>
        <w:t>(800) 467-9262</w:t>
      </w:r>
      <w:r w:rsidRPr="00FE090D">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w:t>
      </w:r>
      <w:r w:rsidRPr="00A233E0">
        <w:rPr>
          <w:rFonts w:cstheme="minorHAnsi"/>
          <w:i/>
          <w:iCs/>
        </w:rPr>
        <w:t xml:space="preserve">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233E0">
        <w:rPr>
          <w:rFonts w:cstheme="minorHAnsi"/>
          <w:i/>
          <w:iCs/>
        </w:rPr>
        <w:t>persons</w:t>
      </w:r>
      <w:r w:rsidRPr="00A233E0">
        <w:rPr>
          <w:rFonts w:cstheme="minorHAnsi"/>
          <w:i/>
          <w:iCs/>
        </w:rPr>
        <w:t xml:space="preserve">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 xml:space="preserve">If this request for approval covers more than one form, provide separate hour burden estimates for each form and </w:t>
      </w:r>
      <w:r w:rsidRPr="00F532D6">
        <w:rPr>
          <w:rFonts w:cstheme="minorHAnsi"/>
          <w:i/>
          <w:iCs/>
        </w:rPr>
        <w:t>the aggregate</w:t>
      </w:r>
      <w:r w:rsidRPr="00F532D6">
        <w:rPr>
          <w:rFonts w:cstheme="minorHAnsi"/>
          <w:i/>
          <w:iCs/>
        </w:rPr>
        <w:t xml:space="preserv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BB7977" w:rsidRPr="00BB7977" w:rsidP="00BB7977" w14:paraId="5DFC2DFE" w14:textId="7EA6F42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w:t>
      </w:r>
      <w:r w:rsidR="00587FFD">
        <w:rPr>
          <w:rFonts w:cstheme="minorHAnsi"/>
          <w:color w:val="000000"/>
        </w:rPr>
        <w:t xml:space="preserve"> are</w:t>
      </w:r>
      <w:r w:rsidRPr="00BB7977">
        <w:rPr>
          <w:rFonts w:cstheme="minorHAnsi"/>
          <w:color w:val="000000"/>
        </w:rPr>
        <w:t xml:space="preserve"> </w:t>
      </w:r>
      <w:r w:rsidRPr="00587FFD" w:rsidR="00587FFD">
        <w:rPr>
          <w:rFonts w:cstheme="minorHAnsi"/>
          <w:color w:val="000000"/>
        </w:rPr>
        <w:t>owners and operators of incinerators</w:t>
      </w:r>
      <w:r w:rsidRPr="00587FFD">
        <w:rPr>
          <w:rFonts w:cstheme="minorHAnsi"/>
          <w:color w:val="000000"/>
        </w:rPr>
        <w:t>. The</w:t>
      </w:r>
      <w:r w:rsidRPr="00BB7977">
        <w:rPr>
          <w:rFonts w:cstheme="minorHAnsi"/>
          <w:color w:val="000000"/>
        </w:rPr>
        <w:t xml:space="preserv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BB79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79AC345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 xml:space="preserve">Standard </w:t>
            </w:r>
            <w:r w:rsidR="000150FF">
              <w:rPr>
                <w:rFonts w:cstheme="minorHAnsi"/>
                <w:b/>
                <w:bCs/>
                <w:color w:val="000000"/>
              </w:rPr>
              <w:t>(</w:t>
            </w:r>
            <w:r w:rsidRPr="00356984" w:rsidR="00356984">
              <w:rPr>
                <w:rFonts w:cstheme="minorHAnsi"/>
                <w:b/>
                <w:bCs/>
                <w:color w:val="000000"/>
              </w:rPr>
              <w:t>40 CFR Part 60, Subpart E</w:t>
            </w:r>
            <w:r w:rsidRPr="00BB7977">
              <w:rPr>
                <w:rFonts w:cstheme="minorHAnsi"/>
                <w:b/>
                <w:bCs/>
                <w:color w:val="000000"/>
              </w:rPr>
              <w:t>)</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851082">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0C7C812D" w14:textId="709519D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12010">
              <w:rPr>
                <w:rFonts w:cstheme="minorHAnsi"/>
                <w:color w:val="000000"/>
              </w:rPr>
              <w:t>Administration of Air and Water Resource and Solid Waste Management Programs</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1F744FA6" w14:textId="4655D24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9511</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4C2064E7" w14:textId="053C732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924110</w:t>
            </w:r>
          </w:p>
        </w:tc>
      </w:tr>
      <w:tr w14:paraId="1FBD6CA1" w14:textId="77777777" w:rsidTr="00851082">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51380FF3" w14:textId="4CF9087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40076">
              <w:rPr>
                <w:rFonts w:cstheme="minorHAnsi"/>
                <w:color w:val="000000"/>
              </w:rPr>
              <w:t>Hazardous Waste Treatment and Disposal</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6EC8CF04" w14:textId="7FC8753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4953</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28BAC251" w14:textId="61927DF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562211</w:t>
            </w:r>
          </w:p>
        </w:tc>
      </w:tr>
      <w:tr w14:paraId="024792D2" w14:textId="77777777" w:rsidTr="00851082">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D7687C" w:rsidRPr="00BB7977" w:rsidP="00D7687C" w14:paraId="40FD0FBD" w14:textId="186DB3C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40076">
              <w:rPr>
                <w:rFonts w:cstheme="minorHAnsi"/>
                <w:color w:val="000000"/>
              </w:rPr>
              <w:t>Materials Recovery Facilities</w:t>
            </w:r>
          </w:p>
        </w:tc>
        <w:tc>
          <w:tcPr>
            <w:tcW w:w="2610" w:type="dxa"/>
            <w:tcBorders>
              <w:top w:val="single" w:sz="8" w:space="0" w:color="000000"/>
              <w:left w:val="single" w:sz="8" w:space="0" w:color="000000"/>
              <w:bottom w:val="single" w:sz="8" w:space="0" w:color="000000"/>
              <w:right w:val="single" w:sz="6" w:space="0" w:color="FFFFFF"/>
            </w:tcBorders>
          </w:tcPr>
          <w:p w:rsidR="00D7687C" w:rsidRPr="00BB7977" w:rsidP="00D7687C" w14:paraId="4751A8CA" w14:textId="152D1C8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4953</w:t>
            </w:r>
          </w:p>
        </w:tc>
        <w:tc>
          <w:tcPr>
            <w:tcW w:w="2430" w:type="dxa"/>
            <w:tcBorders>
              <w:top w:val="single" w:sz="8" w:space="0" w:color="000000"/>
              <w:left w:val="single" w:sz="8" w:space="0" w:color="000000"/>
              <w:bottom w:val="single" w:sz="8" w:space="0" w:color="000000"/>
              <w:right w:val="single" w:sz="8" w:space="0" w:color="000000"/>
            </w:tcBorders>
          </w:tcPr>
          <w:p w:rsidR="00D7687C" w:rsidRPr="00BB7977" w:rsidP="00D7687C" w14:paraId="22C53323" w14:textId="7392D76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562920</w:t>
            </w:r>
          </w:p>
        </w:tc>
      </w:tr>
      <w:tr w14:paraId="4E208BB2" w14:textId="77777777" w:rsidTr="00851082">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D7687C" w:rsidRPr="00BB7977" w:rsidP="00D7687C" w14:paraId="47258DFA" w14:textId="252FADC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40076">
              <w:rPr>
                <w:rFonts w:cstheme="minorHAnsi"/>
                <w:color w:val="000000"/>
              </w:rPr>
              <w:t>Other Nonhazardous Waste Treatment and Disposal</w:t>
            </w:r>
          </w:p>
        </w:tc>
        <w:tc>
          <w:tcPr>
            <w:tcW w:w="2610" w:type="dxa"/>
            <w:tcBorders>
              <w:top w:val="single" w:sz="8" w:space="0" w:color="000000"/>
              <w:left w:val="single" w:sz="8" w:space="0" w:color="000000"/>
              <w:bottom w:val="single" w:sz="8" w:space="0" w:color="000000"/>
              <w:right w:val="single" w:sz="6" w:space="0" w:color="FFFFFF"/>
            </w:tcBorders>
          </w:tcPr>
          <w:p w:rsidR="00D7687C" w:rsidRPr="00BB7977" w:rsidP="00D7687C" w14:paraId="06C477C1" w14:textId="7EACEBC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4953</w:t>
            </w:r>
          </w:p>
        </w:tc>
        <w:tc>
          <w:tcPr>
            <w:tcW w:w="2430" w:type="dxa"/>
            <w:tcBorders>
              <w:top w:val="single" w:sz="8" w:space="0" w:color="000000"/>
              <w:left w:val="single" w:sz="8" w:space="0" w:color="000000"/>
              <w:bottom w:val="single" w:sz="8" w:space="0" w:color="000000"/>
              <w:right w:val="single" w:sz="8" w:space="0" w:color="000000"/>
            </w:tcBorders>
          </w:tcPr>
          <w:p w:rsidR="00D7687C" w:rsidRPr="00BB7977" w:rsidP="00D7687C" w14:paraId="3A32E8FA" w14:textId="6026CC9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562219</w:t>
            </w:r>
          </w:p>
        </w:tc>
      </w:tr>
      <w:tr w14:paraId="46DE1924" w14:textId="77777777" w:rsidTr="00851082">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D7687C" w:rsidRPr="00BB7977" w:rsidP="00D7687C" w14:paraId="6F2DA7E2" w14:textId="06C6C40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40076">
              <w:rPr>
                <w:rFonts w:cstheme="minorHAnsi"/>
                <w:color w:val="000000"/>
              </w:rPr>
              <w:t>Solid Waste Combustors and Incinerators</w:t>
            </w:r>
          </w:p>
        </w:tc>
        <w:tc>
          <w:tcPr>
            <w:tcW w:w="2610" w:type="dxa"/>
            <w:tcBorders>
              <w:top w:val="single" w:sz="8" w:space="0" w:color="000000"/>
              <w:left w:val="single" w:sz="8" w:space="0" w:color="000000"/>
              <w:bottom w:val="single" w:sz="8" w:space="0" w:color="000000"/>
              <w:right w:val="single" w:sz="6" w:space="0" w:color="FFFFFF"/>
            </w:tcBorders>
          </w:tcPr>
          <w:p w:rsidR="00D7687C" w:rsidRPr="00BB7977" w:rsidP="00D7687C" w14:paraId="458E8675" w14:textId="4ADEA8C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4953</w:t>
            </w:r>
          </w:p>
        </w:tc>
        <w:tc>
          <w:tcPr>
            <w:tcW w:w="2430" w:type="dxa"/>
            <w:tcBorders>
              <w:top w:val="single" w:sz="8" w:space="0" w:color="000000"/>
              <w:left w:val="single" w:sz="8" w:space="0" w:color="000000"/>
              <w:bottom w:val="single" w:sz="8" w:space="0" w:color="000000"/>
              <w:right w:val="single" w:sz="8" w:space="0" w:color="000000"/>
            </w:tcBorders>
          </w:tcPr>
          <w:p w:rsidR="00D7687C" w:rsidRPr="00BB7977" w:rsidP="00D7687C" w14:paraId="07C90C00" w14:textId="009E592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562213</w:t>
            </w:r>
          </w:p>
        </w:tc>
      </w:tr>
      <w:tr w14:paraId="73632731" w14:textId="77777777" w:rsidTr="00851082">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D7687C" w:rsidRPr="00BB7977" w:rsidP="00D7687C" w14:paraId="0ED8323F" w14:textId="582EDD9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40076">
              <w:rPr>
                <w:rFonts w:cstheme="minorHAnsi"/>
                <w:color w:val="000000"/>
              </w:rPr>
              <w:t>Solid Waste Landfill</w:t>
            </w:r>
          </w:p>
        </w:tc>
        <w:tc>
          <w:tcPr>
            <w:tcW w:w="2610" w:type="dxa"/>
            <w:tcBorders>
              <w:top w:val="single" w:sz="8" w:space="0" w:color="000000"/>
              <w:left w:val="single" w:sz="8" w:space="0" w:color="000000"/>
              <w:bottom w:val="single" w:sz="8" w:space="0" w:color="000000"/>
              <w:right w:val="single" w:sz="6" w:space="0" w:color="FFFFFF"/>
            </w:tcBorders>
          </w:tcPr>
          <w:p w:rsidR="00D7687C" w:rsidRPr="00BB7977" w:rsidP="00D7687C" w14:paraId="170C57F5" w14:textId="5AFDD8F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4953</w:t>
            </w:r>
          </w:p>
        </w:tc>
        <w:tc>
          <w:tcPr>
            <w:tcW w:w="2430" w:type="dxa"/>
            <w:tcBorders>
              <w:top w:val="single" w:sz="8" w:space="0" w:color="000000"/>
              <w:left w:val="single" w:sz="8" w:space="0" w:color="000000"/>
              <w:bottom w:val="single" w:sz="8" w:space="0" w:color="000000"/>
              <w:right w:val="single" w:sz="8" w:space="0" w:color="000000"/>
            </w:tcBorders>
          </w:tcPr>
          <w:p w:rsidR="000A437B" w:rsidRPr="00BB7977" w:rsidP="00D7687C" w14:paraId="4F971DE8" w14:textId="5DB8797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562212</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0674A27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Pr="000815C8" w:rsidR="000815C8">
        <w:rPr>
          <w:rFonts w:cstheme="minorHAnsi"/>
        </w:rPr>
        <w:t>47</w:t>
      </w:r>
      <w:r w:rsidRPr="00D71532">
        <w:rPr>
          <w:rFonts w:cstheme="minorHAnsi"/>
          <w:color w:val="000000"/>
        </w:rPr>
        <w:t xml:space="preserve"> existing respondents will be subject to the standard. It is estimated that </w:t>
      </w:r>
      <w:r w:rsidR="00E339A3">
        <w:rPr>
          <w:rFonts w:cstheme="minorHAnsi"/>
          <w:color w:val="000000"/>
        </w:rPr>
        <w:t>no</w:t>
      </w:r>
      <w:r w:rsidRPr="00D71532">
        <w:rPr>
          <w:rFonts w:cstheme="minorHAnsi"/>
          <w:color w:val="000000"/>
        </w:rPr>
        <w:t xml:space="preserve"> additional</w:t>
      </w:r>
      <w:r w:rsidR="00E339A3">
        <w:rPr>
          <w:rFonts w:cstheme="minorHAnsi"/>
          <w:color w:val="000000"/>
        </w:rPr>
        <w:t xml:space="preserve"> </w:t>
      </w:r>
      <w:r w:rsidRPr="00D71532">
        <w:rPr>
          <w:rFonts w:cstheme="minorHAnsi"/>
          <w:color w:val="000000"/>
        </w:rPr>
        <w:t xml:space="preserve">respondents per year will become </w:t>
      </w:r>
      <w:r w:rsidRPr="00D71532">
        <w:rPr>
          <w:rFonts w:cstheme="minorHAnsi"/>
          <w:color w:val="000000"/>
        </w:rPr>
        <w:t>subject</w:t>
      </w:r>
      <w:r w:rsidRPr="00D71532">
        <w:rPr>
          <w:rFonts w:cstheme="minorHAnsi"/>
          <w:color w:val="000000"/>
        </w:rPr>
        <w:t xml:space="preserve">, for an overall total of </w:t>
      </w:r>
      <w:r w:rsidRPr="001964EC" w:rsidR="001964EC">
        <w:rPr>
          <w:rFonts w:cstheme="minorHAnsi"/>
        </w:rPr>
        <w:t>47</w:t>
      </w:r>
      <w:r w:rsidR="001964EC">
        <w:rPr>
          <w:rFonts w:cstheme="minorHAnsi"/>
          <w:color w:val="FF0000"/>
        </w:rPr>
        <w:t xml:space="preserve"> </w:t>
      </w:r>
      <w:r w:rsidRPr="00D71532">
        <w:rPr>
          <w:rFonts w:cstheme="minorHAnsi"/>
          <w:color w:val="000000"/>
        </w:rPr>
        <w:t xml:space="preserve">respondents per year. The number of respondents is calculated using the </w:t>
      </w:r>
      <w:bookmarkStart w:id="18" w:name="_Hlk163570653"/>
      <w:r w:rsidRPr="00D71532">
        <w:rPr>
          <w:rFonts w:cstheme="minorHAnsi"/>
          <w:color w:val="000000"/>
        </w:rPr>
        <w:t xml:space="preserve">Number of Respondents </w:t>
      </w:r>
      <w:bookmarkEnd w:id="18"/>
      <w:r w:rsidR="00145415">
        <w:rPr>
          <w:rFonts w:cstheme="minorHAnsi"/>
          <w:color w:val="000000"/>
        </w:rPr>
        <w:t xml:space="preserve">table </w:t>
      </w:r>
      <w:r w:rsidRPr="00D71532">
        <w:rPr>
          <w:rFonts w:cstheme="minorHAnsi"/>
          <w:color w:val="000000"/>
        </w:rPr>
        <w:t xml:space="preserve">that addresses the three years covered by this ICR. </w:t>
      </w:r>
      <w:r w:rsidR="00C92316">
        <w:rPr>
          <w:rFonts w:cstheme="minorHAnsi"/>
          <w:color w:val="000000"/>
        </w:rPr>
        <w:t>Of</w:t>
      </w:r>
      <w:r>
        <w:rPr>
          <w:rFonts w:cstheme="minorHAnsi"/>
          <w:color w:val="000000"/>
        </w:rPr>
        <w:t xml:space="preserve"> the </w:t>
      </w:r>
      <w:r w:rsidR="00C92316">
        <w:rPr>
          <w:rFonts w:cstheme="minorHAnsi"/>
          <w:color w:val="000000"/>
        </w:rPr>
        <w:t xml:space="preserve">47 </w:t>
      </w:r>
      <w:r>
        <w:rPr>
          <w:rFonts w:cstheme="minorHAnsi"/>
          <w:color w:val="000000"/>
        </w:rPr>
        <w:t>facilities</w:t>
      </w:r>
      <w:r w:rsidR="00C92316">
        <w:rPr>
          <w:rFonts w:cstheme="minorHAnsi"/>
          <w:color w:val="000000"/>
        </w:rPr>
        <w:t xml:space="preserve">, </w:t>
      </w:r>
      <w:r w:rsidR="001E21D5">
        <w:rPr>
          <w:rFonts w:cstheme="minorHAnsi"/>
          <w:color w:val="000000"/>
        </w:rPr>
        <w:t>21 facilities</w:t>
      </w:r>
      <w:r>
        <w:rPr>
          <w:rFonts w:cstheme="minorHAnsi"/>
          <w:color w:val="000000"/>
        </w:rPr>
        <w:t xml:space="preserve"> are owned by either state, local, or tribal government</w:t>
      </w:r>
      <w:r w:rsidR="001E21D5">
        <w:rPr>
          <w:rFonts w:cstheme="minorHAnsi"/>
          <w:color w:val="000000"/>
        </w:rPr>
        <w:t xml:space="preserve"> entities,</w:t>
      </w:r>
      <w:r w:rsidR="00ED3AF2">
        <w:rPr>
          <w:rFonts w:cstheme="minorHAnsi"/>
          <w:color w:val="000000"/>
        </w:rPr>
        <w:t xml:space="preserve"> while 26 </w:t>
      </w:r>
      <w:r>
        <w:rPr>
          <w:rFonts w:cstheme="minorHAnsi"/>
          <w:color w:val="000000"/>
        </w:rPr>
        <w:t>are owned and operated by privately</w:t>
      </w:r>
      <w:r w:rsidR="00ED3AF2">
        <w:rPr>
          <w:rFonts w:cstheme="minorHAnsi"/>
          <w:color w:val="000000"/>
        </w:rPr>
        <w:t xml:space="preserve"> </w:t>
      </w:r>
      <w:r>
        <w:rPr>
          <w:rFonts w:cstheme="minorHAnsi"/>
          <w:color w:val="000000"/>
        </w:rPr>
        <w:t>owned, for-profit businesses</w:t>
      </w:r>
      <w:r w:rsidRPr="007F0E6E">
        <w:rPr>
          <w:rFonts w:cstheme="minorHAnsi"/>
          <w:color w:val="000000"/>
        </w:rPr>
        <w:t>. We assume that they will all respond to EPA inquiries.</w:t>
      </w:r>
      <w:r w:rsidRPr="00D71532">
        <w:rPr>
          <w:rFonts w:cstheme="minorHAnsi"/>
          <w:color w:val="000000"/>
        </w:rPr>
        <w:t xml:space="preserve"> Based on our consultations with industry representatives, there is an average of one affected facility at each plant </w:t>
      </w:r>
      <w:r w:rsidRPr="00D71532">
        <w:rPr>
          <w:rFonts w:cstheme="minorHAnsi"/>
          <w:color w:val="000000"/>
        </w:rPr>
        <w:t>site</w:t>
      </w:r>
      <w:r w:rsidRPr="00D71532">
        <w:rPr>
          <w:rFonts w:cstheme="minorHAnsi"/>
          <w:color w:val="000000"/>
        </w:rPr>
        <w:t xml:space="preserve"> and each plant site has only one respondent (i.e., the owner/operator of the plant site).</w:t>
      </w:r>
    </w:p>
    <w:p w:rsidR="00D71532" w:rsidRPr="00BB3410" w:rsidP="00854AAE" w14:paraId="6D3040F8" w14:textId="0F7BCAB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Total Annual Responses </w:t>
      </w:r>
      <w:r w:rsidR="00E14CC5">
        <w:rPr>
          <w:rFonts w:cstheme="minorHAnsi"/>
          <w:color w:val="000000"/>
        </w:rPr>
        <w:t>table</w:t>
      </w:r>
      <w:r w:rsidRPr="00D71532">
        <w:rPr>
          <w:rFonts w:cstheme="minorHAnsi"/>
          <w:color w:val="000000"/>
        </w:rPr>
        <w:t>. The num</w:t>
      </w:r>
      <w:r w:rsidR="007C2400">
        <w:rPr>
          <w:rFonts w:cstheme="minorHAnsi"/>
          <w:color w:val="000000"/>
        </w:rPr>
        <w:t>b</w:t>
      </w:r>
      <w:r w:rsidRPr="00D71532">
        <w:rPr>
          <w:rFonts w:cstheme="minorHAnsi"/>
          <w:color w:val="000000"/>
        </w:rPr>
        <w:t xml:space="preserve">er of Total Annual </w:t>
      </w:r>
      <w:r w:rsidRPr="00E14CC5">
        <w:rPr>
          <w:rFonts w:cstheme="minorHAnsi"/>
        </w:rPr>
        <w:t xml:space="preserve">Responses is </w:t>
      </w:r>
      <w:r w:rsidRPr="00E14CC5" w:rsidR="00E14CC5">
        <w:rPr>
          <w:rFonts w:cstheme="minorHAnsi"/>
        </w:rPr>
        <w:t>94</w:t>
      </w:r>
      <w:r w:rsidRPr="00E14CC5">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9" w:name="_Toc156593384"/>
      <w:bookmarkEnd w:id="17"/>
    </w:p>
    <w:p w:rsidR="00987C8D" w:rsidRPr="00987C8D" w:rsidP="00987C8D" w14:paraId="1DF0EBFD" w14:textId="28E9752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w:t>
      </w:r>
      <w:r w:rsidRPr="00987C8D">
        <w:rPr>
          <w:rFonts w:cstheme="minorHAnsi"/>
          <w:color w:val="000000"/>
        </w:rPr>
        <w:t>are</w:t>
      </w:r>
      <w:r w:rsidRPr="00987C8D">
        <w:rPr>
          <w:rFonts w:cstheme="minorHAnsi"/>
          <w:color w:val="000000"/>
        </w:rPr>
        <w:t xml:space="preserve"> recorded or reported is required by </w:t>
      </w:r>
      <w:r w:rsidRPr="000061C8">
        <w:rPr>
          <w:rFonts w:cstheme="minorHAnsi"/>
        </w:rPr>
        <w:t xml:space="preserve">the </w:t>
      </w:r>
      <w:r w:rsidRPr="000061C8" w:rsidR="000061C8">
        <w:rPr>
          <w:rFonts w:cstheme="minorHAnsi"/>
        </w:rPr>
        <w:t xml:space="preserve">NSPS for Incinerators (40 CFR Part 60, Subpart E). </w:t>
      </w:r>
      <w:r w:rsidRPr="000061C8">
        <w:rPr>
          <w:rFonts w:cstheme="minorHAnsi"/>
        </w:rPr>
        <w:t>A</w:t>
      </w:r>
      <w:r w:rsidRPr="00987C8D">
        <w:rPr>
          <w:rFonts w:cstheme="minorHAnsi"/>
          <w:color w:val="000000"/>
        </w:rPr>
        <w:t xml:space="preserve">ny owner/operator subject to the provisions of this part shall maintain a file of these measurements and retain the file for at least </w:t>
      </w:r>
      <w:r w:rsidRPr="009A29D0">
        <w:rPr>
          <w:rFonts w:cstheme="minorHAnsi"/>
        </w:rPr>
        <w:t>two</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48665D" w:rsidP="00354D5F" w14:paraId="69DEB2E2" w14:textId="13B57B0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665D">
              <w:rPr>
                <w:rFonts w:cstheme="minorHAnsi"/>
                <w:color w:val="000000"/>
              </w:rPr>
              <w:t>Notification and application of construction or modification.</w:t>
            </w:r>
          </w:p>
        </w:tc>
        <w:tc>
          <w:tcPr>
            <w:tcW w:w="2529" w:type="dxa"/>
            <w:tcBorders>
              <w:top w:val="single" w:sz="8" w:space="0" w:color="000000"/>
              <w:left w:val="single" w:sz="8" w:space="0" w:color="000000"/>
              <w:bottom w:val="single" w:sz="8" w:space="0" w:color="000000"/>
              <w:right w:val="single" w:sz="8" w:space="0" w:color="000000"/>
            </w:tcBorders>
            <w:hideMark/>
          </w:tcPr>
          <w:p w:rsidR="00987C8D" w:rsidRPr="007644D7" w:rsidP="00987C8D" w14:paraId="1F8187B5" w14:textId="5E1AB15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4D7">
              <w:rPr>
                <w:rFonts w:cstheme="minorHAnsi"/>
                <w:color w:val="000000"/>
              </w:rPr>
              <w:t>§60.7(a)(1)</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48665D" w:rsidP="0048665D" w14:paraId="7A28D8FD" w14:textId="127027C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665D">
              <w:rPr>
                <w:rFonts w:cstheme="minorHAnsi"/>
                <w:color w:val="000000"/>
              </w:rPr>
              <w:t>Notification of actual startup.</w:t>
            </w:r>
          </w:p>
        </w:tc>
        <w:tc>
          <w:tcPr>
            <w:tcW w:w="2529" w:type="dxa"/>
            <w:tcBorders>
              <w:top w:val="single" w:sz="8" w:space="0" w:color="000000"/>
              <w:left w:val="single" w:sz="8" w:space="0" w:color="000000"/>
              <w:bottom w:val="single" w:sz="8" w:space="0" w:color="000000"/>
              <w:right w:val="single" w:sz="8" w:space="0" w:color="000000"/>
            </w:tcBorders>
          </w:tcPr>
          <w:p w:rsidR="00987C8D" w:rsidRPr="00987C8D" w:rsidP="00987C8D" w14:paraId="0C195381" w14:textId="52D7B79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6B89">
              <w:rPr>
                <w:rFonts w:cstheme="minorHAnsi"/>
                <w:color w:val="000000"/>
              </w:rPr>
              <w:t>§60.7(a)(3)</w:t>
            </w:r>
          </w:p>
        </w:tc>
      </w:tr>
      <w:tr w14:paraId="627FA085"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67AED" w:rsidRPr="0048665D" w:rsidP="0048665D" w14:paraId="773AB5CA" w14:textId="1CCDEB4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665D">
              <w:rPr>
                <w:rFonts w:cstheme="minorHAnsi"/>
                <w:color w:val="000000"/>
              </w:rPr>
              <w:t>Notification of physical or operational change which may increase the emission rate.</w:t>
            </w:r>
          </w:p>
        </w:tc>
        <w:tc>
          <w:tcPr>
            <w:tcW w:w="2529" w:type="dxa"/>
            <w:tcBorders>
              <w:top w:val="single" w:sz="8" w:space="0" w:color="000000"/>
              <w:left w:val="single" w:sz="8" w:space="0" w:color="000000"/>
              <w:bottom w:val="single" w:sz="8" w:space="0" w:color="000000"/>
              <w:right w:val="single" w:sz="8" w:space="0" w:color="000000"/>
            </w:tcBorders>
          </w:tcPr>
          <w:p w:rsidR="00B67AED" w:rsidRPr="00987C8D" w:rsidP="00987C8D" w14:paraId="225CF069" w14:textId="1357F1D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6B89">
              <w:rPr>
                <w:rFonts w:cstheme="minorHAnsi"/>
                <w:color w:val="000000"/>
              </w:rPr>
              <w:t>§60.7(a)(4)</w:t>
            </w:r>
          </w:p>
        </w:tc>
      </w:tr>
      <w:tr w14:paraId="4B537DB9"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B67AED" w:rsidRPr="00987C8D" w:rsidP="0048665D" w14:paraId="618BC66D" w14:textId="6AD8375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665D">
              <w:rPr>
                <w:rFonts w:cstheme="minorHAnsi"/>
                <w:color w:val="000000"/>
              </w:rPr>
              <w:t>Notification of initial performance tests.</w:t>
            </w:r>
          </w:p>
        </w:tc>
        <w:tc>
          <w:tcPr>
            <w:tcW w:w="2529" w:type="dxa"/>
            <w:tcBorders>
              <w:top w:val="single" w:sz="8" w:space="0" w:color="000000"/>
              <w:left w:val="single" w:sz="8" w:space="0" w:color="000000"/>
              <w:bottom w:val="single" w:sz="8" w:space="0" w:color="000000"/>
              <w:right w:val="single" w:sz="8" w:space="0" w:color="000000"/>
            </w:tcBorders>
          </w:tcPr>
          <w:p w:rsidR="00B67AED" w:rsidRPr="00987C8D" w:rsidP="00987C8D" w14:paraId="4A481B7E" w14:textId="70ABBBC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6B89">
              <w:rPr>
                <w:rFonts w:cstheme="minorHAnsi"/>
                <w:color w:val="000000"/>
              </w:rPr>
              <w:t>§60.8(d)</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40165" w:rsidRPr="00987C8D" w:rsidP="0048665D" w14:paraId="583255F7" w14:textId="468556A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665D">
              <w:rPr>
                <w:rFonts w:cstheme="minorHAnsi"/>
                <w:color w:val="000000"/>
              </w:rPr>
              <w:t>Initial performance test results, to determine the conditions of the performance test, and performance test measurements and results.</w:t>
            </w:r>
          </w:p>
        </w:tc>
        <w:tc>
          <w:tcPr>
            <w:tcW w:w="2529" w:type="dxa"/>
            <w:tcBorders>
              <w:top w:val="single" w:sz="8" w:space="0" w:color="000000"/>
              <w:left w:val="single" w:sz="8" w:space="0" w:color="000000"/>
              <w:bottom w:val="single" w:sz="8" w:space="0" w:color="000000"/>
              <w:right w:val="single" w:sz="8" w:space="0" w:color="000000"/>
            </w:tcBorders>
          </w:tcPr>
          <w:p w:rsidR="00940165" w:rsidRPr="00987C8D" w:rsidP="00940165" w14:paraId="1E18B6A1" w14:textId="62AACA7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6B89">
              <w:rPr>
                <w:rFonts w:cstheme="minorHAnsi"/>
                <w:color w:val="000000"/>
              </w:rPr>
              <w:t>§</w:t>
            </w:r>
            <w:r w:rsidRPr="00896B89" w:rsidR="007644D7">
              <w:rPr>
                <w:rFonts w:cstheme="minorHAnsi"/>
                <w:color w:val="000000"/>
              </w:rPr>
              <w:t>§</w:t>
            </w:r>
            <w:r w:rsidRPr="00896B89">
              <w:rPr>
                <w:rFonts w:cstheme="minorHAnsi"/>
                <w:color w:val="000000"/>
              </w:rPr>
              <w:t>60.8(a) and (c)</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987C8D" w14:paraId="43877D0A" w14:textId="20539D5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66C0D">
              <w:rPr>
                <w:rFonts w:cstheme="minorHAnsi"/>
                <w:color w:val="000000"/>
              </w:rPr>
              <w:t>Initial performance test report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FD4CBEA" w14:textId="68CCA344">
            <w:pPr>
              <w:pBdr>
                <w:top w:val="single" w:sz="6" w:space="0" w:color="FFFFFF"/>
                <w:left w:val="single" w:sz="6" w:space="0" w:color="FFFFFF"/>
                <w:bottom w:val="single" w:sz="6" w:space="0" w:color="FFFFFF"/>
                <w:right w:val="single" w:sz="6" w:space="0" w:color="FFFFFF"/>
              </w:pBdr>
              <w:spacing w:before="60"/>
              <w:rPr>
                <w:color w:val="000000"/>
              </w:rPr>
            </w:pPr>
            <w:r w:rsidRPr="00A5E257">
              <w:rPr>
                <w:color w:val="000000" w:themeColor="text1"/>
              </w:rPr>
              <w:t>§</w:t>
            </w:r>
            <w:r w:rsidRPr="00A5E257" w:rsidR="00426861">
              <w:rPr>
                <w:color w:val="000000" w:themeColor="text1"/>
              </w:rPr>
              <w:t>60.8(a)</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A5E257">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A5E25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1D09AA" w:rsidP="001D09AA" w14:paraId="3550D62A" w14:textId="531A27A9">
            <w:pPr>
              <w:pStyle w:val="paragraph"/>
              <w:divId w:val="725878100"/>
              <w:spacing w:before="0" w:beforeAutospacing="0" w:after="0" w:afterAutospacing="0"/>
              <w:textAlignment w:val="baseline"/>
              <w:rPr>
                <w:rFonts w:asciiTheme="minorHAnsi" w:eastAsiaTheme="minorEastAsia" w:hAnsiTheme="minorHAnsi" w:cstheme="minorBidi"/>
                <w:color w:val="000000"/>
                <w:sz w:val="22"/>
                <w:szCs w:val="22"/>
              </w:rPr>
            </w:pPr>
            <w:r w:rsidRPr="00A5E257">
              <w:rPr>
                <w:rFonts w:asciiTheme="minorHAnsi" w:eastAsiaTheme="minorEastAsia" w:hAnsiTheme="minorHAnsi" w:cstheme="minorBidi"/>
                <w:color w:val="000000" w:themeColor="text1"/>
                <w:sz w:val="22"/>
                <w:szCs w:val="22"/>
              </w:rPr>
              <w:t>Records of the occurrence and duration of any startup, shutdown, or malfunction in operation of an affected facility.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D09AA" w:rsidRPr="00987C8D" w:rsidP="001D09AA" w14:paraId="7934CA38" w14:textId="679837E1">
            <w:pPr>
              <w:pBdr>
                <w:top w:val="single" w:sz="6" w:space="0" w:color="FFFFFF"/>
                <w:left w:val="single" w:sz="6" w:space="0" w:color="FFFFFF"/>
                <w:bottom w:val="single" w:sz="6" w:space="0" w:color="FFFFFF"/>
                <w:right w:val="single" w:sz="6" w:space="0" w:color="FFFFFF"/>
              </w:pBdr>
              <w:spacing w:before="60" w:after="0"/>
              <w:rPr>
                <w:color w:val="000000"/>
              </w:rPr>
            </w:pPr>
            <w:r w:rsidRPr="00A5E257">
              <w:rPr>
                <w:color w:val="000000" w:themeColor="text1"/>
              </w:rPr>
              <w:t>§60.7(b)</w:t>
            </w:r>
          </w:p>
        </w:tc>
      </w:tr>
      <w:tr w14:paraId="67792A54" w14:textId="77777777" w:rsidTr="00A5E25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1D09AA" w:rsidP="001D09AA" w14:paraId="7559FCF3" w14:textId="2D706749">
            <w:pPr>
              <w:pStyle w:val="paragraph"/>
              <w:divId w:val="1382241347"/>
              <w:spacing w:before="0" w:beforeAutospacing="0" w:after="0" w:afterAutospacing="0"/>
              <w:textAlignment w:val="baseline"/>
              <w:rPr>
                <w:rFonts w:asciiTheme="minorHAnsi" w:eastAsiaTheme="minorEastAsia" w:hAnsiTheme="minorHAnsi" w:cstheme="minorHAnsi"/>
                <w:color w:val="000000"/>
                <w:sz w:val="22"/>
                <w:szCs w:val="22"/>
              </w:rPr>
            </w:pPr>
            <w:r w:rsidRPr="001D09AA">
              <w:rPr>
                <w:rFonts w:asciiTheme="minorHAnsi" w:eastAsiaTheme="minorEastAsia" w:hAnsiTheme="minorHAnsi" w:cstheme="minorHAnsi"/>
                <w:color w:val="000000"/>
                <w:sz w:val="22"/>
                <w:szCs w:val="22"/>
              </w:rPr>
              <w:t xml:space="preserve">Records of malfunctions of </w:t>
            </w:r>
            <w:r w:rsidRPr="001D09AA">
              <w:rPr>
                <w:rFonts w:asciiTheme="minorHAnsi" w:eastAsiaTheme="minorEastAsia" w:hAnsiTheme="minorHAnsi" w:cstheme="minorHAnsi"/>
                <w:color w:val="000000"/>
                <w:sz w:val="22"/>
                <w:szCs w:val="22"/>
              </w:rPr>
              <w:t>the air</w:t>
            </w:r>
            <w:r w:rsidRPr="001D09AA">
              <w:rPr>
                <w:rFonts w:asciiTheme="minorHAnsi" w:eastAsiaTheme="minorEastAsia" w:hAnsiTheme="minorHAnsi" w:cstheme="minorHAnsi"/>
                <w:color w:val="000000"/>
                <w:sz w:val="22"/>
                <w:szCs w:val="22"/>
              </w:rPr>
              <w:t xml:space="preserve"> pollution control equipment.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987C8D" w:rsidP="001D09AA" w14:paraId="1849EF97" w14:textId="22C950BB">
            <w:pPr>
              <w:pBdr>
                <w:top w:val="single" w:sz="6" w:space="0" w:color="FFFFFF"/>
                <w:left w:val="single" w:sz="6" w:space="0" w:color="FFFFFF"/>
                <w:bottom w:val="single" w:sz="6" w:space="0" w:color="FFFFFF"/>
                <w:right w:val="single" w:sz="6" w:space="0" w:color="FFFFFF"/>
              </w:pBdr>
              <w:spacing w:before="60" w:after="0"/>
              <w:rPr>
                <w:rFonts w:cstheme="minorHAnsi"/>
                <w:color w:val="000000"/>
              </w:rPr>
            </w:pPr>
            <w:r w:rsidRPr="005E428B">
              <w:rPr>
                <w:rFonts w:cstheme="minorHAnsi"/>
                <w:color w:val="000000"/>
              </w:rPr>
              <w:t>§60.7(b)</w:t>
            </w:r>
          </w:p>
        </w:tc>
      </w:tr>
      <w:tr w14:paraId="670000E2" w14:textId="77777777" w:rsidTr="00A5E25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1D09AA" w:rsidP="001D09AA" w14:paraId="738517C5" w14:textId="24E8DBCC">
            <w:pPr>
              <w:pStyle w:val="paragraph"/>
              <w:divId w:val="969898007"/>
              <w:spacing w:before="0" w:beforeAutospacing="0" w:after="0" w:afterAutospacing="0"/>
              <w:textAlignment w:val="baseline"/>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R</w:t>
            </w:r>
            <w:r w:rsidRPr="001D09AA">
              <w:rPr>
                <w:rFonts w:asciiTheme="minorHAnsi" w:eastAsiaTheme="minorEastAsia" w:hAnsiTheme="minorHAnsi" w:cstheme="minorHAnsi"/>
                <w:color w:val="000000"/>
                <w:sz w:val="22"/>
                <w:szCs w:val="22"/>
              </w:rPr>
              <w:t>ecords of periods when the system is inoperative.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987C8D" w:rsidP="001D09AA" w14:paraId="53EDDB39" w14:textId="202AE356">
            <w:pPr>
              <w:pBdr>
                <w:top w:val="single" w:sz="6" w:space="0" w:color="FFFFFF"/>
                <w:left w:val="single" w:sz="6" w:space="0" w:color="FFFFFF"/>
                <w:bottom w:val="single" w:sz="6" w:space="0" w:color="FFFFFF"/>
                <w:right w:val="single" w:sz="6" w:space="0" w:color="FFFFFF"/>
              </w:pBdr>
              <w:spacing w:before="60" w:after="0"/>
              <w:rPr>
                <w:rFonts w:cstheme="minorHAnsi"/>
                <w:color w:val="000000"/>
              </w:rPr>
            </w:pPr>
            <w:r w:rsidRPr="005E428B">
              <w:rPr>
                <w:rFonts w:cstheme="minorHAnsi"/>
                <w:color w:val="000000"/>
              </w:rPr>
              <w:t>§60.7(b)</w:t>
            </w:r>
          </w:p>
        </w:tc>
      </w:tr>
      <w:tr w14:paraId="0F23A40E" w14:textId="77777777" w:rsidTr="00A5E25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1D09AA" w:rsidP="001D09AA" w14:paraId="278935EE" w14:textId="1444DBEE">
            <w:pPr>
              <w:pStyle w:val="paragraph"/>
              <w:divId w:val="80303192"/>
              <w:spacing w:before="0" w:beforeAutospacing="0" w:after="0" w:afterAutospacing="0"/>
              <w:textAlignment w:val="baseline"/>
              <w:rPr>
                <w:rFonts w:asciiTheme="minorHAnsi" w:eastAsiaTheme="minorEastAsia" w:hAnsiTheme="minorHAnsi" w:cstheme="minorHAnsi"/>
                <w:color w:val="000000"/>
                <w:sz w:val="22"/>
                <w:szCs w:val="22"/>
              </w:rPr>
            </w:pPr>
            <w:r w:rsidRPr="001D09AA">
              <w:rPr>
                <w:rFonts w:asciiTheme="minorHAnsi" w:eastAsiaTheme="minorEastAsia" w:hAnsiTheme="minorHAnsi" w:cstheme="minorHAnsi"/>
                <w:color w:val="000000"/>
                <w:sz w:val="22"/>
                <w:szCs w:val="22"/>
              </w:rPr>
              <w:t>Records of daily charging rates and hours of operation.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987C8D" w:rsidP="001D09AA" w14:paraId="55E6B7BD" w14:textId="5753F51B">
            <w:pPr>
              <w:pBdr>
                <w:top w:val="single" w:sz="6" w:space="0" w:color="FFFFFF"/>
                <w:left w:val="single" w:sz="6" w:space="0" w:color="FFFFFF"/>
                <w:bottom w:val="single" w:sz="6" w:space="0" w:color="FFFFFF"/>
                <w:right w:val="single" w:sz="6" w:space="0" w:color="FFFFFF"/>
              </w:pBdr>
              <w:spacing w:before="60" w:after="0"/>
              <w:rPr>
                <w:rFonts w:cstheme="minorHAnsi"/>
                <w:color w:val="000000"/>
              </w:rPr>
            </w:pPr>
            <w:r w:rsidRPr="00426861">
              <w:rPr>
                <w:rFonts w:cstheme="minorHAnsi"/>
                <w:color w:val="000000"/>
              </w:rPr>
              <w:t>§60.53(a)</w:t>
            </w:r>
          </w:p>
        </w:tc>
      </w:tr>
      <w:tr w14:paraId="125F9089" w14:textId="77777777" w:rsidTr="00A5E25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1D09AA" w:rsidP="001D09AA" w14:paraId="37BF68B5" w14:textId="30B6037E">
            <w:pPr>
              <w:pStyle w:val="paragraph"/>
              <w:divId w:val="596980979"/>
              <w:spacing w:before="0" w:beforeAutospacing="0" w:after="0" w:afterAutospacing="0"/>
              <w:textAlignment w:val="baseline"/>
              <w:rPr>
                <w:rFonts w:asciiTheme="minorHAnsi" w:eastAsiaTheme="minorEastAsia" w:hAnsiTheme="minorHAnsi" w:cstheme="minorHAnsi"/>
                <w:color w:val="000000"/>
                <w:sz w:val="22"/>
                <w:szCs w:val="22"/>
              </w:rPr>
            </w:pPr>
            <w:r w:rsidRPr="001D09AA">
              <w:rPr>
                <w:rFonts w:asciiTheme="minorHAnsi" w:eastAsiaTheme="minorEastAsia" w:hAnsiTheme="minorHAnsi" w:cstheme="minorHAnsi"/>
                <w:color w:val="000000"/>
                <w:sz w:val="22"/>
                <w:szCs w:val="22"/>
              </w:rPr>
              <w:t>Records of the initial performance test and performance test measurements and results.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987C8D" w:rsidP="001D09AA" w14:paraId="4520B228" w14:textId="429DE71B">
            <w:pPr>
              <w:pBdr>
                <w:top w:val="single" w:sz="6" w:space="0" w:color="FFFFFF"/>
                <w:left w:val="single" w:sz="6" w:space="0" w:color="FFFFFF"/>
                <w:bottom w:val="single" w:sz="6" w:space="0" w:color="FFFFFF"/>
                <w:right w:val="single" w:sz="6" w:space="0" w:color="FFFFFF"/>
              </w:pBdr>
              <w:spacing w:before="60" w:after="0"/>
              <w:rPr>
                <w:rFonts w:cstheme="minorHAnsi"/>
                <w:color w:val="000000"/>
              </w:rPr>
            </w:pPr>
            <w:r w:rsidRPr="00E657BE">
              <w:rPr>
                <w:rFonts w:cstheme="minorHAnsi"/>
                <w:color w:val="000000"/>
              </w:rPr>
              <w:t>§60.8(c)</w:t>
            </w:r>
          </w:p>
        </w:tc>
      </w:tr>
      <w:tr w14:paraId="6D40F05E" w14:textId="77777777" w:rsidTr="00A5E25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1D09AA" w:rsidP="001D09AA" w14:paraId="2E59B461" w14:textId="51B0BDEE">
            <w:pPr>
              <w:pStyle w:val="paragraph"/>
              <w:divId w:val="1352032089"/>
              <w:spacing w:before="0" w:beforeAutospacing="0" w:after="0" w:afterAutospacing="0"/>
              <w:textAlignment w:val="baseline"/>
              <w:rPr>
                <w:rFonts w:asciiTheme="minorHAnsi" w:eastAsiaTheme="minorEastAsia" w:hAnsiTheme="minorHAnsi" w:cstheme="minorHAnsi"/>
                <w:color w:val="000000"/>
                <w:sz w:val="22"/>
                <w:szCs w:val="22"/>
              </w:rPr>
            </w:pPr>
            <w:r w:rsidRPr="001D09AA">
              <w:rPr>
                <w:rFonts w:asciiTheme="minorHAnsi" w:eastAsiaTheme="minorEastAsia" w:hAnsiTheme="minorHAnsi" w:cstheme="minorHAnsi"/>
                <w:color w:val="000000"/>
                <w:sz w:val="22"/>
                <w:szCs w:val="22"/>
              </w:rPr>
              <w:t>Maintain records for two years.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D09AA" w:rsidRPr="00987C8D" w:rsidP="001D09AA" w14:paraId="4269BB3D" w14:textId="2904730A">
            <w:pPr>
              <w:pBdr>
                <w:top w:val="single" w:sz="6" w:space="0" w:color="FFFFFF"/>
                <w:left w:val="single" w:sz="6" w:space="0" w:color="FFFFFF"/>
                <w:bottom w:val="single" w:sz="6" w:space="0" w:color="FFFFFF"/>
                <w:right w:val="single" w:sz="6" w:space="0" w:color="FFFFFF"/>
              </w:pBdr>
              <w:spacing w:before="60" w:after="0"/>
              <w:rPr>
                <w:rFonts w:cstheme="minorHAnsi"/>
                <w:color w:val="000000"/>
              </w:rPr>
            </w:pPr>
            <w:r w:rsidRPr="00E657BE">
              <w:rPr>
                <w:rFonts w:cstheme="minorHAnsi"/>
                <w:color w:val="000000"/>
              </w:rPr>
              <w:t>§60.7(f)</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9"/>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tblPrEx>
          <w:tblW w:w="9445" w:type="dxa"/>
          <w:tblLook w:val="04A0"/>
        </w:tblPrEx>
        <w:trPr>
          <w:trHeight w:val="719"/>
        </w:trPr>
        <w:tc>
          <w:tcPr>
            <w:tcW w:w="9445" w:type="dxa"/>
            <w:vAlign w:val="center"/>
          </w:tcPr>
          <w:p w:rsidR="008B07A2" w:rsidRPr="00B04A5C" w14:paraId="6CF334ED" w14:textId="252AD581">
            <w:pPr>
              <w:outlineLvl w:val="0"/>
              <w:rPr>
                <w:color w:val="000000"/>
              </w:rPr>
            </w:pPr>
            <w:r w:rsidRPr="00D46D81">
              <w:rPr>
                <w:color w:val="000000"/>
              </w:rPr>
              <w:t>Install, calibrate, maintain, and operate CMS for opacity, or for pressure drop and liquid supply pressure for wet scrubber.</w:t>
            </w:r>
          </w:p>
        </w:tc>
      </w:tr>
      <w:tr w14:paraId="032F4D1D" w14:textId="77777777">
        <w:tblPrEx>
          <w:tblW w:w="9445" w:type="dxa"/>
          <w:tblLook w:val="04A0"/>
        </w:tblPrEx>
        <w:trPr>
          <w:trHeight w:val="701"/>
        </w:trPr>
        <w:tc>
          <w:tcPr>
            <w:tcW w:w="9445" w:type="dxa"/>
            <w:vAlign w:val="center"/>
          </w:tcPr>
          <w:p w:rsidR="008B07A2" w:rsidRPr="00B04A5C" w14:paraId="13C4E26E" w14:textId="08ABEE7E">
            <w:pPr>
              <w:outlineLvl w:val="0"/>
              <w:rPr>
                <w:color w:val="000000"/>
              </w:rPr>
            </w:pPr>
            <w:r w:rsidRPr="00251FB9">
              <w:rPr>
                <w:color w:val="000000"/>
              </w:rPr>
              <w:t>Perform initial performance test, Reference Method 1, 2, 3B, and 5 test, and repeat performance tests if necessary.</w:t>
            </w:r>
          </w:p>
        </w:tc>
      </w:tr>
      <w:tr w14:paraId="55372A75" w14:textId="77777777">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tblPrEx>
          <w:tblW w:w="9445" w:type="dxa"/>
          <w:tblLook w:val="04A0"/>
        </w:tblPrEx>
        <w:trPr>
          <w:trHeight w:val="728"/>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B6361B" w:rsidRPr="00B6361B" w:rsidP="00B6361B" w14:paraId="631C2BE5" w14:textId="28391A96">
      <w:pPr>
        <w:spacing w:before="60"/>
        <w:rPr>
          <w:rFonts w:cstheme="minorHAnsi"/>
          <w:color w:val="000000"/>
        </w:rPr>
      </w:pPr>
      <w:r w:rsidRPr="00B6361B">
        <w:rPr>
          <w:rFonts w:cstheme="minorHAnsi"/>
          <w:color w:val="000000"/>
        </w:rPr>
        <w:t>Table</w:t>
      </w:r>
      <w:r w:rsidR="002F500E">
        <w:rPr>
          <w:rFonts w:cstheme="minorHAnsi"/>
          <w:color w:val="000000"/>
        </w:rPr>
        <w:t>s</w:t>
      </w:r>
      <w:r w:rsidRPr="00B6361B">
        <w:rPr>
          <w:rFonts w:cstheme="minorHAnsi"/>
          <w:color w:val="000000"/>
        </w:rPr>
        <w:t xml:space="preserve"> 1</w:t>
      </w:r>
      <w:r w:rsidR="002F500E">
        <w:rPr>
          <w:rFonts w:cstheme="minorHAnsi"/>
          <w:color w:val="000000"/>
        </w:rPr>
        <w:t>a and 1b</w:t>
      </w:r>
      <w:r w:rsidRPr="00B6361B">
        <w:rPr>
          <w:rFonts w:cstheme="minorHAnsi"/>
          <w:color w:val="000000"/>
        </w:rPr>
        <w:t xml:space="preserve"> 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5CE0BA6E">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w:t>
      </w:r>
      <w:r w:rsidR="00717BBB">
        <w:rPr>
          <w:rFonts w:cstheme="minorHAnsi"/>
          <w:color w:val="000000"/>
        </w:rPr>
        <w:t>4,860</w:t>
      </w:r>
      <w:r w:rsidR="00C4086C">
        <w:rPr>
          <w:rFonts w:cstheme="minorHAnsi"/>
          <w:color w:val="000000"/>
        </w:rPr>
        <w:t xml:space="preserve"> </w:t>
      </w:r>
      <w:r w:rsidRPr="00B6361B">
        <w:rPr>
          <w:rFonts w:cstheme="minorHAnsi"/>
          <w:color w:val="000000"/>
        </w:rPr>
        <w:t>hours (Total Labor Hours from Table</w:t>
      </w:r>
      <w:r w:rsidR="00717BBB">
        <w:rPr>
          <w:rFonts w:cstheme="minorHAnsi"/>
          <w:color w:val="000000"/>
        </w:rPr>
        <w:t>s</w:t>
      </w:r>
      <w:r w:rsidRPr="00B6361B">
        <w:rPr>
          <w:rFonts w:cstheme="minorHAnsi"/>
          <w:color w:val="000000"/>
        </w:rPr>
        <w:t xml:space="preserve"> 1</w:t>
      </w:r>
      <w:r w:rsidR="00717BBB">
        <w:rPr>
          <w:rFonts w:cstheme="minorHAnsi"/>
          <w:color w:val="000000"/>
        </w:rPr>
        <w:t>a and 1b</w:t>
      </w:r>
      <w:r w:rsidRPr="00B6361B">
        <w:rPr>
          <w:rFonts w:cstheme="minorHAnsi"/>
          <w:color w:val="000000"/>
        </w:rPr>
        <w:t xml:space="preserve">). These hours are based on Agency studies and background documents from the development of </w:t>
      </w:r>
      <w:r w:rsidRPr="00B6361B">
        <w:rPr>
          <w:rFonts w:cstheme="minorHAnsi"/>
          <w:color w:val="000000"/>
        </w:rPr>
        <w:t>the regulation</w:t>
      </w:r>
      <w:r w:rsidRPr="00B6361B">
        <w:rPr>
          <w:rFonts w:cstheme="minorHAnsi"/>
          <w:color w:val="000000"/>
        </w:rPr>
        <w:t>,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5D7BE7EA">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003E25FE">
        <w:rPr>
          <w:rFonts w:cstheme="minorHAnsi"/>
          <w:color w:val="000000"/>
        </w:rPr>
        <w:t>184.86</w:t>
      </w:r>
      <w:r w:rsidRPr="00F67B5E" w:rsidR="00F67B5E">
        <w:rPr>
          <w:rFonts w:cstheme="minorHAnsi"/>
          <w:color w:val="000000"/>
        </w:rPr>
        <w:t xml:space="preserve"> </w:t>
      </w:r>
      <w:r w:rsidRPr="00B6361B">
        <w:rPr>
          <w:rFonts w:cstheme="minorHAnsi"/>
          <w:color w:val="000000"/>
        </w:rPr>
        <w:t>(</w:t>
      </w:r>
      <w:r w:rsidRPr="00FF4B69" w:rsidR="00FF4B69">
        <w:rPr>
          <w:rFonts w:cstheme="minorHAnsi"/>
          <w:color w:val="000000"/>
        </w:rPr>
        <w:t>$</w:t>
      </w:r>
      <w:r w:rsidR="002D0E2B">
        <w:rPr>
          <w:rFonts w:cstheme="minorHAnsi"/>
          <w:color w:val="000000"/>
        </w:rPr>
        <w:t>88.03</w:t>
      </w:r>
      <w:r w:rsidR="00FF4B69">
        <w:rPr>
          <w:rFonts w:cstheme="minorHAnsi"/>
          <w:color w:val="000000"/>
        </w:rPr>
        <w:t xml:space="preserve"> </w:t>
      </w:r>
      <w:r w:rsidRPr="00B6361B">
        <w:rPr>
          <w:rFonts w:cstheme="minorHAnsi"/>
          <w:color w:val="000000"/>
        </w:rPr>
        <w:t xml:space="preserve">+ 110%) </w:t>
      </w:r>
    </w:p>
    <w:p w:rsidR="00B6361B" w:rsidRPr="00B6361B" w:rsidP="00C4086C" w14:paraId="5A657EE1" w14:textId="1BBE5FF8">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00362684">
        <w:rPr>
          <w:rFonts w:cstheme="minorHAnsi"/>
          <w:color w:val="000000"/>
        </w:rPr>
        <w:t>148.45</w:t>
      </w:r>
      <w:r w:rsidRPr="00583AAC" w:rsidR="00583AAC">
        <w:rPr>
          <w:rFonts w:cstheme="minorHAnsi"/>
          <w:color w:val="000000"/>
        </w:rPr>
        <w:t xml:space="preserve"> ($</w:t>
      </w:r>
      <w:r w:rsidR="00362684">
        <w:rPr>
          <w:rFonts w:cstheme="minorHAnsi"/>
          <w:color w:val="000000"/>
        </w:rPr>
        <w:t>70.69</w:t>
      </w:r>
      <w:r w:rsidRPr="00583AAC" w:rsidR="00583AAC">
        <w:rPr>
          <w:rFonts w:cstheme="minorHAnsi"/>
          <w:color w:val="000000"/>
        </w:rPr>
        <w:t>+ 110%)</w:t>
      </w:r>
    </w:p>
    <w:p w:rsidR="00B6361B" w:rsidRPr="00B6361B" w:rsidP="00642D7E" w14:paraId="521AEE77" w14:textId="545187C1">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00DC3AC9">
        <w:rPr>
          <w:rFonts w:cstheme="minorHAnsi"/>
          <w:color w:val="000000"/>
        </w:rPr>
        <w:t>76.42</w:t>
      </w:r>
      <w:r w:rsidRPr="003F1F7D" w:rsidR="003F1F7D">
        <w:rPr>
          <w:rFonts w:cstheme="minorHAnsi"/>
          <w:color w:val="000000"/>
        </w:rPr>
        <w:t xml:space="preserve"> ($</w:t>
      </w:r>
      <w:r w:rsidR="00121AC1">
        <w:rPr>
          <w:rFonts w:cstheme="minorHAnsi"/>
          <w:color w:val="000000"/>
        </w:rPr>
        <w:t>36.39</w:t>
      </w:r>
      <w:r w:rsidRPr="003F1F7D" w:rsidR="003F1F7D">
        <w:rPr>
          <w:rFonts w:cstheme="minorHAnsi"/>
          <w:color w:val="000000"/>
        </w:rPr>
        <w:t xml:space="preserve"> + 110%</w:t>
      </w:r>
      <w:r w:rsidR="003F1F7D">
        <w:rPr>
          <w:rFonts w:cstheme="minorHAnsi"/>
          <w:color w:val="000000"/>
        </w:rPr>
        <w:t>)</w:t>
      </w:r>
    </w:p>
    <w:p w:rsidR="00B6361B" w:rsidRPr="00B6361B" w:rsidP="00B6361B" w14:paraId="6E3B36E7" w14:textId="4A59F790">
      <w:pPr>
        <w:spacing w:before="60"/>
        <w:rPr>
          <w:rFonts w:cstheme="minorHAnsi"/>
          <w:color w:val="000000"/>
        </w:rPr>
      </w:pPr>
      <w:r w:rsidRPr="006A0C6C">
        <w:rPr>
          <w:rFonts w:cstheme="minorHAnsi"/>
          <w:color w:val="000000"/>
        </w:rPr>
        <w:t xml:space="preserve">These rates are from the United States Department of Labor, Bureau of Labor Statistics, </w:t>
      </w:r>
      <w:r w:rsidR="00BA720A">
        <w:rPr>
          <w:rFonts w:cstheme="minorHAnsi"/>
          <w:color w:val="000000"/>
        </w:rPr>
        <w:t>March 2025</w:t>
      </w:r>
      <w:r w:rsidRPr="006A0C6C">
        <w:rPr>
          <w:rFonts w:cstheme="minorHAnsi"/>
          <w:color w:val="000000"/>
        </w:rPr>
        <w:t>,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w:t>
      </w:r>
      <w:r w:rsidRPr="00F92596">
        <w:rPr>
          <w:rFonts w:cstheme="minorHAnsi"/>
          <w:i/>
          <w:iCs/>
        </w:rPr>
        <w:t>: (a) a</w:t>
      </w:r>
      <w:r w:rsidRPr="00F92596">
        <w:rPr>
          <w:rFonts w:cstheme="minorHAnsi"/>
          <w:i/>
          <w:iCs/>
        </w:rPr>
        <w:t xml:space="preserve">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 xml:space="preserve">component (annualized over its expected useful life) and (b) </w:t>
      </w:r>
      <w:r w:rsidRPr="00F92596">
        <w:rPr>
          <w:rFonts w:cstheme="minorHAnsi"/>
          <w:i/>
          <w:iCs/>
        </w:rPr>
        <w:t>a total</w:t>
      </w:r>
      <w:r w:rsidRPr="00F92596">
        <w:rPr>
          <w:rFonts w:cstheme="minorHAnsi"/>
          <w:i/>
          <w:iCs/>
        </w:rPr>
        <w:t xml:space="preserve"> operation and maintenance and purchase of services component. The estimates should consider costs associated with generating, maintaining, and disclosing or providing </w:t>
      </w:r>
      <w:r w:rsidRPr="00F92596">
        <w:rPr>
          <w:rFonts w:cstheme="minorHAnsi"/>
          <w:i/>
          <w:iCs/>
        </w:rPr>
        <w:t>the information</w:t>
      </w:r>
      <w:r w:rsidRPr="00F92596">
        <w:rPr>
          <w:rFonts w:cstheme="minorHAnsi"/>
          <w:i/>
          <w:iCs/>
        </w:rPr>
        <w:t>.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92596">
        <w:rPr>
          <w:rFonts w:cstheme="minorHAnsi"/>
          <w:i/>
          <w:iCs/>
        </w:rPr>
        <w:t>to provide</w:t>
      </w:r>
      <w:r w:rsidRPr="00F92596">
        <w:rPr>
          <w:rFonts w:cstheme="minorHAnsi"/>
          <w:i/>
          <w:iCs/>
        </w:rPr>
        <w:t xml:space="preserve"> information or keep records for the government, or (4) as part of customary and usual business or private practices.</w:t>
      </w:r>
    </w:p>
    <w:p w:rsidR="00342882" w:rsidRPr="00342882" w:rsidP="00342882" w14:paraId="07317B6B" w14:textId="527862E3">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type of industry costs associated with the information collection activities in the subject </w:t>
      </w:r>
      <w:r w:rsidRPr="00342882">
        <w:rPr>
          <w:rFonts w:cstheme="minorHAnsi"/>
          <w:color w:val="000000"/>
        </w:rPr>
        <w:t>standard(s)</w:t>
      </w:r>
      <w:r w:rsidRPr="00342882">
        <w:rPr>
          <w:rFonts w:cstheme="minorHAnsi"/>
          <w:color w:val="000000"/>
        </w:rPr>
        <w:t xml:space="preserve"> are both labor costs which are addressed elsewhere in this ICR and the costs associated with continuous monitoring. The capital/startup costs are one-</w:t>
      </w:r>
      <w:r w:rsidRPr="00342882">
        <w:rPr>
          <w:rFonts w:cstheme="minorHAnsi"/>
          <w:color w:val="000000"/>
        </w:rPr>
        <w:t>time costs</w:t>
      </w:r>
      <w:r w:rsidRPr="00342882">
        <w:rPr>
          <w:rFonts w:cstheme="minorHAnsi"/>
          <w:color w:val="000000"/>
        </w:rPr>
        <w:t xml:space="preserve"> when a facility becomes subject to this regulation. The annual operation and maintenance costs are the ongoing costs to maintain the monitor(s) and other costs such as photocopying and postage.</w:t>
      </w:r>
    </w:p>
    <w:p w:rsidR="00342882" w:rsidRPr="00342882" w:rsidP="00342882" w14:paraId="105876AA" w14:textId="1B9BB668">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total capital/startup costs for this ICR are $</w:t>
      </w:r>
      <w:r w:rsidR="006C114F">
        <w:rPr>
          <w:rFonts w:cstheme="minorHAnsi"/>
        </w:rPr>
        <w:t>0</w:t>
      </w:r>
      <w:r w:rsidRPr="00D24328">
        <w:rPr>
          <w:rFonts w:cstheme="minorHAnsi"/>
        </w:rPr>
        <w:t>.</w:t>
      </w:r>
      <w:r w:rsidRPr="00342882">
        <w:rPr>
          <w:rFonts w:cstheme="minorHAnsi"/>
          <w:color w:val="000000"/>
        </w:rPr>
        <w:t xml:space="preserve"> This is the total of column D shown in the Capital/Startup vs. Operation and Maintenance (O&amp;M) Costs</w:t>
      </w:r>
      <w:r w:rsidR="00D24328">
        <w:rPr>
          <w:rFonts w:cstheme="minorHAnsi"/>
          <w:color w:val="000000"/>
        </w:rPr>
        <w:t xml:space="preserve"> table</w:t>
      </w:r>
      <w:r w:rsidRPr="00342882">
        <w:rPr>
          <w:rFonts w:cstheme="minorHAnsi"/>
          <w:color w:val="000000"/>
        </w:rPr>
        <w:t xml:space="preserve">. </w:t>
      </w:r>
    </w:p>
    <w:p w:rsidR="00342882" w:rsidRPr="00342882" w:rsidP="00342882" w14:paraId="2CCD21DB" w14:textId="29916D6D">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operation and maintenance (O&amp;M) costs for this ICR are </w:t>
      </w:r>
      <w:r w:rsidRPr="006C114F">
        <w:rPr>
          <w:rFonts w:cstheme="minorHAnsi"/>
        </w:rPr>
        <w:t>$</w:t>
      </w:r>
      <w:r w:rsidRPr="006C114F" w:rsidR="006C114F">
        <w:rPr>
          <w:rFonts w:cstheme="minorHAnsi"/>
        </w:rPr>
        <w:t>187,000</w:t>
      </w:r>
      <w:r w:rsidRPr="006C114F">
        <w:rPr>
          <w:rFonts w:cstheme="minorHAnsi"/>
        </w:rPr>
        <w:t>.</w:t>
      </w:r>
      <w:r w:rsidRPr="00342882">
        <w:rPr>
          <w:rFonts w:cstheme="minorHAnsi"/>
          <w:color w:val="000000"/>
        </w:rPr>
        <w:t xml:space="preserve"> This is the total of column G shown below in the table Capital/Startup vs. Operation and Maintenance (O&amp;M) Costs.</w:t>
      </w:r>
    </w:p>
    <w:p w:rsidR="00BB3410" w:rsidRPr="00BB3410" w:rsidP="00854AAE" w14:paraId="678BA42F" w14:textId="74FEF8D0">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average annual cost for capital/startup and operation and maintenance costs to industry over the next three years of the ICR is estimated to </w:t>
      </w:r>
      <w:r w:rsidRPr="006C114F">
        <w:rPr>
          <w:rFonts w:cstheme="minorHAnsi"/>
        </w:rPr>
        <w:t>be $</w:t>
      </w:r>
      <w:r w:rsidRPr="006C114F" w:rsidR="006C114F">
        <w:rPr>
          <w:rFonts w:cstheme="minorHAnsi"/>
        </w:rPr>
        <w:t>187,000</w:t>
      </w:r>
      <w:r w:rsidRPr="006C114F">
        <w:rPr>
          <w:rFonts w:cstheme="minorHAnsi"/>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1F0834">
        <w:rPr>
          <w:rFonts w:cstheme="minorHAnsi"/>
          <w:bCs/>
          <w:i/>
          <w:iCs/>
        </w:rPr>
        <w:t>expense</w:t>
      </w:r>
      <w:r w:rsidRPr="001F0834">
        <w:rPr>
          <w:rFonts w:cstheme="minorHAnsi"/>
          <w:bCs/>
          <w:i/>
          <w:iCs/>
        </w:rPr>
        <w:t xml:space="preserv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2F593896">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817B20">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A363C5" w:rsidP="000069AF" w14:paraId="18B03B9C" w14:textId="1730B4B1">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w:t>
      </w:r>
      <w:r w:rsidRPr="000069AF">
        <w:rPr>
          <w:rFonts w:cstheme="minorHAnsi"/>
          <w:color w:val="000000"/>
        </w:rPr>
        <w:t>to</w:t>
      </w:r>
      <w:r w:rsidRPr="000069AF">
        <w:rPr>
          <w:rFonts w:cstheme="minorHAnsi"/>
          <w:color w:val="000000"/>
        </w:rPr>
        <w:t xml:space="preserve">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w:t>
      </w:r>
      <w:r w:rsidRPr="00B21BC4">
        <w:rPr>
          <w:rFonts w:cstheme="minorHAnsi"/>
        </w:rPr>
        <w:t xml:space="preserve">be </w:t>
      </w:r>
      <w:r w:rsidRPr="00B21BC4" w:rsidR="00B21BC4">
        <w:rPr>
          <w:rFonts w:cstheme="minorHAnsi"/>
        </w:rPr>
        <w:t>35</w:t>
      </w:r>
      <w:r w:rsidRPr="00B21BC4">
        <w:rPr>
          <w:rFonts w:cstheme="minorHAnsi"/>
        </w:rPr>
        <w:t xml:space="preserve"> hours at a cost of $</w:t>
      </w:r>
      <w:r w:rsidRPr="00B21BC4" w:rsidR="00B21BC4">
        <w:rPr>
          <w:rFonts w:cstheme="minorHAnsi"/>
        </w:rPr>
        <w:t>1,950</w:t>
      </w:r>
      <w:r w:rsidRPr="00B21BC4">
        <w:rPr>
          <w:rFonts w:cstheme="minorHAnsi"/>
        </w:rPr>
        <w:t>.</w:t>
      </w:r>
      <w:r w:rsidRPr="000069AF">
        <w:rPr>
          <w:rFonts w:cstheme="minorHAnsi"/>
          <w:color w:val="000000"/>
        </w:rPr>
        <w:t xml:space="preserve"> See Table 2: Average Annual EPA Burden and Cost </w:t>
      </w:r>
      <w:r w:rsidRPr="00A363C5">
        <w:rPr>
          <w:rFonts w:cstheme="minorHAnsi"/>
        </w:rPr>
        <w:t xml:space="preserve">– </w:t>
      </w:r>
      <w:r w:rsidRPr="00A363C5" w:rsidR="00A363C5">
        <w:rPr>
          <w:rFonts w:cstheme="minorHAnsi"/>
        </w:rPr>
        <w:t>NSPS for Incinerators (40 CFR Part 60, Subpart E) (Renewal)</w:t>
      </w:r>
      <w:r w:rsidRPr="00A363C5">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435E80BA" w14:paraId="5BDD4B04" w14:textId="7063D046">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w:t>
      </w:r>
      <w:r w:rsidR="0068100E">
        <w:rPr>
          <w:color w:val="000000"/>
        </w:rPr>
        <w:t>78.22</w:t>
      </w:r>
      <w:r w:rsidRPr="435E80BA">
        <w:rPr>
          <w:color w:val="000000"/>
        </w:rPr>
        <w:t xml:space="preserve"> (GS-13, Step 5, $</w:t>
      </w:r>
      <w:r w:rsidR="00EF4177">
        <w:rPr>
          <w:color w:val="000000"/>
        </w:rPr>
        <w:t>48.89</w:t>
      </w:r>
      <w:r w:rsidRPr="435E80BA">
        <w:rPr>
          <w:color w:val="000000"/>
        </w:rPr>
        <w:t xml:space="preserve"> + 60%)</w:t>
      </w:r>
    </w:p>
    <w:p w:rsidR="00BF6C47" w:rsidP="000069AF" w14:paraId="11AA48E4" w14:textId="0C7D84F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0039670C">
        <w:rPr>
          <w:rFonts w:cstheme="minorHAnsi"/>
          <w:color w:val="000000"/>
        </w:rPr>
        <w:t>58.05</w:t>
      </w:r>
      <w:r w:rsidRPr="00BF6C47">
        <w:rPr>
          <w:rFonts w:cstheme="minorHAnsi"/>
          <w:color w:val="000000"/>
        </w:rPr>
        <w:t xml:space="preserve"> (GS-12, Step 1, $</w:t>
      </w:r>
      <w:r w:rsidR="00261F43">
        <w:rPr>
          <w:rFonts w:cstheme="minorHAnsi"/>
          <w:color w:val="000000"/>
        </w:rPr>
        <w:t>36.28</w:t>
      </w:r>
      <w:r w:rsidRPr="00BF6C47">
        <w:rPr>
          <w:rFonts w:cstheme="minorHAnsi"/>
          <w:color w:val="000000"/>
        </w:rPr>
        <w:t xml:space="preserve"> + 60%)</w:t>
      </w:r>
    </w:p>
    <w:p w:rsidR="000069AF" w:rsidRPr="000069AF" w:rsidP="000069AF" w14:paraId="109B85E8" w14:textId="379E355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0039670C">
        <w:rPr>
          <w:rFonts w:cstheme="minorHAnsi"/>
          <w:color w:val="000000"/>
        </w:rPr>
        <w:t>31.41</w:t>
      </w:r>
      <w:r w:rsidRPr="00E30153" w:rsidR="00E30153">
        <w:rPr>
          <w:rFonts w:cstheme="minorHAnsi"/>
          <w:color w:val="000000"/>
        </w:rPr>
        <w:t xml:space="preserve"> (GS-6, Step 3, $</w:t>
      </w:r>
      <w:r w:rsidR="0068100E">
        <w:rPr>
          <w:rFonts w:cstheme="minorHAnsi"/>
          <w:color w:val="000000"/>
        </w:rPr>
        <w:t>19.63</w:t>
      </w:r>
      <w:r w:rsidRPr="00E30153" w:rsidR="00E30153">
        <w:rPr>
          <w:rFonts w:cstheme="minorHAnsi"/>
          <w:color w:val="000000"/>
        </w:rPr>
        <w:t>+ 60%)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5E01433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 xml:space="preserve">These rates are from the Office of Personnel Management (OPM), </w:t>
      </w:r>
      <w:r w:rsidR="00E641CB">
        <w:rPr>
          <w:rFonts w:cstheme="minorHAnsi"/>
          <w:color w:val="000000"/>
        </w:rPr>
        <w:t>2025</w:t>
      </w:r>
      <w:r w:rsidRPr="00E30153">
        <w:rPr>
          <w:rFonts w:cstheme="minorHAnsi"/>
          <w:color w:val="000000"/>
        </w:rPr>
        <w:t xml:space="preserve">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A363C5" w:rsidR="00A363C5">
        <w:rPr>
          <w:rFonts w:cstheme="minorHAnsi"/>
          <w:color w:val="000000"/>
        </w:rPr>
        <w:t>NSPS for Incinerators (40 CFR Part 60, Subpart E)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 xml:space="preserve">There </w:t>
      </w:r>
      <w:r w:rsidRPr="00731652">
        <w:rPr>
          <w:rFonts w:cstheme="minorHAnsi"/>
        </w:rPr>
        <w:t>are</w:t>
      </w:r>
      <w:r w:rsidRPr="00731652">
        <w:rPr>
          <w:rFonts w:cstheme="minorHAnsi"/>
        </w:rPr>
        <w:t xml:space="preserv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516952" w:rsidP="0026282A" w14:paraId="60419202" w14:textId="72D153DB">
      <w:pPr>
        <w:pBdr>
          <w:top w:val="single" w:sz="6" w:space="0" w:color="FFFFFF"/>
          <w:left w:val="single" w:sz="6" w:space="0" w:color="FFFFFF"/>
          <w:bottom w:val="single" w:sz="6" w:space="0" w:color="FFFFFF"/>
          <w:right w:val="single" w:sz="6" w:space="0" w:color="FFFFFF"/>
        </w:pBdr>
        <w:rPr>
          <w:color w:val="FF0000"/>
        </w:rPr>
      </w:pPr>
      <w:r>
        <w:t xml:space="preserve">There is an </w:t>
      </w:r>
      <w:r w:rsidR="00E601B9">
        <w:t xml:space="preserve">adjustment increase in the </w:t>
      </w:r>
      <w:r w:rsidRPr="00E64061">
        <w:t>total estimated burden as currently identified in the OMB Inventory of Approved Burdens. This increase is not due to any program changes.</w:t>
      </w:r>
      <w:r w:rsidRPr="00A363C5">
        <w:rPr>
          <w:color w:val="FF0000"/>
        </w:rPr>
        <w:t xml:space="preserve"> </w:t>
      </w:r>
      <w:r w:rsidRPr="004340BA" w:rsidR="00070564">
        <w:t xml:space="preserve">The adjustment </w:t>
      </w:r>
      <w:r w:rsidRPr="004340BA" w:rsidR="00070564">
        <w:t xml:space="preserve">increase in burden from the most recently approved ICR is due to </w:t>
      </w:r>
      <w:r w:rsidR="000E7307">
        <w:t>a correction</w:t>
      </w:r>
      <w:r w:rsidRPr="004340BA" w:rsidR="00070564">
        <w:t xml:space="preserve"> in the number of </w:t>
      </w:r>
      <w:r w:rsidR="004340BA">
        <w:t xml:space="preserve">existing </w:t>
      </w:r>
      <w:r w:rsidRPr="004340BA" w:rsidR="00070564">
        <w:t>sources</w:t>
      </w:r>
      <w:r w:rsidR="00F2379C">
        <w:t xml:space="preserve"> based on a review of sources listed in the EPA’s </w:t>
      </w:r>
      <w:r w:rsidRPr="00F2379C" w:rsidR="00F2379C">
        <w:t>ECHO</w:t>
      </w:r>
      <w:r w:rsidR="00F2379C">
        <w:t xml:space="preserve"> database</w:t>
      </w:r>
      <w:r w:rsidRPr="004340BA" w:rsidR="00070564">
        <w:t xml:space="preserve">. </w:t>
      </w:r>
      <w:r w:rsidRPr="004340BA" w:rsidR="00A363C5">
        <w:t xml:space="preserve">There is an increase in costs, which is due to the </w:t>
      </w:r>
      <w:r w:rsidR="00A45DE0">
        <w:t xml:space="preserve">corrected respondent count and due to the </w:t>
      </w:r>
      <w:r w:rsidRPr="004340BA" w:rsidR="00A363C5">
        <w:t xml:space="preserve">use of updated labor rates. This ICR uses labor rates from the most recent Bureau of Labor Statistics report (March </w:t>
      </w:r>
      <w:r w:rsidRPr="004340BA" w:rsidR="00070564">
        <w:t>2025</w:t>
      </w:r>
      <w:r w:rsidRPr="004340BA" w:rsidR="00A363C5">
        <w:t>) to calculate respondent burden costs.</w:t>
      </w:r>
      <w:r w:rsidRPr="004340BA" w:rsidR="0026282A">
        <w:t xml:space="preserve"> There is an increase in O&amp;M costs whic</w:t>
      </w:r>
      <w:r w:rsidRPr="004340BA" w:rsidR="004340BA">
        <w:t xml:space="preserve">h is due to </w:t>
      </w:r>
      <w:r w:rsidR="009A6B19">
        <w:t>adjusting</w:t>
      </w:r>
      <w:r w:rsidRPr="004340BA" w:rsidR="004340BA">
        <w:t xml:space="preserve"> to 2024</w:t>
      </w:r>
      <w:r w:rsidR="00A45DE0">
        <w:t xml:space="preserve"> </w:t>
      </w:r>
      <w:r w:rsidRPr="004340BA" w:rsidR="004340BA">
        <w:t>$</w:t>
      </w:r>
      <w:r w:rsidR="009A6B19">
        <w:t xml:space="preserve"> using the CEPCI CE Index</w:t>
      </w:r>
      <w:r w:rsidRPr="004340BA" w:rsidR="004340BA">
        <w:t>.</w:t>
      </w:r>
      <w:r w:rsidR="00F71D55">
        <w:t xml:space="preserve"> </w:t>
      </w:r>
      <w:r w:rsidR="00981905">
        <w:t xml:space="preserve">This ICR additionally corrects response count from the </w:t>
      </w:r>
      <w:r w:rsidRPr="004340BA" w:rsidR="00981905">
        <w:t>most recently approved ICR</w:t>
      </w:r>
      <w:r w:rsidR="00CE497A">
        <w:t xml:space="preserve"> in the table </w:t>
      </w:r>
      <w:r w:rsidRPr="00CE497A" w:rsidR="00CE497A">
        <w:t>Total Annual Responses</w:t>
      </w:r>
      <w:r w:rsidR="006F6A69">
        <w:t xml:space="preserve">. There </w:t>
      </w:r>
      <w:r w:rsidR="00FE5C2B">
        <w:t>is</w:t>
      </w:r>
      <w:r w:rsidR="006F6A69">
        <w:t xml:space="preserve"> no change in burden due to this </w:t>
      </w:r>
      <w:r w:rsidR="00DE45E8">
        <w:t>correction.</w:t>
      </w: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1F0834" w:rsidRPr="009A29D0" w:rsidP="00854AAE" w14:paraId="21A4F990" w14:textId="77777777">
      <w:pPr>
        <w:pBdr>
          <w:bottom w:val="single" w:sz="12" w:space="1" w:color="auto"/>
        </w:pBdr>
        <w:spacing w:before="60"/>
        <w:rPr>
          <w:rFonts w:cstheme="minorHAnsi"/>
          <w:bCs/>
          <w:i/>
          <w:iCs/>
        </w:rPr>
      </w:pPr>
      <w:r w:rsidRPr="001F0834">
        <w:rPr>
          <w:rFonts w:cstheme="minorHAnsi"/>
          <w:bCs/>
          <w:i/>
          <w:iCs/>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w:t>
      </w:r>
      <w:r w:rsidRPr="009A29D0">
        <w:rPr>
          <w:rFonts w:cstheme="minorHAnsi"/>
          <w:bCs/>
          <w:i/>
          <w:iCs/>
        </w:rPr>
        <w:t>report, publication dates, and other actions.</w:t>
      </w:r>
    </w:p>
    <w:p w:rsidR="007F11C3" w:rsidRPr="000C21A3" w:rsidP="007F11C3" w14:paraId="6222D8F7" w14:textId="696EF0B5">
      <w:pPr>
        <w:pBdr>
          <w:top w:val="single" w:sz="6" w:space="0" w:color="FFFFFF"/>
          <w:left w:val="single" w:sz="6" w:space="0" w:color="FFFFFF"/>
          <w:bottom w:val="single" w:sz="6" w:space="0" w:color="FFFFFF"/>
          <w:right w:val="single" w:sz="6" w:space="0" w:color="FFFFFF"/>
        </w:pBdr>
        <w:rPr>
          <w:color w:val="FF0000"/>
        </w:rPr>
      </w:pPr>
      <w:r w:rsidRPr="009A29D0">
        <w:t>Although this rule does not require electronic reporting, respondents could choose to submit notifications or reports electronically.</w:t>
      </w:r>
      <w:r w:rsidRPr="000C21A3">
        <w:rPr>
          <w:color w:val="FF0000"/>
        </w:rPr>
        <w:t xml:space="preserve"> </w:t>
      </w:r>
      <w:r w:rsidRPr="007025A2">
        <w:t xml:space="preserve">All non-CBI data submitted electronically to the Agency through CEDRI </w:t>
      </w:r>
      <w:r w:rsidRPr="007025A2">
        <w:t>are</w:t>
      </w:r>
      <w:r w:rsidRPr="007025A2">
        <w:t xml:space="preserv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RPr="00811E64" w:rsidP="001641AA" w14:paraId="7CE12A09" w14:textId="55E780AB">
      <w:pPr>
        <w:spacing w:before="240"/>
        <w:rPr>
          <w:rFonts w:cstheme="minorHAnsi"/>
          <w:b/>
          <w:bCs/>
          <w:sz w:val="24"/>
          <w:szCs w:val="24"/>
        </w:rPr>
      </w:pPr>
      <w:r w:rsidRPr="00811E64">
        <w:rPr>
          <w:rFonts w:cstheme="minorHAnsi"/>
          <w:b/>
          <w:bCs/>
          <w:sz w:val="24"/>
          <w:szCs w:val="24"/>
        </w:rPr>
        <w:t>Table 1</w:t>
      </w:r>
      <w:r w:rsidR="00292D0B">
        <w:rPr>
          <w:rFonts w:cstheme="minorHAnsi"/>
          <w:b/>
          <w:bCs/>
          <w:sz w:val="24"/>
          <w:szCs w:val="24"/>
        </w:rPr>
        <w:t>a</w:t>
      </w:r>
      <w:r w:rsidRPr="00811E64">
        <w:rPr>
          <w:rFonts w:cstheme="minorHAnsi"/>
          <w:b/>
          <w:bCs/>
          <w:sz w:val="24"/>
          <w:szCs w:val="24"/>
        </w:rPr>
        <w:t xml:space="preserve">: Annual Respondent Burden and Cost </w:t>
      </w:r>
      <w:r w:rsidR="00292D0B">
        <w:rPr>
          <w:rFonts w:cstheme="minorHAnsi"/>
          <w:b/>
          <w:bCs/>
          <w:sz w:val="24"/>
          <w:szCs w:val="24"/>
        </w:rPr>
        <w:t xml:space="preserve">for Privately-Owned Incinerators </w:t>
      </w:r>
      <w:r w:rsidRPr="00811E64">
        <w:rPr>
          <w:rFonts w:cstheme="minorHAnsi"/>
          <w:b/>
          <w:bCs/>
          <w:sz w:val="24"/>
          <w:szCs w:val="24"/>
        </w:rPr>
        <w:t xml:space="preserve">– </w:t>
      </w:r>
      <w:r w:rsidRPr="00811E64" w:rsidR="00811E64">
        <w:rPr>
          <w:rFonts w:cstheme="minorHAnsi"/>
          <w:b/>
          <w:bCs/>
          <w:sz w:val="24"/>
          <w:szCs w:val="24"/>
        </w:rPr>
        <w:t xml:space="preserve">NSPS for Incinerators (40 CFR Part 60, Subpart E) (Renewal) </w:t>
      </w:r>
    </w:p>
    <w:tbl>
      <w:tblPr>
        <w:tblW w:w="14580" w:type="dxa"/>
        <w:tblInd w:w="-522" w:type="dxa"/>
        <w:tblCellMar>
          <w:top w:w="15" w:type="dxa"/>
          <w:bottom w:w="15" w:type="dxa"/>
        </w:tblCellMar>
        <w:tblLook w:val="04A0"/>
      </w:tblPr>
      <w:tblGrid>
        <w:gridCol w:w="4860"/>
        <w:gridCol w:w="1160"/>
        <w:gridCol w:w="1238"/>
        <w:gridCol w:w="1175"/>
        <w:gridCol w:w="1306"/>
        <w:gridCol w:w="1050"/>
        <w:gridCol w:w="1338"/>
        <w:gridCol w:w="1103"/>
        <w:gridCol w:w="1350"/>
      </w:tblGrid>
      <w:tr w14:paraId="42B14E05" w14:textId="77777777" w:rsidTr="00C34FB5">
        <w:tblPrEx>
          <w:tblW w:w="14580" w:type="dxa"/>
          <w:tblInd w:w="-522" w:type="dxa"/>
          <w:tblCellMar>
            <w:top w:w="15" w:type="dxa"/>
            <w:bottom w:w="15" w:type="dxa"/>
          </w:tblCellMar>
          <w:tblLook w:val="04A0"/>
        </w:tblPrEx>
        <w:trPr>
          <w:trHeight w:val="178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14FE8E5"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Burden Item</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1A64240"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(A)</w:t>
            </w:r>
            <w:r w:rsidRPr="00292D0B">
              <w:rPr>
                <w:rFonts w:eastAsia="Times New Roman" w:cstheme="minorHAnsi"/>
                <w:b/>
                <w:bCs/>
                <w:color w:val="000000"/>
                <w:sz w:val="20"/>
                <w:szCs w:val="20"/>
              </w:rPr>
              <w:br/>
              <w:t>Technical person-hours per occurrence</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2487FC6" w14:textId="0CF4868E">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(B)</w:t>
            </w:r>
            <w:r w:rsidRPr="00292D0B">
              <w:rPr>
                <w:rFonts w:eastAsia="Times New Roman" w:cstheme="minorHAnsi"/>
                <w:b/>
                <w:bCs/>
                <w:color w:val="000000"/>
                <w:sz w:val="20"/>
                <w:szCs w:val="20"/>
              </w:rPr>
              <w:br/>
              <w:t>No. of occurrences</w:t>
            </w:r>
            <w:r w:rsidR="001D7163">
              <w:rPr>
                <w:rFonts w:eastAsia="Times New Roman" w:cstheme="minorHAnsi"/>
                <w:b/>
                <w:bCs/>
                <w:color w:val="000000"/>
                <w:sz w:val="20"/>
                <w:szCs w:val="20"/>
              </w:rPr>
              <w:t xml:space="preserve"> </w:t>
            </w:r>
            <w:r w:rsidRPr="00292D0B">
              <w:rPr>
                <w:rFonts w:eastAsia="Times New Roman" w:cstheme="minorHAnsi"/>
                <w:b/>
                <w:bCs/>
                <w:color w:val="000000"/>
                <w:sz w:val="20"/>
                <w:szCs w:val="20"/>
              </w:rPr>
              <w:t>per respondent per year</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25A8AF4"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(C)</w:t>
            </w:r>
            <w:r w:rsidRPr="00292D0B">
              <w:rPr>
                <w:rFonts w:eastAsia="Times New Roman" w:cstheme="minorHAnsi"/>
                <w:b/>
                <w:bCs/>
                <w:color w:val="000000"/>
                <w:sz w:val="20"/>
                <w:szCs w:val="20"/>
              </w:rPr>
              <w:br/>
              <w:t xml:space="preserve">Technical person-hours per respondent per year </w:t>
            </w:r>
            <w:r w:rsidRPr="00292D0B">
              <w:rPr>
                <w:rFonts w:eastAsia="Times New Roman" w:cstheme="minorHAnsi"/>
                <w:b/>
                <w:bCs/>
                <w:color w:val="000000"/>
                <w:sz w:val="20"/>
                <w:szCs w:val="20"/>
              </w:rPr>
              <w:br/>
              <w:t>(C=</w:t>
            </w:r>
            <w:r w:rsidRPr="00292D0B">
              <w:rPr>
                <w:rFonts w:eastAsia="Times New Roman" w:cstheme="minorHAnsi"/>
                <w:b/>
                <w:bCs/>
                <w:color w:val="000000"/>
                <w:sz w:val="20"/>
                <w:szCs w:val="20"/>
              </w:rPr>
              <w:t>AxB</w:t>
            </w:r>
            <w:r w:rsidRPr="00292D0B">
              <w:rPr>
                <w:rFonts w:eastAsia="Times New Roman" w:cstheme="minorHAnsi"/>
                <w:b/>
                <w:bCs/>
                <w:color w:val="000000"/>
                <w:sz w:val="20"/>
                <w:szCs w:val="20"/>
              </w:rPr>
              <w:t>)</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69152B5"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(D)</w:t>
            </w:r>
            <w:r w:rsidRPr="00292D0B">
              <w:rPr>
                <w:rFonts w:eastAsia="Times New Roman" w:cstheme="minorHAnsi"/>
                <w:b/>
                <w:bCs/>
                <w:color w:val="000000"/>
                <w:sz w:val="20"/>
                <w:szCs w:val="20"/>
              </w:rPr>
              <w:br/>
              <w:t xml:space="preserve">Respondents per year </w:t>
            </w:r>
            <w:r w:rsidRPr="00292D0B">
              <w:rPr>
                <w:rFonts w:eastAsia="Times New Roman" w:cstheme="minorHAnsi"/>
                <w:b/>
                <w:bCs/>
                <w:color w:val="000000"/>
                <w:sz w:val="20"/>
                <w:szCs w:val="20"/>
                <w:vertAlign w:val="superscript"/>
              </w:rPr>
              <w:t>a</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01EE011"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(E)</w:t>
            </w:r>
            <w:r w:rsidRPr="00292D0B">
              <w:rPr>
                <w:rFonts w:eastAsia="Times New Roman" w:cstheme="minorHAnsi"/>
                <w:b/>
                <w:bCs/>
                <w:color w:val="000000"/>
                <w:sz w:val="20"/>
                <w:szCs w:val="20"/>
              </w:rPr>
              <w:br/>
              <w:t>Technical hours per year</w:t>
            </w:r>
            <w:r w:rsidRPr="00292D0B">
              <w:rPr>
                <w:rFonts w:eastAsia="Times New Roman" w:cstheme="minorHAnsi"/>
                <w:b/>
                <w:bCs/>
                <w:color w:val="000000"/>
                <w:sz w:val="20"/>
                <w:szCs w:val="20"/>
              </w:rPr>
              <w:br/>
              <w:t>(E=</w:t>
            </w:r>
            <w:r w:rsidRPr="00292D0B">
              <w:rPr>
                <w:rFonts w:eastAsia="Times New Roman" w:cstheme="minorHAnsi"/>
                <w:b/>
                <w:bCs/>
                <w:color w:val="000000"/>
                <w:sz w:val="20"/>
                <w:szCs w:val="20"/>
              </w:rPr>
              <w:t>CxD</w:t>
            </w:r>
            <w:r w:rsidRPr="00292D0B">
              <w:rPr>
                <w:rFonts w:eastAsia="Times New Roman" w:cstheme="minorHAnsi"/>
                <w:b/>
                <w:bCs/>
                <w:color w:val="000000"/>
                <w:sz w:val="20"/>
                <w:szCs w:val="20"/>
              </w:rPr>
              <w:t>)</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B86D5BF"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(F)</w:t>
            </w:r>
            <w:r w:rsidRPr="00292D0B">
              <w:rPr>
                <w:rFonts w:eastAsia="Times New Roman" w:cstheme="minorHAnsi"/>
                <w:b/>
                <w:bCs/>
                <w:color w:val="000000"/>
                <w:sz w:val="20"/>
                <w:szCs w:val="20"/>
              </w:rPr>
              <w:br/>
              <w:t>Management hours per year (F=Ex0.05)</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EC2FE0B"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(G)</w:t>
            </w:r>
            <w:r w:rsidRPr="00292D0B">
              <w:rPr>
                <w:rFonts w:eastAsia="Times New Roman" w:cstheme="minorHAnsi"/>
                <w:b/>
                <w:bCs/>
                <w:color w:val="000000"/>
                <w:sz w:val="20"/>
                <w:szCs w:val="20"/>
              </w:rPr>
              <w:br/>
              <w:t>Clerical hours per year</w:t>
            </w:r>
            <w:r w:rsidRPr="00292D0B">
              <w:rPr>
                <w:rFonts w:eastAsia="Times New Roman" w:cstheme="minorHAnsi"/>
                <w:b/>
                <w:bCs/>
                <w:color w:val="000000"/>
                <w:sz w:val="20"/>
                <w:szCs w:val="20"/>
              </w:rPr>
              <w:br/>
              <w:t>(G=Ex0.1)</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998B701"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(H)</w:t>
            </w:r>
            <w:r w:rsidRPr="00292D0B">
              <w:rPr>
                <w:rFonts w:eastAsia="Times New Roman" w:cstheme="minorHAnsi"/>
                <w:b/>
                <w:bCs/>
                <w:color w:val="000000"/>
                <w:sz w:val="20"/>
                <w:szCs w:val="20"/>
              </w:rPr>
              <w:br/>
              <w:t xml:space="preserve">Total cost per year ($) </w:t>
            </w:r>
            <w:r w:rsidRPr="00292D0B">
              <w:rPr>
                <w:rFonts w:eastAsia="Times New Roman" w:cstheme="minorHAnsi"/>
                <w:b/>
                <w:bCs/>
                <w:color w:val="000000"/>
                <w:sz w:val="20"/>
                <w:szCs w:val="20"/>
                <w:vertAlign w:val="superscript"/>
              </w:rPr>
              <w:t>b</w:t>
            </w:r>
          </w:p>
        </w:tc>
      </w:tr>
      <w:tr w14:paraId="1A458EE6"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70AF98C" w14:textId="316EBBA3">
            <w:pPr>
              <w:spacing w:after="0" w:line="240" w:lineRule="auto"/>
              <w:rPr>
                <w:rFonts w:eastAsia="Times New Roman" w:cstheme="minorHAnsi"/>
                <w:color w:val="000000"/>
                <w:sz w:val="20"/>
                <w:szCs w:val="20"/>
              </w:rPr>
            </w:pPr>
            <w:r w:rsidRPr="00292D0B">
              <w:rPr>
                <w:rFonts w:eastAsia="Times New Roman" w:cstheme="minorHAnsi"/>
                <w:color w:val="000000"/>
                <w:sz w:val="20"/>
                <w:szCs w:val="20"/>
              </w:rPr>
              <w:t>1.</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Applications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B1440A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300595A"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F7084B9"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AA07B6F"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9AC3414"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E56CC8A"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2F1ABD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C5A2B8D" w14:textId="77777777">
            <w:pPr>
              <w:spacing w:after="0" w:line="240" w:lineRule="auto"/>
              <w:jc w:val="center"/>
              <w:rPr>
                <w:rFonts w:eastAsia="Times New Roman" w:cstheme="minorHAnsi"/>
                <w:sz w:val="20"/>
                <w:szCs w:val="20"/>
              </w:rPr>
            </w:pPr>
          </w:p>
        </w:tc>
      </w:tr>
      <w:tr w14:paraId="3CA2CBE3"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987DCC0" w14:textId="136E9C6B">
            <w:pPr>
              <w:spacing w:after="0" w:line="240" w:lineRule="auto"/>
              <w:rPr>
                <w:rFonts w:eastAsia="Times New Roman" w:cstheme="minorHAnsi"/>
                <w:color w:val="000000"/>
                <w:sz w:val="20"/>
                <w:szCs w:val="20"/>
              </w:rPr>
            </w:pPr>
            <w:r w:rsidRPr="00292D0B">
              <w:rPr>
                <w:rFonts w:eastAsia="Times New Roman" w:cstheme="minorHAnsi"/>
                <w:color w:val="000000"/>
                <w:sz w:val="20"/>
                <w:szCs w:val="20"/>
              </w:rPr>
              <w:t>2.</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Survey and Studies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C2CB1BA"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9AB0FB4"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2862BDC"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04D44A0"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F4EA6AF"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75D8261"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95FB848"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82D4AFE" w14:textId="77777777">
            <w:pPr>
              <w:spacing w:after="0" w:line="240" w:lineRule="auto"/>
              <w:jc w:val="center"/>
              <w:rPr>
                <w:rFonts w:eastAsia="Times New Roman" w:cstheme="minorHAnsi"/>
                <w:sz w:val="20"/>
                <w:szCs w:val="20"/>
              </w:rPr>
            </w:pPr>
          </w:p>
        </w:tc>
      </w:tr>
      <w:tr w14:paraId="39C67EB7"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C74A698" w14:textId="0948A96D">
            <w:pPr>
              <w:spacing w:after="0" w:line="240" w:lineRule="auto"/>
              <w:rPr>
                <w:rFonts w:eastAsia="Times New Roman" w:cstheme="minorHAnsi"/>
                <w:color w:val="000000"/>
                <w:sz w:val="20"/>
                <w:szCs w:val="20"/>
              </w:rPr>
            </w:pPr>
            <w:r w:rsidRPr="00292D0B">
              <w:rPr>
                <w:rFonts w:eastAsia="Times New Roman" w:cstheme="minorHAnsi"/>
                <w:color w:val="000000"/>
                <w:sz w:val="20"/>
                <w:szCs w:val="20"/>
              </w:rPr>
              <w:t>3.</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Reporting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227FAF9"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2D3EF8F"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79A1744"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D7B6F22"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363469E"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298D803"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CA3E946"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738D169" w14:textId="77777777">
            <w:pPr>
              <w:spacing w:after="0" w:line="240" w:lineRule="auto"/>
              <w:jc w:val="center"/>
              <w:rPr>
                <w:rFonts w:eastAsia="Times New Roman" w:cstheme="minorHAnsi"/>
                <w:sz w:val="20"/>
                <w:szCs w:val="20"/>
              </w:rPr>
            </w:pPr>
          </w:p>
        </w:tc>
      </w:tr>
      <w:tr w14:paraId="2C9B2697"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EF7F698" w14:textId="473BC5F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A. Familiarize with regulatory requirements </w:t>
            </w:r>
            <w:r w:rsidRPr="00292D0B">
              <w:rPr>
                <w:rFonts w:eastAsia="Times New Roman" w:cstheme="minorHAnsi"/>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9BBDCF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718CEF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DC8AE6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6D762A3"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26</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FEFCA0E"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26</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D272F75"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1.3</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3549A6E"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2.6</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FB562C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$4,298.71 </w:t>
            </w:r>
          </w:p>
        </w:tc>
      </w:tr>
      <w:tr w14:paraId="1E091B7E"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7242E78" w14:textId="7534839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B. Required activities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217939A"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D8644E5"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30E101C"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8CD304"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E884048"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C16DF80"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4890711"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7E101A6" w14:textId="77777777">
            <w:pPr>
              <w:spacing w:after="0" w:line="240" w:lineRule="auto"/>
              <w:jc w:val="center"/>
              <w:rPr>
                <w:rFonts w:eastAsia="Times New Roman" w:cstheme="minorHAnsi"/>
                <w:sz w:val="20"/>
                <w:szCs w:val="20"/>
              </w:rPr>
            </w:pPr>
          </w:p>
        </w:tc>
      </w:tr>
      <w:tr w14:paraId="61F0125E"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E70709C" w14:textId="2249337F">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Initial performance test </w:t>
            </w:r>
            <w:r w:rsidRPr="00292D0B">
              <w:rPr>
                <w:rFonts w:eastAsia="Times New Roman" w:cstheme="minorHAnsi"/>
                <w:color w:val="000000"/>
                <w:sz w:val="20"/>
                <w:szCs w:val="20"/>
                <w:vertAlign w:val="superscript"/>
              </w:rPr>
              <w:t>d, e</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A9D079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538C31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DA0E24F"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016B6D5"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270E3D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FE0ABFC"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9329AF9"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56FED50"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6F0CB0E1"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1FD872D" w14:textId="490934C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C. Create information on performance test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63799D3"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See 3B</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E14EA47"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36C693B"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10DC232"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7DFAFC2"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B669D23"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AA724A0"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934F0F5" w14:textId="77777777">
            <w:pPr>
              <w:spacing w:after="0" w:line="240" w:lineRule="auto"/>
              <w:jc w:val="center"/>
              <w:rPr>
                <w:rFonts w:eastAsia="Times New Roman" w:cstheme="minorHAnsi"/>
                <w:sz w:val="20"/>
                <w:szCs w:val="20"/>
              </w:rPr>
            </w:pPr>
          </w:p>
        </w:tc>
      </w:tr>
      <w:tr w14:paraId="66CF4311"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4EAABB0" w14:textId="2F05AED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D. Gather existing information</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9C953D5"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See 3E</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BA1E480"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CC7DF57"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ACFC21B"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F5653CF"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DDA0969"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0A7D97B"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24F49CD" w14:textId="77777777">
            <w:pPr>
              <w:spacing w:after="0" w:line="240" w:lineRule="auto"/>
              <w:jc w:val="center"/>
              <w:rPr>
                <w:rFonts w:eastAsia="Times New Roman" w:cstheme="minorHAnsi"/>
                <w:sz w:val="20"/>
                <w:szCs w:val="20"/>
              </w:rPr>
            </w:pPr>
          </w:p>
        </w:tc>
      </w:tr>
      <w:tr w14:paraId="3194B312"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84CDE49" w14:textId="7E34AC4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E.</w:t>
            </w:r>
            <w:r>
              <w:rPr>
                <w:rFonts w:eastAsia="Times New Roman" w:cstheme="minorHAnsi"/>
                <w:color w:val="000000"/>
                <w:sz w:val="20"/>
                <w:szCs w:val="20"/>
              </w:rPr>
              <w:t xml:space="preserve"> </w:t>
            </w:r>
            <w:r w:rsidRPr="00292D0B">
              <w:rPr>
                <w:rFonts w:eastAsia="Times New Roman" w:cstheme="minorHAnsi"/>
                <w:color w:val="000000"/>
                <w:sz w:val="20"/>
                <w:szCs w:val="20"/>
              </w:rPr>
              <w:t>Write Report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7F85AB4"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DBC9079"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5FF26C9"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87FA2AA"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390560F"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342527E"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2638BD6"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FF83EF9" w14:textId="77777777">
            <w:pPr>
              <w:spacing w:after="0" w:line="240" w:lineRule="auto"/>
              <w:jc w:val="center"/>
              <w:rPr>
                <w:rFonts w:eastAsia="Times New Roman" w:cstheme="minorHAnsi"/>
                <w:sz w:val="20"/>
                <w:szCs w:val="20"/>
              </w:rPr>
            </w:pPr>
          </w:p>
        </w:tc>
      </w:tr>
      <w:tr w14:paraId="54BC0D77"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0A69780" w14:textId="2F2E4B7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Notification of construction/ reconstruction </w:t>
            </w:r>
            <w:r w:rsidRPr="00292D0B">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20EDACD"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EECA10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6EA1FA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ECD042F"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A2679F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12181A5"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D778863"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DB7F19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39D305B0"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D5D5F61" w14:textId="30C47BC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Notification of actual startup </w:t>
            </w:r>
            <w:r w:rsidRPr="00292D0B">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220DB3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18691B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28FFC6E"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8D3EC9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5283499"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2769FF5"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BE353B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B0E976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0611A267" w14:textId="77777777" w:rsidTr="00C34FB5">
        <w:tblPrEx>
          <w:tblW w:w="14580" w:type="dxa"/>
          <w:tblInd w:w="-522" w:type="dxa"/>
          <w:tblCellMar>
            <w:top w:w="15" w:type="dxa"/>
            <w:bottom w:w="15" w:type="dxa"/>
          </w:tblCellMar>
          <w:tblLook w:val="04A0"/>
        </w:tblPrEx>
        <w:trPr>
          <w:trHeight w:val="51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F8DFE69" w14:textId="57C72F8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Notification of physical and operational changes which may increase emission rates of any regulated pollutants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565FB4E"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466AE3D"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23717E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69CC62B"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76B43E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917C390"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FB64752"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EDB171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1D7EC0E0"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90031C" w14:textId="5C3B70C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Notification of initial performance test </w:t>
            </w:r>
            <w:r w:rsidRPr="00292D0B">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8D4442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24682AD"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60FF4C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D2E262D"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E7B4273"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9B0EECD"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3C5EAB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ACA49D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33E3978C"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2BA2512" w14:textId="402427C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Report </w:t>
            </w:r>
            <w:r w:rsidRPr="00292D0B">
              <w:rPr>
                <w:rFonts w:eastAsia="Times New Roman" w:cstheme="minorHAnsi"/>
                <w:color w:val="000000"/>
                <w:sz w:val="20"/>
                <w:szCs w:val="20"/>
              </w:rPr>
              <w:t>of</w:t>
            </w:r>
            <w:r w:rsidRPr="00292D0B">
              <w:rPr>
                <w:rFonts w:eastAsia="Times New Roman" w:cstheme="minorHAnsi"/>
                <w:color w:val="000000"/>
                <w:sz w:val="20"/>
                <w:szCs w:val="20"/>
              </w:rPr>
              <w:t xml:space="preserve"> initial performance test results </w:t>
            </w:r>
            <w:r w:rsidRPr="00292D0B">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A2CF94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A632B0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9765B0D"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C8FBB5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112EC9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E0B63F4"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6064E3A"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AF3BE9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623F7E9B"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D39B6E4" w14:textId="1E32ADC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Compliance status reports </w:t>
            </w:r>
            <w:r w:rsidRPr="00292D0B">
              <w:rPr>
                <w:rFonts w:eastAsia="Times New Roman" w:cstheme="minorHAnsi"/>
                <w:color w:val="000000"/>
                <w:sz w:val="20"/>
                <w:szCs w:val="20"/>
                <w:vertAlign w:val="superscript"/>
              </w:rPr>
              <w:t>f</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A2A2B4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ECB5CEB"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AB8959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64E8842"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CE28BC"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8FDAF8E"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744ACC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0A55877"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$0 </w:t>
            </w:r>
          </w:p>
        </w:tc>
      </w:tr>
      <w:tr w14:paraId="4A076D63"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8E8F50C" w14:textId="77777777">
            <w:pPr>
              <w:spacing w:after="0" w:line="240" w:lineRule="auto"/>
              <w:rPr>
                <w:rFonts w:eastAsia="Times New Roman" w:cstheme="minorHAnsi"/>
                <w:b/>
                <w:bCs/>
                <w:i/>
                <w:iCs/>
                <w:color w:val="000000"/>
                <w:sz w:val="20"/>
                <w:szCs w:val="20"/>
              </w:rPr>
            </w:pPr>
            <w:r w:rsidRPr="00292D0B">
              <w:rPr>
                <w:rFonts w:eastAsia="Times New Roman" w:cstheme="minorHAnsi"/>
                <w:b/>
                <w:bCs/>
                <w:i/>
                <w:iCs/>
                <w:color w:val="000000"/>
                <w:sz w:val="20"/>
                <w:szCs w:val="20"/>
              </w:rPr>
              <w:t>Subtotal for Reporting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C0DB283" w14:textId="77777777">
            <w:pPr>
              <w:spacing w:after="0" w:line="240" w:lineRule="auto"/>
              <w:rPr>
                <w:rFonts w:eastAsia="Times New Roman" w:cstheme="minorHAnsi"/>
                <w:b/>
                <w:bCs/>
                <w:i/>
                <w:i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4862DAD"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A92F067"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21DA636" w14:textId="77777777">
            <w:pPr>
              <w:spacing w:after="0" w:line="240" w:lineRule="auto"/>
              <w:jc w:val="center"/>
              <w:rPr>
                <w:rFonts w:eastAsia="Times New Roman" w:cstheme="minorHAnsi"/>
                <w:sz w:val="20"/>
                <w:szCs w:val="20"/>
              </w:rPr>
            </w:pPr>
          </w:p>
        </w:tc>
        <w:tc>
          <w:tcPr>
            <w:tcW w:w="3491" w:type="dxa"/>
            <w:gridSpan w:val="3"/>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67E5D20"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30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8C78A09"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 xml:space="preserve">$4,299 </w:t>
            </w:r>
          </w:p>
        </w:tc>
      </w:tr>
      <w:tr w14:paraId="590B6D76"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9FC3AF2" w14:textId="3D208534">
            <w:pPr>
              <w:spacing w:after="0" w:line="240" w:lineRule="auto"/>
              <w:rPr>
                <w:rFonts w:eastAsia="Times New Roman" w:cstheme="minorHAnsi"/>
                <w:color w:val="000000"/>
                <w:sz w:val="20"/>
                <w:szCs w:val="20"/>
              </w:rPr>
            </w:pPr>
            <w:r w:rsidRPr="00292D0B">
              <w:rPr>
                <w:rFonts w:eastAsia="Times New Roman" w:cstheme="minorHAnsi"/>
                <w:color w:val="000000"/>
                <w:sz w:val="20"/>
                <w:szCs w:val="20"/>
              </w:rPr>
              <w:t>4.</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Recordkeeping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C6E106E"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57946D8"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89FA21D"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F1AFD9D"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9804A07"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9A4A7CA"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CC5C18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99E4D61" w14:textId="77777777">
            <w:pPr>
              <w:spacing w:after="0" w:line="240" w:lineRule="auto"/>
              <w:jc w:val="center"/>
              <w:rPr>
                <w:rFonts w:eastAsia="Times New Roman" w:cstheme="minorHAnsi"/>
                <w:sz w:val="20"/>
                <w:szCs w:val="20"/>
              </w:rPr>
            </w:pPr>
          </w:p>
        </w:tc>
      </w:tr>
      <w:tr w14:paraId="291E9456"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6731EF0" w14:textId="67E538E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A. Familiarize with regulatory requirements </w:t>
            </w:r>
            <w:r w:rsidRPr="00292D0B">
              <w:rPr>
                <w:rFonts w:eastAsia="Times New Roman" w:cstheme="minorHAnsi"/>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976933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See 4E</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4FA5708"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2E9B4A2"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AC385D0"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9F16A08"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7D9D34"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704CE1A"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E6378CF" w14:textId="77777777">
            <w:pPr>
              <w:spacing w:after="0" w:line="240" w:lineRule="auto"/>
              <w:jc w:val="center"/>
              <w:rPr>
                <w:rFonts w:eastAsia="Times New Roman" w:cstheme="minorHAnsi"/>
                <w:sz w:val="20"/>
                <w:szCs w:val="20"/>
              </w:rPr>
            </w:pPr>
          </w:p>
        </w:tc>
      </w:tr>
      <w:tr w14:paraId="587D8D57"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52D79BE" w14:textId="7EE3CAE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B.</w:t>
            </w:r>
            <w:r>
              <w:rPr>
                <w:rFonts w:eastAsia="Times New Roman" w:cstheme="minorHAnsi"/>
                <w:color w:val="000000"/>
                <w:sz w:val="20"/>
                <w:szCs w:val="20"/>
              </w:rPr>
              <w:t xml:space="preserve"> </w:t>
            </w:r>
            <w:r w:rsidRPr="00292D0B">
              <w:rPr>
                <w:rFonts w:eastAsia="Times New Roman" w:cstheme="minorHAnsi"/>
                <w:color w:val="000000"/>
                <w:sz w:val="20"/>
                <w:szCs w:val="20"/>
              </w:rPr>
              <w:t>Plan activities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CA420FA"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See 4E</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F91DE15"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A017523"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4F7B1AE"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D68449E"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41D2428"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D010CAA"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C4FB272" w14:textId="77777777">
            <w:pPr>
              <w:spacing w:after="0" w:line="240" w:lineRule="auto"/>
              <w:jc w:val="center"/>
              <w:rPr>
                <w:rFonts w:eastAsia="Times New Roman" w:cstheme="minorHAnsi"/>
                <w:sz w:val="20"/>
                <w:szCs w:val="20"/>
              </w:rPr>
            </w:pPr>
          </w:p>
        </w:tc>
      </w:tr>
      <w:tr w14:paraId="351E8C90"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3A418D9" w14:textId="741FD5DE">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C.</w:t>
            </w:r>
            <w:r>
              <w:rPr>
                <w:rFonts w:eastAsia="Times New Roman" w:cstheme="minorHAnsi"/>
                <w:color w:val="000000"/>
                <w:sz w:val="20"/>
                <w:szCs w:val="20"/>
              </w:rPr>
              <w:t xml:space="preserve"> </w:t>
            </w:r>
            <w:r w:rsidRPr="00292D0B">
              <w:rPr>
                <w:rFonts w:eastAsia="Times New Roman" w:cstheme="minorHAnsi"/>
                <w:color w:val="000000"/>
                <w:sz w:val="20"/>
                <w:szCs w:val="20"/>
              </w:rPr>
              <w:t>Implement activities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95A194C"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See 4E</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08931A2"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A41D018"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9D9040F"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57D8289"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B05A413"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27452BB"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396A401" w14:textId="77777777">
            <w:pPr>
              <w:spacing w:after="0" w:line="240" w:lineRule="auto"/>
              <w:jc w:val="center"/>
              <w:rPr>
                <w:rFonts w:eastAsia="Times New Roman" w:cstheme="minorHAnsi"/>
                <w:sz w:val="20"/>
                <w:szCs w:val="20"/>
              </w:rPr>
            </w:pPr>
          </w:p>
        </w:tc>
      </w:tr>
      <w:tr w14:paraId="0455A677"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0032DC0" w14:textId="722B045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D.</w:t>
            </w:r>
            <w:r>
              <w:rPr>
                <w:rFonts w:eastAsia="Times New Roman" w:cstheme="minorHAnsi"/>
                <w:color w:val="000000"/>
                <w:sz w:val="20"/>
                <w:szCs w:val="20"/>
              </w:rPr>
              <w:t xml:space="preserve"> </w:t>
            </w:r>
            <w:r w:rsidRPr="00292D0B">
              <w:rPr>
                <w:rFonts w:eastAsia="Times New Roman" w:cstheme="minorHAnsi"/>
                <w:color w:val="000000"/>
                <w:sz w:val="20"/>
                <w:szCs w:val="20"/>
              </w:rPr>
              <w:t>Develop record system</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4FF1CDB"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A02CC03"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8594963"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4611A95"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C4581C6"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19052E3"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8C88CA9"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0C8D9BB" w14:textId="77777777">
            <w:pPr>
              <w:spacing w:after="0" w:line="240" w:lineRule="auto"/>
              <w:jc w:val="center"/>
              <w:rPr>
                <w:rFonts w:eastAsia="Times New Roman" w:cstheme="minorHAnsi"/>
                <w:sz w:val="20"/>
                <w:szCs w:val="20"/>
              </w:rPr>
            </w:pPr>
          </w:p>
        </w:tc>
      </w:tr>
      <w:tr w14:paraId="1D040A3C"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4DFDA4D" w14:textId="0C251C0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E.</w:t>
            </w:r>
            <w:r>
              <w:rPr>
                <w:rFonts w:eastAsia="Times New Roman" w:cstheme="minorHAnsi"/>
                <w:color w:val="000000"/>
                <w:sz w:val="20"/>
                <w:szCs w:val="20"/>
              </w:rPr>
              <w:t xml:space="preserve"> </w:t>
            </w:r>
            <w:r w:rsidRPr="00292D0B">
              <w:rPr>
                <w:rFonts w:eastAsia="Times New Roman" w:cstheme="minorHAnsi"/>
                <w:color w:val="000000"/>
                <w:sz w:val="20"/>
                <w:szCs w:val="20"/>
              </w:rPr>
              <w:t>Time to enter information</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AC6A937"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2569CBD"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FC7DEF1"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1C0AD0C"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7BB9BFA"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35B679D"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4A2C8CE"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3FE475A" w14:textId="77777777">
            <w:pPr>
              <w:spacing w:after="0" w:line="240" w:lineRule="auto"/>
              <w:jc w:val="center"/>
              <w:rPr>
                <w:rFonts w:eastAsia="Times New Roman" w:cstheme="minorHAnsi"/>
                <w:sz w:val="20"/>
                <w:szCs w:val="20"/>
              </w:rPr>
            </w:pPr>
          </w:p>
        </w:tc>
      </w:tr>
      <w:tr w14:paraId="56676002" w14:textId="77777777" w:rsidTr="00C34FB5">
        <w:tblPrEx>
          <w:tblW w:w="14580" w:type="dxa"/>
          <w:tblInd w:w="-522" w:type="dxa"/>
          <w:tblCellMar>
            <w:top w:w="15" w:type="dxa"/>
            <w:bottom w:w="15" w:type="dxa"/>
          </w:tblCellMar>
          <w:tblLook w:val="04A0"/>
        </w:tblPrEx>
        <w:trPr>
          <w:trHeight w:val="76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F095EA9" w14:textId="67FDA225">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Record of occurrence and duration of startup, shutdown, or malfunction; emissions monitoring system; and initial performance test results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581627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1.5</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FAA7C38"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A6C2ACA"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1.5</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2B254EF"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26</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E712E9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39</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7152190"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1.95</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0B54889"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3.9</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5AC849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$6,448.07 </w:t>
            </w:r>
          </w:p>
        </w:tc>
      </w:tr>
      <w:tr w14:paraId="6F8282CA" w14:textId="77777777" w:rsidTr="00C34FB5">
        <w:tblPrEx>
          <w:tblW w:w="14580" w:type="dxa"/>
          <w:tblInd w:w="-522" w:type="dxa"/>
          <w:tblCellMar>
            <w:top w:w="15" w:type="dxa"/>
            <w:bottom w:w="15" w:type="dxa"/>
          </w:tblCellMar>
          <w:tblLook w:val="04A0"/>
        </w:tblPrEx>
        <w:trPr>
          <w:trHeight w:val="315"/>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6DB0DAF" w14:textId="713A768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 xml:space="preserve">Records of daily charging rates and hours of operation </w:t>
            </w:r>
            <w:r w:rsidRPr="00292D0B">
              <w:rPr>
                <w:rFonts w:eastAsia="Times New Roman" w:cstheme="minorHAnsi"/>
                <w:color w:val="000000"/>
                <w:sz w:val="20"/>
                <w:szCs w:val="20"/>
                <w:vertAlign w:val="superscript"/>
              </w:rPr>
              <w:t>g</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CA8CE10"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0.25</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2F60D55"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350</w:t>
            </w: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46A67B3"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87.5</w:t>
            </w: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118EE2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26</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474595B"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2,275</w:t>
            </w: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E94CB14"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113.75</w:t>
            </w: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3FA1FE"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227.5</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D368469"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 xml:space="preserve">$376,137.13 </w:t>
            </w:r>
          </w:p>
        </w:tc>
      </w:tr>
      <w:tr w14:paraId="62F1067E"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CE066A1" w14:textId="50613696">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F.</w:t>
            </w:r>
            <w:r>
              <w:rPr>
                <w:rFonts w:eastAsia="Times New Roman" w:cstheme="minorHAnsi"/>
                <w:color w:val="000000"/>
                <w:sz w:val="20"/>
                <w:szCs w:val="20"/>
              </w:rPr>
              <w:t xml:space="preserve"> </w:t>
            </w:r>
            <w:r w:rsidRPr="00292D0B">
              <w:rPr>
                <w:rFonts w:eastAsia="Times New Roman" w:cstheme="minorHAnsi"/>
                <w:color w:val="000000"/>
                <w:sz w:val="20"/>
                <w:szCs w:val="20"/>
              </w:rPr>
              <w:t>Time to train personnel</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7CE3A61"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DA279DF"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2A49A8"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A58B695"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861320C"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3C9A784"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A2C2C6C"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BB11149" w14:textId="77777777">
            <w:pPr>
              <w:spacing w:after="0" w:line="240" w:lineRule="auto"/>
              <w:jc w:val="center"/>
              <w:rPr>
                <w:rFonts w:eastAsia="Times New Roman" w:cstheme="minorHAnsi"/>
                <w:sz w:val="20"/>
                <w:szCs w:val="20"/>
              </w:rPr>
            </w:pPr>
          </w:p>
        </w:tc>
      </w:tr>
      <w:tr w14:paraId="3D6C2EAF"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392FBF8" w14:textId="637E172F">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292D0B">
              <w:rPr>
                <w:rFonts w:eastAsia="Times New Roman" w:cstheme="minorHAnsi"/>
                <w:color w:val="000000"/>
                <w:sz w:val="20"/>
                <w:szCs w:val="20"/>
              </w:rPr>
              <w:t>G.</w:t>
            </w:r>
            <w:r>
              <w:rPr>
                <w:rFonts w:eastAsia="Times New Roman" w:cstheme="minorHAnsi"/>
                <w:color w:val="000000"/>
                <w:sz w:val="20"/>
                <w:szCs w:val="20"/>
              </w:rPr>
              <w:t xml:space="preserve"> </w:t>
            </w:r>
            <w:r w:rsidRPr="00292D0B">
              <w:rPr>
                <w:rFonts w:eastAsia="Times New Roman" w:cstheme="minorHAnsi"/>
                <w:color w:val="000000"/>
                <w:sz w:val="20"/>
                <w:szCs w:val="20"/>
              </w:rPr>
              <w:t>Time for audits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8D93E06" w14:textId="77777777">
            <w:pPr>
              <w:spacing w:after="0" w:line="240" w:lineRule="auto"/>
              <w:jc w:val="center"/>
              <w:rPr>
                <w:rFonts w:eastAsia="Times New Roman" w:cstheme="minorHAnsi"/>
                <w:color w:val="000000"/>
                <w:sz w:val="20"/>
                <w:szCs w:val="20"/>
              </w:rPr>
            </w:pPr>
            <w:r w:rsidRPr="00292D0B">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12D395B"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EFE3558"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9515048"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F818F6F"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8684E6B"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4954872"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E0914B4" w14:textId="77777777">
            <w:pPr>
              <w:spacing w:after="0" w:line="240" w:lineRule="auto"/>
              <w:jc w:val="center"/>
              <w:rPr>
                <w:rFonts w:eastAsia="Times New Roman" w:cstheme="minorHAnsi"/>
                <w:sz w:val="20"/>
                <w:szCs w:val="20"/>
              </w:rPr>
            </w:pPr>
          </w:p>
        </w:tc>
      </w:tr>
      <w:tr w14:paraId="5C1C4578"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A47BBA0" w14:textId="77777777">
            <w:pPr>
              <w:spacing w:after="0" w:line="240" w:lineRule="auto"/>
              <w:rPr>
                <w:rFonts w:eastAsia="Times New Roman" w:cstheme="minorHAnsi"/>
                <w:b/>
                <w:bCs/>
                <w:i/>
                <w:iCs/>
                <w:color w:val="000000"/>
                <w:sz w:val="20"/>
                <w:szCs w:val="20"/>
              </w:rPr>
            </w:pPr>
            <w:r w:rsidRPr="00292D0B">
              <w:rPr>
                <w:rFonts w:eastAsia="Times New Roman" w:cstheme="minorHAnsi"/>
                <w:b/>
                <w:bCs/>
                <w:i/>
                <w:iCs/>
                <w:color w:val="000000"/>
                <w:sz w:val="20"/>
                <w:szCs w:val="20"/>
              </w:rPr>
              <w:t>Subtotal for Recordkeeping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CF5D0FA" w14:textId="77777777">
            <w:pPr>
              <w:spacing w:after="0" w:line="240" w:lineRule="auto"/>
              <w:rPr>
                <w:rFonts w:eastAsia="Times New Roman" w:cstheme="minorHAnsi"/>
                <w:b/>
                <w:bCs/>
                <w:i/>
                <w:i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D5ED75E"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A79151A"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22B6C46" w14:textId="77777777">
            <w:pPr>
              <w:spacing w:after="0" w:line="240" w:lineRule="auto"/>
              <w:jc w:val="center"/>
              <w:rPr>
                <w:rFonts w:eastAsia="Times New Roman" w:cstheme="minorHAnsi"/>
                <w:sz w:val="20"/>
                <w:szCs w:val="20"/>
              </w:rPr>
            </w:pPr>
          </w:p>
        </w:tc>
        <w:tc>
          <w:tcPr>
            <w:tcW w:w="3491" w:type="dxa"/>
            <w:gridSpan w:val="3"/>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6E58D81"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2,661</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F7239B1"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 xml:space="preserve">$382,585 </w:t>
            </w:r>
          </w:p>
        </w:tc>
      </w:tr>
      <w:tr w14:paraId="251D6BAB" w14:textId="77777777" w:rsidTr="00C34FB5">
        <w:tblPrEx>
          <w:tblW w:w="14580" w:type="dxa"/>
          <w:tblInd w:w="-522" w:type="dxa"/>
          <w:tblCellMar>
            <w:top w:w="15" w:type="dxa"/>
            <w:bottom w:w="15" w:type="dxa"/>
          </w:tblCellMar>
          <w:tblLook w:val="04A0"/>
        </w:tblPrEx>
        <w:trPr>
          <w:trHeight w:val="330"/>
        </w:trPr>
        <w:tc>
          <w:tcPr>
            <w:tcW w:w="4860" w:type="dxa"/>
            <w:tcBorders>
              <w:top w:val="single" w:sz="4" w:space="0" w:color="auto"/>
              <w:left w:val="single" w:sz="4" w:space="0" w:color="auto"/>
              <w:bottom w:val="single" w:sz="4" w:space="0" w:color="auto"/>
              <w:right w:val="single" w:sz="4" w:space="0" w:color="auto"/>
            </w:tcBorders>
            <w:vAlign w:val="bottom"/>
            <w:hideMark/>
          </w:tcPr>
          <w:p w:rsidR="00292D0B" w:rsidRPr="00292D0B" w:rsidP="00292D0B" w14:paraId="43A1E456" w14:textId="77777777">
            <w:pPr>
              <w:spacing w:after="0" w:line="240" w:lineRule="auto"/>
              <w:rPr>
                <w:rFonts w:eastAsia="Times New Roman" w:cstheme="minorHAnsi"/>
                <w:b/>
                <w:bCs/>
                <w:color w:val="000000"/>
                <w:sz w:val="20"/>
                <w:szCs w:val="20"/>
              </w:rPr>
            </w:pPr>
            <w:r w:rsidRPr="00292D0B">
              <w:rPr>
                <w:rFonts w:eastAsia="Times New Roman" w:cstheme="minorHAnsi"/>
                <w:b/>
                <w:bCs/>
                <w:color w:val="000000"/>
                <w:sz w:val="20"/>
                <w:szCs w:val="20"/>
              </w:rPr>
              <w:t xml:space="preserve">Total Labor Burden and Costs (rounded) </w:t>
            </w:r>
            <w:r w:rsidRPr="00292D0B">
              <w:rPr>
                <w:rFonts w:eastAsia="Times New Roman" w:cstheme="minorHAnsi"/>
                <w:b/>
                <w:bCs/>
                <w:color w:val="000000"/>
                <w:sz w:val="20"/>
                <w:szCs w:val="20"/>
                <w:vertAlign w:val="superscript"/>
              </w:rPr>
              <w:t>h</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4C1859E" w14:textId="77777777">
            <w:pPr>
              <w:spacing w:after="0" w:line="240" w:lineRule="auto"/>
              <w:rPr>
                <w:rFonts w:eastAsia="Times New Roman" w:cstheme="minorHAnsi"/>
                <w:b/>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F2FD816"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981AE17"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F0089FD" w14:textId="77777777">
            <w:pPr>
              <w:spacing w:after="0" w:line="240" w:lineRule="auto"/>
              <w:rPr>
                <w:rFonts w:eastAsia="Times New Roman" w:cstheme="minorHAnsi"/>
                <w:sz w:val="20"/>
                <w:szCs w:val="20"/>
              </w:rPr>
            </w:pPr>
          </w:p>
        </w:tc>
        <w:tc>
          <w:tcPr>
            <w:tcW w:w="3491" w:type="dxa"/>
            <w:gridSpan w:val="3"/>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2BA7C63"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2,690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0742B4C4"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 xml:space="preserve">$387,000 </w:t>
            </w:r>
          </w:p>
        </w:tc>
      </w:tr>
      <w:tr w14:paraId="044087CC" w14:textId="77777777" w:rsidTr="00C34FB5">
        <w:tblPrEx>
          <w:tblW w:w="14580" w:type="dxa"/>
          <w:tblInd w:w="-522" w:type="dxa"/>
          <w:tblCellMar>
            <w:top w:w="15" w:type="dxa"/>
            <w:bottom w:w="15" w:type="dxa"/>
          </w:tblCellMar>
          <w:tblLook w:val="04A0"/>
        </w:tblPrEx>
        <w:trPr>
          <w:trHeight w:val="300"/>
        </w:trPr>
        <w:tc>
          <w:tcPr>
            <w:tcW w:w="4860" w:type="dxa"/>
            <w:tcBorders>
              <w:top w:val="single" w:sz="4" w:space="0" w:color="auto"/>
              <w:left w:val="single" w:sz="4" w:space="0" w:color="auto"/>
              <w:bottom w:val="single" w:sz="4" w:space="0" w:color="auto"/>
              <w:right w:val="single" w:sz="4" w:space="0" w:color="auto"/>
            </w:tcBorders>
            <w:vAlign w:val="bottom"/>
            <w:hideMark/>
          </w:tcPr>
          <w:p w:rsidR="00292D0B" w:rsidRPr="00292D0B" w:rsidP="00292D0B" w14:paraId="74B835E4" w14:textId="77777777">
            <w:pPr>
              <w:spacing w:after="0" w:line="240" w:lineRule="auto"/>
              <w:rPr>
                <w:rFonts w:eastAsia="Times New Roman" w:cstheme="minorHAnsi"/>
                <w:b/>
                <w:bCs/>
                <w:color w:val="000000"/>
                <w:sz w:val="20"/>
                <w:szCs w:val="20"/>
              </w:rPr>
            </w:pPr>
            <w:r w:rsidRPr="00292D0B">
              <w:rPr>
                <w:rFonts w:eastAsia="Times New Roman" w:cstheme="minorHAnsi"/>
                <w:b/>
                <w:bCs/>
                <w:color w:val="000000"/>
                <w:sz w:val="20"/>
                <w:szCs w:val="20"/>
              </w:rPr>
              <w:t xml:space="preserve">Total Capital and O&amp;M Cost (rounded) </w:t>
            </w:r>
            <w:r w:rsidRPr="00292D0B">
              <w:rPr>
                <w:rFonts w:eastAsia="Times New Roman" w:cstheme="minorHAnsi"/>
                <w:b/>
                <w:bCs/>
                <w:color w:val="000000"/>
                <w:sz w:val="20"/>
                <w:szCs w:val="20"/>
                <w:vertAlign w:val="superscript"/>
              </w:rPr>
              <w:t>h</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9F86390" w14:textId="77777777">
            <w:pPr>
              <w:spacing w:after="0" w:line="240" w:lineRule="auto"/>
              <w:rPr>
                <w:rFonts w:eastAsia="Times New Roman" w:cstheme="minorHAnsi"/>
                <w:b/>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9106F58"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68C4940"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EE3049F" w14:textId="77777777">
            <w:pPr>
              <w:spacing w:after="0" w:line="240" w:lineRule="auto"/>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66354903" w14:textId="77777777">
            <w:pPr>
              <w:spacing w:after="0" w:line="240" w:lineRule="auto"/>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53EDEAB"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7F11325"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6786827"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 xml:space="preserve">$103,000 </w:t>
            </w:r>
          </w:p>
        </w:tc>
      </w:tr>
      <w:tr w14:paraId="7ED90155" w14:textId="77777777" w:rsidTr="00C34FB5">
        <w:tblPrEx>
          <w:tblW w:w="14580" w:type="dxa"/>
          <w:tblInd w:w="-522" w:type="dxa"/>
          <w:tblCellMar>
            <w:top w:w="15" w:type="dxa"/>
            <w:bottom w:w="15" w:type="dxa"/>
          </w:tblCellMar>
          <w:tblLook w:val="04A0"/>
        </w:tblPrEx>
        <w:trPr>
          <w:trHeight w:val="330"/>
        </w:trPr>
        <w:tc>
          <w:tcPr>
            <w:tcW w:w="4860" w:type="dxa"/>
            <w:tcBorders>
              <w:top w:val="single" w:sz="4" w:space="0" w:color="auto"/>
              <w:left w:val="single" w:sz="4" w:space="0" w:color="auto"/>
              <w:bottom w:val="single" w:sz="4" w:space="0" w:color="auto"/>
              <w:right w:val="single" w:sz="4" w:space="0" w:color="auto"/>
            </w:tcBorders>
            <w:vAlign w:val="bottom"/>
            <w:hideMark/>
          </w:tcPr>
          <w:p w:rsidR="00292D0B" w:rsidRPr="00292D0B" w:rsidP="00292D0B" w14:paraId="3AA658AE" w14:textId="77777777">
            <w:pPr>
              <w:spacing w:after="0" w:line="240" w:lineRule="auto"/>
              <w:rPr>
                <w:rFonts w:eastAsia="Times New Roman" w:cstheme="minorHAnsi"/>
                <w:b/>
                <w:bCs/>
                <w:color w:val="000000"/>
                <w:sz w:val="20"/>
                <w:szCs w:val="20"/>
              </w:rPr>
            </w:pPr>
            <w:r w:rsidRPr="00292D0B">
              <w:rPr>
                <w:rFonts w:eastAsia="Times New Roman" w:cstheme="minorHAnsi"/>
                <w:b/>
                <w:bCs/>
                <w:color w:val="000000"/>
                <w:sz w:val="20"/>
                <w:szCs w:val="20"/>
              </w:rPr>
              <w:t xml:space="preserve">GRAND TOTAL (rounded) </w:t>
            </w:r>
            <w:r w:rsidRPr="00292D0B">
              <w:rPr>
                <w:rFonts w:eastAsia="Times New Roman" w:cstheme="minorHAnsi"/>
                <w:b/>
                <w:bCs/>
                <w:color w:val="000000"/>
                <w:sz w:val="20"/>
                <w:szCs w:val="20"/>
                <w:vertAlign w:val="superscript"/>
              </w:rPr>
              <w:t>h</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AA4CE33" w14:textId="77777777">
            <w:pPr>
              <w:spacing w:after="0" w:line="240" w:lineRule="auto"/>
              <w:rPr>
                <w:rFonts w:eastAsia="Times New Roman" w:cstheme="minorHAnsi"/>
                <w:b/>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F873CD7"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4235D46E"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26234F03" w14:textId="77777777">
            <w:pPr>
              <w:spacing w:after="0" w:line="240" w:lineRule="auto"/>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339AF1C5" w14:textId="77777777">
            <w:pPr>
              <w:spacing w:after="0" w:line="240" w:lineRule="auto"/>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5A39D793"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7810076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292D0B" w:rsidRPr="00292D0B" w:rsidP="00292D0B" w14:paraId="19F8F4EE" w14:textId="77777777">
            <w:pPr>
              <w:spacing w:after="0" w:line="240" w:lineRule="auto"/>
              <w:jc w:val="center"/>
              <w:rPr>
                <w:rFonts w:eastAsia="Times New Roman" w:cstheme="minorHAnsi"/>
                <w:b/>
                <w:bCs/>
                <w:color w:val="000000"/>
                <w:sz w:val="20"/>
                <w:szCs w:val="20"/>
              </w:rPr>
            </w:pPr>
            <w:r w:rsidRPr="00292D0B">
              <w:rPr>
                <w:rFonts w:eastAsia="Times New Roman" w:cstheme="minorHAnsi"/>
                <w:b/>
                <w:bCs/>
                <w:color w:val="000000"/>
                <w:sz w:val="20"/>
                <w:szCs w:val="20"/>
              </w:rPr>
              <w:t xml:space="preserve">$490,000 </w:t>
            </w:r>
          </w:p>
        </w:tc>
      </w:tr>
      <w:tr w14:paraId="0E1AE9D3" w14:textId="77777777" w:rsidTr="00C34FB5">
        <w:tblPrEx>
          <w:tblW w:w="14580" w:type="dxa"/>
          <w:tblInd w:w="-522" w:type="dxa"/>
          <w:tblCellMar>
            <w:top w:w="15" w:type="dxa"/>
            <w:bottom w:w="15" w:type="dxa"/>
          </w:tblCellMar>
          <w:tblLook w:val="04A0"/>
        </w:tblPrEx>
        <w:trPr>
          <w:trHeight w:val="300"/>
        </w:trPr>
        <w:tc>
          <w:tcPr>
            <w:tcW w:w="4860" w:type="dxa"/>
            <w:tcBorders>
              <w:top w:val="nil"/>
              <w:left w:val="nil"/>
              <w:bottom w:val="nil"/>
              <w:right w:val="nil"/>
            </w:tcBorders>
            <w:noWrap/>
            <w:vAlign w:val="bottom"/>
            <w:hideMark/>
          </w:tcPr>
          <w:p w:rsidR="00292D0B" w:rsidRPr="00292D0B" w:rsidP="00292D0B" w14:paraId="661526E4" w14:textId="77777777">
            <w:pPr>
              <w:spacing w:after="0" w:line="240" w:lineRule="auto"/>
              <w:jc w:val="center"/>
              <w:rPr>
                <w:rFonts w:eastAsia="Times New Roman" w:cstheme="minorHAnsi"/>
                <w:b/>
                <w:bCs/>
                <w:color w:val="000000"/>
                <w:sz w:val="20"/>
                <w:szCs w:val="20"/>
              </w:rPr>
            </w:pPr>
          </w:p>
        </w:tc>
        <w:tc>
          <w:tcPr>
            <w:tcW w:w="1160" w:type="dxa"/>
            <w:tcBorders>
              <w:top w:val="nil"/>
              <w:left w:val="nil"/>
              <w:bottom w:val="nil"/>
              <w:right w:val="nil"/>
            </w:tcBorders>
            <w:noWrap/>
            <w:vAlign w:val="bottom"/>
            <w:hideMark/>
          </w:tcPr>
          <w:p w:rsidR="00292D0B" w:rsidRPr="00292D0B" w:rsidP="00292D0B" w14:paraId="5481F356" w14:textId="77777777">
            <w:pPr>
              <w:spacing w:after="0" w:line="240" w:lineRule="auto"/>
              <w:rPr>
                <w:rFonts w:eastAsia="Times New Roman" w:cstheme="minorHAnsi"/>
                <w:sz w:val="20"/>
                <w:szCs w:val="20"/>
              </w:rPr>
            </w:pPr>
          </w:p>
        </w:tc>
        <w:tc>
          <w:tcPr>
            <w:tcW w:w="1238" w:type="dxa"/>
            <w:tcBorders>
              <w:top w:val="nil"/>
              <w:left w:val="nil"/>
              <w:bottom w:val="nil"/>
              <w:right w:val="nil"/>
            </w:tcBorders>
            <w:noWrap/>
            <w:vAlign w:val="bottom"/>
            <w:hideMark/>
          </w:tcPr>
          <w:p w:rsidR="00292D0B" w:rsidRPr="00292D0B" w:rsidP="00292D0B" w14:paraId="18610369" w14:textId="77777777">
            <w:pPr>
              <w:spacing w:after="0" w:line="240" w:lineRule="auto"/>
              <w:rPr>
                <w:rFonts w:eastAsia="Times New Roman" w:cstheme="minorHAnsi"/>
                <w:sz w:val="20"/>
                <w:szCs w:val="20"/>
              </w:rPr>
            </w:pPr>
          </w:p>
        </w:tc>
        <w:tc>
          <w:tcPr>
            <w:tcW w:w="1175" w:type="dxa"/>
            <w:tcBorders>
              <w:top w:val="nil"/>
              <w:left w:val="nil"/>
              <w:bottom w:val="nil"/>
              <w:right w:val="nil"/>
            </w:tcBorders>
            <w:noWrap/>
            <w:vAlign w:val="bottom"/>
            <w:hideMark/>
          </w:tcPr>
          <w:p w:rsidR="00292D0B" w:rsidRPr="00292D0B" w:rsidP="00292D0B" w14:paraId="5CCC8C77"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292D0B" w:rsidRPr="00292D0B" w:rsidP="00292D0B" w14:paraId="2E358959"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292D0B" w:rsidRPr="00292D0B" w:rsidP="00292D0B" w14:paraId="56E2E62F"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292D0B" w:rsidRPr="00292D0B" w:rsidP="00292D0B" w14:paraId="59A58485" w14:textId="77777777">
            <w:pPr>
              <w:spacing w:after="0" w:line="240" w:lineRule="auto"/>
              <w:rPr>
                <w:rFonts w:eastAsia="Times New Roman" w:cstheme="minorHAnsi"/>
                <w:sz w:val="20"/>
                <w:szCs w:val="20"/>
              </w:rPr>
            </w:pPr>
          </w:p>
        </w:tc>
        <w:tc>
          <w:tcPr>
            <w:tcW w:w="1103" w:type="dxa"/>
            <w:tcBorders>
              <w:top w:val="nil"/>
              <w:left w:val="nil"/>
              <w:bottom w:val="nil"/>
              <w:right w:val="nil"/>
            </w:tcBorders>
            <w:noWrap/>
            <w:vAlign w:val="bottom"/>
            <w:hideMark/>
          </w:tcPr>
          <w:p w:rsidR="00292D0B" w:rsidRPr="00292D0B" w:rsidP="00292D0B" w14:paraId="3DD9CE4A" w14:textId="77777777">
            <w:pPr>
              <w:spacing w:after="0" w:line="240" w:lineRule="auto"/>
              <w:rPr>
                <w:rFonts w:eastAsia="Times New Roman" w:cstheme="minorHAnsi"/>
                <w:sz w:val="20"/>
                <w:szCs w:val="20"/>
              </w:rPr>
            </w:pPr>
          </w:p>
        </w:tc>
        <w:tc>
          <w:tcPr>
            <w:tcW w:w="1350" w:type="dxa"/>
            <w:tcBorders>
              <w:top w:val="nil"/>
              <w:left w:val="nil"/>
              <w:bottom w:val="nil"/>
              <w:right w:val="nil"/>
            </w:tcBorders>
            <w:noWrap/>
            <w:vAlign w:val="bottom"/>
            <w:hideMark/>
          </w:tcPr>
          <w:p w:rsidR="00292D0B" w:rsidRPr="00292D0B" w:rsidP="00292D0B" w14:paraId="67CBBCE7" w14:textId="77777777">
            <w:pPr>
              <w:spacing w:after="0" w:line="240" w:lineRule="auto"/>
              <w:rPr>
                <w:rFonts w:eastAsia="Times New Roman" w:cstheme="minorHAnsi"/>
                <w:sz w:val="20"/>
                <w:szCs w:val="20"/>
              </w:rPr>
            </w:pPr>
          </w:p>
        </w:tc>
      </w:tr>
      <w:tr w14:paraId="3365A0CF" w14:textId="77777777" w:rsidTr="00C34FB5">
        <w:tblPrEx>
          <w:tblW w:w="14580" w:type="dxa"/>
          <w:tblInd w:w="-522" w:type="dxa"/>
          <w:tblCellMar>
            <w:top w:w="15" w:type="dxa"/>
            <w:bottom w:w="15" w:type="dxa"/>
          </w:tblCellMar>
          <w:tblLook w:val="04A0"/>
        </w:tblPrEx>
        <w:trPr>
          <w:trHeight w:val="300"/>
        </w:trPr>
        <w:tc>
          <w:tcPr>
            <w:tcW w:w="4860" w:type="dxa"/>
            <w:tcBorders>
              <w:top w:val="nil"/>
              <w:left w:val="nil"/>
              <w:bottom w:val="nil"/>
              <w:right w:val="nil"/>
            </w:tcBorders>
            <w:noWrap/>
            <w:vAlign w:val="bottom"/>
            <w:hideMark/>
          </w:tcPr>
          <w:p w:rsidR="00292D0B" w:rsidRPr="00292D0B" w:rsidP="00292D0B" w14:paraId="3988F974" w14:textId="77777777">
            <w:pPr>
              <w:spacing w:after="0" w:line="240" w:lineRule="auto"/>
              <w:rPr>
                <w:rFonts w:eastAsia="Times New Roman" w:cstheme="minorHAnsi"/>
                <w:b/>
                <w:bCs/>
                <w:color w:val="000000"/>
                <w:sz w:val="20"/>
                <w:szCs w:val="20"/>
              </w:rPr>
            </w:pPr>
            <w:r w:rsidRPr="00292D0B">
              <w:rPr>
                <w:rFonts w:eastAsia="Times New Roman" w:cstheme="minorHAnsi"/>
                <w:b/>
                <w:bCs/>
                <w:color w:val="000000"/>
                <w:sz w:val="20"/>
                <w:szCs w:val="20"/>
              </w:rPr>
              <w:t>Assumptions:</w:t>
            </w:r>
          </w:p>
        </w:tc>
        <w:tc>
          <w:tcPr>
            <w:tcW w:w="1160" w:type="dxa"/>
            <w:tcBorders>
              <w:top w:val="nil"/>
              <w:left w:val="nil"/>
              <w:bottom w:val="nil"/>
              <w:right w:val="nil"/>
            </w:tcBorders>
            <w:noWrap/>
            <w:vAlign w:val="bottom"/>
            <w:hideMark/>
          </w:tcPr>
          <w:p w:rsidR="00292D0B" w:rsidRPr="00292D0B" w:rsidP="00292D0B" w14:paraId="56D69AA6" w14:textId="77777777">
            <w:pPr>
              <w:spacing w:after="0" w:line="240" w:lineRule="auto"/>
              <w:rPr>
                <w:rFonts w:eastAsia="Times New Roman" w:cstheme="minorHAnsi"/>
                <w:b/>
                <w:bCs/>
                <w:color w:val="000000"/>
                <w:sz w:val="20"/>
                <w:szCs w:val="20"/>
              </w:rPr>
            </w:pPr>
          </w:p>
        </w:tc>
        <w:tc>
          <w:tcPr>
            <w:tcW w:w="1238" w:type="dxa"/>
            <w:tcBorders>
              <w:top w:val="nil"/>
              <w:left w:val="nil"/>
              <w:bottom w:val="nil"/>
              <w:right w:val="nil"/>
            </w:tcBorders>
            <w:noWrap/>
            <w:vAlign w:val="bottom"/>
            <w:hideMark/>
          </w:tcPr>
          <w:p w:rsidR="00292D0B" w:rsidRPr="00292D0B" w:rsidP="00292D0B" w14:paraId="01F7C566" w14:textId="77777777">
            <w:pPr>
              <w:spacing w:after="0" w:line="240" w:lineRule="auto"/>
              <w:rPr>
                <w:rFonts w:eastAsia="Times New Roman" w:cstheme="minorHAnsi"/>
                <w:sz w:val="20"/>
                <w:szCs w:val="20"/>
              </w:rPr>
            </w:pPr>
          </w:p>
        </w:tc>
        <w:tc>
          <w:tcPr>
            <w:tcW w:w="1175" w:type="dxa"/>
            <w:tcBorders>
              <w:top w:val="nil"/>
              <w:left w:val="nil"/>
              <w:bottom w:val="nil"/>
              <w:right w:val="nil"/>
            </w:tcBorders>
            <w:noWrap/>
            <w:vAlign w:val="bottom"/>
            <w:hideMark/>
          </w:tcPr>
          <w:p w:rsidR="00292D0B" w:rsidRPr="00292D0B" w:rsidP="00292D0B" w14:paraId="195C8D88"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292D0B" w:rsidRPr="00292D0B" w:rsidP="00292D0B" w14:paraId="0EAE6C15"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292D0B" w:rsidRPr="00292D0B" w:rsidP="00292D0B" w14:paraId="54752BA8"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292D0B" w:rsidRPr="00292D0B" w:rsidP="00292D0B" w14:paraId="2E18B78E" w14:textId="77777777">
            <w:pPr>
              <w:spacing w:after="0" w:line="240" w:lineRule="auto"/>
              <w:rPr>
                <w:rFonts w:eastAsia="Times New Roman" w:cstheme="minorHAnsi"/>
                <w:sz w:val="20"/>
                <w:szCs w:val="20"/>
              </w:rPr>
            </w:pPr>
          </w:p>
        </w:tc>
        <w:tc>
          <w:tcPr>
            <w:tcW w:w="1103" w:type="dxa"/>
            <w:tcBorders>
              <w:top w:val="nil"/>
              <w:left w:val="nil"/>
              <w:bottom w:val="nil"/>
              <w:right w:val="nil"/>
            </w:tcBorders>
            <w:noWrap/>
            <w:vAlign w:val="bottom"/>
            <w:hideMark/>
          </w:tcPr>
          <w:p w:rsidR="00292D0B" w:rsidRPr="00292D0B" w:rsidP="00292D0B" w14:paraId="05468F2B" w14:textId="77777777">
            <w:pPr>
              <w:spacing w:after="0" w:line="240" w:lineRule="auto"/>
              <w:rPr>
                <w:rFonts w:eastAsia="Times New Roman" w:cstheme="minorHAnsi"/>
                <w:sz w:val="20"/>
                <w:szCs w:val="20"/>
              </w:rPr>
            </w:pPr>
          </w:p>
        </w:tc>
        <w:tc>
          <w:tcPr>
            <w:tcW w:w="1350" w:type="dxa"/>
            <w:tcBorders>
              <w:top w:val="nil"/>
              <w:left w:val="nil"/>
              <w:bottom w:val="nil"/>
              <w:right w:val="nil"/>
            </w:tcBorders>
            <w:noWrap/>
            <w:vAlign w:val="bottom"/>
            <w:hideMark/>
          </w:tcPr>
          <w:p w:rsidR="00292D0B" w:rsidRPr="00292D0B" w:rsidP="00292D0B" w14:paraId="7EEF0A28" w14:textId="77777777">
            <w:pPr>
              <w:spacing w:after="0" w:line="240" w:lineRule="auto"/>
              <w:rPr>
                <w:rFonts w:eastAsia="Times New Roman" w:cstheme="minorHAnsi"/>
                <w:sz w:val="20"/>
                <w:szCs w:val="20"/>
              </w:rPr>
            </w:pPr>
          </w:p>
        </w:tc>
      </w:tr>
      <w:tr w14:paraId="3ED4F660" w14:textId="77777777" w:rsidTr="00C34FB5">
        <w:tblPrEx>
          <w:tblW w:w="14580" w:type="dxa"/>
          <w:tblInd w:w="-522" w:type="dxa"/>
          <w:tblCellMar>
            <w:top w:w="15" w:type="dxa"/>
            <w:bottom w:w="15" w:type="dxa"/>
          </w:tblCellMar>
          <w:tblLook w:val="04A0"/>
        </w:tblPrEx>
        <w:trPr>
          <w:trHeight w:val="630"/>
        </w:trPr>
        <w:tc>
          <w:tcPr>
            <w:tcW w:w="14580" w:type="dxa"/>
            <w:gridSpan w:val="9"/>
            <w:tcBorders>
              <w:top w:val="nil"/>
              <w:left w:val="nil"/>
              <w:bottom w:val="nil"/>
              <w:right w:val="nil"/>
            </w:tcBorders>
            <w:hideMark/>
          </w:tcPr>
          <w:p w:rsidR="00292D0B" w:rsidRPr="00292D0B" w:rsidP="00292D0B" w14:paraId="5CD6FDD7" w14:textId="43DA6D84">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a</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We estimate that an average of 47 existing respondents per year will be subject to the rule, and that no new, modified, or reconstructed facilities will become subject over the three-year period of this ICR. We estimate 26 (55.6 percent) respondents are privately owned and 21 (44.4 percent) are publicly owned.</w:t>
            </w:r>
          </w:p>
        </w:tc>
      </w:tr>
      <w:tr w14:paraId="1619038E" w14:textId="77777777" w:rsidTr="00C34FB5">
        <w:tblPrEx>
          <w:tblW w:w="14580" w:type="dxa"/>
          <w:tblInd w:w="-522" w:type="dxa"/>
          <w:tblCellMar>
            <w:top w:w="15" w:type="dxa"/>
            <w:bottom w:w="15" w:type="dxa"/>
          </w:tblCellMar>
          <w:tblLook w:val="04A0"/>
        </w:tblPrEx>
        <w:trPr>
          <w:trHeight w:val="1200"/>
        </w:trPr>
        <w:tc>
          <w:tcPr>
            <w:tcW w:w="14580" w:type="dxa"/>
            <w:gridSpan w:val="9"/>
            <w:tcBorders>
              <w:top w:val="nil"/>
              <w:left w:val="nil"/>
              <w:bottom w:val="nil"/>
              <w:right w:val="nil"/>
            </w:tcBorders>
            <w:hideMark/>
          </w:tcPr>
          <w:p w:rsidR="00292D0B" w:rsidRPr="00292D0B" w:rsidP="00292D0B" w14:paraId="0AFC8F7A" w14:textId="27FE8547">
            <w:pPr>
              <w:spacing w:after="0" w:line="240" w:lineRule="auto"/>
              <w:rPr>
                <w:rFonts w:eastAsia="Times New Roman" w:cstheme="minorHAnsi"/>
                <w:color w:val="000000"/>
                <w:sz w:val="20"/>
                <w:szCs w:val="20"/>
              </w:rPr>
            </w:pPr>
            <w:r w:rsidRPr="00292D0B">
              <w:rPr>
                <w:rFonts w:eastAsia="Times New Roman" w:cstheme="minorHAnsi"/>
                <w:color w:val="000000"/>
                <w:sz w:val="20"/>
                <w:szCs w:val="20"/>
              </w:rPr>
              <w:t>b</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This ICR uses the following labor rates: Managerial $184.86 ($88.03+ 110%); Technical $148.45 ($70.69 + 110%); and Clerical $76.42 ($36.39 + 110%). These rates are from the United States Department of Labor, Bureau of Labor Statistics, March 2025,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0193AC3" w14:textId="77777777" w:rsidTr="00C34FB5">
        <w:tblPrEx>
          <w:tblW w:w="14580" w:type="dxa"/>
          <w:tblInd w:w="-522" w:type="dxa"/>
          <w:tblCellMar>
            <w:top w:w="15" w:type="dxa"/>
            <w:bottom w:w="15" w:type="dxa"/>
          </w:tblCellMar>
          <w:tblLook w:val="04A0"/>
        </w:tblPrEx>
        <w:trPr>
          <w:trHeight w:val="300"/>
        </w:trPr>
        <w:tc>
          <w:tcPr>
            <w:tcW w:w="14580" w:type="dxa"/>
            <w:gridSpan w:val="9"/>
            <w:tcBorders>
              <w:top w:val="nil"/>
              <w:left w:val="nil"/>
              <w:bottom w:val="nil"/>
              <w:right w:val="nil"/>
            </w:tcBorders>
            <w:hideMark/>
          </w:tcPr>
          <w:p w:rsidR="00292D0B" w:rsidRPr="00292D0B" w:rsidP="00292D0B" w14:paraId="58AA15F5" w14:textId="7455074B">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c</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We assume that all sources will have to familiarize themselves with regulatory requirements each year.</w:t>
            </w:r>
          </w:p>
        </w:tc>
      </w:tr>
      <w:tr w14:paraId="3E4C6075" w14:textId="77777777" w:rsidTr="00C34FB5">
        <w:tblPrEx>
          <w:tblW w:w="14580" w:type="dxa"/>
          <w:tblInd w:w="-522" w:type="dxa"/>
          <w:tblCellMar>
            <w:top w:w="15" w:type="dxa"/>
            <w:bottom w:w="15" w:type="dxa"/>
          </w:tblCellMar>
          <w:tblLook w:val="04A0"/>
        </w:tblPrEx>
        <w:trPr>
          <w:trHeight w:val="300"/>
        </w:trPr>
        <w:tc>
          <w:tcPr>
            <w:tcW w:w="14580" w:type="dxa"/>
            <w:gridSpan w:val="9"/>
            <w:tcBorders>
              <w:top w:val="nil"/>
              <w:left w:val="nil"/>
              <w:bottom w:val="nil"/>
              <w:right w:val="nil"/>
            </w:tcBorders>
            <w:hideMark/>
          </w:tcPr>
          <w:p w:rsidR="00292D0B" w:rsidRPr="00292D0B" w:rsidP="00292D0B" w14:paraId="32F00DC0" w14:textId="62BF4BE6">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d</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We assume this is a one-time-only cost.</w:t>
            </w:r>
          </w:p>
        </w:tc>
      </w:tr>
      <w:tr w14:paraId="63B804F3" w14:textId="77777777" w:rsidTr="00C34FB5">
        <w:tblPrEx>
          <w:tblW w:w="14580" w:type="dxa"/>
          <w:tblInd w:w="-522" w:type="dxa"/>
          <w:tblCellMar>
            <w:top w:w="15" w:type="dxa"/>
            <w:bottom w:w="15" w:type="dxa"/>
          </w:tblCellMar>
          <w:tblLook w:val="04A0"/>
        </w:tblPrEx>
        <w:trPr>
          <w:trHeight w:val="300"/>
        </w:trPr>
        <w:tc>
          <w:tcPr>
            <w:tcW w:w="14580" w:type="dxa"/>
            <w:gridSpan w:val="9"/>
            <w:tcBorders>
              <w:top w:val="nil"/>
              <w:left w:val="nil"/>
              <w:bottom w:val="nil"/>
              <w:right w:val="nil"/>
            </w:tcBorders>
            <w:hideMark/>
          </w:tcPr>
          <w:p w:rsidR="00292D0B" w:rsidRPr="00292D0B" w:rsidP="00292D0B" w14:paraId="131D3CF3" w14:textId="3A9830B5">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e</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We</w:t>
            </w:r>
            <w:r w:rsidRPr="00292D0B">
              <w:rPr>
                <w:rFonts w:eastAsia="Times New Roman" w:cstheme="minorHAnsi"/>
                <w:color w:val="000000"/>
                <w:sz w:val="20"/>
                <w:szCs w:val="20"/>
              </w:rPr>
              <w:t xml:space="preserve"> assume it takes 60 technical hours for pretests/test preparation, 60 technical hours for testing, and 80 technical hours for analysis and report preparation.</w:t>
            </w:r>
          </w:p>
        </w:tc>
      </w:tr>
      <w:tr w14:paraId="72A5B8B8" w14:textId="77777777" w:rsidTr="00C34FB5">
        <w:tblPrEx>
          <w:tblW w:w="14580" w:type="dxa"/>
          <w:tblInd w:w="-522" w:type="dxa"/>
          <w:tblCellMar>
            <w:top w:w="15" w:type="dxa"/>
            <w:bottom w:w="15" w:type="dxa"/>
          </w:tblCellMar>
          <w:tblLook w:val="04A0"/>
        </w:tblPrEx>
        <w:trPr>
          <w:trHeight w:val="300"/>
        </w:trPr>
        <w:tc>
          <w:tcPr>
            <w:tcW w:w="14580" w:type="dxa"/>
            <w:gridSpan w:val="9"/>
            <w:tcBorders>
              <w:top w:val="nil"/>
              <w:left w:val="nil"/>
              <w:bottom w:val="nil"/>
              <w:right w:val="nil"/>
            </w:tcBorders>
            <w:hideMark/>
          </w:tcPr>
          <w:p w:rsidR="00292D0B" w:rsidRPr="00292D0B" w:rsidP="00292D0B" w14:paraId="25A2D3D7" w14:textId="12989465">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f</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This rule does not require semiannual reporting, just recordkeeping.</w:t>
            </w:r>
          </w:p>
        </w:tc>
      </w:tr>
      <w:tr w14:paraId="1F382F49" w14:textId="77777777" w:rsidTr="00C34FB5">
        <w:tblPrEx>
          <w:tblW w:w="14580" w:type="dxa"/>
          <w:tblInd w:w="-522" w:type="dxa"/>
          <w:tblCellMar>
            <w:top w:w="15" w:type="dxa"/>
            <w:bottom w:w="15" w:type="dxa"/>
          </w:tblCellMar>
          <w:tblLook w:val="04A0"/>
        </w:tblPrEx>
        <w:trPr>
          <w:trHeight w:val="300"/>
        </w:trPr>
        <w:tc>
          <w:tcPr>
            <w:tcW w:w="14580" w:type="dxa"/>
            <w:gridSpan w:val="9"/>
            <w:tcBorders>
              <w:top w:val="nil"/>
              <w:left w:val="nil"/>
              <w:bottom w:val="nil"/>
              <w:right w:val="nil"/>
            </w:tcBorders>
            <w:hideMark/>
          </w:tcPr>
          <w:p w:rsidR="00292D0B" w:rsidRPr="00292D0B" w:rsidP="00292D0B" w14:paraId="5AAC4DF9" w14:textId="44EC884A">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g</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We assume it will take 0.25 hours per day over 350 days per year to record daily charging rates.</w:t>
            </w:r>
          </w:p>
        </w:tc>
      </w:tr>
      <w:tr w14:paraId="08AD8E0E" w14:textId="77777777" w:rsidTr="00C34FB5">
        <w:tblPrEx>
          <w:tblW w:w="14580" w:type="dxa"/>
          <w:tblInd w:w="-522" w:type="dxa"/>
          <w:tblCellMar>
            <w:top w:w="15" w:type="dxa"/>
            <w:bottom w:w="15" w:type="dxa"/>
          </w:tblCellMar>
          <w:tblLook w:val="04A0"/>
        </w:tblPrEx>
        <w:trPr>
          <w:trHeight w:val="300"/>
        </w:trPr>
        <w:tc>
          <w:tcPr>
            <w:tcW w:w="14580" w:type="dxa"/>
            <w:gridSpan w:val="9"/>
            <w:tcBorders>
              <w:top w:val="nil"/>
              <w:left w:val="nil"/>
              <w:bottom w:val="nil"/>
              <w:right w:val="nil"/>
            </w:tcBorders>
            <w:hideMark/>
          </w:tcPr>
          <w:p w:rsidR="00292D0B" w:rsidRPr="00292D0B" w:rsidP="00292D0B" w14:paraId="497AD797" w14:textId="3454F402">
            <w:pPr>
              <w:spacing w:after="0" w:line="240" w:lineRule="auto"/>
              <w:rPr>
                <w:rFonts w:eastAsia="Times New Roman" w:cstheme="minorHAnsi"/>
                <w:color w:val="000000"/>
                <w:sz w:val="20"/>
                <w:szCs w:val="20"/>
              </w:rPr>
            </w:pPr>
            <w:r w:rsidRPr="00292D0B">
              <w:rPr>
                <w:rFonts w:eastAsia="Times New Roman" w:cstheme="minorHAnsi"/>
                <w:color w:val="000000"/>
                <w:sz w:val="20"/>
                <w:szCs w:val="20"/>
                <w:vertAlign w:val="superscript"/>
              </w:rPr>
              <w:t>h</w:t>
            </w:r>
            <w:r w:rsidR="001D7163">
              <w:rPr>
                <w:rFonts w:eastAsia="Times New Roman" w:cstheme="minorHAnsi"/>
                <w:color w:val="000000"/>
                <w:sz w:val="20"/>
                <w:szCs w:val="20"/>
              </w:rPr>
              <w:t xml:space="preserve"> </w:t>
            </w:r>
            <w:r w:rsidRPr="00292D0B">
              <w:rPr>
                <w:rFonts w:eastAsia="Times New Roman" w:cstheme="minorHAnsi"/>
                <w:color w:val="000000"/>
                <w:sz w:val="20"/>
                <w:szCs w:val="20"/>
              </w:rPr>
              <w:t>Totals</w:t>
            </w:r>
            <w:r w:rsidRPr="00292D0B">
              <w:rPr>
                <w:rFonts w:eastAsia="Times New Roman" w:cstheme="minorHAnsi"/>
                <w:color w:val="000000"/>
                <w:sz w:val="20"/>
                <w:szCs w:val="20"/>
              </w:rPr>
              <w:t xml:space="preserve"> have been rounded to 3 significant figures. Figures may not </w:t>
            </w:r>
            <w:r w:rsidRPr="00292D0B">
              <w:rPr>
                <w:rFonts w:eastAsia="Times New Roman" w:cstheme="minorHAnsi"/>
                <w:color w:val="000000"/>
                <w:sz w:val="20"/>
                <w:szCs w:val="20"/>
              </w:rPr>
              <w:t>add</w:t>
            </w:r>
            <w:r w:rsidRPr="00292D0B">
              <w:rPr>
                <w:rFonts w:eastAsia="Times New Roman" w:cstheme="minorHAnsi"/>
                <w:color w:val="000000"/>
                <w:sz w:val="20"/>
                <w:szCs w:val="20"/>
              </w:rPr>
              <w:t xml:space="preserve"> exactly due to rounding.</w:t>
            </w:r>
          </w:p>
        </w:tc>
      </w:tr>
    </w:tbl>
    <w:p w:rsidR="009467D9" w:rsidRPr="00811E64" w:rsidP="009E27CA" w14:paraId="570D6DA2" w14:textId="1A98C6E3">
      <w:pPr>
        <w:rPr>
          <w:rFonts w:cstheme="minorHAnsi"/>
          <w:b/>
          <w:bCs/>
          <w:sz w:val="24"/>
          <w:szCs w:val="24"/>
        </w:rPr>
      </w:pPr>
      <w:r>
        <w:rPr>
          <w:rFonts w:cstheme="minorHAnsi"/>
          <w:b/>
          <w:bCs/>
          <w:sz w:val="24"/>
          <w:szCs w:val="24"/>
        </w:rPr>
        <w:br w:type="page"/>
      </w:r>
      <w:r w:rsidRPr="00811E64">
        <w:rPr>
          <w:rFonts w:cstheme="minorHAnsi"/>
          <w:b/>
          <w:bCs/>
          <w:sz w:val="24"/>
          <w:szCs w:val="24"/>
        </w:rPr>
        <w:t>Table 1</w:t>
      </w:r>
      <w:r w:rsidR="00990228">
        <w:rPr>
          <w:rFonts w:cstheme="minorHAnsi"/>
          <w:b/>
          <w:bCs/>
          <w:sz w:val="24"/>
          <w:szCs w:val="24"/>
        </w:rPr>
        <w:t>b</w:t>
      </w:r>
      <w:r w:rsidRPr="00811E64">
        <w:rPr>
          <w:rFonts w:cstheme="minorHAnsi"/>
          <w:b/>
          <w:bCs/>
          <w:sz w:val="24"/>
          <w:szCs w:val="24"/>
        </w:rPr>
        <w:t xml:space="preserve">: Annual Respondent Burden and Cost </w:t>
      </w:r>
      <w:r>
        <w:rPr>
          <w:rFonts w:cstheme="minorHAnsi"/>
          <w:b/>
          <w:bCs/>
          <w:sz w:val="24"/>
          <w:szCs w:val="24"/>
        </w:rPr>
        <w:t xml:space="preserve">for </w:t>
      </w:r>
      <w:r w:rsidR="007E61BD">
        <w:rPr>
          <w:rFonts w:cstheme="minorHAnsi"/>
          <w:b/>
          <w:bCs/>
          <w:sz w:val="24"/>
          <w:szCs w:val="24"/>
        </w:rPr>
        <w:t>Publicly</w:t>
      </w:r>
      <w:r>
        <w:rPr>
          <w:rFonts w:cstheme="minorHAnsi"/>
          <w:b/>
          <w:bCs/>
          <w:sz w:val="24"/>
          <w:szCs w:val="24"/>
        </w:rPr>
        <w:t xml:space="preserve">-Owned Incinerators </w:t>
      </w:r>
      <w:r w:rsidRPr="00811E64">
        <w:rPr>
          <w:rFonts w:cstheme="minorHAnsi"/>
          <w:b/>
          <w:bCs/>
          <w:sz w:val="24"/>
          <w:szCs w:val="24"/>
        </w:rPr>
        <w:t>– NSPS for Incinerators (40 CFR Part 60, Subpart E) (Renewal)</w:t>
      </w:r>
      <w:r w:rsidR="001D7163">
        <w:rPr>
          <w:rFonts w:cstheme="minorHAnsi"/>
          <w:b/>
          <w:bCs/>
          <w:sz w:val="24"/>
          <w:szCs w:val="24"/>
        </w:rPr>
        <w:t xml:space="preserve"> </w:t>
      </w:r>
    </w:p>
    <w:tbl>
      <w:tblPr>
        <w:tblW w:w="14490" w:type="dxa"/>
        <w:tblInd w:w="-522" w:type="dxa"/>
        <w:tblCellMar>
          <w:top w:w="15" w:type="dxa"/>
          <w:bottom w:w="15" w:type="dxa"/>
        </w:tblCellMar>
        <w:tblLook w:val="04A0"/>
      </w:tblPr>
      <w:tblGrid>
        <w:gridCol w:w="4770"/>
        <w:gridCol w:w="1160"/>
        <w:gridCol w:w="1238"/>
        <w:gridCol w:w="1175"/>
        <w:gridCol w:w="1306"/>
        <w:gridCol w:w="1050"/>
        <w:gridCol w:w="1338"/>
        <w:gridCol w:w="1103"/>
        <w:gridCol w:w="1350"/>
      </w:tblGrid>
      <w:tr w14:paraId="1767D06D" w14:textId="77777777" w:rsidTr="00C34FB5">
        <w:tblPrEx>
          <w:tblW w:w="14490" w:type="dxa"/>
          <w:tblInd w:w="-522" w:type="dxa"/>
          <w:tblCellMar>
            <w:top w:w="15" w:type="dxa"/>
            <w:bottom w:w="15" w:type="dxa"/>
          </w:tblCellMar>
          <w:tblLook w:val="04A0"/>
        </w:tblPrEx>
        <w:trPr>
          <w:trHeight w:val="178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0DB4265"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Burden Item</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68EEA18"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(A)</w:t>
            </w:r>
            <w:r w:rsidRPr="00424CCD">
              <w:rPr>
                <w:rFonts w:eastAsia="Times New Roman" w:cstheme="minorHAnsi"/>
                <w:b/>
                <w:bCs/>
                <w:color w:val="000000"/>
                <w:sz w:val="20"/>
                <w:szCs w:val="20"/>
              </w:rPr>
              <w:br/>
              <w:t>Technical person-hours per occurrence</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3B7668B" w14:textId="01D66F75">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(B)</w:t>
            </w:r>
            <w:r w:rsidRPr="00424CCD">
              <w:rPr>
                <w:rFonts w:eastAsia="Times New Roman" w:cstheme="minorHAnsi"/>
                <w:b/>
                <w:bCs/>
                <w:color w:val="000000"/>
                <w:sz w:val="20"/>
                <w:szCs w:val="20"/>
              </w:rPr>
              <w:br/>
              <w:t>No. of occurrences</w:t>
            </w:r>
            <w:r w:rsidR="001D7163">
              <w:rPr>
                <w:rFonts w:eastAsia="Times New Roman" w:cstheme="minorHAnsi"/>
                <w:b/>
                <w:bCs/>
                <w:color w:val="000000"/>
                <w:sz w:val="20"/>
                <w:szCs w:val="20"/>
              </w:rPr>
              <w:t xml:space="preserve"> </w:t>
            </w:r>
            <w:r w:rsidRPr="00424CCD">
              <w:rPr>
                <w:rFonts w:eastAsia="Times New Roman" w:cstheme="minorHAnsi"/>
                <w:b/>
                <w:bCs/>
                <w:color w:val="000000"/>
                <w:sz w:val="20"/>
                <w:szCs w:val="20"/>
              </w:rPr>
              <w:t>per respondent per year</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DE5DBCE"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(C)</w:t>
            </w:r>
            <w:r w:rsidRPr="00424CCD">
              <w:rPr>
                <w:rFonts w:eastAsia="Times New Roman" w:cstheme="minorHAnsi"/>
                <w:b/>
                <w:bCs/>
                <w:color w:val="000000"/>
                <w:sz w:val="20"/>
                <w:szCs w:val="20"/>
              </w:rPr>
              <w:br/>
              <w:t xml:space="preserve">Technical person-hours per respondent per year </w:t>
            </w:r>
            <w:r w:rsidRPr="00424CCD">
              <w:rPr>
                <w:rFonts w:eastAsia="Times New Roman" w:cstheme="minorHAnsi"/>
                <w:b/>
                <w:bCs/>
                <w:color w:val="000000"/>
                <w:sz w:val="20"/>
                <w:szCs w:val="20"/>
              </w:rPr>
              <w:br/>
              <w:t>(C=</w:t>
            </w:r>
            <w:r w:rsidRPr="00424CCD">
              <w:rPr>
                <w:rFonts w:eastAsia="Times New Roman" w:cstheme="minorHAnsi"/>
                <w:b/>
                <w:bCs/>
                <w:color w:val="000000"/>
                <w:sz w:val="20"/>
                <w:szCs w:val="20"/>
              </w:rPr>
              <w:t>AxB</w:t>
            </w:r>
            <w:r w:rsidRPr="00424CCD">
              <w:rPr>
                <w:rFonts w:eastAsia="Times New Roman" w:cstheme="minorHAnsi"/>
                <w:b/>
                <w:bCs/>
                <w:color w:val="000000"/>
                <w:sz w:val="20"/>
                <w:szCs w:val="20"/>
              </w:rPr>
              <w:t>)</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62E4AAC"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(D)</w:t>
            </w:r>
            <w:r w:rsidRPr="00424CCD">
              <w:rPr>
                <w:rFonts w:eastAsia="Times New Roman" w:cstheme="minorHAnsi"/>
                <w:b/>
                <w:bCs/>
                <w:color w:val="000000"/>
                <w:sz w:val="20"/>
                <w:szCs w:val="20"/>
              </w:rPr>
              <w:br/>
              <w:t xml:space="preserve">Respondents per year </w:t>
            </w:r>
            <w:r w:rsidRPr="00424CCD">
              <w:rPr>
                <w:rFonts w:eastAsia="Times New Roman" w:cstheme="minorHAnsi"/>
                <w:b/>
                <w:bCs/>
                <w:color w:val="000000"/>
                <w:sz w:val="20"/>
                <w:szCs w:val="20"/>
                <w:vertAlign w:val="superscript"/>
              </w:rPr>
              <w:t>a</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8F38459"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(E)</w:t>
            </w:r>
            <w:r w:rsidRPr="00424CCD">
              <w:rPr>
                <w:rFonts w:eastAsia="Times New Roman" w:cstheme="minorHAnsi"/>
                <w:b/>
                <w:bCs/>
                <w:color w:val="000000"/>
                <w:sz w:val="20"/>
                <w:szCs w:val="20"/>
              </w:rPr>
              <w:br/>
              <w:t>Technical hours per year</w:t>
            </w:r>
            <w:r w:rsidRPr="00424CCD">
              <w:rPr>
                <w:rFonts w:eastAsia="Times New Roman" w:cstheme="minorHAnsi"/>
                <w:b/>
                <w:bCs/>
                <w:color w:val="000000"/>
                <w:sz w:val="20"/>
                <w:szCs w:val="20"/>
              </w:rPr>
              <w:br/>
              <w:t>(E=</w:t>
            </w:r>
            <w:r w:rsidRPr="00424CCD">
              <w:rPr>
                <w:rFonts w:eastAsia="Times New Roman" w:cstheme="minorHAnsi"/>
                <w:b/>
                <w:bCs/>
                <w:color w:val="000000"/>
                <w:sz w:val="20"/>
                <w:szCs w:val="20"/>
              </w:rPr>
              <w:t>CxD</w:t>
            </w:r>
            <w:r w:rsidRPr="00424CCD">
              <w:rPr>
                <w:rFonts w:eastAsia="Times New Roman" w:cstheme="minorHAnsi"/>
                <w:b/>
                <w:bCs/>
                <w:color w:val="000000"/>
                <w:sz w:val="20"/>
                <w:szCs w:val="20"/>
              </w:rPr>
              <w:t>)</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1291855"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(F)</w:t>
            </w:r>
            <w:r w:rsidRPr="00424CCD">
              <w:rPr>
                <w:rFonts w:eastAsia="Times New Roman" w:cstheme="minorHAnsi"/>
                <w:b/>
                <w:bCs/>
                <w:color w:val="000000"/>
                <w:sz w:val="20"/>
                <w:szCs w:val="20"/>
              </w:rPr>
              <w:br/>
              <w:t>Management hours per year (F=Ex0.05)</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0975217"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(G)</w:t>
            </w:r>
            <w:r w:rsidRPr="00424CCD">
              <w:rPr>
                <w:rFonts w:eastAsia="Times New Roman" w:cstheme="minorHAnsi"/>
                <w:b/>
                <w:bCs/>
                <w:color w:val="000000"/>
                <w:sz w:val="20"/>
                <w:szCs w:val="20"/>
              </w:rPr>
              <w:br/>
              <w:t>Clerical hours per year</w:t>
            </w:r>
            <w:r w:rsidRPr="00424CCD">
              <w:rPr>
                <w:rFonts w:eastAsia="Times New Roman" w:cstheme="minorHAnsi"/>
                <w:b/>
                <w:bCs/>
                <w:color w:val="000000"/>
                <w:sz w:val="20"/>
                <w:szCs w:val="20"/>
              </w:rPr>
              <w:br/>
              <w:t>(G=Ex0.1)</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C34FB5" w14:paraId="283514B3" w14:textId="3B9D11E2">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(H)</w:t>
            </w:r>
            <w:r w:rsidRPr="00424CCD">
              <w:rPr>
                <w:rFonts w:eastAsia="Times New Roman" w:cstheme="minorHAnsi"/>
                <w:b/>
                <w:bCs/>
                <w:color w:val="000000"/>
                <w:sz w:val="20"/>
                <w:szCs w:val="20"/>
              </w:rPr>
              <w:br/>
              <w:t>Total cost per year ($)</w:t>
            </w:r>
            <w:r w:rsidR="00C34FB5">
              <w:rPr>
                <w:rFonts w:eastAsia="Times New Roman" w:cstheme="minorHAnsi"/>
                <w:b/>
                <w:bCs/>
                <w:color w:val="000000"/>
                <w:sz w:val="20"/>
                <w:szCs w:val="20"/>
              </w:rPr>
              <w:t xml:space="preserve"> </w:t>
            </w:r>
            <w:r w:rsidRPr="00424CCD">
              <w:rPr>
                <w:rFonts w:eastAsia="Times New Roman" w:cstheme="minorHAnsi"/>
                <w:b/>
                <w:bCs/>
                <w:color w:val="000000"/>
                <w:sz w:val="20"/>
                <w:szCs w:val="20"/>
                <w:vertAlign w:val="superscript"/>
              </w:rPr>
              <w:t>b</w:t>
            </w:r>
          </w:p>
        </w:tc>
      </w:tr>
      <w:tr w14:paraId="063F5498"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4B39E53" w14:textId="25FDE580">
            <w:pPr>
              <w:spacing w:after="0" w:line="240" w:lineRule="auto"/>
              <w:rPr>
                <w:rFonts w:eastAsia="Times New Roman" w:cstheme="minorHAnsi"/>
                <w:color w:val="000000"/>
                <w:sz w:val="20"/>
                <w:szCs w:val="20"/>
              </w:rPr>
            </w:pPr>
            <w:r w:rsidRPr="00424CCD">
              <w:rPr>
                <w:rFonts w:eastAsia="Times New Roman" w:cstheme="minorHAnsi"/>
                <w:color w:val="000000"/>
                <w:sz w:val="20"/>
                <w:szCs w:val="20"/>
              </w:rPr>
              <w:t>1.</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Applications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9CD768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A48B823"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2CCFF3E"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D68AFE8"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43154F0"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3944630"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A5598D2"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0D49405" w14:textId="77777777">
            <w:pPr>
              <w:spacing w:after="0" w:line="240" w:lineRule="auto"/>
              <w:jc w:val="center"/>
              <w:rPr>
                <w:rFonts w:eastAsia="Times New Roman" w:cstheme="minorHAnsi"/>
                <w:sz w:val="20"/>
                <w:szCs w:val="20"/>
              </w:rPr>
            </w:pPr>
          </w:p>
        </w:tc>
      </w:tr>
      <w:tr w14:paraId="4FCEA0D0"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69CF75A" w14:textId="560C2AA9">
            <w:pPr>
              <w:spacing w:after="0" w:line="240" w:lineRule="auto"/>
              <w:rPr>
                <w:rFonts w:eastAsia="Times New Roman" w:cstheme="minorHAnsi"/>
                <w:color w:val="000000"/>
                <w:sz w:val="20"/>
                <w:szCs w:val="20"/>
              </w:rPr>
            </w:pPr>
            <w:r w:rsidRPr="00424CCD">
              <w:rPr>
                <w:rFonts w:eastAsia="Times New Roman" w:cstheme="minorHAnsi"/>
                <w:color w:val="000000"/>
                <w:sz w:val="20"/>
                <w:szCs w:val="20"/>
              </w:rPr>
              <w:t>2.</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Survey and Studies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ECA1103"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8FB6758"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FB89134"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6A76A02"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F9A9AB5"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92DCC47"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D026DF3"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140D8EC" w14:textId="77777777">
            <w:pPr>
              <w:spacing w:after="0" w:line="240" w:lineRule="auto"/>
              <w:jc w:val="center"/>
              <w:rPr>
                <w:rFonts w:eastAsia="Times New Roman" w:cstheme="minorHAnsi"/>
                <w:sz w:val="20"/>
                <w:szCs w:val="20"/>
              </w:rPr>
            </w:pPr>
          </w:p>
        </w:tc>
      </w:tr>
      <w:tr w14:paraId="0A3B7F24"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4FC258D" w14:textId="02A168F0">
            <w:pPr>
              <w:spacing w:after="0" w:line="240" w:lineRule="auto"/>
              <w:rPr>
                <w:rFonts w:eastAsia="Times New Roman" w:cstheme="minorHAnsi"/>
                <w:color w:val="000000"/>
                <w:sz w:val="20"/>
                <w:szCs w:val="20"/>
              </w:rPr>
            </w:pPr>
            <w:r w:rsidRPr="00424CCD">
              <w:rPr>
                <w:rFonts w:eastAsia="Times New Roman" w:cstheme="minorHAnsi"/>
                <w:color w:val="000000"/>
                <w:sz w:val="20"/>
                <w:szCs w:val="20"/>
              </w:rPr>
              <w:t>3.</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Reporting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83971D5"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ED0C986"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AD00F04"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DCF7AC"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A167EEB"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C0FB38C"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167C1DA"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4848052" w14:textId="77777777">
            <w:pPr>
              <w:spacing w:after="0" w:line="240" w:lineRule="auto"/>
              <w:jc w:val="center"/>
              <w:rPr>
                <w:rFonts w:eastAsia="Times New Roman" w:cstheme="minorHAnsi"/>
                <w:sz w:val="20"/>
                <w:szCs w:val="20"/>
              </w:rPr>
            </w:pPr>
          </w:p>
        </w:tc>
      </w:tr>
      <w:tr w14:paraId="3F6A3227"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7894825" w14:textId="1F62936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A. Familiarize with regulatory requirements </w:t>
            </w:r>
            <w:r w:rsidRPr="00424CCD">
              <w:rPr>
                <w:rFonts w:eastAsia="Times New Roman" w:cstheme="minorHAnsi"/>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8A1728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4B3A2FF"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A80F770"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0A1659F"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AC447BF"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21</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7015310"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1.05</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8DC689A"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2.1</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A5A2F9"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$1,367.14 </w:t>
            </w:r>
          </w:p>
        </w:tc>
      </w:tr>
      <w:tr w14:paraId="3CEFC651"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812DA35" w14:textId="1F6FD29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B. Required activities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64A0D81"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1F4D711"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8EB92C6"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06A897A"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228D51A"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38420BD"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EE8A169"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D854689" w14:textId="77777777">
            <w:pPr>
              <w:spacing w:after="0" w:line="240" w:lineRule="auto"/>
              <w:jc w:val="center"/>
              <w:rPr>
                <w:rFonts w:eastAsia="Times New Roman" w:cstheme="minorHAnsi"/>
                <w:sz w:val="20"/>
                <w:szCs w:val="20"/>
              </w:rPr>
            </w:pPr>
          </w:p>
        </w:tc>
      </w:tr>
      <w:tr w14:paraId="48D1690F"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597F561" w14:textId="44CF339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Initial performance test </w:t>
            </w:r>
            <w:r w:rsidRPr="00424CCD">
              <w:rPr>
                <w:rFonts w:eastAsia="Times New Roman" w:cstheme="minorHAnsi"/>
                <w:color w:val="000000"/>
                <w:sz w:val="20"/>
                <w:szCs w:val="20"/>
                <w:vertAlign w:val="superscript"/>
              </w:rPr>
              <w:t>d, 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1AD6FEB"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5AB5081"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83C3F4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A55500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5EBFB5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91596BD"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C44A69A"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0B848E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760A08CB"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4B8458F" w14:textId="38FF102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C. Create information on performance test</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C51420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See 3B</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45E365E"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D58A6B8"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D0089E8"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8B75170"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BBC0C74"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836A505"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365736D" w14:textId="77777777">
            <w:pPr>
              <w:spacing w:after="0" w:line="240" w:lineRule="auto"/>
              <w:jc w:val="center"/>
              <w:rPr>
                <w:rFonts w:eastAsia="Times New Roman" w:cstheme="minorHAnsi"/>
                <w:sz w:val="20"/>
                <w:szCs w:val="20"/>
              </w:rPr>
            </w:pPr>
          </w:p>
        </w:tc>
      </w:tr>
      <w:tr w14:paraId="49317323"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0038AC" w14:textId="1617CBD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D. Gather existing information</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58B1219"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See 3E</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3422D69"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CD4F760"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122FCD0"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649705B"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A68471F"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D7D57F6"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CA46130" w14:textId="77777777">
            <w:pPr>
              <w:spacing w:after="0" w:line="240" w:lineRule="auto"/>
              <w:jc w:val="center"/>
              <w:rPr>
                <w:rFonts w:eastAsia="Times New Roman" w:cstheme="minorHAnsi"/>
                <w:sz w:val="20"/>
                <w:szCs w:val="20"/>
              </w:rPr>
            </w:pPr>
          </w:p>
        </w:tc>
      </w:tr>
      <w:tr w14:paraId="0F340106"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91AD392" w14:textId="6FCA8F4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E.</w:t>
            </w:r>
            <w:r>
              <w:rPr>
                <w:rFonts w:eastAsia="Times New Roman" w:cstheme="minorHAnsi"/>
                <w:color w:val="000000"/>
                <w:sz w:val="20"/>
                <w:szCs w:val="20"/>
              </w:rPr>
              <w:t xml:space="preserve"> </w:t>
            </w:r>
            <w:r w:rsidRPr="00424CCD">
              <w:rPr>
                <w:rFonts w:eastAsia="Times New Roman" w:cstheme="minorHAnsi"/>
                <w:color w:val="000000"/>
                <w:sz w:val="20"/>
                <w:szCs w:val="20"/>
              </w:rPr>
              <w:t>Write Report</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53330F3"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7E9BADB"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CB268EE"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3705897"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803626F"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4E42466"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F55425B"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4DF8D15" w14:textId="77777777">
            <w:pPr>
              <w:spacing w:after="0" w:line="240" w:lineRule="auto"/>
              <w:jc w:val="center"/>
              <w:rPr>
                <w:rFonts w:eastAsia="Times New Roman" w:cstheme="minorHAnsi"/>
                <w:sz w:val="20"/>
                <w:szCs w:val="20"/>
              </w:rPr>
            </w:pPr>
          </w:p>
        </w:tc>
      </w:tr>
      <w:tr w14:paraId="36BCC240"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91804F7" w14:textId="3038E74D">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Notification of construction/ reconstruction </w:t>
            </w:r>
            <w:r w:rsidRPr="00424CCD">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9836401"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0A03FE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EC0239B"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C22F55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42A99D1"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15BBBE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744194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8AB7D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6E514447"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274DBCF" w14:textId="47742FF2">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Notification of actual startup </w:t>
            </w:r>
            <w:r w:rsidRPr="00424CCD">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8213D69"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E3DBB3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144F8AF"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E05567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DD428F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F347C0C"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B87BCE9"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1672DB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03E07DE1" w14:textId="77777777" w:rsidTr="00C34FB5">
        <w:tblPrEx>
          <w:tblW w:w="14490" w:type="dxa"/>
          <w:tblInd w:w="-522" w:type="dxa"/>
          <w:tblCellMar>
            <w:top w:w="15" w:type="dxa"/>
            <w:bottom w:w="15" w:type="dxa"/>
          </w:tblCellMar>
          <w:tblLook w:val="04A0"/>
        </w:tblPrEx>
        <w:trPr>
          <w:trHeight w:val="51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EB55B98" w14:textId="3749B8A6">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Notification of physical and operational changes which may increase emission rates of any regulated pollutants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E87A8B7"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5604DCC"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A95525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D85B00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CBEA1C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8515A2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3FBBA71"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B2C7710"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51EA1199"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649C4C7" w14:textId="2F2DA65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Notification of initial performance test </w:t>
            </w:r>
            <w:r w:rsidRPr="00424CCD">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70EEE4B"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2D8919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955CEE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BEF629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9A5F93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F55D1CD"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A5E68C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2E5B8A9"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5C4FC275"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BB1EB22" w14:textId="5FD6D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Report </w:t>
            </w:r>
            <w:r w:rsidRPr="00424CCD">
              <w:rPr>
                <w:rFonts w:eastAsia="Times New Roman" w:cstheme="minorHAnsi"/>
                <w:color w:val="000000"/>
                <w:sz w:val="20"/>
                <w:szCs w:val="20"/>
              </w:rPr>
              <w:t>of</w:t>
            </w:r>
            <w:r w:rsidRPr="00424CCD">
              <w:rPr>
                <w:rFonts w:eastAsia="Times New Roman" w:cstheme="minorHAnsi"/>
                <w:color w:val="000000"/>
                <w:sz w:val="20"/>
                <w:szCs w:val="20"/>
              </w:rPr>
              <w:t xml:space="preserve"> initial performance test results </w:t>
            </w:r>
            <w:r w:rsidRPr="00424CCD">
              <w:rPr>
                <w:rFonts w:eastAsia="Times New Roman" w:cstheme="minorHAnsi"/>
                <w:color w:val="000000"/>
                <w:sz w:val="20"/>
                <w:szCs w:val="20"/>
                <w:vertAlign w:val="superscript"/>
              </w:rPr>
              <w:t>d</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39634F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479E73C"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3A88891"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38BFD1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C7A249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4DA93A3"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05ECBCD"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FBD4D6A"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7A69FF69"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E3F25E" w14:textId="343AFEB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Compliance status reports </w:t>
            </w:r>
            <w:r w:rsidRPr="00424CCD">
              <w:rPr>
                <w:rFonts w:eastAsia="Times New Roman" w:cstheme="minorHAnsi"/>
                <w:color w:val="000000"/>
                <w:sz w:val="20"/>
                <w:szCs w:val="20"/>
                <w:vertAlign w:val="superscript"/>
              </w:rPr>
              <w:t>f</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5D6079F"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EEF21D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6F164EF"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4</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5B9F107"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96068F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2A7BA40"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7A1000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68A805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$0 </w:t>
            </w:r>
          </w:p>
        </w:tc>
      </w:tr>
      <w:tr w14:paraId="016C3361"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F786ABC" w14:textId="77777777">
            <w:pPr>
              <w:spacing w:after="0" w:line="240" w:lineRule="auto"/>
              <w:rPr>
                <w:rFonts w:eastAsia="Times New Roman" w:cstheme="minorHAnsi"/>
                <w:b/>
                <w:bCs/>
                <w:i/>
                <w:iCs/>
                <w:color w:val="000000"/>
                <w:sz w:val="20"/>
                <w:szCs w:val="20"/>
              </w:rPr>
            </w:pPr>
            <w:r w:rsidRPr="00424CCD">
              <w:rPr>
                <w:rFonts w:eastAsia="Times New Roman" w:cstheme="minorHAnsi"/>
                <w:b/>
                <w:bCs/>
                <w:i/>
                <w:iCs/>
                <w:color w:val="000000"/>
                <w:sz w:val="20"/>
                <w:szCs w:val="20"/>
              </w:rPr>
              <w:t>Subtotal for Reporting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9A3976C" w14:textId="77777777">
            <w:pPr>
              <w:spacing w:after="0" w:line="240" w:lineRule="auto"/>
              <w:rPr>
                <w:rFonts w:eastAsia="Times New Roman" w:cstheme="minorHAnsi"/>
                <w:b/>
                <w:bCs/>
                <w:i/>
                <w:i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3F4DE00"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3F5A90D"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26325B9" w14:textId="77777777">
            <w:pPr>
              <w:spacing w:after="0" w:line="240" w:lineRule="auto"/>
              <w:jc w:val="center"/>
              <w:rPr>
                <w:rFonts w:eastAsia="Times New Roman" w:cstheme="minorHAnsi"/>
                <w:sz w:val="20"/>
                <w:szCs w:val="20"/>
              </w:rPr>
            </w:pPr>
          </w:p>
        </w:tc>
        <w:tc>
          <w:tcPr>
            <w:tcW w:w="3491" w:type="dxa"/>
            <w:gridSpan w:val="3"/>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0AB076B"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24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C486C35"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 xml:space="preserve">$1,367 </w:t>
            </w:r>
          </w:p>
        </w:tc>
      </w:tr>
      <w:tr w14:paraId="6766AAA4"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EFBC91C" w14:textId="19D614BF">
            <w:pPr>
              <w:spacing w:after="0" w:line="240" w:lineRule="auto"/>
              <w:rPr>
                <w:rFonts w:eastAsia="Times New Roman" w:cstheme="minorHAnsi"/>
                <w:color w:val="000000"/>
                <w:sz w:val="20"/>
                <w:szCs w:val="20"/>
              </w:rPr>
            </w:pPr>
            <w:r w:rsidRPr="00424CCD">
              <w:rPr>
                <w:rFonts w:eastAsia="Times New Roman" w:cstheme="minorHAnsi"/>
                <w:color w:val="000000"/>
                <w:sz w:val="20"/>
                <w:szCs w:val="20"/>
              </w:rPr>
              <w:t>4.</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Recordkeeping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C5F0BD8"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5562630"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503D0EC"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E72C8E3"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49171D9"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AC97350"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D59A9F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3DA43C6" w14:textId="77777777">
            <w:pPr>
              <w:spacing w:after="0" w:line="240" w:lineRule="auto"/>
              <w:jc w:val="center"/>
              <w:rPr>
                <w:rFonts w:eastAsia="Times New Roman" w:cstheme="minorHAnsi"/>
                <w:sz w:val="20"/>
                <w:szCs w:val="20"/>
              </w:rPr>
            </w:pPr>
          </w:p>
        </w:tc>
      </w:tr>
      <w:tr w14:paraId="484086CD"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8AD39C1" w14:textId="4783F4AF">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A. Familiarize with regulatory requirements </w:t>
            </w:r>
            <w:r w:rsidRPr="00424CCD">
              <w:rPr>
                <w:rFonts w:eastAsia="Times New Roman" w:cstheme="minorHAnsi"/>
                <w:color w:val="000000"/>
                <w:sz w:val="20"/>
                <w:szCs w:val="20"/>
                <w:vertAlign w:val="superscript"/>
              </w:rPr>
              <w:t>c</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88D9BB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See 4E</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B9ADBCC"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EEEFCAD"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1602AFB"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15D8026"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B0A2F02"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0BA5909"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7F68B07" w14:textId="77777777">
            <w:pPr>
              <w:spacing w:after="0" w:line="240" w:lineRule="auto"/>
              <w:jc w:val="center"/>
              <w:rPr>
                <w:rFonts w:eastAsia="Times New Roman" w:cstheme="minorHAnsi"/>
                <w:sz w:val="20"/>
                <w:szCs w:val="20"/>
              </w:rPr>
            </w:pPr>
          </w:p>
        </w:tc>
      </w:tr>
      <w:tr w14:paraId="4EC9C33F"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E8038AB" w14:textId="61EADA2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B.</w:t>
            </w:r>
            <w:r>
              <w:rPr>
                <w:rFonts w:eastAsia="Times New Roman" w:cstheme="minorHAnsi"/>
                <w:color w:val="000000"/>
                <w:sz w:val="20"/>
                <w:szCs w:val="20"/>
              </w:rPr>
              <w:t xml:space="preserve"> </w:t>
            </w:r>
            <w:r w:rsidRPr="00424CCD">
              <w:rPr>
                <w:rFonts w:eastAsia="Times New Roman" w:cstheme="minorHAnsi"/>
                <w:color w:val="000000"/>
                <w:sz w:val="20"/>
                <w:szCs w:val="20"/>
              </w:rPr>
              <w:t>Plan activities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80ADBED"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See 4E</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3A3EAD6"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275087C"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ED3305F"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6F3969D"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9E5C04E"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E0F3DD1"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9C3275B" w14:textId="77777777">
            <w:pPr>
              <w:spacing w:after="0" w:line="240" w:lineRule="auto"/>
              <w:jc w:val="center"/>
              <w:rPr>
                <w:rFonts w:eastAsia="Times New Roman" w:cstheme="minorHAnsi"/>
                <w:sz w:val="20"/>
                <w:szCs w:val="20"/>
              </w:rPr>
            </w:pPr>
          </w:p>
        </w:tc>
      </w:tr>
      <w:tr w14:paraId="167E616B"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D542506" w14:textId="3F08FF7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C.</w:t>
            </w:r>
            <w:r>
              <w:rPr>
                <w:rFonts w:eastAsia="Times New Roman" w:cstheme="minorHAnsi"/>
                <w:color w:val="000000"/>
                <w:sz w:val="20"/>
                <w:szCs w:val="20"/>
              </w:rPr>
              <w:t xml:space="preserve"> </w:t>
            </w:r>
            <w:r w:rsidRPr="00424CCD">
              <w:rPr>
                <w:rFonts w:eastAsia="Times New Roman" w:cstheme="minorHAnsi"/>
                <w:color w:val="000000"/>
                <w:sz w:val="20"/>
                <w:szCs w:val="20"/>
              </w:rPr>
              <w:t>Implement activities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01D288E"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See 4E</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9A98D1A"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896FD29"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37AB1CA"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5034616"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9A47A34"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5F11048"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C0A6981" w14:textId="77777777">
            <w:pPr>
              <w:spacing w:after="0" w:line="240" w:lineRule="auto"/>
              <w:jc w:val="center"/>
              <w:rPr>
                <w:rFonts w:eastAsia="Times New Roman" w:cstheme="minorHAnsi"/>
                <w:sz w:val="20"/>
                <w:szCs w:val="20"/>
              </w:rPr>
            </w:pPr>
          </w:p>
        </w:tc>
      </w:tr>
      <w:tr w14:paraId="647C1BDD"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96BFA66" w14:textId="3B056317">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D.</w:t>
            </w:r>
            <w:r>
              <w:rPr>
                <w:rFonts w:eastAsia="Times New Roman" w:cstheme="minorHAnsi"/>
                <w:color w:val="000000"/>
                <w:sz w:val="20"/>
                <w:szCs w:val="20"/>
              </w:rPr>
              <w:t xml:space="preserve"> </w:t>
            </w:r>
            <w:r w:rsidRPr="00424CCD">
              <w:rPr>
                <w:rFonts w:eastAsia="Times New Roman" w:cstheme="minorHAnsi"/>
                <w:color w:val="000000"/>
                <w:sz w:val="20"/>
                <w:szCs w:val="20"/>
              </w:rPr>
              <w:t>Develop record system</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E71DB3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0F2D339"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E9E052D"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F397686"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A84D116"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456341A"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198DA0"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15B3E91" w14:textId="77777777">
            <w:pPr>
              <w:spacing w:after="0" w:line="240" w:lineRule="auto"/>
              <w:jc w:val="center"/>
              <w:rPr>
                <w:rFonts w:eastAsia="Times New Roman" w:cstheme="minorHAnsi"/>
                <w:sz w:val="20"/>
                <w:szCs w:val="20"/>
              </w:rPr>
            </w:pPr>
          </w:p>
        </w:tc>
      </w:tr>
      <w:tr w14:paraId="275F67A6"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845C94D" w14:textId="09CA84A4">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E.</w:t>
            </w:r>
            <w:r>
              <w:rPr>
                <w:rFonts w:eastAsia="Times New Roman" w:cstheme="minorHAnsi"/>
                <w:color w:val="000000"/>
                <w:sz w:val="20"/>
                <w:szCs w:val="20"/>
              </w:rPr>
              <w:t xml:space="preserve"> </w:t>
            </w:r>
            <w:r w:rsidRPr="00424CCD">
              <w:rPr>
                <w:rFonts w:eastAsia="Times New Roman" w:cstheme="minorHAnsi"/>
                <w:color w:val="000000"/>
                <w:sz w:val="20"/>
                <w:szCs w:val="20"/>
              </w:rPr>
              <w:t>Time to enter information</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848448B" w14:textId="77777777">
            <w:pPr>
              <w:spacing w:after="0" w:line="240" w:lineRule="auto"/>
              <w:rPr>
                <w:rFonts w:eastAsia="Times New Roman" w:cstheme="minorHAnsi"/>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77A83D5"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2203542"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8A7E544"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C1335B3"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7FFF643"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19720D6"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DD389EF" w14:textId="77777777">
            <w:pPr>
              <w:spacing w:after="0" w:line="240" w:lineRule="auto"/>
              <w:jc w:val="center"/>
              <w:rPr>
                <w:rFonts w:eastAsia="Times New Roman" w:cstheme="minorHAnsi"/>
                <w:sz w:val="20"/>
                <w:szCs w:val="20"/>
              </w:rPr>
            </w:pPr>
          </w:p>
        </w:tc>
      </w:tr>
      <w:tr w14:paraId="0A4041FC" w14:textId="77777777" w:rsidTr="00C34FB5">
        <w:tblPrEx>
          <w:tblW w:w="14490" w:type="dxa"/>
          <w:tblInd w:w="-522" w:type="dxa"/>
          <w:tblCellMar>
            <w:top w:w="15" w:type="dxa"/>
            <w:bottom w:w="15" w:type="dxa"/>
          </w:tblCellMar>
          <w:tblLook w:val="04A0"/>
        </w:tblPrEx>
        <w:trPr>
          <w:trHeight w:val="76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2180C45" w14:textId="6AF4A2F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Record of occurrence and duration of startup, shutdown, or malfunction; emissions monitoring system; and initial performance test results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F9B790D"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1.5</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A7FB439"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031DA02"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1.5</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385366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884BF53"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31.5</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7AC8594"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1.575</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08D61F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3.2</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AF453D0"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$2,050.71 </w:t>
            </w:r>
          </w:p>
        </w:tc>
      </w:tr>
      <w:tr w14:paraId="31F7F47C" w14:textId="77777777" w:rsidTr="00C34FB5">
        <w:tblPrEx>
          <w:tblW w:w="14490" w:type="dxa"/>
          <w:tblInd w:w="-522" w:type="dxa"/>
          <w:tblCellMar>
            <w:top w:w="15" w:type="dxa"/>
            <w:bottom w:w="15" w:type="dxa"/>
          </w:tblCellMar>
          <w:tblLook w:val="04A0"/>
        </w:tblPrEx>
        <w:trPr>
          <w:trHeight w:val="315"/>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E3017EB" w14:textId="6C7273AB">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 xml:space="preserve">Records of daily charging rates and hours of operation </w:t>
            </w:r>
            <w:r w:rsidRPr="00424CCD">
              <w:rPr>
                <w:rFonts w:eastAsia="Times New Roman" w:cstheme="minorHAnsi"/>
                <w:color w:val="000000"/>
                <w:sz w:val="20"/>
                <w:szCs w:val="20"/>
                <w:vertAlign w:val="superscript"/>
              </w:rPr>
              <w:t>g</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6127520"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0.25</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D2435E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350</w:t>
            </w: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1349A5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87.5</w:t>
            </w: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A11B0A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3B2E796"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1,838</w:t>
            </w: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16B3511"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91.875</w:t>
            </w: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8DFA345"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183.75</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6875C98"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 xml:space="preserve">$119,624.93 </w:t>
            </w:r>
          </w:p>
        </w:tc>
      </w:tr>
      <w:tr w14:paraId="0FE3D8FA"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06AF48B" w14:textId="45BF9A33">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F.</w:t>
            </w:r>
            <w:r>
              <w:rPr>
                <w:rFonts w:eastAsia="Times New Roman" w:cstheme="minorHAnsi"/>
                <w:color w:val="000000"/>
                <w:sz w:val="20"/>
                <w:szCs w:val="20"/>
              </w:rPr>
              <w:t xml:space="preserve"> </w:t>
            </w:r>
            <w:r w:rsidRPr="00424CCD">
              <w:rPr>
                <w:rFonts w:eastAsia="Times New Roman" w:cstheme="minorHAnsi"/>
                <w:color w:val="000000"/>
                <w:sz w:val="20"/>
                <w:szCs w:val="20"/>
              </w:rPr>
              <w:t>Time to train personnel</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2343483"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7CF7262"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C640FEA"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5C35694"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1DD4C0D"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1BB51DC"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A40352B"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C44A111" w14:textId="77777777">
            <w:pPr>
              <w:spacing w:after="0" w:line="240" w:lineRule="auto"/>
              <w:jc w:val="center"/>
              <w:rPr>
                <w:rFonts w:eastAsia="Times New Roman" w:cstheme="minorHAnsi"/>
                <w:sz w:val="20"/>
                <w:szCs w:val="20"/>
              </w:rPr>
            </w:pPr>
          </w:p>
        </w:tc>
      </w:tr>
      <w:tr w14:paraId="53179CA7"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307B375" w14:textId="1BBE682D">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424CCD">
              <w:rPr>
                <w:rFonts w:eastAsia="Times New Roman" w:cstheme="minorHAnsi"/>
                <w:color w:val="000000"/>
                <w:sz w:val="20"/>
                <w:szCs w:val="20"/>
              </w:rPr>
              <w:t>G.</w:t>
            </w:r>
            <w:r>
              <w:rPr>
                <w:rFonts w:eastAsia="Times New Roman" w:cstheme="minorHAnsi"/>
                <w:color w:val="000000"/>
                <w:sz w:val="20"/>
                <w:szCs w:val="20"/>
              </w:rPr>
              <w:t xml:space="preserve"> </w:t>
            </w:r>
            <w:r w:rsidRPr="00424CCD">
              <w:rPr>
                <w:rFonts w:eastAsia="Times New Roman" w:cstheme="minorHAnsi"/>
                <w:color w:val="000000"/>
                <w:sz w:val="20"/>
                <w:szCs w:val="20"/>
              </w:rPr>
              <w:t>Time for audits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97C51AA" w14:textId="77777777">
            <w:pPr>
              <w:spacing w:after="0" w:line="240" w:lineRule="auto"/>
              <w:jc w:val="center"/>
              <w:rPr>
                <w:rFonts w:eastAsia="Times New Roman" w:cstheme="minorHAnsi"/>
                <w:color w:val="000000"/>
                <w:sz w:val="20"/>
                <w:szCs w:val="20"/>
              </w:rPr>
            </w:pPr>
            <w:r w:rsidRPr="00424CCD">
              <w:rPr>
                <w:rFonts w:eastAsia="Times New Roman" w:cstheme="minorHAnsi"/>
                <w:color w:val="000000"/>
                <w:sz w:val="20"/>
                <w:szCs w:val="20"/>
              </w:rPr>
              <w:t>N/A</w:t>
            </w: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155CF82" w14:textId="77777777">
            <w:pPr>
              <w:spacing w:after="0" w:line="240" w:lineRule="auto"/>
              <w:jc w:val="center"/>
              <w:rPr>
                <w:rFonts w:eastAsia="Times New Roman" w:cstheme="minorHAnsi"/>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4068585"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93D0A3E" w14:textId="77777777">
            <w:pPr>
              <w:spacing w:after="0" w:line="240" w:lineRule="auto"/>
              <w:jc w:val="center"/>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5BEDEF1"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67B8509"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BABA108"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24D85EC" w14:textId="77777777">
            <w:pPr>
              <w:spacing w:after="0" w:line="240" w:lineRule="auto"/>
              <w:jc w:val="center"/>
              <w:rPr>
                <w:rFonts w:eastAsia="Times New Roman" w:cstheme="minorHAnsi"/>
                <w:sz w:val="20"/>
                <w:szCs w:val="20"/>
              </w:rPr>
            </w:pPr>
          </w:p>
        </w:tc>
      </w:tr>
      <w:tr w14:paraId="57E15EFA"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BE19E6A" w14:textId="77777777">
            <w:pPr>
              <w:spacing w:after="0" w:line="240" w:lineRule="auto"/>
              <w:rPr>
                <w:rFonts w:eastAsia="Times New Roman" w:cstheme="minorHAnsi"/>
                <w:b/>
                <w:bCs/>
                <w:i/>
                <w:iCs/>
                <w:color w:val="000000"/>
                <w:sz w:val="20"/>
                <w:szCs w:val="20"/>
              </w:rPr>
            </w:pPr>
            <w:r w:rsidRPr="00424CCD">
              <w:rPr>
                <w:rFonts w:eastAsia="Times New Roman" w:cstheme="minorHAnsi"/>
                <w:b/>
                <w:bCs/>
                <w:i/>
                <w:iCs/>
                <w:color w:val="000000"/>
                <w:sz w:val="20"/>
                <w:szCs w:val="20"/>
              </w:rPr>
              <w:t>Subtotal for Recordkeeping Requirements</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98729FE" w14:textId="77777777">
            <w:pPr>
              <w:spacing w:after="0" w:line="240" w:lineRule="auto"/>
              <w:rPr>
                <w:rFonts w:eastAsia="Times New Roman" w:cstheme="minorHAnsi"/>
                <w:b/>
                <w:bCs/>
                <w:i/>
                <w:i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4162B4D0" w14:textId="77777777">
            <w:pPr>
              <w:spacing w:after="0" w:line="240" w:lineRule="auto"/>
              <w:jc w:val="center"/>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2BF6A9B"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4696406" w14:textId="77777777">
            <w:pPr>
              <w:spacing w:after="0" w:line="240" w:lineRule="auto"/>
              <w:jc w:val="center"/>
              <w:rPr>
                <w:rFonts w:eastAsia="Times New Roman" w:cstheme="minorHAnsi"/>
                <w:sz w:val="20"/>
                <w:szCs w:val="20"/>
              </w:rPr>
            </w:pPr>
          </w:p>
        </w:tc>
        <w:tc>
          <w:tcPr>
            <w:tcW w:w="3491" w:type="dxa"/>
            <w:gridSpan w:val="3"/>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A2EF7FF"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2,149</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6ECDCD9"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 xml:space="preserve">$121,676 </w:t>
            </w:r>
          </w:p>
        </w:tc>
      </w:tr>
      <w:tr w14:paraId="647FF52D" w14:textId="77777777" w:rsidTr="00C34FB5">
        <w:tblPrEx>
          <w:tblW w:w="14490" w:type="dxa"/>
          <w:tblInd w:w="-522" w:type="dxa"/>
          <w:tblCellMar>
            <w:top w:w="15" w:type="dxa"/>
            <w:bottom w:w="15" w:type="dxa"/>
          </w:tblCellMar>
          <w:tblLook w:val="04A0"/>
        </w:tblPrEx>
        <w:trPr>
          <w:trHeight w:val="330"/>
        </w:trPr>
        <w:tc>
          <w:tcPr>
            <w:tcW w:w="4770" w:type="dxa"/>
            <w:tcBorders>
              <w:top w:val="single" w:sz="4" w:space="0" w:color="auto"/>
              <w:left w:val="single" w:sz="4" w:space="0" w:color="auto"/>
              <w:bottom w:val="single" w:sz="4" w:space="0" w:color="auto"/>
              <w:right w:val="single" w:sz="4" w:space="0" w:color="auto"/>
            </w:tcBorders>
            <w:vAlign w:val="bottom"/>
            <w:hideMark/>
          </w:tcPr>
          <w:p w:rsidR="00424CCD" w:rsidRPr="00424CCD" w:rsidP="00424CCD" w14:paraId="7C05771B" w14:textId="77777777">
            <w:pPr>
              <w:spacing w:after="0" w:line="240" w:lineRule="auto"/>
              <w:rPr>
                <w:rFonts w:eastAsia="Times New Roman" w:cstheme="minorHAnsi"/>
                <w:b/>
                <w:bCs/>
                <w:color w:val="000000"/>
                <w:sz w:val="20"/>
                <w:szCs w:val="20"/>
              </w:rPr>
            </w:pPr>
            <w:r w:rsidRPr="00424CCD">
              <w:rPr>
                <w:rFonts w:eastAsia="Times New Roman" w:cstheme="minorHAnsi"/>
                <w:b/>
                <w:bCs/>
                <w:color w:val="000000"/>
                <w:sz w:val="20"/>
                <w:szCs w:val="20"/>
              </w:rPr>
              <w:t xml:space="preserve">Total Labor Burden and Costs (rounded) </w:t>
            </w:r>
            <w:r w:rsidRPr="00424CCD">
              <w:rPr>
                <w:rFonts w:eastAsia="Times New Roman" w:cstheme="minorHAnsi"/>
                <w:b/>
                <w:bCs/>
                <w:color w:val="000000"/>
                <w:sz w:val="20"/>
                <w:szCs w:val="20"/>
                <w:vertAlign w:val="superscript"/>
              </w:rPr>
              <w:t>h</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8B7424A" w14:textId="77777777">
            <w:pPr>
              <w:spacing w:after="0" w:line="240" w:lineRule="auto"/>
              <w:rPr>
                <w:rFonts w:eastAsia="Times New Roman" w:cstheme="minorHAnsi"/>
                <w:b/>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976F7E9"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4117631"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CF019C1" w14:textId="77777777">
            <w:pPr>
              <w:spacing w:after="0" w:line="240" w:lineRule="auto"/>
              <w:rPr>
                <w:rFonts w:eastAsia="Times New Roman" w:cstheme="minorHAnsi"/>
                <w:sz w:val="20"/>
                <w:szCs w:val="20"/>
              </w:rPr>
            </w:pPr>
          </w:p>
        </w:tc>
        <w:tc>
          <w:tcPr>
            <w:tcW w:w="3491" w:type="dxa"/>
            <w:gridSpan w:val="3"/>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218E6CA"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2,170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05ABFE0"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 xml:space="preserve">$123,000 </w:t>
            </w:r>
          </w:p>
        </w:tc>
      </w:tr>
      <w:tr w14:paraId="72364C78" w14:textId="77777777" w:rsidTr="00C34FB5">
        <w:tblPrEx>
          <w:tblW w:w="14490" w:type="dxa"/>
          <w:tblInd w:w="-522" w:type="dxa"/>
          <w:tblCellMar>
            <w:top w:w="15" w:type="dxa"/>
            <w:bottom w:w="15" w:type="dxa"/>
          </w:tblCellMar>
          <w:tblLook w:val="04A0"/>
        </w:tblPrEx>
        <w:trPr>
          <w:trHeight w:val="300"/>
        </w:trPr>
        <w:tc>
          <w:tcPr>
            <w:tcW w:w="4770" w:type="dxa"/>
            <w:tcBorders>
              <w:top w:val="single" w:sz="4" w:space="0" w:color="auto"/>
              <w:left w:val="single" w:sz="4" w:space="0" w:color="auto"/>
              <w:bottom w:val="single" w:sz="4" w:space="0" w:color="auto"/>
              <w:right w:val="single" w:sz="4" w:space="0" w:color="auto"/>
            </w:tcBorders>
            <w:vAlign w:val="bottom"/>
            <w:hideMark/>
          </w:tcPr>
          <w:p w:rsidR="00424CCD" w:rsidRPr="00424CCD" w:rsidP="00424CCD" w14:paraId="1BEDA27B" w14:textId="77777777">
            <w:pPr>
              <w:spacing w:after="0" w:line="240" w:lineRule="auto"/>
              <w:rPr>
                <w:rFonts w:eastAsia="Times New Roman" w:cstheme="minorHAnsi"/>
                <w:b/>
                <w:bCs/>
                <w:color w:val="000000"/>
                <w:sz w:val="20"/>
                <w:szCs w:val="20"/>
              </w:rPr>
            </w:pPr>
            <w:r w:rsidRPr="00424CCD">
              <w:rPr>
                <w:rFonts w:eastAsia="Times New Roman" w:cstheme="minorHAnsi"/>
                <w:b/>
                <w:bCs/>
                <w:color w:val="000000"/>
                <w:sz w:val="20"/>
                <w:szCs w:val="20"/>
              </w:rPr>
              <w:t xml:space="preserve">Total Capital and O&amp;M Cost (rounded) </w:t>
            </w:r>
            <w:r w:rsidRPr="00424CCD">
              <w:rPr>
                <w:rFonts w:eastAsia="Times New Roman" w:cstheme="minorHAnsi"/>
                <w:b/>
                <w:bCs/>
                <w:color w:val="000000"/>
                <w:sz w:val="20"/>
                <w:szCs w:val="20"/>
                <w:vertAlign w:val="superscript"/>
              </w:rPr>
              <w:t>h</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67F0814" w14:textId="77777777">
            <w:pPr>
              <w:spacing w:after="0" w:line="240" w:lineRule="auto"/>
              <w:rPr>
                <w:rFonts w:eastAsia="Times New Roman" w:cstheme="minorHAnsi"/>
                <w:b/>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2658E01"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D0592AF"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79D900A3" w14:textId="77777777">
            <w:pPr>
              <w:spacing w:after="0" w:line="240" w:lineRule="auto"/>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4FA6ED8" w14:textId="77777777">
            <w:pPr>
              <w:spacing w:after="0" w:line="240" w:lineRule="auto"/>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667B113C"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A51108D"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2F4BE53"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 xml:space="preserve">$83,600 </w:t>
            </w:r>
          </w:p>
        </w:tc>
      </w:tr>
      <w:tr w14:paraId="7EB5BF35" w14:textId="77777777" w:rsidTr="00C34FB5">
        <w:tblPrEx>
          <w:tblW w:w="14490" w:type="dxa"/>
          <w:tblInd w:w="-522" w:type="dxa"/>
          <w:tblCellMar>
            <w:top w:w="15" w:type="dxa"/>
            <w:bottom w:w="15" w:type="dxa"/>
          </w:tblCellMar>
          <w:tblLook w:val="04A0"/>
        </w:tblPrEx>
        <w:trPr>
          <w:trHeight w:val="330"/>
        </w:trPr>
        <w:tc>
          <w:tcPr>
            <w:tcW w:w="4770" w:type="dxa"/>
            <w:tcBorders>
              <w:top w:val="single" w:sz="4" w:space="0" w:color="auto"/>
              <w:left w:val="single" w:sz="4" w:space="0" w:color="auto"/>
              <w:bottom w:val="single" w:sz="4" w:space="0" w:color="auto"/>
              <w:right w:val="single" w:sz="4" w:space="0" w:color="auto"/>
            </w:tcBorders>
            <w:vAlign w:val="bottom"/>
            <w:hideMark/>
          </w:tcPr>
          <w:p w:rsidR="00424CCD" w:rsidRPr="00424CCD" w:rsidP="00424CCD" w14:paraId="28207B06" w14:textId="77777777">
            <w:pPr>
              <w:spacing w:after="0" w:line="240" w:lineRule="auto"/>
              <w:rPr>
                <w:rFonts w:eastAsia="Times New Roman" w:cstheme="minorHAnsi"/>
                <w:b/>
                <w:bCs/>
                <w:color w:val="000000"/>
                <w:sz w:val="20"/>
                <w:szCs w:val="20"/>
              </w:rPr>
            </w:pPr>
            <w:r w:rsidRPr="00424CCD">
              <w:rPr>
                <w:rFonts w:eastAsia="Times New Roman" w:cstheme="minorHAnsi"/>
                <w:b/>
                <w:bCs/>
                <w:color w:val="000000"/>
                <w:sz w:val="20"/>
                <w:szCs w:val="20"/>
              </w:rPr>
              <w:t xml:space="preserve">GRAND TOTAL (rounded) </w:t>
            </w:r>
            <w:r w:rsidRPr="00424CCD">
              <w:rPr>
                <w:rFonts w:eastAsia="Times New Roman" w:cstheme="minorHAnsi"/>
                <w:b/>
                <w:bCs/>
                <w:color w:val="000000"/>
                <w:sz w:val="20"/>
                <w:szCs w:val="20"/>
                <w:vertAlign w:val="superscript"/>
              </w:rPr>
              <w:t>h</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011C7085" w14:textId="77777777">
            <w:pPr>
              <w:spacing w:after="0" w:line="240" w:lineRule="auto"/>
              <w:rPr>
                <w:rFonts w:eastAsia="Times New Roman" w:cstheme="minorHAnsi"/>
                <w:b/>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B1561E7"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3E59AE9D" w14:textId="77777777">
            <w:pPr>
              <w:spacing w:after="0" w:line="240" w:lineRule="auto"/>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18C9E38" w14:textId="77777777">
            <w:pPr>
              <w:spacing w:after="0" w:line="240" w:lineRule="auto"/>
              <w:rPr>
                <w:rFonts w:eastAsia="Times New Roman" w:cstheme="minorHAnsi"/>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A9E945F" w14:textId="77777777">
            <w:pPr>
              <w:spacing w:after="0" w:line="240" w:lineRule="auto"/>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10AEEC09" w14:textId="77777777">
            <w:pPr>
              <w:spacing w:after="0" w:line="240" w:lineRule="auto"/>
              <w:jc w:val="center"/>
              <w:rPr>
                <w:rFonts w:eastAsia="Times New Roman" w:cstheme="minorHAnsi"/>
                <w:sz w:val="20"/>
                <w:szCs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21A1E1D9"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424CCD" w:rsidRPr="00424CCD" w:rsidP="00424CCD" w14:paraId="5A620DBC" w14:textId="77777777">
            <w:pPr>
              <w:spacing w:after="0" w:line="240" w:lineRule="auto"/>
              <w:jc w:val="center"/>
              <w:rPr>
                <w:rFonts w:eastAsia="Times New Roman" w:cstheme="minorHAnsi"/>
                <w:b/>
                <w:bCs/>
                <w:color w:val="000000"/>
                <w:sz w:val="20"/>
                <w:szCs w:val="20"/>
              </w:rPr>
            </w:pPr>
            <w:r w:rsidRPr="00424CCD">
              <w:rPr>
                <w:rFonts w:eastAsia="Times New Roman" w:cstheme="minorHAnsi"/>
                <w:b/>
                <w:bCs/>
                <w:color w:val="000000"/>
                <w:sz w:val="20"/>
                <w:szCs w:val="20"/>
              </w:rPr>
              <w:t xml:space="preserve">$207,000 </w:t>
            </w:r>
          </w:p>
        </w:tc>
      </w:tr>
      <w:tr w14:paraId="635B81E7" w14:textId="77777777" w:rsidTr="00C34FB5">
        <w:tblPrEx>
          <w:tblW w:w="14490" w:type="dxa"/>
          <w:tblInd w:w="-522" w:type="dxa"/>
          <w:tblCellMar>
            <w:top w:w="15" w:type="dxa"/>
            <w:bottom w:w="15" w:type="dxa"/>
          </w:tblCellMar>
          <w:tblLook w:val="04A0"/>
        </w:tblPrEx>
        <w:trPr>
          <w:trHeight w:val="300"/>
        </w:trPr>
        <w:tc>
          <w:tcPr>
            <w:tcW w:w="4770" w:type="dxa"/>
            <w:tcBorders>
              <w:top w:val="nil"/>
              <w:left w:val="nil"/>
              <w:bottom w:val="nil"/>
              <w:right w:val="nil"/>
            </w:tcBorders>
            <w:noWrap/>
            <w:vAlign w:val="bottom"/>
            <w:hideMark/>
          </w:tcPr>
          <w:p w:rsidR="00424CCD" w:rsidRPr="00424CCD" w:rsidP="00424CCD" w14:paraId="1D755343" w14:textId="77777777">
            <w:pPr>
              <w:spacing w:after="0" w:line="240" w:lineRule="auto"/>
              <w:jc w:val="center"/>
              <w:rPr>
                <w:rFonts w:eastAsia="Times New Roman" w:cstheme="minorHAnsi"/>
                <w:b/>
                <w:bCs/>
                <w:color w:val="000000"/>
                <w:sz w:val="20"/>
                <w:szCs w:val="20"/>
              </w:rPr>
            </w:pPr>
          </w:p>
        </w:tc>
        <w:tc>
          <w:tcPr>
            <w:tcW w:w="1160" w:type="dxa"/>
            <w:tcBorders>
              <w:top w:val="nil"/>
              <w:left w:val="nil"/>
              <w:bottom w:val="nil"/>
              <w:right w:val="nil"/>
            </w:tcBorders>
            <w:noWrap/>
            <w:vAlign w:val="bottom"/>
            <w:hideMark/>
          </w:tcPr>
          <w:p w:rsidR="00424CCD" w:rsidRPr="00424CCD" w:rsidP="00424CCD" w14:paraId="3907E052" w14:textId="77777777">
            <w:pPr>
              <w:spacing w:after="0" w:line="240" w:lineRule="auto"/>
              <w:rPr>
                <w:rFonts w:eastAsia="Times New Roman" w:cstheme="minorHAnsi"/>
                <w:sz w:val="20"/>
                <w:szCs w:val="20"/>
              </w:rPr>
            </w:pPr>
          </w:p>
        </w:tc>
        <w:tc>
          <w:tcPr>
            <w:tcW w:w="1238" w:type="dxa"/>
            <w:tcBorders>
              <w:top w:val="nil"/>
              <w:left w:val="nil"/>
              <w:bottom w:val="nil"/>
              <w:right w:val="nil"/>
            </w:tcBorders>
            <w:noWrap/>
            <w:vAlign w:val="bottom"/>
            <w:hideMark/>
          </w:tcPr>
          <w:p w:rsidR="00424CCD" w:rsidRPr="00424CCD" w:rsidP="00424CCD" w14:paraId="7E357F5B" w14:textId="77777777">
            <w:pPr>
              <w:spacing w:after="0" w:line="240" w:lineRule="auto"/>
              <w:rPr>
                <w:rFonts w:eastAsia="Times New Roman" w:cstheme="minorHAnsi"/>
                <w:sz w:val="20"/>
                <w:szCs w:val="20"/>
              </w:rPr>
            </w:pPr>
          </w:p>
        </w:tc>
        <w:tc>
          <w:tcPr>
            <w:tcW w:w="1175" w:type="dxa"/>
            <w:tcBorders>
              <w:top w:val="nil"/>
              <w:left w:val="nil"/>
              <w:bottom w:val="nil"/>
              <w:right w:val="nil"/>
            </w:tcBorders>
            <w:noWrap/>
            <w:vAlign w:val="bottom"/>
            <w:hideMark/>
          </w:tcPr>
          <w:p w:rsidR="00424CCD" w:rsidRPr="00424CCD" w:rsidP="00424CCD" w14:paraId="6563B088"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424CCD" w:rsidRPr="00424CCD" w:rsidP="00424CCD" w14:paraId="3C782F97"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424CCD" w:rsidRPr="00424CCD" w:rsidP="00424CCD" w14:paraId="69C69A0E"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424CCD" w:rsidRPr="00424CCD" w:rsidP="00424CCD" w14:paraId="03110200" w14:textId="77777777">
            <w:pPr>
              <w:spacing w:after="0" w:line="240" w:lineRule="auto"/>
              <w:rPr>
                <w:rFonts w:eastAsia="Times New Roman" w:cstheme="minorHAnsi"/>
                <w:sz w:val="20"/>
                <w:szCs w:val="20"/>
              </w:rPr>
            </w:pPr>
          </w:p>
        </w:tc>
        <w:tc>
          <w:tcPr>
            <w:tcW w:w="1103" w:type="dxa"/>
            <w:tcBorders>
              <w:top w:val="nil"/>
              <w:left w:val="nil"/>
              <w:bottom w:val="nil"/>
              <w:right w:val="nil"/>
            </w:tcBorders>
            <w:noWrap/>
            <w:vAlign w:val="bottom"/>
            <w:hideMark/>
          </w:tcPr>
          <w:p w:rsidR="00424CCD" w:rsidRPr="00424CCD" w:rsidP="00424CCD" w14:paraId="3E867797" w14:textId="77777777">
            <w:pPr>
              <w:spacing w:after="0" w:line="240" w:lineRule="auto"/>
              <w:rPr>
                <w:rFonts w:eastAsia="Times New Roman" w:cstheme="minorHAnsi"/>
                <w:sz w:val="20"/>
                <w:szCs w:val="20"/>
              </w:rPr>
            </w:pPr>
          </w:p>
        </w:tc>
        <w:tc>
          <w:tcPr>
            <w:tcW w:w="1350" w:type="dxa"/>
            <w:tcBorders>
              <w:top w:val="nil"/>
              <w:left w:val="nil"/>
              <w:bottom w:val="nil"/>
              <w:right w:val="nil"/>
            </w:tcBorders>
            <w:noWrap/>
            <w:vAlign w:val="bottom"/>
            <w:hideMark/>
          </w:tcPr>
          <w:p w:rsidR="00424CCD" w:rsidRPr="00424CCD" w:rsidP="00424CCD" w14:paraId="47A6C189" w14:textId="77777777">
            <w:pPr>
              <w:spacing w:after="0" w:line="240" w:lineRule="auto"/>
              <w:rPr>
                <w:rFonts w:eastAsia="Times New Roman" w:cstheme="minorHAnsi"/>
                <w:sz w:val="20"/>
                <w:szCs w:val="20"/>
              </w:rPr>
            </w:pPr>
          </w:p>
        </w:tc>
      </w:tr>
      <w:tr w14:paraId="0F5F8727" w14:textId="77777777" w:rsidTr="00C34FB5">
        <w:tblPrEx>
          <w:tblW w:w="14490" w:type="dxa"/>
          <w:tblInd w:w="-522" w:type="dxa"/>
          <w:tblCellMar>
            <w:top w:w="15" w:type="dxa"/>
            <w:bottom w:w="15" w:type="dxa"/>
          </w:tblCellMar>
          <w:tblLook w:val="04A0"/>
        </w:tblPrEx>
        <w:trPr>
          <w:trHeight w:val="300"/>
        </w:trPr>
        <w:tc>
          <w:tcPr>
            <w:tcW w:w="4770" w:type="dxa"/>
            <w:tcBorders>
              <w:top w:val="nil"/>
              <w:left w:val="nil"/>
              <w:bottom w:val="nil"/>
              <w:right w:val="nil"/>
            </w:tcBorders>
            <w:noWrap/>
            <w:vAlign w:val="bottom"/>
            <w:hideMark/>
          </w:tcPr>
          <w:p w:rsidR="00424CCD" w:rsidRPr="00424CCD" w:rsidP="00424CCD" w14:paraId="489372A7" w14:textId="77777777">
            <w:pPr>
              <w:spacing w:after="0" w:line="240" w:lineRule="auto"/>
              <w:rPr>
                <w:rFonts w:eastAsia="Times New Roman" w:cstheme="minorHAnsi"/>
                <w:b/>
                <w:bCs/>
                <w:color w:val="000000"/>
                <w:sz w:val="20"/>
                <w:szCs w:val="20"/>
              </w:rPr>
            </w:pPr>
            <w:r w:rsidRPr="00424CCD">
              <w:rPr>
                <w:rFonts w:eastAsia="Times New Roman" w:cstheme="minorHAnsi"/>
                <w:b/>
                <w:bCs/>
                <w:color w:val="000000"/>
                <w:sz w:val="20"/>
                <w:szCs w:val="20"/>
              </w:rPr>
              <w:t>Assumptions:</w:t>
            </w:r>
          </w:p>
        </w:tc>
        <w:tc>
          <w:tcPr>
            <w:tcW w:w="1160" w:type="dxa"/>
            <w:tcBorders>
              <w:top w:val="nil"/>
              <w:left w:val="nil"/>
              <w:bottom w:val="nil"/>
              <w:right w:val="nil"/>
            </w:tcBorders>
            <w:noWrap/>
            <w:vAlign w:val="bottom"/>
            <w:hideMark/>
          </w:tcPr>
          <w:p w:rsidR="00424CCD" w:rsidRPr="00424CCD" w:rsidP="00424CCD" w14:paraId="5BA2548C" w14:textId="77777777">
            <w:pPr>
              <w:spacing w:after="0" w:line="240" w:lineRule="auto"/>
              <w:rPr>
                <w:rFonts w:eastAsia="Times New Roman" w:cstheme="minorHAnsi"/>
                <w:b/>
                <w:bCs/>
                <w:color w:val="000000"/>
                <w:sz w:val="20"/>
                <w:szCs w:val="20"/>
              </w:rPr>
            </w:pPr>
          </w:p>
        </w:tc>
        <w:tc>
          <w:tcPr>
            <w:tcW w:w="1238" w:type="dxa"/>
            <w:tcBorders>
              <w:top w:val="nil"/>
              <w:left w:val="nil"/>
              <w:bottom w:val="nil"/>
              <w:right w:val="nil"/>
            </w:tcBorders>
            <w:noWrap/>
            <w:vAlign w:val="bottom"/>
            <w:hideMark/>
          </w:tcPr>
          <w:p w:rsidR="00424CCD" w:rsidRPr="00424CCD" w:rsidP="00424CCD" w14:paraId="7D925D91" w14:textId="77777777">
            <w:pPr>
              <w:spacing w:after="0" w:line="240" w:lineRule="auto"/>
              <w:rPr>
                <w:rFonts w:eastAsia="Times New Roman" w:cstheme="minorHAnsi"/>
                <w:sz w:val="20"/>
                <w:szCs w:val="20"/>
              </w:rPr>
            </w:pPr>
          </w:p>
        </w:tc>
        <w:tc>
          <w:tcPr>
            <w:tcW w:w="1175" w:type="dxa"/>
            <w:tcBorders>
              <w:top w:val="nil"/>
              <w:left w:val="nil"/>
              <w:bottom w:val="nil"/>
              <w:right w:val="nil"/>
            </w:tcBorders>
            <w:noWrap/>
            <w:vAlign w:val="bottom"/>
            <w:hideMark/>
          </w:tcPr>
          <w:p w:rsidR="00424CCD" w:rsidRPr="00424CCD" w:rsidP="00424CCD" w14:paraId="731C744A"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424CCD" w:rsidRPr="00424CCD" w:rsidP="00424CCD" w14:paraId="25A63B63"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424CCD" w:rsidRPr="00424CCD" w:rsidP="00424CCD" w14:paraId="75410C38"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424CCD" w:rsidRPr="00424CCD" w:rsidP="00424CCD" w14:paraId="5B7EB694" w14:textId="77777777">
            <w:pPr>
              <w:spacing w:after="0" w:line="240" w:lineRule="auto"/>
              <w:rPr>
                <w:rFonts w:eastAsia="Times New Roman" w:cstheme="minorHAnsi"/>
                <w:sz w:val="20"/>
                <w:szCs w:val="20"/>
              </w:rPr>
            </w:pPr>
          </w:p>
        </w:tc>
        <w:tc>
          <w:tcPr>
            <w:tcW w:w="1103" w:type="dxa"/>
            <w:tcBorders>
              <w:top w:val="nil"/>
              <w:left w:val="nil"/>
              <w:bottom w:val="nil"/>
              <w:right w:val="nil"/>
            </w:tcBorders>
            <w:noWrap/>
            <w:vAlign w:val="bottom"/>
            <w:hideMark/>
          </w:tcPr>
          <w:p w:rsidR="00424CCD" w:rsidRPr="00424CCD" w:rsidP="00424CCD" w14:paraId="272F3DE2" w14:textId="77777777">
            <w:pPr>
              <w:spacing w:after="0" w:line="240" w:lineRule="auto"/>
              <w:rPr>
                <w:rFonts w:eastAsia="Times New Roman" w:cstheme="minorHAnsi"/>
                <w:sz w:val="20"/>
                <w:szCs w:val="20"/>
              </w:rPr>
            </w:pPr>
          </w:p>
        </w:tc>
        <w:tc>
          <w:tcPr>
            <w:tcW w:w="1350" w:type="dxa"/>
            <w:tcBorders>
              <w:top w:val="nil"/>
              <w:left w:val="nil"/>
              <w:bottom w:val="nil"/>
              <w:right w:val="nil"/>
            </w:tcBorders>
            <w:noWrap/>
            <w:vAlign w:val="bottom"/>
            <w:hideMark/>
          </w:tcPr>
          <w:p w:rsidR="00424CCD" w:rsidRPr="00424CCD" w:rsidP="00424CCD" w14:paraId="5A65D314" w14:textId="77777777">
            <w:pPr>
              <w:spacing w:after="0" w:line="240" w:lineRule="auto"/>
              <w:rPr>
                <w:rFonts w:eastAsia="Times New Roman" w:cstheme="minorHAnsi"/>
                <w:sz w:val="20"/>
                <w:szCs w:val="20"/>
              </w:rPr>
            </w:pPr>
          </w:p>
        </w:tc>
      </w:tr>
      <w:tr w14:paraId="0263F2CD" w14:textId="77777777" w:rsidTr="00C34FB5">
        <w:tblPrEx>
          <w:tblW w:w="14490" w:type="dxa"/>
          <w:tblInd w:w="-522" w:type="dxa"/>
          <w:tblCellMar>
            <w:top w:w="15" w:type="dxa"/>
            <w:bottom w:w="15" w:type="dxa"/>
          </w:tblCellMar>
          <w:tblLook w:val="04A0"/>
        </w:tblPrEx>
        <w:trPr>
          <w:trHeight w:val="630"/>
        </w:trPr>
        <w:tc>
          <w:tcPr>
            <w:tcW w:w="14490" w:type="dxa"/>
            <w:gridSpan w:val="9"/>
            <w:tcBorders>
              <w:top w:val="nil"/>
              <w:left w:val="nil"/>
              <w:bottom w:val="nil"/>
              <w:right w:val="nil"/>
            </w:tcBorders>
            <w:hideMark/>
          </w:tcPr>
          <w:p w:rsidR="00424CCD" w:rsidRPr="00424CCD" w:rsidP="00424CCD" w14:paraId="5ED09152" w14:textId="21DD5AFD">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a</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We estimate that an average of 47 existing respondents per year will be subject to the rule, and that no new, modified, or reconstructed facilities will become subject over the three-year period of this ICR. We estimate 26 (55.6 percent) respondents are privately owned and 21 (44.4 percent) are publicly owned.</w:t>
            </w:r>
          </w:p>
        </w:tc>
      </w:tr>
      <w:tr w14:paraId="21C5D66E" w14:textId="77777777" w:rsidTr="00C34FB5">
        <w:tblPrEx>
          <w:tblW w:w="14490" w:type="dxa"/>
          <w:tblInd w:w="-522" w:type="dxa"/>
          <w:tblCellMar>
            <w:top w:w="15" w:type="dxa"/>
            <w:bottom w:w="15" w:type="dxa"/>
          </w:tblCellMar>
          <w:tblLook w:val="04A0"/>
        </w:tblPrEx>
        <w:trPr>
          <w:trHeight w:val="1050"/>
        </w:trPr>
        <w:tc>
          <w:tcPr>
            <w:tcW w:w="14490" w:type="dxa"/>
            <w:gridSpan w:val="9"/>
            <w:tcBorders>
              <w:top w:val="nil"/>
              <w:left w:val="nil"/>
              <w:bottom w:val="nil"/>
              <w:right w:val="nil"/>
            </w:tcBorders>
            <w:hideMark/>
          </w:tcPr>
          <w:p w:rsidR="00424CCD" w:rsidRPr="00424CCD" w:rsidP="00424CCD" w14:paraId="4F664730" w14:textId="2A016402">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b</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This cost is based on the average hourly labor rate as follows: Managerial $78.22 (GS-13, Step 5, $48.89 + 60%); Technical $58.05 (GS-12, Step 1, $36.28 + 60</w:t>
            </w:r>
            <w:r w:rsidRPr="00424CCD">
              <w:rPr>
                <w:rFonts w:eastAsia="Times New Roman" w:cstheme="minorHAnsi"/>
                <w:color w:val="000000"/>
                <w:sz w:val="20"/>
                <w:szCs w:val="20"/>
              </w:rPr>
              <w:t>%);</w:t>
            </w:r>
            <w:r w:rsidRPr="00424CCD">
              <w:rPr>
                <w:rFonts w:eastAsia="Times New Roman" w:cstheme="minorHAnsi"/>
                <w:color w:val="000000"/>
                <w:sz w:val="20"/>
                <w:szCs w:val="20"/>
              </w:rPr>
              <w:t xml:space="preserve"> and Clerical $31.41 (GS-6, Step 3, $19.63+ 60%). This ICR assumes that Managerial hours are 5 percent of </w:t>
            </w:r>
            <w:r w:rsidRPr="00424CCD">
              <w:rPr>
                <w:rFonts w:eastAsia="Times New Roman" w:cstheme="minorHAnsi"/>
                <w:color w:val="000000"/>
                <w:sz w:val="20"/>
                <w:szCs w:val="20"/>
              </w:rPr>
              <w:t>Technical</w:t>
            </w:r>
            <w:r w:rsidRPr="00424CCD">
              <w:rPr>
                <w:rFonts w:eastAsia="Times New Roman" w:cstheme="minorHAnsi"/>
                <w:color w:val="000000"/>
                <w:sz w:val="20"/>
                <w:szCs w:val="20"/>
              </w:rPr>
              <w:t xml:space="preserve"> hours, and Clerical hours are 10 percent of </w:t>
            </w:r>
            <w:r w:rsidRPr="00424CCD">
              <w:rPr>
                <w:rFonts w:eastAsia="Times New Roman" w:cstheme="minorHAnsi"/>
                <w:color w:val="000000"/>
                <w:sz w:val="20"/>
                <w:szCs w:val="20"/>
              </w:rPr>
              <w:t>Technical</w:t>
            </w:r>
            <w:r w:rsidRPr="00424CCD">
              <w:rPr>
                <w:rFonts w:eastAsia="Times New Roman" w:cstheme="minorHAnsi"/>
                <w:color w:val="000000"/>
                <w:sz w:val="20"/>
                <w:szCs w:val="20"/>
              </w:rPr>
              <w:t xml:space="preserve"> hours. These rates are from the Office of Personnel Management (OPM), 2025 General Schedule, which excludes locality, rates of pay. The rates have been increased by 60 percent to account for the benefit packages available to government employees.</w:t>
            </w:r>
          </w:p>
        </w:tc>
      </w:tr>
      <w:tr w14:paraId="0B5481B4" w14:textId="77777777" w:rsidTr="00C34FB5">
        <w:tblPrEx>
          <w:tblW w:w="14490" w:type="dxa"/>
          <w:tblInd w:w="-522" w:type="dxa"/>
          <w:tblCellMar>
            <w:top w:w="15" w:type="dxa"/>
            <w:bottom w:w="15" w:type="dxa"/>
          </w:tblCellMar>
          <w:tblLook w:val="04A0"/>
        </w:tblPrEx>
        <w:trPr>
          <w:trHeight w:val="300"/>
        </w:trPr>
        <w:tc>
          <w:tcPr>
            <w:tcW w:w="14490" w:type="dxa"/>
            <w:gridSpan w:val="9"/>
            <w:tcBorders>
              <w:top w:val="nil"/>
              <w:left w:val="nil"/>
              <w:bottom w:val="nil"/>
              <w:right w:val="nil"/>
            </w:tcBorders>
            <w:hideMark/>
          </w:tcPr>
          <w:p w:rsidR="00424CCD" w:rsidRPr="00424CCD" w:rsidP="00424CCD" w14:paraId="3DC00A36" w14:textId="7BCFF404">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c</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We assume that all sources will have to familiarize themselves with regulatory requirements each year.</w:t>
            </w:r>
          </w:p>
        </w:tc>
      </w:tr>
      <w:tr w14:paraId="6234ACA6" w14:textId="77777777" w:rsidTr="00C34FB5">
        <w:tblPrEx>
          <w:tblW w:w="14490" w:type="dxa"/>
          <w:tblInd w:w="-522" w:type="dxa"/>
          <w:tblCellMar>
            <w:top w:w="15" w:type="dxa"/>
            <w:bottom w:w="15" w:type="dxa"/>
          </w:tblCellMar>
          <w:tblLook w:val="04A0"/>
        </w:tblPrEx>
        <w:trPr>
          <w:trHeight w:val="300"/>
        </w:trPr>
        <w:tc>
          <w:tcPr>
            <w:tcW w:w="14490" w:type="dxa"/>
            <w:gridSpan w:val="9"/>
            <w:tcBorders>
              <w:top w:val="nil"/>
              <w:left w:val="nil"/>
              <w:bottom w:val="nil"/>
              <w:right w:val="nil"/>
            </w:tcBorders>
            <w:hideMark/>
          </w:tcPr>
          <w:p w:rsidR="00424CCD" w:rsidRPr="00424CCD" w:rsidP="00424CCD" w14:paraId="44007FD3" w14:textId="3ABBE46F">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d</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We assume this is a one-time-only cost.</w:t>
            </w:r>
          </w:p>
        </w:tc>
      </w:tr>
      <w:tr w14:paraId="65ED61C3" w14:textId="77777777" w:rsidTr="00C34FB5">
        <w:tblPrEx>
          <w:tblW w:w="14490" w:type="dxa"/>
          <w:tblInd w:w="-522" w:type="dxa"/>
          <w:tblCellMar>
            <w:top w:w="15" w:type="dxa"/>
            <w:bottom w:w="15" w:type="dxa"/>
          </w:tblCellMar>
          <w:tblLook w:val="04A0"/>
        </w:tblPrEx>
        <w:trPr>
          <w:trHeight w:val="300"/>
        </w:trPr>
        <w:tc>
          <w:tcPr>
            <w:tcW w:w="14490" w:type="dxa"/>
            <w:gridSpan w:val="9"/>
            <w:tcBorders>
              <w:top w:val="nil"/>
              <w:left w:val="nil"/>
              <w:bottom w:val="nil"/>
              <w:right w:val="nil"/>
            </w:tcBorders>
            <w:hideMark/>
          </w:tcPr>
          <w:p w:rsidR="00424CCD" w:rsidRPr="00424CCD" w:rsidP="00424CCD" w14:paraId="19D044D5" w14:textId="469526B9">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e</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We</w:t>
            </w:r>
            <w:r w:rsidRPr="00424CCD">
              <w:rPr>
                <w:rFonts w:eastAsia="Times New Roman" w:cstheme="minorHAnsi"/>
                <w:color w:val="000000"/>
                <w:sz w:val="20"/>
                <w:szCs w:val="20"/>
              </w:rPr>
              <w:t xml:space="preserve"> assume it takes 60 technical hours for pretests/test preparation, 60 technical hours for testing, and 80 technical hours for analysis and report preparation.</w:t>
            </w:r>
          </w:p>
        </w:tc>
      </w:tr>
      <w:tr w14:paraId="64779A10" w14:textId="77777777" w:rsidTr="00C34FB5">
        <w:tblPrEx>
          <w:tblW w:w="14490" w:type="dxa"/>
          <w:tblInd w:w="-522" w:type="dxa"/>
          <w:tblCellMar>
            <w:top w:w="15" w:type="dxa"/>
            <w:bottom w:w="15" w:type="dxa"/>
          </w:tblCellMar>
          <w:tblLook w:val="04A0"/>
        </w:tblPrEx>
        <w:trPr>
          <w:trHeight w:val="300"/>
        </w:trPr>
        <w:tc>
          <w:tcPr>
            <w:tcW w:w="14490" w:type="dxa"/>
            <w:gridSpan w:val="9"/>
            <w:tcBorders>
              <w:top w:val="nil"/>
              <w:left w:val="nil"/>
              <w:bottom w:val="nil"/>
              <w:right w:val="nil"/>
            </w:tcBorders>
            <w:hideMark/>
          </w:tcPr>
          <w:p w:rsidR="00424CCD" w:rsidRPr="00424CCD" w:rsidP="00424CCD" w14:paraId="5ECC737E" w14:textId="5FCFA627">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f</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This rule does not require semiannual reporting, just recordkeeping.</w:t>
            </w:r>
          </w:p>
        </w:tc>
      </w:tr>
      <w:tr w14:paraId="4B527AEC" w14:textId="77777777" w:rsidTr="00C34FB5">
        <w:tblPrEx>
          <w:tblW w:w="14490" w:type="dxa"/>
          <w:tblInd w:w="-522" w:type="dxa"/>
          <w:tblCellMar>
            <w:top w:w="15" w:type="dxa"/>
            <w:bottom w:w="15" w:type="dxa"/>
          </w:tblCellMar>
          <w:tblLook w:val="04A0"/>
        </w:tblPrEx>
        <w:trPr>
          <w:trHeight w:val="300"/>
        </w:trPr>
        <w:tc>
          <w:tcPr>
            <w:tcW w:w="14490" w:type="dxa"/>
            <w:gridSpan w:val="9"/>
            <w:tcBorders>
              <w:top w:val="nil"/>
              <w:left w:val="nil"/>
              <w:bottom w:val="nil"/>
              <w:right w:val="nil"/>
            </w:tcBorders>
            <w:hideMark/>
          </w:tcPr>
          <w:p w:rsidR="00424CCD" w:rsidRPr="00424CCD" w:rsidP="00424CCD" w14:paraId="5B5E4A3A" w14:textId="1A288F66">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g</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We assume it will take 0.25 hours per day over 350 days per year to record daily charging rates.</w:t>
            </w:r>
          </w:p>
        </w:tc>
      </w:tr>
      <w:tr w14:paraId="303A6E5F" w14:textId="77777777" w:rsidTr="00C34FB5">
        <w:tblPrEx>
          <w:tblW w:w="14490" w:type="dxa"/>
          <w:tblInd w:w="-522" w:type="dxa"/>
          <w:tblCellMar>
            <w:top w:w="15" w:type="dxa"/>
            <w:bottom w:w="15" w:type="dxa"/>
          </w:tblCellMar>
          <w:tblLook w:val="04A0"/>
        </w:tblPrEx>
        <w:trPr>
          <w:trHeight w:val="300"/>
        </w:trPr>
        <w:tc>
          <w:tcPr>
            <w:tcW w:w="14490" w:type="dxa"/>
            <w:gridSpan w:val="9"/>
            <w:tcBorders>
              <w:top w:val="nil"/>
              <w:left w:val="nil"/>
              <w:bottom w:val="nil"/>
              <w:right w:val="nil"/>
            </w:tcBorders>
            <w:hideMark/>
          </w:tcPr>
          <w:p w:rsidR="00424CCD" w:rsidRPr="00424CCD" w:rsidP="00424CCD" w14:paraId="36428022" w14:textId="4B272329">
            <w:pPr>
              <w:spacing w:after="0" w:line="240" w:lineRule="auto"/>
              <w:rPr>
                <w:rFonts w:eastAsia="Times New Roman" w:cstheme="minorHAnsi"/>
                <w:color w:val="000000"/>
                <w:sz w:val="20"/>
                <w:szCs w:val="20"/>
              </w:rPr>
            </w:pPr>
            <w:r w:rsidRPr="00424CCD">
              <w:rPr>
                <w:rFonts w:eastAsia="Times New Roman" w:cstheme="minorHAnsi"/>
                <w:color w:val="000000"/>
                <w:sz w:val="20"/>
                <w:szCs w:val="20"/>
                <w:vertAlign w:val="superscript"/>
              </w:rPr>
              <w:t>h</w:t>
            </w:r>
            <w:r w:rsidR="001D7163">
              <w:rPr>
                <w:rFonts w:eastAsia="Times New Roman" w:cstheme="minorHAnsi"/>
                <w:color w:val="000000"/>
                <w:sz w:val="20"/>
                <w:szCs w:val="20"/>
              </w:rPr>
              <w:t xml:space="preserve"> </w:t>
            </w:r>
            <w:r w:rsidRPr="00424CCD">
              <w:rPr>
                <w:rFonts w:eastAsia="Times New Roman" w:cstheme="minorHAnsi"/>
                <w:color w:val="000000"/>
                <w:sz w:val="20"/>
                <w:szCs w:val="20"/>
              </w:rPr>
              <w:t>Totals</w:t>
            </w:r>
            <w:r w:rsidRPr="00424CCD">
              <w:rPr>
                <w:rFonts w:eastAsia="Times New Roman" w:cstheme="minorHAnsi"/>
                <w:color w:val="000000"/>
                <w:sz w:val="20"/>
                <w:szCs w:val="20"/>
              </w:rPr>
              <w:t xml:space="preserve"> have been rounded to 3 significant figures. Figures may not </w:t>
            </w:r>
            <w:r w:rsidRPr="00424CCD">
              <w:rPr>
                <w:rFonts w:eastAsia="Times New Roman" w:cstheme="minorHAnsi"/>
                <w:color w:val="000000"/>
                <w:sz w:val="20"/>
                <w:szCs w:val="20"/>
              </w:rPr>
              <w:t>add</w:t>
            </w:r>
            <w:r w:rsidRPr="00424CCD">
              <w:rPr>
                <w:rFonts w:eastAsia="Times New Roman" w:cstheme="minorHAnsi"/>
                <w:color w:val="000000"/>
                <w:sz w:val="20"/>
                <w:szCs w:val="20"/>
              </w:rPr>
              <w:t xml:space="preserve"> exactly due to rounding.</w:t>
            </w:r>
          </w:p>
        </w:tc>
      </w:tr>
    </w:tbl>
    <w:p w:rsidR="001641AA" w:rsidRPr="00811E64" w:rsidP="001641AA" w14:paraId="0C0DF005" w14:textId="463DC001">
      <w:pPr>
        <w:spacing w:before="240"/>
        <w:rPr>
          <w:rFonts w:cstheme="minorHAnsi"/>
          <w:b/>
          <w:bCs/>
          <w:sz w:val="24"/>
          <w:szCs w:val="24"/>
        </w:rPr>
      </w:pPr>
      <w:r w:rsidRPr="00811E64">
        <w:rPr>
          <w:rFonts w:cstheme="minorHAnsi"/>
          <w:b/>
          <w:bCs/>
          <w:sz w:val="24"/>
          <w:szCs w:val="24"/>
        </w:rPr>
        <w:t xml:space="preserve">Table 2: Average Annual EPA Burden and Cost – </w:t>
      </w:r>
      <w:r w:rsidRPr="00811E64" w:rsidR="00811E64">
        <w:rPr>
          <w:rFonts w:cstheme="minorHAnsi"/>
          <w:b/>
          <w:bCs/>
          <w:sz w:val="24"/>
          <w:szCs w:val="24"/>
        </w:rPr>
        <w:t xml:space="preserve">NSPS for Incinerators (40 CFR Part 60, Subpart E) (Renewal) </w:t>
      </w:r>
    </w:p>
    <w:tbl>
      <w:tblPr>
        <w:tblW w:w="14343" w:type="dxa"/>
        <w:tblInd w:w="-432" w:type="dxa"/>
        <w:tblCellMar>
          <w:top w:w="15" w:type="dxa"/>
          <w:bottom w:w="15" w:type="dxa"/>
        </w:tblCellMar>
        <w:tblLook w:val="04A0"/>
      </w:tblPr>
      <w:tblGrid>
        <w:gridCol w:w="4767"/>
        <w:gridCol w:w="1133"/>
        <w:gridCol w:w="1213"/>
        <w:gridCol w:w="1175"/>
        <w:gridCol w:w="1299"/>
        <w:gridCol w:w="999"/>
        <w:gridCol w:w="1339"/>
        <w:gridCol w:w="1120"/>
        <w:gridCol w:w="1298"/>
      </w:tblGrid>
      <w:tr w14:paraId="355A90E3" w14:textId="77777777" w:rsidTr="00005E67">
        <w:tblPrEx>
          <w:tblW w:w="14343" w:type="dxa"/>
          <w:tblInd w:w="-432" w:type="dxa"/>
          <w:tblCellMar>
            <w:top w:w="15" w:type="dxa"/>
            <w:bottom w:w="15" w:type="dxa"/>
          </w:tblCellMar>
          <w:tblLook w:val="04A0"/>
        </w:tblPrEx>
        <w:trPr>
          <w:trHeight w:val="1785"/>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57AC524" w14:textId="77777777">
            <w:pPr>
              <w:spacing w:after="0" w:line="240" w:lineRule="auto"/>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Burden Item</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1E9D47D"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(A)</w:t>
            </w:r>
            <w:r w:rsidRPr="002B4EDA">
              <w:rPr>
                <w:rFonts w:ascii="Calibri" w:eastAsia="Times New Roman" w:hAnsi="Calibri" w:cs="Calibri"/>
                <w:b/>
                <w:bCs/>
                <w:color w:val="000000"/>
                <w:sz w:val="20"/>
                <w:szCs w:val="20"/>
              </w:rPr>
              <w:br/>
              <w:t>Technical person-hours per occurrence</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2899427"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(B)</w:t>
            </w:r>
            <w:r w:rsidRPr="002B4EDA">
              <w:rPr>
                <w:rFonts w:ascii="Calibri" w:eastAsia="Times New Roman" w:hAnsi="Calibri" w:cs="Calibri"/>
                <w:b/>
                <w:bCs/>
                <w:color w:val="000000"/>
                <w:sz w:val="20"/>
                <w:szCs w:val="20"/>
              </w:rPr>
              <w:br/>
              <w:t>No. of occurrences per respondent per year</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30586B8"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(C)</w:t>
            </w:r>
            <w:r w:rsidRPr="002B4EDA">
              <w:rPr>
                <w:rFonts w:ascii="Calibri" w:eastAsia="Times New Roman" w:hAnsi="Calibri" w:cs="Calibri"/>
                <w:b/>
                <w:bCs/>
                <w:color w:val="000000"/>
                <w:sz w:val="20"/>
                <w:szCs w:val="20"/>
              </w:rPr>
              <w:br/>
              <w:t>Technical person-hours per respondent per year</w:t>
            </w:r>
            <w:r w:rsidRPr="002B4EDA">
              <w:rPr>
                <w:rFonts w:ascii="Calibri" w:eastAsia="Times New Roman" w:hAnsi="Calibri" w:cs="Calibri"/>
                <w:b/>
                <w:bCs/>
                <w:color w:val="000000"/>
                <w:sz w:val="20"/>
                <w:szCs w:val="20"/>
              </w:rPr>
              <w:br/>
              <w:t>(C=</w:t>
            </w:r>
            <w:r w:rsidRPr="002B4EDA">
              <w:rPr>
                <w:rFonts w:ascii="Calibri" w:eastAsia="Times New Roman" w:hAnsi="Calibri" w:cs="Calibri"/>
                <w:b/>
                <w:bCs/>
                <w:color w:val="000000"/>
                <w:sz w:val="20"/>
                <w:szCs w:val="20"/>
              </w:rPr>
              <w:t>AxB</w:t>
            </w:r>
            <w:r w:rsidRPr="002B4EDA">
              <w:rPr>
                <w:rFonts w:ascii="Calibri" w:eastAsia="Times New Roman" w:hAnsi="Calibri" w:cs="Calibri"/>
                <w:b/>
                <w:bCs/>
                <w:color w:val="000000"/>
                <w:sz w:val="20"/>
                <w:szCs w:val="20"/>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60DFF8E"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(D)</w:t>
            </w:r>
            <w:r w:rsidRPr="002B4EDA">
              <w:rPr>
                <w:rFonts w:ascii="Calibri" w:eastAsia="Times New Roman" w:hAnsi="Calibri" w:cs="Calibri"/>
                <w:b/>
                <w:bCs/>
                <w:color w:val="000000"/>
                <w:sz w:val="20"/>
                <w:szCs w:val="20"/>
              </w:rPr>
              <w:br/>
              <w:t xml:space="preserve">Respondents per year </w:t>
            </w:r>
            <w:r w:rsidRPr="002B4EDA">
              <w:rPr>
                <w:rFonts w:ascii="Calibri" w:eastAsia="Times New Roman" w:hAnsi="Calibri" w:cs="Calibri"/>
                <w:b/>
                <w:bCs/>
                <w:color w:val="000000"/>
                <w:sz w:val="20"/>
                <w:szCs w:val="20"/>
                <w:vertAlign w:val="superscript"/>
              </w:rPr>
              <w:t>a</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211EC11"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(E)</w:t>
            </w:r>
            <w:r w:rsidRPr="002B4EDA">
              <w:rPr>
                <w:rFonts w:ascii="Calibri" w:eastAsia="Times New Roman" w:hAnsi="Calibri" w:cs="Calibri"/>
                <w:b/>
                <w:bCs/>
                <w:color w:val="000000"/>
                <w:sz w:val="20"/>
                <w:szCs w:val="20"/>
              </w:rPr>
              <w:br/>
              <w:t>Technical hours per year (E=</w:t>
            </w:r>
            <w:r w:rsidRPr="002B4EDA">
              <w:rPr>
                <w:rFonts w:ascii="Calibri" w:eastAsia="Times New Roman" w:hAnsi="Calibri" w:cs="Calibri"/>
                <w:b/>
                <w:bCs/>
                <w:color w:val="000000"/>
                <w:sz w:val="20"/>
                <w:szCs w:val="20"/>
              </w:rPr>
              <w:t>CxD</w:t>
            </w:r>
            <w:r w:rsidRPr="002B4EDA">
              <w:rPr>
                <w:rFonts w:ascii="Calibri" w:eastAsia="Times New Roman" w:hAnsi="Calibri" w:cs="Calibri"/>
                <w:b/>
                <w:bCs/>
                <w:color w:val="000000"/>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499F6DB"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(F)</w:t>
            </w:r>
            <w:r w:rsidRPr="002B4EDA">
              <w:rPr>
                <w:rFonts w:ascii="Calibri" w:eastAsia="Times New Roman" w:hAnsi="Calibri" w:cs="Calibri"/>
                <w:b/>
                <w:bCs/>
                <w:color w:val="000000"/>
                <w:sz w:val="20"/>
                <w:szCs w:val="20"/>
              </w:rPr>
              <w:br/>
              <w:t xml:space="preserve">Management hours per year </w:t>
            </w:r>
            <w:r w:rsidRPr="002B4EDA">
              <w:rPr>
                <w:rFonts w:ascii="Calibri" w:eastAsia="Times New Roman" w:hAnsi="Calibri" w:cs="Calibri"/>
                <w:b/>
                <w:bCs/>
                <w:color w:val="000000"/>
                <w:sz w:val="20"/>
                <w:szCs w:val="20"/>
              </w:rPr>
              <w:br/>
              <w:t>(F=Ex0.05)</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1A00F9E"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(G)</w:t>
            </w:r>
            <w:r w:rsidRPr="002B4EDA">
              <w:rPr>
                <w:rFonts w:ascii="Calibri" w:eastAsia="Times New Roman" w:hAnsi="Calibri" w:cs="Calibri"/>
                <w:b/>
                <w:bCs/>
                <w:color w:val="000000"/>
                <w:sz w:val="20"/>
                <w:szCs w:val="20"/>
              </w:rPr>
              <w:br/>
              <w:t>Clerical hours per year (G=Ex0.10)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483F4FE"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(H)</w:t>
            </w:r>
            <w:r w:rsidRPr="002B4EDA">
              <w:rPr>
                <w:rFonts w:ascii="Calibri" w:eastAsia="Times New Roman" w:hAnsi="Calibri" w:cs="Calibri"/>
                <w:b/>
                <w:bCs/>
                <w:color w:val="000000"/>
                <w:sz w:val="20"/>
                <w:szCs w:val="20"/>
              </w:rPr>
              <w:br/>
              <w:t xml:space="preserve">Total cost per year ($) </w:t>
            </w:r>
            <w:r w:rsidRPr="002B4EDA">
              <w:rPr>
                <w:rFonts w:ascii="Calibri" w:eastAsia="Times New Roman" w:hAnsi="Calibri" w:cs="Calibri"/>
                <w:b/>
                <w:bCs/>
                <w:color w:val="000000"/>
                <w:sz w:val="20"/>
                <w:szCs w:val="20"/>
                <w:vertAlign w:val="superscript"/>
              </w:rPr>
              <w:t>b</w:t>
            </w:r>
          </w:p>
        </w:tc>
      </w:tr>
      <w:tr w14:paraId="107052CF" w14:textId="77777777" w:rsidTr="00005E67">
        <w:tblPrEx>
          <w:tblW w:w="14343" w:type="dxa"/>
          <w:tblInd w:w="-432" w:type="dxa"/>
          <w:tblCellMar>
            <w:top w:w="15" w:type="dxa"/>
            <w:bottom w:w="15" w:type="dxa"/>
          </w:tblCellMar>
          <w:tblLook w:val="04A0"/>
        </w:tblPrEx>
        <w:trPr>
          <w:trHeight w:val="315"/>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E751B6B" w14:textId="77777777">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Notification of construction/ reconstruction </w:t>
            </w:r>
            <w:r w:rsidRPr="002B4EDA">
              <w:rPr>
                <w:rFonts w:ascii="Calibri" w:eastAsia="Times New Roman" w:hAnsi="Calibri" w:cs="Calibri"/>
                <w:color w:val="000000"/>
                <w:sz w:val="20"/>
                <w:szCs w:val="20"/>
                <w:vertAlign w:val="superscript"/>
              </w:rPr>
              <w:t>c, d</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DA9D89A"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7E741D2"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DD4DFC5"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0A99512D"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6CBDF33"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63E75AD"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53558FE"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AA3FEBC" w14:textId="77777777">
            <w:pPr>
              <w:spacing w:after="0" w:line="240" w:lineRule="auto"/>
              <w:ind w:firstLine="200" w:firstLineChars="100"/>
              <w:jc w:val="right"/>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$0 </w:t>
            </w:r>
          </w:p>
        </w:tc>
      </w:tr>
      <w:tr w14:paraId="5114B2CC" w14:textId="77777777" w:rsidTr="00005E67">
        <w:tblPrEx>
          <w:tblW w:w="14343" w:type="dxa"/>
          <w:tblInd w:w="-432" w:type="dxa"/>
          <w:tblCellMar>
            <w:top w:w="15" w:type="dxa"/>
            <w:bottom w:w="15" w:type="dxa"/>
          </w:tblCellMar>
          <w:tblLook w:val="04A0"/>
        </w:tblPrEx>
        <w:trPr>
          <w:trHeight w:val="315"/>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02580E1" w14:textId="77777777">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Notification of actual startup </w:t>
            </w:r>
            <w:r w:rsidRPr="002B4EDA">
              <w:rPr>
                <w:rFonts w:ascii="Calibri" w:eastAsia="Times New Roman" w:hAnsi="Calibri" w:cs="Calibri"/>
                <w:color w:val="000000"/>
                <w:sz w:val="20"/>
                <w:szCs w:val="20"/>
                <w:vertAlign w:val="superscript"/>
              </w:rPr>
              <w:t>c, d</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9CDFB9F"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E3AF254"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66F6C30"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B964806"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F55FF2C"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12B1188"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C4C3A04"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35A7A5A" w14:textId="77777777">
            <w:pPr>
              <w:spacing w:after="0" w:line="240" w:lineRule="auto"/>
              <w:ind w:firstLine="200" w:firstLineChars="100"/>
              <w:jc w:val="right"/>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$0 </w:t>
            </w:r>
          </w:p>
        </w:tc>
      </w:tr>
      <w:tr w14:paraId="232F81C3" w14:textId="77777777" w:rsidTr="00005E67">
        <w:tblPrEx>
          <w:tblW w:w="14343" w:type="dxa"/>
          <w:tblInd w:w="-432" w:type="dxa"/>
          <w:tblCellMar>
            <w:top w:w="15" w:type="dxa"/>
            <w:bottom w:w="15" w:type="dxa"/>
          </w:tblCellMar>
          <w:tblLook w:val="04A0"/>
        </w:tblPrEx>
        <w:trPr>
          <w:trHeight w:val="510"/>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21C2FBA" w14:textId="77777777">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rPr>
              <w:t>Notification of physical and operational changes which may increase emission rates of any regulated pollutant</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E5FB076"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8017A0F"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BB44719"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E186605"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90EA2C8"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187D21C"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29454F7"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F8C4492" w14:textId="77777777">
            <w:pPr>
              <w:spacing w:after="0" w:line="240" w:lineRule="auto"/>
              <w:ind w:firstLine="200" w:firstLineChars="100"/>
              <w:jc w:val="right"/>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$0 </w:t>
            </w:r>
          </w:p>
        </w:tc>
      </w:tr>
      <w:tr w14:paraId="662342FF" w14:textId="77777777" w:rsidTr="00005E67">
        <w:tblPrEx>
          <w:tblW w:w="14343" w:type="dxa"/>
          <w:tblInd w:w="-432" w:type="dxa"/>
          <w:tblCellMar>
            <w:top w:w="15" w:type="dxa"/>
            <w:bottom w:w="15" w:type="dxa"/>
          </w:tblCellMar>
          <w:tblLook w:val="04A0"/>
        </w:tblPrEx>
        <w:trPr>
          <w:trHeight w:val="315"/>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091DED1" w14:textId="77777777">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Compliance status report </w:t>
            </w:r>
            <w:r w:rsidRPr="002B4EDA">
              <w:rPr>
                <w:rFonts w:ascii="Calibri" w:eastAsia="Times New Roman" w:hAnsi="Calibri" w:cs="Calibri"/>
                <w:color w:val="000000"/>
                <w:sz w:val="20"/>
                <w:szCs w:val="20"/>
                <w:vertAlign w:val="superscript"/>
              </w:rPr>
              <w:t>e</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71DF4FC"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34C212B"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AA13C3F"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6911D9E"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82A2358"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39AC501"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3848FA2"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F86EC48" w14:textId="77777777">
            <w:pPr>
              <w:spacing w:after="0" w:line="240" w:lineRule="auto"/>
              <w:ind w:firstLine="200" w:firstLineChars="100"/>
              <w:jc w:val="right"/>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$0 </w:t>
            </w:r>
          </w:p>
        </w:tc>
      </w:tr>
      <w:tr w14:paraId="5F72EDC9" w14:textId="77777777" w:rsidTr="00005E67">
        <w:tblPrEx>
          <w:tblW w:w="14343" w:type="dxa"/>
          <w:tblInd w:w="-432" w:type="dxa"/>
          <w:tblCellMar>
            <w:top w:w="15" w:type="dxa"/>
            <w:bottom w:w="15" w:type="dxa"/>
          </w:tblCellMar>
          <w:tblLook w:val="04A0"/>
        </w:tblPrEx>
        <w:trPr>
          <w:trHeight w:val="315"/>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1CE1D5B" w14:textId="77777777">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rPr>
              <w:t>Test results</w:t>
            </w:r>
            <w:r w:rsidRPr="002B4EDA">
              <w:rPr>
                <w:rFonts w:ascii="Calibri" w:eastAsia="Times New Roman" w:hAnsi="Calibri" w:cs="Calibri"/>
                <w:color w:val="000000"/>
                <w:sz w:val="20"/>
                <w:szCs w:val="20"/>
                <w:vertAlign w:val="superscript"/>
              </w:rPr>
              <w:t xml:space="preserve"> e, f</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0B491B68"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0EAD1543"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11572D3"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8</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EE2C711"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CFBBCC7"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08603D3"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004D6DED"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0</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57EE062" w14:textId="77777777">
            <w:pPr>
              <w:spacing w:after="0" w:line="240" w:lineRule="auto"/>
              <w:ind w:firstLine="200" w:firstLineChars="100"/>
              <w:jc w:val="right"/>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$0 </w:t>
            </w:r>
          </w:p>
        </w:tc>
      </w:tr>
      <w:tr w14:paraId="35185321" w14:textId="77777777" w:rsidTr="00005E67">
        <w:tblPrEx>
          <w:tblW w:w="14343" w:type="dxa"/>
          <w:tblInd w:w="-432" w:type="dxa"/>
          <w:tblCellMar>
            <w:top w:w="15" w:type="dxa"/>
            <w:bottom w:w="15" w:type="dxa"/>
          </w:tblCellMar>
          <w:tblLook w:val="04A0"/>
        </w:tblPrEx>
        <w:trPr>
          <w:trHeight w:val="315"/>
        </w:trPr>
        <w:tc>
          <w:tcPr>
            <w:tcW w:w="4767"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7192C9B" w14:textId="77777777">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Audit and review facility records </w:t>
            </w:r>
            <w:r w:rsidRPr="002B4EDA">
              <w:rPr>
                <w:rFonts w:ascii="Calibri" w:eastAsia="Times New Roman" w:hAnsi="Calibri" w:cs="Calibri"/>
                <w:color w:val="000000"/>
                <w:sz w:val="20"/>
                <w:szCs w:val="20"/>
                <w:vertAlign w:val="superscript"/>
              </w:rPr>
              <w:t xml:space="preserve">g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7BD1286C"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6</w:t>
            </w:r>
          </w:p>
        </w:tc>
        <w:tc>
          <w:tcPr>
            <w:tcW w:w="1213"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208A994"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15E4D6F"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6</w:t>
            </w:r>
          </w:p>
        </w:tc>
        <w:tc>
          <w:tcPr>
            <w:tcW w:w="12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59CD7DC7"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5</w:t>
            </w:r>
          </w:p>
        </w:tc>
        <w:tc>
          <w:tcPr>
            <w:tcW w:w="99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B5F2F0F"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30</w:t>
            </w:r>
          </w:p>
        </w:tc>
        <w:tc>
          <w:tcPr>
            <w:tcW w:w="1339"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4D9D1E47"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1.5</w:t>
            </w:r>
          </w:p>
        </w:tc>
        <w:tc>
          <w:tcPr>
            <w:tcW w:w="1120"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1F9F5CBE" w14:textId="77777777">
            <w:pPr>
              <w:spacing w:after="0" w:line="240" w:lineRule="auto"/>
              <w:jc w:val="center"/>
              <w:rPr>
                <w:rFonts w:ascii="Calibri" w:eastAsia="Times New Roman" w:hAnsi="Calibri" w:cs="Calibri"/>
                <w:color w:val="000000"/>
                <w:sz w:val="20"/>
                <w:szCs w:val="20"/>
              </w:rPr>
            </w:pPr>
            <w:r w:rsidRPr="002B4EDA">
              <w:rPr>
                <w:rFonts w:ascii="Calibri" w:eastAsia="Times New Roman" w:hAnsi="Calibri" w:cs="Calibri"/>
                <w:color w:val="000000"/>
                <w:sz w:val="20"/>
                <w:szCs w:val="20"/>
              </w:rPr>
              <w:t>3</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3FB59B6C" w14:textId="77777777">
            <w:pPr>
              <w:spacing w:after="0" w:line="240" w:lineRule="auto"/>
              <w:ind w:firstLine="200" w:firstLineChars="100"/>
              <w:jc w:val="right"/>
              <w:rPr>
                <w:rFonts w:ascii="Calibri" w:eastAsia="Times New Roman" w:hAnsi="Calibri" w:cs="Calibri"/>
                <w:color w:val="000000"/>
                <w:sz w:val="20"/>
                <w:szCs w:val="20"/>
              </w:rPr>
            </w:pPr>
            <w:r w:rsidRPr="002B4EDA">
              <w:rPr>
                <w:rFonts w:ascii="Calibri" w:eastAsia="Times New Roman" w:hAnsi="Calibri" w:cs="Calibri"/>
                <w:color w:val="000000"/>
                <w:sz w:val="20"/>
                <w:szCs w:val="20"/>
              </w:rPr>
              <w:t xml:space="preserve">$1,953 </w:t>
            </w:r>
          </w:p>
        </w:tc>
      </w:tr>
      <w:tr w14:paraId="429FDFFD" w14:textId="77777777" w:rsidTr="00005E67">
        <w:tblPrEx>
          <w:tblW w:w="14343" w:type="dxa"/>
          <w:tblInd w:w="-432" w:type="dxa"/>
          <w:tblCellMar>
            <w:top w:w="15" w:type="dxa"/>
            <w:bottom w:w="15" w:type="dxa"/>
          </w:tblCellMar>
          <w:tblLook w:val="04A0"/>
        </w:tblPrEx>
        <w:trPr>
          <w:trHeight w:val="315"/>
        </w:trPr>
        <w:tc>
          <w:tcPr>
            <w:tcW w:w="4767" w:type="dxa"/>
            <w:tcBorders>
              <w:top w:val="single" w:sz="4" w:space="0" w:color="auto"/>
              <w:left w:val="single" w:sz="4" w:space="0" w:color="auto"/>
              <w:bottom w:val="single" w:sz="4" w:space="0" w:color="auto"/>
              <w:right w:val="single" w:sz="4" w:space="0" w:color="auto"/>
            </w:tcBorders>
            <w:noWrap/>
            <w:vAlign w:val="center"/>
            <w:hideMark/>
          </w:tcPr>
          <w:p w:rsidR="002B4EDA" w:rsidRPr="002B4EDA" w:rsidP="002B4EDA" w14:paraId="0139EB1D" w14:textId="77777777">
            <w:pPr>
              <w:spacing w:after="0" w:line="240" w:lineRule="auto"/>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 xml:space="preserve">TOTAL (rounded) </w:t>
            </w:r>
            <w:r w:rsidRPr="002B4EDA">
              <w:rPr>
                <w:rFonts w:ascii="Calibri" w:eastAsia="Times New Roman" w:hAnsi="Calibri" w:cs="Calibri"/>
                <w:b/>
                <w:bCs/>
                <w:color w:val="000000"/>
                <w:sz w:val="20"/>
                <w:szCs w:val="20"/>
                <w:vertAlign w:val="superscript"/>
              </w:rPr>
              <w:t xml:space="preserve">h </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2B4EDA" w:rsidRPr="002B4EDA" w:rsidP="002B4EDA" w14:paraId="25FD6E03" w14:textId="77777777">
            <w:pPr>
              <w:spacing w:after="0" w:line="240" w:lineRule="auto"/>
              <w:rPr>
                <w:rFonts w:ascii="Calibri" w:eastAsia="Times New Roman" w:hAnsi="Calibri" w:cs="Calibri"/>
                <w:b/>
                <w:bCs/>
                <w:color w:val="000000"/>
                <w:sz w:val="20"/>
                <w:szCs w:val="20"/>
              </w:rPr>
            </w:pPr>
          </w:p>
        </w:tc>
        <w:tc>
          <w:tcPr>
            <w:tcW w:w="1213" w:type="dxa"/>
            <w:tcBorders>
              <w:top w:val="single" w:sz="4" w:space="0" w:color="auto"/>
              <w:left w:val="single" w:sz="4" w:space="0" w:color="auto"/>
              <w:bottom w:val="single" w:sz="4" w:space="0" w:color="auto"/>
              <w:right w:val="single" w:sz="4" w:space="0" w:color="auto"/>
            </w:tcBorders>
            <w:noWrap/>
            <w:vAlign w:val="center"/>
            <w:hideMark/>
          </w:tcPr>
          <w:p w:rsidR="002B4EDA" w:rsidRPr="002B4EDA" w:rsidP="002B4EDA" w14:paraId="06721E98" w14:textId="77777777">
            <w:pPr>
              <w:spacing w:after="0" w:line="240" w:lineRule="auto"/>
              <w:rPr>
                <w:rFonts w:ascii="Calibri" w:eastAsia="Times New Roman" w:hAnsi="Calibri" w:cs="Calibri"/>
                <w:sz w:val="20"/>
                <w:szCs w:val="20"/>
              </w:rPr>
            </w:pPr>
          </w:p>
        </w:tc>
        <w:tc>
          <w:tcPr>
            <w:tcW w:w="1175" w:type="dxa"/>
            <w:tcBorders>
              <w:top w:val="single" w:sz="4" w:space="0" w:color="auto"/>
              <w:left w:val="single" w:sz="4" w:space="0" w:color="auto"/>
              <w:bottom w:val="single" w:sz="4" w:space="0" w:color="auto"/>
              <w:right w:val="single" w:sz="4" w:space="0" w:color="auto"/>
            </w:tcBorders>
            <w:noWrap/>
            <w:vAlign w:val="center"/>
            <w:hideMark/>
          </w:tcPr>
          <w:p w:rsidR="002B4EDA" w:rsidRPr="002B4EDA" w:rsidP="002B4EDA" w14:paraId="630C605B" w14:textId="77777777">
            <w:pPr>
              <w:spacing w:after="0" w:line="240" w:lineRule="auto"/>
              <w:rPr>
                <w:rFonts w:ascii="Calibri" w:eastAsia="Times New Roman" w:hAnsi="Calibri" w:cs="Calibri"/>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2B4EDA" w:rsidRPr="002B4EDA" w:rsidP="002B4EDA" w14:paraId="6CD96EEA" w14:textId="77777777">
            <w:pPr>
              <w:spacing w:after="0" w:line="240" w:lineRule="auto"/>
              <w:rPr>
                <w:rFonts w:ascii="Calibri" w:eastAsia="Times New Roman" w:hAnsi="Calibri" w:cs="Calibri"/>
                <w:sz w:val="20"/>
                <w:szCs w:val="20"/>
              </w:rPr>
            </w:pPr>
          </w:p>
        </w:tc>
        <w:tc>
          <w:tcPr>
            <w:tcW w:w="3458" w:type="dxa"/>
            <w:gridSpan w:val="3"/>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6C810615" w14:textId="77777777">
            <w:pPr>
              <w:spacing w:after="0" w:line="240" w:lineRule="auto"/>
              <w:jc w:val="center"/>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35</w:t>
            </w:r>
          </w:p>
        </w:tc>
        <w:tc>
          <w:tcPr>
            <w:tcW w:w="1298" w:type="dxa"/>
            <w:tcBorders>
              <w:top w:val="single" w:sz="4" w:space="0" w:color="auto"/>
              <w:left w:val="single" w:sz="4" w:space="0" w:color="auto"/>
              <w:bottom w:val="single" w:sz="4" w:space="0" w:color="auto"/>
              <w:right w:val="single" w:sz="4" w:space="0" w:color="auto"/>
            </w:tcBorders>
            <w:vAlign w:val="center"/>
            <w:hideMark/>
          </w:tcPr>
          <w:p w:rsidR="002B4EDA" w:rsidRPr="002B4EDA" w:rsidP="002B4EDA" w14:paraId="2CD3563B" w14:textId="77777777">
            <w:pPr>
              <w:spacing w:after="0" w:line="240" w:lineRule="auto"/>
              <w:ind w:firstLine="200" w:firstLineChars="100"/>
              <w:jc w:val="right"/>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 xml:space="preserve">$1,950 </w:t>
            </w:r>
          </w:p>
        </w:tc>
      </w:tr>
      <w:tr w14:paraId="27673634" w14:textId="77777777" w:rsidTr="00005E67">
        <w:tblPrEx>
          <w:tblW w:w="14343" w:type="dxa"/>
          <w:tblInd w:w="-432" w:type="dxa"/>
          <w:tblCellMar>
            <w:top w:w="15" w:type="dxa"/>
            <w:bottom w:w="15" w:type="dxa"/>
          </w:tblCellMar>
          <w:tblLook w:val="04A0"/>
        </w:tblPrEx>
        <w:trPr>
          <w:trHeight w:val="300"/>
        </w:trPr>
        <w:tc>
          <w:tcPr>
            <w:tcW w:w="4767" w:type="dxa"/>
            <w:tcBorders>
              <w:top w:val="nil"/>
              <w:left w:val="nil"/>
              <w:bottom w:val="nil"/>
              <w:right w:val="nil"/>
            </w:tcBorders>
            <w:noWrap/>
            <w:vAlign w:val="bottom"/>
            <w:hideMark/>
          </w:tcPr>
          <w:p w:rsidR="002B4EDA" w:rsidRPr="002B4EDA" w:rsidP="002B4EDA" w14:paraId="0A60BC7D" w14:textId="77777777">
            <w:pPr>
              <w:spacing w:after="0" w:line="240" w:lineRule="auto"/>
              <w:ind w:firstLine="200" w:firstLineChars="100"/>
              <w:jc w:val="right"/>
              <w:rPr>
                <w:rFonts w:ascii="Calibri" w:eastAsia="Times New Roman" w:hAnsi="Calibri" w:cs="Calibri"/>
                <w:b/>
                <w:bCs/>
                <w:color w:val="000000"/>
                <w:sz w:val="20"/>
                <w:szCs w:val="20"/>
              </w:rPr>
            </w:pPr>
          </w:p>
        </w:tc>
        <w:tc>
          <w:tcPr>
            <w:tcW w:w="1133" w:type="dxa"/>
            <w:tcBorders>
              <w:top w:val="nil"/>
              <w:left w:val="nil"/>
              <w:bottom w:val="nil"/>
              <w:right w:val="nil"/>
            </w:tcBorders>
            <w:noWrap/>
            <w:vAlign w:val="bottom"/>
            <w:hideMark/>
          </w:tcPr>
          <w:p w:rsidR="002B4EDA" w:rsidRPr="002B4EDA" w:rsidP="002B4EDA" w14:paraId="3C2BB724" w14:textId="77777777">
            <w:pPr>
              <w:spacing w:after="0" w:line="240" w:lineRule="auto"/>
              <w:rPr>
                <w:rFonts w:ascii="Calibri" w:eastAsia="Times New Roman" w:hAnsi="Calibri" w:cs="Calibri"/>
                <w:sz w:val="20"/>
                <w:szCs w:val="20"/>
              </w:rPr>
            </w:pPr>
          </w:p>
        </w:tc>
        <w:tc>
          <w:tcPr>
            <w:tcW w:w="1213" w:type="dxa"/>
            <w:tcBorders>
              <w:top w:val="nil"/>
              <w:left w:val="nil"/>
              <w:bottom w:val="nil"/>
              <w:right w:val="nil"/>
            </w:tcBorders>
            <w:noWrap/>
            <w:vAlign w:val="bottom"/>
            <w:hideMark/>
          </w:tcPr>
          <w:p w:rsidR="002B4EDA" w:rsidRPr="002B4EDA" w:rsidP="002B4EDA" w14:paraId="741DAE9A" w14:textId="77777777">
            <w:pPr>
              <w:spacing w:after="0" w:line="240" w:lineRule="auto"/>
              <w:rPr>
                <w:rFonts w:ascii="Calibri" w:eastAsia="Times New Roman" w:hAnsi="Calibri" w:cs="Calibri"/>
                <w:sz w:val="20"/>
                <w:szCs w:val="20"/>
              </w:rPr>
            </w:pPr>
          </w:p>
        </w:tc>
        <w:tc>
          <w:tcPr>
            <w:tcW w:w="1175" w:type="dxa"/>
            <w:tcBorders>
              <w:top w:val="nil"/>
              <w:left w:val="nil"/>
              <w:bottom w:val="nil"/>
              <w:right w:val="nil"/>
            </w:tcBorders>
            <w:noWrap/>
            <w:vAlign w:val="bottom"/>
            <w:hideMark/>
          </w:tcPr>
          <w:p w:rsidR="002B4EDA" w:rsidRPr="002B4EDA" w:rsidP="002B4EDA" w14:paraId="31C03193" w14:textId="77777777">
            <w:pPr>
              <w:spacing w:after="0" w:line="240" w:lineRule="auto"/>
              <w:rPr>
                <w:rFonts w:ascii="Calibri" w:eastAsia="Times New Roman" w:hAnsi="Calibri" w:cs="Calibri"/>
                <w:sz w:val="20"/>
                <w:szCs w:val="20"/>
              </w:rPr>
            </w:pPr>
          </w:p>
        </w:tc>
        <w:tc>
          <w:tcPr>
            <w:tcW w:w="1299" w:type="dxa"/>
            <w:tcBorders>
              <w:top w:val="nil"/>
              <w:left w:val="nil"/>
              <w:bottom w:val="nil"/>
              <w:right w:val="nil"/>
            </w:tcBorders>
            <w:noWrap/>
            <w:vAlign w:val="bottom"/>
            <w:hideMark/>
          </w:tcPr>
          <w:p w:rsidR="002B4EDA" w:rsidRPr="002B4EDA" w:rsidP="002B4EDA" w14:paraId="353A8FF9" w14:textId="77777777">
            <w:pPr>
              <w:spacing w:after="0" w:line="240" w:lineRule="auto"/>
              <w:rPr>
                <w:rFonts w:ascii="Calibri" w:eastAsia="Times New Roman" w:hAnsi="Calibri" w:cs="Calibri"/>
                <w:sz w:val="20"/>
                <w:szCs w:val="20"/>
              </w:rPr>
            </w:pPr>
          </w:p>
        </w:tc>
        <w:tc>
          <w:tcPr>
            <w:tcW w:w="999" w:type="dxa"/>
            <w:tcBorders>
              <w:top w:val="nil"/>
              <w:left w:val="nil"/>
              <w:bottom w:val="nil"/>
              <w:right w:val="nil"/>
            </w:tcBorders>
            <w:noWrap/>
            <w:vAlign w:val="bottom"/>
            <w:hideMark/>
          </w:tcPr>
          <w:p w:rsidR="002B4EDA" w:rsidRPr="002B4EDA" w:rsidP="002B4EDA" w14:paraId="22B20672" w14:textId="77777777">
            <w:pPr>
              <w:spacing w:after="0" w:line="240" w:lineRule="auto"/>
              <w:rPr>
                <w:rFonts w:ascii="Calibri" w:eastAsia="Times New Roman" w:hAnsi="Calibri" w:cs="Calibri"/>
                <w:sz w:val="20"/>
                <w:szCs w:val="20"/>
              </w:rPr>
            </w:pPr>
          </w:p>
        </w:tc>
        <w:tc>
          <w:tcPr>
            <w:tcW w:w="1339" w:type="dxa"/>
            <w:tcBorders>
              <w:top w:val="nil"/>
              <w:left w:val="nil"/>
              <w:bottom w:val="nil"/>
              <w:right w:val="nil"/>
            </w:tcBorders>
            <w:noWrap/>
            <w:vAlign w:val="bottom"/>
            <w:hideMark/>
          </w:tcPr>
          <w:p w:rsidR="002B4EDA" w:rsidRPr="002B4EDA" w:rsidP="002B4EDA" w14:paraId="22AE05BA" w14:textId="77777777">
            <w:pPr>
              <w:spacing w:after="0" w:line="240" w:lineRule="auto"/>
              <w:rPr>
                <w:rFonts w:ascii="Calibri" w:eastAsia="Times New Roman" w:hAnsi="Calibri" w:cs="Calibri"/>
                <w:sz w:val="20"/>
                <w:szCs w:val="20"/>
              </w:rPr>
            </w:pPr>
          </w:p>
        </w:tc>
        <w:tc>
          <w:tcPr>
            <w:tcW w:w="1120" w:type="dxa"/>
            <w:tcBorders>
              <w:top w:val="nil"/>
              <w:left w:val="nil"/>
              <w:bottom w:val="nil"/>
              <w:right w:val="nil"/>
            </w:tcBorders>
            <w:noWrap/>
            <w:vAlign w:val="bottom"/>
            <w:hideMark/>
          </w:tcPr>
          <w:p w:rsidR="002B4EDA" w:rsidRPr="002B4EDA" w:rsidP="002B4EDA" w14:paraId="091E80E6" w14:textId="77777777">
            <w:pPr>
              <w:spacing w:after="0" w:line="240" w:lineRule="auto"/>
              <w:rPr>
                <w:rFonts w:ascii="Calibri" w:eastAsia="Times New Roman" w:hAnsi="Calibri" w:cs="Calibri"/>
                <w:sz w:val="20"/>
                <w:szCs w:val="20"/>
              </w:rPr>
            </w:pPr>
          </w:p>
        </w:tc>
        <w:tc>
          <w:tcPr>
            <w:tcW w:w="1298" w:type="dxa"/>
            <w:tcBorders>
              <w:top w:val="nil"/>
              <w:left w:val="nil"/>
              <w:bottom w:val="nil"/>
              <w:right w:val="nil"/>
            </w:tcBorders>
            <w:noWrap/>
            <w:vAlign w:val="bottom"/>
            <w:hideMark/>
          </w:tcPr>
          <w:p w:rsidR="002B4EDA" w:rsidRPr="002B4EDA" w:rsidP="002B4EDA" w14:paraId="7243A03D" w14:textId="77777777">
            <w:pPr>
              <w:spacing w:after="0" w:line="240" w:lineRule="auto"/>
              <w:rPr>
                <w:rFonts w:ascii="Calibri" w:eastAsia="Times New Roman" w:hAnsi="Calibri" w:cs="Calibri"/>
                <w:sz w:val="20"/>
                <w:szCs w:val="20"/>
              </w:rPr>
            </w:pPr>
          </w:p>
        </w:tc>
      </w:tr>
      <w:tr w14:paraId="6FFE3EEC" w14:textId="77777777" w:rsidTr="00005E67">
        <w:tblPrEx>
          <w:tblW w:w="14343" w:type="dxa"/>
          <w:tblInd w:w="-432" w:type="dxa"/>
          <w:tblCellMar>
            <w:top w:w="15" w:type="dxa"/>
            <w:bottom w:w="15" w:type="dxa"/>
          </w:tblCellMar>
          <w:tblLook w:val="04A0"/>
        </w:tblPrEx>
        <w:trPr>
          <w:trHeight w:val="315"/>
        </w:trPr>
        <w:tc>
          <w:tcPr>
            <w:tcW w:w="4767" w:type="dxa"/>
            <w:tcBorders>
              <w:top w:val="nil"/>
              <w:left w:val="nil"/>
              <w:bottom w:val="nil"/>
              <w:right w:val="nil"/>
            </w:tcBorders>
            <w:noWrap/>
            <w:vAlign w:val="bottom"/>
            <w:hideMark/>
          </w:tcPr>
          <w:p w:rsidR="002B4EDA" w:rsidRPr="002B4EDA" w:rsidP="002B4EDA" w14:paraId="3D972E0D" w14:textId="77777777">
            <w:pPr>
              <w:spacing w:after="0" w:line="240" w:lineRule="auto"/>
              <w:rPr>
                <w:rFonts w:ascii="Calibri" w:eastAsia="Times New Roman" w:hAnsi="Calibri" w:cs="Calibri"/>
                <w:b/>
                <w:bCs/>
                <w:color w:val="000000"/>
                <w:sz w:val="20"/>
                <w:szCs w:val="20"/>
              </w:rPr>
            </w:pPr>
            <w:r w:rsidRPr="002B4EDA">
              <w:rPr>
                <w:rFonts w:ascii="Calibri" w:eastAsia="Times New Roman" w:hAnsi="Calibri" w:cs="Calibri"/>
                <w:b/>
                <w:bCs/>
                <w:color w:val="000000"/>
                <w:sz w:val="20"/>
                <w:szCs w:val="20"/>
              </w:rPr>
              <w:t>Assumptions:</w:t>
            </w:r>
          </w:p>
        </w:tc>
        <w:tc>
          <w:tcPr>
            <w:tcW w:w="1133" w:type="dxa"/>
            <w:tcBorders>
              <w:top w:val="nil"/>
              <w:left w:val="nil"/>
              <w:bottom w:val="nil"/>
              <w:right w:val="nil"/>
            </w:tcBorders>
            <w:noWrap/>
            <w:vAlign w:val="bottom"/>
            <w:hideMark/>
          </w:tcPr>
          <w:p w:rsidR="002B4EDA" w:rsidRPr="002B4EDA" w:rsidP="002B4EDA" w14:paraId="6BCE754C" w14:textId="77777777">
            <w:pPr>
              <w:spacing w:after="0" w:line="240" w:lineRule="auto"/>
              <w:rPr>
                <w:rFonts w:ascii="Calibri" w:eastAsia="Times New Roman" w:hAnsi="Calibri" w:cs="Calibri"/>
                <w:b/>
                <w:bCs/>
                <w:color w:val="000000"/>
                <w:sz w:val="20"/>
                <w:szCs w:val="20"/>
              </w:rPr>
            </w:pPr>
          </w:p>
        </w:tc>
        <w:tc>
          <w:tcPr>
            <w:tcW w:w="1213" w:type="dxa"/>
            <w:tcBorders>
              <w:top w:val="nil"/>
              <w:left w:val="nil"/>
              <w:bottom w:val="nil"/>
              <w:right w:val="nil"/>
            </w:tcBorders>
            <w:noWrap/>
            <w:vAlign w:val="bottom"/>
            <w:hideMark/>
          </w:tcPr>
          <w:p w:rsidR="002B4EDA" w:rsidRPr="002B4EDA" w:rsidP="002B4EDA" w14:paraId="6A76D6DF" w14:textId="77777777">
            <w:pPr>
              <w:spacing w:after="0" w:line="240" w:lineRule="auto"/>
              <w:rPr>
                <w:rFonts w:ascii="Calibri" w:eastAsia="Times New Roman" w:hAnsi="Calibri" w:cs="Calibri"/>
                <w:sz w:val="20"/>
                <w:szCs w:val="20"/>
              </w:rPr>
            </w:pPr>
          </w:p>
        </w:tc>
        <w:tc>
          <w:tcPr>
            <w:tcW w:w="1175" w:type="dxa"/>
            <w:tcBorders>
              <w:top w:val="nil"/>
              <w:left w:val="nil"/>
              <w:bottom w:val="nil"/>
              <w:right w:val="nil"/>
            </w:tcBorders>
            <w:noWrap/>
            <w:vAlign w:val="bottom"/>
            <w:hideMark/>
          </w:tcPr>
          <w:p w:rsidR="002B4EDA" w:rsidRPr="002B4EDA" w:rsidP="002B4EDA" w14:paraId="6C1E295D" w14:textId="77777777">
            <w:pPr>
              <w:spacing w:after="0" w:line="240" w:lineRule="auto"/>
              <w:rPr>
                <w:rFonts w:ascii="Calibri" w:eastAsia="Times New Roman" w:hAnsi="Calibri" w:cs="Calibri"/>
                <w:sz w:val="20"/>
                <w:szCs w:val="20"/>
              </w:rPr>
            </w:pPr>
          </w:p>
        </w:tc>
        <w:tc>
          <w:tcPr>
            <w:tcW w:w="1299" w:type="dxa"/>
            <w:tcBorders>
              <w:top w:val="nil"/>
              <w:left w:val="nil"/>
              <w:bottom w:val="nil"/>
              <w:right w:val="nil"/>
            </w:tcBorders>
            <w:noWrap/>
            <w:vAlign w:val="bottom"/>
            <w:hideMark/>
          </w:tcPr>
          <w:p w:rsidR="002B4EDA" w:rsidRPr="002B4EDA" w:rsidP="002B4EDA" w14:paraId="5C25B464" w14:textId="77777777">
            <w:pPr>
              <w:spacing w:after="0" w:line="240" w:lineRule="auto"/>
              <w:rPr>
                <w:rFonts w:ascii="Calibri" w:eastAsia="Times New Roman" w:hAnsi="Calibri" w:cs="Calibri"/>
                <w:sz w:val="20"/>
                <w:szCs w:val="20"/>
              </w:rPr>
            </w:pPr>
          </w:p>
        </w:tc>
        <w:tc>
          <w:tcPr>
            <w:tcW w:w="999" w:type="dxa"/>
            <w:tcBorders>
              <w:top w:val="nil"/>
              <w:left w:val="nil"/>
              <w:bottom w:val="nil"/>
              <w:right w:val="nil"/>
            </w:tcBorders>
            <w:noWrap/>
            <w:vAlign w:val="bottom"/>
            <w:hideMark/>
          </w:tcPr>
          <w:p w:rsidR="002B4EDA" w:rsidRPr="002B4EDA" w:rsidP="002B4EDA" w14:paraId="2D8657D7" w14:textId="77777777">
            <w:pPr>
              <w:spacing w:after="0" w:line="240" w:lineRule="auto"/>
              <w:rPr>
                <w:rFonts w:ascii="Calibri" w:eastAsia="Times New Roman" w:hAnsi="Calibri" w:cs="Calibri"/>
                <w:sz w:val="20"/>
                <w:szCs w:val="20"/>
              </w:rPr>
            </w:pPr>
          </w:p>
        </w:tc>
        <w:tc>
          <w:tcPr>
            <w:tcW w:w="1339" w:type="dxa"/>
            <w:tcBorders>
              <w:top w:val="nil"/>
              <w:left w:val="nil"/>
              <w:bottom w:val="nil"/>
              <w:right w:val="nil"/>
            </w:tcBorders>
            <w:noWrap/>
            <w:vAlign w:val="bottom"/>
            <w:hideMark/>
          </w:tcPr>
          <w:p w:rsidR="002B4EDA" w:rsidRPr="002B4EDA" w:rsidP="002B4EDA" w14:paraId="15E4A215" w14:textId="77777777">
            <w:pPr>
              <w:spacing w:after="0" w:line="240" w:lineRule="auto"/>
              <w:rPr>
                <w:rFonts w:ascii="Calibri" w:eastAsia="Times New Roman" w:hAnsi="Calibri" w:cs="Calibri"/>
                <w:sz w:val="20"/>
                <w:szCs w:val="20"/>
              </w:rPr>
            </w:pPr>
          </w:p>
        </w:tc>
        <w:tc>
          <w:tcPr>
            <w:tcW w:w="1120" w:type="dxa"/>
            <w:tcBorders>
              <w:top w:val="nil"/>
              <w:left w:val="nil"/>
              <w:bottom w:val="nil"/>
              <w:right w:val="nil"/>
            </w:tcBorders>
            <w:noWrap/>
            <w:vAlign w:val="bottom"/>
            <w:hideMark/>
          </w:tcPr>
          <w:p w:rsidR="002B4EDA" w:rsidRPr="002B4EDA" w:rsidP="002B4EDA" w14:paraId="7F2AC456" w14:textId="77777777">
            <w:pPr>
              <w:spacing w:after="0" w:line="240" w:lineRule="auto"/>
              <w:rPr>
                <w:rFonts w:ascii="Calibri" w:eastAsia="Times New Roman" w:hAnsi="Calibri" w:cs="Calibri"/>
                <w:sz w:val="20"/>
                <w:szCs w:val="20"/>
              </w:rPr>
            </w:pPr>
          </w:p>
        </w:tc>
        <w:tc>
          <w:tcPr>
            <w:tcW w:w="1298" w:type="dxa"/>
            <w:tcBorders>
              <w:top w:val="nil"/>
              <w:left w:val="nil"/>
              <w:bottom w:val="nil"/>
              <w:right w:val="nil"/>
            </w:tcBorders>
            <w:noWrap/>
            <w:vAlign w:val="bottom"/>
            <w:hideMark/>
          </w:tcPr>
          <w:p w:rsidR="002B4EDA" w:rsidRPr="002B4EDA" w:rsidP="002B4EDA" w14:paraId="26BB06BD" w14:textId="77777777">
            <w:pPr>
              <w:spacing w:after="0" w:line="240" w:lineRule="auto"/>
              <w:rPr>
                <w:rFonts w:ascii="Calibri" w:eastAsia="Times New Roman" w:hAnsi="Calibri" w:cs="Calibri"/>
                <w:sz w:val="20"/>
                <w:szCs w:val="20"/>
              </w:rPr>
            </w:pPr>
          </w:p>
        </w:tc>
      </w:tr>
      <w:tr w14:paraId="0DA1E3C3" w14:textId="77777777" w:rsidTr="00005E67">
        <w:tblPrEx>
          <w:tblW w:w="14343" w:type="dxa"/>
          <w:tblInd w:w="-432" w:type="dxa"/>
          <w:tblCellMar>
            <w:top w:w="15" w:type="dxa"/>
            <w:bottom w:w="15" w:type="dxa"/>
          </w:tblCellMar>
          <w:tblLook w:val="04A0"/>
        </w:tblPrEx>
        <w:trPr>
          <w:trHeight w:val="720"/>
        </w:trPr>
        <w:tc>
          <w:tcPr>
            <w:tcW w:w="14343" w:type="dxa"/>
            <w:gridSpan w:val="9"/>
            <w:tcBorders>
              <w:top w:val="nil"/>
              <w:left w:val="nil"/>
              <w:bottom w:val="nil"/>
              <w:right w:val="nil"/>
            </w:tcBorders>
            <w:hideMark/>
          </w:tcPr>
          <w:p w:rsidR="002B4EDA" w:rsidRPr="002B4EDA" w:rsidP="002B4EDA" w14:paraId="07C0E1C4" w14:textId="592926A6">
            <w:pPr>
              <w:spacing w:after="0" w:line="240" w:lineRule="auto"/>
              <w:rPr>
                <w:rFonts w:ascii="Calibri" w:eastAsia="Times New Roman" w:hAnsi="Calibri" w:cs="Calibri"/>
                <w:sz w:val="20"/>
                <w:szCs w:val="20"/>
              </w:rPr>
            </w:pPr>
            <w:r w:rsidRPr="002B4EDA">
              <w:rPr>
                <w:rFonts w:ascii="Calibri" w:eastAsia="Times New Roman" w:hAnsi="Calibri" w:cs="Calibri"/>
                <w:sz w:val="20"/>
                <w:szCs w:val="20"/>
                <w:vertAlign w:val="superscript"/>
              </w:rPr>
              <w:t>a</w:t>
            </w:r>
            <w:r w:rsidR="001D7163">
              <w:rPr>
                <w:rFonts w:ascii="Calibri" w:eastAsia="Times New Roman" w:hAnsi="Calibri" w:cs="Calibri"/>
                <w:sz w:val="20"/>
                <w:szCs w:val="20"/>
              </w:rPr>
              <w:t xml:space="preserve"> </w:t>
            </w:r>
            <w:r w:rsidRPr="002B4EDA">
              <w:rPr>
                <w:rFonts w:ascii="Calibri" w:eastAsia="Times New Roman" w:hAnsi="Calibri" w:cs="Calibri"/>
                <w:sz w:val="20"/>
                <w:szCs w:val="20"/>
              </w:rPr>
              <w:t>We estimate that an average of 47 existing respondents per year will be subject to the rule, and that no new, modified, or reconstructed facilities will become subject over the three-year period of this ICR. We estimate 26 (55.6 percent) respondents are privately owned and 21 (44.4 percent) are publicly owned.</w:t>
            </w:r>
          </w:p>
        </w:tc>
      </w:tr>
      <w:tr w14:paraId="4ABCED30" w14:textId="77777777" w:rsidTr="00005E67">
        <w:tblPrEx>
          <w:tblW w:w="14343" w:type="dxa"/>
          <w:tblInd w:w="-432" w:type="dxa"/>
          <w:tblCellMar>
            <w:top w:w="15" w:type="dxa"/>
            <w:bottom w:w="15" w:type="dxa"/>
          </w:tblCellMar>
          <w:tblLook w:val="04A0"/>
        </w:tblPrEx>
        <w:trPr>
          <w:trHeight w:val="1185"/>
        </w:trPr>
        <w:tc>
          <w:tcPr>
            <w:tcW w:w="14343" w:type="dxa"/>
            <w:gridSpan w:val="9"/>
            <w:tcBorders>
              <w:top w:val="nil"/>
              <w:left w:val="nil"/>
              <w:bottom w:val="nil"/>
              <w:right w:val="nil"/>
            </w:tcBorders>
            <w:hideMark/>
          </w:tcPr>
          <w:p w:rsidR="002B4EDA" w:rsidRPr="002B4EDA" w:rsidP="002B4EDA" w14:paraId="16AB753A" w14:textId="4FDC2CCD">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b</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This cost is based on the average hourly labor rate as follows: Managerial $78.22 (GS-13, Step 5, $48.89 + 60%); Technical $58.05 (GS-12, Step 1, $36.28 + 60</w:t>
            </w:r>
            <w:r w:rsidRPr="002B4EDA">
              <w:rPr>
                <w:rFonts w:ascii="Calibri" w:eastAsia="Times New Roman" w:hAnsi="Calibri" w:cs="Calibri"/>
                <w:color w:val="000000"/>
                <w:sz w:val="20"/>
                <w:szCs w:val="20"/>
              </w:rPr>
              <w:t>%);</w:t>
            </w:r>
            <w:r w:rsidRPr="002B4EDA">
              <w:rPr>
                <w:rFonts w:ascii="Calibri" w:eastAsia="Times New Roman" w:hAnsi="Calibri" w:cs="Calibri"/>
                <w:color w:val="000000"/>
                <w:sz w:val="20"/>
                <w:szCs w:val="20"/>
              </w:rPr>
              <w:t xml:space="preserve"> and Clerical $31.41 (GS-6, Step 3, $19.63+ 60%). This ICR assumes that Managerial hours are 5 percent of </w:t>
            </w:r>
            <w:r w:rsidRPr="002B4EDA">
              <w:rPr>
                <w:rFonts w:ascii="Calibri" w:eastAsia="Times New Roman" w:hAnsi="Calibri" w:cs="Calibri"/>
                <w:color w:val="000000"/>
                <w:sz w:val="20"/>
                <w:szCs w:val="20"/>
              </w:rPr>
              <w:t>Technical</w:t>
            </w:r>
            <w:r w:rsidRPr="002B4EDA">
              <w:rPr>
                <w:rFonts w:ascii="Calibri" w:eastAsia="Times New Roman" w:hAnsi="Calibri" w:cs="Calibri"/>
                <w:color w:val="000000"/>
                <w:sz w:val="20"/>
                <w:szCs w:val="20"/>
              </w:rPr>
              <w:t xml:space="preserve"> hours, and Clerical hours are 10 percent of </w:t>
            </w:r>
            <w:r w:rsidRPr="002B4EDA">
              <w:rPr>
                <w:rFonts w:ascii="Calibri" w:eastAsia="Times New Roman" w:hAnsi="Calibri" w:cs="Calibri"/>
                <w:color w:val="000000"/>
                <w:sz w:val="20"/>
                <w:szCs w:val="20"/>
              </w:rPr>
              <w:t>Technical</w:t>
            </w:r>
            <w:r w:rsidRPr="002B4EDA">
              <w:rPr>
                <w:rFonts w:ascii="Calibri" w:eastAsia="Times New Roman" w:hAnsi="Calibri" w:cs="Calibri"/>
                <w:color w:val="000000"/>
                <w:sz w:val="20"/>
                <w:szCs w:val="20"/>
              </w:rPr>
              <w:t xml:space="preserve"> hours. These rates are from the Office of Personnel Management (OPM), 2025 General Schedule, which excludes locality, rates of pay. The rates have been increased by 60 percent to account for the benefit packages available to government employees.</w:t>
            </w:r>
          </w:p>
        </w:tc>
      </w:tr>
      <w:tr w14:paraId="691F54A4" w14:textId="77777777" w:rsidTr="00005E67">
        <w:tblPrEx>
          <w:tblW w:w="14343" w:type="dxa"/>
          <w:tblInd w:w="-432" w:type="dxa"/>
          <w:tblCellMar>
            <w:top w:w="15" w:type="dxa"/>
            <w:bottom w:w="15" w:type="dxa"/>
          </w:tblCellMar>
          <w:tblLook w:val="04A0"/>
        </w:tblPrEx>
        <w:trPr>
          <w:trHeight w:val="300"/>
        </w:trPr>
        <w:tc>
          <w:tcPr>
            <w:tcW w:w="14343" w:type="dxa"/>
            <w:gridSpan w:val="9"/>
            <w:tcBorders>
              <w:top w:val="nil"/>
              <w:left w:val="nil"/>
              <w:bottom w:val="nil"/>
              <w:right w:val="nil"/>
            </w:tcBorders>
            <w:hideMark/>
          </w:tcPr>
          <w:p w:rsidR="002B4EDA" w:rsidRPr="002B4EDA" w:rsidP="002B4EDA" w14:paraId="4CE43057" w14:textId="04C2B272">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c</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We assume there will be no new, modified, or reconstructed facilities constructed over the next three years.</w:t>
            </w:r>
          </w:p>
        </w:tc>
      </w:tr>
      <w:tr w14:paraId="607CD9A1" w14:textId="77777777" w:rsidTr="00005E67">
        <w:tblPrEx>
          <w:tblW w:w="14343" w:type="dxa"/>
          <w:tblInd w:w="-432" w:type="dxa"/>
          <w:tblCellMar>
            <w:top w:w="15" w:type="dxa"/>
            <w:bottom w:w="15" w:type="dxa"/>
          </w:tblCellMar>
          <w:tblLook w:val="04A0"/>
        </w:tblPrEx>
        <w:trPr>
          <w:trHeight w:val="300"/>
        </w:trPr>
        <w:tc>
          <w:tcPr>
            <w:tcW w:w="14343" w:type="dxa"/>
            <w:gridSpan w:val="9"/>
            <w:tcBorders>
              <w:top w:val="nil"/>
              <w:left w:val="nil"/>
              <w:bottom w:val="nil"/>
              <w:right w:val="nil"/>
            </w:tcBorders>
            <w:hideMark/>
          </w:tcPr>
          <w:p w:rsidR="002B4EDA" w:rsidRPr="002B4EDA" w:rsidP="002B4EDA" w14:paraId="71FF0C04" w14:textId="2B204DAC">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d</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We assume this is a one-time-only cost.</w:t>
            </w:r>
          </w:p>
        </w:tc>
      </w:tr>
      <w:tr w14:paraId="4ECAA28B" w14:textId="77777777" w:rsidTr="00005E67">
        <w:tblPrEx>
          <w:tblW w:w="14343" w:type="dxa"/>
          <w:tblInd w:w="-432" w:type="dxa"/>
          <w:tblCellMar>
            <w:top w:w="15" w:type="dxa"/>
            <w:bottom w:w="15" w:type="dxa"/>
          </w:tblCellMar>
          <w:tblLook w:val="04A0"/>
        </w:tblPrEx>
        <w:trPr>
          <w:trHeight w:val="300"/>
        </w:trPr>
        <w:tc>
          <w:tcPr>
            <w:tcW w:w="14343" w:type="dxa"/>
            <w:gridSpan w:val="9"/>
            <w:tcBorders>
              <w:top w:val="nil"/>
              <w:left w:val="nil"/>
              <w:bottom w:val="nil"/>
              <w:right w:val="nil"/>
            </w:tcBorders>
            <w:hideMark/>
          </w:tcPr>
          <w:p w:rsidR="002B4EDA" w:rsidRPr="002B4EDA" w:rsidP="002B4EDA" w14:paraId="30B5F026" w14:textId="586DC0FC">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e</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This rule does not require semiannual or annual reporting, only recordkeeping.</w:t>
            </w:r>
          </w:p>
        </w:tc>
      </w:tr>
      <w:tr w14:paraId="4A81210D" w14:textId="77777777" w:rsidTr="00005E67">
        <w:tblPrEx>
          <w:tblW w:w="14343" w:type="dxa"/>
          <w:tblInd w:w="-432" w:type="dxa"/>
          <w:tblCellMar>
            <w:top w:w="15" w:type="dxa"/>
            <w:bottom w:w="15" w:type="dxa"/>
          </w:tblCellMar>
          <w:tblLook w:val="04A0"/>
        </w:tblPrEx>
        <w:trPr>
          <w:trHeight w:val="300"/>
        </w:trPr>
        <w:tc>
          <w:tcPr>
            <w:tcW w:w="14343" w:type="dxa"/>
            <w:gridSpan w:val="9"/>
            <w:tcBorders>
              <w:top w:val="nil"/>
              <w:left w:val="nil"/>
              <w:bottom w:val="nil"/>
              <w:right w:val="nil"/>
            </w:tcBorders>
            <w:hideMark/>
          </w:tcPr>
          <w:p w:rsidR="002B4EDA" w:rsidRPr="002B4EDA" w:rsidP="002B4EDA" w14:paraId="4ECA85F0" w14:textId="34C3F01F">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f</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We assume it will take eight hours to review test results.</w:t>
            </w:r>
          </w:p>
        </w:tc>
      </w:tr>
      <w:tr w14:paraId="17FD0ECB" w14:textId="77777777" w:rsidTr="00005E67">
        <w:tblPrEx>
          <w:tblW w:w="14343" w:type="dxa"/>
          <w:tblInd w:w="-432" w:type="dxa"/>
          <w:tblCellMar>
            <w:top w:w="15" w:type="dxa"/>
            <w:bottom w:w="15" w:type="dxa"/>
          </w:tblCellMar>
          <w:tblLook w:val="04A0"/>
        </w:tblPrEx>
        <w:trPr>
          <w:trHeight w:val="300"/>
        </w:trPr>
        <w:tc>
          <w:tcPr>
            <w:tcW w:w="14343" w:type="dxa"/>
            <w:gridSpan w:val="9"/>
            <w:tcBorders>
              <w:top w:val="nil"/>
              <w:left w:val="nil"/>
              <w:bottom w:val="nil"/>
              <w:right w:val="nil"/>
            </w:tcBorders>
            <w:hideMark/>
          </w:tcPr>
          <w:p w:rsidR="002B4EDA" w:rsidRPr="002B4EDA" w:rsidP="002B4EDA" w14:paraId="56DDD9E5" w14:textId="2CC3A759">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g</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Assumes EPA will audit records for approximately 10% of facilities.</w:t>
            </w:r>
          </w:p>
        </w:tc>
      </w:tr>
      <w:tr w14:paraId="7EA6F79D" w14:textId="77777777" w:rsidTr="00005E67">
        <w:tblPrEx>
          <w:tblW w:w="14343" w:type="dxa"/>
          <w:tblInd w:w="-432" w:type="dxa"/>
          <w:tblCellMar>
            <w:top w:w="15" w:type="dxa"/>
            <w:bottom w:w="15" w:type="dxa"/>
          </w:tblCellMar>
          <w:tblLook w:val="04A0"/>
        </w:tblPrEx>
        <w:trPr>
          <w:trHeight w:val="300"/>
        </w:trPr>
        <w:tc>
          <w:tcPr>
            <w:tcW w:w="14343" w:type="dxa"/>
            <w:gridSpan w:val="9"/>
            <w:tcBorders>
              <w:top w:val="nil"/>
              <w:left w:val="nil"/>
              <w:bottom w:val="nil"/>
              <w:right w:val="nil"/>
            </w:tcBorders>
            <w:hideMark/>
          </w:tcPr>
          <w:p w:rsidR="002B4EDA" w:rsidRPr="002B4EDA" w:rsidP="002B4EDA" w14:paraId="622D4B19" w14:textId="03672949">
            <w:pPr>
              <w:spacing w:after="0" w:line="240" w:lineRule="auto"/>
              <w:rPr>
                <w:rFonts w:ascii="Calibri" w:eastAsia="Times New Roman" w:hAnsi="Calibri" w:cs="Calibri"/>
                <w:color w:val="000000"/>
                <w:sz w:val="20"/>
                <w:szCs w:val="20"/>
              </w:rPr>
            </w:pPr>
            <w:r w:rsidRPr="002B4EDA">
              <w:rPr>
                <w:rFonts w:ascii="Calibri" w:eastAsia="Times New Roman" w:hAnsi="Calibri" w:cs="Calibri"/>
                <w:color w:val="000000"/>
                <w:sz w:val="20"/>
                <w:szCs w:val="20"/>
                <w:vertAlign w:val="superscript"/>
              </w:rPr>
              <w:t>h</w:t>
            </w:r>
            <w:r w:rsidR="001D7163">
              <w:rPr>
                <w:rFonts w:ascii="Calibri" w:eastAsia="Times New Roman" w:hAnsi="Calibri" w:cs="Calibri"/>
                <w:color w:val="000000"/>
                <w:sz w:val="20"/>
                <w:szCs w:val="20"/>
              </w:rPr>
              <w:t xml:space="preserve"> </w:t>
            </w:r>
            <w:r w:rsidRPr="002B4EDA">
              <w:rPr>
                <w:rFonts w:ascii="Calibri" w:eastAsia="Times New Roman" w:hAnsi="Calibri" w:cs="Calibri"/>
                <w:color w:val="000000"/>
                <w:sz w:val="20"/>
                <w:szCs w:val="20"/>
              </w:rPr>
              <w:t>Totals</w:t>
            </w:r>
            <w:r w:rsidRPr="002B4EDA">
              <w:rPr>
                <w:rFonts w:ascii="Calibri" w:eastAsia="Times New Roman" w:hAnsi="Calibri" w:cs="Calibri"/>
                <w:color w:val="000000"/>
                <w:sz w:val="20"/>
                <w:szCs w:val="20"/>
              </w:rPr>
              <w:t xml:space="preserve"> have been rounded to 3 significant figures. Figures may not </w:t>
            </w:r>
            <w:r w:rsidRPr="002B4EDA">
              <w:rPr>
                <w:rFonts w:ascii="Calibri" w:eastAsia="Times New Roman" w:hAnsi="Calibri" w:cs="Calibri"/>
                <w:color w:val="000000"/>
                <w:sz w:val="20"/>
                <w:szCs w:val="20"/>
              </w:rPr>
              <w:t>add</w:t>
            </w:r>
            <w:r w:rsidRPr="002B4EDA">
              <w:rPr>
                <w:rFonts w:ascii="Calibri" w:eastAsia="Times New Roman" w:hAnsi="Calibri" w:cs="Calibri"/>
                <w:color w:val="000000"/>
                <w:sz w:val="20"/>
                <w:szCs w:val="20"/>
              </w:rPr>
              <w:t xml:space="preserve"> exactly due to rounding.</w:t>
            </w:r>
          </w:p>
        </w:tc>
      </w:tr>
    </w:tbl>
    <w:p w:rsidR="0000554E" w14:paraId="7A1C8229" w14:textId="77777777">
      <w:pPr>
        <w:rPr>
          <w:rFonts w:cstheme="minorHAnsi"/>
          <w:b/>
          <w:bCs/>
          <w:sz w:val="24"/>
          <w:szCs w:val="24"/>
        </w:rPr>
      </w:pPr>
      <w:r>
        <w:rPr>
          <w:rFonts w:cstheme="minorHAnsi"/>
          <w:b/>
          <w:bCs/>
          <w:sz w:val="24"/>
          <w:szCs w:val="24"/>
        </w:rPr>
        <w:br w:type="page"/>
      </w:r>
    </w:p>
    <w:p w:rsidR="001641AA" w:rsidP="00BB3410" w14:paraId="58610761" w14:textId="5B3ACECD">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1979" w:type="dxa"/>
        <w:tblInd w:w="113" w:type="dxa"/>
        <w:tblCellMar>
          <w:top w:w="15" w:type="dxa"/>
          <w:bottom w:w="15" w:type="dxa"/>
        </w:tblCellMar>
        <w:tblLook w:val="04A0"/>
      </w:tblPr>
      <w:tblGrid>
        <w:gridCol w:w="2155"/>
        <w:gridCol w:w="1980"/>
        <w:gridCol w:w="2970"/>
        <w:gridCol w:w="2328"/>
        <w:gridCol w:w="1273"/>
        <w:gridCol w:w="1273"/>
      </w:tblGrid>
      <w:tr w14:paraId="12C6424E" w14:textId="77777777" w:rsidTr="00504D69">
        <w:tblPrEx>
          <w:tblW w:w="11979" w:type="dxa"/>
          <w:tblInd w:w="113" w:type="dxa"/>
          <w:tblCellMar>
            <w:top w:w="15" w:type="dxa"/>
            <w:bottom w:w="15" w:type="dxa"/>
          </w:tblCellMar>
          <w:tblLook w:val="04A0"/>
        </w:tblPrEx>
        <w:trPr>
          <w:trHeight w:val="315"/>
        </w:trPr>
        <w:tc>
          <w:tcPr>
            <w:tcW w:w="11979" w:type="dxa"/>
            <w:gridSpan w:val="6"/>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BA7E343" w14:textId="77777777">
            <w:pPr>
              <w:spacing w:after="0" w:line="240" w:lineRule="auto"/>
              <w:jc w:val="center"/>
              <w:rPr>
                <w:rFonts w:eastAsia="Times New Roman" w:cstheme="minorHAnsi"/>
                <w:b/>
                <w:bCs/>
                <w:color w:val="000000"/>
                <w:sz w:val="24"/>
                <w:szCs w:val="24"/>
              </w:rPr>
            </w:pPr>
            <w:r w:rsidRPr="00504D69">
              <w:rPr>
                <w:rFonts w:eastAsia="Times New Roman" w:cstheme="minorHAnsi"/>
                <w:b/>
                <w:bCs/>
                <w:color w:val="000000"/>
                <w:sz w:val="24"/>
                <w:szCs w:val="24"/>
              </w:rPr>
              <w:t>Number of Respondents</w:t>
            </w:r>
          </w:p>
        </w:tc>
      </w:tr>
      <w:tr w14:paraId="13441C9C" w14:textId="77777777" w:rsidTr="00CB5DDC">
        <w:tblPrEx>
          <w:tblW w:w="11979" w:type="dxa"/>
          <w:tblInd w:w="113" w:type="dxa"/>
          <w:tblCellMar>
            <w:top w:w="15" w:type="dxa"/>
            <w:bottom w:w="15" w:type="dxa"/>
          </w:tblCellMar>
          <w:tblLook w:val="04A0"/>
        </w:tblPrEx>
        <w:trPr>
          <w:trHeight w:val="96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5AEA7051" w14:textId="77777777">
            <w:pPr>
              <w:spacing w:after="0" w:line="240" w:lineRule="auto"/>
              <w:jc w:val="center"/>
              <w:rPr>
                <w:rFonts w:eastAsia="Times New Roman" w:cstheme="minorHAnsi"/>
                <w:b/>
                <w:bCs/>
                <w:color w:val="000000"/>
                <w:sz w:val="24"/>
                <w:szCs w:val="24"/>
              </w:rPr>
            </w:pPr>
          </w:p>
        </w:tc>
        <w:tc>
          <w:tcPr>
            <w:tcW w:w="4950" w:type="dxa"/>
            <w:gridSpan w:val="2"/>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EE3C64A" w14:textId="77777777">
            <w:pPr>
              <w:spacing w:after="0" w:line="240" w:lineRule="auto"/>
              <w:rPr>
                <w:rFonts w:eastAsia="Times New Roman" w:cstheme="minorHAnsi"/>
                <w:color w:val="000000"/>
                <w:sz w:val="18"/>
                <w:szCs w:val="18"/>
              </w:rPr>
            </w:pPr>
            <w:r w:rsidRPr="00504D69">
              <w:rPr>
                <w:rFonts w:eastAsia="Times New Roman" w:cstheme="minorHAnsi"/>
                <w:color w:val="000000"/>
                <w:sz w:val="18"/>
                <w:szCs w:val="18"/>
              </w:rPr>
              <w:t>Respondents That Submit Reports</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33AF02E" w14:textId="77777777">
            <w:pPr>
              <w:spacing w:after="0" w:line="240" w:lineRule="auto"/>
              <w:rPr>
                <w:rFonts w:eastAsia="Times New Roman" w:cstheme="minorHAnsi"/>
                <w:color w:val="000000"/>
                <w:sz w:val="18"/>
                <w:szCs w:val="18"/>
              </w:rPr>
            </w:pPr>
            <w:r w:rsidRPr="00504D69">
              <w:rPr>
                <w:rFonts w:eastAsia="Times New Roman" w:cstheme="minorHAnsi"/>
                <w:color w:val="000000"/>
                <w:sz w:val="18"/>
                <w:szCs w:val="18"/>
              </w:rPr>
              <w:t>Respondents That Do Not Submit Any Reports</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71CF2BE" w14:textId="77777777">
            <w:pPr>
              <w:spacing w:after="0" w:line="240" w:lineRule="auto"/>
              <w:rPr>
                <w:rFonts w:eastAsia="Times New Roman" w:cstheme="minorHAnsi"/>
                <w:color w:val="000000"/>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C9961A7" w14:textId="77777777">
            <w:pPr>
              <w:spacing w:after="0" w:line="240" w:lineRule="auto"/>
              <w:rPr>
                <w:rFonts w:eastAsia="Times New Roman" w:cstheme="minorHAnsi"/>
                <w:sz w:val="20"/>
                <w:szCs w:val="20"/>
              </w:rPr>
            </w:pPr>
          </w:p>
        </w:tc>
      </w:tr>
      <w:tr w14:paraId="01E59BFF"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70A5774" w14:textId="77777777">
            <w:pPr>
              <w:spacing w:after="0" w:line="240" w:lineRule="auto"/>
              <w:rPr>
                <w:rFonts w:eastAsia="Times New Roman" w:cstheme="minorHAns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2C9BB42" w14:textId="77777777">
            <w:pPr>
              <w:spacing w:after="0" w:line="240" w:lineRule="auto"/>
              <w:jc w:val="center"/>
              <w:rPr>
                <w:rFonts w:eastAsia="Times New Roman" w:cstheme="minorHAnsi"/>
                <w:color w:val="000000"/>
                <w:sz w:val="20"/>
                <w:szCs w:val="20"/>
              </w:rPr>
            </w:pPr>
            <w:r w:rsidRPr="00504D69">
              <w:rPr>
                <w:rFonts w:eastAsia="Times New Roman" w:cstheme="minorHAnsi"/>
                <w:color w:val="000000"/>
                <w:sz w:val="20"/>
                <w:szCs w:val="20"/>
              </w:rPr>
              <w:t>(A)</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0219CB5" w14:textId="77777777">
            <w:pPr>
              <w:spacing w:after="0" w:line="240" w:lineRule="auto"/>
              <w:jc w:val="center"/>
              <w:rPr>
                <w:rFonts w:eastAsia="Times New Roman" w:cstheme="minorHAnsi"/>
                <w:color w:val="000000"/>
                <w:sz w:val="20"/>
                <w:szCs w:val="20"/>
              </w:rPr>
            </w:pPr>
            <w:r w:rsidRPr="00504D69">
              <w:rPr>
                <w:rFonts w:eastAsia="Times New Roman" w:cstheme="minorHAnsi"/>
                <w:color w:val="000000"/>
                <w:sz w:val="20"/>
                <w:szCs w:val="20"/>
              </w:rPr>
              <w:t>(B)</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4859B68" w14:textId="77777777">
            <w:pPr>
              <w:spacing w:after="0" w:line="240" w:lineRule="auto"/>
              <w:jc w:val="center"/>
              <w:rPr>
                <w:rFonts w:eastAsia="Times New Roman" w:cstheme="minorHAnsi"/>
                <w:color w:val="000000"/>
                <w:sz w:val="20"/>
                <w:szCs w:val="20"/>
              </w:rPr>
            </w:pPr>
            <w:r w:rsidRPr="00504D69">
              <w:rPr>
                <w:rFonts w:eastAsia="Times New Roman" w:cstheme="minorHAnsi"/>
                <w:color w:val="000000"/>
                <w:sz w:val="20"/>
                <w:szCs w:val="20"/>
              </w:rPr>
              <w:t>(C)</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4A79B7A" w14:textId="77777777">
            <w:pPr>
              <w:spacing w:after="0" w:line="240" w:lineRule="auto"/>
              <w:jc w:val="center"/>
              <w:rPr>
                <w:rFonts w:eastAsia="Times New Roman" w:cstheme="minorHAnsi"/>
                <w:color w:val="000000"/>
                <w:sz w:val="20"/>
                <w:szCs w:val="20"/>
              </w:rPr>
            </w:pPr>
            <w:r w:rsidRPr="00504D69">
              <w:rPr>
                <w:rFonts w:eastAsia="Times New Roman" w:cstheme="minorHAnsi"/>
                <w:color w:val="000000"/>
                <w:sz w:val="20"/>
                <w:szCs w:val="20"/>
              </w:rPr>
              <w:t>(D)</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D048817" w14:textId="77777777">
            <w:pPr>
              <w:spacing w:after="0" w:line="240" w:lineRule="auto"/>
              <w:jc w:val="center"/>
              <w:rPr>
                <w:rFonts w:eastAsia="Times New Roman" w:cstheme="minorHAnsi"/>
                <w:color w:val="000000"/>
                <w:sz w:val="20"/>
                <w:szCs w:val="20"/>
              </w:rPr>
            </w:pPr>
            <w:r w:rsidRPr="00504D69">
              <w:rPr>
                <w:rFonts w:eastAsia="Times New Roman" w:cstheme="minorHAnsi"/>
                <w:color w:val="000000"/>
                <w:sz w:val="20"/>
                <w:szCs w:val="20"/>
              </w:rPr>
              <w:t>(E)</w:t>
            </w:r>
          </w:p>
        </w:tc>
      </w:tr>
      <w:tr w14:paraId="3D7E7BA1" w14:textId="77777777" w:rsidTr="00CB5DDC">
        <w:tblPrEx>
          <w:tblW w:w="11979" w:type="dxa"/>
          <w:tblInd w:w="113" w:type="dxa"/>
          <w:tblCellMar>
            <w:top w:w="15" w:type="dxa"/>
            <w:bottom w:w="15" w:type="dxa"/>
          </w:tblCellMar>
          <w:tblLook w:val="04A0"/>
        </w:tblPrEx>
        <w:trPr>
          <w:trHeight w:val="1785"/>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09E3D9B" w14:textId="77777777">
            <w:pPr>
              <w:spacing w:after="0" w:line="240" w:lineRule="auto"/>
              <w:jc w:val="center"/>
              <w:rPr>
                <w:rFonts w:eastAsia="Times New Roman" w:cstheme="minorHAnsi"/>
                <w:color w:val="000000"/>
                <w:sz w:val="20"/>
                <w:szCs w:val="20"/>
              </w:rPr>
            </w:pPr>
            <w:r w:rsidRPr="00504D69">
              <w:rPr>
                <w:rFonts w:eastAsia="Times New Roman" w:cstheme="minorHAnsi"/>
                <w:color w:val="000000"/>
                <w:sz w:val="20"/>
                <w:szCs w:val="20"/>
              </w:rPr>
              <w:t>Year</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1AE5773" w14:textId="77777777">
            <w:pPr>
              <w:spacing w:after="0" w:line="240" w:lineRule="auto"/>
              <w:rPr>
                <w:rFonts w:eastAsia="Times New Roman" w:cstheme="minorHAnsi"/>
                <w:color w:val="000000"/>
                <w:sz w:val="20"/>
                <w:szCs w:val="20"/>
              </w:rPr>
            </w:pPr>
            <w:r w:rsidRPr="00504D69">
              <w:rPr>
                <w:rFonts w:eastAsia="Times New Roman" w:cstheme="minorHAnsi"/>
                <w:color w:val="000000"/>
                <w:sz w:val="20"/>
                <w:szCs w:val="20"/>
              </w:rPr>
              <w:t xml:space="preserve">Number of New Respondents </w:t>
            </w:r>
            <w:r w:rsidRPr="00504D69">
              <w:rPr>
                <w:rFonts w:eastAsia="Times New Roman" w:cstheme="minorHAnsi"/>
                <w:color w:val="000000"/>
                <w:sz w:val="20"/>
                <w:szCs w:val="20"/>
                <w:vertAlign w:val="superscript"/>
              </w:rPr>
              <w:t>1</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85DB617" w14:textId="77777777">
            <w:pPr>
              <w:spacing w:after="0" w:line="240" w:lineRule="auto"/>
              <w:rPr>
                <w:rFonts w:eastAsia="Times New Roman" w:cstheme="minorHAnsi"/>
                <w:color w:val="000000"/>
                <w:sz w:val="20"/>
                <w:szCs w:val="20"/>
              </w:rPr>
            </w:pPr>
            <w:r w:rsidRPr="00504D69">
              <w:rPr>
                <w:rFonts w:eastAsia="Times New Roman" w:cstheme="minorHAnsi"/>
                <w:color w:val="000000"/>
                <w:sz w:val="20"/>
                <w:szCs w:val="20"/>
              </w:rPr>
              <w:t>Number of Existing Respondents</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E1F45A2" w14:textId="77777777">
            <w:pPr>
              <w:spacing w:after="0" w:line="240" w:lineRule="auto"/>
              <w:rPr>
                <w:rFonts w:eastAsia="Times New Roman" w:cstheme="minorHAnsi"/>
                <w:color w:val="000000"/>
                <w:sz w:val="20"/>
                <w:szCs w:val="20"/>
              </w:rPr>
            </w:pPr>
            <w:r w:rsidRPr="00504D69">
              <w:rPr>
                <w:rFonts w:eastAsia="Times New Roman" w:cstheme="minorHAnsi"/>
                <w:color w:val="000000"/>
                <w:sz w:val="20"/>
                <w:szCs w:val="20"/>
              </w:rPr>
              <w:t>Number of Existing Respondents that keep records but do not submit reports</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0BF10F2" w14:textId="77777777">
            <w:pPr>
              <w:spacing w:after="0" w:line="240" w:lineRule="auto"/>
              <w:rPr>
                <w:rFonts w:eastAsia="Times New Roman" w:cstheme="minorHAnsi"/>
                <w:color w:val="000000"/>
                <w:sz w:val="20"/>
                <w:szCs w:val="20"/>
              </w:rPr>
            </w:pPr>
            <w:r w:rsidRPr="00504D69">
              <w:rPr>
                <w:rFonts w:eastAsia="Times New Roman" w:cstheme="minorHAnsi"/>
                <w:color w:val="000000"/>
                <w:sz w:val="20"/>
                <w:szCs w:val="20"/>
              </w:rPr>
              <w:t>Number of Existing Respondents That Are Also New Respondents</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CF9FD7E" w14:textId="77777777">
            <w:pPr>
              <w:spacing w:after="0" w:line="240" w:lineRule="auto"/>
              <w:rPr>
                <w:rFonts w:eastAsia="Times New Roman" w:cstheme="minorHAnsi"/>
                <w:color w:val="000000"/>
                <w:sz w:val="20"/>
                <w:szCs w:val="20"/>
              </w:rPr>
            </w:pPr>
            <w:r w:rsidRPr="00504D69">
              <w:rPr>
                <w:rFonts w:eastAsia="Times New Roman" w:cstheme="minorHAnsi"/>
                <w:color w:val="000000"/>
                <w:sz w:val="20"/>
                <w:szCs w:val="20"/>
              </w:rPr>
              <w:t>Number of Respondents (E=A+B+C-D)</w:t>
            </w:r>
          </w:p>
        </w:tc>
      </w:tr>
      <w:tr w14:paraId="5F7A72F3" w14:textId="77777777" w:rsidTr="00504D69">
        <w:tblPrEx>
          <w:tblW w:w="11979" w:type="dxa"/>
          <w:tblInd w:w="113" w:type="dxa"/>
          <w:tblCellMar>
            <w:top w:w="15" w:type="dxa"/>
            <w:bottom w:w="15" w:type="dxa"/>
          </w:tblCellMar>
          <w:tblLook w:val="04A0"/>
        </w:tblPrEx>
        <w:trPr>
          <w:trHeight w:val="300"/>
        </w:trPr>
        <w:tc>
          <w:tcPr>
            <w:tcW w:w="11979" w:type="dxa"/>
            <w:gridSpan w:val="6"/>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8599373" w14:textId="77777777">
            <w:pPr>
              <w:spacing w:after="0" w:line="240" w:lineRule="auto"/>
              <w:jc w:val="center"/>
              <w:rPr>
                <w:rFonts w:eastAsia="Times New Roman" w:cstheme="minorHAnsi"/>
                <w:b/>
                <w:bCs/>
                <w:color w:val="000000"/>
                <w:sz w:val="18"/>
                <w:szCs w:val="18"/>
              </w:rPr>
            </w:pPr>
            <w:r w:rsidRPr="00504D69">
              <w:rPr>
                <w:rFonts w:eastAsia="Times New Roman" w:cstheme="minorHAnsi"/>
                <w:b/>
                <w:bCs/>
                <w:color w:val="000000"/>
                <w:sz w:val="18"/>
                <w:szCs w:val="18"/>
              </w:rPr>
              <w:t>Privately-Owned</w:t>
            </w:r>
          </w:p>
        </w:tc>
      </w:tr>
      <w:tr w14:paraId="458B0549"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798BBC0"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967AF09"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59B2B087"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72B1717"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B21A45A"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4AABFC1"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r>
      <w:tr w14:paraId="6706F724"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156A7E0"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472F47E"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91A87D9"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9DA81CD"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EB25397"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A3D9196"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r>
      <w:tr w14:paraId="5E18A6D6"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143FD24"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853187B"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6DF0EB0"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56432DE8"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A45116B"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6BA248A"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r>
      <w:tr w14:paraId="75492412"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2C53E60"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Average</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3F6D287"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EF73D03"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DEC903A"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765EFE4"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CB0CA2F"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26</w:t>
            </w:r>
          </w:p>
        </w:tc>
      </w:tr>
      <w:tr w14:paraId="3267A585" w14:textId="77777777" w:rsidTr="00504D69">
        <w:tblPrEx>
          <w:tblW w:w="11979" w:type="dxa"/>
          <w:tblInd w:w="113" w:type="dxa"/>
          <w:tblCellMar>
            <w:top w:w="15" w:type="dxa"/>
            <w:bottom w:w="15" w:type="dxa"/>
          </w:tblCellMar>
          <w:tblLook w:val="04A0"/>
        </w:tblPrEx>
        <w:trPr>
          <w:trHeight w:val="300"/>
        </w:trPr>
        <w:tc>
          <w:tcPr>
            <w:tcW w:w="11979" w:type="dxa"/>
            <w:gridSpan w:val="6"/>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1F9ACD2" w14:textId="77777777">
            <w:pPr>
              <w:spacing w:after="0" w:line="240" w:lineRule="auto"/>
              <w:jc w:val="center"/>
              <w:rPr>
                <w:rFonts w:eastAsia="Times New Roman" w:cstheme="minorHAnsi"/>
                <w:b/>
                <w:bCs/>
                <w:color w:val="000000"/>
                <w:sz w:val="18"/>
                <w:szCs w:val="18"/>
              </w:rPr>
            </w:pPr>
            <w:r w:rsidRPr="00504D69">
              <w:rPr>
                <w:rFonts w:eastAsia="Times New Roman" w:cstheme="minorHAnsi"/>
                <w:b/>
                <w:bCs/>
                <w:color w:val="000000"/>
                <w:sz w:val="18"/>
                <w:szCs w:val="18"/>
              </w:rPr>
              <w:t>Publicly-Owned</w:t>
            </w:r>
          </w:p>
        </w:tc>
      </w:tr>
      <w:tr w14:paraId="31D4052C"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4D459FC1"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30E910C"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0DF3C58"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F1AE4A5"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5C27544"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40199E20"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r>
      <w:tr w14:paraId="093A19B5"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DD730C4"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376A97E"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A511BE4"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44A7E0DB"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76A0207"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8DCC9E5"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r>
      <w:tr w14:paraId="7C494AF9"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4F8DB1F"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9FAE7BD"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9990F56"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FEE0945"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09E66A4C"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7888AFF"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r>
      <w:tr w14:paraId="013A6604" w14:textId="77777777" w:rsidTr="00CB5DDC">
        <w:tblPrEx>
          <w:tblW w:w="11979" w:type="dxa"/>
          <w:tblInd w:w="113" w:type="dxa"/>
          <w:tblCellMar>
            <w:top w:w="15" w:type="dxa"/>
            <w:bottom w:w="15" w:type="dxa"/>
          </w:tblCellMar>
          <w:tblLook w:val="04A0"/>
        </w:tblPrEx>
        <w:trPr>
          <w:trHeight w:val="300"/>
        </w:trPr>
        <w:tc>
          <w:tcPr>
            <w:tcW w:w="2155"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22CE39B4"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Average</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5C8882FC"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2970"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C15DA28"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c>
          <w:tcPr>
            <w:tcW w:w="2328"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D5F1DD9"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5090EA1"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77833FFB"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21</w:t>
            </w:r>
          </w:p>
        </w:tc>
      </w:tr>
      <w:tr w14:paraId="187AEF0E" w14:textId="77777777" w:rsidTr="00504D69">
        <w:tblPrEx>
          <w:tblW w:w="11979" w:type="dxa"/>
          <w:tblInd w:w="113" w:type="dxa"/>
          <w:tblCellMar>
            <w:top w:w="15" w:type="dxa"/>
            <w:bottom w:w="15" w:type="dxa"/>
          </w:tblCellMar>
          <w:tblLook w:val="04A0"/>
        </w:tblPrEx>
        <w:trPr>
          <w:trHeight w:val="300"/>
        </w:trPr>
        <w:tc>
          <w:tcPr>
            <w:tcW w:w="9433" w:type="dxa"/>
            <w:gridSpan w:val="4"/>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3868553C" w14:textId="77777777">
            <w:pPr>
              <w:spacing w:after="0" w:line="240" w:lineRule="auto"/>
              <w:jc w:val="center"/>
              <w:rPr>
                <w:rFonts w:eastAsia="Times New Roman" w:cstheme="minorHAnsi"/>
                <w:color w:val="000000"/>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159AB7F7" w14:textId="77777777">
            <w:pPr>
              <w:spacing w:after="0" w:line="240" w:lineRule="auto"/>
              <w:jc w:val="center"/>
              <w:rPr>
                <w:rFonts w:eastAsia="Times New Roman" w:cstheme="minorHAnsi"/>
                <w:b/>
                <w:bCs/>
                <w:color w:val="000000"/>
                <w:sz w:val="18"/>
                <w:szCs w:val="18"/>
              </w:rPr>
            </w:pPr>
            <w:r w:rsidRPr="00504D69">
              <w:rPr>
                <w:rFonts w:eastAsia="Times New Roman" w:cstheme="minorHAnsi"/>
                <w:b/>
                <w:bCs/>
                <w:color w:val="000000"/>
                <w:sz w:val="18"/>
                <w:szCs w:val="18"/>
              </w:rPr>
              <w:t>Total</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4D69" w:rsidRPr="00504D69" w:rsidP="00504D69" w14:paraId="6B904383" w14:textId="77777777">
            <w:pPr>
              <w:spacing w:after="0" w:line="240" w:lineRule="auto"/>
              <w:jc w:val="center"/>
              <w:rPr>
                <w:rFonts w:eastAsia="Times New Roman" w:cstheme="minorHAnsi"/>
                <w:color w:val="000000"/>
                <w:sz w:val="18"/>
                <w:szCs w:val="18"/>
              </w:rPr>
            </w:pPr>
            <w:r w:rsidRPr="00504D69">
              <w:rPr>
                <w:rFonts w:eastAsia="Times New Roman" w:cstheme="minorHAnsi"/>
                <w:color w:val="000000"/>
                <w:sz w:val="18"/>
                <w:szCs w:val="18"/>
              </w:rPr>
              <w:t>47</w:t>
            </w:r>
          </w:p>
        </w:tc>
      </w:tr>
      <w:tr w14:paraId="17B87B6A" w14:textId="77777777" w:rsidTr="00504D69">
        <w:tblPrEx>
          <w:tblW w:w="11979" w:type="dxa"/>
          <w:tblInd w:w="113" w:type="dxa"/>
          <w:tblCellMar>
            <w:top w:w="15" w:type="dxa"/>
            <w:bottom w:w="15" w:type="dxa"/>
          </w:tblCellMar>
          <w:tblLook w:val="04A0"/>
        </w:tblPrEx>
        <w:trPr>
          <w:trHeight w:val="375"/>
        </w:trPr>
        <w:tc>
          <w:tcPr>
            <w:tcW w:w="9433" w:type="dxa"/>
            <w:gridSpan w:val="4"/>
            <w:tcBorders>
              <w:top w:val="nil"/>
              <w:left w:val="nil"/>
              <w:bottom w:val="nil"/>
              <w:right w:val="nil"/>
            </w:tcBorders>
            <w:noWrap/>
            <w:vAlign w:val="center"/>
            <w:hideMark/>
          </w:tcPr>
          <w:p w:rsidR="00504D69" w:rsidRPr="00504D69" w:rsidP="00504D69" w14:paraId="43520BBD" w14:textId="490FA81F">
            <w:pPr>
              <w:spacing w:after="0" w:line="240" w:lineRule="auto"/>
              <w:rPr>
                <w:rFonts w:eastAsia="Times New Roman" w:cstheme="minorHAnsi"/>
                <w:sz w:val="20"/>
                <w:szCs w:val="20"/>
              </w:rPr>
            </w:pPr>
            <w:r w:rsidRPr="00504D69">
              <w:rPr>
                <w:rFonts w:eastAsia="Times New Roman" w:cstheme="minorHAnsi"/>
                <w:color w:val="000000"/>
                <w:sz w:val="24"/>
                <w:szCs w:val="24"/>
                <w:vertAlign w:val="superscript"/>
              </w:rPr>
              <w:t>1</w:t>
            </w:r>
            <w:r w:rsidRPr="00504D69">
              <w:rPr>
                <w:rFonts w:eastAsia="Times New Roman" w:cstheme="minorHAnsi"/>
                <w:color w:val="000000"/>
                <w:sz w:val="24"/>
                <w:szCs w:val="24"/>
              </w:rPr>
              <w:t xml:space="preserve"> </w:t>
            </w:r>
            <w:r w:rsidRPr="00504D69">
              <w:rPr>
                <w:rFonts w:eastAsia="Times New Roman" w:cstheme="minorHAnsi"/>
                <w:color w:val="000000"/>
                <w:sz w:val="20"/>
                <w:szCs w:val="20"/>
              </w:rPr>
              <w:t xml:space="preserve">New </w:t>
            </w:r>
            <w:r w:rsidRPr="00504D69">
              <w:rPr>
                <w:rFonts w:eastAsia="Times New Roman" w:cstheme="minorHAnsi"/>
                <w:color w:val="000000"/>
                <w:sz w:val="20"/>
                <w:szCs w:val="20"/>
              </w:rPr>
              <w:t>respondents</w:t>
            </w:r>
            <w:r w:rsidRPr="00504D69">
              <w:rPr>
                <w:rFonts w:eastAsia="Times New Roman" w:cstheme="minorHAnsi"/>
                <w:color w:val="000000"/>
                <w:sz w:val="20"/>
                <w:szCs w:val="20"/>
              </w:rPr>
              <w:t xml:space="preserve"> include sources with constructed, reconstructed and modified affected facilities.</w:t>
            </w:r>
            <w:r w:rsidRPr="00504D69">
              <w:rPr>
                <w:rFonts w:eastAsia="Times New Roman" w:cstheme="minorHAnsi"/>
                <w:color w:val="FF0000"/>
                <w:sz w:val="20"/>
                <w:szCs w:val="20"/>
              </w:rPr>
              <w:t xml:space="preserve"> </w:t>
            </w:r>
          </w:p>
        </w:tc>
        <w:tc>
          <w:tcPr>
            <w:tcW w:w="1273" w:type="dxa"/>
            <w:tcBorders>
              <w:top w:val="nil"/>
              <w:left w:val="nil"/>
              <w:bottom w:val="nil"/>
              <w:right w:val="nil"/>
            </w:tcBorders>
            <w:noWrap/>
            <w:vAlign w:val="bottom"/>
            <w:hideMark/>
          </w:tcPr>
          <w:p w:rsidR="00504D69" w:rsidRPr="00504D69" w:rsidP="00504D69" w14:paraId="3D991A57" w14:textId="77777777">
            <w:pPr>
              <w:spacing w:after="0" w:line="240" w:lineRule="auto"/>
              <w:rPr>
                <w:rFonts w:eastAsia="Times New Roman" w:cstheme="minorHAnsi"/>
                <w:sz w:val="20"/>
                <w:szCs w:val="20"/>
              </w:rPr>
            </w:pPr>
          </w:p>
        </w:tc>
        <w:tc>
          <w:tcPr>
            <w:tcW w:w="1273" w:type="dxa"/>
            <w:tcBorders>
              <w:top w:val="nil"/>
              <w:left w:val="nil"/>
              <w:bottom w:val="nil"/>
              <w:right w:val="nil"/>
            </w:tcBorders>
            <w:noWrap/>
            <w:vAlign w:val="bottom"/>
            <w:hideMark/>
          </w:tcPr>
          <w:p w:rsidR="00504D69" w:rsidRPr="00504D69" w:rsidP="00504D69" w14:paraId="35945CCA" w14:textId="77777777">
            <w:pPr>
              <w:spacing w:after="0" w:line="240" w:lineRule="auto"/>
              <w:rPr>
                <w:rFonts w:eastAsia="Times New Roman" w:cstheme="minorHAnsi"/>
                <w:sz w:val="20"/>
                <w:szCs w:val="20"/>
              </w:rPr>
            </w:pPr>
          </w:p>
        </w:tc>
      </w:tr>
    </w:tbl>
    <w:p w:rsidR="00DE5FD4" w:rsidP="00BB3410" w14:paraId="25C9AE64" w14:textId="77777777">
      <w:pPr>
        <w:pStyle w:val="ListParagraph"/>
        <w:spacing w:before="240"/>
        <w:ind w:left="0"/>
        <w:rPr>
          <w:rFonts w:cstheme="minorHAnsi"/>
          <w:b/>
          <w:bCs/>
          <w:sz w:val="24"/>
          <w:szCs w:val="24"/>
        </w:rPr>
      </w:pPr>
    </w:p>
    <w:p w:rsidR="0000554E" w14:paraId="332CB06A" w14:textId="77777777">
      <w:pPr>
        <w:rPr>
          <w:rFonts w:cstheme="minorHAnsi"/>
          <w:b/>
          <w:bCs/>
          <w:sz w:val="24"/>
          <w:szCs w:val="24"/>
        </w:rPr>
      </w:pPr>
      <w:r>
        <w:rPr>
          <w:rFonts w:cstheme="minorHAnsi"/>
          <w:b/>
          <w:bCs/>
          <w:sz w:val="24"/>
          <w:szCs w:val="24"/>
        </w:rPr>
        <w:br w:type="page"/>
      </w:r>
    </w:p>
    <w:p w:rsidR="00DE5FD4" w:rsidP="00BB3410" w14:paraId="5A12B241" w14:textId="32BA611F">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1559" w:type="dxa"/>
        <w:tblInd w:w="113" w:type="dxa"/>
        <w:tblCellMar>
          <w:top w:w="15" w:type="dxa"/>
          <w:bottom w:w="15" w:type="dxa"/>
        </w:tblCellMar>
        <w:tblLook w:val="04A0"/>
      </w:tblPr>
      <w:tblGrid>
        <w:gridCol w:w="2153"/>
        <w:gridCol w:w="2072"/>
        <w:gridCol w:w="2430"/>
        <w:gridCol w:w="2610"/>
        <w:gridCol w:w="2070"/>
        <w:gridCol w:w="224"/>
      </w:tblGrid>
      <w:tr w14:paraId="66F47FD7" w14:textId="77777777" w:rsidTr="00B70B00">
        <w:tblPrEx>
          <w:tblW w:w="11559" w:type="dxa"/>
          <w:tblInd w:w="113" w:type="dxa"/>
          <w:tblCellMar>
            <w:top w:w="15" w:type="dxa"/>
            <w:bottom w:w="15" w:type="dxa"/>
          </w:tblCellMar>
          <w:tblLook w:val="04A0"/>
        </w:tblPrEx>
        <w:trPr>
          <w:gridAfter w:val="1"/>
          <w:wAfter w:w="224" w:type="dxa"/>
          <w:trHeight w:val="315"/>
        </w:trPr>
        <w:tc>
          <w:tcPr>
            <w:tcW w:w="11335" w:type="dxa"/>
            <w:gridSpan w:val="5"/>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D2170E2" w14:textId="77777777">
            <w:pPr>
              <w:spacing w:after="0" w:line="240" w:lineRule="auto"/>
              <w:jc w:val="center"/>
              <w:rPr>
                <w:rFonts w:eastAsia="Times New Roman" w:cstheme="minorHAnsi"/>
                <w:b/>
                <w:bCs/>
                <w:color w:val="000000"/>
                <w:sz w:val="24"/>
                <w:szCs w:val="24"/>
              </w:rPr>
            </w:pPr>
            <w:r w:rsidRPr="00BC1FE2">
              <w:rPr>
                <w:rFonts w:eastAsia="Times New Roman" w:cstheme="minorHAnsi"/>
                <w:b/>
                <w:bCs/>
                <w:color w:val="000000"/>
                <w:sz w:val="24"/>
                <w:szCs w:val="24"/>
              </w:rPr>
              <w:t>Total Annual Responses</w:t>
            </w:r>
          </w:p>
        </w:tc>
      </w:tr>
      <w:tr w14:paraId="3935700E" w14:textId="77777777" w:rsidTr="00B70B00">
        <w:tblPrEx>
          <w:tblW w:w="11559" w:type="dxa"/>
          <w:tblInd w:w="113" w:type="dxa"/>
          <w:tblCellMar>
            <w:top w:w="15" w:type="dxa"/>
            <w:bottom w:w="15" w:type="dxa"/>
          </w:tblCellMar>
          <w:tblLook w:val="04A0"/>
        </w:tblPrEx>
        <w:trPr>
          <w:gridAfter w:val="1"/>
          <w:wAfter w:w="224" w:type="dxa"/>
          <w:trHeight w:val="30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CD950F8"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(A)</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8040938"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(B)</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DE27BFD"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(C)</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4BB8029"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(D)</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8308A46"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(E)</w:t>
            </w:r>
          </w:p>
        </w:tc>
      </w:tr>
      <w:tr w14:paraId="0E749D10" w14:textId="77777777" w:rsidTr="00B70B00">
        <w:tblPrEx>
          <w:tblW w:w="11559" w:type="dxa"/>
          <w:tblInd w:w="113" w:type="dxa"/>
          <w:tblCellMar>
            <w:top w:w="15" w:type="dxa"/>
            <w:bottom w:w="15" w:type="dxa"/>
          </w:tblCellMar>
          <w:tblLook w:val="04A0"/>
        </w:tblPrEx>
        <w:trPr>
          <w:gridAfter w:val="1"/>
          <w:wAfter w:w="224" w:type="dxa"/>
          <w:trHeight w:val="144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2188DA5"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Information Collection Activity</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2FED480"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Number of Respondents</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52AF902"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Number of Responses</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C9F98A4"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 xml:space="preserve">Number of Existing Respondents That Keep Records </w:t>
            </w:r>
            <w:r w:rsidRPr="00BC1FE2">
              <w:rPr>
                <w:rFonts w:eastAsia="Times New Roman" w:cstheme="minorHAnsi"/>
                <w:color w:val="000000"/>
                <w:sz w:val="18"/>
                <w:szCs w:val="18"/>
              </w:rPr>
              <w:t>But</w:t>
            </w:r>
            <w:r w:rsidRPr="00BC1FE2">
              <w:rPr>
                <w:rFonts w:eastAsia="Times New Roman" w:cstheme="minorHAnsi"/>
                <w:color w:val="000000"/>
                <w:sz w:val="18"/>
                <w:szCs w:val="18"/>
              </w:rPr>
              <w:t xml:space="preserve"> Do Not Submit Reports</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1AFC064"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Total Annual Responses E=(</w:t>
            </w:r>
            <w:r w:rsidRPr="00BC1FE2">
              <w:rPr>
                <w:rFonts w:eastAsia="Times New Roman" w:cstheme="minorHAnsi"/>
                <w:color w:val="000000"/>
                <w:sz w:val="18"/>
                <w:szCs w:val="18"/>
              </w:rPr>
              <w:t>BxC</w:t>
            </w:r>
            <w:r w:rsidRPr="00BC1FE2">
              <w:rPr>
                <w:rFonts w:eastAsia="Times New Roman" w:cstheme="minorHAnsi"/>
                <w:color w:val="000000"/>
                <w:sz w:val="18"/>
                <w:szCs w:val="18"/>
              </w:rPr>
              <w:t>)+D</w:t>
            </w:r>
          </w:p>
        </w:tc>
      </w:tr>
      <w:tr w14:paraId="449F4194" w14:textId="77777777" w:rsidTr="00B70B00">
        <w:tblPrEx>
          <w:tblW w:w="11559" w:type="dxa"/>
          <w:tblInd w:w="113" w:type="dxa"/>
          <w:tblCellMar>
            <w:top w:w="15" w:type="dxa"/>
            <w:bottom w:w="15" w:type="dxa"/>
          </w:tblCellMar>
          <w:tblLook w:val="04A0"/>
        </w:tblPrEx>
        <w:trPr>
          <w:gridAfter w:val="1"/>
          <w:wAfter w:w="224" w:type="dxa"/>
          <w:trHeight w:val="300"/>
        </w:trPr>
        <w:tc>
          <w:tcPr>
            <w:tcW w:w="11335" w:type="dxa"/>
            <w:gridSpan w:val="5"/>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ABA3566" w14:textId="146A7EC7">
            <w:pPr>
              <w:spacing w:after="0" w:line="240" w:lineRule="auto"/>
              <w:jc w:val="center"/>
              <w:rPr>
                <w:rFonts w:eastAsia="Times New Roman" w:cstheme="minorHAnsi"/>
                <w:b/>
                <w:bCs/>
                <w:color w:val="000000"/>
                <w:sz w:val="18"/>
                <w:szCs w:val="18"/>
              </w:rPr>
            </w:pPr>
            <w:r w:rsidRPr="00BC1FE2">
              <w:rPr>
                <w:rFonts w:eastAsia="Times New Roman" w:cstheme="minorHAnsi"/>
                <w:b/>
                <w:bCs/>
                <w:color w:val="000000"/>
                <w:sz w:val="18"/>
                <w:szCs w:val="18"/>
              </w:rPr>
              <w:t>P</w:t>
            </w:r>
            <w:r w:rsidR="004A7742">
              <w:rPr>
                <w:rFonts w:eastAsia="Times New Roman" w:cstheme="minorHAnsi"/>
                <w:b/>
                <w:bCs/>
                <w:color w:val="000000"/>
                <w:sz w:val="18"/>
                <w:szCs w:val="18"/>
              </w:rPr>
              <w:t>rivately</w:t>
            </w:r>
            <w:r w:rsidRPr="00BC1FE2">
              <w:rPr>
                <w:rFonts w:eastAsia="Times New Roman" w:cstheme="minorHAnsi"/>
                <w:b/>
                <w:bCs/>
                <w:color w:val="000000"/>
                <w:sz w:val="18"/>
                <w:szCs w:val="18"/>
              </w:rPr>
              <w:t>-Owned</w:t>
            </w:r>
          </w:p>
        </w:tc>
      </w:tr>
      <w:tr w14:paraId="0F6712DF" w14:textId="77777777" w:rsidTr="00B70B00">
        <w:tblPrEx>
          <w:tblW w:w="11559" w:type="dxa"/>
          <w:tblInd w:w="113" w:type="dxa"/>
          <w:tblCellMar>
            <w:top w:w="15" w:type="dxa"/>
            <w:bottom w:w="15" w:type="dxa"/>
          </w:tblCellMar>
          <w:tblLook w:val="04A0"/>
        </w:tblPrEx>
        <w:trPr>
          <w:gridAfter w:val="1"/>
          <w:wAfter w:w="224" w:type="dxa"/>
          <w:trHeight w:val="48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CA39519"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Notification reports</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A9B9AC1"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E8C9A34"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304B0A7"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5F9E8DB"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r>
      <w:tr w14:paraId="682905E1" w14:textId="77777777" w:rsidTr="00B70B00">
        <w:tblPrEx>
          <w:tblW w:w="11559" w:type="dxa"/>
          <w:tblInd w:w="113" w:type="dxa"/>
          <w:tblCellMar>
            <w:top w:w="15" w:type="dxa"/>
            <w:bottom w:w="15" w:type="dxa"/>
          </w:tblCellMar>
          <w:tblLook w:val="04A0"/>
        </w:tblPrEx>
        <w:trPr>
          <w:gridAfter w:val="1"/>
          <w:wAfter w:w="224" w:type="dxa"/>
          <w:trHeight w:val="48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04BAB7D"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Compliance reports</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1FE8FE8"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DE3ABA5"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23CC49D"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04F958C"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r>
      <w:tr w14:paraId="42F59817" w14:textId="77777777" w:rsidTr="00B70B00">
        <w:tblPrEx>
          <w:tblW w:w="11559" w:type="dxa"/>
          <w:tblInd w:w="113" w:type="dxa"/>
          <w:tblCellMar>
            <w:top w:w="15" w:type="dxa"/>
            <w:bottom w:w="15" w:type="dxa"/>
          </w:tblCellMar>
          <w:tblLook w:val="04A0"/>
        </w:tblPrEx>
        <w:trPr>
          <w:gridAfter w:val="1"/>
          <w:wAfter w:w="224" w:type="dxa"/>
          <w:trHeight w:val="192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8D389C5"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Records of startup, shutdown, and malfunction (SSM), emissions monitoring system, and initial performance test results</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658F5CD"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DDA8BE6"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435A28A"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26</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8A95382"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26</w:t>
            </w:r>
          </w:p>
        </w:tc>
      </w:tr>
      <w:tr w14:paraId="7BBFAFAB" w14:textId="77777777" w:rsidTr="00B70B00">
        <w:tblPrEx>
          <w:tblW w:w="11559" w:type="dxa"/>
          <w:tblInd w:w="113" w:type="dxa"/>
          <w:tblCellMar>
            <w:top w:w="15" w:type="dxa"/>
            <w:bottom w:w="15" w:type="dxa"/>
          </w:tblCellMar>
          <w:tblLook w:val="04A0"/>
        </w:tblPrEx>
        <w:trPr>
          <w:gridAfter w:val="1"/>
          <w:wAfter w:w="224" w:type="dxa"/>
          <w:trHeight w:val="72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2D8797A"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Records of daily charging rates and hours of operation</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5B93655"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D661BC4"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1441394"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26</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BB00BC1"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26</w:t>
            </w:r>
          </w:p>
        </w:tc>
      </w:tr>
      <w:tr w14:paraId="3320DABA" w14:textId="77777777" w:rsidTr="00B70B00">
        <w:tblPrEx>
          <w:tblW w:w="11559" w:type="dxa"/>
          <w:tblInd w:w="113" w:type="dxa"/>
          <w:tblCellMar>
            <w:top w:w="15" w:type="dxa"/>
            <w:bottom w:w="15" w:type="dxa"/>
          </w:tblCellMar>
          <w:tblLook w:val="04A0"/>
        </w:tblPrEx>
        <w:trPr>
          <w:gridAfter w:val="1"/>
          <w:wAfter w:w="224" w:type="dxa"/>
          <w:trHeight w:val="450"/>
        </w:trPr>
        <w:tc>
          <w:tcPr>
            <w:tcW w:w="2153"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3C33B0C" w14:textId="77777777">
            <w:pPr>
              <w:spacing w:after="0" w:line="240" w:lineRule="auto"/>
              <w:jc w:val="center"/>
              <w:rPr>
                <w:rFonts w:eastAsia="Times New Roman" w:cstheme="minorHAnsi"/>
                <w:color w:val="000000"/>
                <w:sz w:val="18"/>
                <w:szCs w:val="18"/>
              </w:rPr>
            </w:pP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3BCDBA7" w14:textId="77777777">
            <w:pPr>
              <w:spacing w:after="0" w:line="240" w:lineRule="auto"/>
              <w:jc w:val="center"/>
              <w:rPr>
                <w:rFonts w:eastAsia="Times New Roman" w:cstheme="minorHAnsi"/>
                <w:sz w:val="20"/>
                <w:szCs w:val="20"/>
              </w:rPr>
            </w:pP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F437A86" w14:textId="77777777">
            <w:pPr>
              <w:spacing w:after="0" w:line="240" w:lineRule="auto"/>
              <w:jc w:val="center"/>
              <w:rPr>
                <w:rFonts w:eastAsia="Times New Roman" w:cstheme="minorHAnsi"/>
                <w:sz w:val="20"/>
                <w:szCs w:val="20"/>
              </w:rPr>
            </w:pP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AC02D09"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Total</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98CA19D"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52</w:t>
            </w:r>
          </w:p>
        </w:tc>
      </w:tr>
      <w:tr w14:paraId="2F882203" w14:textId="77777777" w:rsidTr="00B70B00">
        <w:tblPrEx>
          <w:tblW w:w="11559" w:type="dxa"/>
          <w:tblInd w:w="113" w:type="dxa"/>
          <w:tblCellMar>
            <w:top w:w="15" w:type="dxa"/>
            <w:bottom w:w="15" w:type="dxa"/>
          </w:tblCellMar>
          <w:tblLook w:val="04A0"/>
        </w:tblPrEx>
        <w:trPr>
          <w:trHeight w:val="300"/>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E73F17B" w14:textId="77777777">
            <w:pPr>
              <w:spacing w:after="0" w:line="240" w:lineRule="auto"/>
              <w:rPr>
                <w:rFonts w:eastAsia="Times New Roman" w:cstheme="minorHAnsi"/>
                <w:color w:val="000000"/>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103C258" w14:textId="77777777">
            <w:pPr>
              <w:spacing w:after="0" w:line="240" w:lineRule="auto"/>
              <w:rPr>
                <w:rFonts w:eastAsia="Times New Roman" w:cstheme="minorHAnsi"/>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8436875" w14:textId="77777777">
            <w:pPr>
              <w:spacing w:after="0" w:line="240" w:lineRule="auto"/>
              <w:rPr>
                <w:rFonts w:eastAsia="Times New Roman" w:cstheme="minorHAnsi"/>
                <w:sz w:val="20"/>
                <w:szCs w:val="2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D0B3D14" w14:textId="77777777">
            <w:pPr>
              <w:spacing w:after="0" w:line="240" w:lineRule="auto"/>
              <w:rPr>
                <w:rFonts w:eastAsia="Times New Roman" w:cstheme="minorHAnsi"/>
                <w:color w:val="000000"/>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332E350" w14:textId="77777777">
            <w:pPr>
              <w:spacing w:after="0" w:line="240" w:lineRule="auto"/>
              <w:rPr>
                <w:rFonts w:eastAsia="Times New Roman" w:cstheme="minorHAnsi"/>
                <w:color w:val="000000"/>
                <w:sz w:val="18"/>
                <w:szCs w:val="18"/>
              </w:rPr>
            </w:pPr>
          </w:p>
        </w:tc>
        <w:tc>
          <w:tcPr>
            <w:tcW w:w="224" w:type="dxa"/>
            <w:tcBorders>
              <w:top w:val="nil"/>
              <w:left w:val="nil"/>
              <w:bottom w:val="nil"/>
              <w:right w:val="nil"/>
            </w:tcBorders>
            <w:noWrap/>
            <w:vAlign w:val="bottom"/>
            <w:hideMark/>
          </w:tcPr>
          <w:p w:rsidR="00BC1FE2" w:rsidRPr="00BC1FE2" w:rsidP="00BC1FE2" w14:paraId="72472CA1" w14:textId="77777777">
            <w:pPr>
              <w:spacing w:after="0" w:line="240" w:lineRule="auto"/>
              <w:jc w:val="center"/>
              <w:rPr>
                <w:rFonts w:eastAsia="Times New Roman" w:cstheme="minorHAnsi"/>
                <w:color w:val="000000"/>
                <w:sz w:val="18"/>
                <w:szCs w:val="18"/>
              </w:rPr>
            </w:pPr>
          </w:p>
        </w:tc>
      </w:tr>
      <w:tr w14:paraId="52DA253C" w14:textId="77777777" w:rsidTr="00B70B00">
        <w:tblPrEx>
          <w:tblW w:w="11559" w:type="dxa"/>
          <w:tblInd w:w="113" w:type="dxa"/>
          <w:tblCellMar>
            <w:top w:w="15" w:type="dxa"/>
            <w:bottom w:w="15" w:type="dxa"/>
          </w:tblCellMar>
          <w:tblLook w:val="04A0"/>
        </w:tblPrEx>
        <w:trPr>
          <w:trHeight w:val="300"/>
        </w:trPr>
        <w:tc>
          <w:tcPr>
            <w:tcW w:w="11335" w:type="dxa"/>
            <w:gridSpan w:val="5"/>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48D9AF1" w14:textId="20BCC5CB">
            <w:pPr>
              <w:spacing w:after="0" w:line="240" w:lineRule="auto"/>
              <w:jc w:val="center"/>
              <w:rPr>
                <w:rFonts w:eastAsia="Times New Roman" w:cstheme="minorHAnsi"/>
                <w:b/>
                <w:bCs/>
                <w:color w:val="000000"/>
                <w:sz w:val="18"/>
                <w:szCs w:val="18"/>
              </w:rPr>
            </w:pPr>
            <w:r w:rsidRPr="00BC1FE2">
              <w:rPr>
                <w:rFonts w:eastAsia="Times New Roman" w:cstheme="minorHAnsi"/>
                <w:b/>
                <w:bCs/>
                <w:color w:val="000000"/>
                <w:sz w:val="18"/>
                <w:szCs w:val="18"/>
              </w:rPr>
              <w:t>P</w:t>
            </w:r>
            <w:r w:rsidR="004A7742">
              <w:rPr>
                <w:rFonts w:eastAsia="Times New Roman" w:cstheme="minorHAnsi"/>
                <w:b/>
                <w:bCs/>
                <w:color w:val="000000"/>
                <w:sz w:val="18"/>
                <w:szCs w:val="18"/>
              </w:rPr>
              <w:t>ublic</w:t>
            </w:r>
            <w:r w:rsidRPr="00BC1FE2">
              <w:rPr>
                <w:rFonts w:eastAsia="Times New Roman" w:cstheme="minorHAnsi"/>
                <w:b/>
                <w:bCs/>
                <w:color w:val="000000"/>
                <w:sz w:val="18"/>
                <w:szCs w:val="18"/>
              </w:rPr>
              <w:t>ly-Owned</w:t>
            </w:r>
          </w:p>
        </w:tc>
        <w:tc>
          <w:tcPr>
            <w:tcW w:w="224" w:type="dxa"/>
            <w:vAlign w:val="center"/>
            <w:hideMark/>
          </w:tcPr>
          <w:p w:rsidR="00BC1FE2" w:rsidRPr="00BC1FE2" w:rsidP="00BC1FE2" w14:paraId="177DDED4" w14:textId="77777777">
            <w:pPr>
              <w:spacing w:after="0" w:line="240" w:lineRule="auto"/>
              <w:rPr>
                <w:rFonts w:eastAsia="Times New Roman" w:cstheme="minorHAnsi"/>
                <w:sz w:val="20"/>
                <w:szCs w:val="20"/>
              </w:rPr>
            </w:pPr>
          </w:p>
        </w:tc>
      </w:tr>
      <w:tr w14:paraId="45C05AE5" w14:textId="77777777" w:rsidTr="00B70B00">
        <w:tblPrEx>
          <w:tblW w:w="11559" w:type="dxa"/>
          <w:tblInd w:w="113" w:type="dxa"/>
          <w:tblCellMar>
            <w:top w:w="15" w:type="dxa"/>
            <w:bottom w:w="15" w:type="dxa"/>
          </w:tblCellMar>
          <w:tblLook w:val="04A0"/>
        </w:tblPrEx>
        <w:trPr>
          <w:trHeight w:val="48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5D34DCF"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Notification reports</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65CBDF6"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EF07650"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9F79CC6"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B463D3B"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24" w:type="dxa"/>
            <w:vAlign w:val="center"/>
            <w:hideMark/>
          </w:tcPr>
          <w:p w:rsidR="00BC1FE2" w:rsidRPr="00BC1FE2" w:rsidP="00BC1FE2" w14:paraId="00A7F075" w14:textId="77777777">
            <w:pPr>
              <w:spacing w:after="0" w:line="240" w:lineRule="auto"/>
              <w:rPr>
                <w:rFonts w:eastAsia="Times New Roman" w:cstheme="minorHAnsi"/>
                <w:sz w:val="20"/>
                <w:szCs w:val="20"/>
              </w:rPr>
            </w:pPr>
          </w:p>
        </w:tc>
      </w:tr>
      <w:tr w14:paraId="1CF526F4" w14:textId="77777777" w:rsidTr="00B70B00">
        <w:tblPrEx>
          <w:tblW w:w="11559" w:type="dxa"/>
          <w:tblInd w:w="113" w:type="dxa"/>
          <w:tblCellMar>
            <w:top w:w="15" w:type="dxa"/>
            <w:bottom w:w="15" w:type="dxa"/>
          </w:tblCellMar>
          <w:tblLook w:val="04A0"/>
        </w:tblPrEx>
        <w:trPr>
          <w:trHeight w:val="48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F6BEB57"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Compliance reports</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A306057"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CECCDA2"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399AC80"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97B6C83"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24" w:type="dxa"/>
            <w:vAlign w:val="center"/>
            <w:hideMark/>
          </w:tcPr>
          <w:p w:rsidR="00BC1FE2" w:rsidRPr="00BC1FE2" w:rsidP="00BC1FE2" w14:paraId="4EFEB867" w14:textId="77777777">
            <w:pPr>
              <w:spacing w:after="0" w:line="240" w:lineRule="auto"/>
              <w:rPr>
                <w:rFonts w:eastAsia="Times New Roman" w:cstheme="minorHAnsi"/>
                <w:sz w:val="20"/>
                <w:szCs w:val="20"/>
              </w:rPr>
            </w:pPr>
          </w:p>
        </w:tc>
      </w:tr>
      <w:tr w14:paraId="5AF69BF9" w14:textId="77777777" w:rsidTr="00B70B00">
        <w:tblPrEx>
          <w:tblW w:w="11559" w:type="dxa"/>
          <w:tblInd w:w="113" w:type="dxa"/>
          <w:tblCellMar>
            <w:top w:w="15" w:type="dxa"/>
            <w:bottom w:w="15" w:type="dxa"/>
          </w:tblCellMar>
          <w:tblLook w:val="04A0"/>
        </w:tblPrEx>
        <w:trPr>
          <w:trHeight w:val="192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3E428D3"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Records of startup, shutdown, and malfunction (SSM), emissions monitoring system, and initial performance test results</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2FED362"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500414C"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5D5F3A0"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21</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BF01400"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21</w:t>
            </w:r>
          </w:p>
        </w:tc>
        <w:tc>
          <w:tcPr>
            <w:tcW w:w="224" w:type="dxa"/>
            <w:vAlign w:val="center"/>
            <w:hideMark/>
          </w:tcPr>
          <w:p w:rsidR="00BC1FE2" w:rsidRPr="00BC1FE2" w:rsidP="00BC1FE2" w14:paraId="143BF36F" w14:textId="77777777">
            <w:pPr>
              <w:spacing w:after="0" w:line="240" w:lineRule="auto"/>
              <w:rPr>
                <w:rFonts w:eastAsia="Times New Roman" w:cstheme="minorHAnsi"/>
                <w:sz w:val="20"/>
                <w:szCs w:val="20"/>
              </w:rPr>
            </w:pPr>
          </w:p>
        </w:tc>
      </w:tr>
      <w:tr w14:paraId="6C61DF11" w14:textId="77777777" w:rsidTr="00B70B00">
        <w:tblPrEx>
          <w:tblW w:w="11559" w:type="dxa"/>
          <w:tblInd w:w="113" w:type="dxa"/>
          <w:tblCellMar>
            <w:top w:w="15" w:type="dxa"/>
            <w:bottom w:w="15" w:type="dxa"/>
          </w:tblCellMar>
          <w:tblLook w:val="04A0"/>
        </w:tblPrEx>
        <w:trPr>
          <w:trHeight w:val="72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1CA9791" w14:textId="77777777">
            <w:pPr>
              <w:spacing w:after="0" w:line="240" w:lineRule="auto"/>
              <w:rPr>
                <w:rFonts w:eastAsia="Times New Roman" w:cstheme="minorHAnsi"/>
                <w:color w:val="000000"/>
                <w:sz w:val="18"/>
                <w:szCs w:val="18"/>
              </w:rPr>
            </w:pPr>
            <w:r w:rsidRPr="00BC1FE2">
              <w:rPr>
                <w:rFonts w:eastAsia="Times New Roman" w:cstheme="minorHAnsi"/>
                <w:color w:val="000000"/>
                <w:sz w:val="18"/>
                <w:szCs w:val="18"/>
              </w:rPr>
              <w:t>Records of daily charging rates and hours of operation</w:t>
            </w: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4257609"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C2E015F"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BF78C01"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21</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2C2CAD2"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21</w:t>
            </w:r>
          </w:p>
        </w:tc>
        <w:tc>
          <w:tcPr>
            <w:tcW w:w="224" w:type="dxa"/>
            <w:vAlign w:val="center"/>
            <w:hideMark/>
          </w:tcPr>
          <w:p w:rsidR="00BC1FE2" w:rsidRPr="00BC1FE2" w:rsidP="00BC1FE2" w14:paraId="75EBA690" w14:textId="77777777">
            <w:pPr>
              <w:spacing w:after="0" w:line="240" w:lineRule="auto"/>
              <w:rPr>
                <w:rFonts w:eastAsia="Times New Roman" w:cstheme="minorHAnsi"/>
                <w:sz w:val="20"/>
                <w:szCs w:val="20"/>
              </w:rPr>
            </w:pPr>
          </w:p>
        </w:tc>
      </w:tr>
      <w:tr w14:paraId="1758ED49" w14:textId="77777777" w:rsidTr="00B70B00">
        <w:tblPrEx>
          <w:tblW w:w="11559" w:type="dxa"/>
          <w:tblInd w:w="113" w:type="dxa"/>
          <w:tblCellMar>
            <w:top w:w="15" w:type="dxa"/>
            <w:bottom w:w="15" w:type="dxa"/>
          </w:tblCellMar>
          <w:tblLook w:val="04A0"/>
        </w:tblPrEx>
        <w:trPr>
          <w:trHeight w:val="300"/>
        </w:trPr>
        <w:tc>
          <w:tcPr>
            <w:tcW w:w="2153"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1B779A7" w14:textId="77777777">
            <w:pPr>
              <w:spacing w:after="0" w:line="240" w:lineRule="auto"/>
              <w:jc w:val="center"/>
              <w:rPr>
                <w:rFonts w:eastAsia="Times New Roman" w:cstheme="minorHAnsi"/>
                <w:color w:val="000000"/>
                <w:sz w:val="18"/>
                <w:szCs w:val="18"/>
              </w:rPr>
            </w:pP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6C2B37D" w14:textId="77777777">
            <w:pPr>
              <w:spacing w:after="0" w:line="240" w:lineRule="auto"/>
              <w:rPr>
                <w:rFonts w:eastAsia="Times New Roman" w:cstheme="minorHAnsi"/>
                <w:sz w:val="20"/>
                <w:szCs w:val="20"/>
              </w:rPr>
            </w:pP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266CA89E" w14:textId="77777777">
            <w:pPr>
              <w:spacing w:after="0" w:line="240" w:lineRule="auto"/>
              <w:jc w:val="center"/>
              <w:rPr>
                <w:rFonts w:eastAsia="Times New Roman" w:cstheme="minorHAnsi"/>
                <w:sz w:val="20"/>
                <w:szCs w:val="20"/>
              </w:rPr>
            </w:pP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18D76AA"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Total</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B0E1341" w14:textId="77777777">
            <w:pPr>
              <w:spacing w:after="0" w:line="240" w:lineRule="auto"/>
              <w:jc w:val="center"/>
              <w:rPr>
                <w:rFonts w:eastAsia="Times New Roman" w:cstheme="minorHAnsi"/>
                <w:color w:val="000000"/>
                <w:sz w:val="18"/>
                <w:szCs w:val="18"/>
              </w:rPr>
            </w:pPr>
            <w:r w:rsidRPr="00BC1FE2">
              <w:rPr>
                <w:rFonts w:eastAsia="Times New Roman" w:cstheme="minorHAnsi"/>
                <w:color w:val="000000"/>
                <w:sz w:val="18"/>
                <w:szCs w:val="18"/>
              </w:rPr>
              <w:t>42</w:t>
            </w:r>
          </w:p>
        </w:tc>
        <w:tc>
          <w:tcPr>
            <w:tcW w:w="224" w:type="dxa"/>
            <w:vAlign w:val="center"/>
            <w:hideMark/>
          </w:tcPr>
          <w:p w:rsidR="00BC1FE2" w:rsidRPr="00BC1FE2" w:rsidP="00BC1FE2" w14:paraId="060560A2" w14:textId="77777777">
            <w:pPr>
              <w:spacing w:after="0" w:line="240" w:lineRule="auto"/>
              <w:rPr>
                <w:rFonts w:eastAsia="Times New Roman" w:cstheme="minorHAnsi"/>
                <w:sz w:val="20"/>
                <w:szCs w:val="20"/>
              </w:rPr>
            </w:pPr>
          </w:p>
        </w:tc>
      </w:tr>
      <w:tr w14:paraId="7C17E7D7" w14:textId="77777777" w:rsidTr="00B70B00">
        <w:tblPrEx>
          <w:tblW w:w="11559" w:type="dxa"/>
          <w:tblInd w:w="113" w:type="dxa"/>
          <w:tblCellMar>
            <w:top w:w="15" w:type="dxa"/>
            <w:bottom w:w="15" w:type="dxa"/>
          </w:tblCellMar>
          <w:tblLook w:val="04A0"/>
        </w:tblPrEx>
        <w:trPr>
          <w:trHeight w:val="300"/>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993D978" w14:textId="77777777">
            <w:pPr>
              <w:spacing w:after="0" w:line="240" w:lineRule="auto"/>
              <w:rPr>
                <w:rFonts w:eastAsia="Times New Roman" w:cstheme="minorHAnsi"/>
                <w:color w:val="000000"/>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480AA32A" w14:textId="77777777">
            <w:pPr>
              <w:spacing w:after="0" w:line="240" w:lineRule="auto"/>
              <w:rPr>
                <w:rFonts w:eastAsia="Times New Roman" w:cstheme="minorHAnsi"/>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B22628A" w14:textId="77777777">
            <w:pPr>
              <w:spacing w:after="0" w:line="240" w:lineRule="auto"/>
              <w:rPr>
                <w:rFonts w:eastAsia="Times New Roman" w:cstheme="minorHAnsi"/>
                <w:sz w:val="20"/>
                <w:szCs w:val="2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12B31A2" w14:textId="77777777">
            <w:pPr>
              <w:spacing w:after="0" w:line="240" w:lineRule="auto"/>
              <w:rPr>
                <w:rFonts w:eastAsia="Times New Roman" w:cstheme="minorHAnsi"/>
                <w:color w:val="000000"/>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011BE41B" w14:textId="77777777">
            <w:pPr>
              <w:spacing w:after="0" w:line="240" w:lineRule="auto"/>
              <w:rPr>
                <w:rFonts w:eastAsia="Times New Roman" w:cstheme="minorHAnsi"/>
                <w:color w:val="000000"/>
                <w:sz w:val="18"/>
                <w:szCs w:val="18"/>
              </w:rPr>
            </w:pPr>
          </w:p>
        </w:tc>
        <w:tc>
          <w:tcPr>
            <w:tcW w:w="224" w:type="dxa"/>
            <w:tcBorders>
              <w:top w:val="nil"/>
              <w:left w:val="nil"/>
              <w:bottom w:val="nil"/>
              <w:right w:val="nil"/>
            </w:tcBorders>
            <w:noWrap/>
            <w:vAlign w:val="bottom"/>
            <w:hideMark/>
          </w:tcPr>
          <w:p w:rsidR="00BC1FE2" w:rsidRPr="00BC1FE2" w:rsidP="00BC1FE2" w14:paraId="260A8187" w14:textId="77777777">
            <w:pPr>
              <w:spacing w:after="0" w:line="240" w:lineRule="auto"/>
              <w:jc w:val="center"/>
              <w:rPr>
                <w:rFonts w:eastAsia="Times New Roman" w:cstheme="minorHAnsi"/>
                <w:color w:val="000000"/>
                <w:sz w:val="18"/>
                <w:szCs w:val="18"/>
              </w:rPr>
            </w:pPr>
          </w:p>
        </w:tc>
      </w:tr>
      <w:tr w14:paraId="357B987D" w14:textId="77777777" w:rsidTr="00B70B00">
        <w:tblPrEx>
          <w:tblW w:w="11559" w:type="dxa"/>
          <w:tblInd w:w="113" w:type="dxa"/>
          <w:tblCellMar>
            <w:top w:w="15" w:type="dxa"/>
            <w:bottom w:w="15" w:type="dxa"/>
          </w:tblCellMar>
          <w:tblLook w:val="04A0"/>
        </w:tblPrEx>
        <w:trPr>
          <w:trHeight w:val="300"/>
        </w:trPr>
        <w:tc>
          <w:tcPr>
            <w:tcW w:w="2153"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3C26199B" w14:textId="77777777">
            <w:pPr>
              <w:spacing w:after="0" w:line="240" w:lineRule="auto"/>
              <w:rPr>
                <w:rFonts w:eastAsia="Times New Roman" w:cstheme="minorHAnsi"/>
                <w:sz w:val="20"/>
                <w:szCs w:val="20"/>
              </w:rPr>
            </w:pPr>
          </w:p>
        </w:tc>
        <w:tc>
          <w:tcPr>
            <w:tcW w:w="2072"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1CB12029" w14:textId="77777777">
            <w:pPr>
              <w:spacing w:after="0" w:line="240" w:lineRule="auto"/>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522B77FF" w14:textId="77777777">
            <w:pPr>
              <w:spacing w:after="0" w:line="240" w:lineRule="auto"/>
              <w:jc w:val="center"/>
              <w:rPr>
                <w:rFonts w:eastAsia="Times New Roman" w:cstheme="minorHAnsi"/>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68A746D4" w14:textId="77777777">
            <w:pPr>
              <w:spacing w:after="0" w:line="240" w:lineRule="auto"/>
              <w:jc w:val="center"/>
              <w:rPr>
                <w:rFonts w:eastAsia="Times New Roman" w:cstheme="minorHAnsi"/>
                <w:b/>
                <w:bCs/>
                <w:color w:val="000000"/>
                <w:sz w:val="18"/>
                <w:szCs w:val="18"/>
              </w:rPr>
            </w:pPr>
            <w:r w:rsidRPr="00BC1FE2">
              <w:rPr>
                <w:rFonts w:eastAsia="Times New Roman" w:cstheme="minorHAnsi"/>
                <w:b/>
                <w:bCs/>
                <w:color w:val="000000"/>
                <w:sz w:val="18"/>
                <w:szCs w:val="18"/>
              </w:rPr>
              <w:t>Grand Total</w:t>
            </w:r>
          </w:p>
        </w:tc>
        <w:tc>
          <w:tcPr>
            <w:tcW w:w="2070" w:type="dxa"/>
            <w:tcBorders>
              <w:top w:val="single" w:sz="4" w:space="0" w:color="auto"/>
              <w:left w:val="single" w:sz="4" w:space="0" w:color="auto"/>
              <w:bottom w:val="single" w:sz="4" w:space="0" w:color="auto"/>
              <w:right w:val="single" w:sz="4" w:space="0" w:color="auto"/>
            </w:tcBorders>
            <w:vAlign w:val="center"/>
            <w:hideMark/>
          </w:tcPr>
          <w:p w:rsidR="00BC1FE2" w:rsidRPr="00BC1FE2" w:rsidP="00BC1FE2" w14:paraId="74552102" w14:textId="77777777">
            <w:pPr>
              <w:spacing w:after="0" w:line="240" w:lineRule="auto"/>
              <w:jc w:val="center"/>
              <w:rPr>
                <w:rFonts w:eastAsia="Times New Roman" w:cstheme="minorHAnsi"/>
                <w:b/>
                <w:bCs/>
                <w:color w:val="000000"/>
                <w:sz w:val="18"/>
                <w:szCs w:val="18"/>
              </w:rPr>
            </w:pPr>
            <w:r w:rsidRPr="00BC1FE2">
              <w:rPr>
                <w:rFonts w:eastAsia="Times New Roman" w:cstheme="minorHAnsi"/>
                <w:b/>
                <w:bCs/>
                <w:color w:val="000000"/>
                <w:sz w:val="18"/>
                <w:szCs w:val="18"/>
              </w:rPr>
              <w:t>94</w:t>
            </w:r>
          </w:p>
        </w:tc>
        <w:tc>
          <w:tcPr>
            <w:tcW w:w="224" w:type="dxa"/>
            <w:vAlign w:val="center"/>
            <w:hideMark/>
          </w:tcPr>
          <w:p w:rsidR="00BC1FE2" w:rsidRPr="00BC1FE2" w:rsidP="00BC1FE2" w14:paraId="00E03C72" w14:textId="77777777">
            <w:pPr>
              <w:spacing w:after="0" w:line="240" w:lineRule="auto"/>
              <w:rPr>
                <w:rFonts w:eastAsia="Times New Roman" w:cstheme="minorHAnsi"/>
                <w:sz w:val="20"/>
                <w:szCs w:val="20"/>
              </w:rPr>
            </w:pPr>
          </w:p>
        </w:tc>
      </w:tr>
    </w:tbl>
    <w:p w:rsidR="009D7EC1" w:rsidP="00BB3410" w14:paraId="06620F14" w14:textId="77777777">
      <w:pPr>
        <w:pStyle w:val="ListParagraph"/>
        <w:spacing w:before="240"/>
        <w:ind w:left="0"/>
        <w:rPr>
          <w:rFonts w:cstheme="minorHAnsi"/>
          <w:b/>
          <w:bCs/>
          <w:sz w:val="24"/>
          <w:szCs w:val="24"/>
        </w:rPr>
      </w:pPr>
    </w:p>
    <w:p w:rsidR="0000554E" w14:paraId="3150E858" w14:textId="77777777">
      <w:pPr>
        <w:rPr>
          <w:rFonts w:cstheme="minorHAnsi"/>
          <w:b/>
          <w:bCs/>
          <w:sz w:val="24"/>
          <w:szCs w:val="24"/>
        </w:rPr>
      </w:pPr>
      <w:r>
        <w:rPr>
          <w:rFonts w:cstheme="minorHAnsi"/>
          <w:b/>
          <w:bCs/>
          <w:sz w:val="24"/>
          <w:szCs w:val="24"/>
        </w:rPr>
        <w:br w:type="page"/>
      </w:r>
    </w:p>
    <w:p w:rsidR="009D7EC1" w:rsidP="00BB3410" w14:paraId="26AF562F" w14:textId="5478974B">
      <w:pPr>
        <w:pStyle w:val="ListParagraph"/>
        <w:spacing w:before="240"/>
        <w:ind w:left="0"/>
        <w:rPr>
          <w:rFonts w:cstheme="minorHAnsi"/>
          <w:b/>
          <w:bCs/>
          <w:sz w:val="24"/>
          <w:szCs w:val="24"/>
        </w:rPr>
      </w:pPr>
      <w:r w:rsidRPr="009D7EC1">
        <w:rPr>
          <w:rFonts w:cstheme="minorHAnsi"/>
          <w:b/>
          <w:bCs/>
          <w:sz w:val="24"/>
          <w:szCs w:val="24"/>
        </w:rPr>
        <w:t>Capital/Startup vs. Operation and Maintenance (O&amp;M) Costs</w:t>
      </w:r>
    </w:p>
    <w:tbl>
      <w:tblPr>
        <w:tblW w:w="12737" w:type="dxa"/>
        <w:tblInd w:w="113" w:type="dxa"/>
        <w:tblCellMar>
          <w:top w:w="15" w:type="dxa"/>
          <w:bottom w:w="15" w:type="dxa"/>
        </w:tblCellMar>
        <w:tblLook w:val="04A0"/>
      </w:tblPr>
      <w:tblGrid>
        <w:gridCol w:w="3055"/>
        <w:gridCol w:w="1710"/>
        <w:gridCol w:w="1620"/>
        <w:gridCol w:w="1620"/>
        <w:gridCol w:w="1620"/>
        <w:gridCol w:w="1530"/>
        <w:gridCol w:w="1530"/>
        <w:gridCol w:w="52"/>
      </w:tblGrid>
      <w:tr w14:paraId="71A50442" w14:textId="77777777" w:rsidTr="00F44F1A">
        <w:tblPrEx>
          <w:tblW w:w="12737" w:type="dxa"/>
          <w:tblInd w:w="113" w:type="dxa"/>
          <w:tblCellMar>
            <w:top w:w="15" w:type="dxa"/>
            <w:bottom w:w="15" w:type="dxa"/>
          </w:tblCellMar>
          <w:tblLook w:val="04A0"/>
        </w:tblPrEx>
        <w:trPr>
          <w:gridAfter w:val="1"/>
          <w:wAfter w:w="52" w:type="dxa"/>
          <w:trHeight w:val="300"/>
        </w:trPr>
        <w:tc>
          <w:tcPr>
            <w:tcW w:w="3055"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572927AD"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(A)</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60E40218"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(B)</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2631424A"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(C)</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4AC8D61E"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(D)</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15CB1072"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(E)</w:t>
            </w:r>
          </w:p>
        </w:tc>
        <w:tc>
          <w:tcPr>
            <w:tcW w:w="153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2A42AD32"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(F)</w:t>
            </w:r>
          </w:p>
        </w:tc>
        <w:tc>
          <w:tcPr>
            <w:tcW w:w="153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5AFB3174"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(G)</w:t>
            </w:r>
          </w:p>
        </w:tc>
      </w:tr>
      <w:tr w14:paraId="26E4652C" w14:textId="77777777" w:rsidTr="00F44F1A">
        <w:tblPrEx>
          <w:tblW w:w="12737" w:type="dxa"/>
          <w:tblInd w:w="113" w:type="dxa"/>
          <w:tblCellMar>
            <w:top w:w="15" w:type="dxa"/>
            <w:bottom w:w="15" w:type="dxa"/>
          </w:tblCellMar>
          <w:tblLook w:val="04A0"/>
        </w:tblPrEx>
        <w:trPr>
          <w:gridAfter w:val="1"/>
          <w:wAfter w:w="52" w:type="dxa"/>
          <w:trHeight w:val="825"/>
        </w:trPr>
        <w:tc>
          <w:tcPr>
            <w:tcW w:w="3055"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62A13F00"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Continuous Monitoring Device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5EFAD9E9"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Capital/Startup Cost for One Respondent </w:t>
            </w:r>
            <w:r w:rsidRPr="00F44F1A">
              <w:rPr>
                <w:rFonts w:eastAsia="Times New Roman" w:cstheme="minorHAnsi"/>
                <w:color w:val="000000"/>
                <w:sz w:val="20"/>
                <w:szCs w:val="20"/>
                <w:vertAlign w:val="superscript"/>
              </w:rPr>
              <w:t>a</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5886A399"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Number of New Respondents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403F0A43"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Total Capital/Startup Cost, (B X C)</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4D797279"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Annual O&amp;M Costs for One Respondent </w:t>
            </w:r>
            <w:r w:rsidRPr="00F44F1A">
              <w:rPr>
                <w:rFonts w:eastAsia="Times New Roman" w:cstheme="minorHAnsi"/>
                <w:color w:val="000000"/>
                <w:sz w:val="20"/>
                <w:szCs w:val="20"/>
                <w:vertAlign w:val="superscript"/>
              </w:rPr>
              <w:t>b</w:t>
            </w:r>
          </w:p>
        </w:tc>
        <w:tc>
          <w:tcPr>
            <w:tcW w:w="153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47296665"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Number of Respondents with O&amp;M</w:t>
            </w:r>
          </w:p>
        </w:tc>
        <w:tc>
          <w:tcPr>
            <w:tcW w:w="153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1A4A13C0"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Total O&amp;M, </w:t>
            </w:r>
            <w:r w:rsidRPr="00F44F1A">
              <w:rPr>
                <w:rFonts w:eastAsia="Times New Roman" w:cstheme="minorHAnsi"/>
                <w:color w:val="000000"/>
                <w:sz w:val="20"/>
                <w:szCs w:val="20"/>
              </w:rPr>
              <w:br/>
              <w:t xml:space="preserve">(E X F) </w:t>
            </w:r>
            <w:r w:rsidRPr="00F44F1A">
              <w:rPr>
                <w:rFonts w:eastAsia="Times New Roman" w:cstheme="minorHAnsi"/>
                <w:color w:val="000000"/>
                <w:sz w:val="20"/>
                <w:szCs w:val="20"/>
                <w:vertAlign w:val="superscript"/>
              </w:rPr>
              <w:t>c</w:t>
            </w:r>
          </w:p>
        </w:tc>
      </w:tr>
      <w:tr w14:paraId="56F977B5" w14:textId="77777777" w:rsidTr="00F44F1A">
        <w:tblPrEx>
          <w:tblW w:w="12737" w:type="dxa"/>
          <w:tblInd w:w="113" w:type="dxa"/>
          <w:tblCellMar>
            <w:top w:w="15" w:type="dxa"/>
            <w:bottom w:w="15" w:type="dxa"/>
          </w:tblCellMar>
          <w:tblLook w:val="04A0"/>
        </w:tblPrEx>
        <w:trPr>
          <w:gridAfter w:val="1"/>
          <w:wAfter w:w="52" w:type="dxa"/>
          <w:trHeight w:val="300"/>
        </w:trPr>
        <w:tc>
          <w:tcPr>
            <w:tcW w:w="3055"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230A1A35"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Particulate matter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559C3932"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$7,577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654B1A1D"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0</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0D35BA68"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$0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613CE286"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$3,972 </w:t>
            </w:r>
          </w:p>
        </w:tc>
        <w:tc>
          <w:tcPr>
            <w:tcW w:w="153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77CB181A"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47</w:t>
            </w:r>
          </w:p>
        </w:tc>
        <w:tc>
          <w:tcPr>
            <w:tcW w:w="1530" w:type="dxa"/>
            <w:tcBorders>
              <w:top w:val="single" w:sz="4" w:space="0" w:color="auto"/>
              <w:left w:val="single" w:sz="4" w:space="0" w:color="auto"/>
              <w:bottom w:val="single" w:sz="4" w:space="0" w:color="auto"/>
              <w:right w:val="single" w:sz="4" w:space="0" w:color="auto"/>
            </w:tcBorders>
            <w:vAlign w:val="center"/>
            <w:hideMark/>
          </w:tcPr>
          <w:p w:rsidR="00F44F1A" w:rsidRPr="00F44F1A" w:rsidP="00F44F1A" w14:paraId="45688D17" w14:textId="77777777">
            <w:pPr>
              <w:spacing w:after="0" w:line="240" w:lineRule="auto"/>
              <w:jc w:val="center"/>
              <w:rPr>
                <w:rFonts w:eastAsia="Times New Roman" w:cstheme="minorHAnsi"/>
                <w:color w:val="000000"/>
                <w:sz w:val="20"/>
                <w:szCs w:val="20"/>
              </w:rPr>
            </w:pPr>
            <w:r w:rsidRPr="00F44F1A">
              <w:rPr>
                <w:rFonts w:eastAsia="Times New Roman" w:cstheme="minorHAnsi"/>
                <w:color w:val="000000"/>
                <w:sz w:val="20"/>
                <w:szCs w:val="20"/>
              </w:rPr>
              <w:t xml:space="preserve">$186,704 </w:t>
            </w:r>
          </w:p>
        </w:tc>
      </w:tr>
      <w:tr w14:paraId="646D0521" w14:textId="77777777" w:rsidTr="00F44F1A">
        <w:tblPrEx>
          <w:tblW w:w="12737" w:type="dxa"/>
          <w:tblInd w:w="113" w:type="dxa"/>
          <w:tblCellMar>
            <w:top w:w="15" w:type="dxa"/>
            <w:bottom w:w="15" w:type="dxa"/>
          </w:tblCellMar>
          <w:tblLook w:val="04A0"/>
        </w:tblPrEx>
        <w:trPr>
          <w:gridAfter w:val="1"/>
          <w:wAfter w:w="52" w:type="dxa"/>
          <w:trHeight w:val="255"/>
        </w:trPr>
        <w:tc>
          <w:tcPr>
            <w:tcW w:w="3055" w:type="dxa"/>
            <w:tcBorders>
              <w:top w:val="nil"/>
              <w:left w:val="nil"/>
              <w:bottom w:val="nil"/>
              <w:right w:val="nil"/>
            </w:tcBorders>
            <w:noWrap/>
            <w:vAlign w:val="bottom"/>
            <w:hideMark/>
          </w:tcPr>
          <w:p w:rsidR="00F44F1A" w:rsidRPr="00F44F1A" w:rsidP="00F44F1A" w14:paraId="3B72381D" w14:textId="77777777">
            <w:pPr>
              <w:spacing w:after="0" w:line="240" w:lineRule="auto"/>
              <w:jc w:val="center"/>
              <w:rPr>
                <w:rFonts w:eastAsia="Times New Roman" w:cstheme="minorHAnsi"/>
                <w:color w:val="000000"/>
                <w:sz w:val="20"/>
                <w:szCs w:val="20"/>
              </w:rPr>
            </w:pPr>
          </w:p>
        </w:tc>
        <w:tc>
          <w:tcPr>
            <w:tcW w:w="1710" w:type="dxa"/>
            <w:tcBorders>
              <w:top w:val="nil"/>
              <w:left w:val="nil"/>
              <w:bottom w:val="nil"/>
              <w:right w:val="nil"/>
            </w:tcBorders>
            <w:noWrap/>
            <w:vAlign w:val="bottom"/>
            <w:hideMark/>
          </w:tcPr>
          <w:p w:rsidR="00F44F1A" w:rsidRPr="00F44F1A" w:rsidP="00F44F1A" w14:paraId="27DF96D0" w14:textId="77777777">
            <w:pPr>
              <w:spacing w:after="0" w:line="240" w:lineRule="auto"/>
              <w:rPr>
                <w:rFonts w:eastAsia="Times New Roman" w:cstheme="minorHAnsi"/>
                <w:sz w:val="20"/>
                <w:szCs w:val="20"/>
              </w:rPr>
            </w:pPr>
          </w:p>
        </w:tc>
        <w:tc>
          <w:tcPr>
            <w:tcW w:w="1620" w:type="dxa"/>
            <w:tcBorders>
              <w:top w:val="nil"/>
              <w:left w:val="nil"/>
              <w:bottom w:val="nil"/>
              <w:right w:val="nil"/>
            </w:tcBorders>
            <w:noWrap/>
            <w:vAlign w:val="bottom"/>
            <w:hideMark/>
          </w:tcPr>
          <w:p w:rsidR="00F44F1A" w:rsidRPr="00F44F1A" w:rsidP="00F44F1A" w14:paraId="47A98114" w14:textId="77777777">
            <w:pPr>
              <w:spacing w:after="0" w:line="240" w:lineRule="auto"/>
              <w:rPr>
                <w:rFonts w:eastAsia="Times New Roman" w:cstheme="minorHAnsi"/>
                <w:sz w:val="20"/>
                <w:szCs w:val="20"/>
              </w:rPr>
            </w:pPr>
          </w:p>
        </w:tc>
        <w:tc>
          <w:tcPr>
            <w:tcW w:w="1620" w:type="dxa"/>
            <w:tcBorders>
              <w:top w:val="nil"/>
              <w:left w:val="nil"/>
              <w:bottom w:val="nil"/>
              <w:right w:val="nil"/>
            </w:tcBorders>
            <w:noWrap/>
            <w:vAlign w:val="bottom"/>
            <w:hideMark/>
          </w:tcPr>
          <w:p w:rsidR="00F44F1A" w:rsidRPr="00F44F1A" w:rsidP="00F44F1A" w14:paraId="4CC9BC19" w14:textId="77777777">
            <w:pPr>
              <w:spacing w:after="0" w:line="240" w:lineRule="auto"/>
              <w:rPr>
                <w:rFonts w:eastAsia="Times New Roman" w:cstheme="minorHAnsi"/>
                <w:sz w:val="20"/>
                <w:szCs w:val="20"/>
              </w:rPr>
            </w:pPr>
          </w:p>
        </w:tc>
        <w:tc>
          <w:tcPr>
            <w:tcW w:w="1620" w:type="dxa"/>
            <w:tcBorders>
              <w:top w:val="nil"/>
              <w:left w:val="nil"/>
              <w:bottom w:val="nil"/>
              <w:right w:val="nil"/>
            </w:tcBorders>
            <w:noWrap/>
            <w:vAlign w:val="bottom"/>
            <w:hideMark/>
          </w:tcPr>
          <w:p w:rsidR="00F44F1A" w:rsidRPr="00F44F1A" w:rsidP="00F44F1A" w14:paraId="7241F122" w14:textId="77777777">
            <w:pPr>
              <w:spacing w:after="0" w:line="240" w:lineRule="auto"/>
              <w:rPr>
                <w:rFonts w:eastAsia="Times New Roman" w:cstheme="minorHAnsi"/>
                <w:sz w:val="20"/>
                <w:szCs w:val="20"/>
              </w:rPr>
            </w:pPr>
          </w:p>
        </w:tc>
        <w:tc>
          <w:tcPr>
            <w:tcW w:w="1530" w:type="dxa"/>
            <w:tcBorders>
              <w:top w:val="nil"/>
              <w:left w:val="nil"/>
              <w:bottom w:val="nil"/>
              <w:right w:val="nil"/>
            </w:tcBorders>
            <w:noWrap/>
            <w:vAlign w:val="bottom"/>
            <w:hideMark/>
          </w:tcPr>
          <w:p w:rsidR="00F44F1A" w:rsidRPr="00F44F1A" w:rsidP="00F44F1A" w14:paraId="66CC8E53" w14:textId="77777777">
            <w:pPr>
              <w:spacing w:after="0" w:line="240" w:lineRule="auto"/>
              <w:rPr>
                <w:rFonts w:eastAsia="Times New Roman" w:cstheme="minorHAnsi"/>
                <w:sz w:val="20"/>
                <w:szCs w:val="20"/>
              </w:rPr>
            </w:pPr>
          </w:p>
        </w:tc>
        <w:tc>
          <w:tcPr>
            <w:tcW w:w="1530" w:type="dxa"/>
            <w:tcBorders>
              <w:top w:val="nil"/>
              <w:left w:val="nil"/>
              <w:bottom w:val="nil"/>
              <w:right w:val="nil"/>
            </w:tcBorders>
            <w:noWrap/>
            <w:vAlign w:val="bottom"/>
            <w:hideMark/>
          </w:tcPr>
          <w:p w:rsidR="00F44F1A" w:rsidRPr="00F44F1A" w:rsidP="00F44F1A" w14:paraId="507CF26C" w14:textId="77777777">
            <w:pPr>
              <w:spacing w:after="0" w:line="240" w:lineRule="auto"/>
              <w:rPr>
                <w:rFonts w:eastAsia="Times New Roman" w:cstheme="minorHAnsi"/>
                <w:sz w:val="20"/>
                <w:szCs w:val="20"/>
              </w:rPr>
            </w:pPr>
          </w:p>
        </w:tc>
      </w:tr>
      <w:tr w14:paraId="294B1D71" w14:textId="77777777" w:rsidTr="00F44F1A">
        <w:tblPrEx>
          <w:tblW w:w="12737" w:type="dxa"/>
          <w:tblInd w:w="113" w:type="dxa"/>
          <w:tblCellMar>
            <w:top w:w="15" w:type="dxa"/>
            <w:bottom w:w="15" w:type="dxa"/>
          </w:tblCellMar>
          <w:tblLook w:val="04A0"/>
        </w:tblPrEx>
        <w:trPr>
          <w:trHeight w:val="615"/>
        </w:trPr>
        <w:tc>
          <w:tcPr>
            <w:tcW w:w="12737" w:type="dxa"/>
            <w:gridSpan w:val="8"/>
            <w:tcBorders>
              <w:top w:val="nil"/>
              <w:left w:val="nil"/>
              <w:bottom w:val="nil"/>
              <w:right w:val="nil"/>
            </w:tcBorders>
            <w:hideMark/>
          </w:tcPr>
          <w:p w:rsidR="00F44F1A" w:rsidRPr="00F44F1A" w:rsidP="00F44F1A" w14:paraId="456AB268" w14:textId="77777777">
            <w:pPr>
              <w:spacing w:after="0" w:line="240" w:lineRule="auto"/>
              <w:rPr>
                <w:rFonts w:eastAsia="Times New Roman" w:cstheme="minorHAnsi"/>
                <w:color w:val="000000"/>
                <w:sz w:val="20"/>
                <w:szCs w:val="20"/>
              </w:rPr>
            </w:pPr>
            <w:r w:rsidRPr="00F44F1A">
              <w:rPr>
                <w:rFonts w:eastAsia="Times New Roman" w:cstheme="minorHAnsi"/>
                <w:color w:val="000000"/>
                <w:sz w:val="20"/>
                <w:szCs w:val="20"/>
                <w:vertAlign w:val="superscript"/>
              </w:rPr>
              <w:t>a</w:t>
            </w:r>
            <w:r w:rsidRPr="00F44F1A">
              <w:rPr>
                <w:rFonts w:eastAsia="Times New Roman" w:cstheme="minorHAnsi"/>
                <w:color w:val="000000"/>
                <w:sz w:val="20"/>
                <w:szCs w:val="20"/>
              </w:rPr>
              <w:t xml:space="preserve"> Assume</w:t>
            </w:r>
            <w:r w:rsidRPr="00F44F1A">
              <w:rPr>
                <w:rFonts w:eastAsia="Times New Roman" w:cstheme="minorHAnsi"/>
                <w:color w:val="000000"/>
                <w:sz w:val="20"/>
                <w:szCs w:val="20"/>
              </w:rPr>
              <w:t xml:space="preserve"> that annual </w:t>
            </w:r>
            <w:r w:rsidRPr="00F44F1A">
              <w:rPr>
                <w:rFonts w:eastAsia="Times New Roman" w:cstheme="minorHAnsi"/>
                <w:color w:val="000000"/>
                <w:sz w:val="20"/>
                <w:szCs w:val="20"/>
              </w:rPr>
              <w:t>captial</w:t>
            </w:r>
            <w:r w:rsidRPr="00F44F1A">
              <w:rPr>
                <w:rFonts w:eastAsia="Times New Roman" w:cstheme="minorHAnsi"/>
                <w:color w:val="000000"/>
                <w:sz w:val="20"/>
                <w:szCs w:val="20"/>
              </w:rPr>
              <w:t xml:space="preserve">/startup costs for the PM CMS are $7,577 (Docket Document Number EPA-HQ-OECA-2006-0709, page 10). Costs </w:t>
            </w:r>
            <w:r w:rsidRPr="00F44F1A">
              <w:rPr>
                <w:rFonts w:eastAsia="Times New Roman" w:cstheme="minorHAnsi"/>
                <w:color w:val="000000"/>
                <w:sz w:val="20"/>
                <w:szCs w:val="20"/>
              </w:rPr>
              <w:t>have been increased</w:t>
            </w:r>
            <w:r w:rsidRPr="00F44F1A">
              <w:rPr>
                <w:rFonts w:eastAsia="Times New Roman" w:cstheme="minorHAnsi"/>
                <w:color w:val="000000"/>
                <w:sz w:val="20"/>
                <w:szCs w:val="20"/>
              </w:rPr>
              <w:t xml:space="preserve"> from 2007 to 2024 $ using the CEPCI Equipment Cost Index. </w:t>
            </w:r>
          </w:p>
        </w:tc>
      </w:tr>
      <w:tr w14:paraId="645E2623" w14:textId="77777777" w:rsidTr="00F44F1A">
        <w:tblPrEx>
          <w:tblW w:w="12737" w:type="dxa"/>
          <w:tblInd w:w="113" w:type="dxa"/>
          <w:tblCellMar>
            <w:top w:w="15" w:type="dxa"/>
            <w:bottom w:w="15" w:type="dxa"/>
          </w:tblCellMar>
          <w:tblLook w:val="04A0"/>
        </w:tblPrEx>
        <w:trPr>
          <w:trHeight w:val="645"/>
        </w:trPr>
        <w:tc>
          <w:tcPr>
            <w:tcW w:w="12737" w:type="dxa"/>
            <w:gridSpan w:val="8"/>
            <w:tcBorders>
              <w:top w:val="nil"/>
              <w:left w:val="nil"/>
              <w:bottom w:val="nil"/>
              <w:right w:val="nil"/>
            </w:tcBorders>
            <w:hideMark/>
          </w:tcPr>
          <w:p w:rsidR="00F44F1A" w:rsidRPr="00F44F1A" w:rsidP="00F44F1A" w14:paraId="41B553D7" w14:textId="77777777">
            <w:pPr>
              <w:spacing w:after="0" w:line="240" w:lineRule="auto"/>
              <w:rPr>
                <w:rFonts w:eastAsia="Times New Roman" w:cstheme="minorHAnsi"/>
                <w:color w:val="000000"/>
                <w:sz w:val="20"/>
                <w:szCs w:val="20"/>
              </w:rPr>
            </w:pPr>
            <w:r w:rsidRPr="00F44F1A">
              <w:rPr>
                <w:rFonts w:eastAsia="Times New Roman" w:cstheme="minorHAnsi"/>
                <w:color w:val="000000"/>
                <w:sz w:val="20"/>
                <w:szCs w:val="20"/>
                <w:vertAlign w:val="superscript"/>
              </w:rPr>
              <w:t>b</w:t>
            </w:r>
            <w:r w:rsidRPr="00F44F1A">
              <w:rPr>
                <w:rFonts w:eastAsia="Times New Roman" w:cstheme="minorHAnsi"/>
                <w:color w:val="000000"/>
                <w:sz w:val="20"/>
                <w:szCs w:val="20"/>
              </w:rPr>
              <w:t xml:space="preserve"> Assume that annual O&amp;M costs for the PM CMS are $3,972 (Docket Document Number EPA-HQ-OECA-2006-0709, page 10). Costs have been increased from 2018 to 2024 $ using the CEPCI Equipment Cost Index. </w:t>
            </w:r>
          </w:p>
        </w:tc>
      </w:tr>
      <w:tr w14:paraId="4465755D" w14:textId="77777777" w:rsidTr="00F70FB0">
        <w:tblPrEx>
          <w:tblW w:w="12737" w:type="dxa"/>
          <w:tblInd w:w="113" w:type="dxa"/>
          <w:tblCellMar>
            <w:top w:w="15" w:type="dxa"/>
            <w:bottom w:w="15" w:type="dxa"/>
          </w:tblCellMar>
          <w:tblLook w:val="04A0"/>
        </w:tblPrEx>
        <w:trPr>
          <w:gridAfter w:val="1"/>
          <w:wAfter w:w="52" w:type="dxa"/>
          <w:trHeight w:val="315"/>
        </w:trPr>
        <w:tc>
          <w:tcPr>
            <w:tcW w:w="8005" w:type="dxa"/>
            <w:gridSpan w:val="4"/>
            <w:tcBorders>
              <w:top w:val="nil"/>
              <w:left w:val="nil"/>
              <w:bottom w:val="nil"/>
              <w:right w:val="nil"/>
            </w:tcBorders>
            <w:noWrap/>
            <w:vAlign w:val="center"/>
            <w:hideMark/>
          </w:tcPr>
          <w:p w:rsidR="00F44F1A" w:rsidRPr="00F44F1A" w:rsidP="00F44F1A" w14:paraId="41B700A7" w14:textId="65D8DEC2">
            <w:pPr>
              <w:spacing w:after="0" w:line="240" w:lineRule="auto"/>
              <w:rPr>
                <w:rFonts w:eastAsia="Times New Roman" w:cstheme="minorHAnsi"/>
                <w:sz w:val="20"/>
                <w:szCs w:val="20"/>
              </w:rPr>
            </w:pPr>
            <w:r w:rsidRPr="00F44F1A">
              <w:rPr>
                <w:rFonts w:eastAsia="Times New Roman" w:cstheme="minorHAnsi"/>
                <w:color w:val="000000"/>
                <w:sz w:val="20"/>
                <w:szCs w:val="20"/>
                <w:vertAlign w:val="superscript"/>
              </w:rPr>
              <w:t>c</w:t>
            </w:r>
            <w:r w:rsidRPr="00F44F1A">
              <w:rPr>
                <w:rFonts w:eastAsia="Times New Roman" w:cstheme="minorHAnsi"/>
                <w:color w:val="000000"/>
                <w:sz w:val="20"/>
                <w:szCs w:val="20"/>
              </w:rPr>
              <w:t xml:space="preserve"> Totals have been rounded to 3 significant figures. Figures may not </w:t>
            </w:r>
            <w:r w:rsidRPr="00F44F1A">
              <w:rPr>
                <w:rFonts w:eastAsia="Times New Roman" w:cstheme="minorHAnsi"/>
                <w:color w:val="000000"/>
                <w:sz w:val="20"/>
                <w:szCs w:val="20"/>
              </w:rPr>
              <w:t>add</w:t>
            </w:r>
            <w:r w:rsidRPr="00F44F1A">
              <w:rPr>
                <w:rFonts w:eastAsia="Times New Roman" w:cstheme="minorHAnsi"/>
                <w:color w:val="000000"/>
                <w:sz w:val="20"/>
                <w:szCs w:val="20"/>
              </w:rPr>
              <w:t xml:space="preserve"> exactly due to rounding.</w:t>
            </w:r>
          </w:p>
        </w:tc>
        <w:tc>
          <w:tcPr>
            <w:tcW w:w="1620" w:type="dxa"/>
            <w:tcBorders>
              <w:top w:val="nil"/>
              <w:left w:val="nil"/>
              <w:bottom w:val="nil"/>
              <w:right w:val="nil"/>
            </w:tcBorders>
            <w:noWrap/>
            <w:vAlign w:val="bottom"/>
            <w:hideMark/>
          </w:tcPr>
          <w:p w:rsidR="00F44F1A" w:rsidRPr="00F44F1A" w:rsidP="00F44F1A" w14:paraId="24A0CB87" w14:textId="77777777">
            <w:pPr>
              <w:spacing w:after="0" w:line="240" w:lineRule="auto"/>
              <w:rPr>
                <w:rFonts w:eastAsia="Times New Roman" w:cstheme="minorHAnsi"/>
                <w:sz w:val="20"/>
                <w:szCs w:val="20"/>
              </w:rPr>
            </w:pPr>
          </w:p>
        </w:tc>
        <w:tc>
          <w:tcPr>
            <w:tcW w:w="1530" w:type="dxa"/>
            <w:tcBorders>
              <w:top w:val="nil"/>
              <w:left w:val="nil"/>
              <w:bottom w:val="nil"/>
              <w:right w:val="nil"/>
            </w:tcBorders>
            <w:noWrap/>
            <w:vAlign w:val="bottom"/>
            <w:hideMark/>
          </w:tcPr>
          <w:p w:rsidR="00F44F1A" w:rsidRPr="00F44F1A" w:rsidP="00F44F1A" w14:paraId="47ACD11C" w14:textId="77777777">
            <w:pPr>
              <w:spacing w:after="0" w:line="240" w:lineRule="auto"/>
              <w:rPr>
                <w:rFonts w:eastAsia="Times New Roman" w:cstheme="minorHAnsi"/>
                <w:sz w:val="20"/>
                <w:szCs w:val="20"/>
              </w:rPr>
            </w:pPr>
          </w:p>
        </w:tc>
        <w:tc>
          <w:tcPr>
            <w:tcW w:w="1530" w:type="dxa"/>
            <w:tcBorders>
              <w:top w:val="nil"/>
              <w:left w:val="nil"/>
              <w:bottom w:val="nil"/>
              <w:right w:val="nil"/>
            </w:tcBorders>
            <w:noWrap/>
            <w:vAlign w:val="bottom"/>
            <w:hideMark/>
          </w:tcPr>
          <w:p w:rsidR="00F44F1A" w:rsidRPr="00F44F1A" w:rsidP="00F44F1A" w14:paraId="4BDEFB8F" w14:textId="77777777">
            <w:pPr>
              <w:spacing w:after="0" w:line="240" w:lineRule="auto"/>
              <w:rPr>
                <w:rFonts w:eastAsia="Times New Roman" w:cstheme="minorHAnsi"/>
                <w:sz w:val="20"/>
                <w:szCs w:val="20"/>
              </w:rPr>
            </w:pPr>
          </w:p>
        </w:tc>
      </w:tr>
    </w:tbl>
    <w:p w:rsidR="009D7EC1" w:rsidRPr="00BB3410" w:rsidP="00BB3410" w14:paraId="11A6B933"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554E"/>
    <w:rsid w:val="00005E67"/>
    <w:rsid w:val="000061C8"/>
    <w:rsid w:val="000069AF"/>
    <w:rsid w:val="000069C3"/>
    <w:rsid w:val="00006C95"/>
    <w:rsid w:val="00007FB5"/>
    <w:rsid w:val="00010EEE"/>
    <w:rsid w:val="00010F27"/>
    <w:rsid w:val="000129E1"/>
    <w:rsid w:val="0001343F"/>
    <w:rsid w:val="00013852"/>
    <w:rsid w:val="00013CE8"/>
    <w:rsid w:val="00014B10"/>
    <w:rsid w:val="000150FF"/>
    <w:rsid w:val="00015FF6"/>
    <w:rsid w:val="0001637F"/>
    <w:rsid w:val="00017B90"/>
    <w:rsid w:val="00020791"/>
    <w:rsid w:val="00023EFE"/>
    <w:rsid w:val="000267E1"/>
    <w:rsid w:val="00030670"/>
    <w:rsid w:val="0003166C"/>
    <w:rsid w:val="00031832"/>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0564"/>
    <w:rsid w:val="000728E0"/>
    <w:rsid w:val="00073C3D"/>
    <w:rsid w:val="00074917"/>
    <w:rsid w:val="00074E51"/>
    <w:rsid w:val="00075C7A"/>
    <w:rsid w:val="000762A8"/>
    <w:rsid w:val="00076439"/>
    <w:rsid w:val="00076F0F"/>
    <w:rsid w:val="00077D8A"/>
    <w:rsid w:val="000815C8"/>
    <w:rsid w:val="00082A72"/>
    <w:rsid w:val="00083D4A"/>
    <w:rsid w:val="00084BF3"/>
    <w:rsid w:val="00085BA1"/>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37B"/>
    <w:rsid w:val="000A4527"/>
    <w:rsid w:val="000B3576"/>
    <w:rsid w:val="000B461B"/>
    <w:rsid w:val="000B61F2"/>
    <w:rsid w:val="000B7BBA"/>
    <w:rsid w:val="000C04C0"/>
    <w:rsid w:val="000C21A3"/>
    <w:rsid w:val="000C41A7"/>
    <w:rsid w:val="000C43C8"/>
    <w:rsid w:val="000C608D"/>
    <w:rsid w:val="000D1A0C"/>
    <w:rsid w:val="000D224E"/>
    <w:rsid w:val="000D251E"/>
    <w:rsid w:val="000D2D5D"/>
    <w:rsid w:val="000D3C22"/>
    <w:rsid w:val="000D45B2"/>
    <w:rsid w:val="000D46EF"/>
    <w:rsid w:val="000D516A"/>
    <w:rsid w:val="000D5863"/>
    <w:rsid w:val="000D6FA4"/>
    <w:rsid w:val="000D74E9"/>
    <w:rsid w:val="000E1158"/>
    <w:rsid w:val="000E184B"/>
    <w:rsid w:val="000E19CB"/>
    <w:rsid w:val="000E1FE8"/>
    <w:rsid w:val="000E3298"/>
    <w:rsid w:val="000E348B"/>
    <w:rsid w:val="000E5609"/>
    <w:rsid w:val="000E7307"/>
    <w:rsid w:val="000E7DC1"/>
    <w:rsid w:val="000F0186"/>
    <w:rsid w:val="000F076E"/>
    <w:rsid w:val="000F29EE"/>
    <w:rsid w:val="000F338A"/>
    <w:rsid w:val="000F3AC3"/>
    <w:rsid w:val="000F4DBB"/>
    <w:rsid w:val="000F6D04"/>
    <w:rsid w:val="00100432"/>
    <w:rsid w:val="00100499"/>
    <w:rsid w:val="00100BF7"/>
    <w:rsid w:val="00100FA6"/>
    <w:rsid w:val="00101304"/>
    <w:rsid w:val="00101362"/>
    <w:rsid w:val="0010158E"/>
    <w:rsid w:val="0010258D"/>
    <w:rsid w:val="00102EE5"/>
    <w:rsid w:val="00103DD8"/>
    <w:rsid w:val="00105F52"/>
    <w:rsid w:val="00106C2C"/>
    <w:rsid w:val="00107505"/>
    <w:rsid w:val="0010DB22"/>
    <w:rsid w:val="00111663"/>
    <w:rsid w:val="00112360"/>
    <w:rsid w:val="00112675"/>
    <w:rsid w:val="001141DA"/>
    <w:rsid w:val="00116064"/>
    <w:rsid w:val="0011618D"/>
    <w:rsid w:val="001172FE"/>
    <w:rsid w:val="00117FE1"/>
    <w:rsid w:val="00121AC1"/>
    <w:rsid w:val="001235F7"/>
    <w:rsid w:val="0013006A"/>
    <w:rsid w:val="00130CF9"/>
    <w:rsid w:val="001310E0"/>
    <w:rsid w:val="00132921"/>
    <w:rsid w:val="001329B3"/>
    <w:rsid w:val="00135EAD"/>
    <w:rsid w:val="00136237"/>
    <w:rsid w:val="00137EB8"/>
    <w:rsid w:val="00141AC2"/>
    <w:rsid w:val="00145415"/>
    <w:rsid w:val="00145DAE"/>
    <w:rsid w:val="00147B68"/>
    <w:rsid w:val="0015084F"/>
    <w:rsid w:val="00152A80"/>
    <w:rsid w:val="0015347D"/>
    <w:rsid w:val="00160461"/>
    <w:rsid w:val="00161846"/>
    <w:rsid w:val="001636DA"/>
    <w:rsid w:val="00163C69"/>
    <w:rsid w:val="00164169"/>
    <w:rsid w:val="001641AA"/>
    <w:rsid w:val="00165AE3"/>
    <w:rsid w:val="0016658D"/>
    <w:rsid w:val="00166B27"/>
    <w:rsid w:val="00170329"/>
    <w:rsid w:val="00170689"/>
    <w:rsid w:val="00170EB8"/>
    <w:rsid w:val="00171DC0"/>
    <w:rsid w:val="00173422"/>
    <w:rsid w:val="00173E50"/>
    <w:rsid w:val="00176BA8"/>
    <w:rsid w:val="001775F3"/>
    <w:rsid w:val="00180511"/>
    <w:rsid w:val="0018306A"/>
    <w:rsid w:val="00184011"/>
    <w:rsid w:val="00185251"/>
    <w:rsid w:val="001912D6"/>
    <w:rsid w:val="0019149E"/>
    <w:rsid w:val="0019182F"/>
    <w:rsid w:val="00191C72"/>
    <w:rsid w:val="001925B3"/>
    <w:rsid w:val="0019580A"/>
    <w:rsid w:val="00195BEB"/>
    <w:rsid w:val="001964EC"/>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52"/>
    <w:rsid w:val="001D01BB"/>
    <w:rsid w:val="001D09AA"/>
    <w:rsid w:val="001D294E"/>
    <w:rsid w:val="001D2CC2"/>
    <w:rsid w:val="001D47F8"/>
    <w:rsid w:val="001D4CDC"/>
    <w:rsid w:val="001D4D40"/>
    <w:rsid w:val="001D4F2F"/>
    <w:rsid w:val="001D51D8"/>
    <w:rsid w:val="001D5CED"/>
    <w:rsid w:val="001D7163"/>
    <w:rsid w:val="001E0924"/>
    <w:rsid w:val="001E211E"/>
    <w:rsid w:val="001E21D5"/>
    <w:rsid w:val="001E3A31"/>
    <w:rsid w:val="001E43D7"/>
    <w:rsid w:val="001E534A"/>
    <w:rsid w:val="001E548A"/>
    <w:rsid w:val="001E54CA"/>
    <w:rsid w:val="001E601A"/>
    <w:rsid w:val="001E6E50"/>
    <w:rsid w:val="001E7480"/>
    <w:rsid w:val="001E74E1"/>
    <w:rsid w:val="001F0834"/>
    <w:rsid w:val="001F0D3B"/>
    <w:rsid w:val="001F1A52"/>
    <w:rsid w:val="001F1D12"/>
    <w:rsid w:val="001F1F14"/>
    <w:rsid w:val="001F34A5"/>
    <w:rsid w:val="001F370A"/>
    <w:rsid w:val="001F5541"/>
    <w:rsid w:val="001F75D9"/>
    <w:rsid w:val="001F7B1A"/>
    <w:rsid w:val="001F7DF2"/>
    <w:rsid w:val="0020142E"/>
    <w:rsid w:val="00201886"/>
    <w:rsid w:val="002064A4"/>
    <w:rsid w:val="00210AD8"/>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43DC"/>
    <w:rsid w:val="002455F0"/>
    <w:rsid w:val="0024599B"/>
    <w:rsid w:val="00246A7E"/>
    <w:rsid w:val="00247198"/>
    <w:rsid w:val="0025051F"/>
    <w:rsid w:val="00251151"/>
    <w:rsid w:val="00251FB9"/>
    <w:rsid w:val="00252A4E"/>
    <w:rsid w:val="0025319A"/>
    <w:rsid w:val="00253DBC"/>
    <w:rsid w:val="0025617C"/>
    <w:rsid w:val="0026050F"/>
    <w:rsid w:val="00260FB7"/>
    <w:rsid w:val="00261F43"/>
    <w:rsid w:val="0026282A"/>
    <w:rsid w:val="002648CF"/>
    <w:rsid w:val="00265FE7"/>
    <w:rsid w:val="00270940"/>
    <w:rsid w:val="002732F9"/>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2D0B"/>
    <w:rsid w:val="002933D6"/>
    <w:rsid w:val="00295B71"/>
    <w:rsid w:val="0029755D"/>
    <w:rsid w:val="002A2EB6"/>
    <w:rsid w:val="002A43D0"/>
    <w:rsid w:val="002A6075"/>
    <w:rsid w:val="002A676B"/>
    <w:rsid w:val="002A6E4E"/>
    <w:rsid w:val="002A774D"/>
    <w:rsid w:val="002A7860"/>
    <w:rsid w:val="002A78D3"/>
    <w:rsid w:val="002B0036"/>
    <w:rsid w:val="002B4615"/>
    <w:rsid w:val="002B4EDA"/>
    <w:rsid w:val="002B659B"/>
    <w:rsid w:val="002B7383"/>
    <w:rsid w:val="002B77A2"/>
    <w:rsid w:val="002C0623"/>
    <w:rsid w:val="002C1434"/>
    <w:rsid w:val="002C1646"/>
    <w:rsid w:val="002C4713"/>
    <w:rsid w:val="002C7DDE"/>
    <w:rsid w:val="002D0E2B"/>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500E"/>
    <w:rsid w:val="002F6A76"/>
    <w:rsid w:val="00300363"/>
    <w:rsid w:val="003005BB"/>
    <w:rsid w:val="00300CF0"/>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0076"/>
    <w:rsid w:val="00342882"/>
    <w:rsid w:val="00342DB5"/>
    <w:rsid w:val="00343CEF"/>
    <w:rsid w:val="00344CB0"/>
    <w:rsid w:val="00344E21"/>
    <w:rsid w:val="00346605"/>
    <w:rsid w:val="003467C8"/>
    <w:rsid w:val="00347C3C"/>
    <w:rsid w:val="0035079F"/>
    <w:rsid w:val="003527C1"/>
    <w:rsid w:val="00352C25"/>
    <w:rsid w:val="00354D5F"/>
    <w:rsid w:val="00355654"/>
    <w:rsid w:val="003565B6"/>
    <w:rsid w:val="00356984"/>
    <w:rsid w:val="00356A66"/>
    <w:rsid w:val="00357418"/>
    <w:rsid w:val="0036059B"/>
    <w:rsid w:val="00360B75"/>
    <w:rsid w:val="00361737"/>
    <w:rsid w:val="00362684"/>
    <w:rsid w:val="00363F41"/>
    <w:rsid w:val="00366D56"/>
    <w:rsid w:val="00367871"/>
    <w:rsid w:val="00367DAD"/>
    <w:rsid w:val="0037007A"/>
    <w:rsid w:val="0037342A"/>
    <w:rsid w:val="00373CC8"/>
    <w:rsid w:val="00374E24"/>
    <w:rsid w:val="00375E2A"/>
    <w:rsid w:val="00376609"/>
    <w:rsid w:val="0038330C"/>
    <w:rsid w:val="003856DC"/>
    <w:rsid w:val="003901B8"/>
    <w:rsid w:val="0039670C"/>
    <w:rsid w:val="003A0E52"/>
    <w:rsid w:val="003A1D0D"/>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25FE"/>
    <w:rsid w:val="003E4B7A"/>
    <w:rsid w:val="003E5AAE"/>
    <w:rsid w:val="003E5D61"/>
    <w:rsid w:val="003E5E77"/>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59D"/>
    <w:rsid w:val="0042383B"/>
    <w:rsid w:val="0042409F"/>
    <w:rsid w:val="00424CCD"/>
    <w:rsid w:val="00424DDE"/>
    <w:rsid w:val="00424F93"/>
    <w:rsid w:val="004252C1"/>
    <w:rsid w:val="0042541E"/>
    <w:rsid w:val="00426861"/>
    <w:rsid w:val="00427079"/>
    <w:rsid w:val="004306A8"/>
    <w:rsid w:val="00430EDC"/>
    <w:rsid w:val="00430FA6"/>
    <w:rsid w:val="00431D3F"/>
    <w:rsid w:val="00432AC2"/>
    <w:rsid w:val="004340BA"/>
    <w:rsid w:val="004345C9"/>
    <w:rsid w:val="0043515D"/>
    <w:rsid w:val="00436FD0"/>
    <w:rsid w:val="00437139"/>
    <w:rsid w:val="00441783"/>
    <w:rsid w:val="004420DA"/>
    <w:rsid w:val="00444707"/>
    <w:rsid w:val="004455F6"/>
    <w:rsid w:val="00445751"/>
    <w:rsid w:val="004468C2"/>
    <w:rsid w:val="00446B8D"/>
    <w:rsid w:val="00450C44"/>
    <w:rsid w:val="00455475"/>
    <w:rsid w:val="00456E33"/>
    <w:rsid w:val="004600ED"/>
    <w:rsid w:val="004620CA"/>
    <w:rsid w:val="00463285"/>
    <w:rsid w:val="004648B7"/>
    <w:rsid w:val="00465846"/>
    <w:rsid w:val="00466349"/>
    <w:rsid w:val="00466B43"/>
    <w:rsid w:val="00470E22"/>
    <w:rsid w:val="00471ED3"/>
    <w:rsid w:val="00472D33"/>
    <w:rsid w:val="00475BA6"/>
    <w:rsid w:val="00477D70"/>
    <w:rsid w:val="004831CC"/>
    <w:rsid w:val="00484E6E"/>
    <w:rsid w:val="00485567"/>
    <w:rsid w:val="004855BE"/>
    <w:rsid w:val="0048665D"/>
    <w:rsid w:val="00486860"/>
    <w:rsid w:val="00491CC3"/>
    <w:rsid w:val="00491ED9"/>
    <w:rsid w:val="00492617"/>
    <w:rsid w:val="00495623"/>
    <w:rsid w:val="00496F19"/>
    <w:rsid w:val="0049718B"/>
    <w:rsid w:val="004A0C7A"/>
    <w:rsid w:val="004A2646"/>
    <w:rsid w:val="004A284B"/>
    <w:rsid w:val="004A28DF"/>
    <w:rsid w:val="004A2961"/>
    <w:rsid w:val="004A2CDE"/>
    <w:rsid w:val="004A3ABF"/>
    <w:rsid w:val="004A4B8D"/>
    <w:rsid w:val="004A5B46"/>
    <w:rsid w:val="004A6B13"/>
    <w:rsid w:val="004A7742"/>
    <w:rsid w:val="004B0167"/>
    <w:rsid w:val="004B710E"/>
    <w:rsid w:val="004C0CD7"/>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4D69"/>
    <w:rsid w:val="00506171"/>
    <w:rsid w:val="005062F5"/>
    <w:rsid w:val="00510C48"/>
    <w:rsid w:val="005119F4"/>
    <w:rsid w:val="00511DDD"/>
    <w:rsid w:val="00512F2D"/>
    <w:rsid w:val="00513479"/>
    <w:rsid w:val="0051477D"/>
    <w:rsid w:val="0051499C"/>
    <w:rsid w:val="00515993"/>
    <w:rsid w:val="00515D13"/>
    <w:rsid w:val="00516952"/>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3DFD"/>
    <w:rsid w:val="00544432"/>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87FFD"/>
    <w:rsid w:val="005900C3"/>
    <w:rsid w:val="00590766"/>
    <w:rsid w:val="00590A21"/>
    <w:rsid w:val="00593104"/>
    <w:rsid w:val="005932EC"/>
    <w:rsid w:val="00594011"/>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D0ACB"/>
    <w:rsid w:val="005D140B"/>
    <w:rsid w:val="005D1C36"/>
    <w:rsid w:val="005D1F2E"/>
    <w:rsid w:val="005D2654"/>
    <w:rsid w:val="005D2670"/>
    <w:rsid w:val="005D2E6F"/>
    <w:rsid w:val="005D5624"/>
    <w:rsid w:val="005D5865"/>
    <w:rsid w:val="005D5F1D"/>
    <w:rsid w:val="005E03A2"/>
    <w:rsid w:val="005E35C4"/>
    <w:rsid w:val="005E428B"/>
    <w:rsid w:val="005E4A7B"/>
    <w:rsid w:val="005E4C2F"/>
    <w:rsid w:val="005E588F"/>
    <w:rsid w:val="005E5BEC"/>
    <w:rsid w:val="005E5D2D"/>
    <w:rsid w:val="005E6FAB"/>
    <w:rsid w:val="005F1234"/>
    <w:rsid w:val="005F13AA"/>
    <w:rsid w:val="005F2714"/>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5FD"/>
    <w:rsid w:val="006150A3"/>
    <w:rsid w:val="006161DD"/>
    <w:rsid w:val="0061689C"/>
    <w:rsid w:val="006210DF"/>
    <w:rsid w:val="0062163B"/>
    <w:rsid w:val="00622434"/>
    <w:rsid w:val="00622500"/>
    <w:rsid w:val="00622738"/>
    <w:rsid w:val="00623191"/>
    <w:rsid w:val="00623817"/>
    <w:rsid w:val="00624119"/>
    <w:rsid w:val="00624BE7"/>
    <w:rsid w:val="0062570F"/>
    <w:rsid w:val="006262C0"/>
    <w:rsid w:val="00627768"/>
    <w:rsid w:val="00630C97"/>
    <w:rsid w:val="00632312"/>
    <w:rsid w:val="00635E63"/>
    <w:rsid w:val="006364B9"/>
    <w:rsid w:val="00637244"/>
    <w:rsid w:val="00640646"/>
    <w:rsid w:val="006406C5"/>
    <w:rsid w:val="00640DB6"/>
    <w:rsid w:val="00642467"/>
    <w:rsid w:val="00642D76"/>
    <w:rsid w:val="00642D7E"/>
    <w:rsid w:val="00643FF8"/>
    <w:rsid w:val="00644EBE"/>
    <w:rsid w:val="00645A18"/>
    <w:rsid w:val="00645B0D"/>
    <w:rsid w:val="00646AD5"/>
    <w:rsid w:val="00651606"/>
    <w:rsid w:val="0065161C"/>
    <w:rsid w:val="00652B35"/>
    <w:rsid w:val="00652EE5"/>
    <w:rsid w:val="00653D08"/>
    <w:rsid w:val="0065454C"/>
    <w:rsid w:val="00654CB8"/>
    <w:rsid w:val="00660027"/>
    <w:rsid w:val="00660B98"/>
    <w:rsid w:val="00665EAF"/>
    <w:rsid w:val="00666566"/>
    <w:rsid w:val="00666D5A"/>
    <w:rsid w:val="00670897"/>
    <w:rsid w:val="00672A20"/>
    <w:rsid w:val="006737EC"/>
    <w:rsid w:val="006739CE"/>
    <w:rsid w:val="00674E3F"/>
    <w:rsid w:val="0068100E"/>
    <w:rsid w:val="0068304A"/>
    <w:rsid w:val="00683207"/>
    <w:rsid w:val="00686D59"/>
    <w:rsid w:val="00687254"/>
    <w:rsid w:val="00687583"/>
    <w:rsid w:val="00691828"/>
    <w:rsid w:val="00691A07"/>
    <w:rsid w:val="00692B88"/>
    <w:rsid w:val="00693D40"/>
    <w:rsid w:val="00695CE5"/>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14F"/>
    <w:rsid w:val="006C1677"/>
    <w:rsid w:val="006C4CAA"/>
    <w:rsid w:val="006C68A7"/>
    <w:rsid w:val="006C780F"/>
    <w:rsid w:val="006C79DB"/>
    <w:rsid w:val="006D09D6"/>
    <w:rsid w:val="006D1400"/>
    <w:rsid w:val="006D419B"/>
    <w:rsid w:val="006D489E"/>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6F6A69"/>
    <w:rsid w:val="00700983"/>
    <w:rsid w:val="007020F8"/>
    <w:rsid w:val="007025A2"/>
    <w:rsid w:val="007029CB"/>
    <w:rsid w:val="00702E91"/>
    <w:rsid w:val="00702F36"/>
    <w:rsid w:val="00703FEF"/>
    <w:rsid w:val="00704459"/>
    <w:rsid w:val="007045C4"/>
    <w:rsid w:val="00704CBA"/>
    <w:rsid w:val="00705613"/>
    <w:rsid w:val="00706B15"/>
    <w:rsid w:val="00706F41"/>
    <w:rsid w:val="007072D8"/>
    <w:rsid w:val="00707635"/>
    <w:rsid w:val="00710A21"/>
    <w:rsid w:val="00712749"/>
    <w:rsid w:val="007128E1"/>
    <w:rsid w:val="007139DB"/>
    <w:rsid w:val="00714D14"/>
    <w:rsid w:val="00714E66"/>
    <w:rsid w:val="007167A3"/>
    <w:rsid w:val="00716971"/>
    <w:rsid w:val="007169A1"/>
    <w:rsid w:val="00716CE1"/>
    <w:rsid w:val="00716D1D"/>
    <w:rsid w:val="00717BBB"/>
    <w:rsid w:val="00724442"/>
    <w:rsid w:val="00724815"/>
    <w:rsid w:val="00726EFA"/>
    <w:rsid w:val="007279D9"/>
    <w:rsid w:val="00731652"/>
    <w:rsid w:val="00731E1D"/>
    <w:rsid w:val="00732759"/>
    <w:rsid w:val="00732A40"/>
    <w:rsid w:val="00735197"/>
    <w:rsid w:val="00735C37"/>
    <w:rsid w:val="0073767D"/>
    <w:rsid w:val="0074077E"/>
    <w:rsid w:val="00741CD7"/>
    <w:rsid w:val="00742631"/>
    <w:rsid w:val="00742DE0"/>
    <w:rsid w:val="00743A10"/>
    <w:rsid w:val="00743BAD"/>
    <w:rsid w:val="00745A5F"/>
    <w:rsid w:val="00746F8F"/>
    <w:rsid w:val="007473A7"/>
    <w:rsid w:val="00747678"/>
    <w:rsid w:val="00750273"/>
    <w:rsid w:val="00750796"/>
    <w:rsid w:val="007534F8"/>
    <w:rsid w:val="0075404F"/>
    <w:rsid w:val="00755072"/>
    <w:rsid w:val="0075537F"/>
    <w:rsid w:val="007558ED"/>
    <w:rsid w:val="007560F1"/>
    <w:rsid w:val="0076214A"/>
    <w:rsid w:val="00762228"/>
    <w:rsid w:val="00763E34"/>
    <w:rsid w:val="007644D7"/>
    <w:rsid w:val="00764EF9"/>
    <w:rsid w:val="007674E8"/>
    <w:rsid w:val="00767D78"/>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08D2"/>
    <w:rsid w:val="00791DFE"/>
    <w:rsid w:val="007927B8"/>
    <w:rsid w:val="007937AD"/>
    <w:rsid w:val="00794978"/>
    <w:rsid w:val="00795E3C"/>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400"/>
    <w:rsid w:val="007C285F"/>
    <w:rsid w:val="007C3A41"/>
    <w:rsid w:val="007C7191"/>
    <w:rsid w:val="007C7392"/>
    <w:rsid w:val="007D1451"/>
    <w:rsid w:val="007D1B8B"/>
    <w:rsid w:val="007D2824"/>
    <w:rsid w:val="007D3C4B"/>
    <w:rsid w:val="007D4381"/>
    <w:rsid w:val="007D47D8"/>
    <w:rsid w:val="007D58A8"/>
    <w:rsid w:val="007D5E64"/>
    <w:rsid w:val="007D5F7F"/>
    <w:rsid w:val="007E0597"/>
    <w:rsid w:val="007E0985"/>
    <w:rsid w:val="007E1BD7"/>
    <w:rsid w:val="007E1DEB"/>
    <w:rsid w:val="007E2E4D"/>
    <w:rsid w:val="007E403E"/>
    <w:rsid w:val="007E4B86"/>
    <w:rsid w:val="007E61BD"/>
    <w:rsid w:val="007E6E0D"/>
    <w:rsid w:val="007F0E6E"/>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E64"/>
    <w:rsid w:val="00811FC2"/>
    <w:rsid w:val="008144DD"/>
    <w:rsid w:val="0081485B"/>
    <w:rsid w:val="00815A4C"/>
    <w:rsid w:val="00816010"/>
    <w:rsid w:val="00817B2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3781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060"/>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10BA"/>
    <w:rsid w:val="0089326A"/>
    <w:rsid w:val="0089358E"/>
    <w:rsid w:val="00893645"/>
    <w:rsid w:val="00893F67"/>
    <w:rsid w:val="00895E6F"/>
    <w:rsid w:val="00896B89"/>
    <w:rsid w:val="008A0297"/>
    <w:rsid w:val="008A034D"/>
    <w:rsid w:val="008A1004"/>
    <w:rsid w:val="008A15C2"/>
    <w:rsid w:val="008A2F96"/>
    <w:rsid w:val="008A34CB"/>
    <w:rsid w:val="008A474D"/>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0E17"/>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07AB"/>
    <w:rsid w:val="0093123F"/>
    <w:rsid w:val="00931E9D"/>
    <w:rsid w:val="009328B3"/>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7D9"/>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1905"/>
    <w:rsid w:val="00982445"/>
    <w:rsid w:val="00982777"/>
    <w:rsid w:val="00982C40"/>
    <w:rsid w:val="0098375D"/>
    <w:rsid w:val="00986137"/>
    <w:rsid w:val="00986389"/>
    <w:rsid w:val="009872CD"/>
    <w:rsid w:val="00987A8B"/>
    <w:rsid w:val="00987C8D"/>
    <w:rsid w:val="00990228"/>
    <w:rsid w:val="00990A46"/>
    <w:rsid w:val="00990AB9"/>
    <w:rsid w:val="009912BB"/>
    <w:rsid w:val="009920E2"/>
    <w:rsid w:val="00992201"/>
    <w:rsid w:val="00994217"/>
    <w:rsid w:val="00994618"/>
    <w:rsid w:val="00996B9F"/>
    <w:rsid w:val="00996CD5"/>
    <w:rsid w:val="00997E71"/>
    <w:rsid w:val="009A09EC"/>
    <w:rsid w:val="009A0E02"/>
    <w:rsid w:val="009A151F"/>
    <w:rsid w:val="009A24BC"/>
    <w:rsid w:val="009A29D0"/>
    <w:rsid w:val="009A442C"/>
    <w:rsid w:val="009A5C07"/>
    <w:rsid w:val="009A6AF8"/>
    <w:rsid w:val="009A6B19"/>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5DC3"/>
    <w:rsid w:val="009D607F"/>
    <w:rsid w:val="009D640D"/>
    <w:rsid w:val="009D6EDD"/>
    <w:rsid w:val="009D75E4"/>
    <w:rsid w:val="009D7CC1"/>
    <w:rsid w:val="009D7EC1"/>
    <w:rsid w:val="009E0CD5"/>
    <w:rsid w:val="009E107C"/>
    <w:rsid w:val="009E1340"/>
    <w:rsid w:val="009E1EB9"/>
    <w:rsid w:val="009E25DF"/>
    <w:rsid w:val="009E27CA"/>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93"/>
    <w:rsid w:val="00A12BD8"/>
    <w:rsid w:val="00A15F64"/>
    <w:rsid w:val="00A16037"/>
    <w:rsid w:val="00A21CAC"/>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363C5"/>
    <w:rsid w:val="00A45770"/>
    <w:rsid w:val="00A45865"/>
    <w:rsid w:val="00A45DE0"/>
    <w:rsid w:val="00A5226D"/>
    <w:rsid w:val="00A53BD4"/>
    <w:rsid w:val="00A53C9A"/>
    <w:rsid w:val="00A54598"/>
    <w:rsid w:val="00A55764"/>
    <w:rsid w:val="00A56C84"/>
    <w:rsid w:val="00A5E257"/>
    <w:rsid w:val="00A60384"/>
    <w:rsid w:val="00A6282F"/>
    <w:rsid w:val="00A62AFA"/>
    <w:rsid w:val="00A64B54"/>
    <w:rsid w:val="00A67FC6"/>
    <w:rsid w:val="00A68791"/>
    <w:rsid w:val="00A71397"/>
    <w:rsid w:val="00A71F84"/>
    <w:rsid w:val="00A72623"/>
    <w:rsid w:val="00A733C9"/>
    <w:rsid w:val="00A768D2"/>
    <w:rsid w:val="00A80A27"/>
    <w:rsid w:val="00A816BC"/>
    <w:rsid w:val="00A82647"/>
    <w:rsid w:val="00A8542E"/>
    <w:rsid w:val="00A8593A"/>
    <w:rsid w:val="00A9188B"/>
    <w:rsid w:val="00A91EFC"/>
    <w:rsid w:val="00A955EC"/>
    <w:rsid w:val="00A966A6"/>
    <w:rsid w:val="00A9734E"/>
    <w:rsid w:val="00A975AC"/>
    <w:rsid w:val="00A97EE9"/>
    <w:rsid w:val="00AA26C8"/>
    <w:rsid w:val="00AA2AE3"/>
    <w:rsid w:val="00AA3857"/>
    <w:rsid w:val="00AA4A5E"/>
    <w:rsid w:val="00AA4F24"/>
    <w:rsid w:val="00AA5BD7"/>
    <w:rsid w:val="00AA67A0"/>
    <w:rsid w:val="00AA74E9"/>
    <w:rsid w:val="00AB58D2"/>
    <w:rsid w:val="00AB66BC"/>
    <w:rsid w:val="00AB6B68"/>
    <w:rsid w:val="00AC105E"/>
    <w:rsid w:val="00AC1131"/>
    <w:rsid w:val="00AC1AC4"/>
    <w:rsid w:val="00AC5472"/>
    <w:rsid w:val="00AC7B61"/>
    <w:rsid w:val="00AD15AC"/>
    <w:rsid w:val="00AD1B66"/>
    <w:rsid w:val="00AD1CFF"/>
    <w:rsid w:val="00AD2447"/>
    <w:rsid w:val="00AD3F78"/>
    <w:rsid w:val="00AD46F7"/>
    <w:rsid w:val="00AE026A"/>
    <w:rsid w:val="00AE1346"/>
    <w:rsid w:val="00AE2594"/>
    <w:rsid w:val="00AE274D"/>
    <w:rsid w:val="00AE3624"/>
    <w:rsid w:val="00AE3760"/>
    <w:rsid w:val="00AE3F7E"/>
    <w:rsid w:val="00AE4F02"/>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8EB"/>
    <w:rsid w:val="00B13DEC"/>
    <w:rsid w:val="00B15AEE"/>
    <w:rsid w:val="00B15B9E"/>
    <w:rsid w:val="00B21BC4"/>
    <w:rsid w:val="00B222EC"/>
    <w:rsid w:val="00B22810"/>
    <w:rsid w:val="00B22F84"/>
    <w:rsid w:val="00B2326A"/>
    <w:rsid w:val="00B233A5"/>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61B"/>
    <w:rsid w:val="00B63B97"/>
    <w:rsid w:val="00B65237"/>
    <w:rsid w:val="00B666CD"/>
    <w:rsid w:val="00B67894"/>
    <w:rsid w:val="00B67AED"/>
    <w:rsid w:val="00B70B00"/>
    <w:rsid w:val="00B72371"/>
    <w:rsid w:val="00B72B75"/>
    <w:rsid w:val="00B737EF"/>
    <w:rsid w:val="00B74D25"/>
    <w:rsid w:val="00B7519D"/>
    <w:rsid w:val="00B77C81"/>
    <w:rsid w:val="00B80F76"/>
    <w:rsid w:val="00B818B8"/>
    <w:rsid w:val="00B81A2E"/>
    <w:rsid w:val="00B82E99"/>
    <w:rsid w:val="00B8308A"/>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30C2"/>
    <w:rsid w:val="00BA45E6"/>
    <w:rsid w:val="00BA5E6F"/>
    <w:rsid w:val="00BA720A"/>
    <w:rsid w:val="00BB0D04"/>
    <w:rsid w:val="00BB29FA"/>
    <w:rsid w:val="00BB2B15"/>
    <w:rsid w:val="00BB3410"/>
    <w:rsid w:val="00BB432F"/>
    <w:rsid w:val="00BB49A7"/>
    <w:rsid w:val="00BB49C0"/>
    <w:rsid w:val="00BB6F4C"/>
    <w:rsid w:val="00BB6FB5"/>
    <w:rsid w:val="00BB753F"/>
    <w:rsid w:val="00BB7977"/>
    <w:rsid w:val="00BB7DA0"/>
    <w:rsid w:val="00BB7FF2"/>
    <w:rsid w:val="00BC05FF"/>
    <w:rsid w:val="00BC0B1A"/>
    <w:rsid w:val="00BC1522"/>
    <w:rsid w:val="00BC1BF0"/>
    <w:rsid w:val="00BC1FE2"/>
    <w:rsid w:val="00BC3541"/>
    <w:rsid w:val="00BC3DD2"/>
    <w:rsid w:val="00BC49F3"/>
    <w:rsid w:val="00BD1245"/>
    <w:rsid w:val="00BD12E4"/>
    <w:rsid w:val="00BD4A87"/>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2010"/>
    <w:rsid w:val="00C1285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4FB5"/>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448F"/>
    <w:rsid w:val="00C67D9C"/>
    <w:rsid w:val="00C706D7"/>
    <w:rsid w:val="00C72590"/>
    <w:rsid w:val="00C72CCD"/>
    <w:rsid w:val="00C733F7"/>
    <w:rsid w:val="00C754FD"/>
    <w:rsid w:val="00C76FDB"/>
    <w:rsid w:val="00C7741F"/>
    <w:rsid w:val="00C80081"/>
    <w:rsid w:val="00C80E50"/>
    <w:rsid w:val="00C81982"/>
    <w:rsid w:val="00C81E8A"/>
    <w:rsid w:val="00C82D25"/>
    <w:rsid w:val="00C83ECD"/>
    <w:rsid w:val="00C8408B"/>
    <w:rsid w:val="00C86ABE"/>
    <w:rsid w:val="00C8720B"/>
    <w:rsid w:val="00C87C08"/>
    <w:rsid w:val="00C87E71"/>
    <w:rsid w:val="00C91270"/>
    <w:rsid w:val="00C9141A"/>
    <w:rsid w:val="00C916DE"/>
    <w:rsid w:val="00C92316"/>
    <w:rsid w:val="00C93634"/>
    <w:rsid w:val="00C943C6"/>
    <w:rsid w:val="00C94D70"/>
    <w:rsid w:val="00C9517E"/>
    <w:rsid w:val="00C95271"/>
    <w:rsid w:val="00C96032"/>
    <w:rsid w:val="00C96BDE"/>
    <w:rsid w:val="00CA27B9"/>
    <w:rsid w:val="00CA32FE"/>
    <w:rsid w:val="00CA4137"/>
    <w:rsid w:val="00CA5AE4"/>
    <w:rsid w:val="00CA6D14"/>
    <w:rsid w:val="00CA7D74"/>
    <w:rsid w:val="00CB02A1"/>
    <w:rsid w:val="00CB038B"/>
    <w:rsid w:val="00CB0D6A"/>
    <w:rsid w:val="00CB1797"/>
    <w:rsid w:val="00CB4B04"/>
    <w:rsid w:val="00CB5DDC"/>
    <w:rsid w:val="00CB6AD7"/>
    <w:rsid w:val="00CC03C4"/>
    <w:rsid w:val="00CC2643"/>
    <w:rsid w:val="00CC338D"/>
    <w:rsid w:val="00CC3C26"/>
    <w:rsid w:val="00CC43C3"/>
    <w:rsid w:val="00CC43C5"/>
    <w:rsid w:val="00CC43CD"/>
    <w:rsid w:val="00CC4618"/>
    <w:rsid w:val="00CD1614"/>
    <w:rsid w:val="00CD1836"/>
    <w:rsid w:val="00CD206D"/>
    <w:rsid w:val="00CD275E"/>
    <w:rsid w:val="00CD2EF7"/>
    <w:rsid w:val="00CD38AB"/>
    <w:rsid w:val="00CD4100"/>
    <w:rsid w:val="00CD4338"/>
    <w:rsid w:val="00CD4809"/>
    <w:rsid w:val="00CD5A92"/>
    <w:rsid w:val="00CE0942"/>
    <w:rsid w:val="00CE1EF9"/>
    <w:rsid w:val="00CE2CB1"/>
    <w:rsid w:val="00CE3ACF"/>
    <w:rsid w:val="00CE4292"/>
    <w:rsid w:val="00CE497A"/>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17CD"/>
    <w:rsid w:val="00D12D20"/>
    <w:rsid w:val="00D14A68"/>
    <w:rsid w:val="00D163B0"/>
    <w:rsid w:val="00D17BB9"/>
    <w:rsid w:val="00D210DB"/>
    <w:rsid w:val="00D225E2"/>
    <w:rsid w:val="00D234AD"/>
    <w:rsid w:val="00D24328"/>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6D81"/>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477B"/>
    <w:rsid w:val="00D66C0D"/>
    <w:rsid w:val="00D71532"/>
    <w:rsid w:val="00D734C3"/>
    <w:rsid w:val="00D73509"/>
    <w:rsid w:val="00D73DBE"/>
    <w:rsid w:val="00D73E09"/>
    <w:rsid w:val="00D74290"/>
    <w:rsid w:val="00D74D4B"/>
    <w:rsid w:val="00D7687C"/>
    <w:rsid w:val="00D76DB3"/>
    <w:rsid w:val="00D77C8D"/>
    <w:rsid w:val="00D87764"/>
    <w:rsid w:val="00D90653"/>
    <w:rsid w:val="00D92ED6"/>
    <w:rsid w:val="00D9599C"/>
    <w:rsid w:val="00DA4019"/>
    <w:rsid w:val="00DA4E0C"/>
    <w:rsid w:val="00DA53F8"/>
    <w:rsid w:val="00DA7843"/>
    <w:rsid w:val="00DA7E80"/>
    <w:rsid w:val="00DB0E66"/>
    <w:rsid w:val="00DB13CB"/>
    <w:rsid w:val="00DB2450"/>
    <w:rsid w:val="00DB523F"/>
    <w:rsid w:val="00DB52E0"/>
    <w:rsid w:val="00DB5E95"/>
    <w:rsid w:val="00DB6062"/>
    <w:rsid w:val="00DB7775"/>
    <w:rsid w:val="00DB799B"/>
    <w:rsid w:val="00DC1889"/>
    <w:rsid w:val="00DC1EEC"/>
    <w:rsid w:val="00DC28FE"/>
    <w:rsid w:val="00DC2D99"/>
    <w:rsid w:val="00DC3AC9"/>
    <w:rsid w:val="00DC57CD"/>
    <w:rsid w:val="00DC5EB4"/>
    <w:rsid w:val="00DC6593"/>
    <w:rsid w:val="00DD2682"/>
    <w:rsid w:val="00DD35B0"/>
    <w:rsid w:val="00DD4E7A"/>
    <w:rsid w:val="00DD6533"/>
    <w:rsid w:val="00DD718B"/>
    <w:rsid w:val="00DE15D8"/>
    <w:rsid w:val="00DE26D9"/>
    <w:rsid w:val="00DE3DF8"/>
    <w:rsid w:val="00DE45E8"/>
    <w:rsid w:val="00DE4E0C"/>
    <w:rsid w:val="00DE50FF"/>
    <w:rsid w:val="00DE5FD4"/>
    <w:rsid w:val="00DE60DC"/>
    <w:rsid w:val="00DE68CB"/>
    <w:rsid w:val="00DF0955"/>
    <w:rsid w:val="00DF3AA1"/>
    <w:rsid w:val="00DF4973"/>
    <w:rsid w:val="00DF6030"/>
    <w:rsid w:val="00DF7E5D"/>
    <w:rsid w:val="00E00589"/>
    <w:rsid w:val="00E0220E"/>
    <w:rsid w:val="00E034D9"/>
    <w:rsid w:val="00E03B8F"/>
    <w:rsid w:val="00E03FC8"/>
    <w:rsid w:val="00E04947"/>
    <w:rsid w:val="00E076DF"/>
    <w:rsid w:val="00E10927"/>
    <w:rsid w:val="00E128B1"/>
    <w:rsid w:val="00E14467"/>
    <w:rsid w:val="00E14BF3"/>
    <w:rsid w:val="00E14CC5"/>
    <w:rsid w:val="00E16410"/>
    <w:rsid w:val="00E178F7"/>
    <w:rsid w:val="00E205A3"/>
    <w:rsid w:val="00E2389F"/>
    <w:rsid w:val="00E25157"/>
    <w:rsid w:val="00E27F78"/>
    <w:rsid w:val="00E30153"/>
    <w:rsid w:val="00E30F8E"/>
    <w:rsid w:val="00E3122D"/>
    <w:rsid w:val="00E339A3"/>
    <w:rsid w:val="00E33FC1"/>
    <w:rsid w:val="00E3518D"/>
    <w:rsid w:val="00E35BF8"/>
    <w:rsid w:val="00E37A2B"/>
    <w:rsid w:val="00E40D81"/>
    <w:rsid w:val="00E41FA1"/>
    <w:rsid w:val="00E42EA6"/>
    <w:rsid w:val="00E439D8"/>
    <w:rsid w:val="00E463E4"/>
    <w:rsid w:val="00E47562"/>
    <w:rsid w:val="00E50CD6"/>
    <w:rsid w:val="00E5311D"/>
    <w:rsid w:val="00E54B97"/>
    <w:rsid w:val="00E55F68"/>
    <w:rsid w:val="00E56B06"/>
    <w:rsid w:val="00E601B9"/>
    <w:rsid w:val="00E604E8"/>
    <w:rsid w:val="00E63258"/>
    <w:rsid w:val="00E63B7C"/>
    <w:rsid w:val="00E64061"/>
    <w:rsid w:val="00E641CB"/>
    <w:rsid w:val="00E64357"/>
    <w:rsid w:val="00E64935"/>
    <w:rsid w:val="00E64F9E"/>
    <w:rsid w:val="00E657B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8FB"/>
    <w:rsid w:val="00EA5D83"/>
    <w:rsid w:val="00EA6184"/>
    <w:rsid w:val="00EA6BDC"/>
    <w:rsid w:val="00EB00A2"/>
    <w:rsid w:val="00EB0A8E"/>
    <w:rsid w:val="00EB0C83"/>
    <w:rsid w:val="00EB1912"/>
    <w:rsid w:val="00EB1C08"/>
    <w:rsid w:val="00EB2A3A"/>
    <w:rsid w:val="00EB34A6"/>
    <w:rsid w:val="00EB4C2F"/>
    <w:rsid w:val="00EB7514"/>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AF2"/>
    <w:rsid w:val="00ED3C90"/>
    <w:rsid w:val="00ED4385"/>
    <w:rsid w:val="00ED44A3"/>
    <w:rsid w:val="00ED572A"/>
    <w:rsid w:val="00ED57A4"/>
    <w:rsid w:val="00ED6496"/>
    <w:rsid w:val="00EE038B"/>
    <w:rsid w:val="00EE2072"/>
    <w:rsid w:val="00EE2403"/>
    <w:rsid w:val="00EE2B2F"/>
    <w:rsid w:val="00EE5AC9"/>
    <w:rsid w:val="00EE68B7"/>
    <w:rsid w:val="00EE7609"/>
    <w:rsid w:val="00EE782C"/>
    <w:rsid w:val="00EF12A9"/>
    <w:rsid w:val="00EF2E9D"/>
    <w:rsid w:val="00EF3B34"/>
    <w:rsid w:val="00EF4177"/>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379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4F1A"/>
    <w:rsid w:val="00F462DB"/>
    <w:rsid w:val="00F47EAC"/>
    <w:rsid w:val="00F5019F"/>
    <w:rsid w:val="00F50C29"/>
    <w:rsid w:val="00F51F05"/>
    <w:rsid w:val="00F532D6"/>
    <w:rsid w:val="00F56114"/>
    <w:rsid w:val="00F573CC"/>
    <w:rsid w:val="00F57EAD"/>
    <w:rsid w:val="00F601B4"/>
    <w:rsid w:val="00F62C65"/>
    <w:rsid w:val="00F63290"/>
    <w:rsid w:val="00F652A6"/>
    <w:rsid w:val="00F659E7"/>
    <w:rsid w:val="00F66728"/>
    <w:rsid w:val="00F67649"/>
    <w:rsid w:val="00F67B5E"/>
    <w:rsid w:val="00F67C9A"/>
    <w:rsid w:val="00F7072E"/>
    <w:rsid w:val="00F71C27"/>
    <w:rsid w:val="00F71D55"/>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539F"/>
    <w:rsid w:val="00FE5C2B"/>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0B342"/>
    <w:rsid w:val="1D24AEC1"/>
    <w:rsid w:val="1D88378A"/>
    <w:rsid w:val="1D92A723"/>
    <w:rsid w:val="1DC75DB1"/>
    <w:rsid w:val="1DE31029"/>
    <w:rsid w:val="1E453E56"/>
    <w:rsid w:val="1ED51596"/>
    <w:rsid w:val="1F1C394A"/>
    <w:rsid w:val="1F5487D7"/>
    <w:rsid w:val="1F722D6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ABB7A94"/>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C34301"/>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styleId="Mention">
    <w:name w:val="Mention"/>
    <w:basedOn w:val="DefaultParagraphFont"/>
    <w:uiPriority w:val="99"/>
    <w:unhideWhenUsed/>
    <w:rsid w:val="00346605"/>
    <w:rPr>
      <w:color w:val="2B579A"/>
      <w:shd w:val="clear" w:color="auto" w:fill="E1DFDD"/>
    </w:rPr>
  </w:style>
  <w:style w:type="character" w:customStyle="1" w:styleId="font81">
    <w:name w:val="font81"/>
    <w:basedOn w:val="DefaultParagraphFont"/>
    <w:rsid w:val="00F659E7"/>
    <w:rPr>
      <w:rFonts w:ascii="Times New Roman" w:hAnsi="Times New Roman" w:cs="Times New Roman" w:hint="default"/>
      <w:b/>
      <w:bCs/>
      <w:i w:val="0"/>
      <w:iCs w:val="0"/>
      <w:strike w:val="0"/>
      <w:dstrike w:val="0"/>
      <w:color w:val="000000"/>
      <w:sz w:val="20"/>
      <w:szCs w:val="20"/>
      <w:u w:val="none"/>
      <w:effect w:val="none"/>
    </w:rPr>
  </w:style>
  <w:style w:type="character" w:customStyle="1" w:styleId="font101">
    <w:name w:val="font101"/>
    <w:basedOn w:val="DefaultParagraphFont"/>
    <w:rsid w:val="00F659E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1">
    <w:name w:val="font131"/>
    <w:basedOn w:val="DefaultParagraphFont"/>
    <w:rsid w:val="00F659E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61">
    <w:name w:val="font61"/>
    <w:basedOn w:val="DefaultParagraphFont"/>
    <w:rsid w:val="00F659E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91">
    <w:name w:val="font91"/>
    <w:basedOn w:val="DefaultParagraphFont"/>
    <w:rsid w:val="00F659E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41">
    <w:name w:val="font141"/>
    <w:basedOn w:val="DefaultParagraphFont"/>
    <w:rsid w:val="00F659E7"/>
    <w:rPr>
      <w:rFonts w:ascii="Times New Roman" w:hAnsi="Times New Roman" w:cs="Times New Roman" w:hint="default"/>
      <w:b/>
      <w:bCs/>
      <w:i w:val="0"/>
      <w:iCs w:val="0"/>
      <w:strike w:val="0"/>
      <w:dstrike w:val="0"/>
      <w:color w:val="000000"/>
      <w:sz w:val="20"/>
      <w:szCs w:val="20"/>
      <w:u w:val="none"/>
      <w:effect w:val="none"/>
    </w:rPr>
  </w:style>
  <w:style w:type="character" w:customStyle="1" w:styleId="font261">
    <w:name w:val="font261"/>
    <w:basedOn w:val="DefaultParagraphFont"/>
    <w:rsid w:val="00F659E7"/>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61">
    <w:name w:val="font161"/>
    <w:basedOn w:val="DefaultParagraphFont"/>
    <w:rsid w:val="00F659E7"/>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71">
    <w:name w:val="font171"/>
    <w:basedOn w:val="DefaultParagraphFont"/>
    <w:rsid w:val="00F659E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1">
    <w:name w:val="font211"/>
    <w:basedOn w:val="DefaultParagraphFont"/>
    <w:rsid w:val="00F659E7"/>
    <w:rPr>
      <w:rFonts w:ascii="Times New Roman" w:hAnsi="Times New Roman" w:cs="Times New Roman"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1985">
      <w:bodyDiv w:val="1"/>
      <w:marLeft w:val="0"/>
      <w:marRight w:val="0"/>
      <w:marTop w:val="0"/>
      <w:marBottom w:val="0"/>
      <w:divBdr>
        <w:top w:val="none" w:sz="0" w:space="0" w:color="auto"/>
        <w:left w:val="none" w:sz="0" w:space="0" w:color="auto"/>
        <w:bottom w:val="none" w:sz="0" w:space="0" w:color="auto"/>
        <w:right w:val="none" w:sz="0" w:space="0" w:color="auto"/>
      </w:divBdr>
    </w:div>
    <w:div w:id="70398644">
      <w:bodyDiv w:val="1"/>
      <w:marLeft w:val="0"/>
      <w:marRight w:val="0"/>
      <w:marTop w:val="0"/>
      <w:marBottom w:val="0"/>
      <w:divBdr>
        <w:top w:val="none" w:sz="0" w:space="0" w:color="auto"/>
        <w:left w:val="none" w:sz="0" w:space="0" w:color="auto"/>
        <w:bottom w:val="none" w:sz="0" w:space="0" w:color="auto"/>
        <w:right w:val="none" w:sz="0" w:space="0" w:color="auto"/>
      </w:divBdr>
    </w:div>
    <w:div w:id="84301784">
      <w:bodyDiv w:val="1"/>
      <w:marLeft w:val="0"/>
      <w:marRight w:val="0"/>
      <w:marTop w:val="0"/>
      <w:marBottom w:val="0"/>
      <w:divBdr>
        <w:top w:val="none" w:sz="0" w:space="0" w:color="auto"/>
        <w:left w:val="none" w:sz="0" w:space="0" w:color="auto"/>
        <w:bottom w:val="none" w:sz="0" w:space="0" w:color="auto"/>
        <w:right w:val="none" w:sz="0" w:space="0" w:color="auto"/>
      </w:divBdr>
      <w:divsChild>
        <w:div w:id="340087679">
          <w:marLeft w:val="0"/>
          <w:marRight w:val="0"/>
          <w:marTop w:val="0"/>
          <w:marBottom w:val="0"/>
          <w:divBdr>
            <w:top w:val="none" w:sz="0" w:space="0" w:color="auto"/>
            <w:left w:val="none" w:sz="0" w:space="0" w:color="auto"/>
            <w:bottom w:val="none" w:sz="0" w:space="0" w:color="auto"/>
            <w:right w:val="none" w:sz="0" w:space="0" w:color="auto"/>
          </w:divBdr>
          <w:divsChild>
            <w:div w:id="725878100">
              <w:marLeft w:val="0"/>
              <w:marRight w:val="0"/>
              <w:marTop w:val="0"/>
              <w:marBottom w:val="0"/>
              <w:divBdr>
                <w:top w:val="none" w:sz="0" w:space="0" w:color="auto"/>
                <w:left w:val="none" w:sz="0" w:space="0" w:color="auto"/>
                <w:bottom w:val="none" w:sz="0" w:space="0" w:color="auto"/>
                <w:right w:val="none" w:sz="0" w:space="0" w:color="auto"/>
              </w:divBdr>
            </w:div>
          </w:divsChild>
        </w:div>
        <w:div w:id="736050155">
          <w:marLeft w:val="0"/>
          <w:marRight w:val="0"/>
          <w:marTop w:val="0"/>
          <w:marBottom w:val="0"/>
          <w:divBdr>
            <w:top w:val="none" w:sz="0" w:space="0" w:color="auto"/>
            <w:left w:val="none" w:sz="0" w:space="0" w:color="auto"/>
            <w:bottom w:val="none" w:sz="0" w:space="0" w:color="auto"/>
            <w:right w:val="none" w:sz="0" w:space="0" w:color="auto"/>
          </w:divBdr>
          <w:divsChild>
            <w:div w:id="596980979">
              <w:marLeft w:val="0"/>
              <w:marRight w:val="0"/>
              <w:marTop w:val="0"/>
              <w:marBottom w:val="0"/>
              <w:divBdr>
                <w:top w:val="none" w:sz="0" w:space="0" w:color="auto"/>
                <w:left w:val="none" w:sz="0" w:space="0" w:color="auto"/>
                <w:bottom w:val="none" w:sz="0" w:space="0" w:color="auto"/>
                <w:right w:val="none" w:sz="0" w:space="0" w:color="auto"/>
              </w:divBdr>
            </w:div>
          </w:divsChild>
        </w:div>
        <w:div w:id="806780679">
          <w:marLeft w:val="0"/>
          <w:marRight w:val="0"/>
          <w:marTop w:val="0"/>
          <w:marBottom w:val="0"/>
          <w:divBdr>
            <w:top w:val="none" w:sz="0" w:space="0" w:color="auto"/>
            <w:left w:val="none" w:sz="0" w:space="0" w:color="auto"/>
            <w:bottom w:val="none" w:sz="0" w:space="0" w:color="auto"/>
            <w:right w:val="none" w:sz="0" w:space="0" w:color="auto"/>
          </w:divBdr>
          <w:divsChild>
            <w:div w:id="1352032089">
              <w:marLeft w:val="0"/>
              <w:marRight w:val="0"/>
              <w:marTop w:val="0"/>
              <w:marBottom w:val="0"/>
              <w:divBdr>
                <w:top w:val="none" w:sz="0" w:space="0" w:color="auto"/>
                <w:left w:val="none" w:sz="0" w:space="0" w:color="auto"/>
                <w:bottom w:val="none" w:sz="0" w:space="0" w:color="auto"/>
                <w:right w:val="none" w:sz="0" w:space="0" w:color="auto"/>
              </w:divBdr>
            </w:div>
          </w:divsChild>
        </w:div>
        <w:div w:id="1493641754">
          <w:marLeft w:val="0"/>
          <w:marRight w:val="0"/>
          <w:marTop w:val="0"/>
          <w:marBottom w:val="0"/>
          <w:divBdr>
            <w:top w:val="none" w:sz="0" w:space="0" w:color="auto"/>
            <w:left w:val="none" w:sz="0" w:space="0" w:color="auto"/>
            <w:bottom w:val="none" w:sz="0" w:space="0" w:color="auto"/>
            <w:right w:val="none" w:sz="0" w:space="0" w:color="auto"/>
          </w:divBdr>
          <w:divsChild>
            <w:div w:id="1382241347">
              <w:marLeft w:val="0"/>
              <w:marRight w:val="0"/>
              <w:marTop w:val="0"/>
              <w:marBottom w:val="0"/>
              <w:divBdr>
                <w:top w:val="none" w:sz="0" w:space="0" w:color="auto"/>
                <w:left w:val="none" w:sz="0" w:space="0" w:color="auto"/>
                <w:bottom w:val="none" w:sz="0" w:space="0" w:color="auto"/>
                <w:right w:val="none" w:sz="0" w:space="0" w:color="auto"/>
              </w:divBdr>
            </w:div>
          </w:divsChild>
        </w:div>
        <w:div w:id="1612973817">
          <w:marLeft w:val="0"/>
          <w:marRight w:val="0"/>
          <w:marTop w:val="0"/>
          <w:marBottom w:val="0"/>
          <w:divBdr>
            <w:top w:val="none" w:sz="0" w:space="0" w:color="auto"/>
            <w:left w:val="none" w:sz="0" w:space="0" w:color="auto"/>
            <w:bottom w:val="none" w:sz="0" w:space="0" w:color="auto"/>
            <w:right w:val="none" w:sz="0" w:space="0" w:color="auto"/>
          </w:divBdr>
          <w:divsChild>
            <w:div w:id="969898007">
              <w:marLeft w:val="0"/>
              <w:marRight w:val="0"/>
              <w:marTop w:val="0"/>
              <w:marBottom w:val="0"/>
              <w:divBdr>
                <w:top w:val="none" w:sz="0" w:space="0" w:color="auto"/>
                <w:left w:val="none" w:sz="0" w:space="0" w:color="auto"/>
                <w:bottom w:val="none" w:sz="0" w:space="0" w:color="auto"/>
                <w:right w:val="none" w:sz="0" w:space="0" w:color="auto"/>
              </w:divBdr>
            </w:div>
          </w:divsChild>
        </w:div>
        <w:div w:id="1786802455">
          <w:marLeft w:val="0"/>
          <w:marRight w:val="0"/>
          <w:marTop w:val="0"/>
          <w:marBottom w:val="0"/>
          <w:divBdr>
            <w:top w:val="none" w:sz="0" w:space="0" w:color="auto"/>
            <w:left w:val="none" w:sz="0" w:space="0" w:color="auto"/>
            <w:bottom w:val="none" w:sz="0" w:space="0" w:color="auto"/>
            <w:right w:val="none" w:sz="0" w:space="0" w:color="auto"/>
          </w:divBdr>
          <w:divsChild>
            <w:div w:id="803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9224">
      <w:bodyDiv w:val="1"/>
      <w:marLeft w:val="0"/>
      <w:marRight w:val="0"/>
      <w:marTop w:val="0"/>
      <w:marBottom w:val="0"/>
      <w:divBdr>
        <w:top w:val="none" w:sz="0" w:space="0" w:color="auto"/>
        <w:left w:val="none" w:sz="0" w:space="0" w:color="auto"/>
        <w:bottom w:val="none" w:sz="0" w:space="0" w:color="auto"/>
        <w:right w:val="none" w:sz="0" w:space="0" w:color="auto"/>
      </w:divBdr>
    </w:div>
    <w:div w:id="166605367">
      <w:bodyDiv w:val="1"/>
      <w:marLeft w:val="0"/>
      <w:marRight w:val="0"/>
      <w:marTop w:val="0"/>
      <w:marBottom w:val="0"/>
      <w:divBdr>
        <w:top w:val="none" w:sz="0" w:space="0" w:color="auto"/>
        <w:left w:val="none" w:sz="0" w:space="0" w:color="auto"/>
        <w:bottom w:val="none" w:sz="0" w:space="0" w:color="auto"/>
        <w:right w:val="none" w:sz="0" w:space="0" w:color="auto"/>
      </w:divBdr>
    </w:div>
    <w:div w:id="199781924">
      <w:bodyDiv w:val="1"/>
      <w:marLeft w:val="0"/>
      <w:marRight w:val="0"/>
      <w:marTop w:val="0"/>
      <w:marBottom w:val="0"/>
      <w:divBdr>
        <w:top w:val="none" w:sz="0" w:space="0" w:color="auto"/>
        <w:left w:val="none" w:sz="0" w:space="0" w:color="auto"/>
        <w:bottom w:val="none" w:sz="0" w:space="0" w:color="auto"/>
        <w:right w:val="none" w:sz="0" w:space="0" w:color="auto"/>
      </w:divBdr>
      <w:divsChild>
        <w:div w:id="119806805">
          <w:marLeft w:val="0"/>
          <w:marRight w:val="0"/>
          <w:marTop w:val="0"/>
          <w:marBottom w:val="0"/>
          <w:divBdr>
            <w:top w:val="none" w:sz="0" w:space="0" w:color="auto"/>
            <w:left w:val="none" w:sz="0" w:space="0" w:color="auto"/>
            <w:bottom w:val="none" w:sz="0" w:space="0" w:color="auto"/>
            <w:right w:val="none" w:sz="0" w:space="0" w:color="auto"/>
          </w:divBdr>
        </w:div>
        <w:div w:id="124396984">
          <w:marLeft w:val="0"/>
          <w:marRight w:val="0"/>
          <w:marTop w:val="0"/>
          <w:marBottom w:val="0"/>
          <w:divBdr>
            <w:top w:val="none" w:sz="0" w:space="0" w:color="auto"/>
            <w:left w:val="none" w:sz="0" w:space="0" w:color="auto"/>
            <w:bottom w:val="none" w:sz="0" w:space="0" w:color="auto"/>
            <w:right w:val="none" w:sz="0" w:space="0" w:color="auto"/>
          </w:divBdr>
        </w:div>
        <w:div w:id="242569763">
          <w:marLeft w:val="0"/>
          <w:marRight w:val="0"/>
          <w:marTop w:val="0"/>
          <w:marBottom w:val="0"/>
          <w:divBdr>
            <w:top w:val="none" w:sz="0" w:space="0" w:color="auto"/>
            <w:left w:val="none" w:sz="0" w:space="0" w:color="auto"/>
            <w:bottom w:val="none" w:sz="0" w:space="0" w:color="auto"/>
            <w:right w:val="none" w:sz="0" w:space="0" w:color="auto"/>
          </w:divBdr>
        </w:div>
        <w:div w:id="284504690">
          <w:marLeft w:val="0"/>
          <w:marRight w:val="0"/>
          <w:marTop w:val="0"/>
          <w:marBottom w:val="0"/>
          <w:divBdr>
            <w:top w:val="none" w:sz="0" w:space="0" w:color="auto"/>
            <w:left w:val="none" w:sz="0" w:space="0" w:color="auto"/>
            <w:bottom w:val="none" w:sz="0" w:space="0" w:color="auto"/>
            <w:right w:val="none" w:sz="0" w:space="0" w:color="auto"/>
          </w:divBdr>
        </w:div>
        <w:div w:id="476339037">
          <w:marLeft w:val="0"/>
          <w:marRight w:val="0"/>
          <w:marTop w:val="0"/>
          <w:marBottom w:val="0"/>
          <w:divBdr>
            <w:top w:val="none" w:sz="0" w:space="0" w:color="auto"/>
            <w:left w:val="none" w:sz="0" w:space="0" w:color="auto"/>
            <w:bottom w:val="none" w:sz="0" w:space="0" w:color="auto"/>
            <w:right w:val="none" w:sz="0" w:space="0" w:color="auto"/>
          </w:divBdr>
        </w:div>
        <w:div w:id="495154105">
          <w:marLeft w:val="0"/>
          <w:marRight w:val="0"/>
          <w:marTop w:val="0"/>
          <w:marBottom w:val="0"/>
          <w:divBdr>
            <w:top w:val="none" w:sz="0" w:space="0" w:color="auto"/>
            <w:left w:val="none" w:sz="0" w:space="0" w:color="auto"/>
            <w:bottom w:val="none" w:sz="0" w:space="0" w:color="auto"/>
            <w:right w:val="none" w:sz="0" w:space="0" w:color="auto"/>
          </w:divBdr>
        </w:div>
        <w:div w:id="524556421">
          <w:marLeft w:val="0"/>
          <w:marRight w:val="0"/>
          <w:marTop w:val="0"/>
          <w:marBottom w:val="0"/>
          <w:divBdr>
            <w:top w:val="none" w:sz="0" w:space="0" w:color="auto"/>
            <w:left w:val="none" w:sz="0" w:space="0" w:color="auto"/>
            <w:bottom w:val="none" w:sz="0" w:space="0" w:color="auto"/>
            <w:right w:val="none" w:sz="0" w:space="0" w:color="auto"/>
          </w:divBdr>
        </w:div>
        <w:div w:id="893276651">
          <w:marLeft w:val="0"/>
          <w:marRight w:val="0"/>
          <w:marTop w:val="0"/>
          <w:marBottom w:val="0"/>
          <w:divBdr>
            <w:top w:val="none" w:sz="0" w:space="0" w:color="auto"/>
            <w:left w:val="none" w:sz="0" w:space="0" w:color="auto"/>
            <w:bottom w:val="none" w:sz="0" w:space="0" w:color="auto"/>
            <w:right w:val="none" w:sz="0" w:space="0" w:color="auto"/>
          </w:divBdr>
        </w:div>
        <w:div w:id="904560004">
          <w:marLeft w:val="0"/>
          <w:marRight w:val="0"/>
          <w:marTop w:val="0"/>
          <w:marBottom w:val="0"/>
          <w:divBdr>
            <w:top w:val="none" w:sz="0" w:space="0" w:color="auto"/>
            <w:left w:val="none" w:sz="0" w:space="0" w:color="auto"/>
            <w:bottom w:val="none" w:sz="0" w:space="0" w:color="auto"/>
            <w:right w:val="none" w:sz="0" w:space="0" w:color="auto"/>
          </w:divBdr>
        </w:div>
        <w:div w:id="1153983609">
          <w:marLeft w:val="0"/>
          <w:marRight w:val="0"/>
          <w:marTop w:val="0"/>
          <w:marBottom w:val="0"/>
          <w:divBdr>
            <w:top w:val="none" w:sz="0" w:space="0" w:color="auto"/>
            <w:left w:val="none" w:sz="0" w:space="0" w:color="auto"/>
            <w:bottom w:val="none" w:sz="0" w:space="0" w:color="auto"/>
            <w:right w:val="none" w:sz="0" w:space="0" w:color="auto"/>
          </w:divBdr>
        </w:div>
        <w:div w:id="1185899175">
          <w:marLeft w:val="0"/>
          <w:marRight w:val="0"/>
          <w:marTop w:val="0"/>
          <w:marBottom w:val="0"/>
          <w:divBdr>
            <w:top w:val="none" w:sz="0" w:space="0" w:color="auto"/>
            <w:left w:val="none" w:sz="0" w:space="0" w:color="auto"/>
            <w:bottom w:val="none" w:sz="0" w:space="0" w:color="auto"/>
            <w:right w:val="none" w:sz="0" w:space="0" w:color="auto"/>
          </w:divBdr>
        </w:div>
        <w:div w:id="1357075043">
          <w:marLeft w:val="0"/>
          <w:marRight w:val="0"/>
          <w:marTop w:val="0"/>
          <w:marBottom w:val="0"/>
          <w:divBdr>
            <w:top w:val="none" w:sz="0" w:space="0" w:color="auto"/>
            <w:left w:val="none" w:sz="0" w:space="0" w:color="auto"/>
            <w:bottom w:val="none" w:sz="0" w:space="0" w:color="auto"/>
            <w:right w:val="none" w:sz="0" w:space="0" w:color="auto"/>
          </w:divBdr>
        </w:div>
        <w:div w:id="1366906430">
          <w:marLeft w:val="0"/>
          <w:marRight w:val="0"/>
          <w:marTop w:val="0"/>
          <w:marBottom w:val="0"/>
          <w:divBdr>
            <w:top w:val="none" w:sz="0" w:space="0" w:color="auto"/>
            <w:left w:val="none" w:sz="0" w:space="0" w:color="auto"/>
            <w:bottom w:val="none" w:sz="0" w:space="0" w:color="auto"/>
            <w:right w:val="none" w:sz="0" w:space="0" w:color="auto"/>
          </w:divBdr>
        </w:div>
        <w:div w:id="1685667707">
          <w:marLeft w:val="0"/>
          <w:marRight w:val="0"/>
          <w:marTop w:val="0"/>
          <w:marBottom w:val="0"/>
          <w:divBdr>
            <w:top w:val="none" w:sz="0" w:space="0" w:color="auto"/>
            <w:left w:val="none" w:sz="0" w:space="0" w:color="auto"/>
            <w:bottom w:val="none" w:sz="0" w:space="0" w:color="auto"/>
            <w:right w:val="none" w:sz="0" w:space="0" w:color="auto"/>
          </w:divBdr>
        </w:div>
        <w:div w:id="1804496791">
          <w:marLeft w:val="0"/>
          <w:marRight w:val="0"/>
          <w:marTop w:val="0"/>
          <w:marBottom w:val="0"/>
          <w:divBdr>
            <w:top w:val="none" w:sz="0" w:space="0" w:color="auto"/>
            <w:left w:val="none" w:sz="0" w:space="0" w:color="auto"/>
            <w:bottom w:val="none" w:sz="0" w:space="0" w:color="auto"/>
            <w:right w:val="none" w:sz="0" w:space="0" w:color="auto"/>
          </w:divBdr>
        </w:div>
        <w:div w:id="1888684802">
          <w:marLeft w:val="0"/>
          <w:marRight w:val="0"/>
          <w:marTop w:val="0"/>
          <w:marBottom w:val="0"/>
          <w:divBdr>
            <w:top w:val="none" w:sz="0" w:space="0" w:color="auto"/>
            <w:left w:val="none" w:sz="0" w:space="0" w:color="auto"/>
            <w:bottom w:val="none" w:sz="0" w:space="0" w:color="auto"/>
            <w:right w:val="none" w:sz="0" w:space="0" w:color="auto"/>
          </w:divBdr>
        </w:div>
      </w:divsChild>
    </w:div>
    <w:div w:id="258418319">
      <w:bodyDiv w:val="1"/>
      <w:marLeft w:val="0"/>
      <w:marRight w:val="0"/>
      <w:marTop w:val="0"/>
      <w:marBottom w:val="0"/>
      <w:divBdr>
        <w:top w:val="none" w:sz="0" w:space="0" w:color="auto"/>
        <w:left w:val="none" w:sz="0" w:space="0" w:color="auto"/>
        <w:bottom w:val="none" w:sz="0" w:space="0" w:color="auto"/>
        <w:right w:val="none" w:sz="0" w:space="0" w:color="auto"/>
      </w:divBdr>
    </w:div>
    <w:div w:id="266275913">
      <w:bodyDiv w:val="1"/>
      <w:marLeft w:val="0"/>
      <w:marRight w:val="0"/>
      <w:marTop w:val="0"/>
      <w:marBottom w:val="0"/>
      <w:divBdr>
        <w:top w:val="none" w:sz="0" w:space="0" w:color="auto"/>
        <w:left w:val="none" w:sz="0" w:space="0" w:color="auto"/>
        <w:bottom w:val="none" w:sz="0" w:space="0" w:color="auto"/>
        <w:right w:val="none" w:sz="0" w:space="0" w:color="auto"/>
      </w:divBdr>
    </w:div>
    <w:div w:id="399065319">
      <w:bodyDiv w:val="1"/>
      <w:marLeft w:val="0"/>
      <w:marRight w:val="0"/>
      <w:marTop w:val="0"/>
      <w:marBottom w:val="0"/>
      <w:divBdr>
        <w:top w:val="none" w:sz="0" w:space="0" w:color="auto"/>
        <w:left w:val="none" w:sz="0" w:space="0" w:color="auto"/>
        <w:bottom w:val="none" w:sz="0" w:space="0" w:color="auto"/>
        <w:right w:val="none" w:sz="0" w:space="0" w:color="auto"/>
      </w:divBdr>
      <w:divsChild>
        <w:div w:id="159346836">
          <w:marLeft w:val="0"/>
          <w:marRight w:val="0"/>
          <w:marTop w:val="0"/>
          <w:marBottom w:val="0"/>
          <w:divBdr>
            <w:top w:val="none" w:sz="0" w:space="0" w:color="auto"/>
            <w:left w:val="none" w:sz="0" w:space="0" w:color="auto"/>
            <w:bottom w:val="none" w:sz="0" w:space="0" w:color="auto"/>
            <w:right w:val="none" w:sz="0" w:space="0" w:color="auto"/>
          </w:divBdr>
          <w:divsChild>
            <w:div w:id="1410349912">
              <w:marLeft w:val="0"/>
              <w:marRight w:val="0"/>
              <w:marTop w:val="0"/>
              <w:marBottom w:val="0"/>
              <w:divBdr>
                <w:top w:val="none" w:sz="0" w:space="0" w:color="auto"/>
                <w:left w:val="none" w:sz="0" w:space="0" w:color="auto"/>
                <w:bottom w:val="none" w:sz="0" w:space="0" w:color="auto"/>
                <w:right w:val="none" w:sz="0" w:space="0" w:color="auto"/>
              </w:divBdr>
            </w:div>
          </w:divsChild>
        </w:div>
        <w:div w:id="460150335">
          <w:marLeft w:val="0"/>
          <w:marRight w:val="0"/>
          <w:marTop w:val="0"/>
          <w:marBottom w:val="0"/>
          <w:divBdr>
            <w:top w:val="none" w:sz="0" w:space="0" w:color="auto"/>
            <w:left w:val="none" w:sz="0" w:space="0" w:color="auto"/>
            <w:bottom w:val="none" w:sz="0" w:space="0" w:color="auto"/>
            <w:right w:val="none" w:sz="0" w:space="0" w:color="auto"/>
          </w:divBdr>
          <w:divsChild>
            <w:div w:id="309092083">
              <w:marLeft w:val="0"/>
              <w:marRight w:val="0"/>
              <w:marTop w:val="0"/>
              <w:marBottom w:val="0"/>
              <w:divBdr>
                <w:top w:val="none" w:sz="0" w:space="0" w:color="auto"/>
                <w:left w:val="none" w:sz="0" w:space="0" w:color="auto"/>
                <w:bottom w:val="none" w:sz="0" w:space="0" w:color="auto"/>
                <w:right w:val="none" w:sz="0" w:space="0" w:color="auto"/>
              </w:divBdr>
            </w:div>
          </w:divsChild>
        </w:div>
        <w:div w:id="483007144">
          <w:marLeft w:val="0"/>
          <w:marRight w:val="0"/>
          <w:marTop w:val="0"/>
          <w:marBottom w:val="0"/>
          <w:divBdr>
            <w:top w:val="none" w:sz="0" w:space="0" w:color="auto"/>
            <w:left w:val="none" w:sz="0" w:space="0" w:color="auto"/>
            <w:bottom w:val="none" w:sz="0" w:space="0" w:color="auto"/>
            <w:right w:val="none" w:sz="0" w:space="0" w:color="auto"/>
          </w:divBdr>
          <w:divsChild>
            <w:div w:id="315958216">
              <w:marLeft w:val="0"/>
              <w:marRight w:val="0"/>
              <w:marTop w:val="0"/>
              <w:marBottom w:val="0"/>
              <w:divBdr>
                <w:top w:val="none" w:sz="0" w:space="0" w:color="auto"/>
                <w:left w:val="none" w:sz="0" w:space="0" w:color="auto"/>
                <w:bottom w:val="none" w:sz="0" w:space="0" w:color="auto"/>
                <w:right w:val="none" w:sz="0" w:space="0" w:color="auto"/>
              </w:divBdr>
            </w:div>
          </w:divsChild>
        </w:div>
        <w:div w:id="693731092">
          <w:marLeft w:val="0"/>
          <w:marRight w:val="0"/>
          <w:marTop w:val="0"/>
          <w:marBottom w:val="0"/>
          <w:divBdr>
            <w:top w:val="none" w:sz="0" w:space="0" w:color="auto"/>
            <w:left w:val="none" w:sz="0" w:space="0" w:color="auto"/>
            <w:bottom w:val="none" w:sz="0" w:space="0" w:color="auto"/>
            <w:right w:val="none" w:sz="0" w:space="0" w:color="auto"/>
          </w:divBdr>
          <w:divsChild>
            <w:div w:id="1684433745">
              <w:marLeft w:val="0"/>
              <w:marRight w:val="0"/>
              <w:marTop w:val="0"/>
              <w:marBottom w:val="0"/>
              <w:divBdr>
                <w:top w:val="none" w:sz="0" w:space="0" w:color="auto"/>
                <w:left w:val="none" w:sz="0" w:space="0" w:color="auto"/>
                <w:bottom w:val="none" w:sz="0" w:space="0" w:color="auto"/>
                <w:right w:val="none" w:sz="0" w:space="0" w:color="auto"/>
              </w:divBdr>
            </w:div>
          </w:divsChild>
        </w:div>
        <w:div w:id="1045908715">
          <w:marLeft w:val="0"/>
          <w:marRight w:val="0"/>
          <w:marTop w:val="0"/>
          <w:marBottom w:val="0"/>
          <w:divBdr>
            <w:top w:val="none" w:sz="0" w:space="0" w:color="auto"/>
            <w:left w:val="none" w:sz="0" w:space="0" w:color="auto"/>
            <w:bottom w:val="none" w:sz="0" w:space="0" w:color="auto"/>
            <w:right w:val="none" w:sz="0" w:space="0" w:color="auto"/>
          </w:divBdr>
          <w:divsChild>
            <w:div w:id="1195727085">
              <w:marLeft w:val="0"/>
              <w:marRight w:val="0"/>
              <w:marTop w:val="0"/>
              <w:marBottom w:val="0"/>
              <w:divBdr>
                <w:top w:val="none" w:sz="0" w:space="0" w:color="auto"/>
                <w:left w:val="none" w:sz="0" w:space="0" w:color="auto"/>
                <w:bottom w:val="none" w:sz="0" w:space="0" w:color="auto"/>
                <w:right w:val="none" w:sz="0" w:space="0" w:color="auto"/>
              </w:divBdr>
            </w:div>
          </w:divsChild>
        </w:div>
        <w:div w:id="1570581744">
          <w:marLeft w:val="0"/>
          <w:marRight w:val="0"/>
          <w:marTop w:val="0"/>
          <w:marBottom w:val="0"/>
          <w:divBdr>
            <w:top w:val="none" w:sz="0" w:space="0" w:color="auto"/>
            <w:left w:val="none" w:sz="0" w:space="0" w:color="auto"/>
            <w:bottom w:val="none" w:sz="0" w:space="0" w:color="auto"/>
            <w:right w:val="none" w:sz="0" w:space="0" w:color="auto"/>
          </w:divBdr>
          <w:divsChild>
            <w:div w:id="1917284395">
              <w:marLeft w:val="0"/>
              <w:marRight w:val="0"/>
              <w:marTop w:val="0"/>
              <w:marBottom w:val="0"/>
              <w:divBdr>
                <w:top w:val="none" w:sz="0" w:space="0" w:color="auto"/>
                <w:left w:val="none" w:sz="0" w:space="0" w:color="auto"/>
                <w:bottom w:val="none" w:sz="0" w:space="0" w:color="auto"/>
                <w:right w:val="none" w:sz="0" w:space="0" w:color="auto"/>
              </w:divBdr>
            </w:div>
          </w:divsChild>
        </w:div>
        <w:div w:id="1604455989">
          <w:marLeft w:val="0"/>
          <w:marRight w:val="0"/>
          <w:marTop w:val="0"/>
          <w:marBottom w:val="0"/>
          <w:divBdr>
            <w:top w:val="none" w:sz="0" w:space="0" w:color="auto"/>
            <w:left w:val="none" w:sz="0" w:space="0" w:color="auto"/>
            <w:bottom w:val="none" w:sz="0" w:space="0" w:color="auto"/>
            <w:right w:val="none" w:sz="0" w:space="0" w:color="auto"/>
          </w:divBdr>
          <w:divsChild>
            <w:div w:id="999114131">
              <w:marLeft w:val="0"/>
              <w:marRight w:val="0"/>
              <w:marTop w:val="0"/>
              <w:marBottom w:val="0"/>
              <w:divBdr>
                <w:top w:val="none" w:sz="0" w:space="0" w:color="auto"/>
                <w:left w:val="none" w:sz="0" w:space="0" w:color="auto"/>
                <w:bottom w:val="none" w:sz="0" w:space="0" w:color="auto"/>
                <w:right w:val="none" w:sz="0" w:space="0" w:color="auto"/>
              </w:divBdr>
            </w:div>
          </w:divsChild>
        </w:div>
        <w:div w:id="1618902839">
          <w:marLeft w:val="0"/>
          <w:marRight w:val="0"/>
          <w:marTop w:val="0"/>
          <w:marBottom w:val="0"/>
          <w:divBdr>
            <w:top w:val="none" w:sz="0" w:space="0" w:color="auto"/>
            <w:left w:val="none" w:sz="0" w:space="0" w:color="auto"/>
            <w:bottom w:val="none" w:sz="0" w:space="0" w:color="auto"/>
            <w:right w:val="none" w:sz="0" w:space="0" w:color="auto"/>
          </w:divBdr>
          <w:divsChild>
            <w:div w:id="502091695">
              <w:marLeft w:val="0"/>
              <w:marRight w:val="0"/>
              <w:marTop w:val="0"/>
              <w:marBottom w:val="0"/>
              <w:divBdr>
                <w:top w:val="none" w:sz="0" w:space="0" w:color="auto"/>
                <w:left w:val="none" w:sz="0" w:space="0" w:color="auto"/>
                <w:bottom w:val="none" w:sz="0" w:space="0" w:color="auto"/>
                <w:right w:val="none" w:sz="0" w:space="0" w:color="auto"/>
              </w:divBdr>
            </w:div>
          </w:divsChild>
        </w:div>
        <w:div w:id="1716349069">
          <w:marLeft w:val="0"/>
          <w:marRight w:val="0"/>
          <w:marTop w:val="0"/>
          <w:marBottom w:val="0"/>
          <w:divBdr>
            <w:top w:val="none" w:sz="0" w:space="0" w:color="auto"/>
            <w:left w:val="none" w:sz="0" w:space="0" w:color="auto"/>
            <w:bottom w:val="none" w:sz="0" w:space="0" w:color="auto"/>
            <w:right w:val="none" w:sz="0" w:space="0" w:color="auto"/>
          </w:divBdr>
          <w:divsChild>
            <w:div w:id="47460110">
              <w:marLeft w:val="0"/>
              <w:marRight w:val="0"/>
              <w:marTop w:val="0"/>
              <w:marBottom w:val="0"/>
              <w:divBdr>
                <w:top w:val="none" w:sz="0" w:space="0" w:color="auto"/>
                <w:left w:val="none" w:sz="0" w:space="0" w:color="auto"/>
                <w:bottom w:val="none" w:sz="0" w:space="0" w:color="auto"/>
                <w:right w:val="none" w:sz="0" w:space="0" w:color="auto"/>
              </w:divBdr>
            </w:div>
          </w:divsChild>
        </w:div>
        <w:div w:id="1917737882">
          <w:marLeft w:val="0"/>
          <w:marRight w:val="0"/>
          <w:marTop w:val="0"/>
          <w:marBottom w:val="0"/>
          <w:divBdr>
            <w:top w:val="none" w:sz="0" w:space="0" w:color="auto"/>
            <w:left w:val="none" w:sz="0" w:space="0" w:color="auto"/>
            <w:bottom w:val="none" w:sz="0" w:space="0" w:color="auto"/>
            <w:right w:val="none" w:sz="0" w:space="0" w:color="auto"/>
          </w:divBdr>
          <w:divsChild>
            <w:div w:id="1532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8798">
      <w:marLeft w:val="0"/>
      <w:marRight w:val="0"/>
      <w:marTop w:val="0"/>
      <w:marBottom w:val="0"/>
      <w:divBdr>
        <w:top w:val="none" w:sz="0" w:space="0" w:color="auto"/>
        <w:left w:val="none" w:sz="0" w:space="0" w:color="auto"/>
        <w:bottom w:val="none" w:sz="0" w:space="0" w:color="auto"/>
        <w:right w:val="none" w:sz="0" w:space="0" w:color="auto"/>
      </w:divBdr>
    </w:div>
    <w:div w:id="507133431">
      <w:bodyDiv w:val="1"/>
      <w:marLeft w:val="0"/>
      <w:marRight w:val="0"/>
      <w:marTop w:val="0"/>
      <w:marBottom w:val="0"/>
      <w:divBdr>
        <w:top w:val="none" w:sz="0" w:space="0" w:color="auto"/>
        <w:left w:val="none" w:sz="0" w:space="0" w:color="auto"/>
        <w:bottom w:val="none" w:sz="0" w:space="0" w:color="auto"/>
        <w:right w:val="none" w:sz="0" w:space="0" w:color="auto"/>
      </w:divBdr>
    </w:div>
    <w:div w:id="524249225">
      <w:bodyDiv w:val="1"/>
      <w:marLeft w:val="0"/>
      <w:marRight w:val="0"/>
      <w:marTop w:val="0"/>
      <w:marBottom w:val="0"/>
      <w:divBdr>
        <w:top w:val="none" w:sz="0" w:space="0" w:color="auto"/>
        <w:left w:val="none" w:sz="0" w:space="0" w:color="auto"/>
        <w:bottom w:val="none" w:sz="0" w:space="0" w:color="auto"/>
        <w:right w:val="none" w:sz="0" w:space="0" w:color="auto"/>
      </w:divBdr>
    </w:div>
    <w:div w:id="691299852">
      <w:bodyDiv w:val="1"/>
      <w:marLeft w:val="0"/>
      <w:marRight w:val="0"/>
      <w:marTop w:val="0"/>
      <w:marBottom w:val="0"/>
      <w:divBdr>
        <w:top w:val="none" w:sz="0" w:space="0" w:color="auto"/>
        <w:left w:val="none" w:sz="0" w:space="0" w:color="auto"/>
        <w:bottom w:val="none" w:sz="0" w:space="0" w:color="auto"/>
        <w:right w:val="none" w:sz="0" w:space="0" w:color="auto"/>
      </w:divBdr>
      <w:divsChild>
        <w:div w:id="732045949">
          <w:marLeft w:val="0"/>
          <w:marRight w:val="0"/>
          <w:marTop w:val="0"/>
          <w:marBottom w:val="0"/>
          <w:divBdr>
            <w:top w:val="none" w:sz="0" w:space="0" w:color="auto"/>
            <w:left w:val="none" w:sz="0" w:space="0" w:color="auto"/>
            <w:bottom w:val="none" w:sz="0" w:space="0" w:color="auto"/>
            <w:right w:val="none" w:sz="0" w:space="0" w:color="auto"/>
          </w:divBdr>
        </w:div>
        <w:div w:id="1013991994">
          <w:marLeft w:val="0"/>
          <w:marRight w:val="0"/>
          <w:marTop w:val="0"/>
          <w:marBottom w:val="0"/>
          <w:divBdr>
            <w:top w:val="none" w:sz="0" w:space="0" w:color="auto"/>
            <w:left w:val="none" w:sz="0" w:space="0" w:color="auto"/>
            <w:bottom w:val="none" w:sz="0" w:space="0" w:color="auto"/>
            <w:right w:val="none" w:sz="0" w:space="0" w:color="auto"/>
          </w:divBdr>
        </w:div>
        <w:div w:id="1328822851">
          <w:marLeft w:val="0"/>
          <w:marRight w:val="0"/>
          <w:marTop w:val="0"/>
          <w:marBottom w:val="0"/>
          <w:divBdr>
            <w:top w:val="none" w:sz="0" w:space="0" w:color="auto"/>
            <w:left w:val="none" w:sz="0" w:space="0" w:color="auto"/>
            <w:bottom w:val="none" w:sz="0" w:space="0" w:color="auto"/>
            <w:right w:val="none" w:sz="0" w:space="0" w:color="auto"/>
          </w:divBdr>
        </w:div>
      </w:divsChild>
    </w:div>
    <w:div w:id="734855515">
      <w:marLeft w:val="0"/>
      <w:marRight w:val="0"/>
      <w:marTop w:val="0"/>
      <w:marBottom w:val="0"/>
      <w:divBdr>
        <w:top w:val="none" w:sz="0" w:space="0" w:color="auto"/>
        <w:left w:val="none" w:sz="0" w:space="0" w:color="auto"/>
        <w:bottom w:val="none" w:sz="0" w:space="0" w:color="auto"/>
        <w:right w:val="none" w:sz="0" w:space="0" w:color="auto"/>
      </w:divBdr>
    </w:div>
    <w:div w:id="738864854">
      <w:bodyDiv w:val="1"/>
      <w:marLeft w:val="0"/>
      <w:marRight w:val="0"/>
      <w:marTop w:val="0"/>
      <w:marBottom w:val="0"/>
      <w:divBdr>
        <w:top w:val="none" w:sz="0" w:space="0" w:color="auto"/>
        <w:left w:val="none" w:sz="0" w:space="0" w:color="auto"/>
        <w:bottom w:val="none" w:sz="0" w:space="0" w:color="auto"/>
        <w:right w:val="none" w:sz="0" w:space="0" w:color="auto"/>
      </w:divBdr>
    </w:div>
    <w:div w:id="748844030">
      <w:bodyDiv w:val="1"/>
      <w:marLeft w:val="0"/>
      <w:marRight w:val="0"/>
      <w:marTop w:val="0"/>
      <w:marBottom w:val="0"/>
      <w:divBdr>
        <w:top w:val="none" w:sz="0" w:space="0" w:color="auto"/>
        <w:left w:val="none" w:sz="0" w:space="0" w:color="auto"/>
        <w:bottom w:val="none" w:sz="0" w:space="0" w:color="auto"/>
        <w:right w:val="none" w:sz="0" w:space="0" w:color="auto"/>
      </w:divBdr>
    </w:div>
    <w:div w:id="984893419">
      <w:marLeft w:val="0"/>
      <w:marRight w:val="0"/>
      <w:marTop w:val="0"/>
      <w:marBottom w:val="0"/>
      <w:divBdr>
        <w:top w:val="none" w:sz="0" w:space="0" w:color="auto"/>
        <w:left w:val="none" w:sz="0" w:space="0" w:color="auto"/>
        <w:bottom w:val="none" w:sz="0" w:space="0" w:color="auto"/>
        <w:right w:val="none" w:sz="0" w:space="0" w:color="auto"/>
      </w:divBdr>
    </w:div>
    <w:div w:id="1020738134">
      <w:bodyDiv w:val="1"/>
      <w:marLeft w:val="0"/>
      <w:marRight w:val="0"/>
      <w:marTop w:val="0"/>
      <w:marBottom w:val="0"/>
      <w:divBdr>
        <w:top w:val="none" w:sz="0" w:space="0" w:color="auto"/>
        <w:left w:val="none" w:sz="0" w:space="0" w:color="auto"/>
        <w:bottom w:val="none" w:sz="0" w:space="0" w:color="auto"/>
        <w:right w:val="none" w:sz="0" w:space="0" w:color="auto"/>
      </w:divBdr>
    </w:div>
    <w:div w:id="1077479542">
      <w:marLeft w:val="0"/>
      <w:marRight w:val="0"/>
      <w:marTop w:val="0"/>
      <w:marBottom w:val="0"/>
      <w:divBdr>
        <w:top w:val="none" w:sz="0" w:space="0" w:color="auto"/>
        <w:left w:val="none" w:sz="0" w:space="0" w:color="auto"/>
        <w:bottom w:val="none" w:sz="0" w:space="0" w:color="auto"/>
        <w:right w:val="none" w:sz="0" w:space="0" w:color="auto"/>
      </w:divBdr>
    </w:div>
    <w:div w:id="1120806355">
      <w:bodyDiv w:val="1"/>
      <w:marLeft w:val="0"/>
      <w:marRight w:val="0"/>
      <w:marTop w:val="0"/>
      <w:marBottom w:val="0"/>
      <w:divBdr>
        <w:top w:val="none" w:sz="0" w:space="0" w:color="auto"/>
        <w:left w:val="none" w:sz="0" w:space="0" w:color="auto"/>
        <w:bottom w:val="none" w:sz="0" w:space="0" w:color="auto"/>
        <w:right w:val="none" w:sz="0" w:space="0" w:color="auto"/>
      </w:divBdr>
    </w:div>
    <w:div w:id="1148550755">
      <w:bodyDiv w:val="1"/>
      <w:marLeft w:val="0"/>
      <w:marRight w:val="0"/>
      <w:marTop w:val="0"/>
      <w:marBottom w:val="0"/>
      <w:divBdr>
        <w:top w:val="none" w:sz="0" w:space="0" w:color="auto"/>
        <w:left w:val="none" w:sz="0" w:space="0" w:color="auto"/>
        <w:bottom w:val="none" w:sz="0" w:space="0" w:color="auto"/>
        <w:right w:val="none" w:sz="0" w:space="0" w:color="auto"/>
      </w:divBdr>
      <w:divsChild>
        <w:div w:id="644433864">
          <w:marLeft w:val="0"/>
          <w:marRight w:val="0"/>
          <w:marTop w:val="0"/>
          <w:marBottom w:val="0"/>
          <w:divBdr>
            <w:top w:val="none" w:sz="0" w:space="0" w:color="auto"/>
            <w:left w:val="none" w:sz="0" w:space="0" w:color="auto"/>
            <w:bottom w:val="none" w:sz="0" w:space="0" w:color="auto"/>
            <w:right w:val="none" w:sz="0" w:space="0" w:color="auto"/>
          </w:divBdr>
        </w:div>
        <w:div w:id="1601331996">
          <w:marLeft w:val="0"/>
          <w:marRight w:val="0"/>
          <w:marTop w:val="0"/>
          <w:marBottom w:val="0"/>
          <w:divBdr>
            <w:top w:val="none" w:sz="0" w:space="0" w:color="auto"/>
            <w:left w:val="none" w:sz="0" w:space="0" w:color="auto"/>
            <w:bottom w:val="none" w:sz="0" w:space="0" w:color="auto"/>
            <w:right w:val="none" w:sz="0" w:space="0" w:color="auto"/>
          </w:divBdr>
        </w:div>
        <w:div w:id="2109419651">
          <w:marLeft w:val="0"/>
          <w:marRight w:val="0"/>
          <w:marTop w:val="0"/>
          <w:marBottom w:val="0"/>
          <w:divBdr>
            <w:top w:val="none" w:sz="0" w:space="0" w:color="auto"/>
            <w:left w:val="none" w:sz="0" w:space="0" w:color="auto"/>
            <w:bottom w:val="none" w:sz="0" w:space="0" w:color="auto"/>
            <w:right w:val="none" w:sz="0" w:space="0" w:color="auto"/>
          </w:divBdr>
        </w:div>
      </w:divsChild>
    </w:div>
    <w:div w:id="1185244826">
      <w:bodyDiv w:val="1"/>
      <w:marLeft w:val="0"/>
      <w:marRight w:val="0"/>
      <w:marTop w:val="0"/>
      <w:marBottom w:val="0"/>
      <w:divBdr>
        <w:top w:val="none" w:sz="0" w:space="0" w:color="auto"/>
        <w:left w:val="none" w:sz="0" w:space="0" w:color="auto"/>
        <w:bottom w:val="none" w:sz="0" w:space="0" w:color="auto"/>
        <w:right w:val="none" w:sz="0" w:space="0" w:color="auto"/>
      </w:divBdr>
    </w:div>
    <w:div w:id="1186361468">
      <w:bodyDiv w:val="1"/>
      <w:marLeft w:val="0"/>
      <w:marRight w:val="0"/>
      <w:marTop w:val="0"/>
      <w:marBottom w:val="0"/>
      <w:divBdr>
        <w:top w:val="none" w:sz="0" w:space="0" w:color="auto"/>
        <w:left w:val="none" w:sz="0" w:space="0" w:color="auto"/>
        <w:bottom w:val="none" w:sz="0" w:space="0" w:color="auto"/>
        <w:right w:val="none" w:sz="0" w:space="0" w:color="auto"/>
      </w:divBdr>
    </w:div>
    <w:div w:id="1220753314">
      <w:bodyDiv w:val="1"/>
      <w:marLeft w:val="0"/>
      <w:marRight w:val="0"/>
      <w:marTop w:val="0"/>
      <w:marBottom w:val="0"/>
      <w:divBdr>
        <w:top w:val="none" w:sz="0" w:space="0" w:color="auto"/>
        <w:left w:val="none" w:sz="0" w:space="0" w:color="auto"/>
        <w:bottom w:val="none" w:sz="0" w:space="0" w:color="auto"/>
        <w:right w:val="none" w:sz="0" w:space="0" w:color="auto"/>
      </w:divBdr>
    </w:div>
    <w:div w:id="1240870153">
      <w:bodyDiv w:val="1"/>
      <w:marLeft w:val="0"/>
      <w:marRight w:val="0"/>
      <w:marTop w:val="0"/>
      <w:marBottom w:val="0"/>
      <w:divBdr>
        <w:top w:val="none" w:sz="0" w:space="0" w:color="auto"/>
        <w:left w:val="none" w:sz="0" w:space="0" w:color="auto"/>
        <w:bottom w:val="none" w:sz="0" w:space="0" w:color="auto"/>
        <w:right w:val="none" w:sz="0" w:space="0" w:color="auto"/>
      </w:divBdr>
    </w:div>
    <w:div w:id="1268805186">
      <w:bodyDiv w:val="1"/>
      <w:marLeft w:val="0"/>
      <w:marRight w:val="0"/>
      <w:marTop w:val="0"/>
      <w:marBottom w:val="0"/>
      <w:divBdr>
        <w:top w:val="none" w:sz="0" w:space="0" w:color="auto"/>
        <w:left w:val="none" w:sz="0" w:space="0" w:color="auto"/>
        <w:bottom w:val="none" w:sz="0" w:space="0" w:color="auto"/>
        <w:right w:val="none" w:sz="0" w:space="0" w:color="auto"/>
      </w:divBdr>
      <w:divsChild>
        <w:div w:id="641429560">
          <w:marLeft w:val="0"/>
          <w:marRight w:val="0"/>
          <w:marTop w:val="0"/>
          <w:marBottom w:val="0"/>
          <w:divBdr>
            <w:top w:val="none" w:sz="0" w:space="0" w:color="auto"/>
            <w:left w:val="none" w:sz="0" w:space="0" w:color="auto"/>
            <w:bottom w:val="none" w:sz="0" w:space="0" w:color="auto"/>
            <w:right w:val="none" w:sz="0" w:space="0" w:color="auto"/>
          </w:divBdr>
        </w:div>
        <w:div w:id="743991007">
          <w:marLeft w:val="0"/>
          <w:marRight w:val="0"/>
          <w:marTop w:val="0"/>
          <w:marBottom w:val="0"/>
          <w:divBdr>
            <w:top w:val="none" w:sz="0" w:space="0" w:color="auto"/>
            <w:left w:val="none" w:sz="0" w:space="0" w:color="auto"/>
            <w:bottom w:val="none" w:sz="0" w:space="0" w:color="auto"/>
            <w:right w:val="none" w:sz="0" w:space="0" w:color="auto"/>
          </w:divBdr>
        </w:div>
        <w:div w:id="2036269614">
          <w:marLeft w:val="0"/>
          <w:marRight w:val="0"/>
          <w:marTop w:val="0"/>
          <w:marBottom w:val="0"/>
          <w:divBdr>
            <w:top w:val="none" w:sz="0" w:space="0" w:color="auto"/>
            <w:left w:val="none" w:sz="0" w:space="0" w:color="auto"/>
            <w:bottom w:val="none" w:sz="0" w:space="0" w:color="auto"/>
            <w:right w:val="none" w:sz="0" w:space="0" w:color="auto"/>
          </w:divBdr>
        </w:div>
      </w:divsChild>
    </w:div>
    <w:div w:id="1428624293">
      <w:bodyDiv w:val="1"/>
      <w:marLeft w:val="0"/>
      <w:marRight w:val="0"/>
      <w:marTop w:val="0"/>
      <w:marBottom w:val="0"/>
      <w:divBdr>
        <w:top w:val="none" w:sz="0" w:space="0" w:color="auto"/>
        <w:left w:val="none" w:sz="0" w:space="0" w:color="auto"/>
        <w:bottom w:val="none" w:sz="0" w:space="0" w:color="auto"/>
        <w:right w:val="none" w:sz="0" w:space="0" w:color="auto"/>
      </w:divBdr>
    </w:div>
    <w:div w:id="1460761957">
      <w:bodyDiv w:val="1"/>
      <w:marLeft w:val="0"/>
      <w:marRight w:val="0"/>
      <w:marTop w:val="0"/>
      <w:marBottom w:val="0"/>
      <w:divBdr>
        <w:top w:val="none" w:sz="0" w:space="0" w:color="auto"/>
        <w:left w:val="none" w:sz="0" w:space="0" w:color="auto"/>
        <w:bottom w:val="none" w:sz="0" w:space="0" w:color="auto"/>
        <w:right w:val="none" w:sz="0" w:space="0" w:color="auto"/>
      </w:divBdr>
    </w:div>
    <w:div w:id="1542131108">
      <w:bodyDiv w:val="1"/>
      <w:marLeft w:val="0"/>
      <w:marRight w:val="0"/>
      <w:marTop w:val="0"/>
      <w:marBottom w:val="0"/>
      <w:divBdr>
        <w:top w:val="none" w:sz="0" w:space="0" w:color="auto"/>
        <w:left w:val="none" w:sz="0" w:space="0" w:color="auto"/>
        <w:bottom w:val="none" w:sz="0" w:space="0" w:color="auto"/>
        <w:right w:val="none" w:sz="0" w:space="0" w:color="auto"/>
      </w:divBdr>
    </w:div>
    <w:div w:id="1575355241">
      <w:bodyDiv w:val="1"/>
      <w:marLeft w:val="0"/>
      <w:marRight w:val="0"/>
      <w:marTop w:val="0"/>
      <w:marBottom w:val="0"/>
      <w:divBdr>
        <w:top w:val="none" w:sz="0" w:space="0" w:color="auto"/>
        <w:left w:val="none" w:sz="0" w:space="0" w:color="auto"/>
        <w:bottom w:val="none" w:sz="0" w:space="0" w:color="auto"/>
        <w:right w:val="none" w:sz="0" w:space="0" w:color="auto"/>
      </w:divBdr>
    </w:div>
    <w:div w:id="1577278479">
      <w:marLeft w:val="0"/>
      <w:marRight w:val="0"/>
      <w:marTop w:val="0"/>
      <w:marBottom w:val="0"/>
      <w:divBdr>
        <w:top w:val="none" w:sz="0" w:space="0" w:color="auto"/>
        <w:left w:val="none" w:sz="0" w:space="0" w:color="auto"/>
        <w:bottom w:val="none" w:sz="0" w:space="0" w:color="auto"/>
        <w:right w:val="none" w:sz="0" w:space="0" w:color="auto"/>
      </w:divBdr>
    </w:div>
    <w:div w:id="1590381364">
      <w:bodyDiv w:val="1"/>
      <w:marLeft w:val="0"/>
      <w:marRight w:val="0"/>
      <w:marTop w:val="0"/>
      <w:marBottom w:val="0"/>
      <w:divBdr>
        <w:top w:val="none" w:sz="0" w:space="0" w:color="auto"/>
        <w:left w:val="none" w:sz="0" w:space="0" w:color="auto"/>
        <w:bottom w:val="none" w:sz="0" w:space="0" w:color="auto"/>
        <w:right w:val="none" w:sz="0" w:space="0" w:color="auto"/>
      </w:divBdr>
      <w:divsChild>
        <w:div w:id="969631259">
          <w:marLeft w:val="0"/>
          <w:marRight w:val="0"/>
          <w:marTop w:val="0"/>
          <w:marBottom w:val="0"/>
          <w:divBdr>
            <w:top w:val="none" w:sz="0" w:space="0" w:color="auto"/>
            <w:left w:val="none" w:sz="0" w:space="0" w:color="auto"/>
            <w:bottom w:val="none" w:sz="0" w:space="0" w:color="auto"/>
            <w:right w:val="none" w:sz="0" w:space="0" w:color="auto"/>
          </w:divBdr>
        </w:div>
        <w:div w:id="1275989025">
          <w:marLeft w:val="0"/>
          <w:marRight w:val="0"/>
          <w:marTop w:val="0"/>
          <w:marBottom w:val="0"/>
          <w:divBdr>
            <w:top w:val="none" w:sz="0" w:space="0" w:color="auto"/>
            <w:left w:val="none" w:sz="0" w:space="0" w:color="auto"/>
            <w:bottom w:val="none" w:sz="0" w:space="0" w:color="auto"/>
            <w:right w:val="none" w:sz="0" w:space="0" w:color="auto"/>
          </w:divBdr>
        </w:div>
        <w:div w:id="1651903761">
          <w:marLeft w:val="0"/>
          <w:marRight w:val="0"/>
          <w:marTop w:val="0"/>
          <w:marBottom w:val="0"/>
          <w:divBdr>
            <w:top w:val="none" w:sz="0" w:space="0" w:color="auto"/>
            <w:left w:val="none" w:sz="0" w:space="0" w:color="auto"/>
            <w:bottom w:val="none" w:sz="0" w:space="0" w:color="auto"/>
            <w:right w:val="none" w:sz="0" w:space="0" w:color="auto"/>
          </w:divBdr>
        </w:div>
      </w:divsChild>
    </w:div>
    <w:div w:id="1604655085">
      <w:bodyDiv w:val="1"/>
      <w:marLeft w:val="0"/>
      <w:marRight w:val="0"/>
      <w:marTop w:val="0"/>
      <w:marBottom w:val="0"/>
      <w:divBdr>
        <w:top w:val="none" w:sz="0" w:space="0" w:color="auto"/>
        <w:left w:val="none" w:sz="0" w:space="0" w:color="auto"/>
        <w:bottom w:val="none" w:sz="0" w:space="0" w:color="auto"/>
        <w:right w:val="none" w:sz="0" w:space="0" w:color="auto"/>
      </w:divBdr>
    </w:div>
    <w:div w:id="1641692865">
      <w:bodyDiv w:val="1"/>
      <w:marLeft w:val="0"/>
      <w:marRight w:val="0"/>
      <w:marTop w:val="0"/>
      <w:marBottom w:val="0"/>
      <w:divBdr>
        <w:top w:val="none" w:sz="0" w:space="0" w:color="auto"/>
        <w:left w:val="none" w:sz="0" w:space="0" w:color="auto"/>
        <w:bottom w:val="none" w:sz="0" w:space="0" w:color="auto"/>
        <w:right w:val="none" w:sz="0" w:space="0" w:color="auto"/>
      </w:divBdr>
      <w:divsChild>
        <w:div w:id="26101032">
          <w:marLeft w:val="0"/>
          <w:marRight w:val="0"/>
          <w:marTop w:val="0"/>
          <w:marBottom w:val="0"/>
          <w:divBdr>
            <w:top w:val="none" w:sz="0" w:space="0" w:color="auto"/>
            <w:left w:val="none" w:sz="0" w:space="0" w:color="auto"/>
            <w:bottom w:val="none" w:sz="0" w:space="0" w:color="auto"/>
            <w:right w:val="none" w:sz="0" w:space="0" w:color="auto"/>
          </w:divBdr>
          <w:divsChild>
            <w:div w:id="1333987699">
              <w:marLeft w:val="0"/>
              <w:marRight w:val="0"/>
              <w:marTop w:val="0"/>
              <w:marBottom w:val="0"/>
              <w:divBdr>
                <w:top w:val="none" w:sz="0" w:space="0" w:color="auto"/>
                <w:left w:val="none" w:sz="0" w:space="0" w:color="auto"/>
                <w:bottom w:val="none" w:sz="0" w:space="0" w:color="auto"/>
                <w:right w:val="none" w:sz="0" w:space="0" w:color="auto"/>
              </w:divBdr>
            </w:div>
          </w:divsChild>
        </w:div>
        <w:div w:id="37123467">
          <w:marLeft w:val="0"/>
          <w:marRight w:val="0"/>
          <w:marTop w:val="0"/>
          <w:marBottom w:val="0"/>
          <w:divBdr>
            <w:top w:val="none" w:sz="0" w:space="0" w:color="auto"/>
            <w:left w:val="none" w:sz="0" w:space="0" w:color="auto"/>
            <w:bottom w:val="none" w:sz="0" w:space="0" w:color="auto"/>
            <w:right w:val="none" w:sz="0" w:space="0" w:color="auto"/>
          </w:divBdr>
          <w:divsChild>
            <w:div w:id="16202172">
              <w:marLeft w:val="0"/>
              <w:marRight w:val="0"/>
              <w:marTop w:val="0"/>
              <w:marBottom w:val="0"/>
              <w:divBdr>
                <w:top w:val="none" w:sz="0" w:space="0" w:color="auto"/>
                <w:left w:val="none" w:sz="0" w:space="0" w:color="auto"/>
                <w:bottom w:val="none" w:sz="0" w:space="0" w:color="auto"/>
                <w:right w:val="none" w:sz="0" w:space="0" w:color="auto"/>
              </w:divBdr>
            </w:div>
          </w:divsChild>
        </w:div>
        <w:div w:id="45686717">
          <w:marLeft w:val="0"/>
          <w:marRight w:val="0"/>
          <w:marTop w:val="0"/>
          <w:marBottom w:val="0"/>
          <w:divBdr>
            <w:top w:val="none" w:sz="0" w:space="0" w:color="auto"/>
            <w:left w:val="none" w:sz="0" w:space="0" w:color="auto"/>
            <w:bottom w:val="none" w:sz="0" w:space="0" w:color="auto"/>
            <w:right w:val="none" w:sz="0" w:space="0" w:color="auto"/>
          </w:divBdr>
          <w:divsChild>
            <w:div w:id="1381445001">
              <w:marLeft w:val="0"/>
              <w:marRight w:val="0"/>
              <w:marTop w:val="0"/>
              <w:marBottom w:val="0"/>
              <w:divBdr>
                <w:top w:val="none" w:sz="0" w:space="0" w:color="auto"/>
                <w:left w:val="none" w:sz="0" w:space="0" w:color="auto"/>
                <w:bottom w:val="none" w:sz="0" w:space="0" w:color="auto"/>
                <w:right w:val="none" w:sz="0" w:space="0" w:color="auto"/>
              </w:divBdr>
            </w:div>
          </w:divsChild>
        </w:div>
        <w:div w:id="271592344">
          <w:marLeft w:val="0"/>
          <w:marRight w:val="0"/>
          <w:marTop w:val="0"/>
          <w:marBottom w:val="0"/>
          <w:divBdr>
            <w:top w:val="none" w:sz="0" w:space="0" w:color="auto"/>
            <w:left w:val="none" w:sz="0" w:space="0" w:color="auto"/>
            <w:bottom w:val="none" w:sz="0" w:space="0" w:color="auto"/>
            <w:right w:val="none" w:sz="0" w:space="0" w:color="auto"/>
          </w:divBdr>
          <w:divsChild>
            <w:div w:id="1219628754">
              <w:marLeft w:val="0"/>
              <w:marRight w:val="0"/>
              <w:marTop w:val="0"/>
              <w:marBottom w:val="0"/>
              <w:divBdr>
                <w:top w:val="none" w:sz="0" w:space="0" w:color="auto"/>
                <w:left w:val="none" w:sz="0" w:space="0" w:color="auto"/>
                <w:bottom w:val="none" w:sz="0" w:space="0" w:color="auto"/>
                <w:right w:val="none" w:sz="0" w:space="0" w:color="auto"/>
              </w:divBdr>
            </w:div>
          </w:divsChild>
        </w:div>
        <w:div w:id="281422205">
          <w:marLeft w:val="0"/>
          <w:marRight w:val="0"/>
          <w:marTop w:val="0"/>
          <w:marBottom w:val="0"/>
          <w:divBdr>
            <w:top w:val="none" w:sz="0" w:space="0" w:color="auto"/>
            <w:left w:val="none" w:sz="0" w:space="0" w:color="auto"/>
            <w:bottom w:val="none" w:sz="0" w:space="0" w:color="auto"/>
            <w:right w:val="none" w:sz="0" w:space="0" w:color="auto"/>
          </w:divBdr>
          <w:divsChild>
            <w:div w:id="1870951022">
              <w:marLeft w:val="0"/>
              <w:marRight w:val="0"/>
              <w:marTop w:val="0"/>
              <w:marBottom w:val="0"/>
              <w:divBdr>
                <w:top w:val="none" w:sz="0" w:space="0" w:color="auto"/>
                <w:left w:val="none" w:sz="0" w:space="0" w:color="auto"/>
                <w:bottom w:val="none" w:sz="0" w:space="0" w:color="auto"/>
                <w:right w:val="none" w:sz="0" w:space="0" w:color="auto"/>
              </w:divBdr>
            </w:div>
          </w:divsChild>
        </w:div>
        <w:div w:id="331378924">
          <w:marLeft w:val="0"/>
          <w:marRight w:val="0"/>
          <w:marTop w:val="0"/>
          <w:marBottom w:val="0"/>
          <w:divBdr>
            <w:top w:val="none" w:sz="0" w:space="0" w:color="auto"/>
            <w:left w:val="none" w:sz="0" w:space="0" w:color="auto"/>
            <w:bottom w:val="none" w:sz="0" w:space="0" w:color="auto"/>
            <w:right w:val="none" w:sz="0" w:space="0" w:color="auto"/>
          </w:divBdr>
          <w:divsChild>
            <w:div w:id="1645936737">
              <w:marLeft w:val="0"/>
              <w:marRight w:val="0"/>
              <w:marTop w:val="0"/>
              <w:marBottom w:val="0"/>
              <w:divBdr>
                <w:top w:val="none" w:sz="0" w:space="0" w:color="auto"/>
                <w:left w:val="none" w:sz="0" w:space="0" w:color="auto"/>
                <w:bottom w:val="none" w:sz="0" w:space="0" w:color="auto"/>
                <w:right w:val="none" w:sz="0" w:space="0" w:color="auto"/>
              </w:divBdr>
            </w:div>
          </w:divsChild>
        </w:div>
        <w:div w:id="408962084">
          <w:marLeft w:val="0"/>
          <w:marRight w:val="0"/>
          <w:marTop w:val="0"/>
          <w:marBottom w:val="0"/>
          <w:divBdr>
            <w:top w:val="none" w:sz="0" w:space="0" w:color="auto"/>
            <w:left w:val="none" w:sz="0" w:space="0" w:color="auto"/>
            <w:bottom w:val="none" w:sz="0" w:space="0" w:color="auto"/>
            <w:right w:val="none" w:sz="0" w:space="0" w:color="auto"/>
          </w:divBdr>
          <w:divsChild>
            <w:div w:id="1790663240">
              <w:marLeft w:val="0"/>
              <w:marRight w:val="0"/>
              <w:marTop w:val="0"/>
              <w:marBottom w:val="0"/>
              <w:divBdr>
                <w:top w:val="none" w:sz="0" w:space="0" w:color="auto"/>
                <w:left w:val="none" w:sz="0" w:space="0" w:color="auto"/>
                <w:bottom w:val="none" w:sz="0" w:space="0" w:color="auto"/>
                <w:right w:val="none" w:sz="0" w:space="0" w:color="auto"/>
              </w:divBdr>
            </w:div>
          </w:divsChild>
        </w:div>
        <w:div w:id="415590212">
          <w:marLeft w:val="0"/>
          <w:marRight w:val="0"/>
          <w:marTop w:val="0"/>
          <w:marBottom w:val="0"/>
          <w:divBdr>
            <w:top w:val="none" w:sz="0" w:space="0" w:color="auto"/>
            <w:left w:val="none" w:sz="0" w:space="0" w:color="auto"/>
            <w:bottom w:val="none" w:sz="0" w:space="0" w:color="auto"/>
            <w:right w:val="none" w:sz="0" w:space="0" w:color="auto"/>
          </w:divBdr>
          <w:divsChild>
            <w:div w:id="1317145755">
              <w:marLeft w:val="0"/>
              <w:marRight w:val="0"/>
              <w:marTop w:val="0"/>
              <w:marBottom w:val="0"/>
              <w:divBdr>
                <w:top w:val="none" w:sz="0" w:space="0" w:color="auto"/>
                <w:left w:val="none" w:sz="0" w:space="0" w:color="auto"/>
                <w:bottom w:val="none" w:sz="0" w:space="0" w:color="auto"/>
                <w:right w:val="none" w:sz="0" w:space="0" w:color="auto"/>
              </w:divBdr>
            </w:div>
          </w:divsChild>
        </w:div>
        <w:div w:id="505171583">
          <w:marLeft w:val="0"/>
          <w:marRight w:val="0"/>
          <w:marTop w:val="0"/>
          <w:marBottom w:val="0"/>
          <w:divBdr>
            <w:top w:val="none" w:sz="0" w:space="0" w:color="auto"/>
            <w:left w:val="none" w:sz="0" w:space="0" w:color="auto"/>
            <w:bottom w:val="none" w:sz="0" w:space="0" w:color="auto"/>
            <w:right w:val="none" w:sz="0" w:space="0" w:color="auto"/>
          </w:divBdr>
          <w:divsChild>
            <w:div w:id="268851060">
              <w:marLeft w:val="0"/>
              <w:marRight w:val="0"/>
              <w:marTop w:val="0"/>
              <w:marBottom w:val="0"/>
              <w:divBdr>
                <w:top w:val="none" w:sz="0" w:space="0" w:color="auto"/>
                <w:left w:val="none" w:sz="0" w:space="0" w:color="auto"/>
                <w:bottom w:val="none" w:sz="0" w:space="0" w:color="auto"/>
                <w:right w:val="none" w:sz="0" w:space="0" w:color="auto"/>
              </w:divBdr>
            </w:div>
          </w:divsChild>
        </w:div>
        <w:div w:id="663122860">
          <w:marLeft w:val="0"/>
          <w:marRight w:val="0"/>
          <w:marTop w:val="0"/>
          <w:marBottom w:val="0"/>
          <w:divBdr>
            <w:top w:val="none" w:sz="0" w:space="0" w:color="auto"/>
            <w:left w:val="none" w:sz="0" w:space="0" w:color="auto"/>
            <w:bottom w:val="none" w:sz="0" w:space="0" w:color="auto"/>
            <w:right w:val="none" w:sz="0" w:space="0" w:color="auto"/>
          </w:divBdr>
          <w:divsChild>
            <w:div w:id="736317607">
              <w:marLeft w:val="0"/>
              <w:marRight w:val="0"/>
              <w:marTop w:val="0"/>
              <w:marBottom w:val="0"/>
              <w:divBdr>
                <w:top w:val="none" w:sz="0" w:space="0" w:color="auto"/>
                <w:left w:val="none" w:sz="0" w:space="0" w:color="auto"/>
                <w:bottom w:val="none" w:sz="0" w:space="0" w:color="auto"/>
                <w:right w:val="none" w:sz="0" w:space="0" w:color="auto"/>
              </w:divBdr>
            </w:div>
          </w:divsChild>
        </w:div>
        <w:div w:id="743912901">
          <w:marLeft w:val="0"/>
          <w:marRight w:val="0"/>
          <w:marTop w:val="0"/>
          <w:marBottom w:val="0"/>
          <w:divBdr>
            <w:top w:val="none" w:sz="0" w:space="0" w:color="auto"/>
            <w:left w:val="none" w:sz="0" w:space="0" w:color="auto"/>
            <w:bottom w:val="none" w:sz="0" w:space="0" w:color="auto"/>
            <w:right w:val="none" w:sz="0" w:space="0" w:color="auto"/>
          </w:divBdr>
          <w:divsChild>
            <w:div w:id="1212814779">
              <w:marLeft w:val="0"/>
              <w:marRight w:val="0"/>
              <w:marTop w:val="0"/>
              <w:marBottom w:val="0"/>
              <w:divBdr>
                <w:top w:val="none" w:sz="0" w:space="0" w:color="auto"/>
                <w:left w:val="none" w:sz="0" w:space="0" w:color="auto"/>
                <w:bottom w:val="none" w:sz="0" w:space="0" w:color="auto"/>
                <w:right w:val="none" w:sz="0" w:space="0" w:color="auto"/>
              </w:divBdr>
            </w:div>
          </w:divsChild>
        </w:div>
        <w:div w:id="809596912">
          <w:marLeft w:val="0"/>
          <w:marRight w:val="0"/>
          <w:marTop w:val="0"/>
          <w:marBottom w:val="0"/>
          <w:divBdr>
            <w:top w:val="none" w:sz="0" w:space="0" w:color="auto"/>
            <w:left w:val="none" w:sz="0" w:space="0" w:color="auto"/>
            <w:bottom w:val="none" w:sz="0" w:space="0" w:color="auto"/>
            <w:right w:val="none" w:sz="0" w:space="0" w:color="auto"/>
          </w:divBdr>
          <w:divsChild>
            <w:div w:id="1655983701">
              <w:marLeft w:val="0"/>
              <w:marRight w:val="0"/>
              <w:marTop w:val="0"/>
              <w:marBottom w:val="0"/>
              <w:divBdr>
                <w:top w:val="none" w:sz="0" w:space="0" w:color="auto"/>
                <w:left w:val="none" w:sz="0" w:space="0" w:color="auto"/>
                <w:bottom w:val="none" w:sz="0" w:space="0" w:color="auto"/>
                <w:right w:val="none" w:sz="0" w:space="0" w:color="auto"/>
              </w:divBdr>
            </w:div>
          </w:divsChild>
        </w:div>
        <w:div w:id="904797633">
          <w:marLeft w:val="0"/>
          <w:marRight w:val="0"/>
          <w:marTop w:val="0"/>
          <w:marBottom w:val="0"/>
          <w:divBdr>
            <w:top w:val="none" w:sz="0" w:space="0" w:color="auto"/>
            <w:left w:val="none" w:sz="0" w:space="0" w:color="auto"/>
            <w:bottom w:val="none" w:sz="0" w:space="0" w:color="auto"/>
            <w:right w:val="none" w:sz="0" w:space="0" w:color="auto"/>
          </w:divBdr>
          <w:divsChild>
            <w:div w:id="1001617528">
              <w:marLeft w:val="0"/>
              <w:marRight w:val="0"/>
              <w:marTop w:val="0"/>
              <w:marBottom w:val="0"/>
              <w:divBdr>
                <w:top w:val="none" w:sz="0" w:space="0" w:color="auto"/>
                <w:left w:val="none" w:sz="0" w:space="0" w:color="auto"/>
                <w:bottom w:val="none" w:sz="0" w:space="0" w:color="auto"/>
                <w:right w:val="none" w:sz="0" w:space="0" w:color="auto"/>
              </w:divBdr>
            </w:div>
            <w:div w:id="1272130648">
              <w:marLeft w:val="0"/>
              <w:marRight w:val="0"/>
              <w:marTop w:val="0"/>
              <w:marBottom w:val="0"/>
              <w:divBdr>
                <w:top w:val="none" w:sz="0" w:space="0" w:color="auto"/>
                <w:left w:val="none" w:sz="0" w:space="0" w:color="auto"/>
                <w:bottom w:val="none" w:sz="0" w:space="0" w:color="auto"/>
                <w:right w:val="none" w:sz="0" w:space="0" w:color="auto"/>
              </w:divBdr>
            </w:div>
          </w:divsChild>
        </w:div>
        <w:div w:id="996303519">
          <w:marLeft w:val="0"/>
          <w:marRight w:val="0"/>
          <w:marTop w:val="0"/>
          <w:marBottom w:val="0"/>
          <w:divBdr>
            <w:top w:val="none" w:sz="0" w:space="0" w:color="auto"/>
            <w:left w:val="none" w:sz="0" w:space="0" w:color="auto"/>
            <w:bottom w:val="none" w:sz="0" w:space="0" w:color="auto"/>
            <w:right w:val="none" w:sz="0" w:space="0" w:color="auto"/>
          </w:divBdr>
          <w:divsChild>
            <w:div w:id="1812137806">
              <w:marLeft w:val="0"/>
              <w:marRight w:val="0"/>
              <w:marTop w:val="0"/>
              <w:marBottom w:val="0"/>
              <w:divBdr>
                <w:top w:val="none" w:sz="0" w:space="0" w:color="auto"/>
                <w:left w:val="none" w:sz="0" w:space="0" w:color="auto"/>
                <w:bottom w:val="none" w:sz="0" w:space="0" w:color="auto"/>
                <w:right w:val="none" w:sz="0" w:space="0" w:color="auto"/>
              </w:divBdr>
            </w:div>
          </w:divsChild>
        </w:div>
        <w:div w:id="1022367370">
          <w:marLeft w:val="0"/>
          <w:marRight w:val="0"/>
          <w:marTop w:val="0"/>
          <w:marBottom w:val="0"/>
          <w:divBdr>
            <w:top w:val="none" w:sz="0" w:space="0" w:color="auto"/>
            <w:left w:val="none" w:sz="0" w:space="0" w:color="auto"/>
            <w:bottom w:val="none" w:sz="0" w:space="0" w:color="auto"/>
            <w:right w:val="none" w:sz="0" w:space="0" w:color="auto"/>
          </w:divBdr>
          <w:divsChild>
            <w:div w:id="249003465">
              <w:marLeft w:val="0"/>
              <w:marRight w:val="0"/>
              <w:marTop w:val="0"/>
              <w:marBottom w:val="0"/>
              <w:divBdr>
                <w:top w:val="none" w:sz="0" w:space="0" w:color="auto"/>
                <w:left w:val="none" w:sz="0" w:space="0" w:color="auto"/>
                <w:bottom w:val="none" w:sz="0" w:space="0" w:color="auto"/>
                <w:right w:val="none" w:sz="0" w:space="0" w:color="auto"/>
              </w:divBdr>
            </w:div>
          </w:divsChild>
        </w:div>
        <w:div w:id="1089234358">
          <w:marLeft w:val="0"/>
          <w:marRight w:val="0"/>
          <w:marTop w:val="0"/>
          <w:marBottom w:val="0"/>
          <w:divBdr>
            <w:top w:val="none" w:sz="0" w:space="0" w:color="auto"/>
            <w:left w:val="none" w:sz="0" w:space="0" w:color="auto"/>
            <w:bottom w:val="none" w:sz="0" w:space="0" w:color="auto"/>
            <w:right w:val="none" w:sz="0" w:space="0" w:color="auto"/>
          </w:divBdr>
          <w:divsChild>
            <w:div w:id="307563626">
              <w:marLeft w:val="0"/>
              <w:marRight w:val="0"/>
              <w:marTop w:val="0"/>
              <w:marBottom w:val="0"/>
              <w:divBdr>
                <w:top w:val="none" w:sz="0" w:space="0" w:color="auto"/>
                <w:left w:val="none" w:sz="0" w:space="0" w:color="auto"/>
                <w:bottom w:val="none" w:sz="0" w:space="0" w:color="auto"/>
                <w:right w:val="none" w:sz="0" w:space="0" w:color="auto"/>
              </w:divBdr>
            </w:div>
          </w:divsChild>
        </w:div>
        <w:div w:id="1127047784">
          <w:marLeft w:val="0"/>
          <w:marRight w:val="0"/>
          <w:marTop w:val="0"/>
          <w:marBottom w:val="0"/>
          <w:divBdr>
            <w:top w:val="none" w:sz="0" w:space="0" w:color="auto"/>
            <w:left w:val="none" w:sz="0" w:space="0" w:color="auto"/>
            <w:bottom w:val="none" w:sz="0" w:space="0" w:color="auto"/>
            <w:right w:val="none" w:sz="0" w:space="0" w:color="auto"/>
          </w:divBdr>
          <w:divsChild>
            <w:div w:id="1155224323">
              <w:marLeft w:val="0"/>
              <w:marRight w:val="0"/>
              <w:marTop w:val="0"/>
              <w:marBottom w:val="0"/>
              <w:divBdr>
                <w:top w:val="none" w:sz="0" w:space="0" w:color="auto"/>
                <w:left w:val="none" w:sz="0" w:space="0" w:color="auto"/>
                <w:bottom w:val="none" w:sz="0" w:space="0" w:color="auto"/>
                <w:right w:val="none" w:sz="0" w:space="0" w:color="auto"/>
              </w:divBdr>
            </w:div>
          </w:divsChild>
        </w:div>
        <w:div w:id="1152062134">
          <w:marLeft w:val="0"/>
          <w:marRight w:val="0"/>
          <w:marTop w:val="0"/>
          <w:marBottom w:val="0"/>
          <w:divBdr>
            <w:top w:val="none" w:sz="0" w:space="0" w:color="auto"/>
            <w:left w:val="none" w:sz="0" w:space="0" w:color="auto"/>
            <w:bottom w:val="none" w:sz="0" w:space="0" w:color="auto"/>
            <w:right w:val="none" w:sz="0" w:space="0" w:color="auto"/>
          </w:divBdr>
          <w:divsChild>
            <w:div w:id="1166481501">
              <w:marLeft w:val="0"/>
              <w:marRight w:val="0"/>
              <w:marTop w:val="0"/>
              <w:marBottom w:val="0"/>
              <w:divBdr>
                <w:top w:val="none" w:sz="0" w:space="0" w:color="auto"/>
                <w:left w:val="none" w:sz="0" w:space="0" w:color="auto"/>
                <w:bottom w:val="none" w:sz="0" w:space="0" w:color="auto"/>
                <w:right w:val="none" w:sz="0" w:space="0" w:color="auto"/>
              </w:divBdr>
            </w:div>
          </w:divsChild>
        </w:div>
        <w:div w:id="1255941008">
          <w:marLeft w:val="0"/>
          <w:marRight w:val="0"/>
          <w:marTop w:val="0"/>
          <w:marBottom w:val="0"/>
          <w:divBdr>
            <w:top w:val="none" w:sz="0" w:space="0" w:color="auto"/>
            <w:left w:val="none" w:sz="0" w:space="0" w:color="auto"/>
            <w:bottom w:val="none" w:sz="0" w:space="0" w:color="auto"/>
            <w:right w:val="none" w:sz="0" w:space="0" w:color="auto"/>
          </w:divBdr>
          <w:divsChild>
            <w:div w:id="407271871">
              <w:marLeft w:val="0"/>
              <w:marRight w:val="0"/>
              <w:marTop w:val="0"/>
              <w:marBottom w:val="0"/>
              <w:divBdr>
                <w:top w:val="none" w:sz="0" w:space="0" w:color="auto"/>
                <w:left w:val="none" w:sz="0" w:space="0" w:color="auto"/>
                <w:bottom w:val="none" w:sz="0" w:space="0" w:color="auto"/>
                <w:right w:val="none" w:sz="0" w:space="0" w:color="auto"/>
              </w:divBdr>
            </w:div>
          </w:divsChild>
        </w:div>
        <w:div w:id="1311058199">
          <w:marLeft w:val="0"/>
          <w:marRight w:val="0"/>
          <w:marTop w:val="0"/>
          <w:marBottom w:val="0"/>
          <w:divBdr>
            <w:top w:val="none" w:sz="0" w:space="0" w:color="auto"/>
            <w:left w:val="none" w:sz="0" w:space="0" w:color="auto"/>
            <w:bottom w:val="none" w:sz="0" w:space="0" w:color="auto"/>
            <w:right w:val="none" w:sz="0" w:space="0" w:color="auto"/>
          </w:divBdr>
          <w:divsChild>
            <w:div w:id="892929697">
              <w:marLeft w:val="0"/>
              <w:marRight w:val="0"/>
              <w:marTop w:val="0"/>
              <w:marBottom w:val="0"/>
              <w:divBdr>
                <w:top w:val="none" w:sz="0" w:space="0" w:color="auto"/>
                <w:left w:val="none" w:sz="0" w:space="0" w:color="auto"/>
                <w:bottom w:val="none" w:sz="0" w:space="0" w:color="auto"/>
                <w:right w:val="none" w:sz="0" w:space="0" w:color="auto"/>
              </w:divBdr>
            </w:div>
            <w:div w:id="1525559558">
              <w:marLeft w:val="0"/>
              <w:marRight w:val="0"/>
              <w:marTop w:val="0"/>
              <w:marBottom w:val="0"/>
              <w:divBdr>
                <w:top w:val="none" w:sz="0" w:space="0" w:color="auto"/>
                <w:left w:val="none" w:sz="0" w:space="0" w:color="auto"/>
                <w:bottom w:val="none" w:sz="0" w:space="0" w:color="auto"/>
                <w:right w:val="none" w:sz="0" w:space="0" w:color="auto"/>
              </w:divBdr>
            </w:div>
          </w:divsChild>
        </w:div>
        <w:div w:id="1344697617">
          <w:marLeft w:val="0"/>
          <w:marRight w:val="0"/>
          <w:marTop w:val="0"/>
          <w:marBottom w:val="0"/>
          <w:divBdr>
            <w:top w:val="none" w:sz="0" w:space="0" w:color="auto"/>
            <w:left w:val="none" w:sz="0" w:space="0" w:color="auto"/>
            <w:bottom w:val="none" w:sz="0" w:space="0" w:color="auto"/>
            <w:right w:val="none" w:sz="0" w:space="0" w:color="auto"/>
          </w:divBdr>
          <w:divsChild>
            <w:div w:id="890919868">
              <w:marLeft w:val="0"/>
              <w:marRight w:val="0"/>
              <w:marTop w:val="0"/>
              <w:marBottom w:val="0"/>
              <w:divBdr>
                <w:top w:val="none" w:sz="0" w:space="0" w:color="auto"/>
                <w:left w:val="none" w:sz="0" w:space="0" w:color="auto"/>
                <w:bottom w:val="none" w:sz="0" w:space="0" w:color="auto"/>
                <w:right w:val="none" w:sz="0" w:space="0" w:color="auto"/>
              </w:divBdr>
            </w:div>
          </w:divsChild>
        </w:div>
        <w:div w:id="1379360195">
          <w:marLeft w:val="0"/>
          <w:marRight w:val="0"/>
          <w:marTop w:val="0"/>
          <w:marBottom w:val="0"/>
          <w:divBdr>
            <w:top w:val="none" w:sz="0" w:space="0" w:color="auto"/>
            <w:left w:val="none" w:sz="0" w:space="0" w:color="auto"/>
            <w:bottom w:val="none" w:sz="0" w:space="0" w:color="auto"/>
            <w:right w:val="none" w:sz="0" w:space="0" w:color="auto"/>
          </w:divBdr>
          <w:divsChild>
            <w:div w:id="1531409955">
              <w:marLeft w:val="0"/>
              <w:marRight w:val="0"/>
              <w:marTop w:val="0"/>
              <w:marBottom w:val="0"/>
              <w:divBdr>
                <w:top w:val="none" w:sz="0" w:space="0" w:color="auto"/>
                <w:left w:val="none" w:sz="0" w:space="0" w:color="auto"/>
                <w:bottom w:val="none" w:sz="0" w:space="0" w:color="auto"/>
                <w:right w:val="none" w:sz="0" w:space="0" w:color="auto"/>
              </w:divBdr>
            </w:div>
          </w:divsChild>
        </w:div>
        <w:div w:id="1486585250">
          <w:marLeft w:val="0"/>
          <w:marRight w:val="0"/>
          <w:marTop w:val="0"/>
          <w:marBottom w:val="0"/>
          <w:divBdr>
            <w:top w:val="none" w:sz="0" w:space="0" w:color="auto"/>
            <w:left w:val="none" w:sz="0" w:space="0" w:color="auto"/>
            <w:bottom w:val="none" w:sz="0" w:space="0" w:color="auto"/>
            <w:right w:val="none" w:sz="0" w:space="0" w:color="auto"/>
          </w:divBdr>
          <w:divsChild>
            <w:div w:id="1969706216">
              <w:marLeft w:val="0"/>
              <w:marRight w:val="0"/>
              <w:marTop w:val="0"/>
              <w:marBottom w:val="0"/>
              <w:divBdr>
                <w:top w:val="none" w:sz="0" w:space="0" w:color="auto"/>
                <w:left w:val="none" w:sz="0" w:space="0" w:color="auto"/>
                <w:bottom w:val="none" w:sz="0" w:space="0" w:color="auto"/>
                <w:right w:val="none" w:sz="0" w:space="0" w:color="auto"/>
              </w:divBdr>
            </w:div>
          </w:divsChild>
        </w:div>
        <w:div w:id="1504051846">
          <w:marLeft w:val="0"/>
          <w:marRight w:val="0"/>
          <w:marTop w:val="0"/>
          <w:marBottom w:val="0"/>
          <w:divBdr>
            <w:top w:val="none" w:sz="0" w:space="0" w:color="auto"/>
            <w:left w:val="none" w:sz="0" w:space="0" w:color="auto"/>
            <w:bottom w:val="none" w:sz="0" w:space="0" w:color="auto"/>
            <w:right w:val="none" w:sz="0" w:space="0" w:color="auto"/>
          </w:divBdr>
          <w:divsChild>
            <w:div w:id="405037555">
              <w:marLeft w:val="0"/>
              <w:marRight w:val="0"/>
              <w:marTop w:val="0"/>
              <w:marBottom w:val="0"/>
              <w:divBdr>
                <w:top w:val="none" w:sz="0" w:space="0" w:color="auto"/>
                <w:left w:val="none" w:sz="0" w:space="0" w:color="auto"/>
                <w:bottom w:val="none" w:sz="0" w:space="0" w:color="auto"/>
                <w:right w:val="none" w:sz="0" w:space="0" w:color="auto"/>
              </w:divBdr>
            </w:div>
          </w:divsChild>
        </w:div>
        <w:div w:id="1518039814">
          <w:marLeft w:val="0"/>
          <w:marRight w:val="0"/>
          <w:marTop w:val="0"/>
          <w:marBottom w:val="0"/>
          <w:divBdr>
            <w:top w:val="none" w:sz="0" w:space="0" w:color="auto"/>
            <w:left w:val="none" w:sz="0" w:space="0" w:color="auto"/>
            <w:bottom w:val="none" w:sz="0" w:space="0" w:color="auto"/>
            <w:right w:val="none" w:sz="0" w:space="0" w:color="auto"/>
          </w:divBdr>
          <w:divsChild>
            <w:div w:id="336004953">
              <w:marLeft w:val="0"/>
              <w:marRight w:val="0"/>
              <w:marTop w:val="0"/>
              <w:marBottom w:val="0"/>
              <w:divBdr>
                <w:top w:val="none" w:sz="0" w:space="0" w:color="auto"/>
                <w:left w:val="none" w:sz="0" w:space="0" w:color="auto"/>
                <w:bottom w:val="none" w:sz="0" w:space="0" w:color="auto"/>
                <w:right w:val="none" w:sz="0" w:space="0" w:color="auto"/>
              </w:divBdr>
            </w:div>
          </w:divsChild>
        </w:div>
        <w:div w:id="1597249715">
          <w:marLeft w:val="0"/>
          <w:marRight w:val="0"/>
          <w:marTop w:val="0"/>
          <w:marBottom w:val="0"/>
          <w:divBdr>
            <w:top w:val="none" w:sz="0" w:space="0" w:color="auto"/>
            <w:left w:val="none" w:sz="0" w:space="0" w:color="auto"/>
            <w:bottom w:val="none" w:sz="0" w:space="0" w:color="auto"/>
            <w:right w:val="none" w:sz="0" w:space="0" w:color="auto"/>
          </w:divBdr>
          <w:divsChild>
            <w:div w:id="2035305903">
              <w:marLeft w:val="0"/>
              <w:marRight w:val="0"/>
              <w:marTop w:val="0"/>
              <w:marBottom w:val="0"/>
              <w:divBdr>
                <w:top w:val="none" w:sz="0" w:space="0" w:color="auto"/>
                <w:left w:val="none" w:sz="0" w:space="0" w:color="auto"/>
                <w:bottom w:val="none" w:sz="0" w:space="0" w:color="auto"/>
                <w:right w:val="none" w:sz="0" w:space="0" w:color="auto"/>
              </w:divBdr>
            </w:div>
          </w:divsChild>
        </w:div>
        <w:div w:id="1613051319">
          <w:marLeft w:val="0"/>
          <w:marRight w:val="0"/>
          <w:marTop w:val="0"/>
          <w:marBottom w:val="0"/>
          <w:divBdr>
            <w:top w:val="none" w:sz="0" w:space="0" w:color="auto"/>
            <w:left w:val="none" w:sz="0" w:space="0" w:color="auto"/>
            <w:bottom w:val="none" w:sz="0" w:space="0" w:color="auto"/>
            <w:right w:val="none" w:sz="0" w:space="0" w:color="auto"/>
          </w:divBdr>
          <w:divsChild>
            <w:div w:id="409696644">
              <w:marLeft w:val="0"/>
              <w:marRight w:val="0"/>
              <w:marTop w:val="0"/>
              <w:marBottom w:val="0"/>
              <w:divBdr>
                <w:top w:val="none" w:sz="0" w:space="0" w:color="auto"/>
                <w:left w:val="none" w:sz="0" w:space="0" w:color="auto"/>
                <w:bottom w:val="none" w:sz="0" w:space="0" w:color="auto"/>
                <w:right w:val="none" w:sz="0" w:space="0" w:color="auto"/>
              </w:divBdr>
            </w:div>
          </w:divsChild>
        </w:div>
        <w:div w:id="1653172100">
          <w:marLeft w:val="0"/>
          <w:marRight w:val="0"/>
          <w:marTop w:val="0"/>
          <w:marBottom w:val="0"/>
          <w:divBdr>
            <w:top w:val="none" w:sz="0" w:space="0" w:color="auto"/>
            <w:left w:val="none" w:sz="0" w:space="0" w:color="auto"/>
            <w:bottom w:val="none" w:sz="0" w:space="0" w:color="auto"/>
            <w:right w:val="none" w:sz="0" w:space="0" w:color="auto"/>
          </w:divBdr>
          <w:divsChild>
            <w:div w:id="1248542367">
              <w:marLeft w:val="0"/>
              <w:marRight w:val="0"/>
              <w:marTop w:val="0"/>
              <w:marBottom w:val="0"/>
              <w:divBdr>
                <w:top w:val="none" w:sz="0" w:space="0" w:color="auto"/>
                <w:left w:val="none" w:sz="0" w:space="0" w:color="auto"/>
                <w:bottom w:val="none" w:sz="0" w:space="0" w:color="auto"/>
                <w:right w:val="none" w:sz="0" w:space="0" w:color="auto"/>
              </w:divBdr>
            </w:div>
          </w:divsChild>
        </w:div>
        <w:div w:id="1685089150">
          <w:marLeft w:val="0"/>
          <w:marRight w:val="0"/>
          <w:marTop w:val="0"/>
          <w:marBottom w:val="0"/>
          <w:divBdr>
            <w:top w:val="none" w:sz="0" w:space="0" w:color="auto"/>
            <w:left w:val="none" w:sz="0" w:space="0" w:color="auto"/>
            <w:bottom w:val="none" w:sz="0" w:space="0" w:color="auto"/>
            <w:right w:val="none" w:sz="0" w:space="0" w:color="auto"/>
          </w:divBdr>
          <w:divsChild>
            <w:div w:id="518011143">
              <w:marLeft w:val="0"/>
              <w:marRight w:val="0"/>
              <w:marTop w:val="0"/>
              <w:marBottom w:val="0"/>
              <w:divBdr>
                <w:top w:val="none" w:sz="0" w:space="0" w:color="auto"/>
                <w:left w:val="none" w:sz="0" w:space="0" w:color="auto"/>
                <w:bottom w:val="none" w:sz="0" w:space="0" w:color="auto"/>
                <w:right w:val="none" w:sz="0" w:space="0" w:color="auto"/>
              </w:divBdr>
            </w:div>
          </w:divsChild>
        </w:div>
        <w:div w:id="1711685436">
          <w:marLeft w:val="0"/>
          <w:marRight w:val="0"/>
          <w:marTop w:val="0"/>
          <w:marBottom w:val="0"/>
          <w:divBdr>
            <w:top w:val="none" w:sz="0" w:space="0" w:color="auto"/>
            <w:left w:val="none" w:sz="0" w:space="0" w:color="auto"/>
            <w:bottom w:val="none" w:sz="0" w:space="0" w:color="auto"/>
            <w:right w:val="none" w:sz="0" w:space="0" w:color="auto"/>
          </w:divBdr>
          <w:divsChild>
            <w:div w:id="926383065">
              <w:marLeft w:val="0"/>
              <w:marRight w:val="0"/>
              <w:marTop w:val="0"/>
              <w:marBottom w:val="0"/>
              <w:divBdr>
                <w:top w:val="none" w:sz="0" w:space="0" w:color="auto"/>
                <w:left w:val="none" w:sz="0" w:space="0" w:color="auto"/>
                <w:bottom w:val="none" w:sz="0" w:space="0" w:color="auto"/>
                <w:right w:val="none" w:sz="0" w:space="0" w:color="auto"/>
              </w:divBdr>
            </w:div>
          </w:divsChild>
        </w:div>
        <w:div w:id="1711874543">
          <w:marLeft w:val="0"/>
          <w:marRight w:val="0"/>
          <w:marTop w:val="0"/>
          <w:marBottom w:val="0"/>
          <w:divBdr>
            <w:top w:val="none" w:sz="0" w:space="0" w:color="auto"/>
            <w:left w:val="none" w:sz="0" w:space="0" w:color="auto"/>
            <w:bottom w:val="none" w:sz="0" w:space="0" w:color="auto"/>
            <w:right w:val="none" w:sz="0" w:space="0" w:color="auto"/>
          </w:divBdr>
          <w:divsChild>
            <w:div w:id="1277450185">
              <w:marLeft w:val="0"/>
              <w:marRight w:val="0"/>
              <w:marTop w:val="0"/>
              <w:marBottom w:val="0"/>
              <w:divBdr>
                <w:top w:val="none" w:sz="0" w:space="0" w:color="auto"/>
                <w:left w:val="none" w:sz="0" w:space="0" w:color="auto"/>
                <w:bottom w:val="none" w:sz="0" w:space="0" w:color="auto"/>
                <w:right w:val="none" w:sz="0" w:space="0" w:color="auto"/>
              </w:divBdr>
            </w:div>
          </w:divsChild>
        </w:div>
        <w:div w:id="1759448052">
          <w:marLeft w:val="0"/>
          <w:marRight w:val="0"/>
          <w:marTop w:val="0"/>
          <w:marBottom w:val="0"/>
          <w:divBdr>
            <w:top w:val="none" w:sz="0" w:space="0" w:color="auto"/>
            <w:left w:val="none" w:sz="0" w:space="0" w:color="auto"/>
            <w:bottom w:val="none" w:sz="0" w:space="0" w:color="auto"/>
            <w:right w:val="none" w:sz="0" w:space="0" w:color="auto"/>
          </w:divBdr>
          <w:divsChild>
            <w:div w:id="7411212">
              <w:marLeft w:val="0"/>
              <w:marRight w:val="0"/>
              <w:marTop w:val="0"/>
              <w:marBottom w:val="0"/>
              <w:divBdr>
                <w:top w:val="none" w:sz="0" w:space="0" w:color="auto"/>
                <w:left w:val="none" w:sz="0" w:space="0" w:color="auto"/>
                <w:bottom w:val="none" w:sz="0" w:space="0" w:color="auto"/>
                <w:right w:val="none" w:sz="0" w:space="0" w:color="auto"/>
              </w:divBdr>
            </w:div>
          </w:divsChild>
        </w:div>
        <w:div w:id="1789468878">
          <w:marLeft w:val="0"/>
          <w:marRight w:val="0"/>
          <w:marTop w:val="0"/>
          <w:marBottom w:val="0"/>
          <w:divBdr>
            <w:top w:val="none" w:sz="0" w:space="0" w:color="auto"/>
            <w:left w:val="none" w:sz="0" w:space="0" w:color="auto"/>
            <w:bottom w:val="none" w:sz="0" w:space="0" w:color="auto"/>
            <w:right w:val="none" w:sz="0" w:space="0" w:color="auto"/>
          </w:divBdr>
          <w:divsChild>
            <w:div w:id="1030838051">
              <w:marLeft w:val="0"/>
              <w:marRight w:val="0"/>
              <w:marTop w:val="0"/>
              <w:marBottom w:val="0"/>
              <w:divBdr>
                <w:top w:val="none" w:sz="0" w:space="0" w:color="auto"/>
                <w:left w:val="none" w:sz="0" w:space="0" w:color="auto"/>
                <w:bottom w:val="none" w:sz="0" w:space="0" w:color="auto"/>
                <w:right w:val="none" w:sz="0" w:space="0" w:color="auto"/>
              </w:divBdr>
            </w:div>
          </w:divsChild>
        </w:div>
        <w:div w:id="1803690333">
          <w:marLeft w:val="0"/>
          <w:marRight w:val="0"/>
          <w:marTop w:val="0"/>
          <w:marBottom w:val="0"/>
          <w:divBdr>
            <w:top w:val="none" w:sz="0" w:space="0" w:color="auto"/>
            <w:left w:val="none" w:sz="0" w:space="0" w:color="auto"/>
            <w:bottom w:val="none" w:sz="0" w:space="0" w:color="auto"/>
            <w:right w:val="none" w:sz="0" w:space="0" w:color="auto"/>
          </w:divBdr>
          <w:divsChild>
            <w:div w:id="1300068370">
              <w:marLeft w:val="0"/>
              <w:marRight w:val="0"/>
              <w:marTop w:val="0"/>
              <w:marBottom w:val="0"/>
              <w:divBdr>
                <w:top w:val="none" w:sz="0" w:space="0" w:color="auto"/>
                <w:left w:val="none" w:sz="0" w:space="0" w:color="auto"/>
                <w:bottom w:val="none" w:sz="0" w:space="0" w:color="auto"/>
                <w:right w:val="none" w:sz="0" w:space="0" w:color="auto"/>
              </w:divBdr>
            </w:div>
          </w:divsChild>
        </w:div>
        <w:div w:id="1820220737">
          <w:marLeft w:val="0"/>
          <w:marRight w:val="0"/>
          <w:marTop w:val="0"/>
          <w:marBottom w:val="0"/>
          <w:divBdr>
            <w:top w:val="none" w:sz="0" w:space="0" w:color="auto"/>
            <w:left w:val="none" w:sz="0" w:space="0" w:color="auto"/>
            <w:bottom w:val="none" w:sz="0" w:space="0" w:color="auto"/>
            <w:right w:val="none" w:sz="0" w:space="0" w:color="auto"/>
          </w:divBdr>
          <w:divsChild>
            <w:div w:id="2098283047">
              <w:marLeft w:val="0"/>
              <w:marRight w:val="0"/>
              <w:marTop w:val="0"/>
              <w:marBottom w:val="0"/>
              <w:divBdr>
                <w:top w:val="none" w:sz="0" w:space="0" w:color="auto"/>
                <w:left w:val="none" w:sz="0" w:space="0" w:color="auto"/>
                <w:bottom w:val="none" w:sz="0" w:space="0" w:color="auto"/>
                <w:right w:val="none" w:sz="0" w:space="0" w:color="auto"/>
              </w:divBdr>
            </w:div>
          </w:divsChild>
        </w:div>
        <w:div w:id="1948002293">
          <w:marLeft w:val="0"/>
          <w:marRight w:val="0"/>
          <w:marTop w:val="0"/>
          <w:marBottom w:val="0"/>
          <w:divBdr>
            <w:top w:val="none" w:sz="0" w:space="0" w:color="auto"/>
            <w:left w:val="none" w:sz="0" w:space="0" w:color="auto"/>
            <w:bottom w:val="none" w:sz="0" w:space="0" w:color="auto"/>
            <w:right w:val="none" w:sz="0" w:space="0" w:color="auto"/>
          </w:divBdr>
          <w:divsChild>
            <w:div w:id="209342829">
              <w:marLeft w:val="0"/>
              <w:marRight w:val="0"/>
              <w:marTop w:val="0"/>
              <w:marBottom w:val="0"/>
              <w:divBdr>
                <w:top w:val="none" w:sz="0" w:space="0" w:color="auto"/>
                <w:left w:val="none" w:sz="0" w:space="0" w:color="auto"/>
                <w:bottom w:val="none" w:sz="0" w:space="0" w:color="auto"/>
                <w:right w:val="none" w:sz="0" w:space="0" w:color="auto"/>
              </w:divBdr>
            </w:div>
          </w:divsChild>
        </w:div>
        <w:div w:id="2037853469">
          <w:marLeft w:val="0"/>
          <w:marRight w:val="0"/>
          <w:marTop w:val="0"/>
          <w:marBottom w:val="0"/>
          <w:divBdr>
            <w:top w:val="none" w:sz="0" w:space="0" w:color="auto"/>
            <w:left w:val="none" w:sz="0" w:space="0" w:color="auto"/>
            <w:bottom w:val="none" w:sz="0" w:space="0" w:color="auto"/>
            <w:right w:val="none" w:sz="0" w:space="0" w:color="auto"/>
          </w:divBdr>
          <w:divsChild>
            <w:div w:id="1065183222">
              <w:marLeft w:val="0"/>
              <w:marRight w:val="0"/>
              <w:marTop w:val="0"/>
              <w:marBottom w:val="0"/>
              <w:divBdr>
                <w:top w:val="none" w:sz="0" w:space="0" w:color="auto"/>
                <w:left w:val="none" w:sz="0" w:space="0" w:color="auto"/>
                <w:bottom w:val="none" w:sz="0" w:space="0" w:color="auto"/>
                <w:right w:val="none" w:sz="0" w:space="0" w:color="auto"/>
              </w:divBdr>
            </w:div>
          </w:divsChild>
        </w:div>
        <w:div w:id="2063475697">
          <w:marLeft w:val="0"/>
          <w:marRight w:val="0"/>
          <w:marTop w:val="0"/>
          <w:marBottom w:val="0"/>
          <w:divBdr>
            <w:top w:val="none" w:sz="0" w:space="0" w:color="auto"/>
            <w:left w:val="none" w:sz="0" w:space="0" w:color="auto"/>
            <w:bottom w:val="none" w:sz="0" w:space="0" w:color="auto"/>
            <w:right w:val="none" w:sz="0" w:space="0" w:color="auto"/>
          </w:divBdr>
          <w:divsChild>
            <w:div w:id="15618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098">
      <w:bodyDiv w:val="1"/>
      <w:marLeft w:val="0"/>
      <w:marRight w:val="0"/>
      <w:marTop w:val="0"/>
      <w:marBottom w:val="0"/>
      <w:divBdr>
        <w:top w:val="none" w:sz="0" w:space="0" w:color="auto"/>
        <w:left w:val="none" w:sz="0" w:space="0" w:color="auto"/>
        <w:bottom w:val="none" w:sz="0" w:space="0" w:color="auto"/>
        <w:right w:val="none" w:sz="0" w:space="0" w:color="auto"/>
      </w:divBdr>
    </w:div>
    <w:div w:id="1783261922">
      <w:bodyDiv w:val="1"/>
      <w:marLeft w:val="0"/>
      <w:marRight w:val="0"/>
      <w:marTop w:val="0"/>
      <w:marBottom w:val="0"/>
      <w:divBdr>
        <w:top w:val="none" w:sz="0" w:space="0" w:color="auto"/>
        <w:left w:val="none" w:sz="0" w:space="0" w:color="auto"/>
        <w:bottom w:val="none" w:sz="0" w:space="0" w:color="auto"/>
        <w:right w:val="none" w:sz="0" w:space="0" w:color="auto"/>
      </w:divBdr>
    </w:div>
    <w:div w:id="1929994706">
      <w:bodyDiv w:val="1"/>
      <w:marLeft w:val="0"/>
      <w:marRight w:val="0"/>
      <w:marTop w:val="0"/>
      <w:marBottom w:val="0"/>
      <w:divBdr>
        <w:top w:val="none" w:sz="0" w:space="0" w:color="auto"/>
        <w:left w:val="none" w:sz="0" w:space="0" w:color="auto"/>
        <w:bottom w:val="none" w:sz="0" w:space="0" w:color="auto"/>
        <w:right w:val="none" w:sz="0" w:space="0" w:color="auto"/>
      </w:divBdr>
    </w:div>
    <w:div w:id="1938562025">
      <w:bodyDiv w:val="1"/>
      <w:marLeft w:val="0"/>
      <w:marRight w:val="0"/>
      <w:marTop w:val="0"/>
      <w:marBottom w:val="0"/>
      <w:divBdr>
        <w:top w:val="none" w:sz="0" w:space="0" w:color="auto"/>
        <w:left w:val="none" w:sz="0" w:space="0" w:color="auto"/>
        <w:bottom w:val="none" w:sz="0" w:space="0" w:color="auto"/>
        <w:right w:val="none" w:sz="0" w:space="0" w:color="auto"/>
      </w:divBdr>
    </w:div>
    <w:div w:id="2033451474">
      <w:marLeft w:val="0"/>
      <w:marRight w:val="0"/>
      <w:marTop w:val="0"/>
      <w:marBottom w:val="0"/>
      <w:divBdr>
        <w:top w:val="none" w:sz="0" w:space="0" w:color="auto"/>
        <w:left w:val="none" w:sz="0" w:space="0" w:color="auto"/>
        <w:bottom w:val="none" w:sz="0" w:space="0" w:color="auto"/>
        <w:right w:val="none" w:sz="0" w:space="0" w:color="auto"/>
      </w:divBdr>
    </w:div>
    <w:div w:id="2037197063">
      <w:bodyDiv w:val="1"/>
      <w:marLeft w:val="0"/>
      <w:marRight w:val="0"/>
      <w:marTop w:val="0"/>
      <w:marBottom w:val="0"/>
      <w:divBdr>
        <w:top w:val="none" w:sz="0" w:space="0" w:color="auto"/>
        <w:left w:val="none" w:sz="0" w:space="0" w:color="auto"/>
        <w:bottom w:val="none" w:sz="0" w:space="0" w:color="auto"/>
        <w:right w:val="none" w:sz="0" w:space="0" w:color="auto"/>
      </w:divBdr>
    </w:div>
    <w:div w:id="2092500478">
      <w:bodyDiv w:val="1"/>
      <w:marLeft w:val="0"/>
      <w:marRight w:val="0"/>
      <w:marTop w:val="0"/>
      <w:marBottom w:val="0"/>
      <w:divBdr>
        <w:top w:val="none" w:sz="0" w:space="0" w:color="auto"/>
        <w:left w:val="none" w:sz="0" w:space="0" w:color="auto"/>
        <w:bottom w:val="none" w:sz="0" w:space="0" w:color="auto"/>
        <w:right w:val="none" w:sz="0" w:space="0" w:color="auto"/>
      </w:divBdr>
      <w:divsChild>
        <w:div w:id="82339176">
          <w:marLeft w:val="0"/>
          <w:marRight w:val="0"/>
          <w:marTop w:val="0"/>
          <w:marBottom w:val="0"/>
          <w:divBdr>
            <w:top w:val="none" w:sz="0" w:space="0" w:color="auto"/>
            <w:left w:val="none" w:sz="0" w:space="0" w:color="auto"/>
            <w:bottom w:val="none" w:sz="0" w:space="0" w:color="auto"/>
            <w:right w:val="none" w:sz="0" w:space="0" w:color="auto"/>
          </w:divBdr>
        </w:div>
        <w:div w:id="1006254117">
          <w:marLeft w:val="0"/>
          <w:marRight w:val="0"/>
          <w:marTop w:val="0"/>
          <w:marBottom w:val="0"/>
          <w:divBdr>
            <w:top w:val="none" w:sz="0" w:space="0" w:color="auto"/>
            <w:left w:val="none" w:sz="0" w:space="0" w:color="auto"/>
            <w:bottom w:val="none" w:sz="0" w:space="0" w:color="auto"/>
            <w:right w:val="none" w:sz="0" w:space="0" w:color="auto"/>
          </w:divBdr>
        </w:div>
        <w:div w:id="2077513595">
          <w:marLeft w:val="0"/>
          <w:marRight w:val="0"/>
          <w:marTop w:val="0"/>
          <w:marBottom w:val="0"/>
          <w:divBdr>
            <w:top w:val="none" w:sz="0" w:space="0" w:color="auto"/>
            <w:left w:val="none" w:sz="0" w:space="0" w:color="auto"/>
            <w:bottom w:val="none" w:sz="0" w:space="0" w:color="auto"/>
            <w:right w:val="none" w:sz="0" w:space="0" w:color="auto"/>
          </w:divBdr>
        </w:div>
      </w:divsChild>
    </w:div>
    <w:div w:id="2095928505">
      <w:bodyDiv w:val="1"/>
      <w:marLeft w:val="0"/>
      <w:marRight w:val="0"/>
      <w:marTop w:val="0"/>
      <w:marBottom w:val="0"/>
      <w:divBdr>
        <w:top w:val="none" w:sz="0" w:space="0" w:color="auto"/>
        <w:left w:val="none" w:sz="0" w:space="0" w:color="auto"/>
        <w:bottom w:val="none" w:sz="0" w:space="0" w:color="auto"/>
        <w:right w:val="none" w:sz="0" w:space="0" w:color="auto"/>
      </w:divBdr>
      <w:divsChild>
        <w:div w:id="3020466">
          <w:marLeft w:val="0"/>
          <w:marRight w:val="0"/>
          <w:marTop w:val="0"/>
          <w:marBottom w:val="0"/>
          <w:divBdr>
            <w:top w:val="none" w:sz="0" w:space="0" w:color="auto"/>
            <w:left w:val="none" w:sz="0" w:space="0" w:color="auto"/>
            <w:bottom w:val="none" w:sz="0" w:space="0" w:color="auto"/>
            <w:right w:val="none" w:sz="0" w:space="0" w:color="auto"/>
          </w:divBdr>
          <w:divsChild>
            <w:div w:id="924412055">
              <w:marLeft w:val="0"/>
              <w:marRight w:val="0"/>
              <w:marTop w:val="0"/>
              <w:marBottom w:val="0"/>
              <w:divBdr>
                <w:top w:val="none" w:sz="0" w:space="0" w:color="auto"/>
                <w:left w:val="none" w:sz="0" w:space="0" w:color="auto"/>
                <w:bottom w:val="none" w:sz="0" w:space="0" w:color="auto"/>
                <w:right w:val="none" w:sz="0" w:space="0" w:color="auto"/>
              </w:divBdr>
            </w:div>
          </w:divsChild>
        </w:div>
        <w:div w:id="9071667">
          <w:marLeft w:val="0"/>
          <w:marRight w:val="0"/>
          <w:marTop w:val="0"/>
          <w:marBottom w:val="0"/>
          <w:divBdr>
            <w:top w:val="none" w:sz="0" w:space="0" w:color="auto"/>
            <w:left w:val="none" w:sz="0" w:space="0" w:color="auto"/>
            <w:bottom w:val="none" w:sz="0" w:space="0" w:color="auto"/>
            <w:right w:val="none" w:sz="0" w:space="0" w:color="auto"/>
          </w:divBdr>
          <w:divsChild>
            <w:div w:id="2146964838">
              <w:marLeft w:val="0"/>
              <w:marRight w:val="0"/>
              <w:marTop w:val="0"/>
              <w:marBottom w:val="0"/>
              <w:divBdr>
                <w:top w:val="none" w:sz="0" w:space="0" w:color="auto"/>
                <w:left w:val="none" w:sz="0" w:space="0" w:color="auto"/>
                <w:bottom w:val="none" w:sz="0" w:space="0" w:color="auto"/>
                <w:right w:val="none" w:sz="0" w:space="0" w:color="auto"/>
              </w:divBdr>
            </w:div>
          </w:divsChild>
        </w:div>
        <w:div w:id="12078335">
          <w:marLeft w:val="0"/>
          <w:marRight w:val="0"/>
          <w:marTop w:val="0"/>
          <w:marBottom w:val="0"/>
          <w:divBdr>
            <w:top w:val="none" w:sz="0" w:space="0" w:color="auto"/>
            <w:left w:val="none" w:sz="0" w:space="0" w:color="auto"/>
            <w:bottom w:val="none" w:sz="0" w:space="0" w:color="auto"/>
            <w:right w:val="none" w:sz="0" w:space="0" w:color="auto"/>
          </w:divBdr>
          <w:divsChild>
            <w:div w:id="1800341761">
              <w:marLeft w:val="0"/>
              <w:marRight w:val="0"/>
              <w:marTop w:val="0"/>
              <w:marBottom w:val="0"/>
              <w:divBdr>
                <w:top w:val="none" w:sz="0" w:space="0" w:color="auto"/>
                <w:left w:val="none" w:sz="0" w:space="0" w:color="auto"/>
                <w:bottom w:val="none" w:sz="0" w:space="0" w:color="auto"/>
                <w:right w:val="none" w:sz="0" w:space="0" w:color="auto"/>
              </w:divBdr>
            </w:div>
          </w:divsChild>
        </w:div>
        <w:div w:id="18896487">
          <w:marLeft w:val="0"/>
          <w:marRight w:val="0"/>
          <w:marTop w:val="0"/>
          <w:marBottom w:val="0"/>
          <w:divBdr>
            <w:top w:val="none" w:sz="0" w:space="0" w:color="auto"/>
            <w:left w:val="none" w:sz="0" w:space="0" w:color="auto"/>
            <w:bottom w:val="none" w:sz="0" w:space="0" w:color="auto"/>
            <w:right w:val="none" w:sz="0" w:space="0" w:color="auto"/>
          </w:divBdr>
          <w:divsChild>
            <w:div w:id="1665275365">
              <w:marLeft w:val="0"/>
              <w:marRight w:val="0"/>
              <w:marTop w:val="0"/>
              <w:marBottom w:val="0"/>
              <w:divBdr>
                <w:top w:val="none" w:sz="0" w:space="0" w:color="auto"/>
                <w:left w:val="none" w:sz="0" w:space="0" w:color="auto"/>
                <w:bottom w:val="none" w:sz="0" w:space="0" w:color="auto"/>
                <w:right w:val="none" w:sz="0" w:space="0" w:color="auto"/>
              </w:divBdr>
            </w:div>
          </w:divsChild>
        </w:div>
        <w:div w:id="28337840">
          <w:marLeft w:val="0"/>
          <w:marRight w:val="0"/>
          <w:marTop w:val="0"/>
          <w:marBottom w:val="0"/>
          <w:divBdr>
            <w:top w:val="none" w:sz="0" w:space="0" w:color="auto"/>
            <w:left w:val="none" w:sz="0" w:space="0" w:color="auto"/>
            <w:bottom w:val="none" w:sz="0" w:space="0" w:color="auto"/>
            <w:right w:val="none" w:sz="0" w:space="0" w:color="auto"/>
          </w:divBdr>
          <w:divsChild>
            <w:div w:id="424616966">
              <w:marLeft w:val="0"/>
              <w:marRight w:val="0"/>
              <w:marTop w:val="0"/>
              <w:marBottom w:val="0"/>
              <w:divBdr>
                <w:top w:val="none" w:sz="0" w:space="0" w:color="auto"/>
                <w:left w:val="none" w:sz="0" w:space="0" w:color="auto"/>
                <w:bottom w:val="none" w:sz="0" w:space="0" w:color="auto"/>
                <w:right w:val="none" w:sz="0" w:space="0" w:color="auto"/>
              </w:divBdr>
            </w:div>
          </w:divsChild>
        </w:div>
        <w:div w:id="63064274">
          <w:marLeft w:val="0"/>
          <w:marRight w:val="0"/>
          <w:marTop w:val="0"/>
          <w:marBottom w:val="0"/>
          <w:divBdr>
            <w:top w:val="none" w:sz="0" w:space="0" w:color="auto"/>
            <w:left w:val="none" w:sz="0" w:space="0" w:color="auto"/>
            <w:bottom w:val="none" w:sz="0" w:space="0" w:color="auto"/>
            <w:right w:val="none" w:sz="0" w:space="0" w:color="auto"/>
          </w:divBdr>
          <w:divsChild>
            <w:div w:id="1132140282">
              <w:marLeft w:val="0"/>
              <w:marRight w:val="0"/>
              <w:marTop w:val="0"/>
              <w:marBottom w:val="0"/>
              <w:divBdr>
                <w:top w:val="none" w:sz="0" w:space="0" w:color="auto"/>
                <w:left w:val="none" w:sz="0" w:space="0" w:color="auto"/>
                <w:bottom w:val="none" w:sz="0" w:space="0" w:color="auto"/>
                <w:right w:val="none" w:sz="0" w:space="0" w:color="auto"/>
              </w:divBdr>
            </w:div>
          </w:divsChild>
        </w:div>
        <w:div w:id="78601504">
          <w:marLeft w:val="0"/>
          <w:marRight w:val="0"/>
          <w:marTop w:val="0"/>
          <w:marBottom w:val="0"/>
          <w:divBdr>
            <w:top w:val="none" w:sz="0" w:space="0" w:color="auto"/>
            <w:left w:val="none" w:sz="0" w:space="0" w:color="auto"/>
            <w:bottom w:val="none" w:sz="0" w:space="0" w:color="auto"/>
            <w:right w:val="none" w:sz="0" w:space="0" w:color="auto"/>
          </w:divBdr>
          <w:divsChild>
            <w:div w:id="561717213">
              <w:marLeft w:val="0"/>
              <w:marRight w:val="0"/>
              <w:marTop w:val="0"/>
              <w:marBottom w:val="0"/>
              <w:divBdr>
                <w:top w:val="none" w:sz="0" w:space="0" w:color="auto"/>
                <w:left w:val="none" w:sz="0" w:space="0" w:color="auto"/>
                <w:bottom w:val="none" w:sz="0" w:space="0" w:color="auto"/>
                <w:right w:val="none" w:sz="0" w:space="0" w:color="auto"/>
              </w:divBdr>
            </w:div>
          </w:divsChild>
        </w:div>
        <w:div w:id="96872537">
          <w:marLeft w:val="0"/>
          <w:marRight w:val="0"/>
          <w:marTop w:val="0"/>
          <w:marBottom w:val="0"/>
          <w:divBdr>
            <w:top w:val="none" w:sz="0" w:space="0" w:color="auto"/>
            <w:left w:val="none" w:sz="0" w:space="0" w:color="auto"/>
            <w:bottom w:val="none" w:sz="0" w:space="0" w:color="auto"/>
            <w:right w:val="none" w:sz="0" w:space="0" w:color="auto"/>
          </w:divBdr>
          <w:divsChild>
            <w:div w:id="1425150183">
              <w:marLeft w:val="0"/>
              <w:marRight w:val="0"/>
              <w:marTop w:val="0"/>
              <w:marBottom w:val="0"/>
              <w:divBdr>
                <w:top w:val="none" w:sz="0" w:space="0" w:color="auto"/>
                <w:left w:val="none" w:sz="0" w:space="0" w:color="auto"/>
                <w:bottom w:val="none" w:sz="0" w:space="0" w:color="auto"/>
                <w:right w:val="none" w:sz="0" w:space="0" w:color="auto"/>
              </w:divBdr>
            </w:div>
          </w:divsChild>
        </w:div>
        <w:div w:id="139227424">
          <w:marLeft w:val="0"/>
          <w:marRight w:val="0"/>
          <w:marTop w:val="0"/>
          <w:marBottom w:val="0"/>
          <w:divBdr>
            <w:top w:val="none" w:sz="0" w:space="0" w:color="auto"/>
            <w:left w:val="none" w:sz="0" w:space="0" w:color="auto"/>
            <w:bottom w:val="none" w:sz="0" w:space="0" w:color="auto"/>
            <w:right w:val="none" w:sz="0" w:space="0" w:color="auto"/>
          </w:divBdr>
          <w:divsChild>
            <w:div w:id="300886342">
              <w:marLeft w:val="0"/>
              <w:marRight w:val="0"/>
              <w:marTop w:val="0"/>
              <w:marBottom w:val="0"/>
              <w:divBdr>
                <w:top w:val="none" w:sz="0" w:space="0" w:color="auto"/>
                <w:left w:val="none" w:sz="0" w:space="0" w:color="auto"/>
                <w:bottom w:val="none" w:sz="0" w:space="0" w:color="auto"/>
                <w:right w:val="none" w:sz="0" w:space="0" w:color="auto"/>
              </w:divBdr>
            </w:div>
          </w:divsChild>
        </w:div>
        <w:div w:id="144275662">
          <w:marLeft w:val="0"/>
          <w:marRight w:val="0"/>
          <w:marTop w:val="0"/>
          <w:marBottom w:val="0"/>
          <w:divBdr>
            <w:top w:val="none" w:sz="0" w:space="0" w:color="auto"/>
            <w:left w:val="none" w:sz="0" w:space="0" w:color="auto"/>
            <w:bottom w:val="none" w:sz="0" w:space="0" w:color="auto"/>
            <w:right w:val="none" w:sz="0" w:space="0" w:color="auto"/>
          </w:divBdr>
          <w:divsChild>
            <w:div w:id="1209806171">
              <w:marLeft w:val="0"/>
              <w:marRight w:val="0"/>
              <w:marTop w:val="0"/>
              <w:marBottom w:val="0"/>
              <w:divBdr>
                <w:top w:val="none" w:sz="0" w:space="0" w:color="auto"/>
                <w:left w:val="none" w:sz="0" w:space="0" w:color="auto"/>
                <w:bottom w:val="none" w:sz="0" w:space="0" w:color="auto"/>
                <w:right w:val="none" w:sz="0" w:space="0" w:color="auto"/>
              </w:divBdr>
            </w:div>
          </w:divsChild>
        </w:div>
        <w:div w:id="174077700">
          <w:marLeft w:val="0"/>
          <w:marRight w:val="0"/>
          <w:marTop w:val="0"/>
          <w:marBottom w:val="0"/>
          <w:divBdr>
            <w:top w:val="none" w:sz="0" w:space="0" w:color="auto"/>
            <w:left w:val="none" w:sz="0" w:space="0" w:color="auto"/>
            <w:bottom w:val="none" w:sz="0" w:space="0" w:color="auto"/>
            <w:right w:val="none" w:sz="0" w:space="0" w:color="auto"/>
          </w:divBdr>
          <w:divsChild>
            <w:div w:id="449010538">
              <w:marLeft w:val="0"/>
              <w:marRight w:val="0"/>
              <w:marTop w:val="0"/>
              <w:marBottom w:val="0"/>
              <w:divBdr>
                <w:top w:val="none" w:sz="0" w:space="0" w:color="auto"/>
                <w:left w:val="none" w:sz="0" w:space="0" w:color="auto"/>
                <w:bottom w:val="none" w:sz="0" w:space="0" w:color="auto"/>
                <w:right w:val="none" w:sz="0" w:space="0" w:color="auto"/>
              </w:divBdr>
            </w:div>
          </w:divsChild>
        </w:div>
        <w:div w:id="213583359">
          <w:marLeft w:val="0"/>
          <w:marRight w:val="0"/>
          <w:marTop w:val="0"/>
          <w:marBottom w:val="0"/>
          <w:divBdr>
            <w:top w:val="none" w:sz="0" w:space="0" w:color="auto"/>
            <w:left w:val="none" w:sz="0" w:space="0" w:color="auto"/>
            <w:bottom w:val="none" w:sz="0" w:space="0" w:color="auto"/>
            <w:right w:val="none" w:sz="0" w:space="0" w:color="auto"/>
          </w:divBdr>
          <w:divsChild>
            <w:div w:id="131794771">
              <w:marLeft w:val="0"/>
              <w:marRight w:val="0"/>
              <w:marTop w:val="0"/>
              <w:marBottom w:val="0"/>
              <w:divBdr>
                <w:top w:val="none" w:sz="0" w:space="0" w:color="auto"/>
                <w:left w:val="none" w:sz="0" w:space="0" w:color="auto"/>
                <w:bottom w:val="none" w:sz="0" w:space="0" w:color="auto"/>
                <w:right w:val="none" w:sz="0" w:space="0" w:color="auto"/>
              </w:divBdr>
            </w:div>
          </w:divsChild>
        </w:div>
        <w:div w:id="290284778">
          <w:marLeft w:val="0"/>
          <w:marRight w:val="0"/>
          <w:marTop w:val="0"/>
          <w:marBottom w:val="0"/>
          <w:divBdr>
            <w:top w:val="none" w:sz="0" w:space="0" w:color="auto"/>
            <w:left w:val="none" w:sz="0" w:space="0" w:color="auto"/>
            <w:bottom w:val="none" w:sz="0" w:space="0" w:color="auto"/>
            <w:right w:val="none" w:sz="0" w:space="0" w:color="auto"/>
          </w:divBdr>
          <w:divsChild>
            <w:div w:id="2057778487">
              <w:marLeft w:val="0"/>
              <w:marRight w:val="0"/>
              <w:marTop w:val="0"/>
              <w:marBottom w:val="0"/>
              <w:divBdr>
                <w:top w:val="none" w:sz="0" w:space="0" w:color="auto"/>
                <w:left w:val="none" w:sz="0" w:space="0" w:color="auto"/>
                <w:bottom w:val="none" w:sz="0" w:space="0" w:color="auto"/>
                <w:right w:val="none" w:sz="0" w:space="0" w:color="auto"/>
              </w:divBdr>
            </w:div>
          </w:divsChild>
        </w:div>
        <w:div w:id="291248527">
          <w:marLeft w:val="0"/>
          <w:marRight w:val="0"/>
          <w:marTop w:val="0"/>
          <w:marBottom w:val="0"/>
          <w:divBdr>
            <w:top w:val="none" w:sz="0" w:space="0" w:color="auto"/>
            <w:left w:val="none" w:sz="0" w:space="0" w:color="auto"/>
            <w:bottom w:val="none" w:sz="0" w:space="0" w:color="auto"/>
            <w:right w:val="none" w:sz="0" w:space="0" w:color="auto"/>
          </w:divBdr>
          <w:divsChild>
            <w:div w:id="804006345">
              <w:marLeft w:val="0"/>
              <w:marRight w:val="0"/>
              <w:marTop w:val="0"/>
              <w:marBottom w:val="0"/>
              <w:divBdr>
                <w:top w:val="none" w:sz="0" w:space="0" w:color="auto"/>
                <w:left w:val="none" w:sz="0" w:space="0" w:color="auto"/>
                <w:bottom w:val="none" w:sz="0" w:space="0" w:color="auto"/>
                <w:right w:val="none" w:sz="0" w:space="0" w:color="auto"/>
              </w:divBdr>
            </w:div>
          </w:divsChild>
        </w:div>
        <w:div w:id="298994748">
          <w:marLeft w:val="0"/>
          <w:marRight w:val="0"/>
          <w:marTop w:val="0"/>
          <w:marBottom w:val="0"/>
          <w:divBdr>
            <w:top w:val="none" w:sz="0" w:space="0" w:color="auto"/>
            <w:left w:val="none" w:sz="0" w:space="0" w:color="auto"/>
            <w:bottom w:val="none" w:sz="0" w:space="0" w:color="auto"/>
            <w:right w:val="none" w:sz="0" w:space="0" w:color="auto"/>
          </w:divBdr>
          <w:divsChild>
            <w:div w:id="2063170289">
              <w:marLeft w:val="0"/>
              <w:marRight w:val="0"/>
              <w:marTop w:val="0"/>
              <w:marBottom w:val="0"/>
              <w:divBdr>
                <w:top w:val="none" w:sz="0" w:space="0" w:color="auto"/>
                <w:left w:val="none" w:sz="0" w:space="0" w:color="auto"/>
                <w:bottom w:val="none" w:sz="0" w:space="0" w:color="auto"/>
                <w:right w:val="none" w:sz="0" w:space="0" w:color="auto"/>
              </w:divBdr>
            </w:div>
          </w:divsChild>
        </w:div>
        <w:div w:id="416831397">
          <w:marLeft w:val="0"/>
          <w:marRight w:val="0"/>
          <w:marTop w:val="0"/>
          <w:marBottom w:val="0"/>
          <w:divBdr>
            <w:top w:val="none" w:sz="0" w:space="0" w:color="auto"/>
            <w:left w:val="none" w:sz="0" w:space="0" w:color="auto"/>
            <w:bottom w:val="none" w:sz="0" w:space="0" w:color="auto"/>
            <w:right w:val="none" w:sz="0" w:space="0" w:color="auto"/>
          </w:divBdr>
          <w:divsChild>
            <w:div w:id="1560049636">
              <w:marLeft w:val="0"/>
              <w:marRight w:val="0"/>
              <w:marTop w:val="0"/>
              <w:marBottom w:val="0"/>
              <w:divBdr>
                <w:top w:val="none" w:sz="0" w:space="0" w:color="auto"/>
                <w:left w:val="none" w:sz="0" w:space="0" w:color="auto"/>
                <w:bottom w:val="none" w:sz="0" w:space="0" w:color="auto"/>
                <w:right w:val="none" w:sz="0" w:space="0" w:color="auto"/>
              </w:divBdr>
            </w:div>
          </w:divsChild>
        </w:div>
        <w:div w:id="434249142">
          <w:marLeft w:val="0"/>
          <w:marRight w:val="0"/>
          <w:marTop w:val="0"/>
          <w:marBottom w:val="0"/>
          <w:divBdr>
            <w:top w:val="none" w:sz="0" w:space="0" w:color="auto"/>
            <w:left w:val="none" w:sz="0" w:space="0" w:color="auto"/>
            <w:bottom w:val="none" w:sz="0" w:space="0" w:color="auto"/>
            <w:right w:val="none" w:sz="0" w:space="0" w:color="auto"/>
          </w:divBdr>
          <w:divsChild>
            <w:div w:id="1663460850">
              <w:marLeft w:val="0"/>
              <w:marRight w:val="0"/>
              <w:marTop w:val="0"/>
              <w:marBottom w:val="0"/>
              <w:divBdr>
                <w:top w:val="none" w:sz="0" w:space="0" w:color="auto"/>
                <w:left w:val="none" w:sz="0" w:space="0" w:color="auto"/>
                <w:bottom w:val="none" w:sz="0" w:space="0" w:color="auto"/>
                <w:right w:val="none" w:sz="0" w:space="0" w:color="auto"/>
              </w:divBdr>
            </w:div>
          </w:divsChild>
        </w:div>
        <w:div w:id="442651393">
          <w:marLeft w:val="0"/>
          <w:marRight w:val="0"/>
          <w:marTop w:val="0"/>
          <w:marBottom w:val="0"/>
          <w:divBdr>
            <w:top w:val="none" w:sz="0" w:space="0" w:color="auto"/>
            <w:left w:val="none" w:sz="0" w:space="0" w:color="auto"/>
            <w:bottom w:val="none" w:sz="0" w:space="0" w:color="auto"/>
            <w:right w:val="none" w:sz="0" w:space="0" w:color="auto"/>
          </w:divBdr>
          <w:divsChild>
            <w:div w:id="15931371">
              <w:marLeft w:val="0"/>
              <w:marRight w:val="0"/>
              <w:marTop w:val="0"/>
              <w:marBottom w:val="0"/>
              <w:divBdr>
                <w:top w:val="none" w:sz="0" w:space="0" w:color="auto"/>
                <w:left w:val="none" w:sz="0" w:space="0" w:color="auto"/>
                <w:bottom w:val="none" w:sz="0" w:space="0" w:color="auto"/>
                <w:right w:val="none" w:sz="0" w:space="0" w:color="auto"/>
              </w:divBdr>
            </w:div>
          </w:divsChild>
        </w:div>
        <w:div w:id="451632173">
          <w:marLeft w:val="0"/>
          <w:marRight w:val="0"/>
          <w:marTop w:val="0"/>
          <w:marBottom w:val="0"/>
          <w:divBdr>
            <w:top w:val="none" w:sz="0" w:space="0" w:color="auto"/>
            <w:left w:val="none" w:sz="0" w:space="0" w:color="auto"/>
            <w:bottom w:val="none" w:sz="0" w:space="0" w:color="auto"/>
            <w:right w:val="none" w:sz="0" w:space="0" w:color="auto"/>
          </w:divBdr>
          <w:divsChild>
            <w:div w:id="73362774">
              <w:marLeft w:val="0"/>
              <w:marRight w:val="0"/>
              <w:marTop w:val="0"/>
              <w:marBottom w:val="0"/>
              <w:divBdr>
                <w:top w:val="none" w:sz="0" w:space="0" w:color="auto"/>
                <w:left w:val="none" w:sz="0" w:space="0" w:color="auto"/>
                <w:bottom w:val="none" w:sz="0" w:space="0" w:color="auto"/>
                <w:right w:val="none" w:sz="0" w:space="0" w:color="auto"/>
              </w:divBdr>
            </w:div>
          </w:divsChild>
        </w:div>
        <w:div w:id="454913544">
          <w:marLeft w:val="0"/>
          <w:marRight w:val="0"/>
          <w:marTop w:val="0"/>
          <w:marBottom w:val="0"/>
          <w:divBdr>
            <w:top w:val="none" w:sz="0" w:space="0" w:color="auto"/>
            <w:left w:val="none" w:sz="0" w:space="0" w:color="auto"/>
            <w:bottom w:val="none" w:sz="0" w:space="0" w:color="auto"/>
            <w:right w:val="none" w:sz="0" w:space="0" w:color="auto"/>
          </w:divBdr>
          <w:divsChild>
            <w:div w:id="549078005">
              <w:marLeft w:val="0"/>
              <w:marRight w:val="0"/>
              <w:marTop w:val="0"/>
              <w:marBottom w:val="0"/>
              <w:divBdr>
                <w:top w:val="none" w:sz="0" w:space="0" w:color="auto"/>
                <w:left w:val="none" w:sz="0" w:space="0" w:color="auto"/>
                <w:bottom w:val="none" w:sz="0" w:space="0" w:color="auto"/>
                <w:right w:val="none" w:sz="0" w:space="0" w:color="auto"/>
              </w:divBdr>
            </w:div>
          </w:divsChild>
        </w:div>
        <w:div w:id="521672496">
          <w:marLeft w:val="0"/>
          <w:marRight w:val="0"/>
          <w:marTop w:val="0"/>
          <w:marBottom w:val="0"/>
          <w:divBdr>
            <w:top w:val="none" w:sz="0" w:space="0" w:color="auto"/>
            <w:left w:val="none" w:sz="0" w:space="0" w:color="auto"/>
            <w:bottom w:val="none" w:sz="0" w:space="0" w:color="auto"/>
            <w:right w:val="none" w:sz="0" w:space="0" w:color="auto"/>
          </w:divBdr>
          <w:divsChild>
            <w:div w:id="1029526201">
              <w:marLeft w:val="0"/>
              <w:marRight w:val="0"/>
              <w:marTop w:val="0"/>
              <w:marBottom w:val="0"/>
              <w:divBdr>
                <w:top w:val="none" w:sz="0" w:space="0" w:color="auto"/>
                <w:left w:val="none" w:sz="0" w:space="0" w:color="auto"/>
                <w:bottom w:val="none" w:sz="0" w:space="0" w:color="auto"/>
                <w:right w:val="none" w:sz="0" w:space="0" w:color="auto"/>
              </w:divBdr>
            </w:div>
          </w:divsChild>
        </w:div>
        <w:div w:id="531840449">
          <w:marLeft w:val="0"/>
          <w:marRight w:val="0"/>
          <w:marTop w:val="0"/>
          <w:marBottom w:val="0"/>
          <w:divBdr>
            <w:top w:val="none" w:sz="0" w:space="0" w:color="auto"/>
            <w:left w:val="none" w:sz="0" w:space="0" w:color="auto"/>
            <w:bottom w:val="none" w:sz="0" w:space="0" w:color="auto"/>
            <w:right w:val="none" w:sz="0" w:space="0" w:color="auto"/>
          </w:divBdr>
          <w:divsChild>
            <w:div w:id="1351639444">
              <w:marLeft w:val="0"/>
              <w:marRight w:val="0"/>
              <w:marTop w:val="0"/>
              <w:marBottom w:val="0"/>
              <w:divBdr>
                <w:top w:val="none" w:sz="0" w:space="0" w:color="auto"/>
                <w:left w:val="none" w:sz="0" w:space="0" w:color="auto"/>
                <w:bottom w:val="none" w:sz="0" w:space="0" w:color="auto"/>
                <w:right w:val="none" w:sz="0" w:space="0" w:color="auto"/>
              </w:divBdr>
            </w:div>
          </w:divsChild>
        </w:div>
        <w:div w:id="569117665">
          <w:marLeft w:val="0"/>
          <w:marRight w:val="0"/>
          <w:marTop w:val="0"/>
          <w:marBottom w:val="0"/>
          <w:divBdr>
            <w:top w:val="none" w:sz="0" w:space="0" w:color="auto"/>
            <w:left w:val="none" w:sz="0" w:space="0" w:color="auto"/>
            <w:bottom w:val="none" w:sz="0" w:space="0" w:color="auto"/>
            <w:right w:val="none" w:sz="0" w:space="0" w:color="auto"/>
          </w:divBdr>
          <w:divsChild>
            <w:div w:id="1793405629">
              <w:marLeft w:val="0"/>
              <w:marRight w:val="0"/>
              <w:marTop w:val="0"/>
              <w:marBottom w:val="0"/>
              <w:divBdr>
                <w:top w:val="none" w:sz="0" w:space="0" w:color="auto"/>
                <w:left w:val="none" w:sz="0" w:space="0" w:color="auto"/>
                <w:bottom w:val="none" w:sz="0" w:space="0" w:color="auto"/>
                <w:right w:val="none" w:sz="0" w:space="0" w:color="auto"/>
              </w:divBdr>
            </w:div>
          </w:divsChild>
        </w:div>
        <w:div w:id="619914708">
          <w:marLeft w:val="0"/>
          <w:marRight w:val="0"/>
          <w:marTop w:val="0"/>
          <w:marBottom w:val="0"/>
          <w:divBdr>
            <w:top w:val="none" w:sz="0" w:space="0" w:color="auto"/>
            <w:left w:val="none" w:sz="0" w:space="0" w:color="auto"/>
            <w:bottom w:val="none" w:sz="0" w:space="0" w:color="auto"/>
            <w:right w:val="none" w:sz="0" w:space="0" w:color="auto"/>
          </w:divBdr>
          <w:divsChild>
            <w:div w:id="792941591">
              <w:marLeft w:val="0"/>
              <w:marRight w:val="0"/>
              <w:marTop w:val="0"/>
              <w:marBottom w:val="0"/>
              <w:divBdr>
                <w:top w:val="none" w:sz="0" w:space="0" w:color="auto"/>
                <w:left w:val="none" w:sz="0" w:space="0" w:color="auto"/>
                <w:bottom w:val="none" w:sz="0" w:space="0" w:color="auto"/>
                <w:right w:val="none" w:sz="0" w:space="0" w:color="auto"/>
              </w:divBdr>
            </w:div>
          </w:divsChild>
        </w:div>
        <w:div w:id="636568877">
          <w:marLeft w:val="0"/>
          <w:marRight w:val="0"/>
          <w:marTop w:val="0"/>
          <w:marBottom w:val="0"/>
          <w:divBdr>
            <w:top w:val="none" w:sz="0" w:space="0" w:color="auto"/>
            <w:left w:val="none" w:sz="0" w:space="0" w:color="auto"/>
            <w:bottom w:val="none" w:sz="0" w:space="0" w:color="auto"/>
            <w:right w:val="none" w:sz="0" w:space="0" w:color="auto"/>
          </w:divBdr>
          <w:divsChild>
            <w:div w:id="1211840460">
              <w:marLeft w:val="0"/>
              <w:marRight w:val="0"/>
              <w:marTop w:val="0"/>
              <w:marBottom w:val="0"/>
              <w:divBdr>
                <w:top w:val="none" w:sz="0" w:space="0" w:color="auto"/>
                <w:left w:val="none" w:sz="0" w:space="0" w:color="auto"/>
                <w:bottom w:val="none" w:sz="0" w:space="0" w:color="auto"/>
                <w:right w:val="none" w:sz="0" w:space="0" w:color="auto"/>
              </w:divBdr>
            </w:div>
          </w:divsChild>
        </w:div>
        <w:div w:id="659774389">
          <w:marLeft w:val="0"/>
          <w:marRight w:val="0"/>
          <w:marTop w:val="0"/>
          <w:marBottom w:val="0"/>
          <w:divBdr>
            <w:top w:val="none" w:sz="0" w:space="0" w:color="auto"/>
            <w:left w:val="none" w:sz="0" w:space="0" w:color="auto"/>
            <w:bottom w:val="none" w:sz="0" w:space="0" w:color="auto"/>
            <w:right w:val="none" w:sz="0" w:space="0" w:color="auto"/>
          </w:divBdr>
          <w:divsChild>
            <w:div w:id="1961498036">
              <w:marLeft w:val="0"/>
              <w:marRight w:val="0"/>
              <w:marTop w:val="0"/>
              <w:marBottom w:val="0"/>
              <w:divBdr>
                <w:top w:val="none" w:sz="0" w:space="0" w:color="auto"/>
                <w:left w:val="none" w:sz="0" w:space="0" w:color="auto"/>
                <w:bottom w:val="none" w:sz="0" w:space="0" w:color="auto"/>
                <w:right w:val="none" w:sz="0" w:space="0" w:color="auto"/>
              </w:divBdr>
            </w:div>
          </w:divsChild>
        </w:div>
        <w:div w:id="671298075">
          <w:marLeft w:val="0"/>
          <w:marRight w:val="0"/>
          <w:marTop w:val="0"/>
          <w:marBottom w:val="0"/>
          <w:divBdr>
            <w:top w:val="none" w:sz="0" w:space="0" w:color="auto"/>
            <w:left w:val="none" w:sz="0" w:space="0" w:color="auto"/>
            <w:bottom w:val="none" w:sz="0" w:space="0" w:color="auto"/>
            <w:right w:val="none" w:sz="0" w:space="0" w:color="auto"/>
          </w:divBdr>
          <w:divsChild>
            <w:div w:id="1616206352">
              <w:marLeft w:val="0"/>
              <w:marRight w:val="0"/>
              <w:marTop w:val="0"/>
              <w:marBottom w:val="0"/>
              <w:divBdr>
                <w:top w:val="none" w:sz="0" w:space="0" w:color="auto"/>
                <w:left w:val="none" w:sz="0" w:space="0" w:color="auto"/>
                <w:bottom w:val="none" w:sz="0" w:space="0" w:color="auto"/>
                <w:right w:val="none" w:sz="0" w:space="0" w:color="auto"/>
              </w:divBdr>
            </w:div>
          </w:divsChild>
        </w:div>
        <w:div w:id="691733035">
          <w:marLeft w:val="0"/>
          <w:marRight w:val="0"/>
          <w:marTop w:val="0"/>
          <w:marBottom w:val="0"/>
          <w:divBdr>
            <w:top w:val="none" w:sz="0" w:space="0" w:color="auto"/>
            <w:left w:val="none" w:sz="0" w:space="0" w:color="auto"/>
            <w:bottom w:val="none" w:sz="0" w:space="0" w:color="auto"/>
            <w:right w:val="none" w:sz="0" w:space="0" w:color="auto"/>
          </w:divBdr>
          <w:divsChild>
            <w:div w:id="642924916">
              <w:marLeft w:val="0"/>
              <w:marRight w:val="0"/>
              <w:marTop w:val="0"/>
              <w:marBottom w:val="0"/>
              <w:divBdr>
                <w:top w:val="none" w:sz="0" w:space="0" w:color="auto"/>
                <w:left w:val="none" w:sz="0" w:space="0" w:color="auto"/>
                <w:bottom w:val="none" w:sz="0" w:space="0" w:color="auto"/>
                <w:right w:val="none" w:sz="0" w:space="0" w:color="auto"/>
              </w:divBdr>
            </w:div>
          </w:divsChild>
        </w:div>
        <w:div w:id="700545600">
          <w:marLeft w:val="0"/>
          <w:marRight w:val="0"/>
          <w:marTop w:val="0"/>
          <w:marBottom w:val="0"/>
          <w:divBdr>
            <w:top w:val="none" w:sz="0" w:space="0" w:color="auto"/>
            <w:left w:val="none" w:sz="0" w:space="0" w:color="auto"/>
            <w:bottom w:val="none" w:sz="0" w:space="0" w:color="auto"/>
            <w:right w:val="none" w:sz="0" w:space="0" w:color="auto"/>
          </w:divBdr>
          <w:divsChild>
            <w:div w:id="2050716651">
              <w:marLeft w:val="0"/>
              <w:marRight w:val="0"/>
              <w:marTop w:val="0"/>
              <w:marBottom w:val="0"/>
              <w:divBdr>
                <w:top w:val="none" w:sz="0" w:space="0" w:color="auto"/>
                <w:left w:val="none" w:sz="0" w:space="0" w:color="auto"/>
                <w:bottom w:val="none" w:sz="0" w:space="0" w:color="auto"/>
                <w:right w:val="none" w:sz="0" w:space="0" w:color="auto"/>
              </w:divBdr>
            </w:div>
          </w:divsChild>
        </w:div>
        <w:div w:id="728187741">
          <w:marLeft w:val="0"/>
          <w:marRight w:val="0"/>
          <w:marTop w:val="0"/>
          <w:marBottom w:val="0"/>
          <w:divBdr>
            <w:top w:val="none" w:sz="0" w:space="0" w:color="auto"/>
            <w:left w:val="none" w:sz="0" w:space="0" w:color="auto"/>
            <w:bottom w:val="none" w:sz="0" w:space="0" w:color="auto"/>
            <w:right w:val="none" w:sz="0" w:space="0" w:color="auto"/>
          </w:divBdr>
          <w:divsChild>
            <w:div w:id="418526680">
              <w:marLeft w:val="0"/>
              <w:marRight w:val="0"/>
              <w:marTop w:val="0"/>
              <w:marBottom w:val="0"/>
              <w:divBdr>
                <w:top w:val="none" w:sz="0" w:space="0" w:color="auto"/>
                <w:left w:val="none" w:sz="0" w:space="0" w:color="auto"/>
                <w:bottom w:val="none" w:sz="0" w:space="0" w:color="auto"/>
                <w:right w:val="none" w:sz="0" w:space="0" w:color="auto"/>
              </w:divBdr>
            </w:div>
          </w:divsChild>
        </w:div>
        <w:div w:id="756294625">
          <w:marLeft w:val="0"/>
          <w:marRight w:val="0"/>
          <w:marTop w:val="0"/>
          <w:marBottom w:val="0"/>
          <w:divBdr>
            <w:top w:val="none" w:sz="0" w:space="0" w:color="auto"/>
            <w:left w:val="none" w:sz="0" w:space="0" w:color="auto"/>
            <w:bottom w:val="none" w:sz="0" w:space="0" w:color="auto"/>
            <w:right w:val="none" w:sz="0" w:space="0" w:color="auto"/>
          </w:divBdr>
          <w:divsChild>
            <w:div w:id="2029016291">
              <w:marLeft w:val="0"/>
              <w:marRight w:val="0"/>
              <w:marTop w:val="0"/>
              <w:marBottom w:val="0"/>
              <w:divBdr>
                <w:top w:val="none" w:sz="0" w:space="0" w:color="auto"/>
                <w:left w:val="none" w:sz="0" w:space="0" w:color="auto"/>
                <w:bottom w:val="none" w:sz="0" w:space="0" w:color="auto"/>
                <w:right w:val="none" w:sz="0" w:space="0" w:color="auto"/>
              </w:divBdr>
            </w:div>
          </w:divsChild>
        </w:div>
        <w:div w:id="760376421">
          <w:marLeft w:val="0"/>
          <w:marRight w:val="0"/>
          <w:marTop w:val="0"/>
          <w:marBottom w:val="0"/>
          <w:divBdr>
            <w:top w:val="none" w:sz="0" w:space="0" w:color="auto"/>
            <w:left w:val="none" w:sz="0" w:space="0" w:color="auto"/>
            <w:bottom w:val="none" w:sz="0" w:space="0" w:color="auto"/>
            <w:right w:val="none" w:sz="0" w:space="0" w:color="auto"/>
          </w:divBdr>
          <w:divsChild>
            <w:div w:id="792482202">
              <w:marLeft w:val="0"/>
              <w:marRight w:val="0"/>
              <w:marTop w:val="0"/>
              <w:marBottom w:val="0"/>
              <w:divBdr>
                <w:top w:val="none" w:sz="0" w:space="0" w:color="auto"/>
                <w:left w:val="none" w:sz="0" w:space="0" w:color="auto"/>
                <w:bottom w:val="none" w:sz="0" w:space="0" w:color="auto"/>
                <w:right w:val="none" w:sz="0" w:space="0" w:color="auto"/>
              </w:divBdr>
            </w:div>
          </w:divsChild>
        </w:div>
        <w:div w:id="771510679">
          <w:marLeft w:val="0"/>
          <w:marRight w:val="0"/>
          <w:marTop w:val="0"/>
          <w:marBottom w:val="0"/>
          <w:divBdr>
            <w:top w:val="none" w:sz="0" w:space="0" w:color="auto"/>
            <w:left w:val="none" w:sz="0" w:space="0" w:color="auto"/>
            <w:bottom w:val="none" w:sz="0" w:space="0" w:color="auto"/>
            <w:right w:val="none" w:sz="0" w:space="0" w:color="auto"/>
          </w:divBdr>
          <w:divsChild>
            <w:div w:id="585067572">
              <w:marLeft w:val="0"/>
              <w:marRight w:val="0"/>
              <w:marTop w:val="0"/>
              <w:marBottom w:val="0"/>
              <w:divBdr>
                <w:top w:val="none" w:sz="0" w:space="0" w:color="auto"/>
                <w:left w:val="none" w:sz="0" w:space="0" w:color="auto"/>
                <w:bottom w:val="none" w:sz="0" w:space="0" w:color="auto"/>
                <w:right w:val="none" w:sz="0" w:space="0" w:color="auto"/>
              </w:divBdr>
            </w:div>
          </w:divsChild>
        </w:div>
        <w:div w:id="778717807">
          <w:marLeft w:val="0"/>
          <w:marRight w:val="0"/>
          <w:marTop w:val="0"/>
          <w:marBottom w:val="0"/>
          <w:divBdr>
            <w:top w:val="none" w:sz="0" w:space="0" w:color="auto"/>
            <w:left w:val="none" w:sz="0" w:space="0" w:color="auto"/>
            <w:bottom w:val="none" w:sz="0" w:space="0" w:color="auto"/>
            <w:right w:val="none" w:sz="0" w:space="0" w:color="auto"/>
          </w:divBdr>
          <w:divsChild>
            <w:div w:id="1823690715">
              <w:marLeft w:val="0"/>
              <w:marRight w:val="0"/>
              <w:marTop w:val="0"/>
              <w:marBottom w:val="0"/>
              <w:divBdr>
                <w:top w:val="none" w:sz="0" w:space="0" w:color="auto"/>
                <w:left w:val="none" w:sz="0" w:space="0" w:color="auto"/>
                <w:bottom w:val="none" w:sz="0" w:space="0" w:color="auto"/>
                <w:right w:val="none" w:sz="0" w:space="0" w:color="auto"/>
              </w:divBdr>
            </w:div>
          </w:divsChild>
        </w:div>
        <w:div w:id="794719272">
          <w:marLeft w:val="0"/>
          <w:marRight w:val="0"/>
          <w:marTop w:val="0"/>
          <w:marBottom w:val="0"/>
          <w:divBdr>
            <w:top w:val="none" w:sz="0" w:space="0" w:color="auto"/>
            <w:left w:val="none" w:sz="0" w:space="0" w:color="auto"/>
            <w:bottom w:val="none" w:sz="0" w:space="0" w:color="auto"/>
            <w:right w:val="none" w:sz="0" w:space="0" w:color="auto"/>
          </w:divBdr>
          <w:divsChild>
            <w:div w:id="347296044">
              <w:marLeft w:val="0"/>
              <w:marRight w:val="0"/>
              <w:marTop w:val="0"/>
              <w:marBottom w:val="0"/>
              <w:divBdr>
                <w:top w:val="none" w:sz="0" w:space="0" w:color="auto"/>
                <w:left w:val="none" w:sz="0" w:space="0" w:color="auto"/>
                <w:bottom w:val="none" w:sz="0" w:space="0" w:color="auto"/>
                <w:right w:val="none" w:sz="0" w:space="0" w:color="auto"/>
              </w:divBdr>
            </w:div>
          </w:divsChild>
        </w:div>
        <w:div w:id="834416320">
          <w:marLeft w:val="0"/>
          <w:marRight w:val="0"/>
          <w:marTop w:val="0"/>
          <w:marBottom w:val="0"/>
          <w:divBdr>
            <w:top w:val="none" w:sz="0" w:space="0" w:color="auto"/>
            <w:left w:val="none" w:sz="0" w:space="0" w:color="auto"/>
            <w:bottom w:val="none" w:sz="0" w:space="0" w:color="auto"/>
            <w:right w:val="none" w:sz="0" w:space="0" w:color="auto"/>
          </w:divBdr>
          <w:divsChild>
            <w:div w:id="1494297100">
              <w:marLeft w:val="0"/>
              <w:marRight w:val="0"/>
              <w:marTop w:val="0"/>
              <w:marBottom w:val="0"/>
              <w:divBdr>
                <w:top w:val="none" w:sz="0" w:space="0" w:color="auto"/>
                <w:left w:val="none" w:sz="0" w:space="0" w:color="auto"/>
                <w:bottom w:val="none" w:sz="0" w:space="0" w:color="auto"/>
                <w:right w:val="none" w:sz="0" w:space="0" w:color="auto"/>
              </w:divBdr>
            </w:div>
          </w:divsChild>
        </w:div>
        <w:div w:id="840971834">
          <w:marLeft w:val="0"/>
          <w:marRight w:val="0"/>
          <w:marTop w:val="0"/>
          <w:marBottom w:val="0"/>
          <w:divBdr>
            <w:top w:val="none" w:sz="0" w:space="0" w:color="auto"/>
            <w:left w:val="none" w:sz="0" w:space="0" w:color="auto"/>
            <w:bottom w:val="none" w:sz="0" w:space="0" w:color="auto"/>
            <w:right w:val="none" w:sz="0" w:space="0" w:color="auto"/>
          </w:divBdr>
          <w:divsChild>
            <w:div w:id="2025284750">
              <w:marLeft w:val="0"/>
              <w:marRight w:val="0"/>
              <w:marTop w:val="0"/>
              <w:marBottom w:val="0"/>
              <w:divBdr>
                <w:top w:val="none" w:sz="0" w:space="0" w:color="auto"/>
                <w:left w:val="none" w:sz="0" w:space="0" w:color="auto"/>
                <w:bottom w:val="none" w:sz="0" w:space="0" w:color="auto"/>
                <w:right w:val="none" w:sz="0" w:space="0" w:color="auto"/>
              </w:divBdr>
            </w:div>
          </w:divsChild>
        </w:div>
        <w:div w:id="848056839">
          <w:marLeft w:val="0"/>
          <w:marRight w:val="0"/>
          <w:marTop w:val="0"/>
          <w:marBottom w:val="0"/>
          <w:divBdr>
            <w:top w:val="none" w:sz="0" w:space="0" w:color="auto"/>
            <w:left w:val="none" w:sz="0" w:space="0" w:color="auto"/>
            <w:bottom w:val="none" w:sz="0" w:space="0" w:color="auto"/>
            <w:right w:val="none" w:sz="0" w:space="0" w:color="auto"/>
          </w:divBdr>
          <w:divsChild>
            <w:div w:id="1289357884">
              <w:marLeft w:val="0"/>
              <w:marRight w:val="0"/>
              <w:marTop w:val="0"/>
              <w:marBottom w:val="0"/>
              <w:divBdr>
                <w:top w:val="none" w:sz="0" w:space="0" w:color="auto"/>
                <w:left w:val="none" w:sz="0" w:space="0" w:color="auto"/>
                <w:bottom w:val="none" w:sz="0" w:space="0" w:color="auto"/>
                <w:right w:val="none" w:sz="0" w:space="0" w:color="auto"/>
              </w:divBdr>
            </w:div>
          </w:divsChild>
        </w:div>
        <w:div w:id="855731133">
          <w:marLeft w:val="0"/>
          <w:marRight w:val="0"/>
          <w:marTop w:val="0"/>
          <w:marBottom w:val="0"/>
          <w:divBdr>
            <w:top w:val="none" w:sz="0" w:space="0" w:color="auto"/>
            <w:left w:val="none" w:sz="0" w:space="0" w:color="auto"/>
            <w:bottom w:val="none" w:sz="0" w:space="0" w:color="auto"/>
            <w:right w:val="none" w:sz="0" w:space="0" w:color="auto"/>
          </w:divBdr>
          <w:divsChild>
            <w:div w:id="1914776961">
              <w:marLeft w:val="0"/>
              <w:marRight w:val="0"/>
              <w:marTop w:val="0"/>
              <w:marBottom w:val="0"/>
              <w:divBdr>
                <w:top w:val="none" w:sz="0" w:space="0" w:color="auto"/>
                <w:left w:val="none" w:sz="0" w:space="0" w:color="auto"/>
                <w:bottom w:val="none" w:sz="0" w:space="0" w:color="auto"/>
                <w:right w:val="none" w:sz="0" w:space="0" w:color="auto"/>
              </w:divBdr>
            </w:div>
          </w:divsChild>
        </w:div>
        <w:div w:id="876812718">
          <w:marLeft w:val="0"/>
          <w:marRight w:val="0"/>
          <w:marTop w:val="0"/>
          <w:marBottom w:val="0"/>
          <w:divBdr>
            <w:top w:val="none" w:sz="0" w:space="0" w:color="auto"/>
            <w:left w:val="none" w:sz="0" w:space="0" w:color="auto"/>
            <w:bottom w:val="none" w:sz="0" w:space="0" w:color="auto"/>
            <w:right w:val="none" w:sz="0" w:space="0" w:color="auto"/>
          </w:divBdr>
          <w:divsChild>
            <w:div w:id="43871107">
              <w:marLeft w:val="0"/>
              <w:marRight w:val="0"/>
              <w:marTop w:val="0"/>
              <w:marBottom w:val="0"/>
              <w:divBdr>
                <w:top w:val="none" w:sz="0" w:space="0" w:color="auto"/>
                <w:left w:val="none" w:sz="0" w:space="0" w:color="auto"/>
                <w:bottom w:val="none" w:sz="0" w:space="0" w:color="auto"/>
                <w:right w:val="none" w:sz="0" w:space="0" w:color="auto"/>
              </w:divBdr>
            </w:div>
          </w:divsChild>
        </w:div>
        <w:div w:id="897975533">
          <w:marLeft w:val="0"/>
          <w:marRight w:val="0"/>
          <w:marTop w:val="0"/>
          <w:marBottom w:val="0"/>
          <w:divBdr>
            <w:top w:val="none" w:sz="0" w:space="0" w:color="auto"/>
            <w:left w:val="none" w:sz="0" w:space="0" w:color="auto"/>
            <w:bottom w:val="none" w:sz="0" w:space="0" w:color="auto"/>
            <w:right w:val="none" w:sz="0" w:space="0" w:color="auto"/>
          </w:divBdr>
          <w:divsChild>
            <w:div w:id="177621966">
              <w:marLeft w:val="0"/>
              <w:marRight w:val="0"/>
              <w:marTop w:val="0"/>
              <w:marBottom w:val="0"/>
              <w:divBdr>
                <w:top w:val="none" w:sz="0" w:space="0" w:color="auto"/>
                <w:left w:val="none" w:sz="0" w:space="0" w:color="auto"/>
                <w:bottom w:val="none" w:sz="0" w:space="0" w:color="auto"/>
                <w:right w:val="none" w:sz="0" w:space="0" w:color="auto"/>
              </w:divBdr>
            </w:div>
          </w:divsChild>
        </w:div>
        <w:div w:id="1010990236">
          <w:marLeft w:val="0"/>
          <w:marRight w:val="0"/>
          <w:marTop w:val="0"/>
          <w:marBottom w:val="0"/>
          <w:divBdr>
            <w:top w:val="none" w:sz="0" w:space="0" w:color="auto"/>
            <w:left w:val="none" w:sz="0" w:space="0" w:color="auto"/>
            <w:bottom w:val="none" w:sz="0" w:space="0" w:color="auto"/>
            <w:right w:val="none" w:sz="0" w:space="0" w:color="auto"/>
          </w:divBdr>
          <w:divsChild>
            <w:div w:id="573973828">
              <w:marLeft w:val="0"/>
              <w:marRight w:val="0"/>
              <w:marTop w:val="0"/>
              <w:marBottom w:val="0"/>
              <w:divBdr>
                <w:top w:val="none" w:sz="0" w:space="0" w:color="auto"/>
                <w:left w:val="none" w:sz="0" w:space="0" w:color="auto"/>
                <w:bottom w:val="none" w:sz="0" w:space="0" w:color="auto"/>
                <w:right w:val="none" w:sz="0" w:space="0" w:color="auto"/>
              </w:divBdr>
            </w:div>
          </w:divsChild>
        </w:div>
        <w:div w:id="1025473504">
          <w:marLeft w:val="0"/>
          <w:marRight w:val="0"/>
          <w:marTop w:val="0"/>
          <w:marBottom w:val="0"/>
          <w:divBdr>
            <w:top w:val="none" w:sz="0" w:space="0" w:color="auto"/>
            <w:left w:val="none" w:sz="0" w:space="0" w:color="auto"/>
            <w:bottom w:val="none" w:sz="0" w:space="0" w:color="auto"/>
            <w:right w:val="none" w:sz="0" w:space="0" w:color="auto"/>
          </w:divBdr>
          <w:divsChild>
            <w:div w:id="408505471">
              <w:marLeft w:val="0"/>
              <w:marRight w:val="0"/>
              <w:marTop w:val="0"/>
              <w:marBottom w:val="0"/>
              <w:divBdr>
                <w:top w:val="none" w:sz="0" w:space="0" w:color="auto"/>
                <w:left w:val="none" w:sz="0" w:space="0" w:color="auto"/>
                <w:bottom w:val="none" w:sz="0" w:space="0" w:color="auto"/>
                <w:right w:val="none" w:sz="0" w:space="0" w:color="auto"/>
              </w:divBdr>
            </w:div>
          </w:divsChild>
        </w:div>
        <w:div w:id="1039627467">
          <w:marLeft w:val="0"/>
          <w:marRight w:val="0"/>
          <w:marTop w:val="0"/>
          <w:marBottom w:val="0"/>
          <w:divBdr>
            <w:top w:val="none" w:sz="0" w:space="0" w:color="auto"/>
            <w:left w:val="none" w:sz="0" w:space="0" w:color="auto"/>
            <w:bottom w:val="none" w:sz="0" w:space="0" w:color="auto"/>
            <w:right w:val="none" w:sz="0" w:space="0" w:color="auto"/>
          </w:divBdr>
          <w:divsChild>
            <w:div w:id="157968786">
              <w:marLeft w:val="0"/>
              <w:marRight w:val="0"/>
              <w:marTop w:val="0"/>
              <w:marBottom w:val="0"/>
              <w:divBdr>
                <w:top w:val="none" w:sz="0" w:space="0" w:color="auto"/>
                <w:left w:val="none" w:sz="0" w:space="0" w:color="auto"/>
                <w:bottom w:val="none" w:sz="0" w:space="0" w:color="auto"/>
                <w:right w:val="none" w:sz="0" w:space="0" w:color="auto"/>
              </w:divBdr>
            </w:div>
          </w:divsChild>
        </w:div>
        <w:div w:id="1079248547">
          <w:marLeft w:val="0"/>
          <w:marRight w:val="0"/>
          <w:marTop w:val="0"/>
          <w:marBottom w:val="0"/>
          <w:divBdr>
            <w:top w:val="none" w:sz="0" w:space="0" w:color="auto"/>
            <w:left w:val="none" w:sz="0" w:space="0" w:color="auto"/>
            <w:bottom w:val="none" w:sz="0" w:space="0" w:color="auto"/>
            <w:right w:val="none" w:sz="0" w:space="0" w:color="auto"/>
          </w:divBdr>
          <w:divsChild>
            <w:div w:id="1547062356">
              <w:marLeft w:val="0"/>
              <w:marRight w:val="0"/>
              <w:marTop w:val="0"/>
              <w:marBottom w:val="0"/>
              <w:divBdr>
                <w:top w:val="none" w:sz="0" w:space="0" w:color="auto"/>
                <w:left w:val="none" w:sz="0" w:space="0" w:color="auto"/>
                <w:bottom w:val="none" w:sz="0" w:space="0" w:color="auto"/>
                <w:right w:val="none" w:sz="0" w:space="0" w:color="auto"/>
              </w:divBdr>
            </w:div>
          </w:divsChild>
        </w:div>
        <w:div w:id="1092092332">
          <w:marLeft w:val="0"/>
          <w:marRight w:val="0"/>
          <w:marTop w:val="0"/>
          <w:marBottom w:val="0"/>
          <w:divBdr>
            <w:top w:val="none" w:sz="0" w:space="0" w:color="auto"/>
            <w:left w:val="none" w:sz="0" w:space="0" w:color="auto"/>
            <w:bottom w:val="none" w:sz="0" w:space="0" w:color="auto"/>
            <w:right w:val="none" w:sz="0" w:space="0" w:color="auto"/>
          </w:divBdr>
          <w:divsChild>
            <w:div w:id="850026698">
              <w:marLeft w:val="0"/>
              <w:marRight w:val="0"/>
              <w:marTop w:val="0"/>
              <w:marBottom w:val="0"/>
              <w:divBdr>
                <w:top w:val="none" w:sz="0" w:space="0" w:color="auto"/>
                <w:left w:val="none" w:sz="0" w:space="0" w:color="auto"/>
                <w:bottom w:val="none" w:sz="0" w:space="0" w:color="auto"/>
                <w:right w:val="none" w:sz="0" w:space="0" w:color="auto"/>
              </w:divBdr>
            </w:div>
          </w:divsChild>
        </w:div>
        <w:div w:id="1174110026">
          <w:marLeft w:val="0"/>
          <w:marRight w:val="0"/>
          <w:marTop w:val="0"/>
          <w:marBottom w:val="0"/>
          <w:divBdr>
            <w:top w:val="none" w:sz="0" w:space="0" w:color="auto"/>
            <w:left w:val="none" w:sz="0" w:space="0" w:color="auto"/>
            <w:bottom w:val="none" w:sz="0" w:space="0" w:color="auto"/>
            <w:right w:val="none" w:sz="0" w:space="0" w:color="auto"/>
          </w:divBdr>
          <w:divsChild>
            <w:div w:id="1144005453">
              <w:marLeft w:val="0"/>
              <w:marRight w:val="0"/>
              <w:marTop w:val="0"/>
              <w:marBottom w:val="0"/>
              <w:divBdr>
                <w:top w:val="none" w:sz="0" w:space="0" w:color="auto"/>
                <w:left w:val="none" w:sz="0" w:space="0" w:color="auto"/>
                <w:bottom w:val="none" w:sz="0" w:space="0" w:color="auto"/>
                <w:right w:val="none" w:sz="0" w:space="0" w:color="auto"/>
              </w:divBdr>
            </w:div>
          </w:divsChild>
        </w:div>
        <w:div w:id="1181972888">
          <w:marLeft w:val="0"/>
          <w:marRight w:val="0"/>
          <w:marTop w:val="0"/>
          <w:marBottom w:val="0"/>
          <w:divBdr>
            <w:top w:val="none" w:sz="0" w:space="0" w:color="auto"/>
            <w:left w:val="none" w:sz="0" w:space="0" w:color="auto"/>
            <w:bottom w:val="none" w:sz="0" w:space="0" w:color="auto"/>
            <w:right w:val="none" w:sz="0" w:space="0" w:color="auto"/>
          </w:divBdr>
          <w:divsChild>
            <w:div w:id="1095901101">
              <w:marLeft w:val="0"/>
              <w:marRight w:val="0"/>
              <w:marTop w:val="0"/>
              <w:marBottom w:val="0"/>
              <w:divBdr>
                <w:top w:val="none" w:sz="0" w:space="0" w:color="auto"/>
                <w:left w:val="none" w:sz="0" w:space="0" w:color="auto"/>
                <w:bottom w:val="none" w:sz="0" w:space="0" w:color="auto"/>
                <w:right w:val="none" w:sz="0" w:space="0" w:color="auto"/>
              </w:divBdr>
            </w:div>
          </w:divsChild>
        </w:div>
        <w:div w:id="1230380279">
          <w:marLeft w:val="0"/>
          <w:marRight w:val="0"/>
          <w:marTop w:val="0"/>
          <w:marBottom w:val="0"/>
          <w:divBdr>
            <w:top w:val="none" w:sz="0" w:space="0" w:color="auto"/>
            <w:left w:val="none" w:sz="0" w:space="0" w:color="auto"/>
            <w:bottom w:val="none" w:sz="0" w:space="0" w:color="auto"/>
            <w:right w:val="none" w:sz="0" w:space="0" w:color="auto"/>
          </w:divBdr>
          <w:divsChild>
            <w:div w:id="983462768">
              <w:marLeft w:val="0"/>
              <w:marRight w:val="0"/>
              <w:marTop w:val="0"/>
              <w:marBottom w:val="0"/>
              <w:divBdr>
                <w:top w:val="none" w:sz="0" w:space="0" w:color="auto"/>
                <w:left w:val="none" w:sz="0" w:space="0" w:color="auto"/>
                <w:bottom w:val="none" w:sz="0" w:space="0" w:color="auto"/>
                <w:right w:val="none" w:sz="0" w:space="0" w:color="auto"/>
              </w:divBdr>
            </w:div>
          </w:divsChild>
        </w:div>
        <w:div w:id="1245796167">
          <w:marLeft w:val="0"/>
          <w:marRight w:val="0"/>
          <w:marTop w:val="0"/>
          <w:marBottom w:val="0"/>
          <w:divBdr>
            <w:top w:val="none" w:sz="0" w:space="0" w:color="auto"/>
            <w:left w:val="none" w:sz="0" w:space="0" w:color="auto"/>
            <w:bottom w:val="none" w:sz="0" w:space="0" w:color="auto"/>
            <w:right w:val="none" w:sz="0" w:space="0" w:color="auto"/>
          </w:divBdr>
          <w:divsChild>
            <w:div w:id="1162043064">
              <w:marLeft w:val="0"/>
              <w:marRight w:val="0"/>
              <w:marTop w:val="0"/>
              <w:marBottom w:val="0"/>
              <w:divBdr>
                <w:top w:val="none" w:sz="0" w:space="0" w:color="auto"/>
                <w:left w:val="none" w:sz="0" w:space="0" w:color="auto"/>
                <w:bottom w:val="none" w:sz="0" w:space="0" w:color="auto"/>
                <w:right w:val="none" w:sz="0" w:space="0" w:color="auto"/>
              </w:divBdr>
            </w:div>
          </w:divsChild>
        </w:div>
        <w:div w:id="1266229888">
          <w:marLeft w:val="0"/>
          <w:marRight w:val="0"/>
          <w:marTop w:val="0"/>
          <w:marBottom w:val="0"/>
          <w:divBdr>
            <w:top w:val="none" w:sz="0" w:space="0" w:color="auto"/>
            <w:left w:val="none" w:sz="0" w:space="0" w:color="auto"/>
            <w:bottom w:val="none" w:sz="0" w:space="0" w:color="auto"/>
            <w:right w:val="none" w:sz="0" w:space="0" w:color="auto"/>
          </w:divBdr>
          <w:divsChild>
            <w:div w:id="292904265">
              <w:marLeft w:val="0"/>
              <w:marRight w:val="0"/>
              <w:marTop w:val="0"/>
              <w:marBottom w:val="0"/>
              <w:divBdr>
                <w:top w:val="none" w:sz="0" w:space="0" w:color="auto"/>
                <w:left w:val="none" w:sz="0" w:space="0" w:color="auto"/>
                <w:bottom w:val="none" w:sz="0" w:space="0" w:color="auto"/>
                <w:right w:val="none" w:sz="0" w:space="0" w:color="auto"/>
              </w:divBdr>
            </w:div>
          </w:divsChild>
        </w:div>
        <w:div w:id="1277714869">
          <w:marLeft w:val="0"/>
          <w:marRight w:val="0"/>
          <w:marTop w:val="0"/>
          <w:marBottom w:val="0"/>
          <w:divBdr>
            <w:top w:val="none" w:sz="0" w:space="0" w:color="auto"/>
            <w:left w:val="none" w:sz="0" w:space="0" w:color="auto"/>
            <w:bottom w:val="none" w:sz="0" w:space="0" w:color="auto"/>
            <w:right w:val="none" w:sz="0" w:space="0" w:color="auto"/>
          </w:divBdr>
          <w:divsChild>
            <w:div w:id="1371490174">
              <w:marLeft w:val="0"/>
              <w:marRight w:val="0"/>
              <w:marTop w:val="0"/>
              <w:marBottom w:val="0"/>
              <w:divBdr>
                <w:top w:val="none" w:sz="0" w:space="0" w:color="auto"/>
                <w:left w:val="none" w:sz="0" w:space="0" w:color="auto"/>
                <w:bottom w:val="none" w:sz="0" w:space="0" w:color="auto"/>
                <w:right w:val="none" w:sz="0" w:space="0" w:color="auto"/>
              </w:divBdr>
            </w:div>
          </w:divsChild>
        </w:div>
        <w:div w:id="1280795719">
          <w:marLeft w:val="0"/>
          <w:marRight w:val="0"/>
          <w:marTop w:val="0"/>
          <w:marBottom w:val="0"/>
          <w:divBdr>
            <w:top w:val="none" w:sz="0" w:space="0" w:color="auto"/>
            <w:left w:val="none" w:sz="0" w:space="0" w:color="auto"/>
            <w:bottom w:val="none" w:sz="0" w:space="0" w:color="auto"/>
            <w:right w:val="none" w:sz="0" w:space="0" w:color="auto"/>
          </w:divBdr>
          <w:divsChild>
            <w:div w:id="1985230100">
              <w:marLeft w:val="0"/>
              <w:marRight w:val="0"/>
              <w:marTop w:val="0"/>
              <w:marBottom w:val="0"/>
              <w:divBdr>
                <w:top w:val="none" w:sz="0" w:space="0" w:color="auto"/>
                <w:left w:val="none" w:sz="0" w:space="0" w:color="auto"/>
                <w:bottom w:val="none" w:sz="0" w:space="0" w:color="auto"/>
                <w:right w:val="none" w:sz="0" w:space="0" w:color="auto"/>
              </w:divBdr>
            </w:div>
          </w:divsChild>
        </w:div>
        <w:div w:id="1288312718">
          <w:marLeft w:val="0"/>
          <w:marRight w:val="0"/>
          <w:marTop w:val="0"/>
          <w:marBottom w:val="0"/>
          <w:divBdr>
            <w:top w:val="none" w:sz="0" w:space="0" w:color="auto"/>
            <w:left w:val="none" w:sz="0" w:space="0" w:color="auto"/>
            <w:bottom w:val="none" w:sz="0" w:space="0" w:color="auto"/>
            <w:right w:val="none" w:sz="0" w:space="0" w:color="auto"/>
          </w:divBdr>
          <w:divsChild>
            <w:div w:id="1059285498">
              <w:marLeft w:val="0"/>
              <w:marRight w:val="0"/>
              <w:marTop w:val="0"/>
              <w:marBottom w:val="0"/>
              <w:divBdr>
                <w:top w:val="none" w:sz="0" w:space="0" w:color="auto"/>
                <w:left w:val="none" w:sz="0" w:space="0" w:color="auto"/>
                <w:bottom w:val="none" w:sz="0" w:space="0" w:color="auto"/>
                <w:right w:val="none" w:sz="0" w:space="0" w:color="auto"/>
              </w:divBdr>
            </w:div>
          </w:divsChild>
        </w:div>
        <w:div w:id="1330711344">
          <w:marLeft w:val="0"/>
          <w:marRight w:val="0"/>
          <w:marTop w:val="0"/>
          <w:marBottom w:val="0"/>
          <w:divBdr>
            <w:top w:val="none" w:sz="0" w:space="0" w:color="auto"/>
            <w:left w:val="none" w:sz="0" w:space="0" w:color="auto"/>
            <w:bottom w:val="none" w:sz="0" w:space="0" w:color="auto"/>
            <w:right w:val="none" w:sz="0" w:space="0" w:color="auto"/>
          </w:divBdr>
          <w:divsChild>
            <w:div w:id="463278850">
              <w:marLeft w:val="0"/>
              <w:marRight w:val="0"/>
              <w:marTop w:val="0"/>
              <w:marBottom w:val="0"/>
              <w:divBdr>
                <w:top w:val="none" w:sz="0" w:space="0" w:color="auto"/>
                <w:left w:val="none" w:sz="0" w:space="0" w:color="auto"/>
                <w:bottom w:val="none" w:sz="0" w:space="0" w:color="auto"/>
                <w:right w:val="none" w:sz="0" w:space="0" w:color="auto"/>
              </w:divBdr>
            </w:div>
          </w:divsChild>
        </w:div>
        <w:div w:id="1414736054">
          <w:marLeft w:val="0"/>
          <w:marRight w:val="0"/>
          <w:marTop w:val="0"/>
          <w:marBottom w:val="0"/>
          <w:divBdr>
            <w:top w:val="none" w:sz="0" w:space="0" w:color="auto"/>
            <w:left w:val="none" w:sz="0" w:space="0" w:color="auto"/>
            <w:bottom w:val="none" w:sz="0" w:space="0" w:color="auto"/>
            <w:right w:val="none" w:sz="0" w:space="0" w:color="auto"/>
          </w:divBdr>
          <w:divsChild>
            <w:div w:id="460612781">
              <w:marLeft w:val="0"/>
              <w:marRight w:val="0"/>
              <w:marTop w:val="0"/>
              <w:marBottom w:val="0"/>
              <w:divBdr>
                <w:top w:val="none" w:sz="0" w:space="0" w:color="auto"/>
                <w:left w:val="none" w:sz="0" w:space="0" w:color="auto"/>
                <w:bottom w:val="none" w:sz="0" w:space="0" w:color="auto"/>
                <w:right w:val="none" w:sz="0" w:space="0" w:color="auto"/>
              </w:divBdr>
            </w:div>
          </w:divsChild>
        </w:div>
        <w:div w:id="1481649260">
          <w:marLeft w:val="0"/>
          <w:marRight w:val="0"/>
          <w:marTop w:val="0"/>
          <w:marBottom w:val="0"/>
          <w:divBdr>
            <w:top w:val="none" w:sz="0" w:space="0" w:color="auto"/>
            <w:left w:val="none" w:sz="0" w:space="0" w:color="auto"/>
            <w:bottom w:val="none" w:sz="0" w:space="0" w:color="auto"/>
            <w:right w:val="none" w:sz="0" w:space="0" w:color="auto"/>
          </w:divBdr>
          <w:divsChild>
            <w:div w:id="264117983">
              <w:marLeft w:val="0"/>
              <w:marRight w:val="0"/>
              <w:marTop w:val="0"/>
              <w:marBottom w:val="0"/>
              <w:divBdr>
                <w:top w:val="none" w:sz="0" w:space="0" w:color="auto"/>
                <w:left w:val="none" w:sz="0" w:space="0" w:color="auto"/>
                <w:bottom w:val="none" w:sz="0" w:space="0" w:color="auto"/>
                <w:right w:val="none" w:sz="0" w:space="0" w:color="auto"/>
              </w:divBdr>
            </w:div>
          </w:divsChild>
        </w:div>
        <w:div w:id="1509636954">
          <w:marLeft w:val="0"/>
          <w:marRight w:val="0"/>
          <w:marTop w:val="0"/>
          <w:marBottom w:val="0"/>
          <w:divBdr>
            <w:top w:val="none" w:sz="0" w:space="0" w:color="auto"/>
            <w:left w:val="none" w:sz="0" w:space="0" w:color="auto"/>
            <w:bottom w:val="none" w:sz="0" w:space="0" w:color="auto"/>
            <w:right w:val="none" w:sz="0" w:space="0" w:color="auto"/>
          </w:divBdr>
          <w:divsChild>
            <w:div w:id="2011322610">
              <w:marLeft w:val="0"/>
              <w:marRight w:val="0"/>
              <w:marTop w:val="0"/>
              <w:marBottom w:val="0"/>
              <w:divBdr>
                <w:top w:val="none" w:sz="0" w:space="0" w:color="auto"/>
                <w:left w:val="none" w:sz="0" w:space="0" w:color="auto"/>
                <w:bottom w:val="none" w:sz="0" w:space="0" w:color="auto"/>
                <w:right w:val="none" w:sz="0" w:space="0" w:color="auto"/>
              </w:divBdr>
            </w:div>
          </w:divsChild>
        </w:div>
        <w:div w:id="1516920248">
          <w:marLeft w:val="0"/>
          <w:marRight w:val="0"/>
          <w:marTop w:val="0"/>
          <w:marBottom w:val="0"/>
          <w:divBdr>
            <w:top w:val="none" w:sz="0" w:space="0" w:color="auto"/>
            <w:left w:val="none" w:sz="0" w:space="0" w:color="auto"/>
            <w:bottom w:val="none" w:sz="0" w:space="0" w:color="auto"/>
            <w:right w:val="none" w:sz="0" w:space="0" w:color="auto"/>
          </w:divBdr>
          <w:divsChild>
            <w:div w:id="1373505215">
              <w:marLeft w:val="0"/>
              <w:marRight w:val="0"/>
              <w:marTop w:val="0"/>
              <w:marBottom w:val="0"/>
              <w:divBdr>
                <w:top w:val="none" w:sz="0" w:space="0" w:color="auto"/>
                <w:left w:val="none" w:sz="0" w:space="0" w:color="auto"/>
                <w:bottom w:val="none" w:sz="0" w:space="0" w:color="auto"/>
                <w:right w:val="none" w:sz="0" w:space="0" w:color="auto"/>
              </w:divBdr>
            </w:div>
          </w:divsChild>
        </w:div>
        <w:div w:id="1573664072">
          <w:marLeft w:val="0"/>
          <w:marRight w:val="0"/>
          <w:marTop w:val="0"/>
          <w:marBottom w:val="0"/>
          <w:divBdr>
            <w:top w:val="none" w:sz="0" w:space="0" w:color="auto"/>
            <w:left w:val="none" w:sz="0" w:space="0" w:color="auto"/>
            <w:bottom w:val="none" w:sz="0" w:space="0" w:color="auto"/>
            <w:right w:val="none" w:sz="0" w:space="0" w:color="auto"/>
          </w:divBdr>
          <w:divsChild>
            <w:div w:id="1765297713">
              <w:marLeft w:val="0"/>
              <w:marRight w:val="0"/>
              <w:marTop w:val="0"/>
              <w:marBottom w:val="0"/>
              <w:divBdr>
                <w:top w:val="none" w:sz="0" w:space="0" w:color="auto"/>
                <w:left w:val="none" w:sz="0" w:space="0" w:color="auto"/>
                <w:bottom w:val="none" w:sz="0" w:space="0" w:color="auto"/>
                <w:right w:val="none" w:sz="0" w:space="0" w:color="auto"/>
              </w:divBdr>
            </w:div>
          </w:divsChild>
        </w:div>
        <w:div w:id="1599483440">
          <w:marLeft w:val="0"/>
          <w:marRight w:val="0"/>
          <w:marTop w:val="0"/>
          <w:marBottom w:val="0"/>
          <w:divBdr>
            <w:top w:val="none" w:sz="0" w:space="0" w:color="auto"/>
            <w:left w:val="none" w:sz="0" w:space="0" w:color="auto"/>
            <w:bottom w:val="none" w:sz="0" w:space="0" w:color="auto"/>
            <w:right w:val="none" w:sz="0" w:space="0" w:color="auto"/>
          </w:divBdr>
          <w:divsChild>
            <w:div w:id="726800348">
              <w:marLeft w:val="0"/>
              <w:marRight w:val="0"/>
              <w:marTop w:val="0"/>
              <w:marBottom w:val="0"/>
              <w:divBdr>
                <w:top w:val="none" w:sz="0" w:space="0" w:color="auto"/>
                <w:left w:val="none" w:sz="0" w:space="0" w:color="auto"/>
                <w:bottom w:val="none" w:sz="0" w:space="0" w:color="auto"/>
                <w:right w:val="none" w:sz="0" w:space="0" w:color="auto"/>
              </w:divBdr>
            </w:div>
          </w:divsChild>
        </w:div>
        <w:div w:id="1646885173">
          <w:marLeft w:val="0"/>
          <w:marRight w:val="0"/>
          <w:marTop w:val="0"/>
          <w:marBottom w:val="0"/>
          <w:divBdr>
            <w:top w:val="none" w:sz="0" w:space="0" w:color="auto"/>
            <w:left w:val="none" w:sz="0" w:space="0" w:color="auto"/>
            <w:bottom w:val="none" w:sz="0" w:space="0" w:color="auto"/>
            <w:right w:val="none" w:sz="0" w:space="0" w:color="auto"/>
          </w:divBdr>
          <w:divsChild>
            <w:div w:id="769545992">
              <w:marLeft w:val="0"/>
              <w:marRight w:val="0"/>
              <w:marTop w:val="0"/>
              <w:marBottom w:val="0"/>
              <w:divBdr>
                <w:top w:val="none" w:sz="0" w:space="0" w:color="auto"/>
                <w:left w:val="none" w:sz="0" w:space="0" w:color="auto"/>
                <w:bottom w:val="none" w:sz="0" w:space="0" w:color="auto"/>
                <w:right w:val="none" w:sz="0" w:space="0" w:color="auto"/>
              </w:divBdr>
            </w:div>
          </w:divsChild>
        </w:div>
        <w:div w:id="1660767935">
          <w:marLeft w:val="0"/>
          <w:marRight w:val="0"/>
          <w:marTop w:val="0"/>
          <w:marBottom w:val="0"/>
          <w:divBdr>
            <w:top w:val="none" w:sz="0" w:space="0" w:color="auto"/>
            <w:left w:val="none" w:sz="0" w:space="0" w:color="auto"/>
            <w:bottom w:val="none" w:sz="0" w:space="0" w:color="auto"/>
            <w:right w:val="none" w:sz="0" w:space="0" w:color="auto"/>
          </w:divBdr>
          <w:divsChild>
            <w:div w:id="687951223">
              <w:marLeft w:val="0"/>
              <w:marRight w:val="0"/>
              <w:marTop w:val="0"/>
              <w:marBottom w:val="0"/>
              <w:divBdr>
                <w:top w:val="none" w:sz="0" w:space="0" w:color="auto"/>
                <w:left w:val="none" w:sz="0" w:space="0" w:color="auto"/>
                <w:bottom w:val="none" w:sz="0" w:space="0" w:color="auto"/>
                <w:right w:val="none" w:sz="0" w:space="0" w:color="auto"/>
              </w:divBdr>
            </w:div>
          </w:divsChild>
        </w:div>
        <w:div w:id="1727604471">
          <w:marLeft w:val="0"/>
          <w:marRight w:val="0"/>
          <w:marTop w:val="0"/>
          <w:marBottom w:val="0"/>
          <w:divBdr>
            <w:top w:val="none" w:sz="0" w:space="0" w:color="auto"/>
            <w:left w:val="none" w:sz="0" w:space="0" w:color="auto"/>
            <w:bottom w:val="none" w:sz="0" w:space="0" w:color="auto"/>
            <w:right w:val="none" w:sz="0" w:space="0" w:color="auto"/>
          </w:divBdr>
          <w:divsChild>
            <w:div w:id="101344693">
              <w:marLeft w:val="0"/>
              <w:marRight w:val="0"/>
              <w:marTop w:val="0"/>
              <w:marBottom w:val="0"/>
              <w:divBdr>
                <w:top w:val="none" w:sz="0" w:space="0" w:color="auto"/>
                <w:left w:val="none" w:sz="0" w:space="0" w:color="auto"/>
                <w:bottom w:val="none" w:sz="0" w:space="0" w:color="auto"/>
                <w:right w:val="none" w:sz="0" w:space="0" w:color="auto"/>
              </w:divBdr>
            </w:div>
          </w:divsChild>
        </w:div>
        <w:div w:id="1749224846">
          <w:marLeft w:val="0"/>
          <w:marRight w:val="0"/>
          <w:marTop w:val="0"/>
          <w:marBottom w:val="0"/>
          <w:divBdr>
            <w:top w:val="none" w:sz="0" w:space="0" w:color="auto"/>
            <w:left w:val="none" w:sz="0" w:space="0" w:color="auto"/>
            <w:bottom w:val="none" w:sz="0" w:space="0" w:color="auto"/>
            <w:right w:val="none" w:sz="0" w:space="0" w:color="auto"/>
          </w:divBdr>
          <w:divsChild>
            <w:div w:id="686256309">
              <w:marLeft w:val="0"/>
              <w:marRight w:val="0"/>
              <w:marTop w:val="0"/>
              <w:marBottom w:val="0"/>
              <w:divBdr>
                <w:top w:val="none" w:sz="0" w:space="0" w:color="auto"/>
                <w:left w:val="none" w:sz="0" w:space="0" w:color="auto"/>
                <w:bottom w:val="none" w:sz="0" w:space="0" w:color="auto"/>
                <w:right w:val="none" w:sz="0" w:space="0" w:color="auto"/>
              </w:divBdr>
            </w:div>
          </w:divsChild>
        </w:div>
        <w:div w:id="1757241664">
          <w:marLeft w:val="0"/>
          <w:marRight w:val="0"/>
          <w:marTop w:val="0"/>
          <w:marBottom w:val="0"/>
          <w:divBdr>
            <w:top w:val="none" w:sz="0" w:space="0" w:color="auto"/>
            <w:left w:val="none" w:sz="0" w:space="0" w:color="auto"/>
            <w:bottom w:val="none" w:sz="0" w:space="0" w:color="auto"/>
            <w:right w:val="none" w:sz="0" w:space="0" w:color="auto"/>
          </w:divBdr>
          <w:divsChild>
            <w:div w:id="1962303197">
              <w:marLeft w:val="0"/>
              <w:marRight w:val="0"/>
              <w:marTop w:val="0"/>
              <w:marBottom w:val="0"/>
              <w:divBdr>
                <w:top w:val="none" w:sz="0" w:space="0" w:color="auto"/>
                <w:left w:val="none" w:sz="0" w:space="0" w:color="auto"/>
                <w:bottom w:val="none" w:sz="0" w:space="0" w:color="auto"/>
                <w:right w:val="none" w:sz="0" w:space="0" w:color="auto"/>
              </w:divBdr>
            </w:div>
          </w:divsChild>
        </w:div>
        <w:div w:id="1768497096">
          <w:marLeft w:val="0"/>
          <w:marRight w:val="0"/>
          <w:marTop w:val="0"/>
          <w:marBottom w:val="0"/>
          <w:divBdr>
            <w:top w:val="none" w:sz="0" w:space="0" w:color="auto"/>
            <w:left w:val="none" w:sz="0" w:space="0" w:color="auto"/>
            <w:bottom w:val="none" w:sz="0" w:space="0" w:color="auto"/>
            <w:right w:val="none" w:sz="0" w:space="0" w:color="auto"/>
          </w:divBdr>
          <w:divsChild>
            <w:div w:id="103110982">
              <w:marLeft w:val="0"/>
              <w:marRight w:val="0"/>
              <w:marTop w:val="0"/>
              <w:marBottom w:val="0"/>
              <w:divBdr>
                <w:top w:val="none" w:sz="0" w:space="0" w:color="auto"/>
                <w:left w:val="none" w:sz="0" w:space="0" w:color="auto"/>
                <w:bottom w:val="none" w:sz="0" w:space="0" w:color="auto"/>
                <w:right w:val="none" w:sz="0" w:space="0" w:color="auto"/>
              </w:divBdr>
            </w:div>
          </w:divsChild>
        </w:div>
        <w:div w:id="1788502419">
          <w:marLeft w:val="0"/>
          <w:marRight w:val="0"/>
          <w:marTop w:val="0"/>
          <w:marBottom w:val="0"/>
          <w:divBdr>
            <w:top w:val="none" w:sz="0" w:space="0" w:color="auto"/>
            <w:left w:val="none" w:sz="0" w:space="0" w:color="auto"/>
            <w:bottom w:val="none" w:sz="0" w:space="0" w:color="auto"/>
            <w:right w:val="none" w:sz="0" w:space="0" w:color="auto"/>
          </w:divBdr>
          <w:divsChild>
            <w:div w:id="1671054473">
              <w:marLeft w:val="0"/>
              <w:marRight w:val="0"/>
              <w:marTop w:val="0"/>
              <w:marBottom w:val="0"/>
              <w:divBdr>
                <w:top w:val="none" w:sz="0" w:space="0" w:color="auto"/>
                <w:left w:val="none" w:sz="0" w:space="0" w:color="auto"/>
                <w:bottom w:val="none" w:sz="0" w:space="0" w:color="auto"/>
                <w:right w:val="none" w:sz="0" w:space="0" w:color="auto"/>
              </w:divBdr>
            </w:div>
          </w:divsChild>
        </w:div>
        <w:div w:id="1802726501">
          <w:marLeft w:val="0"/>
          <w:marRight w:val="0"/>
          <w:marTop w:val="0"/>
          <w:marBottom w:val="0"/>
          <w:divBdr>
            <w:top w:val="none" w:sz="0" w:space="0" w:color="auto"/>
            <w:left w:val="none" w:sz="0" w:space="0" w:color="auto"/>
            <w:bottom w:val="none" w:sz="0" w:space="0" w:color="auto"/>
            <w:right w:val="none" w:sz="0" w:space="0" w:color="auto"/>
          </w:divBdr>
          <w:divsChild>
            <w:div w:id="2074084779">
              <w:marLeft w:val="0"/>
              <w:marRight w:val="0"/>
              <w:marTop w:val="0"/>
              <w:marBottom w:val="0"/>
              <w:divBdr>
                <w:top w:val="none" w:sz="0" w:space="0" w:color="auto"/>
                <w:left w:val="none" w:sz="0" w:space="0" w:color="auto"/>
                <w:bottom w:val="none" w:sz="0" w:space="0" w:color="auto"/>
                <w:right w:val="none" w:sz="0" w:space="0" w:color="auto"/>
              </w:divBdr>
            </w:div>
          </w:divsChild>
        </w:div>
        <w:div w:id="1838881855">
          <w:marLeft w:val="0"/>
          <w:marRight w:val="0"/>
          <w:marTop w:val="0"/>
          <w:marBottom w:val="0"/>
          <w:divBdr>
            <w:top w:val="none" w:sz="0" w:space="0" w:color="auto"/>
            <w:left w:val="none" w:sz="0" w:space="0" w:color="auto"/>
            <w:bottom w:val="none" w:sz="0" w:space="0" w:color="auto"/>
            <w:right w:val="none" w:sz="0" w:space="0" w:color="auto"/>
          </w:divBdr>
          <w:divsChild>
            <w:div w:id="524369400">
              <w:marLeft w:val="0"/>
              <w:marRight w:val="0"/>
              <w:marTop w:val="0"/>
              <w:marBottom w:val="0"/>
              <w:divBdr>
                <w:top w:val="none" w:sz="0" w:space="0" w:color="auto"/>
                <w:left w:val="none" w:sz="0" w:space="0" w:color="auto"/>
                <w:bottom w:val="none" w:sz="0" w:space="0" w:color="auto"/>
                <w:right w:val="none" w:sz="0" w:space="0" w:color="auto"/>
              </w:divBdr>
            </w:div>
          </w:divsChild>
        </w:div>
        <w:div w:id="1895853231">
          <w:marLeft w:val="0"/>
          <w:marRight w:val="0"/>
          <w:marTop w:val="0"/>
          <w:marBottom w:val="0"/>
          <w:divBdr>
            <w:top w:val="none" w:sz="0" w:space="0" w:color="auto"/>
            <w:left w:val="none" w:sz="0" w:space="0" w:color="auto"/>
            <w:bottom w:val="none" w:sz="0" w:space="0" w:color="auto"/>
            <w:right w:val="none" w:sz="0" w:space="0" w:color="auto"/>
          </w:divBdr>
          <w:divsChild>
            <w:div w:id="919559124">
              <w:marLeft w:val="0"/>
              <w:marRight w:val="0"/>
              <w:marTop w:val="0"/>
              <w:marBottom w:val="0"/>
              <w:divBdr>
                <w:top w:val="none" w:sz="0" w:space="0" w:color="auto"/>
                <w:left w:val="none" w:sz="0" w:space="0" w:color="auto"/>
                <w:bottom w:val="none" w:sz="0" w:space="0" w:color="auto"/>
                <w:right w:val="none" w:sz="0" w:space="0" w:color="auto"/>
              </w:divBdr>
            </w:div>
          </w:divsChild>
        </w:div>
        <w:div w:id="1917353739">
          <w:marLeft w:val="0"/>
          <w:marRight w:val="0"/>
          <w:marTop w:val="0"/>
          <w:marBottom w:val="0"/>
          <w:divBdr>
            <w:top w:val="none" w:sz="0" w:space="0" w:color="auto"/>
            <w:left w:val="none" w:sz="0" w:space="0" w:color="auto"/>
            <w:bottom w:val="none" w:sz="0" w:space="0" w:color="auto"/>
            <w:right w:val="none" w:sz="0" w:space="0" w:color="auto"/>
          </w:divBdr>
          <w:divsChild>
            <w:div w:id="1291665432">
              <w:marLeft w:val="0"/>
              <w:marRight w:val="0"/>
              <w:marTop w:val="0"/>
              <w:marBottom w:val="0"/>
              <w:divBdr>
                <w:top w:val="none" w:sz="0" w:space="0" w:color="auto"/>
                <w:left w:val="none" w:sz="0" w:space="0" w:color="auto"/>
                <w:bottom w:val="none" w:sz="0" w:space="0" w:color="auto"/>
                <w:right w:val="none" w:sz="0" w:space="0" w:color="auto"/>
              </w:divBdr>
            </w:div>
          </w:divsChild>
        </w:div>
        <w:div w:id="1922375089">
          <w:marLeft w:val="0"/>
          <w:marRight w:val="0"/>
          <w:marTop w:val="0"/>
          <w:marBottom w:val="0"/>
          <w:divBdr>
            <w:top w:val="none" w:sz="0" w:space="0" w:color="auto"/>
            <w:left w:val="none" w:sz="0" w:space="0" w:color="auto"/>
            <w:bottom w:val="none" w:sz="0" w:space="0" w:color="auto"/>
            <w:right w:val="none" w:sz="0" w:space="0" w:color="auto"/>
          </w:divBdr>
          <w:divsChild>
            <w:div w:id="1278491068">
              <w:marLeft w:val="0"/>
              <w:marRight w:val="0"/>
              <w:marTop w:val="0"/>
              <w:marBottom w:val="0"/>
              <w:divBdr>
                <w:top w:val="none" w:sz="0" w:space="0" w:color="auto"/>
                <w:left w:val="none" w:sz="0" w:space="0" w:color="auto"/>
                <w:bottom w:val="none" w:sz="0" w:space="0" w:color="auto"/>
                <w:right w:val="none" w:sz="0" w:space="0" w:color="auto"/>
              </w:divBdr>
            </w:div>
          </w:divsChild>
        </w:div>
        <w:div w:id="1954901773">
          <w:marLeft w:val="0"/>
          <w:marRight w:val="0"/>
          <w:marTop w:val="0"/>
          <w:marBottom w:val="0"/>
          <w:divBdr>
            <w:top w:val="none" w:sz="0" w:space="0" w:color="auto"/>
            <w:left w:val="none" w:sz="0" w:space="0" w:color="auto"/>
            <w:bottom w:val="none" w:sz="0" w:space="0" w:color="auto"/>
            <w:right w:val="none" w:sz="0" w:space="0" w:color="auto"/>
          </w:divBdr>
          <w:divsChild>
            <w:div w:id="1978408925">
              <w:marLeft w:val="0"/>
              <w:marRight w:val="0"/>
              <w:marTop w:val="0"/>
              <w:marBottom w:val="0"/>
              <w:divBdr>
                <w:top w:val="none" w:sz="0" w:space="0" w:color="auto"/>
                <w:left w:val="none" w:sz="0" w:space="0" w:color="auto"/>
                <w:bottom w:val="none" w:sz="0" w:space="0" w:color="auto"/>
                <w:right w:val="none" w:sz="0" w:space="0" w:color="auto"/>
              </w:divBdr>
            </w:div>
          </w:divsChild>
        </w:div>
        <w:div w:id="1970356276">
          <w:marLeft w:val="0"/>
          <w:marRight w:val="0"/>
          <w:marTop w:val="0"/>
          <w:marBottom w:val="0"/>
          <w:divBdr>
            <w:top w:val="none" w:sz="0" w:space="0" w:color="auto"/>
            <w:left w:val="none" w:sz="0" w:space="0" w:color="auto"/>
            <w:bottom w:val="none" w:sz="0" w:space="0" w:color="auto"/>
            <w:right w:val="none" w:sz="0" w:space="0" w:color="auto"/>
          </w:divBdr>
          <w:divsChild>
            <w:div w:id="272447168">
              <w:marLeft w:val="0"/>
              <w:marRight w:val="0"/>
              <w:marTop w:val="0"/>
              <w:marBottom w:val="0"/>
              <w:divBdr>
                <w:top w:val="none" w:sz="0" w:space="0" w:color="auto"/>
                <w:left w:val="none" w:sz="0" w:space="0" w:color="auto"/>
                <w:bottom w:val="none" w:sz="0" w:space="0" w:color="auto"/>
                <w:right w:val="none" w:sz="0" w:space="0" w:color="auto"/>
              </w:divBdr>
            </w:div>
          </w:divsChild>
        </w:div>
        <w:div w:id="1982227896">
          <w:marLeft w:val="0"/>
          <w:marRight w:val="0"/>
          <w:marTop w:val="0"/>
          <w:marBottom w:val="0"/>
          <w:divBdr>
            <w:top w:val="none" w:sz="0" w:space="0" w:color="auto"/>
            <w:left w:val="none" w:sz="0" w:space="0" w:color="auto"/>
            <w:bottom w:val="none" w:sz="0" w:space="0" w:color="auto"/>
            <w:right w:val="none" w:sz="0" w:space="0" w:color="auto"/>
          </w:divBdr>
          <w:divsChild>
            <w:div w:id="299501595">
              <w:marLeft w:val="0"/>
              <w:marRight w:val="0"/>
              <w:marTop w:val="0"/>
              <w:marBottom w:val="0"/>
              <w:divBdr>
                <w:top w:val="none" w:sz="0" w:space="0" w:color="auto"/>
                <w:left w:val="none" w:sz="0" w:space="0" w:color="auto"/>
                <w:bottom w:val="none" w:sz="0" w:space="0" w:color="auto"/>
                <w:right w:val="none" w:sz="0" w:space="0" w:color="auto"/>
              </w:divBdr>
            </w:div>
          </w:divsChild>
        </w:div>
        <w:div w:id="2002276034">
          <w:marLeft w:val="0"/>
          <w:marRight w:val="0"/>
          <w:marTop w:val="0"/>
          <w:marBottom w:val="0"/>
          <w:divBdr>
            <w:top w:val="none" w:sz="0" w:space="0" w:color="auto"/>
            <w:left w:val="none" w:sz="0" w:space="0" w:color="auto"/>
            <w:bottom w:val="none" w:sz="0" w:space="0" w:color="auto"/>
            <w:right w:val="none" w:sz="0" w:space="0" w:color="auto"/>
          </w:divBdr>
          <w:divsChild>
            <w:div w:id="1142162689">
              <w:marLeft w:val="0"/>
              <w:marRight w:val="0"/>
              <w:marTop w:val="0"/>
              <w:marBottom w:val="0"/>
              <w:divBdr>
                <w:top w:val="none" w:sz="0" w:space="0" w:color="auto"/>
                <w:left w:val="none" w:sz="0" w:space="0" w:color="auto"/>
                <w:bottom w:val="none" w:sz="0" w:space="0" w:color="auto"/>
                <w:right w:val="none" w:sz="0" w:space="0" w:color="auto"/>
              </w:divBdr>
            </w:div>
          </w:divsChild>
        </w:div>
        <w:div w:id="2022730766">
          <w:marLeft w:val="0"/>
          <w:marRight w:val="0"/>
          <w:marTop w:val="0"/>
          <w:marBottom w:val="0"/>
          <w:divBdr>
            <w:top w:val="none" w:sz="0" w:space="0" w:color="auto"/>
            <w:left w:val="none" w:sz="0" w:space="0" w:color="auto"/>
            <w:bottom w:val="none" w:sz="0" w:space="0" w:color="auto"/>
            <w:right w:val="none" w:sz="0" w:space="0" w:color="auto"/>
          </w:divBdr>
          <w:divsChild>
            <w:div w:id="387916986">
              <w:marLeft w:val="0"/>
              <w:marRight w:val="0"/>
              <w:marTop w:val="0"/>
              <w:marBottom w:val="0"/>
              <w:divBdr>
                <w:top w:val="none" w:sz="0" w:space="0" w:color="auto"/>
                <w:left w:val="none" w:sz="0" w:space="0" w:color="auto"/>
                <w:bottom w:val="none" w:sz="0" w:space="0" w:color="auto"/>
                <w:right w:val="none" w:sz="0" w:space="0" w:color="auto"/>
              </w:divBdr>
            </w:div>
          </w:divsChild>
        </w:div>
        <w:div w:id="2042976281">
          <w:marLeft w:val="0"/>
          <w:marRight w:val="0"/>
          <w:marTop w:val="0"/>
          <w:marBottom w:val="0"/>
          <w:divBdr>
            <w:top w:val="none" w:sz="0" w:space="0" w:color="auto"/>
            <w:left w:val="none" w:sz="0" w:space="0" w:color="auto"/>
            <w:bottom w:val="none" w:sz="0" w:space="0" w:color="auto"/>
            <w:right w:val="none" w:sz="0" w:space="0" w:color="auto"/>
          </w:divBdr>
          <w:divsChild>
            <w:div w:id="575209819">
              <w:marLeft w:val="0"/>
              <w:marRight w:val="0"/>
              <w:marTop w:val="0"/>
              <w:marBottom w:val="0"/>
              <w:divBdr>
                <w:top w:val="none" w:sz="0" w:space="0" w:color="auto"/>
                <w:left w:val="none" w:sz="0" w:space="0" w:color="auto"/>
                <w:bottom w:val="none" w:sz="0" w:space="0" w:color="auto"/>
                <w:right w:val="none" w:sz="0" w:space="0" w:color="auto"/>
              </w:divBdr>
            </w:div>
          </w:divsChild>
        </w:div>
        <w:div w:id="2071463857">
          <w:marLeft w:val="0"/>
          <w:marRight w:val="0"/>
          <w:marTop w:val="0"/>
          <w:marBottom w:val="0"/>
          <w:divBdr>
            <w:top w:val="none" w:sz="0" w:space="0" w:color="auto"/>
            <w:left w:val="none" w:sz="0" w:space="0" w:color="auto"/>
            <w:bottom w:val="none" w:sz="0" w:space="0" w:color="auto"/>
            <w:right w:val="none" w:sz="0" w:space="0" w:color="auto"/>
          </w:divBdr>
          <w:divsChild>
            <w:div w:id="1824274129">
              <w:marLeft w:val="0"/>
              <w:marRight w:val="0"/>
              <w:marTop w:val="0"/>
              <w:marBottom w:val="0"/>
              <w:divBdr>
                <w:top w:val="none" w:sz="0" w:space="0" w:color="auto"/>
                <w:left w:val="none" w:sz="0" w:space="0" w:color="auto"/>
                <w:bottom w:val="none" w:sz="0" w:space="0" w:color="auto"/>
                <w:right w:val="none" w:sz="0" w:space="0" w:color="auto"/>
              </w:divBdr>
            </w:div>
          </w:divsChild>
        </w:div>
        <w:div w:id="2074548544">
          <w:marLeft w:val="0"/>
          <w:marRight w:val="0"/>
          <w:marTop w:val="0"/>
          <w:marBottom w:val="0"/>
          <w:divBdr>
            <w:top w:val="none" w:sz="0" w:space="0" w:color="auto"/>
            <w:left w:val="none" w:sz="0" w:space="0" w:color="auto"/>
            <w:bottom w:val="none" w:sz="0" w:space="0" w:color="auto"/>
            <w:right w:val="none" w:sz="0" w:space="0" w:color="auto"/>
          </w:divBdr>
          <w:divsChild>
            <w:div w:id="1044452250">
              <w:marLeft w:val="0"/>
              <w:marRight w:val="0"/>
              <w:marTop w:val="0"/>
              <w:marBottom w:val="0"/>
              <w:divBdr>
                <w:top w:val="none" w:sz="0" w:space="0" w:color="auto"/>
                <w:left w:val="none" w:sz="0" w:space="0" w:color="auto"/>
                <w:bottom w:val="none" w:sz="0" w:space="0" w:color="auto"/>
                <w:right w:val="none" w:sz="0" w:space="0" w:color="auto"/>
              </w:divBdr>
            </w:div>
          </w:divsChild>
        </w:div>
        <w:div w:id="2075464181">
          <w:marLeft w:val="0"/>
          <w:marRight w:val="0"/>
          <w:marTop w:val="0"/>
          <w:marBottom w:val="0"/>
          <w:divBdr>
            <w:top w:val="none" w:sz="0" w:space="0" w:color="auto"/>
            <w:left w:val="none" w:sz="0" w:space="0" w:color="auto"/>
            <w:bottom w:val="none" w:sz="0" w:space="0" w:color="auto"/>
            <w:right w:val="none" w:sz="0" w:space="0" w:color="auto"/>
          </w:divBdr>
          <w:divsChild>
            <w:div w:id="287468852">
              <w:marLeft w:val="0"/>
              <w:marRight w:val="0"/>
              <w:marTop w:val="0"/>
              <w:marBottom w:val="0"/>
              <w:divBdr>
                <w:top w:val="none" w:sz="0" w:space="0" w:color="auto"/>
                <w:left w:val="none" w:sz="0" w:space="0" w:color="auto"/>
                <w:bottom w:val="none" w:sz="0" w:space="0" w:color="auto"/>
                <w:right w:val="none" w:sz="0" w:space="0" w:color="auto"/>
              </w:divBdr>
            </w:div>
          </w:divsChild>
        </w:div>
        <w:div w:id="2084059442">
          <w:marLeft w:val="0"/>
          <w:marRight w:val="0"/>
          <w:marTop w:val="0"/>
          <w:marBottom w:val="0"/>
          <w:divBdr>
            <w:top w:val="none" w:sz="0" w:space="0" w:color="auto"/>
            <w:left w:val="none" w:sz="0" w:space="0" w:color="auto"/>
            <w:bottom w:val="none" w:sz="0" w:space="0" w:color="auto"/>
            <w:right w:val="none" w:sz="0" w:space="0" w:color="auto"/>
          </w:divBdr>
          <w:divsChild>
            <w:div w:id="223419193">
              <w:marLeft w:val="0"/>
              <w:marRight w:val="0"/>
              <w:marTop w:val="0"/>
              <w:marBottom w:val="0"/>
              <w:divBdr>
                <w:top w:val="none" w:sz="0" w:space="0" w:color="auto"/>
                <w:left w:val="none" w:sz="0" w:space="0" w:color="auto"/>
                <w:bottom w:val="none" w:sz="0" w:space="0" w:color="auto"/>
                <w:right w:val="none" w:sz="0" w:space="0" w:color="auto"/>
              </w:divBdr>
            </w:div>
          </w:divsChild>
        </w:div>
        <w:div w:id="2105685237">
          <w:marLeft w:val="0"/>
          <w:marRight w:val="0"/>
          <w:marTop w:val="0"/>
          <w:marBottom w:val="0"/>
          <w:divBdr>
            <w:top w:val="none" w:sz="0" w:space="0" w:color="auto"/>
            <w:left w:val="none" w:sz="0" w:space="0" w:color="auto"/>
            <w:bottom w:val="none" w:sz="0" w:space="0" w:color="auto"/>
            <w:right w:val="none" w:sz="0" w:space="0" w:color="auto"/>
          </w:divBdr>
          <w:divsChild>
            <w:div w:id="16887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8" ma:contentTypeDescription="Create a new document." ma:contentTypeScope="" ma:versionID="312d34f8ed2d9a19618b6e7108fb249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04c65d1dfb247c5fe118c04c81543e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lcf76f155ced4ddcb4097134ff3c332f xmlns="02fe02c4-dc41-46ff-9d52-90c0a1b1f611">
      <Terms xmlns="http://schemas.microsoft.com/office/infopath/2007/PartnerControls"/>
    </lcf76f155ced4ddcb4097134ff3c332f>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2025-08-25T19:51:51+00:00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991DB591-F8CE-47ED-B768-198EA3EE89EF}">
  <ds:schemaRefs/>
</ds:datastoreItem>
</file>

<file path=customXml/itemProps2.xml><?xml version="1.0" encoding="utf-8"?>
<ds:datastoreItem xmlns:ds="http://schemas.openxmlformats.org/officeDocument/2006/customXml" ds:itemID="{C1A541DF-B031-4954-BBB2-53EF05A6FB4B}">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22</Pages>
  <Words>6652</Words>
  <Characters>37920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243</cp:revision>
  <dcterms:created xsi:type="dcterms:W3CDTF">2024-03-01T20:59:00Z</dcterms:created>
  <dcterms:modified xsi:type="dcterms:W3CDTF">2025-08-25T19:01:00Z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Records Status">
    <vt:lpwstr>Pending</vt:lpwstr>
  </property>
  <property fmtid="{D5CDD505-2E9C-101B-9397-08002B2CF9AE}" pid="13" name="TaxKeyword">
    <vt:lpwstr/>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y fmtid="{D5CDD505-2E9C-101B-9397-08002B2CF9AE}" pid="19" name="_SharedFileIndex">
    <vt:lpwstr/>
  </property>
  <property fmtid="{D5CDD505-2E9C-101B-9397-08002B2CF9AE}" pid="20" name="_SourceUrl">
    <vt:lpwstr/>
  </property>
</Properties>
</file>